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5E5" w:rsidRPr="006421AD" w:rsidRDefault="00BD44E2" w:rsidP="00995B7E">
      <w:pPr>
        <w:pStyle w:val="Heading1"/>
        <w:ind w:left="-426" w:right="183"/>
        <w:rPr>
          <w:rFonts w:ascii="Arial" w:hAnsi="Arial" w:cs="Arial"/>
        </w:rPr>
      </w:pPr>
      <w:r>
        <w:rPr>
          <w:rFonts w:ascii="Arial" w:hAnsi="Arial" w:cs="Arial"/>
          <w:noProof/>
          <w:sz w:val="24"/>
          <w:szCs w:val="24"/>
          <w:lang w:eastAsia="en-GB"/>
        </w:rPr>
        <w:pict>
          <v:shapetype id="_x0000_t202" coordsize="21600,21600" o:spt="202" path="m,l,21600r21600,l21600,xe">
            <v:stroke joinstyle="miter"/>
            <v:path gradientshapeok="t" o:connecttype="rect"/>
          </v:shapetype>
          <v:shape id="Text Box 2" o:spid="_x0000_s1026" type="#_x0000_t202" style="position:absolute;left:0;text-align:left;margin-left:428pt;margin-top:-28.95pt;width:73.25pt;height:29.15pt;z-index:251658240;visibility:visible;mso-wrap-distance-top:3.6pt;mso-wrap-distance-bottom:3.6pt;mso-position-horizontal-relative:text;mso-position-vertical-relative:text;mso-width-relative:margin;mso-height-relative:margin" stroked="f">
            <v:textbox style="mso-next-textbox:#Text Box 2">
              <w:txbxContent>
                <w:p w:rsidR="00E97A96" w:rsidRPr="00AB1FEA" w:rsidRDefault="0045291B" w:rsidP="00E97A96">
                  <w:pPr>
                    <w:rPr>
                      <w:rFonts w:ascii="Arial" w:hAnsi="Arial" w:cs="Arial"/>
                      <w:b/>
                      <w:color w:val="5B9BD5"/>
                    </w:rPr>
                  </w:pPr>
                  <w:r>
                    <w:rPr>
                      <w:rFonts w:ascii="Arial" w:hAnsi="Arial" w:cs="Arial"/>
                      <w:b/>
                      <w:color w:val="5B9BD5"/>
                    </w:rPr>
                    <w:t xml:space="preserve">Item </w:t>
                  </w:r>
                </w:p>
              </w:txbxContent>
            </v:textbox>
            <w10:wrap type="square"/>
          </v:shape>
        </w:pict>
      </w:r>
      <w:r w:rsidR="00882F92" w:rsidRPr="006421AD">
        <w:rPr>
          <w:rFonts w:ascii="Arial" w:hAnsi="Arial" w:cs="Arial"/>
          <w:sz w:val="24"/>
          <w:szCs w:val="24"/>
        </w:rPr>
        <w:t xml:space="preserve">Board </w:t>
      </w:r>
      <w:r w:rsidR="00513DB0" w:rsidRPr="006421AD">
        <w:rPr>
          <w:rFonts w:ascii="Arial" w:hAnsi="Arial" w:cs="Arial"/>
          <w:sz w:val="24"/>
          <w:szCs w:val="24"/>
        </w:rPr>
        <w:t>M</w:t>
      </w:r>
      <w:r w:rsidR="00A2577B" w:rsidRPr="006421AD">
        <w:rPr>
          <w:rFonts w:ascii="Arial" w:hAnsi="Arial" w:cs="Arial"/>
          <w:sz w:val="24"/>
          <w:szCs w:val="24"/>
        </w:rPr>
        <w:t>eeting</w:t>
      </w:r>
      <w:r w:rsidR="00A2577B" w:rsidRPr="006421AD">
        <w:rPr>
          <w:rFonts w:ascii="Arial" w:hAnsi="Arial" w:cs="Arial"/>
          <w:b w:val="0"/>
          <w:sz w:val="24"/>
          <w:szCs w:val="24"/>
        </w:rPr>
        <w:t>:</w:t>
      </w:r>
      <w:r w:rsidR="00A2577B" w:rsidRPr="006421AD">
        <w:rPr>
          <w:rFonts w:ascii="Arial" w:hAnsi="Arial" w:cs="Arial"/>
          <w:b w:val="0"/>
          <w:sz w:val="24"/>
          <w:szCs w:val="24"/>
        </w:rPr>
        <w:tab/>
      </w:r>
      <w:r w:rsidR="00882F92" w:rsidRPr="006421AD">
        <w:rPr>
          <w:rFonts w:ascii="Arial" w:hAnsi="Arial" w:cs="Arial"/>
          <w:b w:val="0"/>
          <w:sz w:val="24"/>
          <w:szCs w:val="24"/>
        </w:rPr>
        <w:tab/>
      </w:r>
      <w:r w:rsidR="008F5655">
        <w:rPr>
          <w:rFonts w:ascii="Arial" w:hAnsi="Arial" w:cs="Arial"/>
          <w:b w:val="0"/>
          <w:sz w:val="24"/>
          <w:szCs w:val="24"/>
        </w:rPr>
        <w:t>26 March 2020</w:t>
      </w:r>
      <w:r w:rsidR="00995B7E">
        <w:rPr>
          <w:rFonts w:ascii="Arial" w:hAnsi="Arial" w:cs="Arial"/>
          <w:b w:val="0"/>
          <w:sz w:val="24"/>
          <w:szCs w:val="24"/>
        </w:rPr>
        <w:tab/>
      </w:r>
      <w:r w:rsidR="00995B7E">
        <w:rPr>
          <w:rFonts w:ascii="Arial" w:hAnsi="Arial" w:cs="Arial"/>
          <w:b w:val="0"/>
          <w:sz w:val="24"/>
          <w:szCs w:val="24"/>
        </w:rPr>
        <w:tab/>
      </w:r>
      <w:r w:rsidR="00995B7E">
        <w:rPr>
          <w:rFonts w:ascii="Arial" w:hAnsi="Arial" w:cs="Arial"/>
          <w:b w:val="0"/>
          <w:sz w:val="24"/>
          <w:szCs w:val="24"/>
        </w:rPr>
        <w:tab/>
      </w:r>
      <w:r w:rsidR="00995B7E">
        <w:rPr>
          <w:rFonts w:ascii="Arial" w:hAnsi="Arial" w:cs="Arial"/>
          <w:b w:val="0"/>
          <w:sz w:val="24"/>
          <w:szCs w:val="24"/>
        </w:rPr>
        <w:tab/>
      </w:r>
      <w:r w:rsidR="00E97A96">
        <w:rPr>
          <w:rFonts w:ascii="Arial" w:hAnsi="Arial" w:cs="Arial"/>
          <w:noProof/>
          <w:sz w:val="24"/>
          <w:szCs w:val="24"/>
          <w:lang w:eastAsia="en-GB"/>
        </w:rPr>
        <w:drawing>
          <wp:inline distT="0" distB="0" distL="0" distR="0" wp14:anchorId="73444CA5" wp14:editId="1E3D52A0">
            <wp:extent cx="1123950" cy="457200"/>
            <wp:effectExtent l="0" t="0" r="0" b="0"/>
            <wp:docPr id="3" name="Picture 3" descr="\\Nwtc-filestr01\photographs\Foundation\logos\merge nhs gjf\dual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wtc-filestr01\photographs\Foundation\logos\merge nhs gjf\dual branding.jpg"/>
                    <pic:cNvPicPr>
                      <a:picLocks noChangeAspect="1" noChangeArrowheads="1"/>
                    </pic:cNvPicPr>
                  </pic:nvPicPr>
                  <pic:blipFill>
                    <a:blip r:embed="rId8" cstate="print"/>
                    <a:srcRect/>
                    <a:stretch>
                      <a:fillRect/>
                    </a:stretch>
                  </pic:blipFill>
                  <pic:spPr bwMode="auto">
                    <a:xfrm>
                      <a:off x="0" y="0"/>
                      <a:ext cx="1123950" cy="457200"/>
                    </a:xfrm>
                    <a:prstGeom prst="rect">
                      <a:avLst/>
                    </a:prstGeom>
                    <a:noFill/>
                    <a:ln w="9525">
                      <a:noFill/>
                      <a:miter lim="800000"/>
                      <a:headEnd/>
                      <a:tailEnd/>
                    </a:ln>
                  </pic:spPr>
                </pic:pic>
              </a:graphicData>
            </a:graphic>
          </wp:inline>
        </w:drawing>
      </w:r>
      <w:r w:rsidR="00995B7E">
        <w:rPr>
          <w:rFonts w:ascii="Arial" w:hAnsi="Arial" w:cs="Arial"/>
          <w:b w:val="0"/>
          <w:sz w:val="24"/>
          <w:szCs w:val="24"/>
        </w:rPr>
        <w:tab/>
      </w:r>
      <w:r w:rsidR="00196F0E">
        <w:rPr>
          <w:rFonts w:ascii="Arial" w:hAnsi="Arial" w:cs="Arial"/>
          <w:b w:val="0"/>
          <w:sz w:val="24"/>
          <w:szCs w:val="24"/>
        </w:rPr>
        <w:br/>
      </w:r>
    </w:p>
    <w:p w:rsidR="0045291B" w:rsidRDefault="00A2577B" w:rsidP="0045291B">
      <w:pPr>
        <w:ind w:left="2160" w:hanging="2586"/>
        <w:rPr>
          <w:rFonts w:ascii="Arial" w:hAnsi="Arial" w:cs="Arial"/>
          <w:bCs/>
        </w:rPr>
      </w:pPr>
      <w:r w:rsidRPr="006421AD">
        <w:rPr>
          <w:rFonts w:ascii="Arial" w:hAnsi="Arial" w:cs="Arial"/>
          <w:b/>
          <w:bCs/>
        </w:rPr>
        <w:t xml:space="preserve">Subject: </w:t>
      </w:r>
      <w:r w:rsidRPr="006421AD">
        <w:rPr>
          <w:rFonts w:ascii="Arial" w:hAnsi="Arial" w:cs="Arial"/>
          <w:b/>
          <w:bCs/>
        </w:rPr>
        <w:tab/>
      </w:r>
      <w:r w:rsidR="00271671" w:rsidRPr="00271671">
        <w:rPr>
          <w:rFonts w:ascii="Arial" w:hAnsi="Arial" w:cs="Arial"/>
          <w:bCs/>
        </w:rPr>
        <w:t>Audit and Risk</w:t>
      </w:r>
      <w:r w:rsidR="00271671">
        <w:rPr>
          <w:rFonts w:ascii="Arial" w:hAnsi="Arial" w:cs="Arial"/>
          <w:bCs/>
        </w:rPr>
        <w:t xml:space="preserve"> </w:t>
      </w:r>
      <w:r w:rsidR="00271671" w:rsidRPr="006D18C0">
        <w:rPr>
          <w:rFonts w:ascii="Arial" w:hAnsi="Arial" w:cs="Arial"/>
          <w:bCs/>
        </w:rPr>
        <w:t xml:space="preserve">Committee </w:t>
      </w:r>
      <w:r w:rsidR="006D18C0" w:rsidRPr="006D18C0">
        <w:rPr>
          <w:rFonts w:ascii="Arial" w:hAnsi="Arial" w:cs="Arial"/>
          <w:bCs/>
        </w:rPr>
        <w:t>U</w:t>
      </w:r>
      <w:r w:rsidR="006421AD" w:rsidRPr="006421AD">
        <w:rPr>
          <w:rFonts w:ascii="Arial" w:hAnsi="Arial" w:cs="Arial"/>
          <w:bCs/>
        </w:rPr>
        <w:t>pdate</w:t>
      </w:r>
      <w:r w:rsidR="006D18C0">
        <w:rPr>
          <w:rFonts w:ascii="Arial" w:hAnsi="Arial" w:cs="Arial"/>
          <w:bCs/>
        </w:rPr>
        <w:br/>
      </w:r>
      <w:r w:rsidR="0045291B">
        <w:rPr>
          <w:rFonts w:ascii="Arial" w:hAnsi="Arial" w:cs="Arial"/>
          <w:bCs/>
        </w:rPr>
        <w:t>1</w:t>
      </w:r>
      <w:r w:rsidR="008F5655">
        <w:rPr>
          <w:rFonts w:ascii="Arial" w:hAnsi="Arial" w:cs="Arial"/>
          <w:bCs/>
        </w:rPr>
        <w:t>1 February 2020</w:t>
      </w:r>
      <w:r w:rsidR="0045291B">
        <w:rPr>
          <w:rFonts w:ascii="Arial" w:hAnsi="Arial" w:cs="Arial"/>
          <w:bCs/>
        </w:rPr>
        <w:br/>
      </w:r>
    </w:p>
    <w:tbl>
      <w:tblPr>
        <w:tblW w:w="16155" w:type="dxa"/>
        <w:tblInd w:w="-318" w:type="dxa"/>
        <w:tblLayout w:type="fixed"/>
        <w:tblLook w:val="04A0" w:firstRow="1" w:lastRow="0" w:firstColumn="1" w:lastColumn="0" w:noHBand="0" w:noVBand="1"/>
      </w:tblPr>
      <w:tblGrid>
        <w:gridCol w:w="2557"/>
        <w:gridCol w:w="6799"/>
        <w:gridCol w:w="6799"/>
      </w:tblGrid>
      <w:tr w:rsidR="0045291B" w:rsidRPr="00B5719A" w:rsidTr="0045291B">
        <w:trPr>
          <w:trHeight w:val="499"/>
        </w:trPr>
        <w:tc>
          <w:tcPr>
            <w:tcW w:w="16155" w:type="dxa"/>
            <w:gridSpan w:val="3"/>
          </w:tcPr>
          <w:p w:rsidR="0045291B" w:rsidRPr="00B5719A" w:rsidRDefault="0045291B" w:rsidP="00F802D4">
            <w:pPr>
              <w:ind w:hanging="111"/>
              <w:rPr>
                <w:rFonts w:ascii="Arial" w:hAnsi="Arial" w:cs="Arial"/>
              </w:rPr>
            </w:pPr>
            <w:r w:rsidRPr="0045291B">
              <w:rPr>
                <w:rFonts w:ascii="Arial" w:hAnsi="Arial" w:cs="Arial"/>
                <w:b/>
              </w:rPr>
              <w:t xml:space="preserve">Recommendation: </w:t>
            </w:r>
            <w:r>
              <w:rPr>
                <w:rFonts w:ascii="Arial" w:hAnsi="Arial" w:cs="Arial"/>
                <w:b/>
              </w:rPr>
              <w:t xml:space="preserve">     </w:t>
            </w:r>
            <w:r w:rsidRPr="00B5719A">
              <w:rPr>
                <w:rFonts w:ascii="Arial" w:hAnsi="Arial" w:cs="Arial"/>
              </w:rPr>
              <w:t>Board members are asked to:</w:t>
            </w:r>
          </w:p>
        </w:tc>
      </w:tr>
      <w:tr w:rsidR="0045291B" w:rsidRPr="00B5719A" w:rsidTr="0045291B">
        <w:trPr>
          <w:trHeight w:val="499"/>
        </w:trPr>
        <w:tc>
          <w:tcPr>
            <w:tcW w:w="2557" w:type="dxa"/>
          </w:tcPr>
          <w:p w:rsidR="0045291B" w:rsidRPr="00B5719A" w:rsidRDefault="0045291B" w:rsidP="00B10EDA">
            <w:pPr>
              <w:pStyle w:val="Heading1"/>
              <w:spacing w:before="120"/>
              <w:ind w:right="183" w:hanging="108"/>
              <w:contextualSpacing/>
              <w:rPr>
                <w:rFonts w:ascii="Arial" w:hAnsi="Arial" w:cs="Arial"/>
                <w:sz w:val="24"/>
                <w:szCs w:val="24"/>
              </w:rPr>
            </w:pPr>
          </w:p>
        </w:tc>
        <w:tc>
          <w:tcPr>
            <w:tcW w:w="6799" w:type="dxa"/>
          </w:tcPr>
          <w:tbl>
            <w:tblPr>
              <w:tblpPr w:leftFromText="180" w:rightFromText="180" w:vertAnchor="text" w:horzAnchor="margin" w:tblpY="88"/>
              <w:tblOverlap w:val="never"/>
              <w:tblW w:w="6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0"/>
              <w:gridCol w:w="1134"/>
            </w:tblGrid>
            <w:tr w:rsidR="0045291B" w:rsidRPr="00B5719A" w:rsidTr="0045291B">
              <w:tc>
                <w:tcPr>
                  <w:tcW w:w="4990" w:type="dxa"/>
                </w:tcPr>
                <w:p w:rsidR="0045291B" w:rsidRPr="00995B7E" w:rsidRDefault="0045291B" w:rsidP="0045291B">
                  <w:pPr>
                    <w:pStyle w:val="Heading1"/>
                    <w:ind w:right="183"/>
                    <w:contextualSpacing/>
                    <w:rPr>
                      <w:rFonts w:ascii="Arial" w:hAnsi="Arial" w:cs="Arial"/>
                      <w:b w:val="0"/>
                      <w:sz w:val="24"/>
                      <w:szCs w:val="24"/>
                    </w:rPr>
                  </w:pPr>
                  <w:r w:rsidRPr="00B5719A">
                    <w:rPr>
                      <w:rFonts w:ascii="Arial" w:hAnsi="Arial" w:cs="Arial"/>
                      <w:b w:val="0"/>
                      <w:sz w:val="24"/>
                      <w:szCs w:val="24"/>
                    </w:rPr>
                    <w:t>Discuss and Note</w:t>
                  </w:r>
                </w:p>
              </w:tc>
              <w:tc>
                <w:tcPr>
                  <w:tcW w:w="1134" w:type="dxa"/>
                </w:tcPr>
                <w:p w:rsidR="0045291B" w:rsidRPr="00B5719A" w:rsidRDefault="0045291B" w:rsidP="0045291B">
                  <w:pPr>
                    <w:contextualSpacing/>
                    <w:rPr>
                      <w:rFonts w:ascii="Arial" w:hAnsi="Arial" w:cs="Arial"/>
                    </w:rPr>
                  </w:pPr>
                  <w:r>
                    <w:rPr>
                      <w:rFonts w:ascii="Arial" w:hAnsi="Arial" w:cs="Arial"/>
                    </w:rPr>
                    <w:t>X</w:t>
                  </w:r>
                </w:p>
              </w:tc>
            </w:tr>
            <w:tr w:rsidR="0045291B" w:rsidRPr="00B5719A" w:rsidTr="0045291B">
              <w:tc>
                <w:tcPr>
                  <w:tcW w:w="4990" w:type="dxa"/>
                </w:tcPr>
                <w:p w:rsidR="0045291B" w:rsidRPr="00995B7E" w:rsidRDefault="0045291B" w:rsidP="0045291B">
                  <w:pPr>
                    <w:pStyle w:val="Heading1"/>
                    <w:ind w:right="183"/>
                    <w:contextualSpacing/>
                    <w:rPr>
                      <w:rFonts w:ascii="Arial" w:hAnsi="Arial" w:cs="Arial"/>
                      <w:b w:val="0"/>
                      <w:sz w:val="24"/>
                      <w:szCs w:val="24"/>
                    </w:rPr>
                  </w:pPr>
                  <w:r w:rsidRPr="00B5719A">
                    <w:rPr>
                      <w:rFonts w:ascii="Arial" w:hAnsi="Arial" w:cs="Arial"/>
                      <w:b w:val="0"/>
                      <w:sz w:val="24"/>
                      <w:szCs w:val="24"/>
                    </w:rPr>
                    <w:t>Discuss and Approve</w:t>
                  </w:r>
                </w:p>
              </w:tc>
              <w:tc>
                <w:tcPr>
                  <w:tcW w:w="1134" w:type="dxa"/>
                </w:tcPr>
                <w:p w:rsidR="0045291B" w:rsidRPr="00B5719A" w:rsidRDefault="0045291B" w:rsidP="0045291B">
                  <w:pPr>
                    <w:contextualSpacing/>
                    <w:rPr>
                      <w:rFonts w:ascii="Arial" w:hAnsi="Arial" w:cs="Arial"/>
                    </w:rPr>
                  </w:pPr>
                </w:p>
              </w:tc>
            </w:tr>
            <w:tr w:rsidR="0045291B" w:rsidRPr="00B5719A" w:rsidTr="0045291B">
              <w:tc>
                <w:tcPr>
                  <w:tcW w:w="4990" w:type="dxa"/>
                </w:tcPr>
                <w:p w:rsidR="0045291B" w:rsidRPr="00995B7E" w:rsidRDefault="0045291B" w:rsidP="0045291B">
                  <w:pPr>
                    <w:pStyle w:val="Heading1"/>
                    <w:ind w:right="183"/>
                    <w:contextualSpacing/>
                    <w:rPr>
                      <w:rFonts w:ascii="Arial" w:hAnsi="Arial" w:cs="Arial"/>
                      <w:b w:val="0"/>
                      <w:sz w:val="24"/>
                      <w:szCs w:val="24"/>
                    </w:rPr>
                  </w:pPr>
                  <w:r w:rsidRPr="00B5719A">
                    <w:rPr>
                      <w:rFonts w:ascii="Arial" w:hAnsi="Arial" w:cs="Arial"/>
                      <w:b w:val="0"/>
                      <w:sz w:val="24"/>
                      <w:szCs w:val="24"/>
                    </w:rPr>
                    <w:t>Note for Information only</w:t>
                  </w:r>
                </w:p>
              </w:tc>
              <w:tc>
                <w:tcPr>
                  <w:tcW w:w="1134" w:type="dxa"/>
                </w:tcPr>
                <w:p w:rsidR="0045291B" w:rsidRPr="00B5719A" w:rsidRDefault="0045291B" w:rsidP="0045291B">
                  <w:pPr>
                    <w:contextualSpacing/>
                    <w:rPr>
                      <w:rFonts w:ascii="Arial" w:hAnsi="Arial" w:cs="Arial"/>
                    </w:rPr>
                  </w:pPr>
                </w:p>
              </w:tc>
            </w:tr>
          </w:tbl>
          <w:p w:rsidR="0045291B" w:rsidRPr="00B5719A" w:rsidRDefault="0045291B" w:rsidP="00B10EDA">
            <w:pPr>
              <w:pStyle w:val="Heading1"/>
              <w:spacing w:before="120"/>
              <w:ind w:right="183"/>
              <w:contextualSpacing/>
              <w:rPr>
                <w:rFonts w:ascii="Arial" w:hAnsi="Arial" w:cs="Arial"/>
                <w:b w:val="0"/>
                <w:sz w:val="24"/>
                <w:szCs w:val="24"/>
              </w:rPr>
            </w:pPr>
          </w:p>
        </w:tc>
        <w:tc>
          <w:tcPr>
            <w:tcW w:w="6799" w:type="dxa"/>
          </w:tcPr>
          <w:p w:rsidR="0045291B" w:rsidRPr="00B5719A" w:rsidRDefault="0045291B" w:rsidP="00B10EDA">
            <w:pPr>
              <w:spacing w:before="120"/>
              <w:contextualSpacing/>
              <w:rPr>
                <w:rFonts w:ascii="Arial" w:hAnsi="Arial" w:cs="Arial"/>
              </w:rPr>
            </w:pPr>
          </w:p>
        </w:tc>
      </w:tr>
      <w:tr w:rsidR="0045291B" w:rsidRPr="00B5719A" w:rsidTr="0045291B">
        <w:trPr>
          <w:trHeight w:val="243"/>
        </w:trPr>
        <w:tc>
          <w:tcPr>
            <w:tcW w:w="2557" w:type="dxa"/>
            <w:tcBorders>
              <w:bottom w:val="single" w:sz="4" w:space="0" w:color="auto"/>
            </w:tcBorders>
          </w:tcPr>
          <w:p w:rsidR="0045291B" w:rsidRPr="00B5719A" w:rsidRDefault="0045291B" w:rsidP="00B10EDA">
            <w:pPr>
              <w:pStyle w:val="Heading1"/>
              <w:spacing w:before="120"/>
              <w:ind w:right="183"/>
              <w:contextualSpacing/>
              <w:rPr>
                <w:rFonts w:ascii="Arial" w:hAnsi="Arial" w:cs="Arial"/>
                <w:bCs w:val="0"/>
                <w:sz w:val="24"/>
                <w:szCs w:val="24"/>
              </w:rPr>
            </w:pPr>
          </w:p>
        </w:tc>
        <w:tc>
          <w:tcPr>
            <w:tcW w:w="6799" w:type="dxa"/>
            <w:tcBorders>
              <w:bottom w:val="single" w:sz="4" w:space="0" w:color="auto"/>
            </w:tcBorders>
          </w:tcPr>
          <w:p w:rsidR="0045291B" w:rsidRPr="00B5719A" w:rsidRDefault="0045291B" w:rsidP="00B10EDA">
            <w:pPr>
              <w:pStyle w:val="Heading1"/>
              <w:spacing w:before="120"/>
              <w:ind w:right="183"/>
              <w:contextualSpacing/>
              <w:rPr>
                <w:rFonts w:ascii="Arial" w:hAnsi="Arial" w:cs="Arial"/>
                <w:b w:val="0"/>
                <w:sz w:val="24"/>
                <w:szCs w:val="24"/>
              </w:rPr>
            </w:pPr>
          </w:p>
        </w:tc>
        <w:tc>
          <w:tcPr>
            <w:tcW w:w="6799" w:type="dxa"/>
            <w:tcBorders>
              <w:bottom w:val="single" w:sz="4" w:space="0" w:color="auto"/>
            </w:tcBorders>
          </w:tcPr>
          <w:p w:rsidR="0045291B" w:rsidRPr="00B5719A" w:rsidRDefault="0045291B" w:rsidP="00B10EDA">
            <w:pPr>
              <w:pStyle w:val="Heading1"/>
              <w:spacing w:before="120"/>
              <w:ind w:right="183"/>
              <w:contextualSpacing/>
              <w:rPr>
                <w:rFonts w:ascii="Arial" w:hAnsi="Arial" w:cs="Arial"/>
                <w:b w:val="0"/>
                <w:sz w:val="24"/>
                <w:szCs w:val="24"/>
              </w:rPr>
            </w:pPr>
          </w:p>
        </w:tc>
      </w:tr>
    </w:tbl>
    <w:p w:rsidR="001175E5" w:rsidRPr="006421AD" w:rsidRDefault="001175E5" w:rsidP="00506517">
      <w:pPr>
        <w:pStyle w:val="Heading2"/>
        <w:ind w:left="-426" w:right="183"/>
        <w:rPr>
          <w:i w:val="0"/>
          <w:sz w:val="24"/>
          <w:szCs w:val="24"/>
        </w:rPr>
      </w:pPr>
      <w:r w:rsidRPr="006421AD">
        <w:rPr>
          <w:i w:val="0"/>
          <w:sz w:val="24"/>
          <w:szCs w:val="24"/>
        </w:rPr>
        <w:t>1</w:t>
      </w:r>
      <w:r w:rsidRPr="006421AD">
        <w:rPr>
          <w:i w:val="0"/>
          <w:sz w:val="24"/>
          <w:szCs w:val="24"/>
        </w:rPr>
        <w:tab/>
        <w:t>Background</w:t>
      </w:r>
    </w:p>
    <w:p w:rsidR="006D232B" w:rsidRPr="006421AD" w:rsidRDefault="006D232B" w:rsidP="00B10EDA">
      <w:pPr>
        <w:ind w:left="-6" w:right="183"/>
        <w:rPr>
          <w:rFonts w:ascii="Arial" w:hAnsi="Arial" w:cs="Arial"/>
        </w:rPr>
      </w:pPr>
      <w:r w:rsidRPr="006421AD">
        <w:rPr>
          <w:rFonts w:ascii="Arial" w:hAnsi="Arial" w:cs="Arial"/>
        </w:rPr>
        <w:t>The following key points were agreed at the meeting and have been split into the three high level quality ambitions of person centred, safe, and effective.</w:t>
      </w:r>
    </w:p>
    <w:p w:rsidR="0026349B" w:rsidRPr="006421AD" w:rsidRDefault="0026349B" w:rsidP="006421AD">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26349B" w:rsidRPr="0026349B" w:rsidTr="00DA18FB">
        <w:tc>
          <w:tcPr>
            <w:tcW w:w="9322" w:type="dxa"/>
            <w:shd w:val="clear" w:color="auto" w:fill="92CDDC"/>
          </w:tcPr>
          <w:p w:rsidR="0026349B" w:rsidRPr="00611634" w:rsidRDefault="0026349B" w:rsidP="000D0D69">
            <w:pPr>
              <w:tabs>
                <w:tab w:val="center" w:pos="4153"/>
                <w:tab w:val="right" w:pos="8306"/>
              </w:tabs>
              <w:spacing w:before="120" w:after="120"/>
              <w:contextualSpacing/>
              <w:rPr>
                <w:rFonts w:ascii="Arial" w:hAnsi="Arial" w:cs="Arial"/>
                <w:b/>
                <w:color w:val="000000"/>
              </w:rPr>
            </w:pPr>
            <w:r w:rsidRPr="00611634">
              <w:rPr>
                <w:rFonts w:ascii="Arial" w:hAnsi="Arial" w:cs="Arial"/>
                <w:b/>
                <w:color w:val="000000"/>
              </w:rPr>
              <w:t>Person Centred</w:t>
            </w:r>
          </w:p>
        </w:tc>
      </w:tr>
      <w:tr w:rsidR="0026349B" w:rsidRPr="00611634" w:rsidTr="0026349B">
        <w:tc>
          <w:tcPr>
            <w:tcW w:w="9322" w:type="dxa"/>
            <w:tcBorders>
              <w:bottom w:val="single" w:sz="4" w:space="0" w:color="auto"/>
            </w:tcBorders>
            <w:shd w:val="clear" w:color="auto" w:fill="DAEEF3"/>
          </w:tcPr>
          <w:p w:rsidR="0026349B" w:rsidRPr="00611634" w:rsidRDefault="0026349B" w:rsidP="000D0D69">
            <w:pPr>
              <w:pStyle w:val="ListParagraph"/>
              <w:spacing w:before="120" w:after="120"/>
              <w:ind w:left="0"/>
              <w:contextualSpacing/>
              <w:rPr>
                <w:b/>
                <w:color w:val="000000"/>
                <w:sz w:val="22"/>
                <w:szCs w:val="22"/>
              </w:rPr>
            </w:pPr>
            <w:r w:rsidRPr="00611634">
              <w:rPr>
                <w:b/>
                <w:color w:val="000000"/>
                <w:sz w:val="22"/>
                <w:szCs w:val="22"/>
              </w:rPr>
              <w:t>Mutually beneficial partnerships between patients, their families and those delivering healthcare services which respect individual needs and values and which demonstrate compassion, continuity, clear communication and shared decision-making.</w:t>
            </w:r>
          </w:p>
        </w:tc>
      </w:tr>
      <w:tr w:rsidR="00752CB2" w:rsidRPr="0036151B" w:rsidTr="0056181B">
        <w:trPr>
          <w:trHeight w:val="983"/>
        </w:trPr>
        <w:tc>
          <w:tcPr>
            <w:tcW w:w="9322" w:type="dxa"/>
            <w:shd w:val="clear" w:color="auto" w:fill="auto"/>
          </w:tcPr>
          <w:p w:rsidR="000A426F" w:rsidRDefault="008F5655" w:rsidP="00517BD3">
            <w:pPr>
              <w:numPr>
                <w:ilvl w:val="0"/>
                <w:numId w:val="17"/>
              </w:numPr>
              <w:spacing w:before="120" w:after="120"/>
            </w:pPr>
            <w:r>
              <w:rPr>
                <w:rFonts w:ascii="Arial" w:hAnsi="Arial" w:cs="Arial"/>
              </w:rPr>
              <w:t xml:space="preserve">A presentation on </w:t>
            </w:r>
            <w:r w:rsidR="00B10EDA">
              <w:rPr>
                <w:rFonts w:ascii="Arial" w:hAnsi="Arial" w:cs="Arial"/>
              </w:rPr>
              <w:t xml:space="preserve">the </w:t>
            </w:r>
            <w:r w:rsidRPr="008F5655">
              <w:rPr>
                <w:rFonts w:ascii="Arial" w:hAnsi="Arial" w:cs="Arial"/>
              </w:rPr>
              <w:t xml:space="preserve">NHS Overview </w:t>
            </w:r>
            <w:r w:rsidR="00B10EDA">
              <w:rPr>
                <w:rFonts w:ascii="Arial" w:hAnsi="Arial" w:cs="Arial"/>
              </w:rPr>
              <w:t xml:space="preserve">report </w:t>
            </w:r>
            <w:r>
              <w:rPr>
                <w:rFonts w:ascii="Arial" w:hAnsi="Arial" w:cs="Arial"/>
              </w:rPr>
              <w:t xml:space="preserve">was provided by </w:t>
            </w:r>
            <w:r w:rsidRPr="008F5655">
              <w:rPr>
                <w:rFonts w:ascii="Arial" w:hAnsi="Arial" w:cs="Arial"/>
              </w:rPr>
              <w:t>Audit Scotland</w:t>
            </w:r>
            <w:r w:rsidR="000A426F">
              <w:rPr>
                <w:rFonts w:ascii="Arial" w:hAnsi="Arial" w:cs="Arial"/>
              </w:rPr>
              <w:t xml:space="preserve">, </w:t>
            </w:r>
            <w:r w:rsidR="000A426F" w:rsidRPr="000A426F">
              <w:rPr>
                <w:rFonts w:ascii="Arial" w:hAnsi="Arial" w:cs="Arial"/>
              </w:rPr>
              <w:t xml:space="preserve">the report highlights pressures and challenges across the system and gives a reflection of performance and good work going on </w:t>
            </w:r>
            <w:r w:rsidR="000A426F">
              <w:rPr>
                <w:rFonts w:ascii="Arial" w:hAnsi="Arial" w:cs="Arial"/>
              </w:rPr>
              <w:t xml:space="preserve">in health </w:t>
            </w:r>
            <w:r w:rsidR="000A426F" w:rsidRPr="000A426F">
              <w:rPr>
                <w:rFonts w:ascii="Arial" w:hAnsi="Arial" w:cs="Arial"/>
              </w:rPr>
              <w:t>care</w:t>
            </w:r>
            <w:r w:rsidR="000A426F">
              <w:rPr>
                <w:rFonts w:ascii="Arial" w:hAnsi="Arial" w:cs="Arial"/>
              </w:rPr>
              <w:t>.</w:t>
            </w:r>
          </w:p>
          <w:p w:rsidR="00B10EDA" w:rsidRPr="00B10EDA" w:rsidRDefault="008F5655" w:rsidP="000A426F">
            <w:pPr>
              <w:numPr>
                <w:ilvl w:val="0"/>
                <w:numId w:val="17"/>
              </w:numPr>
              <w:spacing w:before="120" w:after="120"/>
              <w:rPr>
                <w:rFonts w:ascii="Arial" w:hAnsi="Arial" w:cs="Arial"/>
                <w:color w:val="000000"/>
              </w:rPr>
            </w:pPr>
            <w:r w:rsidRPr="008F5655">
              <w:rPr>
                <w:rFonts w:ascii="Arial" w:hAnsi="Arial" w:cs="Arial"/>
                <w:color w:val="000000" w:themeColor="text1"/>
              </w:rPr>
              <w:t>Two Audit Scotland reports were presented to the committee for</w:t>
            </w:r>
            <w:r w:rsidR="00B10EDA">
              <w:rPr>
                <w:rFonts w:ascii="Arial" w:hAnsi="Arial" w:cs="Arial"/>
                <w:color w:val="000000" w:themeColor="text1"/>
              </w:rPr>
              <w:t xml:space="preserve"> information:</w:t>
            </w:r>
          </w:p>
          <w:p w:rsidR="00B10EDA" w:rsidRPr="00B86715" w:rsidRDefault="008F5655" w:rsidP="000A426F">
            <w:pPr>
              <w:pStyle w:val="ListParagraph"/>
              <w:numPr>
                <w:ilvl w:val="0"/>
                <w:numId w:val="17"/>
              </w:numPr>
              <w:spacing w:before="120" w:after="120"/>
              <w:rPr>
                <w:color w:val="000000"/>
              </w:rPr>
            </w:pPr>
            <w:r w:rsidRPr="00B10EDA">
              <w:rPr>
                <w:color w:val="000000" w:themeColor="text1"/>
              </w:rPr>
              <w:t xml:space="preserve">EU Withdrawal Report </w:t>
            </w:r>
            <w:r w:rsidR="00B10EDA">
              <w:rPr>
                <w:color w:val="000000" w:themeColor="text1"/>
              </w:rPr>
              <w:t>was noted by members</w:t>
            </w:r>
            <w:r w:rsidR="000A426F">
              <w:rPr>
                <w:color w:val="000000" w:themeColor="text1"/>
              </w:rPr>
              <w:t xml:space="preserve"> and </w:t>
            </w:r>
            <w:r w:rsidR="00B86715">
              <w:rPr>
                <w:color w:val="000000" w:themeColor="text1"/>
              </w:rPr>
              <w:t xml:space="preserve">it was agreed that </w:t>
            </w:r>
            <w:r w:rsidR="000A426F">
              <w:rPr>
                <w:color w:val="000000" w:themeColor="text1"/>
              </w:rPr>
              <w:t xml:space="preserve">although the risk </w:t>
            </w:r>
            <w:r w:rsidR="00B86715">
              <w:rPr>
                <w:color w:val="000000" w:themeColor="text1"/>
              </w:rPr>
              <w:t>h</w:t>
            </w:r>
            <w:r w:rsidR="000A426F">
              <w:rPr>
                <w:color w:val="000000" w:themeColor="text1"/>
              </w:rPr>
              <w:t>as reduced there is still uncertain</w:t>
            </w:r>
            <w:r w:rsidR="00B86715">
              <w:rPr>
                <w:color w:val="000000" w:themeColor="text1"/>
              </w:rPr>
              <w:t>ty therefore the committee will consider key questions for public bodies and feedback to the next meeting</w:t>
            </w:r>
            <w:r w:rsidR="00B10EDA">
              <w:rPr>
                <w:color w:val="000000" w:themeColor="text1"/>
              </w:rPr>
              <w:t>.</w:t>
            </w:r>
            <w:r w:rsidRPr="00B10EDA">
              <w:rPr>
                <w:color w:val="000000" w:themeColor="text1"/>
              </w:rPr>
              <w:t xml:space="preserve"> </w:t>
            </w:r>
          </w:p>
          <w:p w:rsidR="00B86715" w:rsidRPr="006F0926" w:rsidRDefault="008F5655" w:rsidP="008223D5">
            <w:pPr>
              <w:pStyle w:val="ListParagraph"/>
              <w:numPr>
                <w:ilvl w:val="0"/>
                <w:numId w:val="17"/>
              </w:numPr>
              <w:spacing w:before="120" w:after="120"/>
              <w:rPr>
                <w:color w:val="000000" w:themeColor="text1"/>
              </w:rPr>
            </w:pPr>
            <w:r w:rsidRPr="006F0926">
              <w:rPr>
                <w:color w:val="000000" w:themeColor="text1"/>
              </w:rPr>
              <w:t xml:space="preserve">NHS Lothian Report </w:t>
            </w:r>
            <w:r w:rsidR="00B10EDA" w:rsidRPr="006F0926">
              <w:rPr>
                <w:color w:val="000000" w:themeColor="text1"/>
              </w:rPr>
              <w:t xml:space="preserve">regarding the delay to opening of Royal Hospital for Children was </w:t>
            </w:r>
            <w:r w:rsidR="006F0926">
              <w:rPr>
                <w:color w:val="000000" w:themeColor="text1"/>
              </w:rPr>
              <w:t xml:space="preserve">discussed by the </w:t>
            </w:r>
            <w:r w:rsidR="00B10EDA" w:rsidRPr="006F0926">
              <w:rPr>
                <w:color w:val="000000" w:themeColor="text1"/>
              </w:rPr>
              <w:t xml:space="preserve">committee </w:t>
            </w:r>
            <w:r w:rsidR="006F0926">
              <w:rPr>
                <w:color w:val="000000" w:themeColor="text1"/>
              </w:rPr>
              <w:t xml:space="preserve">discussed and they noted </w:t>
            </w:r>
            <w:r w:rsidR="006F0926" w:rsidRPr="006F0926">
              <w:rPr>
                <w:color w:val="000000" w:themeColor="text1"/>
              </w:rPr>
              <w:t>the importance of ensuring robust adherence to building standards during the Hospital Expansion Programme works</w:t>
            </w:r>
            <w:r w:rsidR="006F0926">
              <w:rPr>
                <w:color w:val="000000" w:themeColor="text1"/>
              </w:rPr>
              <w:t xml:space="preserve"> and </w:t>
            </w:r>
            <w:r w:rsidR="00B10EDA" w:rsidRPr="006F0926">
              <w:rPr>
                <w:color w:val="000000" w:themeColor="text1"/>
              </w:rPr>
              <w:t>agreed that lessons learned</w:t>
            </w:r>
            <w:r w:rsidR="006F0926">
              <w:rPr>
                <w:color w:val="000000" w:themeColor="text1"/>
              </w:rPr>
              <w:t xml:space="preserve"> will be taken from this report.</w:t>
            </w:r>
          </w:p>
          <w:p w:rsidR="00196F0E" w:rsidRPr="00196F0E" w:rsidRDefault="006E6535" w:rsidP="000A426F">
            <w:pPr>
              <w:numPr>
                <w:ilvl w:val="0"/>
                <w:numId w:val="17"/>
              </w:numPr>
              <w:spacing w:before="120" w:after="120"/>
              <w:rPr>
                <w:rFonts w:ascii="Arial" w:hAnsi="Arial" w:cs="Arial"/>
                <w:color w:val="000000"/>
              </w:rPr>
            </w:pPr>
            <w:r>
              <w:rPr>
                <w:rFonts w:ascii="Arial" w:hAnsi="Arial" w:cs="Arial"/>
                <w:color w:val="000000" w:themeColor="text1"/>
              </w:rPr>
              <w:t xml:space="preserve">An update on </w:t>
            </w:r>
            <w:r w:rsidR="00196F0E">
              <w:rPr>
                <w:rFonts w:ascii="Arial" w:hAnsi="Arial" w:cs="Arial"/>
                <w:color w:val="000000" w:themeColor="text1"/>
              </w:rPr>
              <w:t xml:space="preserve">Prevention of </w:t>
            </w:r>
            <w:r w:rsidR="00196F0E" w:rsidRPr="00BE7DF1">
              <w:rPr>
                <w:rFonts w:ascii="Arial" w:hAnsi="Arial" w:cs="Arial"/>
                <w:color w:val="000000" w:themeColor="text1"/>
              </w:rPr>
              <w:t xml:space="preserve">Fraud </w:t>
            </w:r>
            <w:r>
              <w:rPr>
                <w:rFonts w:ascii="Arial" w:hAnsi="Arial" w:cs="Arial"/>
                <w:color w:val="000000" w:themeColor="text1"/>
              </w:rPr>
              <w:t xml:space="preserve">was noted by the committee </w:t>
            </w:r>
            <w:r w:rsidR="00A5117B">
              <w:rPr>
                <w:rFonts w:ascii="Arial" w:hAnsi="Arial" w:cs="Arial"/>
                <w:color w:val="000000" w:themeColor="text1"/>
              </w:rPr>
              <w:t>on</w:t>
            </w:r>
            <w:r>
              <w:rPr>
                <w:rFonts w:ascii="Arial" w:hAnsi="Arial" w:cs="Arial"/>
                <w:color w:val="000000" w:themeColor="text1"/>
              </w:rPr>
              <w:t xml:space="preserve"> work</w:t>
            </w:r>
            <w:r w:rsidR="00F57489">
              <w:rPr>
                <w:rFonts w:ascii="Arial" w:hAnsi="Arial" w:cs="Arial"/>
                <w:color w:val="000000" w:themeColor="text1"/>
              </w:rPr>
              <w:t xml:space="preserve"> </w:t>
            </w:r>
            <w:r>
              <w:rPr>
                <w:rFonts w:ascii="Arial" w:hAnsi="Arial" w:cs="Arial"/>
                <w:color w:val="000000" w:themeColor="text1"/>
              </w:rPr>
              <w:t>undertaken throughout the year</w:t>
            </w:r>
            <w:r w:rsidR="00F57489">
              <w:rPr>
                <w:rFonts w:ascii="Arial" w:hAnsi="Arial" w:cs="Arial"/>
                <w:color w:val="000000" w:themeColor="text1"/>
              </w:rPr>
              <w:t xml:space="preserve"> and forthcoming activities</w:t>
            </w:r>
            <w:r w:rsidR="000149B5">
              <w:rPr>
                <w:rFonts w:ascii="Arial" w:hAnsi="Arial" w:cs="Arial"/>
                <w:color w:val="000000" w:themeColor="text1"/>
              </w:rPr>
              <w:t xml:space="preserve"> planned</w:t>
            </w:r>
            <w:r>
              <w:rPr>
                <w:rFonts w:ascii="Arial" w:hAnsi="Arial" w:cs="Arial"/>
                <w:color w:val="000000" w:themeColor="text1"/>
              </w:rPr>
              <w:t>.</w:t>
            </w:r>
          </w:p>
          <w:p w:rsidR="008F5655" w:rsidRPr="008F5655" w:rsidRDefault="008F5655" w:rsidP="000A426F">
            <w:pPr>
              <w:numPr>
                <w:ilvl w:val="0"/>
                <w:numId w:val="17"/>
              </w:numPr>
              <w:tabs>
                <w:tab w:val="left" w:pos="426"/>
              </w:tabs>
              <w:spacing w:before="120" w:after="120"/>
              <w:rPr>
                <w:rFonts w:ascii="Arial" w:hAnsi="Arial" w:cs="Arial"/>
                <w:color w:val="000000"/>
              </w:rPr>
            </w:pPr>
            <w:r w:rsidRPr="008F5655">
              <w:rPr>
                <w:rFonts w:ascii="Arial" w:hAnsi="Arial" w:cs="Arial"/>
                <w:color w:val="000000" w:themeColor="text1"/>
              </w:rPr>
              <w:t>Shared Services/Regional Working Update</w:t>
            </w:r>
            <w:r w:rsidR="00B10EDA">
              <w:rPr>
                <w:rFonts w:ascii="Arial" w:hAnsi="Arial" w:cs="Arial"/>
                <w:color w:val="000000" w:themeColor="text1"/>
              </w:rPr>
              <w:t xml:space="preserve"> – Director of Finance is a member of the National Board Collaborative Programme Board where regular discussions are held in regard to collaboration for Shared Services</w:t>
            </w:r>
            <w:r w:rsidR="006F0926">
              <w:rPr>
                <w:rFonts w:ascii="Arial" w:hAnsi="Arial" w:cs="Arial"/>
                <w:color w:val="000000" w:themeColor="text1"/>
              </w:rPr>
              <w:t xml:space="preserve"> and there are no </w:t>
            </w:r>
            <w:r w:rsidR="00751235">
              <w:rPr>
                <w:rFonts w:ascii="Arial" w:hAnsi="Arial" w:cs="Arial"/>
                <w:color w:val="000000" w:themeColor="text1"/>
              </w:rPr>
              <w:t xml:space="preserve">definitive </w:t>
            </w:r>
            <w:r w:rsidR="006F0926">
              <w:rPr>
                <w:rFonts w:ascii="Arial" w:hAnsi="Arial" w:cs="Arial"/>
                <w:color w:val="000000" w:themeColor="text1"/>
              </w:rPr>
              <w:t>strands of work to pursue at present</w:t>
            </w:r>
            <w:r w:rsidR="00751235">
              <w:rPr>
                <w:rFonts w:ascii="Arial" w:hAnsi="Arial" w:cs="Arial"/>
                <w:color w:val="000000" w:themeColor="text1"/>
              </w:rPr>
              <w:t xml:space="preserve"> and hence NHS GJ have not committed to any shared service model at this time.</w:t>
            </w:r>
          </w:p>
          <w:p w:rsidR="00196F0E" w:rsidRPr="00751235" w:rsidRDefault="00B10EDA" w:rsidP="006F0926">
            <w:pPr>
              <w:numPr>
                <w:ilvl w:val="0"/>
                <w:numId w:val="17"/>
              </w:numPr>
              <w:tabs>
                <w:tab w:val="left" w:pos="426"/>
              </w:tabs>
              <w:spacing w:before="120" w:after="120"/>
              <w:rPr>
                <w:rFonts w:ascii="Arial" w:hAnsi="Arial" w:cs="Arial"/>
                <w:color w:val="000000"/>
              </w:rPr>
            </w:pPr>
            <w:r>
              <w:rPr>
                <w:rFonts w:ascii="Arial" w:hAnsi="Arial" w:cs="Arial"/>
                <w:color w:val="000000" w:themeColor="text1"/>
              </w:rPr>
              <w:t xml:space="preserve">The committee </w:t>
            </w:r>
            <w:r w:rsidR="006F0926">
              <w:rPr>
                <w:rFonts w:ascii="Arial" w:hAnsi="Arial" w:cs="Arial"/>
                <w:color w:val="000000" w:themeColor="text1"/>
              </w:rPr>
              <w:t xml:space="preserve">were informed </w:t>
            </w:r>
            <w:r>
              <w:rPr>
                <w:rFonts w:ascii="Arial" w:hAnsi="Arial" w:cs="Arial"/>
                <w:color w:val="000000" w:themeColor="text1"/>
              </w:rPr>
              <w:t xml:space="preserve">that Phase 1 of the </w:t>
            </w:r>
            <w:r w:rsidR="008F5655" w:rsidRPr="008F5655">
              <w:rPr>
                <w:rFonts w:ascii="Arial" w:hAnsi="Arial" w:cs="Arial"/>
                <w:color w:val="000000" w:themeColor="text1"/>
              </w:rPr>
              <w:t>Expansion Programme</w:t>
            </w:r>
            <w:r>
              <w:rPr>
                <w:rFonts w:ascii="Arial" w:hAnsi="Arial" w:cs="Arial"/>
                <w:color w:val="000000" w:themeColor="text1"/>
              </w:rPr>
              <w:t xml:space="preserve"> is on target to meet completion date and Phase 2 is progressing </w:t>
            </w:r>
            <w:r w:rsidR="006F0926">
              <w:rPr>
                <w:rFonts w:ascii="Arial" w:hAnsi="Arial" w:cs="Arial"/>
                <w:color w:val="000000" w:themeColor="text1"/>
              </w:rPr>
              <w:t>as planned with work commencing to develop refurbishment designs.</w:t>
            </w:r>
          </w:p>
          <w:p w:rsidR="00751235" w:rsidRDefault="00751235" w:rsidP="00751235">
            <w:pPr>
              <w:tabs>
                <w:tab w:val="left" w:pos="426"/>
              </w:tabs>
              <w:spacing w:before="120" w:after="120"/>
              <w:rPr>
                <w:rFonts w:ascii="Arial" w:hAnsi="Arial" w:cs="Arial"/>
                <w:color w:val="000000" w:themeColor="text1"/>
              </w:rPr>
            </w:pPr>
          </w:p>
          <w:p w:rsidR="00751235" w:rsidRPr="000D0D69" w:rsidRDefault="00751235" w:rsidP="00751235">
            <w:pPr>
              <w:tabs>
                <w:tab w:val="left" w:pos="426"/>
              </w:tabs>
              <w:spacing w:before="120" w:after="120"/>
              <w:rPr>
                <w:rFonts w:ascii="Arial" w:hAnsi="Arial" w:cs="Arial"/>
                <w:color w:val="000000"/>
              </w:rPr>
            </w:pPr>
            <w:bookmarkStart w:id="0" w:name="_GoBack"/>
            <w:bookmarkEnd w:id="0"/>
          </w:p>
        </w:tc>
      </w:tr>
      <w:tr w:rsidR="0026349B" w:rsidRPr="0026349B" w:rsidTr="00DA18FB">
        <w:tc>
          <w:tcPr>
            <w:tcW w:w="9322" w:type="dxa"/>
            <w:shd w:val="clear" w:color="auto" w:fill="92CDDC"/>
          </w:tcPr>
          <w:p w:rsidR="0026349B" w:rsidRPr="00611634" w:rsidRDefault="0026349B" w:rsidP="000D0D69">
            <w:pPr>
              <w:tabs>
                <w:tab w:val="center" w:pos="4153"/>
                <w:tab w:val="right" w:pos="8306"/>
              </w:tabs>
              <w:spacing w:before="120" w:after="120"/>
              <w:contextualSpacing/>
              <w:rPr>
                <w:rFonts w:ascii="Arial" w:hAnsi="Arial" w:cs="Arial"/>
                <w:b/>
                <w:color w:val="000000"/>
              </w:rPr>
            </w:pPr>
            <w:r w:rsidRPr="00611634">
              <w:rPr>
                <w:rFonts w:ascii="Arial" w:hAnsi="Arial" w:cs="Arial"/>
                <w:b/>
                <w:color w:val="000000"/>
              </w:rPr>
              <w:lastRenderedPageBreak/>
              <w:t>Safe</w:t>
            </w:r>
          </w:p>
        </w:tc>
      </w:tr>
      <w:tr w:rsidR="0026349B" w:rsidRPr="0036151B" w:rsidTr="0026349B">
        <w:tc>
          <w:tcPr>
            <w:tcW w:w="9322" w:type="dxa"/>
            <w:tcBorders>
              <w:bottom w:val="single" w:sz="4" w:space="0" w:color="auto"/>
            </w:tcBorders>
            <w:shd w:val="clear" w:color="auto" w:fill="DAEEF3"/>
          </w:tcPr>
          <w:p w:rsidR="0026349B" w:rsidRPr="00611634" w:rsidRDefault="0026349B" w:rsidP="000D0D69">
            <w:pPr>
              <w:pStyle w:val="ListParagraph"/>
              <w:spacing w:before="120" w:after="120"/>
              <w:ind w:left="0"/>
              <w:contextualSpacing/>
              <w:rPr>
                <w:b/>
                <w:color w:val="000000"/>
                <w:sz w:val="22"/>
                <w:szCs w:val="22"/>
              </w:rPr>
            </w:pPr>
            <w:r w:rsidRPr="00611634">
              <w:rPr>
                <w:b/>
                <w:color w:val="000000"/>
                <w:sz w:val="22"/>
                <w:szCs w:val="22"/>
              </w:rPr>
              <w:t>There will be no avoidable injury or harm to people from healthcare they receive, and an appropriate, clean and safe environment will be provided for the delivery of healthcare services at all times.</w:t>
            </w:r>
          </w:p>
        </w:tc>
      </w:tr>
      <w:tr w:rsidR="00A31C57" w:rsidRPr="0036151B" w:rsidTr="00741AB2">
        <w:trPr>
          <w:trHeight w:val="557"/>
        </w:trPr>
        <w:tc>
          <w:tcPr>
            <w:tcW w:w="9322" w:type="dxa"/>
            <w:shd w:val="clear" w:color="auto" w:fill="auto"/>
          </w:tcPr>
          <w:p w:rsidR="00F57489" w:rsidRPr="008F5655" w:rsidRDefault="00692DED" w:rsidP="00B10EDA">
            <w:pPr>
              <w:pStyle w:val="ListParagraph"/>
              <w:numPr>
                <w:ilvl w:val="0"/>
                <w:numId w:val="36"/>
              </w:numPr>
              <w:spacing w:before="120" w:after="120"/>
              <w:ind w:left="426" w:hanging="426"/>
              <w:rPr>
                <w:lang w:val="en-US"/>
              </w:rPr>
            </w:pPr>
            <w:r w:rsidRPr="008F5655">
              <w:rPr>
                <w:color w:val="000000"/>
              </w:rPr>
              <w:t xml:space="preserve">A review of the </w:t>
            </w:r>
            <w:r w:rsidR="001A7A26" w:rsidRPr="008F5655">
              <w:rPr>
                <w:color w:val="000000"/>
              </w:rPr>
              <w:t xml:space="preserve">Board Risk Register </w:t>
            </w:r>
            <w:r w:rsidR="008F5655" w:rsidRPr="008F5655">
              <w:rPr>
                <w:color w:val="000000"/>
              </w:rPr>
              <w:t xml:space="preserve">and Risk Appetite was undertaken and </w:t>
            </w:r>
            <w:r w:rsidR="005C5849" w:rsidRPr="008F5655">
              <w:rPr>
                <w:color w:val="000000"/>
              </w:rPr>
              <w:t>members were satisfied with recommendations</w:t>
            </w:r>
            <w:r w:rsidR="008F5655" w:rsidRPr="008F5655">
              <w:rPr>
                <w:color w:val="000000"/>
              </w:rPr>
              <w:t>.</w:t>
            </w:r>
            <w:r w:rsidR="000149B5">
              <w:rPr>
                <w:color w:val="000000" w:themeColor="text1"/>
              </w:rPr>
              <w:t xml:space="preserve"> A key point noted was that all risks would be aligned to Board committees and this will be raised with relevant Chairs of governance committees.</w:t>
            </w:r>
          </w:p>
          <w:p w:rsidR="008F5655" w:rsidRDefault="002B502F" w:rsidP="00B10EDA">
            <w:pPr>
              <w:pStyle w:val="ListParagraph"/>
              <w:numPr>
                <w:ilvl w:val="0"/>
                <w:numId w:val="28"/>
              </w:numPr>
              <w:spacing w:before="120" w:after="120"/>
              <w:ind w:left="426" w:hanging="426"/>
              <w:rPr>
                <w:lang w:val="en-US"/>
              </w:rPr>
            </w:pPr>
            <w:r>
              <w:rPr>
                <w:lang w:val="en-US"/>
              </w:rPr>
              <w:t>The c</w:t>
            </w:r>
            <w:r w:rsidR="000113FF">
              <w:rPr>
                <w:lang w:val="en-US"/>
              </w:rPr>
              <w:t xml:space="preserve">ommittee were informed that a National Review of Standing Orders was </w:t>
            </w:r>
            <w:r w:rsidR="008F5655">
              <w:rPr>
                <w:lang w:val="en-US"/>
              </w:rPr>
              <w:t xml:space="preserve">undertaken and </w:t>
            </w:r>
            <w:r w:rsidR="008F5655">
              <w:rPr>
                <w:color w:val="000000" w:themeColor="text1"/>
              </w:rPr>
              <w:t xml:space="preserve">following internal discussions it was agreed that the Board will adopt the new national model </w:t>
            </w:r>
            <w:r w:rsidR="00B10EDA">
              <w:rPr>
                <w:color w:val="000000" w:themeColor="text1"/>
              </w:rPr>
              <w:t xml:space="preserve">with </w:t>
            </w:r>
            <w:r w:rsidR="008F5655">
              <w:rPr>
                <w:color w:val="000000" w:themeColor="text1"/>
              </w:rPr>
              <w:t>some important additions included from the current Standing Orders.</w:t>
            </w:r>
          </w:p>
          <w:p w:rsidR="00196F0E" w:rsidRPr="008F5655" w:rsidRDefault="008F5655" w:rsidP="00B10EDA">
            <w:pPr>
              <w:pStyle w:val="ListParagraph"/>
              <w:numPr>
                <w:ilvl w:val="0"/>
                <w:numId w:val="28"/>
              </w:numPr>
              <w:spacing w:before="120" w:after="120"/>
              <w:ind w:left="426" w:hanging="426"/>
              <w:rPr>
                <w:lang w:val="en-US"/>
              </w:rPr>
            </w:pPr>
            <w:r>
              <w:rPr>
                <w:color w:val="000000" w:themeColor="text1"/>
              </w:rPr>
              <w:t xml:space="preserve">The committee were informed that dialogue has taken place between </w:t>
            </w:r>
            <w:r w:rsidR="006F0926">
              <w:rPr>
                <w:color w:val="000000" w:themeColor="text1"/>
              </w:rPr>
              <w:t xml:space="preserve">NHS </w:t>
            </w:r>
            <w:r>
              <w:rPr>
                <w:color w:val="000000" w:themeColor="text1"/>
              </w:rPr>
              <w:t xml:space="preserve">GG&amp;C and </w:t>
            </w:r>
            <w:r w:rsidR="006F0926">
              <w:rPr>
                <w:color w:val="000000" w:themeColor="text1"/>
              </w:rPr>
              <w:t xml:space="preserve">NHS </w:t>
            </w:r>
            <w:r>
              <w:rPr>
                <w:color w:val="000000" w:themeColor="text1"/>
              </w:rPr>
              <w:t xml:space="preserve">GJF regarding formalising a Service Level Agreement </w:t>
            </w:r>
            <w:r w:rsidR="006F0926">
              <w:rPr>
                <w:color w:val="000000" w:themeColor="text1"/>
              </w:rPr>
              <w:t xml:space="preserve">for investment of endowments </w:t>
            </w:r>
            <w:r>
              <w:rPr>
                <w:color w:val="000000" w:themeColor="text1"/>
              </w:rPr>
              <w:t xml:space="preserve">which is anticipated will be completed in the new financial year.  It is proposed to remain with current arrangements with </w:t>
            </w:r>
            <w:r w:rsidR="006F0926">
              <w:rPr>
                <w:color w:val="000000" w:themeColor="text1"/>
              </w:rPr>
              <w:t xml:space="preserve">NHS </w:t>
            </w:r>
            <w:r>
              <w:rPr>
                <w:color w:val="000000" w:themeColor="text1"/>
              </w:rPr>
              <w:t>GG&amp;C for remainder of this financial year.</w:t>
            </w:r>
          </w:p>
          <w:p w:rsidR="008F5655" w:rsidRPr="00466660" w:rsidRDefault="008F5655" w:rsidP="00B10EDA">
            <w:pPr>
              <w:pStyle w:val="ListParagraph"/>
              <w:numPr>
                <w:ilvl w:val="0"/>
                <w:numId w:val="28"/>
              </w:numPr>
              <w:spacing w:before="120" w:after="120"/>
              <w:ind w:left="426" w:hanging="426"/>
              <w:rPr>
                <w:lang w:val="en-US"/>
              </w:rPr>
            </w:pPr>
            <w:r w:rsidRPr="00EF588B">
              <w:rPr>
                <w:color w:val="000000" w:themeColor="text1"/>
              </w:rPr>
              <w:t xml:space="preserve">Members </w:t>
            </w:r>
            <w:r w:rsidR="00F445E4">
              <w:rPr>
                <w:color w:val="000000" w:themeColor="text1"/>
              </w:rPr>
              <w:t>approved</w:t>
            </w:r>
            <w:r w:rsidRPr="00EF588B">
              <w:rPr>
                <w:color w:val="000000" w:themeColor="text1"/>
              </w:rPr>
              <w:t xml:space="preserve"> accounting policies </w:t>
            </w:r>
            <w:r w:rsidR="00F445E4">
              <w:rPr>
                <w:color w:val="000000" w:themeColor="text1"/>
              </w:rPr>
              <w:t xml:space="preserve">which will be used </w:t>
            </w:r>
            <w:r w:rsidRPr="00EF588B">
              <w:rPr>
                <w:color w:val="000000" w:themeColor="text1"/>
              </w:rPr>
              <w:t xml:space="preserve">for preparation of the </w:t>
            </w:r>
            <w:r>
              <w:rPr>
                <w:color w:val="000000" w:themeColor="text1"/>
              </w:rPr>
              <w:t xml:space="preserve">Board’s </w:t>
            </w:r>
            <w:r w:rsidRPr="00EF588B">
              <w:rPr>
                <w:color w:val="000000" w:themeColor="text1"/>
              </w:rPr>
              <w:t>annual accounts</w:t>
            </w:r>
            <w:r>
              <w:rPr>
                <w:color w:val="000000" w:themeColor="text1"/>
              </w:rPr>
              <w:t xml:space="preserve"> for 2019/20.</w:t>
            </w:r>
          </w:p>
        </w:tc>
      </w:tr>
      <w:tr w:rsidR="0026349B" w:rsidRPr="0026349B" w:rsidTr="00DA18FB">
        <w:tc>
          <w:tcPr>
            <w:tcW w:w="9322" w:type="dxa"/>
            <w:shd w:val="clear" w:color="auto" w:fill="92CDDC"/>
          </w:tcPr>
          <w:p w:rsidR="0026349B" w:rsidRPr="00611634" w:rsidRDefault="0026349B" w:rsidP="002D5AE1">
            <w:pPr>
              <w:tabs>
                <w:tab w:val="center" w:pos="4153"/>
                <w:tab w:val="right" w:pos="8306"/>
              </w:tabs>
              <w:spacing w:before="120" w:after="120"/>
              <w:contextualSpacing/>
              <w:rPr>
                <w:rFonts w:ascii="Arial" w:hAnsi="Arial" w:cs="Arial"/>
                <w:b/>
                <w:color w:val="000000"/>
              </w:rPr>
            </w:pPr>
            <w:r w:rsidRPr="00611634">
              <w:rPr>
                <w:rFonts w:ascii="Arial" w:hAnsi="Arial" w:cs="Arial"/>
                <w:b/>
                <w:color w:val="000000"/>
              </w:rPr>
              <w:t>Effective</w:t>
            </w:r>
          </w:p>
        </w:tc>
      </w:tr>
      <w:tr w:rsidR="0026349B" w:rsidRPr="0036151B" w:rsidTr="0026349B">
        <w:tc>
          <w:tcPr>
            <w:tcW w:w="9322" w:type="dxa"/>
            <w:tcBorders>
              <w:bottom w:val="single" w:sz="4" w:space="0" w:color="auto"/>
            </w:tcBorders>
            <w:shd w:val="clear" w:color="auto" w:fill="DAEEF3"/>
          </w:tcPr>
          <w:p w:rsidR="0026349B" w:rsidRPr="00611634" w:rsidRDefault="0026349B" w:rsidP="002D5AE1">
            <w:pPr>
              <w:pStyle w:val="ListParagraph"/>
              <w:spacing w:before="120" w:after="120"/>
              <w:ind w:left="0"/>
              <w:contextualSpacing/>
              <w:rPr>
                <w:b/>
                <w:color w:val="000000"/>
                <w:sz w:val="22"/>
                <w:szCs w:val="22"/>
              </w:rPr>
            </w:pPr>
            <w:r w:rsidRPr="00611634">
              <w:rPr>
                <w:b/>
                <w:color w:val="000000"/>
                <w:sz w:val="22"/>
                <w:szCs w:val="22"/>
              </w:rPr>
              <w:t>The most appropriate treatments, interventions, support and services will be provided at the right time to everyone who will benefit, and wasteful or harmful variation will be eradicated.</w:t>
            </w:r>
          </w:p>
        </w:tc>
      </w:tr>
      <w:tr w:rsidR="00A31C57" w:rsidRPr="0036151B" w:rsidTr="000D0D69">
        <w:trPr>
          <w:trHeight w:val="841"/>
        </w:trPr>
        <w:tc>
          <w:tcPr>
            <w:tcW w:w="9322" w:type="dxa"/>
            <w:shd w:val="clear" w:color="auto" w:fill="auto"/>
          </w:tcPr>
          <w:p w:rsidR="001A7A26" w:rsidRPr="00DA3C78" w:rsidRDefault="00196F0E" w:rsidP="00F445E4">
            <w:pPr>
              <w:numPr>
                <w:ilvl w:val="0"/>
                <w:numId w:val="25"/>
              </w:numPr>
              <w:spacing w:before="120" w:after="120"/>
              <w:ind w:left="426" w:hanging="426"/>
              <w:contextualSpacing/>
              <w:rPr>
                <w:color w:val="000000"/>
                <w:sz w:val="23"/>
              </w:rPr>
            </w:pPr>
            <w:r>
              <w:rPr>
                <w:rFonts w:ascii="Arial" w:hAnsi="Arial" w:cs="Arial"/>
                <w:color w:val="000000" w:themeColor="text1"/>
              </w:rPr>
              <w:t xml:space="preserve">Internal Audit </w:t>
            </w:r>
            <w:r w:rsidR="00466660">
              <w:rPr>
                <w:rFonts w:ascii="Arial" w:hAnsi="Arial" w:cs="Arial"/>
                <w:color w:val="000000" w:themeColor="text1"/>
              </w:rPr>
              <w:t>Progress</w:t>
            </w:r>
            <w:r>
              <w:rPr>
                <w:rFonts w:ascii="Arial" w:hAnsi="Arial" w:cs="Arial"/>
                <w:color w:val="000000" w:themeColor="text1"/>
              </w:rPr>
              <w:t xml:space="preserve"> Report</w:t>
            </w:r>
            <w:r w:rsidR="00344680">
              <w:rPr>
                <w:rFonts w:ascii="Arial" w:hAnsi="Arial" w:cs="Arial"/>
                <w:color w:val="000000"/>
              </w:rPr>
              <w:t xml:space="preserve"> was </w:t>
            </w:r>
            <w:r w:rsidR="00F93FB6">
              <w:rPr>
                <w:rFonts w:ascii="Arial" w:hAnsi="Arial" w:cs="Arial"/>
                <w:color w:val="000000"/>
              </w:rPr>
              <w:t xml:space="preserve">presented </w:t>
            </w:r>
            <w:r w:rsidR="00F445E4">
              <w:rPr>
                <w:rFonts w:ascii="Arial" w:hAnsi="Arial" w:cs="Arial"/>
                <w:color w:val="000000"/>
              </w:rPr>
              <w:t>with no recommended changes</w:t>
            </w:r>
            <w:r w:rsidR="000149B5">
              <w:rPr>
                <w:rFonts w:ascii="Arial" w:hAnsi="Arial" w:cs="Arial"/>
                <w:color w:val="000000"/>
              </w:rPr>
              <w:t xml:space="preserve"> to the internal audit plan for 2019/20</w:t>
            </w:r>
            <w:r w:rsidR="00F445E4">
              <w:rPr>
                <w:rFonts w:ascii="Arial" w:hAnsi="Arial" w:cs="Arial"/>
                <w:color w:val="000000"/>
              </w:rPr>
              <w:t>. Four reports will be submitted to the April committee meeting.</w:t>
            </w:r>
            <w:r w:rsidR="00F445E4">
              <w:rPr>
                <w:rFonts w:ascii="Arial" w:hAnsi="Arial" w:cs="Arial"/>
                <w:color w:val="000000"/>
              </w:rPr>
              <w:br/>
            </w:r>
          </w:p>
          <w:p w:rsidR="00F445E4" w:rsidRPr="00F445E4" w:rsidRDefault="00F445E4" w:rsidP="00455FA3">
            <w:pPr>
              <w:numPr>
                <w:ilvl w:val="0"/>
                <w:numId w:val="25"/>
              </w:numPr>
              <w:spacing w:before="120" w:after="120"/>
              <w:ind w:left="426" w:hanging="426"/>
              <w:contextualSpacing/>
              <w:rPr>
                <w:rFonts w:ascii="Arial" w:hAnsi="Arial" w:cs="Arial"/>
                <w:color w:val="000000"/>
              </w:rPr>
            </w:pPr>
            <w:r w:rsidRPr="00F445E4">
              <w:rPr>
                <w:rFonts w:ascii="Arial" w:hAnsi="Arial" w:cs="Arial"/>
                <w:color w:val="000000"/>
              </w:rPr>
              <w:t xml:space="preserve">Internal Audit Risk Management Report was presented </w:t>
            </w:r>
            <w:r>
              <w:rPr>
                <w:rFonts w:ascii="Arial" w:hAnsi="Arial" w:cs="Arial"/>
                <w:color w:val="000000"/>
              </w:rPr>
              <w:t>and o</w:t>
            </w:r>
            <w:r w:rsidRPr="00F445E4">
              <w:rPr>
                <w:rFonts w:ascii="Arial" w:hAnsi="Arial" w:cs="Arial"/>
                <w:color w:val="000000" w:themeColor="text1"/>
              </w:rPr>
              <w:t>verall conclusion from the review was ‘Partial assurance with some improvement required</w:t>
            </w:r>
            <w:r w:rsidR="00BD6DC2">
              <w:rPr>
                <w:rFonts w:ascii="Arial" w:hAnsi="Arial" w:cs="Arial"/>
                <w:color w:val="000000" w:themeColor="text1"/>
              </w:rPr>
              <w:t>’ with three low level and three medium recommendations made.</w:t>
            </w:r>
            <w:r w:rsidR="00BD6DC2">
              <w:rPr>
                <w:rFonts w:ascii="Arial" w:hAnsi="Arial" w:cs="Arial"/>
                <w:color w:val="000000" w:themeColor="text1"/>
              </w:rPr>
              <w:br/>
            </w:r>
          </w:p>
          <w:p w:rsidR="00BD6DC2" w:rsidRPr="00BD6DC2" w:rsidRDefault="006253CC" w:rsidP="00455FA3">
            <w:pPr>
              <w:numPr>
                <w:ilvl w:val="0"/>
                <w:numId w:val="25"/>
              </w:numPr>
              <w:spacing w:before="120" w:after="120"/>
              <w:ind w:left="426" w:hanging="426"/>
              <w:contextualSpacing/>
              <w:rPr>
                <w:rFonts w:ascii="Arial" w:hAnsi="Arial" w:cs="Arial"/>
                <w:color w:val="000000"/>
                <w:sz w:val="23"/>
              </w:rPr>
            </w:pPr>
            <w:r>
              <w:rPr>
                <w:rFonts w:ascii="Arial" w:hAnsi="Arial" w:cs="Arial"/>
                <w:color w:val="000000" w:themeColor="text1"/>
              </w:rPr>
              <w:t>Internal Audit Financial</w:t>
            </w:r>
            <w:r w:rsidR="00BD6DC2" w:rsidRPr="00BD6DC2">
              <w:rPr>
                <w:rFonts w:ascii="Arial" w:hAnsi="Arial" w:cs="Arial"/>
                <w:color w:val="000000" w:themeColor="text1"/>
              </w:rPr>
              <w:t xml:space="preserve"> Controls Report </w:t>
            </w:r>
            <w:r w:rsidR="00BD6DC2">
              <w:rPr>
                <w:rFonts w:ascii="Arial" w:hAnsi="Arial" w:cs="Arial"/>
                <w:color w:val="000000" w:themeColor="text1"/>
              </w:rPr>
              <w:t>was presented and overall conclusion from the review was</w:t>
            </w:r>
            <w:r w:rsidR="00BD6DC2">
              <w:rPr>
                <w:color w:val="000000" w:themeColor="text1"/>
              </w:rPr>
              <w:t xml:space="preserve"> </w:t>
            </w:r>
            <w:r w:rsidR="00BD6DC2" w:rsidRPr="00BD6DC2">
              <w:rPr>
                <w:rFonts w:ascii="Arial" w:hAnsi="Arial" w:cs="Arial"/>
                <w:color w:val="000000" w:themeColor="text1"/>
              </w:rPr>
              <w:t>‘Significant assurance with some improvement required’ and three low level recommendations were made.</w:t>
            </w:r>
            <w:r w:rsidR="00BD6DC2">
              <w:rPr>
                <w:rFonts w:ascii="Arial" w:hAnsi="Arial" w:cs="Arial"/>
                <w:color w:val="000000" w:themeColor="text1"/>
              </w:rPr>
              <w:br/>
            </w:r>
          </w:p>
          <w:p w:rsidR="00BD6DC2" w:rsidRPr="00BD6DC2" w:rsidRDefault="00BD6DC2" w:rsidP="00BD1E70">
            <w:pPr>
              <w:numPr>
                <w:ilvl w:val="0"/>
                <w:numId w:val="25"/>
              </w:numPr>
              <w:spacing w:before="120" w:after="120"/>
              <w:ind w:left="426" w:hanging="426"/>
              <w:contextualSpacing/>
              <w:rPr>
                <w:rFonts w:ascii="Arial" w:hAnsi="Arial" w:cs="Arial"/>
                <w:color w:val="000000"/>
                <w:sz w:val="23"/>
              </w:rPr>
            </w:pPr>
            <w:r w:rsidRPr="00BD6DC2">
              <w:rPr>
                <w:rFonts w:ascii="Arial" w:hAnsi="Arial" w:cs="Arial"/>
                <w:color w:val="000000" w:themeColor="text1"/>
              </w:rPr>
              <w:t xml:space="preserve">The committee were informed of implementation of International Financial Reporting Standard (IFRS) 16 which is being adopted for accounting period commencing 1 April 2020. As part of the internal audit plan it was agreed that audit would undertake a review of internal work done in readiness of adoption of new financial standards for lease arrangements.  </w:t>
            </w:r>
            <w:r>
              <w:rPr>
                <w:rFonts w:ascii="Arial" w:hAnsi="Arial" w:cs="Arial"/>
                <w:color w:val="000000" w:themeColor="text1"/>
              </w:rPr>
              <w:br/>
            </w:r>
          </w:p>
          <w:p w:rsidR="001A7A26" w:rsidRPr="008B6046" w:rsidRDefault="008B6046" w:rsidP="00455FA3">
            <w:pPr>
              <w:numPr>
                <w:ilvl w:val="0"/>
                <w:numId w:val="25"/>
              </w:numPr>
              <w:spacing w:before="120" w:after="120"/>
              <w:ind w:left="426" w:hanging="426"/>
              <w:contextualSpacing/>
              <w:rPr>
                <w:rFonts w:ascii="Arial" w:hAnsi="Arial" w:cs="Arial"/>
                <w:color w:val="000000"/>
                <w:sz w:val="23"/>
              </w:rPr>
            </w:pPr>
            <w:r>
              <w:rPr>
                <w:rFonts w:ascii="Arial" w:hAnsi="Arial" w:cs="Arial"/>
                <w:color w:val="000000" w:themeColor="text1"/>
              </w:rPr>
              <w:t>Internal Audit Recommendations Follow up Report</w:t>
            </w:r>
            <w:r w:rsidR="00984A71">
              <w:rPr>
                <w:rFonts w:ascii="Arial" w:hAnsi="Arial" w:cs="Arial"/>
                <w:color w:val="000000" w:themeColor="text1"/>
              </w:rPr>
              <w:t xml:space="preserve"> was noted by members </w:t>
            </w:r>
            <w:r w:rsidR="00DA3C78">
              <w:rPr>
                <w:rFonts w:ascii="Arial" w:hAnsi="Arial" w:cs="Arial"/>
                <w:color w:val="000000" w:themeColor="text1"/>
              </w:rPr>
              <w:t>with good progress reported</w:t>
            </w:r>
            <w:r w:rsidR="00F445E4">
              <w:rPr>
                <w:rFonts w:ascii="Arial" w:hAnsi="Arial" w:cs="Arial"/>
                <w:color w:val="000000" w:themeColor="text1"/>
              </w:rPr>
              <w:t xml:space="preserve"> to date</w:t>
            </w:r>
            <w:r w:rsidR="006F0926">
              <w:rPr>
                <w:rFonts w:ascii="Arial" w:hAnsi="Arial" w:cs="Arial"/>
                <w:color w:val="000000" w:themeColor="text1"/>
              </w:rPr>
              <w:t xml:space="preserve"> in closing down actions</w:t>
            </w:r>
            <w:r w:rsidR="00F445E4">
              <w:rPr>
                <w:rFonts w:ascii="Arial" w:hAnsi="Arial" w:cs="Arial"/>
                <w:color w:val="000000" w:themeColor="text1"/>
              </w:rPr>
              <w:t>.</w:t>
            </w:r>
            <w:r w:rsidR="00BD6DC2">
              <w:rPr>
                <w:rFonts w:ascii="Arial" w:hAnsi="Arial" w:cs="Arial"/>
                <w:color w:val="000000" w:themeColor="text1"/>
              </w:rPr>
              <w:br/>
            </w:r>
          </w:p>
          <w:p w:rsidR="00DA3C78" w:rsidRPr="00BD6DC2" w:rsidRDefault="00BD6DC2" w:rsidP="00DA3C78">
            <w:pPr>
              <w:numPr>
                <w:ilvl w:val="0"/>
                <w:numId w:val="25"/>
              </w:numPr>
              <w:spacing w:before="120" w:after="120"/>
              <w:ind w:left="426" w:hanging="426"/>
              <w:contextualSpacing/>
              <w:rPr>
                <w:rFonts w:ascii="Arial" w:hAnsi="Arial" w:cs="Arial"/>
                <w:color w:val="000000"/>
                <w:sz w:val="23"/>
              </w:rPr>
            </w:pPr>
            <w:r>
              <w:rPr>
                <w:rFonts w:ascii="Arial" w:hAnsi="Arial" w:cs="Arial"/>
                <w:color w:val="000000" w:themeColor="text1"/>
              </w:rPr>
              <w:t xml:space="preserve">Planning is taking place on the </w:t>
            </w:r>
            <w:r w:rsidRPr="00BD6DC2">
              <w:rPr>
                <w:rFonts w:ascii="Arial" w:hAnsi="Arial" w:cs="Arial"/>
                <w:color w:val="000000" w:themeColor="text1"/>
              </w:rPr>
              <w:t xml:space="preserve">Internal Audit Annual Plan </w:t>
            </w:r>
            <w:r>
              <w:rPr>
                <w:rFonts w:ascii="Arial" w:hAnsi="Arial" w:cs="Arial"/>
                <w:color w:val="000000" w:themeColor="text1"/>
              </w:rPr>
              <w:t xml:space="preserve">for </w:t>
            </w:r>
            <w:r w:rsidRPr="00BD6DC2">
              <w:rPr>
                <w:rFonts w:ascii="Arial" w:hAnsi="Arial" w:cs="Arial"/>
                <w:color w:val="000000" w:themeColor="text1"/>
              </w:rPr>
              <w:t xml:space="preserve">2020/21 </w:t>
            </w:r>
            <w:r>
              <w:rPr>
                <w:rFonts w:ascii="Arial" w:hAnsi="Arial" w:cs="Arial"/>
                <w:color w:val="000000" w:themeColor="text1"/>
              </w:rPr>
              <w:t xml:space="preserve">and this will be </w:t>
            </w:r>
            <w:r w:rsidRPr="00BD6DC2">
              <w:rPr>
                <w:rFonts w:ascii="Arial" w:hAnsi="Arial" w:cs="Arial"/>
                <w:color w:val="000000" w:themeColor="text1"/>
              </w:rPr>
              <w:t>presented for consideration</w:t>
            </w:r>
            <w:r>
              <w:rPr>
                <w:rFonts w:ascii="Arial" w:hAnsi="Arial" w:cs="Arial"/>
                <w:color w:val="000000" w:themeColor="text1"/>
              </w:rPr>
              <w:t xml:space="preserve"> to the April committee meeting</w:t>
            </w:r>
            <w:r w:rsidR="00DA3C78" w:rsidRPr="00BD6DC2">
              <w:rPr>
                <w:rFonts w:ascii="Arial" w:hAnsi="Arial" w:cs="Arial"/>
                <w:color w:val="000000" w:themeColor="text1"/>
              </w:rPr>
              <w:t>.</w:t>
            </w:r>
            <w:r w:rsidR="00DA3C78" w:rsidRPr="00BD6DC2">
              <w:rPr>
                <w:rFonts w:ascii="Arial" w:hAnsi="Arial" w:cs="Arial"/>
                <w:color w:val="000000" w:themeColor="text1"/>
              </w:rPr>
              <w:br/>
            </w:r>
          </w:p>
          <w:p w:rsidR="00CC5CDC" w:rsidRPr="00CC5CDC" w:rsidRDefault="00CC5CDC" w:rsidP="00CC5CDC">
            <w:pPr>
              <w:pStyle w:val="ListParagraph"/>
              <w:numPr>
                <w:ilvl w:val="0"/>
                <w:numId w:val="25"/>
              </w:numPr>
              <w:spacing w:before="120" w:after="120"/>
              <w:ind w:left="426" w:hanging="426"/>
              <w:contextualSpacing/>
              <w:rPr>
                <w:color w:val="000000"/>
                <w:sz w:val="23"/>
              </w:rPr>
            </w:pPr>
            <w:r w:rsidRPr="00CC5CDC">
              <w:rPr>
                <w:color w:val="000000" w:themeColor="text1"/>
              </w:rPr>
              <w:lastRenderedPageBreak/>
              <w:t>External Audit Annual Plan for 2019/20 was presented and members indicated they were satisfied that the scope of audit provides assurance.</w:t>
            </w:r>
            <w:r>
              <w:rPr>
                <w:color w:val="000000" w:themeColor="text1"/>
              </w:rPr>
              <w:br/>
            </w:r>
          </w:p>
          <w:p w:rsidR="006F0926" w:rsidRPr="007F6BBB" w:rsidRDefault="00CC5CDC" w:rsidP="00503F9F">
            <w:pPr>
              <w:pStyle w:val="ListParagraph"/>
              <w:numPr>
                <w:ilvl w:val="0"/>
                <w:numId w:val="25"/>
              </w:numPr>
              <w:spacing w:before="120" w:after="120"/>
              <w:ind w:left="426" w:hanging="426"/>
              <w:contextualSpacing/>
              <w:rPr>
                <w:color w:val="000000"/>
                <w:sz w:val="23"/>
              </w:rPr>
            </w:pPr>
            <w:r w:rsidRPr="007F6BBB">
              <w:rPr>
                <w:color w:val="000000" w:themeColor="text1"/>
              </w:rPr>
              <w:t xml:space="preserve">Governance Statement Guidelines were presented and members were reminded that the committee’s role is to gain assurance from other governance committees on work undertaken throughout the year through their annual report which in turn informs the Governance Statement which is included in the annual accounts. </w:t>
            </w:r>
            <w:r w:rsidRPr="007F6BBB">
              <w:rPr>
                <w:color w:val="000000" w:themeColor="text1"/>
              </w:rPr>
              <w:br/>
              <w:t xml:space="preserve">Concern was noted regarding </w:t>
            </w:r>
            <w:r w:rsidR="006F0926" w:rsidRPr="007F6BBB">
              <w:rPr>
                <w:color w:val="000000" w:themeColor="text1"/>
              </w:rPr>
              <w:t>time constraints for other</w:t>
            </w:r>
            <w:r w:rsidRPr="007F6BBB">
              <w:rPr>
                <w:color w:val="000000" w:themeColor="text1"/>
              </w:rPr>
              <w:t xml:space="preserve"> governance committees to </w:t>
            </w:r>
            <w:r w:rsidR="006F0926" w:rsidRPr="007F6BBB">
              <w:rPr>
                <w:color w:val="000000" w:themeColor="text1"/>
              </w:rPr>
              <w:t>have their annual reports approved before submission the Audit and Risk Committee meeting on 14 April therefore</w:t>
            </w:r>
            <w:r w:rsidR="007F6BBB" w:rsidRPr="007F6BBB">
              <w:rPr>
                <w:color w:val="000000" w:themeColor="text1"/>
              </w:rPr>
              <w:t xml:space="preserve"> draft reports will be submitted and timescales</w:t>
            </w:r>
            <w:r w:rsidR="006253CC" w:rsidRPr="007F6BBB">
              <w:rPr>
                <w:color w:val="000000" w:themeColor="text1"/>
              </w:rPr>
              <w:t xml:space="preserve"> </w:t>
            </w:r>
            <w:r w:rsidRPr="007F6BBB">
              <w:rPr>
                <w:color w:val="000000" w:themeColor="text1"/>
              </w:rPr>
              <w:t>will be considered for future years.</w:t>
            </w:r>
          </w:p>
          <w:p w:rsidR="006F0926" w:rsidRPr="006F0926" w:rsidRDefault="006F0926" w:rsidP="006F0926">
            <w:pPr>
              <w:spacing w:before="120" w:after="120"/>
              <w:contextualSpacing/>
              <w:rPr>
                <w:color w:val="000000"/>
                <w:sz w:val="23"/>
              </w:rPr>
            </w:pPr>
          </w:p>
          <w:p w:rsidR="008B6046" w:rsidRPr="00CC5CDC" w:rsidRDefault="00CC5CDC" w:rsidP="007261DF">
            <w:pPr>
              <w:numPr>
                <w:ilvl w:val="0"/>
                <w:numId w:val="25"/>
              </w:numPr>
              <w:spacing w:before="120" w:after="120"/>
              <w:ind w:left="426" w:hanging="426"/>
              <w:contextualSpacing/>
              <w:rPr>
                <w:rFonts w:ascii="Arial" w:hAnsi="Arial" w:cs="Arial"/>
                <w:color w:val="000000"/>
                <w:sz w:val="23"/>
              </w:rPr>
            </w:pPr>
            <w:r>
              <w:rPr>
                <w:rFonts w:ascii="Arial" w:hAnsi="Arial" w:cs="Arial"/>
                <w:color w:val="000000" w:themeColor="text1"/>
              </w:rPr>
              <w:t xml:space="preserve">Blueprint for Good Governance </w:t>
            </w:r>
            <w:r w:rsidRPr="00CC5CDC">
              <w:rPr>
                <w:rFonts w:ascii="Arial" w:hAnsi="Arial" w:cs="Arial"/>
                <w:color w:val="000000" w:themeColor="text1"/>
              </w:rPr>
              <w:t xml:space="preserve">includes </w:t>
            </w:r>
            <w:r>
              <w:rPr>
                <w:rFonts w:ascii="Arial" w:hAnsi="Arial" w:cs="Arial"/>
                <w:color w:val="000000" w:themeColor="text1"/>
              </w:rPr>
              <w:t xml:space="preserve">a </w:t>
            </w:r>
            <w:r w:rsidRPr="00CC5CDC">
              <w:rPr>
                <w:rFonts w:ascii="Arial" w:hAnsi="Arial" w:cs="Arial"/>
                <w:color w:val="000000" w:themeColor="text1"/>
              </w:rPr>
              <w:t>self-assessment survey which was completed</w:t>
            </w:r>
            <w:r w:rsidR="006253CC">
              <w:rPr>
                <w:rFonts w:ascii="Arial" w:hAnsi="Arial" w:cs="Arial"/>
                <w:color w:val="000000" w:themeColor="text1"/>
              </w:rPr>
              <w:t xml:space="preserve"> </w:t>
            </w:r>
            <w:r w:rsidR="007F6BBB">
              <w:rPr>
                <w:rFonts w:ascii="Arial" w:hAnsi="Arial" w:cs="Arial"/>
                <w:color w:val="000000" w:themeColor="text1"/>
              </w:rPr>
              <w:t>for the</w:t>
            </w:r>
            <w:r w:rsidR="006253CC">
              <w:rPr>
                <w:rFonts w:ascii="Arial" w:hAnsi="Arial" w:cs="Arial"/>
                <w:color w:val="000000" w:themeColor="text1"/>
              </w:rPr>
              <w:t xml:space="preserve"> Board,</w:t>
            </w:r>
            <w:r w:rsidRPr="00CC5CDC">
              <w:rPr>
                <w:rFonts w:ascii="Arial" w:hAnsi="Arial" w:cs="Arial"/>
                <w:color w:val="000000" w:themeColor="text1"/>
              </w:rPr>
              <w:t xml:space="preserve"> an update on work undertaken to date </w:t>
            </w:r>
            <w:r w:rsidR="007F6BBB">
              <w:rPr>
                <w:rFonts w:ascii="Arial" w:hAnsi="Arial" w:cs="Arial"/>
                <w:color w:val="000000" w:themeColor="text1"/>
              </w:rPr>
              <w:t xml:space="preserve">is included in the action plan </w:t>
            </w:r>
            <w:r w:rsidRPr="00CC5CDC">
              <w:rPr>
                <w:rFonts w:ascii="Arial" w:hAnsi="Arial" w:cs="Arial"/>
                <w:color w:val="000000" w:themeColor="text1"/>
              </w:rPr>
              <w:t xml:space="preserve">presented </w:t>
            </w:r>
            <w:r>
              <w:rPr>
                <w:rFonts w:ascii="Arial" w:hAnsi="Arial" w:cs="Arial"/>
                <w:color w:val="000000" w:themeColor="text1"/>
              </w:rPr>
              <w:t xml:space="preserve">to the committee </w:t>
            </w:r>
            <w:r w:rsidRPr="00CC5CDC">
              <w:rPr>
                <w:rFonts w:ascii="Arial" w:hAnsi="Arial" w:cs="Arial"/>
                <w:color w:val="000000" w:themeColor="text1"/>
              </w:rPr>
              <w:t>which demonstrates that good progress has been made</w:t>
            </w:r>
            <w:r>
              <w:rPr>
                <w:rFonts w:ascii="Arial" w:hAnsi="Arial" w:cs="Arial"/>
                <w:color w:val="000000" w:themeColor="text1"/>
              </w:rPr>
              <w:t>.</w:t>
            </w:r>
            <w:r>
              <w:rPr>
                <w:rFonts w:ascii="Arial" w:hAnsi="Arial" w:cs="Arial"/>
                <w:color w:val="000000" w:themeColor="text1"/>
              </w:rPr>
              <w:br/>
            </w:r>
          </w:p>
          <w:p w:rsidR="00CC5CDC" w:rsidRPr="00CC5CDC" w:rsidRDefault="00F27DD4" w:rsidP="00F27DD4">
            <w:pPr>
              <w:numPr>
                <w:ilvl w:val="0"/>
                <w:numId w:val="25"/>
              </w:numPr>
              <w:spacing w:before="120" w:after="120"/>
              <w:ind w:left="426" w:hanging="426"/>
              <w:contextualSpacing/>
              <w:rPr>
                <w:rFonts w:ascii="Arial" w:hAnsi="Arial" w:cs="Arial"/>
                <w:color w:val="000000"/>
                <w:sz w:val="23"/>
              </w:rPr>
            </w:pPr>
            <w:r w:rsidRPr="00F27DD4">
              <w:rPr>
                <w:rFonts w:ascii="Arial" w:hAnsi="Arial" w:cs="Arial"/>
                <w:lang w:val="en-US"/>
              </w:rPr>
              <w:t xml:space="preserve">Members </w:t>
            </w:r>
            <w:r>
              <w:rPr>
                <w:rFonts w:ascii="Arial" w:hAnsi="Arial" w:cs="Arial"/>
                <w:lang w:val="en-US"/>
              </w:rPr>
              <w:t xml:space="preserve">supported </w:t>
            </w:r>
            <w:r w:rsidRPr="00F27DD4">
              <w:rPr>
                <w:rFonts w:ascii="Arial" w:hAnsi="Arial" w:cs="Arial"/>
                <w:lang w:val="en-US"/>
              </w:rPr>
              <w:t>extension to current internal audit contract for a further</w:t>
            </w:r>
            <w:r>
              <w:rPr>
                <w:lang w:val="en-US"/>
              </w:rPr>
              <w:t xml:space="preserve"> 2 </w:t>
            </w:r>
            <w:r w:rsidRPr="00F27DD4">
              <w:rPr>
                <w:rFonts w:ascii="Arial" w:hAnsi="Arial" w:cs="Arial"/>
                <w:lang w:val="en-US"/>
              </w:rPr>
              <w:t>years.</w:t>
            </w:r>
            <w:r w:rsidRPr="00DB1037">
              <w:rPr>
                <w:lang w:val="en-US"/>
              </w:rPr>
              <w:t xml:space="preserve"> </w:t>
            </w:r>
            <w:r w:rsidRPr="00F27DD4">
              <w:rPr>
                <w:rFonts w:ascii="Arial" w:hAnsi="Arial" w:cs="Arial"/>
                <w:lang w:val="en-US"/>
              </w:rPr>
              <w:t>A full tendering process will be undertaken for internal audit services when the next tenure expires in 2021/22</w:t>
            </w:r>
            <w:r w:rsidRPr="00F27DD4">
              <w:rPr>
                <w:rFonts w:ascii="Arial" w:hAnsi="Arial" w:cs="Arial"/>
                <w:lang w:val="en-US"/>
              </w:rPr>
              <w:br/>
            </w:r>
          </w:p>
        </w:tc>
      </w:tr>
    </w:tbl>
    <w:p w:rsidR="001A7A26" w:rsidRDefault="001A7A26" w:rsidP="0026349B">
      <w:pPr>
        <w:rPr>
          <w:rFonts w:ascii="Arial" w:hAnsi="Arial" w:cs="Arial"/>
          <w:bCs/>
        </w:rPr>
      </w:pPr>
    </w:p>
    <w:p w:rsidR="0026349B" w:rsidRDefault="0026349B" w:rsidP="0026349B">
      <w:pPr>
        <w:rPr>
          <w:rFonts w:ascii="Arial" w:hAnsi="Arial" w:cs="Arial"/>
          <w:bCs/>
        </w:rPr>
      </w:pPr>
      <w:r w:rsidRPr="006421AD">
        <w:rPr>
          <w:rFonts w:ascii="Arial" w:hAnsi="Arial" w:cs="Arial"/>
          <w:bCs/>
        </w:rPr>
        <w:t>The next meeting is scheduled for</w:t>
      </w:r>
      <w:r w:rsidR="000D0D69">
        <w:rPr>
          <w:rFonts w:ascii="Arial" w:hAnsi="Arial" w:cs="Arial"/>
          <w:bCs/>
        </w:rPr>
        <w:t>:</w:t>
      </w:r>
      <w:r>
        <w:rPr>
          <w:rFonts w:ascii="Arial" w:hAnsi="Arial" w:cs="Arial"/>
          <w:bCs/>
        </w:rPr>
        <w:t xml:space="preserve"> </w:t>
      </w:r>
      <w:r w:rsidRPr="0063024D">
        <w:rPr>
          <w:rFonts w:ascii="Arial" w:hAnsi="Arial" w:cs="Arial"/>
          <w:bCs/>
        </w:rPr>
        <w:t xml:space="preserve">Tuesday </w:t>
      </w:r>
      <w:r w:rsidR="00DA3C78">
        <w:rPr>
          <w:rFonts w:ascii="Arial" w:hAnsi="Arial" w:cs="Arial"/>
          <w:bCs/>
        </w:rPr>
        <w:t>1</w:t>
      </w:r>
      <w:r w:rsidR="00CC5CDC">
        <w:rPr>
          <w:rFonts w:ascii="Arial" w:hAnsi="Arial" w:cs="Arial"/>
          <w:bCs/>
        </w:rPr>
        <w:t>4 April 2020</w:t>
      </w:r>
      <w:r w:rsidRPr="0063024D">
        <w:rPr>
          <w:rFonts w:ascii="Arial" w:hAnsi="Arial" w:cs="Arial"/>
          <w:bCs/>
        </w:rPr>
        <w:t>.</w:t>
      </w:r>
    </w:p>
    <w:p w:rsidR="002D5AE1" w:rsidRDefault="002D5AE1" w:rsidP="0026349B">
      <w:pPr>
        <w:rPr>
          <w:rFonts w:ascii="Arial" w:hAnsi="Arial" w:cs="Arial"/>
          <w:bCs/>
        </w:rPr>
      </w:pPr>
    </w:p>
    <w:p w:rsidR="000D0D69" w:rsidRDefault="000D0D69" w:rsidP="0026349B">
      <w:pPr>
        <w:rPr>
          <w:rFonts w:ascii="Arial" w:hAnsi="Arial" w:cs="Arial"/>
          <w:b/>
          <w:bCs/>
        </w:rPr>
      </w:pPr>
      <w:r>
        <w:rPr>
          <w:rFonts w:ascii="Arial" w:hAnsi="Arial" w:cs="Arial"/>
          <w:b/>
          <w:bCs/>
        </w:rPr>
        <w:t>Karen Kelly</w:t>
      </w:r>
    </w:p>
    <w:p w:rsidR="0026349B" w:rsidRPr="006421AD" w:rsidRDefault="0026349B" w:rsidP="0026349B">
      <w:pPr>
        <w:rPr>
          <w:rFonts w:ascii="Arial" w:hAnsi="Arial" w:cs="Arial"/>
          <w:b/>
          <w:bCs/>
        </w:rPr>
      </w:pPr>
      <w:r w:rsidRPr="006421AD">
        <w:rPr>
          <w:rFonts w:ascii="Arial" w:hAnsi="Arial" w:cs="Arial"/>
          <w:b/>
          <w:bCs/>
        </w:rPr>
        <w:t xml:space="preserve">Chair, </w:t>
      </w:r>
      <w:r w:rsidR="0063024D">
        <w:rPr>
          <w:rFonts w:ascii="Arial" w:hAnsi="Arial" w:cs="Arial"/>
          <w:b/>
          <w:bCs/>
        </w:rPr>
        <w:t xml:space="preserve">Audit and Risk </w:t>
      </w:r>
      <w:r w:rsidRPr="006421AD">
        <w:rPr>
          <w:rFonts w:ascii="Arial" w:hAnsi="Arial" w:cs="Arial"/>
          <w:b/>
          <w:bCs/>
        </w:rPr>
        <w:t>Committee</w:t>
      </w:r>
    </w:p>
    <w:p w:rsidR="000D0D69" w:rsidRDefault="00CC5CDC" w:rsidP="000D0D69">
      <w:pPr>
        <w:rPr>
          <w:rFonts w:ascii="Arial" w:hAnsi="Arial" w:cs="Arial"/>
          <w:b/>
          <w:bCs/>
        </w:rPr>
      </w:pPr>
      <w:r>
        <w:rPr>
          <w:rFonts w:ascii="Arial" w:hAnsi="Arial" w:cs="Arial"/>
          <w:b/>
        </w:rPr>
        <w:t>18 February 2020</w:t>
      </w:r>
      <w:r w:rsidR="000D0D69" w:rsidRPr="000D0D69">
        <w:rPr>
          <w:rFonts w:ascii="Arial" w:hAnsi="Arial" w:cs="Arial"/>
          <w:b/>
          <w:bCs/>
        </w:rPr>
        <w:t xml:space="preserve"> </w:t>
      </w:r>
    </w:p>
    <w:p w:rsidR="000D0D69" w:rsidRDefault="000D0D69" w:rsidP="000D0D69">
      <w:pPr>
        <w:rPr>
          <w:rFonts w:ascii="Arial" w:hAnsi="Arial" w:cs="Arial"/>
          <w:b/>
          <w:bCs/>
        </w:rPr>
      </w:pPr>
      <w:r>
        <w:rPr>
          <w:rFonts w:ascii="Arial" w:hAnsi="Arial" w:cs="Arial"/>
          <w:b/>
          <w:bCs/>
        </w:rPr>
        <w:t>(</w:t>
      </w:r>
      <w:r w:rsidR="00DA3C78">
        <w:rPr>
          <w:rFonts w:ascii="Arial" w:hAnsi="Arial" w:cs="Arial"/>
          <w:b/>
          <w:bCs/>
        </w:rPr>
        <w:t>Colin Neil,</w:t>
      </w:r>
      <w:r>
        <w:rPr>
          <w:rFonts w:ascii="Arial" w:hAnsi="Arial" w:cs="Arial"/>
          <w:b/>
          <w:bCs/>
        </w:rPr>
        <w:t xml:space="preserve"> Director of Finance)</w:t>
      </w:r>
    </w:p>
    <w:sectPr w:rsidR="000D0D69" w:rsidSect="00B10EDA">
      <w:headerReference w:type="default" r:id="rId9"/>
      <w:footerReference w:type="default" r:id="rId10"/>
      <w:headerReference w:type="first" r:id="rId11"/>
      <w:footerReference w:type="first" r:id="rId12"/>
      <w:pgSz w:w="11906" w:h="16838"/>
      <w:pgMar w:top="709" w:right="991" w:bottom="144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4E2" w:rsidRDefault="00BD44E2">
      <w:r>
        <w:separator/>
      </w:r>
    </w:p>
  </w:endnote>
  <w:endnote w:type="continuationSeparator" w:id="0">
    <w:p w:rsidR="00BD44E2" w:rsidRDefault="00BD4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DB0" w:rsidRDefault="006421AD" w:rsidP="006421AD">
    <w:pPr>
      <w:ind w:left="-540"/>
      <w:jc w:val="center"/>
      <w:rPr>
        <w:rFonts w:ascii="Arial" w:hAnsi="Arial" w:cs="Arial"/>
        <w:sz w:val="20"/>
        <w:szCs w:val="20"/>
      </w:rPr>
    </w:pPr>
    <w:r>
      <w:rPr>
        <w:rStyle w:val="PageNumber"/>
        <w:rFonts w:ascii="Arial" w:hAnsi="Arial" w:cs="Arial"/>
      </w:rPr>
      <w:br/>
    </w:r>
    <w:r>
      <w:rPr>
        <w:rStyle w:val="PageNumber"/>
        <w:rFonts w:ascii="Arial" w:hAnsi="Arial" w:cs="Arial"/>
      </w:rPr>
      <w:br/>
    </w:r>
    <w:r w:rsidR="00F1531B" w:rsidRPr="00513DB0">
      <w:rPr>
        <w:rStyle w:val="PageNumber"/>
        <w:rFonts w:ascii="Arial" w:hAnsi="Arial" w:cs="Arial"/>
      </w:rPr>
      <w:fldChar w:fldCharType="begin"/>
    </w:r>
    <w:r w:rsidR="00513DB0" w:rsidRPr="00513DB0">
      <w:rPr>
        <w:rStyle w:val="PageNumber"/>
        <w:rFonts w:ascii="Arial" w:hAnsi="Arial" w:cs="Arial"/>
      </w:rPr>
      <w:instrText xml:space="preserve"> PAGE </w:instrText>
    </w:r>
    <w:r w:rsidR="00F1531B" w:rsidRPr="00513DB0">
      <w:rPr>
        <w:rStyle w:val="PageNumber"/>
        <w:rFonts w:ascii="Arial" w:hAnsi="Arial" w:cs="Arial"/>
      </w:rPr>
      <w:fldChar w:fldCharType="separate"/>
    </w:r>
    <w:r w:rsidR="00751235">
      <w:rPr>
        <w:rStyle w:val="PageNumber"/>
        <w:rFonts w:ascii="Arial" w:hAnsi="Arial" w:cs="Arial"/>
        <w:noProof/>
      </w:rPr>
      <w:t>2</w:t>
    </w:r>
    <w:r w:rsidR="00F1531B" w:rsidRPr="00513DB0">
      <w:rPr>
        <w:rStyle w:val="PageNumber"/>
        <w:rFonts w:ascii="Arial" w:hAnsi="Arial" w:cs="Arial"/>
      </w:rPr>
      <w:fldChar w:fldCharType="end"/>
    </w:r>
  </w:p>
  <w:p w:rsidR="00075AAA" w:rsidRPr="001A624A" w:rsidRDefault="00075AAA" w:rsidP="00463DB0">
    <w:pPr>
      <w:pStyle w:val="Title"/>
      <w:ind w:left="-540" w:right="184"/>
      <w:jc w:val="left"/>
      <w:outlineLvl w:val="0"/>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F05" w:rsidRDefault="000C3F42">
    <w:pPr>
      <w:pStyle w:val="Footer"/>
      <w:jc w:val="center"/>
    </w:pPr>
    <w:r>
      <w:fldChar w:fldCharType="begin"/>
    </w:r>
    <w:r>
      <w:instrText xml:space="preserve"> PAGE   \* MERGEFORMAT </w:instrText>
    </w:r>
    <w:r>
      <w:fldChar w:fldCharType="separate"/>
    </w:r>
    <w:r w:rsidR="00751235">
      <w:rPr>
        <w:noProof/>
      </w:rPr>
      <w:t>1</w:t>
    </w:r>
    <w:r>
      <w:rPr>
        <w:noProof/>
      </w:rPr>
      <w:fldChar w:fldCharType="end"/>
    </w:r>
  </w:p>
  <w:p w:rsidR="006421AD" w:rsidRPr="000D0D69" w:rsidRDefault="006421AD" w:rsidP="000D0D69">
    <w:pPr>
      <w:pStyle w:val="Title"/>
      <w:ind w:left="-567" w:right="184"/>
      <w:jc w:val="left"/>
      <w:outlineLvl w:val="0"/>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4E2" w:rsidRDefault="00BD44E2">
      <w:r>
        <w:separator/>
      </w:r>
    </w:p>
  </w:footnote>
  <w:footnote w:type="continuationSeparator" w:id="0">
    <w:p w:rsidR="00BD44E2" w:rsidRDefault="00BD4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1AD" w:rsidRPr="006421AD" w:rsidRDefault="006421AD" w:rsidP="006421AD">
    <w:pPr>
      <w:pStyle w:val="Header"/>
      <w:jc w:val="right"/>
      <w:rPr>
        <w:rFonts w:ascii="Arial" w:hAnsi="Arial" w:cs="Arial"/>
        <w:b/>
        <w:color w:val="0070C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1AD" w:rsidRPr="00340EEE" w:rsidRDefault="006421AD" w:rsidP="006421AD">
    <w:pPr>
      <w:pStyle w:val="Header"/>
      <w:jc w:val="right"/>
      <w:rPr>
        <w:rFonts w:ascii="Arial" w:hAnsi="Arial" w:cs="Arial"/>
        <w:b/>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A7E3D"/>
    <w:multiLevelType w:val="hybridMultilevel"/>
    <w:tmpl w:val="64BAD2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BC00E6"/>
    <w:multiLevelType w:val="hybridMultilevel"/>
    <w:tmpl w:val="51929EBE"/>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 w15:restartNumberingAfterBreak="0">
    <w:nsid w:val="08097E0F"/>
    <w:multiLevelType w:val="hybridMultilevel"/>
    <w:tmpl w:val="018214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B3C2BC5"/>
    <w:multiLevelType w:val="hybridMultilevel"/>
    <w:tmpl w:val="D70CA86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6" w15:restartNumberingAfterBreak="0">
    <w:nsid w:val="0E6B500A"/>
    <w:multiLevelType w:val="hybridMultilevel"/>
    <w:tmpl w:val="937C9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090559"/>
    <w:multiLevelType w:val="hybridMultilevel"/>
    <w:tmpl w:val="8C588C34"/>
    <w:lvl w:ilvl="0" w:tplc="08090003">
      <w:start w:val="1"/>
      <w:numFmt w:val="bullet"/>
      <w:lvlText w:val="o"/>
      <w:lvlJc w:val="left"/>
      <w:pPr>
        <w:ind w:left="1866" w:hanging="360"/>
      </w:pPr>
      <w:rPr>
        <w:rFonts w:ascii="Courier New" w:hAnsi="Courier New" w:cs="Courier New"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8" w15:restartNumberingAfterBreak="0">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9697BED"/>
    <w:multiLevelType w:val="hybridMultilevel"/>
    <w:tmpl w:val="F90E461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2930FD7"/>
    <w:multiLevelType w:val="hybridMultilevel"/>
    <w:tmpl w:val="1750D1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29030AC3"/>
    <w:multiLevelType w:val="hybridMultilevel"/>
    <w:tmpl w:val="096E1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1587C1A"/>
    <w:multiLevelType w:val="hybridMultilevel"/>
    <w:tmpl w:val="A1F6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2B5DE5"/>
    <w:multiLevelType w:val="hybridMultilevel"/>
    <w:tmpl w:val="C082F7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8EB2F30"/>
    <w:multiLevelType w:val="hybridMultilevel"/>
    <w:tmpl w:val="0CA8DB90"/>
    <w:lvl w:ilvl="0" w:tplc="08090003">
      <w:start w:val="1"/>
      <w:numFmt w:val="bullet"/>
      <w:lvlText w:val="o"/>
      <w:lvlJc w:val="left"/>
      <w:pPr>
        <w:ind w:left="1215" w:hanging="360"/>
      </w:pPr>
      <w:rPr>
        <w:rFonts w:ascii="Courier New" w:hAnsi="Courier New" w:cs="Courier New"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15" w15:restartNumberingAfterBreak="0">
    <w:nsid w:val="4A22443C"/>
    <w:multiLevelType w:val="hybridMultilevel"/>
    <w:tmpl w:val="E090856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4E86224E"/>
    <w:multiLevelType w:val="hybridMultilevel"/>
    <w:tmpl w:val="66425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A4469D"/>
    <w:multiLevelType w:val="hybridMultilevel"/>
    <w:tmpl w:val="81C6F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453124"/>
    <w:multiLevelType w:val="hybridMultilevel"/>
    <w:tmpl w:val="C73E0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5AB58DD"/>
    <w:multiLevelType w:val="hybridMultilevel"/>
    <w:tmpl w:val="CC08EAE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0" w15:restartNumberingAfterBreak="0">
    <w:nsid w:val="56D45407"/>
    <w:multiLevelType w:val="hybridMultilevel"/>
    <w:tmpl w:val="95CC5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8737B52"/>
    <w:multiLevelType w:val="hybridMultilevel"/>
    <w:tmpl w:val="B2F63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9FB3502"/>
    <w:multiLevelType w:val="hybridMultilevel"/>
    <w:tmpl w:val="2C40FD7C"/>
    <w:lvl w:ilvl="0" w:tplc="08090003">
      <w:start w:val="1"/>
      <w:numFmt w:val="bullet"/>
      <w:lvlText w:val="o"/>
      <w:lvlJc w:val="left"/>
      <w:pPr>
        <w:ind w:left="1866" w:hanging="360"/>
      </w:pPr>
      <w:rPr>
        <w:rFonts w:ascii="Courier New" w:hAnsi="Courier New" w:cs="Courier New"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4" w15:restartNumberingAfterBreak="0">
    <w:nsid w:val="5D72281A"/>
    <w:multiLevelType w:val="hybridMultilevel"/>
    <w:tmpl w:val="3D80B9FA"/>
    <w:lvl w:ilvl="0" w:tplc="4AF64000">
      <w:start w:val="1"/>
      <w:numFmt w:val="bullet"/>
      <w:lvlText w:val=""/>
      <w:lvlJc w:val="left"/>
      <w:pPr>
        <w:tabs>
          <w:tab w:val="num" w:pos="720"/>
        </w:tabs>
        <w:ind w:left="720" w:hanging="360"/>
      </w:pPr>
      <w:rPr>
        <w:rFonts w:ascii="Wingdings" w:hAnsi="Wingdings" w:hint="default"/>
      </w:rPr>
    </w:lvl>
    <w:lvl w:ilvl="1" w:tplc="97064424" w:tentative="1">
      <w:start w:val="1"/>
      <w:numFmt w:val="bullet"/>
      <w:lvlText w:val=""/>
      <w:lvlJc w:val="left"/>
      <w:pPr>
        <w:tabs>
          <w:tab w:val="num" w:pos="1440"/>
        </w:tabs>
        <w:ind w:left="1440" w:hanging="360"/>
      </w:pPr>
      <w:rPr>
        <w:rFonts w:ascii="Wingdings" w:hAnsi="Wingdings" w:hint="default"/>
      </w:rPr>
    </w:lvl>
    <w:lvl w:ilvl="2" w:tplc="8BC0B6F0" w:tentative="1">
      <w:start w:val="1"/>
      <w:numFmt w:val="bullet"/>
      <w:lvlText w:val=""/>
      <w:lvlJc w:val="left"/>
      <w:pPr>
        <w:tabs>
          <w:tab w:val="num" w:pos="2160"/>
        </w:tabs>
        <w:ind w:left="2160" w:hanging="360"/>
      </w:pPr>
      <w:rPr>
        <w:rFonts w:ascii="Wingdings" w:hAnsi="Wingdings" w:hint="default"/>
      </w:rPr>
    </w:lvl>
    <w:lvl w:ilvl="3" w:tplc="C786D428" w:tentative="1">
      <w:start w:val="1"/>
      <w:numFmt w:val="bullet"/>
      <w:lvlText w:val=""/>
      <w:lvlJc w:val="left"/>
      <w:pPr>
        <w:tabs>
          <w:tab w:val="num" w:pos="2880"/>
        </w:tabs>
        <w:ind w:left="2880" w:hanging="360"/>
      </w:pPr>
      <w:rPr>
        <w:rFonts w:ascii="Wingdings" w:hAnsi="Wingdings" w:hint="default"/>
      </w:rPr>
    </w:lvl>
    <w:lvl w:ilvl="4" w:tplc="93521502" w:tentative="1">
      <w:start w:val="1"/>
      <w:numFmt w:val="bullet"/>
      <w:lvlText w:val=""/>
      <w:lvlJc w:val="left"/>
      <w:pPr>
        <w:tabs>
          <w:tab w:val="num" w:pos="3600"/>
        </w:tabs>
        <w:ind w:left="3600" w:hanging="360"/>
      </w:pPr>
      <w:rPr>
        <w:rFonts w:ascii="Wingdings" w:hAnsi="Wingdings" w:hint="default"/>
      </w:rPr>
    </w:lvl>
    <w:lvl w:ilvl="5" w:tplc="5B320B88" w:tentative="1">
      <w:start w:val="1"/>
      <w:numFmt w:val="bullet"/>
      <w:lvlText w:val=""/>
      <w:lvlJc w:val="left"/>
      <w:pPr>
        <w:tabs>
          <w:tab w:val="num" w:pos="4320"/>
        </w:tabs>
        <w:ind w:left="4320" w:hanging="360"/>
      </w:pPr>
      <w:rPr>
        <w:rFonts w:ascii="Wingdings" w:hAnsi="Wingdings" w:hint="default"/>
      </w:rPr>
    </w:lvl>
    <w:lvl w:ilvl="6" w:tplc="9ED25526" w:tentative="1">
      <w:start w:val="1"/>
      <w:numFmt w:val="bullet"/>
      <w:lvlText w:val=""/>
      <w:lvlJc w:val="left"/>
      <w:pPr>
        <w:tabs>
          <w:tab w:val="num" w:pos="5040"/>
        </w:tabs>
        <w:ind w:left="5040" w:hanging="360"/>
      </w:pPr>
      <w:rPr>
        <w:rFonts w:ascii="Wingdings" w:hAnsi="Wingdings" w:hint="default"/>
      </w:rPr>
    </w:lvl>
    <w:lvl w:ilvl="7" w:tplc="FE603FA0" w:tentative="1">
      <w:start w:val="1"/>
      <w:numFmt w:val="bullet"/>
      <w:lvlText w:val=""/>
      <w:lvlJc w:val="left"/>
      <w:pPr>
        <w:tabs>
          <w:tab w:val="num" w:pos="5760"/>
        </w:tabs>
        <w:ind w:left="5760" w:hanging="360"/>
      </w:pPr>
      <w:rPr>
        <w:rFonts w:ascii="Wingdings" w:hAnsi="Wingdings" w:hint="default"/>
      </w:rPr>
    </w:lvl>
    <w:lvl w:ilvl="8" w:tplc="37CC068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F24DA4"/>
    <w:multiLevelType w:val="hybridMultilevel"/>
    <w:tmpl w:val="9ABA6BF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37A06B3"/>
    <w:multiLevelType w:val="hybridMultilevel"/>
    <w:tmpl w:val="0EEA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B85FAA"/>
    <w:multiLevelType w:val="hybridMultilevel"/>
    <w:tmpl w:val="A4F4CD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84B4F1D"/>
    <w:multiLevelType w:val="hybridMultilevel"/>
    <w:tmpl w:val="95D23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EA752C4"/>
    <w:multiLevelType w:val="hybridMultilevel"/>
    <w:tmpl w:val="E9388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34116E"/>
    <w:multiLevelType w:val="hybridMultilevel"/>
    <w:tmpl w:val="B2BC7EF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2" w15:restartNumberingAfterBreak="0">
    <w:nsid w:val="7A381A60"/>
    <w:multiLevelType w:val="hybridMultilevel"/>
    <w:tmpl w:val="23DAE9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A90297B"/>
    <w:multiLevelType w:val="hybridMultilevel"/>
    <w:tmpl w:val="7F020458"/>
    <w:lvl w:ilvl="0" w:tplc="126654E0">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7B2C1A15"/>
    <w:multiLevelType w:val="hybridMultilevel"/>
    <w:tmpl w:val="A1CECF24"/>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5" w15:restartNumberingAfterBreak="0">
    <w:nsid w:val="7D335E49"/>
    <w:multiLevelType w:val="hybridMultilevel"/>
    <w:tmpl w:val="E2B84E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7F4142B0"/>
    <w:multiLevelType w:val="multilevel"/>
    <w:tmpl w:val="7F020458"/>
    <w:lvl w:ilvl="0">
      <w:start w:val="1"/>
      <w:numFmt w:val="low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28"/>
  </w:num>
  <w:num w:numId="2">
    <w:abstractNumId w:val="36"/>
  </w:num>
  <w:num w:numId="3">
    <w:abstractNumId w:val="21"/>
  </w:num>
  <w:num w:numId="4">
    <w:abstractNumId w:val="3"/>
  </w:num>
  <w:num w:numId="5">
    <w:abstractNumId w:val="8"/>
  </w:num>
  <w:num w:numId="6">
    <w:abstractNumId w:val="33"/>
  </w:num>
  <w:num w:numId="7">
    <w:abstractNumId w:val="37"/>
  </w:num>
  <w:num w:numId="8">
    <w:abstractNumId w:val="5"/>
  </w:num>
  <w:num w:numId="9">
    <w:abstractNumId w:val="35"/>
  </w:num>
  <w:num w:numId="10">
    <w:abstractNumId w:val="27"/>
  </w:num>
  <w:num w:numId="11">
    <w:abstractNumId w:val="32"/>
  </w:num>
  <w:num w:numId="12">
    <w:abstractNumId w:val="16"/>
  </w:num>
  <w:num w:numId="13">
    <w:abstractNumId w:val="22"/>
  </w:num>
  <w:num w:numId="14">
    <w:abstractNumId w:val="13"/>
  </w:num>
  <w:num w:numId="15">
    <w:abstractNumId w:val="18"/>
  </w:num>
  <w:num w:numId="16">
    <w:abstractNumId w:val="29"/>
  </w:num>
  <w:num w:numId="17">
    <w:abstractNumId w:val="2"/>
  </w:num>
  <w:num w:numId="18">
    <w:abstractNumId w:val="0"/>
  </w:num>
  <w:num w:numId="19">
    <w:abstractNumId w:val="11"/>
  </w:num>
  <w:num w:numId="20">
    <w:abstractNumId w:val="20"/>
  </w:num>
  <w:num w:numId="21">
    <w:abstractNumId w:val="26"/>
  </w:num>
  <w:num w:numId="22">
    <w:abstractNumId w:val="34"/>
  </w:num>
  <w:num w:numId="23">
    <w:abstractNumId w:val="17"/>
  </w:num>
  <w:num w:numId="24">
    <w:abstractNumId w:val="6"/>
  </w:num>
  <w:num w:numId="25">
    <w:abstractNumId w:val="12"/>
  </w:num>
  <w:num w:numId="26">
    <w:abstractNumId w:val="24"/>
  </w:num>
  <w:num w:numId="27">
    <w:abstractNumId w:val="30"/>
  </w:num>
  <w:num w:numId="28">
    <w:abstractNumId w:val="10"/>
  </w:num>
  <w:num w:numId="29">
    <w:abstractNumId w:val="31"/>
  </w:num>
  <w:num w:numId="30">
    <w:abstractNumId w:val="1"/>
  </w:num>
  <w:num w:numId="31">
    <w:abstractNumId w:val="4"/>
  </w:num>
  <w:num w:numId="32">
    <w:abstractNumId w:val="9"/>
  </w:num>
  <w:num w:numId="33">
    <w:abstractNumId w:val="7"/>
  </w:num>
  <w:num w:numId="34">
    <w:abstractNumId w:val="23"/>
  </w:num>
  <w:num w:numId="35">
    <w:abstractNumId w:val="25"/>
  </w:num>
  <w:num w:numId="36">
    <w:abstractNumId w:val="15"/>
  </w:num>
  <w:num w:numId="37">
    <w:abstractNumId w:val="14"/>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2577B"/>
    <w:rsid w:val="000113FF"/>
    <w:rsid w:val="000120BD"/>
    <w:rsid w:val="000149B5"/>
    <w:rsid w:val="000432C0"/>
    <w:rsid w:val="00044396"/>
    <w:rsid w:val="000458AA"/>
    <w:rsid w:val="000461C8"/>
    <w:rsid w:val="00057E36"/>
    <w:rsid w:val="00075AAA"/>
    <w:rsid w:val="00086244"/>
    <w:rsid w:val="000A0F2E"/>
    <w:rsid w:val="000A426F"/>
    <w:rsid w:val="000B046D"/>
    <w:rsid w:val="000B419E"/>
    <w:rsid w:val="000B5923"/>
    <w:rsid w:val="000C3F42"/>
    <w:rsid w:val="000D0D69"/>
    <w:rsid w:val="000D53E0"/>
    <w:rsid w:val="000E4F05"/>
    <w:rsid w:val="0010576F"/>
    <w:rsid w:val="001175E5"/>
    <w:rsid w:val="0014213C"/>
    <w:rsid w:val="00153DAF"/>
    <w:rsid w:val="00162874"/>
    <w:rsid w:val="001849E6"/>
    <w:rsid w:val="00196F0E"/>
    <w:rsid w:val="001A624A"/>
    <w:rsid w:val="001A7A26"/>
    <w:rsid w:val="001B3FD3"/>
    <w:rsid w:val="001C046B"/>
    <w:rsid w:val="00200176"/>
    <w:rsid w:val="0022588F"/>
    <w:rsid w:val="00232037"/>
    <w:rsid w:val="00233E6E"/>
    <w:rsid w:val="00235DA7"/>
    <w:rsid w:val="00262E2F"/>
    <w:rsid w:val="0026349B"/>
    <w:rsid w:val="00266FA7"/>
    <w:rsid w:val="00271671"/>
    <w:rsid w:val="00294F9A"/>
    <w:rsid w:val="002A3DC7"/>
    <w:rsid w:val="002B502F"/>
    <w:rsid w:val="002D4B40"/>
    <w:rsid w:val="002D5AE1"/>
    <w:rsid w:val="003215DD"/>
    <w:rsid w:val="00340EEE"/>
    <w:rsid w:val="003415B8"/>
    <w:rsid w:val="00344680"/>
    <w:rsid w:val="003479B7"/>
    <w:rsid w:val="00362A4C"/>
    <w:rsid w:val="00372FCE"/>
    <w:rsid w:val="00386186"/>
    <w:rsid w:val="0038621B"/>
    <w:rsid w:val="0038709A"/>
    <w:rsid w:val="003E423D"/>
    <w:rsid w:val="003F19CA"/>
    <w:rsid w:val="0040486E"/>
    <w:rsid w:val="004512CE"/>
    <w:rsid w:val="0045291B"/>
    <w:rsid w:val="00455FA3"/>
    <w:rsid w:val="00463DB0"/>
    <w:rsid w:val="00466660"/>
    <w:rsid w:val="0046693E"/>
    <w:rsid w:val="00467A77"/>
    <w:rsid w:val="00490FB8"/>
    <w:rsid w:val="004B4753"/>
    <w:rsid w:val="004E123E"/>
    <w:rsid w:val="004E7D94"/>
    <w:rsid w:val="00506517"/>
    <w:rsid w:val="005068D3"/>
    <w:rsid w:val="00513DB0"/>
    <w:rsid w:val="00514CB5"/>
    <w:rsid w:val="00520997"/>
    <w:rsid w:val="0053341A"/>
    <w:rsid w:val="00546675"/>
    <w:rsid w:val="0056181B"/>
    <w:rsid w:val="00590B0A"/>
    <w:rsid w:val="00593A6A"/>
    <w:rsid w:val="005A488D"/>
    <w:rsid w:val="005A5BBE"/>
    <w:rsid w:val="005C5849"/>
    <w:rsid w:val="005E1232"/>
    <w:rsid w:val="00611634"/>
    <w:rsid w:val="00614C3A"/>
    <w:rsid w:val="00616707"/>
    <w:rsid w:val="006253CC"/>
    <w:rsid w:val="0063024D"/>
    <w:rsid w:val="006421AD"/>
    <w:rsid w:val="006549F5"/>
    <w:rsid w:val="00672945"/>
    <w:rsid w:val="00692DED"/>
    <w:rsid w:val="006A1357"/>
    <w:rsid w:val="006B3DD9"/>
    <w:rsid w:val="006C2B1E"/>
    <w:rsid w:val="006D18C0"/>
    <w:rsid w:val="006D232B"/>
    <w:rsid w:val="006E6535"/>
    <w:rsid w:val="006E67ED"/>
    <w:rsid w:val="006F0926"/>
    <w:rsid w:val="00713C93"/>
    <w:rsid w:val="00720EB3"/>
    <w:rsid w:val="00722DBB"/>
    <w:rsid w:val="007261DF"/>
    <w:rsid w:val="00741AB2"/>
    <w:rsid w:val="00745A4B"/>
    <w:rsid w:val="00751235"/>
    <w:rsid w:val="00752702"/>
    <w:rsid w:val="00752CB2"/>
    <w:rsid w:val="00795EF8"/>
    <w:rsid w:val="007A61D7"/>
    <w:rsid w:val="007E356B"/>
    <w:rsid w:val="007E5551"/>
    <w:rsid w:val="007F1091"/>
    <w:rsid w:val="007F4058"/>
    <w:rsid w:val="007F6BBB"/>
    <w:rsid w:val="00815350"/>
    <w:rsid w:val="008553E2"/>
    <w:rsid w:val="0085723B"/>
    <w:rsid w:val="00867E1A"/>
    <w:rsid w:val="00882F92"/>
    <w:rsid w:val="008A6453"/>
    <w:rsid w:val="008B6046"/>
    <w:rsid w:val="008C26A2"/>
    <w:rsid w:val="008D0776"/>
    <w:rsid w:val="008D5423"/>
    <w:rsid w:val="008E76A4"/>
    <w:rsid w:val="008F381E"/>
    <w:rsid w:val="008F5655"/>
    <w:rsid w:val="00904EAD"/>
    <w:rsid w:val="00917265"/>
    <w:rsid w:val="00925E54"/>
    <w:rsid w:val="00952AC2"/>
    <w:rsid w:val="00954B21"/>
    <w:rsid w:val="00984A71"/>
    <w:rsid w:val="00992558"/>
    <w:rsid w:val="00995B7E"/>
    <w:rsid w:val="00A2577B"/>
    <w:rsid w:val="00A31C57"/>
    <w:rsid w:val="00A5117B"/>
    <w:rsid w:val="00A63183"/>
    <w:rsid w:val="00AA44A3"/>
    <w:rsid w:val="00AB068F"/>
    <w:rsid w:val="00AB0F50"/>
    <w:rsid w:val="00AC7687"/>
    <w:rsid w:val="00AE1BE9"/>
    <w:rsid w:val="00B01AF5"/>
    <w:rsid w:val="00B10EDA"/>
    <w:rsid w:val="00B31C0C"/>
    <w:rsid w:val="00B53D30"/>
    <w:rsid w:val="00B66AA2"/>
    <w:rsid w:val="00B8644A"/>
    <w:rsid w:val="00B86715"/>
    <w:rsid w:val="00B90E33"/>
    <w:rsid w:val="00BA509C"/>
    <w:rsid w:val="00BD41A8"/>
    <w:rsid w:val="00BD44E2"/>
    <w:rsid w:val="00BD6DC2"/>
    <w:rsid w:val="00C150AF"/>
    <w:rsid w:val="00C22BDB"/>
    <w:rsid w:val="00C6035D"/>
    <w:rsid w:val="00C63607"/>
    <w:rsid w:val="00C71271"/>
    <w:rsid w:val="00C902E9"/>
    <w:rsid w:val="00C92793"/>
    <w:rsid w:val="00C956E2"/>
    <w:rsid w:val="00C97E71"/>
    <w:rsid w:val="00CA19FD"/>
    <w:rsid w:val="00CB1281"/>
    <w:rsid w:val="00CC5CDC"/>
    <w:rsid w:val="00CE1E53"/>
    <w:rsid w:val="00D070E2"/>
    <w:rsid w:val="00D346C3"/>
    <w:rsid w:val="00D53503"/>
    <w:rsid w:val="00D6204F"/>
    <w:rsid w:val="00D92AA6"/>
    <w:rsid w:val="00D97CFA"/>
    <w:rsid w:val="00DA18FB"/>
    <w:rsid w:val="00DA3C78"/>
    <w:rsid w:val="00E575FA"/>
    <w:rsid w:val="00E72EB6"/>
    <w:rsid w:val="00E95856"/>
    <w:rsid w:val="00E96CA5"/>
    <w:rsid w:val="00E97A96"/>
    <w:rsid w:val="00EB2FAC"/>
    <w:rsid w:val="00EB7C07"/>
    <w:rsid w:val="00ED0B68"/>
    <w:rsid w:val="00ED3B2E"/>
    <w:rsid w:val="00EE4BDB"/>
    <w:rsid w:val="00F1531B"/>
    <w:rsid w:val="00F170BF"/>
    <w:rsid w:val="00F17C8A"/>
    <w:rsid w:val="00F27DD4"/>
    <w:rsid w:val="00F31A5C"/>
    <w:rsid w:val="00F445E4"/>
    <w:rsid w:val="00F57489"/>
    <w:rsid w:val="00F609DD"/>
    <w:rsid w:val="00F6514B"/>
    <w:rsid w:val="00F65C4B"/>
    <w:rsid w:val="00F66C88"/>
    <w:rsid w:val="00F802D4"/>
    <w:rsid w:val="00F93FB6"/>
    <w:rsid w:val="00FB04A2"/>
    <w:rsid w:val="00FD0258"/>
    <w:rsid w:val="00FD2F05"/>
    <w:rsid w:val="00FD5E76"/>
    <w:rsid w:val="00FE12C4"/>
    <w:rsid w:val="00FE2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0C5033"/>
  <w15:docId w15:val="{5E1D42A2-CF55-4481-8E36-F5F825EE5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link w:val="HeaderChar"/>
    <w:uiPriority w:val="99"/>
    <w:rsid w:val="00513DB0"/>
    <w:pPr>
      <w:tabs>
        <w:tab w:val="center" w:pos="4153"/>
        <w:tab w:val="right" w:pos="8306"/>
      </w:tabs>
    </w:pPr>
  </w:style>
  <w:style w:type="table" w:styleId="TableGrid">
    <w:name w:val="Table Grid"/>
    <w:basedOn w:val="TableNormal"/>
    <w:uiPriority w:val="39"/>
    <w:rsid w:val="006D2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6D232B"/>
    <w:pPr>
      <w:ind w:left="720"/>
    </w:pPr>
    <w:rPr>
      <w:rFonts w:ascii="Arial" w:hAnsi="Arial" w:cs="Arial"/>
    </w:rPr>
  </w:style>
  <w:style w:type="paragraph" w:customStyle="1" w:styleId="Body">
    <w:name w:val="Body"/>
    <w:rsid w:val="006D232B"/>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eastAsia="Arial Unicode MS" w:hAnsi="Arial Unicode MS" w:cs="Arial Unicode MS"/>
      <w:color w:val="000000"/>
      <w:sz w:val="24"/>
      <w:szCs w:val="24"/>
      <w:u w:color="000000"/>
    </w:rPr>
  </w:style>
  <w:style w:type="character" w:customStyle="1" w:styleId="TitleChar">
    <w:name w:val="Title Char"/>
    <w:basedOn w:val="DefaultParagraphFont"/>
    <w:link w:val="Title"/>
    <w:rsid w:val="00463DB0"/>
    <w:rPr>
      <w:b/>
      <w:sz w:val="22"/>
      <w:lang w:eastAsia="en-US"/>
    </w:rPr>
  </w:style>
  <w:style w:type="character" w:customStyle="1" w:styleId="HeaderChar">
    <w:name w:val="Header Char"/>
    <w:basedOn w:val="DefaultParagraphFont"/>
    <w:link w:val="Header"/>
    <w:uiPriority w:val="99"/>
    <w:rsid w:val="00506517"/>
    <w:rPr>
      <w:sz w:val="24"/>
      <w:szCs w:val="24"/>
      <w:lang w:eastAsia="en-US"/>
    </w:rPr>
  </w:style>
  <w:style w:type="character" w:customStyle="1" w:styleId="FooterChar">
    <w:name w:val="Footer Char"/>
    <w:basedOn w:val="DefaultParagraphFont"/>
    <w:link w:val="Footer"/>
    <w:uiPriority w:val="99"/>
    <w:rsid w:val="00506517"/>
    <w:rPr>
      <w:sz w:val="24"/>
      <w:szCs w:val="24"/>
      <w:lang w:eastAsia="en-US"/>
    </w:rPr>
  </w:style>
  <w:style w:type="paragraph" w:styleId="BalloonText">
    <w:name w:val="Balloon Text"/>
    <w:basedOn w:val="Normal"/>
    <w:link w:val="BalloonTextChar"/>
    <w:rsid w:val="00506517"/>
    <w:rPr>
      <w:rFonts w:ascii="Tahoma" w:hAnsi="Tahoma" w:cs="Tahoma"/>
      <w:sz w:val="16"/>
      <w:szCs w:val="16"/>
    </w:rPr>
  </w:style>
  <w:style w:type="character" w:customStyle="1" w:styleId="BalloonTextChar">
    <w:name w:val="Balloon Text Char"/>
    <w:basedOn w:val="DefaultParagraphFont"/>
    <w:link w:val="BalloonText"/>
    <w:rsid w:val="00506517"/>
    <w:rPr>
      <w:rFonts w:ascii="Tahoma" w:hAnsi="Tahoma" w:cs="Tahoma"/>
      <w:sz w:val="16"/>
      <w:szCs w:val="16"/>
      <w:lang w:eastAsia="en-US"/>
    </w:rPr>
  </w:style>
  <w:style w:type="character" w:customStyle="1" w:styleId="Heading1Char">
    <w:name w:val="Heading 1 Char"/>
    <w:basedOn w:val="DefaultParagraphFont"/>
    <w:link w:val="Heading1"/>
    <w:rsid w:val="000D0D69"/>
    <w:rPr>
      <w:b/>
      <w:bCs/>
      <w:sz w:val="32"/>
      <w:szCs w:val="32"/>
      <w:lang w:eastAsia="en-US"/>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F57489"/>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28923">
      <w:bodyDiv w:val="1"/>
      <w:marLeft w:val="0"/>
      <w:marRight w:val="0"/>
      <w:marTop w:val="0"/>
      <w:marBottom w:val="0"/>
      <w:divBdr>
        <w:top w:val="none" w:sz="0" w:space="0" w:color="auto"/>
        <w:left w:val="none" w:sz="0" w:space="0" w:color="auto"/>
        <w:bottom w:val="none" w:sz="0" w:space="0" w:color="auto"/>
        <w:right w:val="none" w:sz="0" w:space="0" w:color="auto"/>
      </w:divBdr>
      <w:divsChild>
        <w:div w:id="253172567">
          <w:marLeft w:val="504"/>
          <w:marRight w:val="0"/>
          <w:marTop w:val="140"/>
          <w:marBottom w:val="0"/>
          <w:divBdr>
            <w:top w:val="none" w:sz="0" w:space="0" w:color="auto"/>
            <w:left w:val="none" w:sz="0" w:space="0" w:color="auto"/>
            <w:bottom w:val="none" w:sz="0" w:space="0" w:color="auto"/>
            <w:right w:val="none" w:sz="0" w:space="0" w:color="auto"/>
          </w:divBdr>
        </w:div>
        <w:div w:id="849947658">
          <w:marLeft w:val="504"/>
          <w:marRight w:val="0"/>
          <w:marTop w:val="140"/>
          <w:marBottom w:val="0"/>
          <w:divBdr>
            <w:top w:val="none" w:sz="0" w:space="0" w:color="auto"/>
            <w:left w:val="none" w:sz="0" w:space="0" w:color="auto"/>
            <w:bottom w:val="none" w:sz="0" w:space="0" w:color="auto"/>
            <w:right w:val="none" w:sz="0" w:space="0" w:color="auto"/>
          </w:divBdr>
        </w:div>
        <w:div w:id="1368143726">
          <w:marLeft w:val="504"/>
          <w:marRight w:val="0"/>
          <w:marTop w:val="140"/>
          <w:marBottom w:val="0"/>
          <w:divBdr>
            <w:top w:val="none" w:sz="0" w:space="0" w:color="auto"/>
            <w:left w:val="none" w:sz="0" w:space="0" w:color="auto"/>
            <w:bottom w:val="none" w:sz="0" w:space="0" w:color="auto"/>
            <w:right w:val="none" w:sz="0" w:space="0" w:color="auto"/>
          </w:divBdr>
        </w:div>
        <w:div w:id="1985772581">
          <w:marLeft w:val="504"/>
          <w:marRight w:val="0"/>
          <w:marTop w:val="1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788DD-1218-48F9-B85D-2EDB1298E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Anne McQueen</cp:lastModifiedBy>
  <cp:revision>11</cp:revision>
  <cp:lastPrinted>2020-03-04T14:38:00Z</cp:lastPrinted>
  <dcterms:created xsi:type="dcterms:W3CDTF">2020-02-19T12:39:00Z</dcterms:created>
  <dcterms:modified xsi:type="dcterms:W3CDTF">2020-03-04T14:38:00Z</dcterms:modified>
</cp:coreProperties>
</file>