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tblLayout w:type="fixed"/>
        <w:tblLook w:val="04A0" w:firstRow="1" w:lastRow="0" w:firstColumn="1" w:lastColumn="0" w:noHBand="0" w:noVBand="1"/>
      </w:tblPr>
      <w:tblGrid>
        <w:gridCol w:w="2699"/>
        <w:gridCol w:w="3822"/>
        <w:gridCol w:w="2977"/>
      </w:tblGrid>
      <w:tr w:rsidR="005B4BA8" w:rsidRPr="00B5719A" w:rsidTr="0069303A">
        <w:trPr>
          <w:trHeight w:val="490"/>
        </w:trPr>
        <w:tc>
          <w:tcPr>
            <w:tcW w:w="2699" w:type="dxa"/>
            <w:vAlign w:val="bottom"/>
          </w:tcPr>
          <w:p w:rsidR="005B4BA8" w:rsidRPr="00B5719A" w:rsidRDefault="005B4BA8" w:rsidP="0069303A">
            <w:pPr>
              <w:pStyle w:val="Heading1"/>
              <w:ind w:right="183"/>
              <w:contextualSpacing/>
              <w:rPr>
                <w:rFonts w:ascii="Arial" w:hAnsi="Arial" w:cs="Arial"/>
                <w:sz w:val="24"/>
                <w:szCs w:val="24"/>
              </w:rPr>
            </w:pPr>
            <w:bookmarkStart w:id="0" w:name="_GoBack"/>
            <w:bookmarkEnd w:id="0"/>
            <w:r w:rsidRPr="00B5719A">
              <w:rPr>
                <w:rFonts w:ascii="Arial" w:hAnsi="Arial" w:cs="Arial"/>
                <w:sz w:val="24"/>
                <w:szCs w:val="24"/>
              </w:rPr>
              <w:t>Board Meeting:</w:t>
            </w:r>
          </w:p>
        </w:tc>
        <w:tc>
          <w:tcPr>
            <w:tcW w:w="3822" w:type="dxa"/>
            <w:vAlign w:val="bottom"/>
          </w:tcPr>
          <w:p w:rsidR="005B4BA8" w:rsidRPr="00AB7736" w:rsidRDefault="00C80F93" w:rsidP="0069303A">
            <w:pPr>
              <w:pStyle w:val="Heading1"/>
              <w:ind w:right="183"/>
              <w:contextualSpacing/>
              <w:rPr>
                <w:rFonts w:ascii="Arial" w:hAnsi="Arial" w:cs="Arial"/>
                <w:sz w:val="24"/>
                <w:szCs w:val="24"/>
              </w:rPr>
            </w:pPr>
            <w:r>
              <w:rPr>
                <w:rFonts w:ascii="Arial" w:hAnsi="Arial" w:cs="Arial"/>
                <w:sz w:val="24"/>
                <w:szCs w:val="24"/>
              </w:rPr>
              <w:t>26</w:t>
            </w:r>
            <w:r w:rsidRPr="00C80F93">
              <w:rPr>
                <w:rFonts w:ascii="Arial" w:hAnsi="Arial" w:cs="Arial"/>
                <w:sz w:val="24"/>
                <w:szCs w:val="24"/>
                <w:vertAlign w:val="superscript"/>
              </w:rPr>
              <w:t>th</w:t>
            </w:r>
            <w:r>
              <w:rPr>
                <w:rFonts w:ascii="Arial" w:hAnsi="Arial" w:cs="Arial"/>
                <w:sz w:val="24"/>
                <w:szCs w:val="24"/>
              </w:rPr>
              <w:t xml:space="preserve"> March 2020</w:t>
            </w:r>
          </w:p>
        </w:tc>
        <w:tc>
          <w:tcPr>
            <w:tcW w:w="2977" w:type="dxa"/>
            <w:vMerge w:val="restart"/>
            <w:vAlign w:val="bottom"/>
          </w:tcPr>
          <w:p w:rsidR="005B4BA8" w:rsidRPr="00B5719A" w:rsidRDefault="0080001C" w:rsidP="0069303A">
            <w:pPr>
              <w:pStyle w:val="Heading1"/>
              <w:ind w:right="34"/>
              <w:contextualSpacing/>
              <w:jc w:val="right"/>
              <w:rPr>
                <w:rFonts w:ascii="Arial" w:hAnsi="Arial" w:cs="Arial"/>
                <w:sz w:val="24"/>
                <w:szCs w:val="24"/>
              </w:rPr>
            </w:pPr>
            <w:r w:rsidRPr="0080001C">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226695</wp:posOffset>
                  </wp:positionH>
                  <wp:positionV relativeFrom="margin">
                    <wp:posOffset>-463550</wp:posOffset>
                  </wp:positionV>
                  <wp:extent cx="1781175" cy="741045"/>
                  <wp:effectExtent l="19050" t="0" r="9525"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14:sizeRelH relativeFrom="margin">
                    <wp14:pctWidth>0</wp14:pctWidth>
                  </wp14:sizeRelH>
                  <wp14:sizeRelV relativeFrom="margin">
                    <wp14:pctHeight>0</wp14:pctHeight>
                  </wp14:sizeRelV>
                </wp:anchor>
              </w:drawing>
            </w:r>
          </w:p>
        </w:tc>
      </w:tr>
      <w:tr w:rsidR="005B4BA8" w:rsidRPr="00B5719A" w:rsidTr="0069303A">
        <w:trPr>
          <w:trHeight w:val="961"/>
        </w:trPr>
        <w:tc>
          <w:tcPr>
            <w:tcW w:w="2699" w:type="dxa"/>
            <w:vAlign w:val="bottom"/>
          </w:tcPr>
          <w:p w:rsidR="005B4BA8" w:rsidRPr="00B5719A" w:rsidRDefault="005B4BA8" w:rsidP="0069303A">
            <w:pPr>
              <w:pStyle w:val="Heading1"/>
              <w:ind w:right="183"/>
              <w:contextualSpacing/>
              <w:rPr>
                <w:rFonts w:ascii="Arial" w:hAnsi="Arial" w:cs="Arial"/>
                <w:sz w:val="24"/>
                <w:szCs w:val="24"/>
              </w:rPr>
            </w:pPr>
            <w:r w:rsidRPr="00B5719A">
              <w:rPr>
                <w:rFonts w:ascii="Arial" w:hAnsi="Arial" w:cs="Arial"/>
                <w:bCs w:val="0"/>
                <w:sz w:val="24"/>
                <w:szCs w:val="24"/>
              </w:rPr>
              <w:t>Subject:</w:t>
            </w:r>
          </w:p>
        </w:tc>
        <w:tc>
          <w:tcPr>
            <w:tcW w:w="3822" w:type="dxa"/>
            <w:vAlign w:val="bottom"/>
          </w:tcPr>
          <w:p w:rsidR="005B4BA8" w:rsidRPr="006B3F74" w:rsidRDefault="00C80F93" w:rsidP="0069303A">
            <w:pPr>
              <w:pStyle w:val="Heading1"/>
              <w:ind w:right="183"/>
              <w:contextualSpacing/>
              <w:rPr>
                <w:rFonts w:ascii="Arial" w:hAnsi="Arial" w:cs="Arial"/>
                <w:sz w:val="24"/>
                <w:szCs w:val="24"/>
              </w:rPr>
            </w:pPr>
            <w:r>
              <w:rPr>
                <w:rFonts w:ascii="Arial" w:hAnsi="Arial" w:cs="Arial"/>
                <w:sz w:val="24"/>
                <w:szCs w:val="24"/>
              </w:rPr>
              <w:t>Golden Jubilee Hospital Expansion Programme</w:t>
            </w:r>
          </w:p>
        </w:tc>
        <w:tc>
          <w:tcPr>
            <w:tcW w:w="2977" w:type="dxa"/>
            <w:vMerge/>
            <w:vAlign w:val="bottom"/>
          </w:tcPr>
          <w:p w:rsidR="005B4BA8" w:rsidRPr="00B5719A" w:rsidRDefault="005B4BA8" w:rsidP="0069303A">
            <w:pPr>
              <w:pStyle w:val="Heading1"/>
              <w:ind w:right="183"/>
              <w:contextualSpacing/>
              <w:rPr>
                <w:rFonts w:ascii="Arial" w:hAnsi="Arial" w:cs="Arial"/>
                <w:noProof/>
                <w:sz w:val="24"/>
                <w:szCs w:val="24"/>
                <w:lang w:eastAsia="en-GB"/>
              </w:rPr>
            </w:pPr>
          </w:p>
        </w:tc>
      </w:tr>
    </w:tbl>
    <w:p w:rsidR="00067AD9" w:rsidRDefault="00067AD9" w:rsidP="00067AD9">
      <w:pPr>
        <w:ind w:right="-330"/>
        <w:rPr>
          <w:rFonts w:ascii="Arial" w:hAnsi="Arial" w:cs="Arial"/>
          <w:b/>
        </w:rPr>
      </w:pPr>
    </w:p>
    <w:tbl>
      <w:tblPr>
        <w:tblStyle w:val="TableGrid"/>
        <w:tblW w:w="9242" w:type="dxa"/>
        <w:tblLook w:val="04A0" w:firstRow="1" w:lastRow="0" w:firstColumn="1" w:lastColumn="0" w:noHBand="0" w:noVBand="1"/>
      </w:tblPr>
      <w:tblGrid>
        <w:gridCol w:w="2660"/>
        <w:gridCol w:w="5812"/>
        <w:gridCol w:w="770"/>
      </w:tblGrid>
      <w:tr w:rsidR="00C0429D" w:rsidTr="0069303A">
        <w:tc>
          <w:tcPr>
            <w:tcW w:w="2660" w:type="dxa"/>
            <w:tcBorders>
              <w:top w:val="nil"/>
              <w:left w:val="nil"/>
              <w:bottom w:val="nil"/>
              <w:right w:val="nil"/>
            </w:tcBorders>
          </w:tcPr>
          <w:p w:rsidR="00C0429D" w:rsidRDefault="00C0429D" w:rsidP="00C0429D">
            <w:pPr>
              <w:spacing w:line="360" w:lineRule="auto"/>
              <w:ind w:right="-329"/>
              <w:rPr>
                <w:rFonts w:ascii="Arial" w:hAnsi="Arial" w:cs="Arial"/>
                <w:b/>
              </w:rPr>
            </w:pPr>
            <w:r>
              <w:rPr>
                <w:rFonts w:ascii="Arial" w:hAnsi="Arial" w:cs="Arial"/>
                <w:b/>
              </w:rPr>
              <w:t>Recommendation</w:t>
            </w:r>
          </w:p>
        </w:tc>
        <w:tc>
          <w:tcPr>
            <w:tcW w:w="5812" w:type="dxa"/>
            <w:tcBorders>
              <w:top w:val="nil"/>
              <w:left w:val="nil"/>
              <w:bottom w:val="single" w:sz="4" w:space="0" w:color="auto"/>
              <w:right w:val="nil"/>
            </w:tcBorders>
          </w:tcPr>
          <w:p w:rsidR="00C0429D" w:rsidRPr="00C0429D" w:rsidRDefault="0069303A" w:rsidP="00C0429D">
            <w:pPr>
              <w:spacing w:line="360" w:lineRule="auto"/>
              <w:ind w:left="-102" w:right="-329"/>
              <w:rPr>
                <w:rFonts w:ascii="Arial" w:hAnsi="Arial" w:cs="Arial"/>
              </w:rPr>
            </w:pPr>
            <w:r>
              <w:rPr>
                <w:rFonts w:ascii="Arial" w:hAnsi="Arial" w:cs="Arial"/>
              </w:rPr>
              <w:t xml:space="preserve">  </w:t>
            </w:r>
            <w:r w:rsidR="00C0429D" w:rsidRPr="00C0429D">
              <w:rPr>
                <w:rFonts w:ascii="Arial" w:hAnsi="Arial" w:cs="Arial"/>
              </w:rPr>
              <w:t>Board members are asked to:</w:t>
            </w:r>
          </w:p>
        </w:tc>
        <w:tc>
          <w:tcPr>
            <w:tcW w:w="770" w:type="dxa"/>
            <w:tcBorders>
              <w:top w:val="nil"/>
              <w:left w:val="nil"/>
              <w:bottom w:val="single" w:sz="4" w:space="0" w:color="auto"/>
              <w:right w:val="nil"/>
            </w:tcBorders>
          </w:tcPr>
          <w:p w:rsidR="00C0429D" w:rsidRDefault="00C0429D" w:rsidP="00C0429D">
            <w:pPr>
              <w:spacing w:line="360" w:lineRule="auto"/>
              <w:ind w:right="-329"/>
              <w:rPr>
                <w:rFonts w:ascii="Arial" w:hAnsi="Arial" w:cs="Arial"/>
                <w:b/>
              </w:rPr>
            </w:pPr>
          </w:p>
        </w:tc>
      </w:tr>
      <w:tr w:rsidR="00C0429D" w:rsidTr="0069303A">
        <w:tc>
          <w:tcPr>
            <w:tcW w:w="2660" w:type="dxa"/>
            <w:tcBorders>
              <w:top w:val="nil"/>
              <w:left w:val="nil"/>
              <w:bottom w:val="nil"/>
              <w:right w:val="single" w:sz="4" w:space="0" w:color="auto"/>
            </w:tcBorders>
          </w:tcPr>
          <w:p w:rsidR="00C0429D" w:rsidRDefault="00C0429D" w:rsidP="00C0429D">
            <w:pPr>
              <w:spacing w:line="360" w:lineRule="auto"/>
              <w:ind w:right="-329"/>
              <w:rPr>
                <w:rFonts w:ascii="Arial" w:hAnsi="Arial" w:cs="Arial"/>
                <w:b/>
              </w:rPr>
            </w:pPr>
          </w:p>
        </w:tc>
        <w:tc>
          <w:tcPr>
            <w:tcW w:w="5812" w:type="dxa"/>
            <w:tcBorders>
              <w:top w:val="single" w:sz="4" w:space="0" w:color="auto"/>
              <w:left w:val="single" w:sz="4" w:space="0" w:color="auto"/>
            </w:tcBorders>
            <w:vAlign w:val="center"/>
          </w:tcPr>
          <w:p w:rsidR="00C0429D" w:rsidRPr="00C0429D" w:rsidRDefault="0069303A" w:rsidP="00C0429D">
            <w:pPr>
              <w:spacing w:line="360" w:lineRule="auto"/>
              <w:ind w:right="-329"/>
              <w:rPr>
                <w:rFonts w:ascii="Arial" w:hAnsi="Arial" w:cs="Arial"/>
              </w:rPr>
            </w:pPr>
            <w:r>
              <w:rPr>
                <w:rFonts w:ascii="Arial" w:hAnsi="Arial" w:cs="Arial"/>
              </w:rPr>
              <w:t xml:space="preserve"> </w:t>
            </w:r>
            <w:r w:rsidR="00C0429D" w:rsidRPr="00C0429D">
              <w:rPr>
                <w:rFonts w:ascii="Arial" w:hAnsi="Arial" w:cs="Arial"/>
              </w:rPr>
              <w:t>Discuss and Note</w:t>
            </w:r>
          </w:p>
        </w:tc>
        <w:tc>
          <w:tcPr>
            <w:tcW w:w="770" w:type="dxa"/>
            <w:tcBorders>
              <w:top w:val="single" w:sz="4" w:space="0" w:color="auto"/>
            </w:tcBorders>
            <w:vAlign w:val="center"/>
          </w:tcPr>
          <w:p w:rsidR="00C0429D" w:rsidRDefault="006B3F74" w:rsidP="00A77476">
            <w:pPr>
              <w:spacing w:line="360" w:lineRule="auto"/>
              <w:ind w:right="-329"/>
              <w:rPr>
                <w:rFonts w:ascii="Arial" w:hAnsi="Arial" w:cs="Arial"/>
                <w:b/>
              </w:rPr>
            </w:pPr>
            <w:r>
              <w:rPr>
                <w:rFonts w:ascii="Arial" w:hAnsi="Arial" w:cs="Arial"/>
                <w:b/>
              </w:rPr>
              <w:t xml:space="preserve">  </w:t>
            </w:r>
            <w:r w:rsidR="00C80F93">
              <w:rPr>
                <w:rFonts w:ascii="Arial" w:hAnsi="Arial" w:cs="Arial"/>
                <w:b/>
              </w:rPr>
              <w:t>X</w:t>
            </w:r>
          </w:p>
        </w:tc>
      </w:tr>
      <w:tr w:rsidR="00C0429D" w:rsidTr="0069303A">
        <w:tc>
          <w:tcPr>
            <w:tcW w:w="2660" w:type="dxa"/>
            <w:tcBorders>
              <w:top w:val="nil"/>
              <w:left w:val="nil"/>
              <w:bottom w:val="nil"/>
              <w:right w:val="single" w:sz="4" w:space="0" w:color="auto"/>
            </w:tcBorders>
          </w:tcPr>
          <w:p w:rsidR="00C0429D" w:rsidRDefault="00C0429D" w:rsidP="00C0429D">
            <w:pPr>
              <w:spacing w:line="360" w:lineRule="auto"/>
              <w:ind w:right="-329"/>
              <w:rPr>
                <w:rFonts w:ascii="Arial" w:hAnsi="Arial" w:cs="Arial"/>
                <w:b/>
              </w:rPr>
            </w:pPr>
          </w:p>
        </w:tc>
        <w:tc>
          <w:tcPr>
            <w:tcW w:w="5812" w:type="dxa"/>
            <w:tcBorders>
              <w:left w:val="single" w:sz="4" w:space="0" w:color="auto"/>
            </w:tcBorders>
            <w:vAlign w:val="center"/>
          </w:tcPr>
          <w:p w:rsidR="00C0429D" w:rsidRPr="00C0429D" w:rsidRDefault="0069303A" w:rsidP="00C0429D">
            <w:pPr>
              <w:spacing w:line="360" w:lineRule="auto"/>
              <w:ind w:right="-329"/>
              <w:rPr>
                <w:rFonts w:ascii="Arial" w:hAnsi="Arial" w:cs="Arial"/>
              </w:rPr>
            </w:pPr>
            <w:r>
              <w:rPr>
                <w:rFonts w:ascii="Arial" w:hAnsi="Arial" w:cs="Arial"/>
              </w:rPr>
              <w:t xml:space="preserve"> </w:t>
            </w:r>
            <w:r w:rsidR="00C0429D" w:rsidRPr="00C0429D">
              <w:rPr>
                <w:rFonts w:ascii="Arial" w:hAnsi="Arial" w:cs="Arial"/>
              </w:rPr>
              <w:t>Discuss and Approve</w:t>
            </w:r>
          </w:p>
        </w:tc>
        <w:tc>
          <w:tcPr>
            <w:tcW w:w="770" w:type="dxa"/>
            <w:vAlign w:val="center"/>
          </w:tcPr>
          <w:p w:rsidR="00C0429D" w:rsidRDefault="00C0429D" w:rsidP="0069303A">
            <w:pPr>
              <w:ind w:right="-330"/>
              <w:rPr>
                <w:rFonts w:ascii="Arial" w:hAnsi="Arial" w:cs="Arial"/>
                <w:b/>
              </w:rPr>
            </w:pPr>
            <w:r>
              <w:rPr>
                <w:rFonts w:ascii="Arial" w:hAnsi="Arial" w:cs="Arial"/>
                <w:b/>
              </w:rPr>
              <w:t xml:space="preserve">   </w:t>
            </w:r>
          </w:p>
        </w:tc>
      </w:tr>
      <w:tr w:rsidR="00C0429D" w:rsidTr="0069303A">
        <w:tc>
          <w:tcPr>
            <w:tcW w:w="2660" w:type="dxa"/>
            <w:tcBorders>
              <w:top w:val="nil"/>
              <w:left w:val="nil"/>
              <w:bottom w:val="nil"/>
              <w:right w:val="single" w:sz="4" w:space="0" w:color="auto"/>
            </w:tcBorders>
          </w:tcPr>
          <w:p w:rsidR="00C0429D" w:rsidRDefault="00C0429D" w:rsidP="00C0429D">
            <w:pPr>
              <w:spacing w:line="360" w:lineRule="auto"/>
              <w:ind w:right="-329"/>
              <w:rPr>
                <w:rFonts w:ascii="Arial" w:hAnsi="Arial" w:cs="Arial"/>
                <w:b/>
              </w:rPr>
            </w:pPr>
          </w:p>
        </w:tc>
        <w:tc>
          <w:tcPr>
            <w:tcW w:w="5812" w:type="dxa"/>
            <w:tcBorders>
              <w:left w:val="single" w:sz="4" w:space="0" w:color="auto"/>
            </w:tcBorders>
            <w:vAlign w:val="center"/>
          </w:tcPr>
          <w:p w:rsidR="00C0429D" w:rsidRPr="00C0429D" w:rsidRDefault="0069303A" w:rsidP="00C0429D">
            <w:pPr>
              <w:spacing w:line="360" w:lineRule="auto"/>
              <w:ind w:right="-329"/>
              <w:rPr>
                <w:rFonts w:ascii="Arial" w:hAnsi="Arial" w:cs="Arial"/>
              </w:rPr>
            </w:pPr>
            <w:r>
              <w:rPr>
                <w:rFonts w:ascii="Arial" w:hAnsi="Arial" w:cs="Arial"/>
              </w:rPr>
              <w:t xml:space="preserve"> </w:t>
            </w:r>
            <w:r w:rsidR="00C0429D" w:rsidRPr="00C0429D">
              <w:rPr>
                <w:rFonts w:ascii="Arial" w:hAnsi="Arial" w:cs="Arial"/>
              </w:rPr>
              <w:t>Note for Information only</w:t>
            </w:r>
          </w:p>
        </w:tc>
        <w:tc>
          <w:tcPr>
            <w:tcW w:w="770" w:type="dxa"/>
            <w:vAlign w:val="center"/>
          </w:tcPr>
          <w:p w:rsidR="00C0429D" w:rsidRDefault="00C0429D" w:rsidP="00C0429D">
            <w:pPr>
              <w:spacing w:line="360" w:lineRule="auto"/>
              <w:ind w:right="-329"/>
              <w:rPr>
                <w:rFonts w:ascii="Arial" w:hAnsi="Arial" w:cs="Arial"/>
                <w:b/>
              </w:rPr>
            </w:pPr>
          </w:p>
        </w:tc>
      </w:tr>
    </w:tbl>
    <w:p w:rsidR="0069303A" w:rsidRDefault="0069303A" w:rsidP="00067AD9">
      <w:pPr>
        <w:ind w:right="-330"/>
        <w:rPr>
          <w:rFonts w:ascii="Arial" w:hAnsi="Arial" w:cs="Arial"/>
          <w:b/>
        </w:rPr>
      </w:pPr>
    </w:p>
    <w:p w:rsidR="0069303A" w:rsidRDefault="0069303A" w:rsidP="00067AD9">
      <w:pPr>
        <w:ind w:right="-330"/>
        <w:rPr>
          <w:rFonts w:ascii="Arial" w:hAnsi="Arial" w:cs="Arial"/>
          <w:b/>
        </w:rPr>
      </w:pPr>
    </w:p>
    <w:p w:rsidR="00AB7736" w:rsidRDefault="00AB7736" w:rsidP="00067AD9">
      <w:pPr>
        <w:ind w:right="-330"/>
        <w:rPr>
          <w:rFonts w:ascii="Arial" w:hAnsi="Arial" w:cs="Arial"/>
          <w:b/>
        </w:rPr>
      </w:pPr>
    </w:p>
    <w:p w:rsidR="00B0525B" w:rsidRPr="00A77476" w:rsidRDefault="00B0525B" w:rsidP="00A77476">
      <w:pPr>
        <w:pStyle w:val="ListParagraph"/>
        <w:numPr>
          <w:ilvl w:val="0"/>
          <w:numId w:val="25"/>
        </w:numPr>
        <w:ind w:left="426" w:right="-330" w:hanging="426"/>
        <w:rPr>
          <w:rFonts w:ascii="Arial" w:hAnsi="Arial" w:cs="Arial"/>
          <w:b/>
        </w:rPr>
      </w:pPr>
      <w:r w:rsidRPr="00A77476">
        <w:rPr>
          <w:rFonts w:ascii="Arial" w:hAnsi="Arial" w:cs="Arial"/>
          <w:b/>
        </w:rPr>
        <w:t>Background</w:t>
      </w:r>
    </w:p>
    <w:p w:rsidR="0093133E" w:rsidRPr="0093133E" w:rsidRDefault="0093133E" w:rsidP="00A77476">
      <w:pPr>
        <w:ind w:left="426" w:right="-330" w:hanging="426"/>
        <w:rPr>
          <w:rFonts w:ascii="Arial" w:hAnsi="Arial" w:cs="Arial"/>
          <w:b/>
          <w:sz w:val="10"/>
          <w:szCs w:val="10"/>
        </w:rPr>
      </w:pPr>
    </w:p>
    <w:p w:rsidR="00C80F93" w:rsidRPr="00C80F93" w:rsidRDefault="00E74FB0" w:rsidP="00C80F93">
      <w:pPr>
        <w:rPr>
          <w:rFonts w:ascii="Arial" w:hAnsi="Arial" w:cs="Arial"/>
        </w:rPr>
      </w:pPr>
      <w:r>
        <w:rPr>
          <w:rFonts w:ascii="Arial" w:hAnsi="Arial" w:cs="Arial"/>
        </w:rPr>
        <w:t xml:space="preserve">At the last </w:t>
      </w:r>
      <w:r w:rsidR="00C477CA">
        <w:rPr>
          <w:rFonts w:ascii="Arial" w:hAnsi="Arial" w:cs="Arial"/>
        </w:rPr>
        <w:t xml:space="preserve">scheduled Site </w:t>
      </w:r>
      <w:r>
        <w:rPr>
          <w:rFonts w:ascii="Arial" w:hAnsi="Arial" w:cs="Arial"/>
        </w:rPr>
        <w:t>Progress Meeting Kier reported that Phase 1 is</w:t>
      </w:r>
      <w:r w:rsidR="00C80F93" w:rsidRPr="00C80F93">
        <w:rPr>
          <w:rFonts w:ascii="Arial" w:hAnsi="Arial" w:cs="Arial"/>
        </w:rPr>
        <w:t xml:space="preserve"> progress</w:t>
      </w:r>
      <w:r>
        <w:rPr>
          <w:rFonts w:ascii="Arial" w:hAnsi="Arial" w:cs="Arial"/>
        </w:rPr>
        <w:t>ing</w:t>
      </w:r>
      <w:r w:rsidR="00C80F93" w:rsidRPr="00C80F93">
        <w:rPr>
          <w:rFonts w:ascii="Arial" w:hAnsi="Arial" w:cs="Arial"/>
        </w:rPr>
        <w:t xml:space="preserve"> well to programme for completion on 15</w:t>
      </w:r>
      <w:r w:rsidR="00C80F93" w:rsidRPr="00C80F93">
        <w:rPr>
          <w:rFonts w:ascii="Arial" w:hAnsi="Arial" w:cs="Arial"/>
          <w:vertAlign w:val="superscript"/>
        </w:rPr>
        <w:t>th</w:t>
      </w:r>
      <w:r>
        <w:rPr>
          <w:rFonts w:ascii="Arial" w:hAnsi="Arial" w:cs="Arial"/>
        </w:rPr>
        <w:t xml:space="preserve"> June 20 and that </w:t>
      </w:r>
      <w:r w:rsidR="00C80F93" w:rsidRPr="00C80F93">
        <w:rPr>
          <w:rFonts w:ascii="Arial" w:hAnsi="Arial" w:cs="Arial"/>
        </w:rPr>
        <w:t xml:space="preserve">Phase 2 </w:t>
      </w:r>
      <w:r>
        <w:rPr>
          <w:rFonts w:ascii="Arial" w:hAnsi="Arial" w:cs="Arial"/>
        </w:rPr>
        <w:t xml:space="preserve">was </w:t>
      </w:r>
      <w:r w:rsidR="00C80F93" w:rsidRPr="00C80F93">
        <w:rPr>
          <w:rFonts w:ascii="Arial" w:hAnsi="Arial" w:cs="Arial"/>
        </w:rPr>
        <w:t>progressing well and on programme to submit Full Bu</w:t>
      </w:r>
      <w:r w:rsidR="00C477CA">
        <w:rPr>
          <w:rFonts w:ascii="Arial" w:hAnsi="Arial" w:cs="Arial"/>
        </w:rPr>
        <w:t>siness Case (FBC) in April</w:t>
      </w:r>
      <w:r w:rsidR="00C80F93" w:rsidRPr="00C80F93">
        <w:rPr>
          <w:rFonts w:ascii="Arial" w:hAnsi="Arial" w:cs="Arial"/>
        </w:rPr>
        <w:t xml:space="preserve"> 20.</w:t>
      </w:r>
    </w:p>
    <w:p w:rsidR="00C80F93" w:rsidRPr="00C80F93" w:rsidRDefault="00C80F93" w:rsidP="00C80F93">
      <w:pPr>
        <w:rPr>
          <w:rFonts w:ascii="Arial" w:hAnsi="Arial" w:cs="Arial"/>
        </w:rPr>
      </w:pPr>
    </w:p>
    <w:p w:rsidR="00C80F93" w:rsidRPr="00C80F93" w:rsidRDefault="00C80F93" w:rsidP="00C80F93">
      <w:pPr>
        <w:rPr>
          <w:rFonts w:ascii="Arial" w:hAnsi="Arial" w:cs="Arial"/>
        </w:rPr>
      </w:pPr>
      <w:r w:rsidRPr="00C80F93">
        <w:rPr>
          <w:rFonts w:ascii="Arial" w:hAnsi="Arial" w:cs="Arial"/>
        </w:rPr>
        <w:t xml:space="preserve">As the current situation </w:t>
      </w:r>
      <w:r w:rsidR="00E74FB0">
        <w:rPr>
          <w:rFonts w:ascii="Arial" w:hAnsi="Arial" w:cs="Arial"/>
        </w:rPr>
        <w:t xml:space="preserve">regarding </w:t>
      </w:r>
      <w:r w:rsidR="00E74FB0" w:rsidRPr="00E74FB0">
        <w:rPr>
          <w:rFonts w:ascii="Arial" w:hAnsi="Arial" w:cs="Arial"/>
        </w:rPr>
        <w:t>Covid-19</w:t>
      </w:r>
      <w:r w:rsidR="00E74FB0">
        <w:rPr>
          <w:rFonts w:ascii="Arial" w:hAnsi="Arial" w:cs="Arial"/>
        </w:rPr>
        <w:t xml:space="preserve"> </w:t>
      </w:r>
      <w:r w:rsidRPr="00C80F93">
        <w:rPr>
          <w:rFonts w:ascii="Arial" w:hAnsi="Arial" w:cs="Arial"/>
        </w:rPr>
        <w:t xml:space="preserve">has developed Aecom as </w:t>
      </w:r>
      <w:r w:rsidR="00E74FB0">
        <w:rPr>
          <w:rFonts w:ascii="Arial" w:hAnsi="Arial" w:cs="Arial"/>
        </w:rPr>
        <w:t xml:space="preserve">our </w:t>
      </w:r>
      <w:r w:rsidRPr="00C80F93">
        <w:rPr>
          <w:rFonts w:ascii="Arial" w:hAnsi="Arial" w:cs="Arial"/>
        </w:rPr>
        <w:t>Project Managers and in line with the NEC contact for Phase 1 and Phase 2 have issued Early Warning</w:t>
      </w:r>
      <w:r w:rsidR="00E74FB0">
        <w:rPr>
          <w:rFonts w:ascii="Arial" w:hAnsi="Arial" w:cs="Arial"/>
        </w:rPr>
        <w:t xml:space="preserve"> Notices (EWNs)</w:t>
      </w:r>
      <w:r w:rsidRPr="00C80F93">
        <w:rPr>
          <w:rFonts w:ascii="Arial" w:hAnsi="Arial" w:cs="Arial"/>
        </w:rPr>
        <w:t xml:space="preserve"> noting the “known and anticipated but unquantifiable impact of disruption due to Covid-19 related working restrictions” and that the programme may be affected for both phases.   Aecom as our advisors will of course endeavour to mitigate any impact of the current situati</w:t>
      </w:r>
      <w:r w:rsidR="00E74FB0">
        <w:rPr>
          <w:rFonts w:ascii="Arial" w:hAnsi="Arial" w:cs="Arial"/>
        </w:rPr>
        <w:t>on</w:t>
      </w:r>
      <w:r w:rsidRPr="00C80F93">
        <w:rPr>
          <w:rFonts w:ascii="Arial" w:hAnsi="Arial" w:cs="Arial"/>
        </w:rPr>
        <w:t xml:space="preserve"> in any way possible.</w:t>
      </w:r>
    </w:p>
    <w:p w:rsidR="00C80F93" w:rsidRPr="00C80F93" w:rsidRDefault="00C80F93" w:rsidP="00C80F93">
      <w:pPr>
        <w:rPr>
          <w:rFonts w:asciiTheme="minorHAnsi" w:hAnsiTheme="minorHAnsi"/>
          <w:sz w:val="22"/>
          <w:szCs w:val="22"/>
        </w:rPr>
      </w:pPr>
    </w:p>
    <w:p w:rsidR="00617E35" w:rsidRDefault="002C3711" w:rsidP="00A77476">
      <w:pPr>
        <w:pStyle w:val="Heading2"/>
        <w:numPr>
          <w:ilvl w:val="0"/>
          <w:numId w:val="25"/>
        </w:numPr>
        <w:ind w:left="426" w:right="183" w:hanging="426"/>
        <w:rPr>
          <w:i w:val="0"/>
          <w:sz w:val="24"/>
          <w:szCs w:val="24"/>
        </w:rPr>
      </w:pPr>
      <w:r>
        <w:rPr>
          <w:i w:val="0"/>
          <w:sz w:val="24"/>
          <w:szCs w:val="24"/>
        </w:rPr>
        <w:t>D</w:t>
      </w:r>
      <w:r w:rsidR="00617E35">
        <w:rPr>
          <w:i w:val="0"/>
          <w:sz w:val="24"/>
          <w:szCs w:val="24"/>
        </w:rPr>
        <w:t>iscussion</w:t>
      </w:r>
    </w:p>
    <w:p w:rsidR="00C80F93" w:rsidRPr="00C80F93" w:rsidRDefault="00C80F93" w:rsidP="00C80F93">
      <w:pPr>
        <w:rPr>
          <w:rFonts w:ascii="Arial" w:hAnsi="Arial" w:cs="Arial"/>
        </w:rPr>
      </w:pPr>
      <w:r w:rsidRPr="00C80F93">
        <w:rPr>
          <w:rFonts w:ascii="Arial" w:hAnsi="Arial" w:cs="Arial"/>
        </w:rPr>
        <w:t>A detailed position for Phase 1 as of Tuesday 24</w:t>
      </w:r>
      <w:r w:rsidRPr="00C80F93">
        <w:rPr>
          <w:rFonts w:ascii="Arial" w:hAnsi="Arial" w:cs="Arial"/>
          <w:vertAlign w:val="superscript"/>
        </w:rPr>
        <w:t>th</w:t>
      </w:r>
      <w:r w:rsidRPr="00C80F93">
        <w:rPr>
          <w:rFonts w:ascii="Arial" w:hAnsi="Arial" w:cs="Arial"/>
        </w:rPr>
        <w:t xml:space="preserve"> March</w:t>
      </w:r>
      <w:r w:rsidR="00E74FB0">
        <w:rPr>
          <w:rFonts w:ascii="Arial" w:hAnsi="Arial" w:cs="Arial"/>
        </w:rPr>
        <w:t xml:space="preserve"> 20 is that</w:t>
      </w:r>
      <w:r w:rsidRPr="00C80F93">
        <w:rPr>
          <w:rFonts w:ascii="Arial" w:hAnsi="Arial" w:cs="Arial"/>
        </w:rPr>
        <w:t xml:space="preserve"> Kier had 19 operatives onsite out </w:t>
      </w:r>
      <w:r w:rsidR="00E74FB0">
        <w:rPr>
          <w:rFonts w:ascii="Arial" w:hAnsi="Arial" w:cs="Arial"/>
        </w:rPr>
        <w:t>of a planned resource of 86.   They have reported that i</w:t>
      </w:r>
      <w:r w:rsidRPr="00C80F93">
        <w:rPr>
          <w:rFonts w:ascii="Arial" w:hAnsi="Arial" w:cs="Arial"/>
        </w:rPr>
        <w:t xml:space="preserve">t is likely that operations will halt in the coming days.  </w:t>
      </w:r>
    </w:p>
    <w:p w:rsidR="00C80F93" w:rsidRPr="00C80F93" w:rsidRDefault="00C80F93" w:rsidP="00C80F93">
      <w:pPr>
        <w:pStyle w:val="ListParagraph"/>
        <w:rPr>
          <w:rFonts w:ascii="Arial" w:hAnsi="Arial" w:cs="Arial"/>
        </w:rPr>
      </w:pPr>
    </w:p>
    <w:p w:rsidR="00C80F93" w:rsidRPr="00C80F93" w:rsidRDefault="00E74FB0" w:rsidP="00C80F93">
      <w:pPr>
        <w:rPr>
          <w:rFonts w:ascii="Arial" w:hAnsi="Arial" w:cs="Arial"/>
        </w:rPr>
      </w:pPr>
      <w:r>
        <w:rPr>
          <w:rFonts w:ascii="Arial" w:hAnsi="Arial" w:cs="Arial"/>
        </w:rPr>
        <w:t>In preparation for this we have asked</w:t>
      </w:r>
      <w:r w:rsidR="00C80F93" w:rsidRPr="00C80F93">
        <w:rPr>
          <w:rFonts w:ascii="Arial" w:hAnsi="Arial" w:cs="Arial"/>
        </w:rPr>
        <w:t xml:space="preserve"> Kier work with their designers in assessing the immediate implications of stopping works on site and what measures need to be put in place providing written confirmation of their agreement to those measures. This should include security of the site, required flushing regimes, HAI Scribe measures and any other project specific issues. </w:t>
      </w:r>
    </w:p>
    <w:p w:rsidR="00C80F93" w:rsidRPr="00C80F93" w:rsidRDefault="00C80F93" w:rsidP="00C80F93">
      <w:pPr>
        <w:pStyle w:val="ListParagraph"/>
        <w:rPr>
          <w:rFonts w:ascii="Arial" w:hAnsi="Arial" w:cs="Arial"/>
        </w:rPr>
      </w:pPr>
    </w:p>
    <w:p w:rsidR="00C80F93" w:rsidRPr="00C80F93" w:rsidRDefault="00C80F93" w:rsidP="00C80F93">
      <w:pPr>
        <w:rPr>
          <w:rFonts w:ascii="Arial" w:hAnsi="Arial" w:cs="Arial"/>
        </w:rPr>
      </w:pPr>
      <w:r w:rsidRPr="00C80F93">
        <w:rPr>
          <w:rFonts w:ascii="Arial" w:hAnsi="Arial" w:cs="Arial"/>
        </w:rPr>
        <w:t xml:space="preserve">On receipt of these shutdown plans we will collaboratively determine if access can be provided for these actions or if the NHS will take responsibility.  </w:t>
      </w:r>
      <w:r w:rsidR="00E74FB0">
        <w:rPr>
          <w:rFonts w:ascii="Arial" w:hAnsi="Arial" w:cs="Arial"/>
        </w:rPr>
        <w:t>Emergency contact details will</w:t>
      </w:r>
      <w:r w:rsidRPr="00C80F93">
        <w:rPr>
          <w:rFonts w:ascii="Arial" w:hAnsi="Arial" w:cs="Arial"/>
        </w:rPr>
        <w:t xml:space="preserve"> be collat</w:t>
      </w:r>
      <w:r w:rsidR="00E74FB0">
        <w:rPr>
          <w:rFonts w:ascii="Arial" w:hAnsi="Arial" w:cs="Arial"/>
        </w:rPr>
        <w:t>ed and w</w:t>
      </w:r>
      <w:r w:rsidRPr="00C80F93">
        <w:rPr>
          <w:rFonts w:ascii="Arial" w:hAnsi="Arial" w:cs="Arial"/>
        </w:rPr>
        <w:t>here possible a compreh</w:t>
      </w:r>
      <w:r w:rsidR="00E74FB0">
        <w:rPr>
          <w:rFonts w:ascii="Arial" w:hAnsi="Arial" w:cs="Arial"/>
        </w:rPr>
        <w:t>ensive set of photographs will</w:t>
      </w:r>
      <w:r w:rsidRPr="00C80F93">
        <w:rPr>
          <w:rFonts w:ascii="Arial" w:hAnsi="Arial" w:cs="Arial"/>
        </w:rPr>
        <w:t xml:space="preserve"> also be taken in order to demonstrate progress at the point of shut down.</w:t>
      </w:r>
    </w:p>
    <w:p w:rsidR="00C80F93" w:rsidRPr="00C80F93" w:rsidRDefault="00C80F93" w:rsidP="00C80F93">
      <w:pPr>
        <w:pStyle w:val="ListParagraph"/>
        <w:rPr>
          <w:rFonts w:ascii="Arial" w:hAnsi="Arial" w:cs="Arial"/>
        </w:rPr>
      </w:pPr>
    </w:p>
    <w:p w:rsidR="005829B5" w:rsidRDefault="00C80F93" w:rsidP="00C80F93">
      <w:pPr>
        <w:rPr>
          <w:rFonts w:ascii="Arial" w:hAnsi="Arial" w:cs="Arial"/>
        </w:rPr>
      </w:pPr>
      <w:r w:rsidRPr="00C80F93">
        <w:rPr>
          <w:rFonts w:ascii="Arial" w:hAnsi="Arial" w:cs="Arial"/>
        </w:rPr>
        <w:t>A detailed position for Ph</w:t>
      </w:r>
      <w:r w:rsidR="00E74FB0">
        <w:rPr>
          <w:rFonts w:ascii="Arial" w:hAnsi="Arial" w:cs="Arial"/>
        </w:rPr>
        <w:t>ase 2 as of Tuesday 24</w:t>
      </w:r>
      <w:r w:rsidR="00E74FB0" w:rsidRPr="00E74FB0">
        <w:rPr>
          <w:rFonts w:ascii="Arial" w:hAnsi="Arial" w:cs="Arial"/>
          <w:vertAlign w:val="superscript"/>
        </w:rPr>
        <w:t>th</w:t>
      </w:r>
      <w:r w:rsidR="00E74FB0">
        <w:rPr>
          <w:rFonts w:ascii="Arial" w:hAnsi="Arial" w:cs="Arial"/>
        </w:rPr>
        <w:t xml:space="preserve"> March 20 is that </w:t>
      </w:r>
      <w:r w:rsidRPr="00C80F93">
        <w:rPr>
          <w:rFonts w:ascii="Arial" w:hAnsi="Arial" w:cs="Arial"/>
        </w:rPr>
        <w:t>Kier still intend to complete the Stage 3 report (FBC stage) including target cost and programme by 31</w:t>
      </w:r>
      <w:r w:rsidRPr="00C80F93">
        <w:rPr>
          <w:rFonts w:ascii="Arial" w:hAnsi="Arial" w:cs="Arial"/>
          <w:vertAlign w:val="superscript"/>
        </w:rPr>
        <w:t>st</w:t>
      </w:r>
      <w:r w:rsidRPr="00C80F93">
        <w:rPr>
          <w:rFonts w:ascii="Arial" w:hAnsi="Arial" w:cs="Arial"/>
        </w:rPr>
        <w:t xml:space="preserve"> March 20 as agreed.   The Full Business Case drafting is well underway but key </w:t>
      </w:r>
      <w:r w:rsidRPr="00C80F93">
        <w:rPr>
          <w:rFonts w:ascii="Arial" w:hAnsi="Arial" w:cs="Arial"/>
        </w:rPr>
        <w:lastRenderedPageBreak/>
        <w:t>areas of the FBC have been impacted by the current situation.  These are AEDET and Stakeholder workshops which had to be cancelled as they included former patient</w:t>
      </w:r>
      <w:r w:rsidR="00E74FB0">
        <w:rPr>
          <w:rFonts w:ascii="Arial" w:hAnsi="Arial" w:cs="Arial"/>
        </w:rPr>
        <w:t>s who were unable to attend</w:t>
      </w:r>
      <w:r w:rsidRPr="00C80F93">
        <w:rPr>
          <w:rFonts w:ascii="Arial" w:hAnsi="Arial" w:cs="Arial"/>
        </w:rPr>
        <w:t xml:space="preserve">.   </w:t>
      </w:r>
    </w:p>
    <w:p w:rsidR="005829B5" w:rsidRDefault="005829B5" w:rsidP="00C80F93">
      <w:pPr>
        <w:rPr>
          <w:rFonts w:ascii="Arial" w:hAnsi="Arial" w:cs="Arial"/>
        </w:rPr>
      </w:pPr>
    </w:p>
    <w:p w:rsidR="005829B5" w:rsidRDefault="00C80F93" w:rsidP="00C80F93">
      <w:pPr>
        <w:rPr>
          <w:rFonts w:ascii="Arial" w:hAnsi="Arial" w:cs="Arial"/>
        </w:rPr>
      </w:pPr>
      <w:r w:rsidRPr="00C80F93">
        <w:rPr>
          <w:rFonts w:ascii="Arial" w:hAnsi="Arial" w:cs="Arial"/>
        </w:rPr>
        <w:t xml:space="preserve">The programme date </w:t>
      </w:r>
      <w:r w:rsidR="00E74FB0">
        <w:rPr>
          <w:rFonts w:ascii="Arial" w:hAnsi="Arial" w:cs="Arial"/>
        </w:rPr>
        <w:t>for FBC submission to CIG</w:t>
      </w:r>
      <w:r w:rsidR="00E74FB0" w:rsidRPr="00C80F93">
        <w:rPr>
          <w:rFonts w:ascii="Arial" w:hAnsi="Arial" w:cs="Arial"/>
        </w:rPr>
        <w:t xml:space="preserve"> </w:t>
      </w:r>
      <w:r w:rsidR="00E74FB0">
        <w:rPr>
          <w:rFonts w:ascii="Arial" w:hAnsi="Arial" w:cs="Arial"/>
        </w:rPr>
        <w:t xml:space="preserve">in April 20 </w:t>
      </w:r>
      <w:r w:rsidRPr="00C80F93">
        <w:rPr>
          <w:rFonts w:ascii="Arial" w:hAnsi="Arial" w:cs="Arial"/>
        </w:rPr>
        <w:t xml:space="preserve">is therefore in doubt.   Informal </w:t>
      </w:r>
      <w:r w:rsidR="00E74FB0" w:rsidRPr="00C80F93">
        <w:rPr>
          <w:rFonts w:ascii="Arial" w:hAnsi="Arial" w:cs="Arial"/>
        </w:rPr>
        <w:t>discussions have</w:t>
      </w:r>
      <w:r w:rsidR="00E74FB0">
        <w:rPr>
          <w:rFonts w:ascii="Arial" w:hAnsi="Arial" w:cs="Arial"/>
        </w:rPr>
        <w:t xml:space="preserve"> taken place with Scottish Government</w:t>
      </w:r>
      <w:r w:rsidR="005829B5">
        <w:rPr>
          <w:rFonts w:ascii="Arial" w:hAnsi="Arial" w:cs="Arial"/>
        </w:rPr>
        <w:t xml:space="preserve"> colleagues with regards to the FBC and there is a strong indication that they would</w:t>
      </w:r>
      <w:r w:rsidR="006C6CDC" w:rsidRPr="006C6CDC">
        <w:rPr>
          <w:rFonts w:ascii="Arial" w:hAnsi="Arial" w:cs="Arial"/>
        </w:rPr>
        <w:t xml:space="preserve"> be comfortable with the approach of delaying the FBC submission and continuing with the enabling works (subject to Planning approval) to maintain the programme</w:t>
      </w:r>
      <w:r w:rsidR="00E74FB0">
        <w:rPr>
          <w:rFonts w:ascii="Arial" w:hAnsi="Arial" w:cs="Arial"/>
        </w:rPr>
        <w:t xml:space="preserve"> as much as possible</w:t>
      </w:r>
      <w:r w:rsidR="006C6CDC" w:rsidRPr="006C6CDC">
        <w:rPr>
          <w:rFonts w:ascii="Arial" w:hAnsi="Arial" w:cs="Arial"/>
        </w:rPr>
        <w:t xml:space="preserve">. </w:t>
      </w:r>
      <w:r w:rsidR="005829B5">
        <w:rPr>
          <w:rFonts w:ascii="Arial" w:hAnsi="Arial" w:cs="Arial"/>
        </w:rPr>
        <w:t>This position statement can be formally provided to gain a robust governance audit trail and it is recommended that we proceed with formalising FBC delay arrangements</w:t>
      </w:r>
      <w:r w:rsidR="006C6CDC" w:rsidRPr="006C6CDC">
        <w:rPr>
          <w:rFonts w:ascii="Arial" w:hAnsi="Arial" w:cs="Arial"/>
        </w:rPr>
        <w:t xml:space="preserve">.   </w:t>
      </w:r>
    </w:p>
    <w:p w:rsidR="005829B5" w:rsidRDefault="005829B5" w:rsidP="00C80F93">
      <w:pPr>
        <w:rPr>
          <w:rFonts w:ascii="Arial" w:hAnsi="Arial" w:cs="Arial"/>
        </w:rPr>
      </w:pPr>
    </w:p>
    <w:p w:rsidR="00C80F93" w:rsidRDefault="00C80F93" w:rsidP="00C80F93">
      <w:pPr>
        <w:rPr>
          <w:rFonts w:ascii="Arial" w:hAnsi="Arial" w:cs="Arial"/>
        </w:rPr>
      </w:pPr>
      <w:r w:rsidRPr="00C80F93">
        <w:rPr>
          <w:rFonts w:ascii="Arial" w:hAnsi="Arial" w:cs="Arial"/>
        </w:rPr>
        <w:t>In relation to Planning Approval although the Council Offices are closed the Planning Department is continuing to function and as it currently stands the Council’s Planning Committee is next due to sit on 29</w:t>
      </w:r>
      <w:r w:rsidRPr="00C80F93">
        <w:rPr>
          <w:rFonts w:ascii="Arial" w:hAnsi="Arial" w:cs="Arial"/>
          <w:vertAlign w:val="superscript"/>
        </w:rPr>
        <w:t>th</w:t>
      </w:r>
      <w:r w:rsidR="00C477CA">
        <w:rPr>
          <w:rFonts w:ascii="Arial" w:hAnsi="Arial" w:cs="Arial"/>
        </w:rPr>
        <w:t xml:space="preserve"> April and the</w:t>
      </w:r>
      <w:r w:rsidRPr="00C80F93">
        <w:rPr>
          <w:rFonts w:ascii="Arial" w:hAnsi="Arial" w:cs="Arial"/>
        </w:rPr>
        <w:t xml:space="preserve"> priority scheme for con</w:t>
      </w:r>
      <w:r w:rsidR="00C477CA">
        <w:rPr>
          <w:rFonts w:ascii="Arial" w:hAnsi="Arial" w:cs="Arial"/>
        </w:rPr>
        <w:t>sideration is the</w:t>
      </w:r>
      <w:r w:rsidRPr="00C80F93">
        <w:rPr>
          <w:rFonts w:ascii="Arial" w:hAnsi="Arial" w:cs="Arial"/>
        </w:rPr>
        <w:t xml:space="preserve"> Phase 2 development.</w:t>
      </w:r>
    </w:p>
    <w:p w:rsidR="002C3711" w:rsidRDefault="002C3711" w:rsidP="00C80F93">
      <w:pPr>
        <w:rPr>
          <w:rFonts w:ascii="Arial" w:hAnsi="Arial" w:cs="Arial"/>
        </w:rPr>
      </w:pPr>
    </w:p>
    <w:p w:rsidR="00C80F93" w:rsidRPr="00C80F93" w:rsidRDefault="002C3711" w:rsidP="002C3711">
      <w:pPr>
        <w:rPr>
          <w:rFonts w:ascii="Arial" w:hAnsi="Arial" w:cs="Arial"/>
        </w:rPr>
      </w:pPr>
      <w:r>
        <w:rPr>
          <w:rFonts w:ascii="Arial" w:hAnsi="Arial" w:cs="Arial"/>
        </w:rPr>
        <w:t>From a financial perspective in 19/20 both programmes were on track to provide a balanced position against our Capital Resource Limit (CRL). The cost control group met on 25</w:t>
      </w:r>
      <w:r w:rsidRPr="002C3711">
        <w:rPr>
          <w:rFonts w:ascii="Arial" w:hAnsi="Arial" w:cs="Arial"/>
          <w:vertAlign w:val="superscript"/>
        </w:rPr>
        <w:t>th</w:t>
      </w:r>
      <w:r>
        <w:rPr>
          <w:rFonts w:ascii="Arial" w:hAnsi="Arial" w:cs="Arial"/>
        </w:rPr>
        <w:t xml:space="preserve"> March 2020 to review progress status and link to financials and it is inconceivable to think anything other than this will have an absolute effect on the phasing of work and hence phasing of costs within this year. We therefore expect that we will not spend to the full value of our CRL and are likely to come under the allocations previously given. The detail behind this is being developed currently and we have linked with finance colleagues at Scottish Government to highlight the issues we have, which are consistent to many other capital projects across NHS Scotland. We will therefore seek to identify the revised phasing and liaise with Scottish Government over the course of the next week to identify a suitable solution which satisfies both the year-end position and maintaining the full level of expansion funds for this project.</w:t>
      </w:r>
    </w:p>
    <w:p w:rsidR="00617E35" w:rsidRPr="00617E35" w:rsidRDefault="00617E35" w:rsidP="00617E35"/>
    <w:p w:rsidR="006B3F74" w:rsidRDefault="00A77476" w:rsidP="00A77476">
      <w:pPr>
        <w:pStyle w:val="Heading2"/>
        <w:numPr>
          <w:ilvl w:val="0"/>
          <w:numId w:val="25"/>
        </w:numPr>
        <w:ind w:left="426" w:right="183" w:hanging="426"/>
        <w:rPr>
          <w:i w:val="0"/>
          <w:sz w:val="24"/>
          <w:szCs w:val="24"/>
        </w:rPr>
      </w:pPr>
      <w:r>
        <w:rPr>
          <w:i w:val="0"/>
          <w:sz w:val="24"/>
          <w:szCs w:val="24"/>
        </w:rPr>
        <w:t>Recommendation</w:t>
      </w:r>
    </w:p>
    <w:p w:rsidR="00A77476" w:rsidRPr="00A77476" w:rsidRDefault="00A77476" w:rsidP="00A77476">
      <w:pPr>
        <w:pStyle w:val="ListParagraph"/>
      </w:pPr>
    </w:p>
    <w:p w:rsidR="006B3F74" w:rsidRPr="006B3F74" w:rsidRDefault="006B3F74" w:rsidP="006B3F74">
      <w:pPr>
        <w:ind w:right="183"/>
        <w:rPr>
          <w:rFonts w:ascii="Arial" w:hAnsi="Arial" w:cs="Arial"/>
          <w:b/>
          <w:bCs/>
          <w:sz w:val="12"/>
          <w:szCs w:val="12"/>
        </w:rPr>
      </w:pPr>
    </w:p>
    <w:p w:rsidR="006B3F74" w:rsidRDefault="006B3F74" w:rsidP="006B3F74">
      <w:pPr>
        <w:ind w:right="183"/>
        <w:rPr>
          <w:rFonts w:ascii="Arial" w:hAnsi="Arial" w:cs="Arial"/>
          <w:bCs/>
        </w:rPr>
      </w:pPr>
      <w:r>
        <w:rPr>
          <w:rFonts w:ascii="Arial" w:hAnsi="Arial" w:cs="Arial"/>
          <w:bCs/>
        </w:rPr>
        <w:t xml:space="preserve">Board </w:t>
      </w:r>
      <w:r w:rsidRPr="00456880">
        <w:rPr>
          <w:rFonts w:ascii="Arial" w:hAnsi="Arial" w:cs="Arial"/>
          <w:bCs/>
        </w:rPr>
        <w:t>Member</w:t>
      </w:r>
      <w:r>
        <w:rPr>
          <w:rFonts w:ascii="Arial" w:hAnsi="Arial" w:cs="Arial"/>
          <w:bCs/>
        </w:rPr>
        <w:t>s are asked to</w:t>
      </w:r>
      <w:r w:rsidRPr="006B3F74">
        <w:rPr>
          <w:rFonts w:ascii="Arial" w:hAnsi="Arial" w:cs="Arial"/>
          <w:bCs/>
        </w:rPr>
        <w:t xml:space="preserve"> </w:t>
      </w:r>
      <w:r w:rsidR="00C80F93">
        <w:rPr>
          <w:rFonts w:ascii="Arial" w:hAnsi="Arial" w:cs="Arial"/>
          <w:bCs/>
        </w:rPr>
        <w:t>note the update</w:t>
      </w:r>
      <w:r w:rsidR="005829B5">
        <w:rPr>
          <w:rFonts w:ascii="Arial" w:hAnsi="Arial" w:cs="Arial"/>
          <w:bCs/>
        </w:rPr>
        <w:t xml:space="preserve"> and steps taken to date</w:t>
      </w:r>
      <w:r w:rsidR="00C80F93">
        <w:rPr>
          <w:rFonts w:ascii="Arial" w:hAnsi="Arial" w:cs="Arial"/>
          <w:bCs/>
        </w:rPr>
        <w:t>.</w:t>
      </w:r>
    </w:p>
    <w:p w:rsidR="005829B5" w:rsidRDefault="005829B5" w:rsidP="006B3F74">
      <w:pPr>
        <w:ind w:right="183"/>
        <w:rPr>
          <w:rFonts w:ascii="Arial" w:hAnsi="Arial" w:cs="Arial"/>
          <w:bCs/>
        </w:rPr>
      </w:pPr>
    </w:p>
    <w:p w:rsidR="005829B5" w:rsidRPr="006B3F74" w:rsidRDefault="005829B5" w:rsidP="006B3F74">
      <w:pPr>
        <w:ind w:right="183"/>
        <w:rPr>
          <w:rFonts w:ascii="Arial" w:hAnsi="Arial" w:cs="Arial"/>
          <w:bCs/>
        </w:rPr>
      </w:pPr>
      <w:r>
        <w:rPr>
          <w:rFonts w:ascii="Arial" w:hAnsi="Arial" w:cs="Arial"/>
          <w:bCs/>
        </w:rPr>
        <w:t xml:space="preserve">This position is clearly evolving at a rapid pace in recent days and it is anticipated that this is likely to lead to the cessation of works surrounding the expansion </w:t>
      </w:r>
      <w:r w:rsidR="00C7112D">
        <w:rPr>
          <w:rFonts w:ascii="Arial" w:hAnsi="Arial" w:cs="Arial"/>
          <w:bCs/>
        </w:rPr>
        <w:t>programmes</w:t>
      </w:r>
      <w:r>
        <w:rPr>
          <w:rFonts w:ascii="Arial" w:hAnsi="Arial" w:cs="Arial"/>
          <w:bCs/>
        </w:rPr>
        <w:t>. Updates will be p</w:t>
      </w:r>
      <w:r w:rsidR="005E620B">
        <w:rPr>
          <w:rFonts w:ascii="Arial" w:hAnsi="Arial" w:cs="Arial"/>
          <w:bCs/>
        </w:rPr>
        <w:t>rovided to board members as this develops</w:t>
      </w:r>
      <w:r w:rsidR="00C7112D">
        <w:rPr>
          <w:rFonts w:ascii="Arial" w:hAnsi="Arial" w:cs="Arial"/>
          <w:bCs/>
        </w:rPr>
        <w:t xml:space="preserve"> together with an update on how the financial flows will be resolved</w:t>
      </w:r>
      <w:r w:rsidR="005E620B">
        <w:rPr>
          <w:rFonts w:ascii="Arial" w:hAnsi="Arial" w:cs="Arial"/>
          <w:bCs/>
        </w:rPr>
        <w:t>.</w:t>
      </w:r>
    </w:p>
    <w:p w:rsidR="0069303A" w:rsidRDefault="0069303A" w:rsidP="00067AD9">
      <w:pPr>
        <w:ind w:right="-330"/>
        <w:rPr>
          <w:rFonts w:ascii="Arial" w:hAnsi="Arial" w:cs="Arial"/>
        </w:rPr>
      </w:pPr>
    </w:p>
    <w:p w:rsidR="0069303A" w:rsidRDefault="0069303A" w:rsidP="00E94C70">
      <w:pPr>
        <w:ind w:right="-330"/>
        <w:rPr>
          <w:rFonts w:ascii="Arial" w:hAnsi="Arial" w:cs="Arial"/>
          <w:b/>
          <w:bCs/>
        </w:rPr>
      </w:pPr>
      <w:r>
        <w:rPr>
          <w:rFonts w:ascii="Arial" w:hAnsi="Arial" w:cs="Arial"/>
          <w:b/>
          <w:bCs/>
        </w:rPr>
        <w:tab/>
      </w:r>
    </w:p>
    <w:p w:rsidR="0069303A" w:rsidRDefault="0069303A" w:rsidP="00E94C70">
      <w:pPr>
        <w:ind w:right="-330"/>
        <w:rPr>
          <w:rFonts w:ascii="Arial" w:hAnsi="Arial" w:cs="Arial"/>
          <w:b/>
          <w:bCs/>
        </w:rPr>
      </w:pPr>
    </w:p>
    <w:p w:rsidR="0069303A" w:rsidRDefault="0069303A" w:rsidP="00E94C70">
      <w:pPr>
        <w:ind w:right="-330"/>
        <w:rPr>
          <w:rFonts w:ascii="Arial" w:hAnsi="Arial" w:cs="Arial"/>
          <w:b/>
          <w:bCs/>
        </w:rPr>
      </w:pPr>
    </w:p>
    <w:p w:rsidR="0069303A" w:rsidRDefault="00C477CA" w:rsidP="00E94C70">
      <w:pPr>
        <w:ind w:right="-330"/>
        <w:rPr>
          <w:rFonts w:ascii="Arial" w:hAnsi="Arial" w:cs="Arial"/>
          <w:b/>
          <w:bCs/>
        </w:rPr>
      </w:pPr>
      <w:r>
        <w:rPr>
          <w:rFonts w:ascii="Arial" w:hAnsi="Arial" w:cs="Arial"/>
          <w:b/>
          <w:bCs/>
        </w:rPr>
        <w:t>Colin Neil</w:t>
      </w:r>
    </w:p>
    <w:p w:rsidR="00A77476" w:rsidRDefault="00C477CA" w:rsidP="00A77476">
      <w:pPr>
        <w:ind w:right="-330"/>
        <w:rPr>
          <w:rFonts w:ascii="Arial" w:hAnsi="Arial" w:cs="Arial"/>
          <w:b/>
          <w:bCs/>
        </w:rPr>
      </w:pPr>
      <w:r>
        <w:rPr>
          <w:rFonts w:ascii="Arial" w:hAnsi="Arial" w:cs="Arial"/>
          <w:b/>
          <w:bCs/>
        </w:rPr>
        <w:t>Director of Finance</w:t>
      </w:r>
    </w:p>
    <w:p w:rsidR="00C477CA" w:rsidRPr="00C477CA" w:rsidRDefault="00C477CA" w:rsidP="00A77476">
      <w:pPr>
        <w:ind w:right="-330"/>
        <w:rPr>
          <w:rFonts w:ascii="Arial" w:hAnsi="Arial" w:cs="Arial"/>
          <w:bCs/>
        </w:rPr>
      </w:pPr>
      <w:r w:rsidRPr="00C477CA">
        <w:rPr>
          <w:rFonts w:ascii="Arial" w:hAnsi="Arial" w:cs="Arial"/>
          <w:bCs/>
        </w:rPr>
        <w:t>(John Scott, Programme Director)</w:t>
      </w:r>
    </w:p>
    <w:p w:rsidR="006B3F74" w:rsidRDefault="00C477CA" w:rsidP="00E94C70">
      <w:pPr>
        <w:ind w:right="-330"/>
        <w:rPr>
          <w:rFonts w:ascii="Arial" w:hAnsi="Arial" w:cs="Arial"/>
          <w:b/>
          <w:bCs/>
        </w:rPr>
      </w:pPr>
      <w:r>
        <w:rPr>
          <w:rFonts w:ascii="Arial" w:hAnsi="Arial" w:cs="Arial"/>
          <w:b/>
          <w:bCs/>
        </w:rPr>
        <w:t>26</w:t>
      </w:r>
      <w:r w:rsidRPr="00C477CA">
        <w:rPr>
          <w:rFonts w:ascii="Arial" w:hAnsi="Arial" w:cs="Arial"/>
          <w:b/>
          <w:bCs/>
          <w:vertAlign w:val="superscript"/>
        </w:rPr>
        <w:t>th</w:t>
      </w:r>
      <w:r>
        <w:rPr>
          <w:rFonts w:ascii="Arial" w:hAnsi="Arial" w:cs="Arial"/>
          <w:b/>
          <w:bCs/>
        </w:rPr>
        <w:t xml:space="preserve"> March 20</w:t>
      </w:r>
    </w:p>
    <w:sectPr w:rsidR="006B3F74" w:rsidSect="00E050BB">
      <w:footerReference w:type="default" r:id="rId9"/>
      <w:headerReference w:type="first" r:id="rId10"/>
      <w:footerReference w:type="first" r:id="rId11"/>
      <w:pgSz w:w="11906" w:h="16838"/>
      <w:pgMar w:top="1440" w:right="1440" w:bottom="1440" w:left="1440"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0B3" w:rsidRDefault="004420B3">
      <w:r>
        <w:separator/>
      </w:r>
    </w:p>
  </w:endnote>
  <w:endnote w:type="continuationSeparator" w:id="0">
    <w:p w:rsidR="004420B3" w:rsidRDefault="0044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D021D5" w:rsidRPr="00513DB0">
      <w:rPr>
        <w:rStyle w:val="PageNumber"/>
        <w:rFonts w:ascii="Arial" w:hAnsi="Arial" w:cs="Arial"/>
      </w:rPr>
      <w:fldChar w:fldCharType="begin"/>
    </w:r>
    <w:r w:rsidRPr="00513DB0">
      <w:rPr>
        <w:rStyle w:val="PageNumber"/>
        <w:rFonts w:ascii="Arial" w:hAnsi="Arial" w:cs="Arial"/>
      </w:rPr>
      <w:instrText xml:space="preserve"> PAGE </w:instrText>
    </w:r>
    <w:r w:rsidR="00D021D5" w:rsidRPr="00513DB0">
      <w:rPr>
        <w:rStyle w:val="PageNumber"/>
        <w:rFonts w:ascii="Arial" w:hAnsi="Arial" w:cs="Arial"/>
      </w:rPr>
      <w:fldChar w:fldCharType="separate"/>
    </w:r>
    <w:r w:rsidR="00234BEF">
      <w:rPr>
        <w:rStyle w:val="PageNumber"/>
        <w:rFonts w:ascii="Arial" w:hAnsi="Arial" w:cs="Arial"/>
        <w:noProof/>
      </w:rPr>
      <w:t>2</w:t>
    </w:r>
    <w:r w:rsidR="00D021D5"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D021D5" w:rsidRPr="00513DB0">
      <w:rPr>
        <w:rStyle w:val="PageNumber"/>
        <w:rFonts w:ascii="Arial" w:hAnsi="Arial" w:cs="Arial"/>
      </w:rPr>
      <w:fldChar w:fldCharType="begin"/>
    </w:r>
    <w:r w:rsidRPr="00513DB0">
      <w:rPr>
        <w:rStyle w:val="PageNumber"/>
        <w:rFonts w:ascii="Arial" w:hAnsi="Arial" w:cs="Arial"/>
      </w:rPr>
      <w:instrText xml:space="preserve"> PAGE </w:instrText>
    </w:r>
    <w:r w:rsidR="00D021D5" w:rsidRPr="00513DB0">
      <w:rPr>
        <w:rStyle w:val="PageNumber"/>
        <w:rFonts w:ascii="Arial" w:hAnsi="Arial" w:cs="Arial"/>
      </w:rPr>
      <w:fldChar w:fldCharType="separate"/>
    </w:r>
    <w:r w:rsidR="00234BEF">
      <w:rPr>
        <w:rStyle w:val="PageNumber"/>
        <w:rFonts w:ascii="Arial" w:hAnsi="Arial" w:cs="Arial"/>
        <w:noProof/>
      </w:rPr>
      <w:t>1</w:t>
    </w:r>
    <w:r w:rsidR="00D021D5"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2253CC" w:rsidP="0080001C">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0B3" w:rsidRDefault="004420B3">
      <w:r>
        <w:separator/>
      </w:r>
    </w:p>
  </w:footnote>
  <w:footnote w:type="continuationSeparator" w:id="0">
    <w:p w:rsidR="004420B3" w:rsidRDefault="0044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C70" w:rsidRPr="00E94C70" w:rsidRDefault="00E94C70" w:rsidP="00E94C70">
    <w:pPr>
      <w:pStyle w:val="Header"/>
      <w:jc w:val="right"/>
      <w:rPr>
        <w:rFonts w:ascii="Arial" w:hAnsi="Arial" w:cs="Arial"/>
        <w:b/>
        <w:color w:val="0070C0"/>
      </w:rPr>
    </w:pPr>
    <w:r w:rsidRPr="00E94C70">
      <w:rPr>
        <w:rFonts w:ascii="Arial" w:hAnsi="Arial" w:cs="Arial"/>
        <w:b/>
        <w:color w:val="0070C0"/>
      </w:rPr>
      <w:t xml:space="preserve">Item </w:t>
    </w:r>
    <w:r w:rsidR="00E050BB">
      <w:rPr>
        <w:rFonts w:ascii="Arial" w:hAnsi="Arial" w:cs="Arial"/>
        <w:b/>
        <w:color w:val="0070C0"/>
      </w:rPr>
      <w:t>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DC4"/>
    <w:multiLevelType w:val="hybridMultilevel"/>
    <w:tmpl w:val="6F4AD3AC"/>
    <w:lvl w:ilvl="0" w:tplc="CBB0A6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F1AD7"/>
    <w:multiLevelType w:val="hybridMultilevel"/>
    <w:tmpl w:val="730E3B08"/>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8" w15:restartNumberingAfterBreak="0">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42BA0"/>
    <w:multiLevelType w:val="hybridMultilevel"/>
    <w:tmpl w:val="A044F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5" w15:restartNumberingAfterBreak="0">
    <w:nsid w:val="3E307352"/>
    <w:multiLevelType w:val="hybridMultilevel"/>
    <w:tmpl w:val="46A69D02"/>
    <w:lvl w:ilvl="0" w:tplc="124685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AD3003"/>
    <w:multiLevelType w:val="hybridMultilevel"/>
    <w:tmpl w:val="7CC88F26"/>
    <w:lvl w:ilvl="0" w:tplc="A3847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18"/>
  </w:num>
  <w:num w:numId="4">
    <w:abstractNumId w:val="2"/>
  </w:num>
  <w:num w:numId="5">
    <w:abstractNumId w:val="4"/>
  </w:num>
  <w:num w:numId="6">
    <w:abstractNumId w:val="14"/>
  </w:num>
  <w:num w:numId="7">
    <w:abstractNumId w:val="23"/>
  </w:num>
  <w:num w:numId="8">
    <w:abstractNumId w:val="1"/>
  </w:num>
  <w:num w:numId="9">
    <w:abstractNumId w:val="22"/>
  </w:num>
  <w:num w:numId="10">
    <w:abstractNumId w:val="12"/>
  </w:num>
  <w:num w:numId="11">
    <w:abstractNumId w:val="10"/>
  </w:num>
  <w:num w:numId="12">
    <w:abstractNumId w:val="19"/>
  </w:num>
  <w:num w:numId="13">
    <w:abstractNumId w:val="6"/>
  </w:num>
  <w:num w:numId="14">
    <w:abstractNumId w:val="5"/>
  </w:num>
  <w:num w:numId="15">
    <w:abstractNumId w:val="13"/>
  </w:num>
  <w:num w:numId="16">
    <w:abstractNumId w:val="9"/>
  </w:num>
  <w:num w:numId="17">
    <w:abstractNumId w:val="17"/>
  </w:num>
  <w:num w:numId="18">
    <w:abstractNumId w:val="3"/>
  </w:num>
  <w:num w:numId="19">
    <w:abstractNumId w:val="20"/>
  </w:num>
  <w:num w:numId="20">
    <w:abstractNumId w:val="8"/>
  </w:num>
  <w:num w:numId="21">
    <w:abstractNumId w:val="7"/>
  </w:num>
  <w:num w:numId="22">
    <w:abstractNumId w:val="11"/>
  </w:num>
  <w:num w:numId="23">
    <w:abstractNumId w:val="15"/>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2577B"/>
    <w:rsid w:val="0002036A"/>
    <w:rsid w:val="00061CDE"/>
    <w:rsid w:val="00067AD9"/>
    <w:rsid w:val="00075AAA"/>
    <w:rsid w:val="00097EAE"/>
    <w:rsid w:val="000B5923"/>
    <w:rsid w:val="000D0952"/>
    <w:rsid w:val="00115F97"/>
    <w:rsid w:val="001175E5"/>
    <w:rsid w:val="002253CC"/>
    <w:rsid w:val="00234BEF"/>
    <w:rsid w:val="00237CBD"/>
    <w:rsid w:val="002A42DD"/>
    <w:rsid w:val="002C3711"/>
    <w:rsid w:val="0031078B"/>
    <w:rsid w:val="003D03FE"/>
    <w:rsid w:val="003E423D"/>
    <w:rsid w:val="003E5C49"/>
    <w:rsid w:val="003F19CA"/>
    <w:rsid w:val="00421BE6"/>
    <w:rsid w:val="004420B3"/>
    <w:rsid w:val="004512CE"/>
    <w:rsid w:val="004A2F97"/>
    <w:rsid w:val="004A3FA6"/>
    <w:rsid w:val="005124C2"/>
    <w:rsid w:val="00513AB1"/>
    <w:rsid w:val="00513DB0"/>
    <w:rsid w:val="005239DB"/>
    <w:rsid w:val="00526532"/>
    <w:rsid w:val="005829B5"/>
    <w:rsid w:val="005B4BA8"/>
    <w:rsid w:val="005B69F4"/>
    <w:rsid w:val="005E620B"/>
    <w:rsid w:val="005F02B7"/>
    <w:rsid w:val="0060634D"/>
    <w:rsid w:val="00617E35"/>
    <w:rsid w:val="00634435"/>
    <w:rsid w:val="00661EF1"/>
    <w:rsid w:val="0069303A"/>
    <w:rsid w:val="006A1357"/>
    <w:rsid w:val="006A590C"/>
    <w:rsid w:val="006B3F74"/>
    <w:rsid w:val="006C6CDC"/>
    <w:rsid w:val="006D6F99"/>
    <w:rsid w:val="00711E7A"/>
    <w:rsid w:val="007B4090"/>
    <w:rsid w:val="007D76C0"/>
    <w:rsid w:val="0080001C"/>
    <w:rsid w:val="00815350"/>
    <w:rsid w:val="00825B2D"/>
    <w:rsid w:val="00844E0E"/>
    <w:rsid w:val="00881E35"/>
    <w:rsid w:val="008A07AE"/>
    <w:rsid w:val="008B23D9"/>
    <w:rsid w:val="008C26A2"/>
    <w:rsid w:val="0093133E"/>
    <w:rsid w:val="0093700B"/>
    <w:rsid w:val="00937BE5"/>
    <w:rsid w:val="009742FA"/>
    <w:rsid w:val="00974594"/>
    <w:rsid w:val="00993155"/>
    <w:rsid w:val="009E6A39"/>
    <w:rsid w:val="00A2577B"/>
    <w:rsid w:val="00A3124D"/>
    <w:rsid w:val="00A560AF"/>
    <w:rsid w:val="00A77476"/>
    <w:rsid w:val="00AB7736"/>
    <w:rsid w:val="00B0525B"/>
    <w:rsid w:val="00B5719A"/>
    <w:rsid w:val="00B967C0"/>
    <w:rsid w:val="00BC668C"/>
    <w:rsid w:val="00BF3405"/>
    <w:rsid w:val="00C0017D"/>
    <w:rsid w:val="00C0429D"/>
    <w:rsid w:val="00C24B4E"/>
    <w:rsid w:val="00C36974"/>
    <w:rsid w:val="00C477CA"/>
    <w:rsid w:val="00C7112D"/>
    <w:rsid w:val="00C80F93"/>
    <w:rsid w:val="00C956E2"/>
    <w:rsid w:val="00CA6DDF"/>
    <w:rsid w:val="00CD171D"/>
    <w:rsid w:val="00CE4B72"/>
    <w:rsid w:val="00CF6461"/>
    <w:rsid w:val="00D021D5"/>
    <w:rsid w:val="00D05B0C"/>
    <w:rsid w:val="00D05F2C"/>
    <w:rsid w:val="00D306B6"/>
    <w:rsid w:val="00D92AA6"/>
    <w:rsid w:val="00DD7115"/>
    <w:rsid w:val="00DE5902"/>
    <w:rsid w:val="00E050BB"/>
    <w:rsid w:val="00E24BFC"/>
    <w:rsid w:val="00E74FB0"/>
    <w:rsid w:val="00E94C70"/>
    <w:rsid w:val="00E95856"/>
    <w:rsid w:val="00EA4869"/>
    <w:rsid w:val="00EB7C07"/>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69752A-21DF-45F7-8B6B-6E13444A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C4516-F079-44A4-8552-2C78A80C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Cheryl Prentice</cp:lastModifiedBy>
  <cp:revision>2</cp:revision>
  <cp:lastPrinted>2020-03-26T08:47:00Z</cp:lastPrinted>
  <dcterms:created xsi:type="dcterms:W3CDTF">2020-03-26T08:53:00Z</dcterms:created>
  <dcterms:modified xsi:type="dcterms:W3CDTF">2020-03-26T08:53:00Z</dcterms:modified>
</cp:coreProperties>
</file>