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E06B43" w:rsidRDefault="004E3B21" w:rsidP="00E06B43">
      <w:pPr>
        <w:jc w:val="center"/>
        <w:rPr>
          <w:rFonts w:ascii="Stone Sans Semi Bold" w:hAnsi="Stone Sans Semi Bold"/>
          <w:b/>
          <w:color w:val="004380"/>
        </w:rPr>
      </w:pPr>
      <w:r>
        <w:rPr>
          <w:rFonts w:ascii="Stone Sans Semi Bold" w:hAnsi="Stone Sans Semi Bold"/>
          <w:b/>
          <w:noProof/>
          <w:color w:val="004380"/>
          <w:lang w:eastAsia="en-GB"/>
        </w:rPr>
        <w:drawing>
          <wp:inline distT="0" distB="0" distL="0" distR="0" wp14:anchorId="474E2BF8">
            <wp:extent cx="6473566" cy="91985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05964" cy="9244627"/>
                    </a:xfrm>
                    <a:prstGeom prst="rect">
                      <a:avLst/>
                    </a:prstGeom>
                    <a:noFill/>
                  </pic:spPr>
                </pic:pic>
              </a:graphicData>
            </a:graphic>
          </wp:inline>
        </w:drawing>
      </w:r>
    </w:p>
    <w:p w:rsidR="00234ABE" w:rsidRPr="00B77BE0" w:rsidRDefault="00234ABE" w:rsidP="00E50634">
      <w:pPr>
        <w:pStyle w:val="Heading1"/>
        <w:rPr>
          <w:b w:val="0"/>
          <w:color w:val="17365D" w:themeColor="text2" w:themeShade="BF"/>
          <w:sz w:val="32"/>
          <w:szCs w:val="32"/>
        </w:rPr>
      </w:pPr>
      <w:r w:rsidRPr="00E50634">
        <w:lastRenderedPageBreak/>
        <w:t>Contents</w:t>
      </w:r>
      <w:r w:rsidRPr="00E50634">
        <w:tab/>
      </w:r>
      <w:r w:rsidRPr="00B77BE0">
        <w:rPr>
          <w:b w:val="0"/>
          <w:color w:val="17365D" w:themeColor="text2" w:themeShade="BF"/>
          <w:sz w:val="32"/>
          <w:szCs w:val="32"/>
        </w:rPr>
        <w:tab/>
      </w:r>
    </w:p>
    <w:p w:rsidR="0061763D" w:rsidRPr="00D13B1B" w:rsidRDefault="0061763D" w:rsidP="00882B57">
      <w:pPr>
        <w:rPr>
          <w:rFonts w:cs="Arial"/>
          <w:b/>
          <w:color w:val="17365D" w:themeColor="text2" w:themeShade="BF"/>
          <w:sz w:val="32"/>
          <w:szCs w:val="32"/>
          <w:highlight w:val="yellow"/>
        </w:rPr>
      </w:pPr>
    </w:p>
    <w:p w:rsidR="0061763D" w:rsidRPr="00D13B1B" w:rsidRDefault="0061763D" w:rsidP="00882B57">
      <w:pPr>
        <w:rPr>
          <w:rFonts w:cs="Arial"/>
          <w:color w:val="17365D" w:themeColor="text2" w:themeShade="BF"/>
          <w:szCs w:val="22"/>
          <w:highlight w:val="yellow"/>
        </w:rPr>
      </w:pPr>
    </w:p>
    <w:p w:rsidR="0040438D" w:rsidRPr="00D13B1B" w:rsidRDefault="0040438D" w:rsidP="001B4295">
      <w:pPr>
        <w:tabs>
          <w:tab w:val="left" w:pos="1418"/>
          <w:tab w:val="left" w:pos="1701"/>
          <w:tab w:val="left" w:pos="1985"/>
          <w:tab w:val="left" w:pos="2268"/>
          <w:tab w:val="right" w:pos="9072"/>
        </w:tabs>
        <w:rPr>
          <w:rFonts w:cs="Arial"/>
          <w:color w:val="17365D" w:themeColor="text2" w:themeShade="BF"/>
          <w:szCs w:val="22"/>
          <w:highlight w:val="yellow"/>
        </w:rPr>
      </w:pPr>
    </w:p>
    <w:p w:rsidR="0061763D" w:rsidRPr="00D13B1B" w:rsidRDefault="0061763D"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ED7630" w:rsidRPr="00D13B1B" w:rsidRDefault="00ED7630" w:rsidP="001B4295">
      <w:pPr>
        <w:tabs>
          <w:tab w:val="left" w:pos="1418"/>
          <w:tab w:val="left" w:pos="1701"/>
          <w:tab w:val="left" w:pos="1985"/>
          <w:tab w:val="left" w:pos="2268"/>
          <w:tab w:val="right" w:pos="9072"/>
        </w:tabs>
        <w:rPr>
          <w:rFonts w:cs="Arial"/>
          <w:b/>
          <w:color w:val="17365D" w:themeColor="text2" w:themeShade="BF"/>
          <w:szCs w:val="22"/>
          <w:highlight w:val="yellow"/>
        </w:rPr>
      </w:pPr>
    </w:p>
    <w:p w:rsidR="001B3EC4" w:rsidRPr="00B77BE0" w:rsidRDefault="001B3EC4" w:rsidP="001B4295">
      <w:pPr>
        <w:tabs>
          <w:tab w:val="left" w:pos="1418"/>
          <w:tab w:val="left" w:pos="1701"/>
          <w:tab w:val="left" w:pos="1985"/>
          <w:tab w:val="left" w:pos="2268"/>
          <w:tab w:val="right" w:pos="9072"/>
        </w:tabs>
        <w:rPr>
          <w:rFonts w:cs="Arial"/>
          <w:color w:val="17365D" w:themeColor="text2" w:themeShade="BF"/>
          <w:szCs w:val="22"/>
        </w:rPr>
      </w:pPr>
    </w:p>
    <w:p w:rsidR="0061763D" w:rsidRPr="00B77BE0" w:rsidRDefault="0061763D" w:rsidP="001B4295">
      <w:pPr>
        <w:tabs>
          <w:tab w:val="left" w:pos="1418"/>
          <w:tab w:val="left" w:pos="1701"/>
          <w:tab w:val="left" w:pos="1985"/>
          <w:tab w:val="left" w:pos="2268"/>
          <w:tab w:val="right" w:pos="9072"/>
        </w:tabs>
        <w:rPr>
          <w:rFonts w:cs="Arial"/>
          <w:color w:val="17365D" w:themeColor="text2" w:themeShade="BF"/>
          <w:szCs w:val="22"/>
        </w:rPr>
      </w:pPr>
    </w:p>
    <w:p w:rsidR="001B4295" w:rsidRPr="00B77BE0" w:rsidRDefault="001B3EC4" w:rsidP="00EE40D1">
      <w:pPr>
        <w:tabs>
          <w:tab w:val="left" w:pos="1418"/>
          <w:tab w:val="left" w:pos="1701"/>
          <w:tab w:val="left" w:pos="1985"/>
          <w:tab w:val="left" w:pos="2268"/>
          <w:tab w:val="right" w:pos="9072"/>
        </w:tabs>
        <w:rPr>
          <w:rFonts w:cs="Arial"/>
          <w:color w:val="17365D" w:themeColor="text2" w:themeShade="BF"/>
          <w:szCs w:val="22"/>
        </w:rPr>
      </w:pPr>
      <w:r w:rsidRPr="00B77BE0">
        <w:rPr>
          <w:rFonts w:cs="Arial"/>
          <w:color w:val="17365D" w:themeColor="text2" w:themeShade="BF"/>
          <w:szCs w:val="22"/>
        </w:rPr>
        <w:tab/>
      </w:r>
      <w:r w:rsidRPr="00B77BE0">
        <w:rPr>
          <w:rFonts w:cs="Arial"/>
          <w:color w:val="17365D" w:themeColor="text2" w:themeShade="BF"/>
          <w:szCs w:val="22"/>
        </w:rPr>
        <w:tab/>
      </w:r>
    </w:p>
    <w:p w:rsidR="0061763D" w:rsidRPr="00B77BE0" w:rsidRDefault="00B95664" w:rsidP="00EE40D1">
      <w:pPr>
        <w:tabs>
          <w:tab w:val="left" w:pos="1418"/>
          <w:tab w:val="left" w:pos="1701"/>
          <w:tab w:val="left" w:pos="1985"/>
          <w:tab w:val="left" w:pos="2268"/>
          <w:tab w:val="right" w:pos="9072"/>
        </w:tabs>
        <w:rPr>
          <w:rFonts w:cs="Arial"/>
          <w:color w:val="17365D" w:themeColor="text2" w:themeShade="BF"/>
          <w:szCs w:val="22"/>
        </w:rPr>
      </w:pPr>
      <w:r>
        <w:rPr>
          <w:rFonts w:cs="Arial"/>
          <w:noProof/>
          <w:color w:val="17365D" w:themeColor="text2" w:themeShade="BF"/>
          <w:szCs w:val="22"/>
          <w:lang w:eastAsia="en-GB"/>
        </w:rPr>
        <w:pict w14:anchorId="6C0362B2">
          <v:rect id="_x0000_s1975" style="position:absolute;margin-left:-12.15pt;margin-top:-77.2pt;width:508.5pt;height:131.25pt;z-index:252897279" fillcolor="white [3212]">
            <v:textbox style="mso-next-textbox:#_x0000_s1975">
              <w:txbxContent>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Introduction</w:t>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Pr="00B0435F">
                    <w:rPr>
                      <w:b/>
                      <w:color w:val="17365D" w:themeColor="text2" w:themeShade="BF"/>
                      <w:sz w:val="24"/>
                      <w:szCs w:val="24"/>
                    </w:rPr>
                    <w:tab/>
                  </w:r>
                  <w:r w:rsidR="00A8103D">
                    <w:rPr>
                      <w:b/>
                      <w:color w:val="17365D" w:themeColor="text2" w:themeShade="BF"/>
                      <w:sz w:val="24"/>
                      <w:szCs w:val="24"/>
                    </w:rPr>
                    <w:t>2</w:t>
                  </w: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Performance Summary Dashboard</w:t>
                  </w:r>
                  <w:r w:rsidRPr="00B0435F">
                    <w:rPr>
                      <w:b/>
                      <w:color w:val="17365D" w:themeColor="text2" w:themeShade="BF"/>
                      <w:sz w:val="24"/>
                      <w:szCs w:val="24"/>
                    </w:rPr>
                    <w:tab/>
                    <w:t>4</w:t>
                  </w: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p>
                <w:p w:rsidR="00025608" w:rsidRPr="00B0435F" w:rsidRDefault="00025608" w:rsidP="00025608">
                  <w:pPr>
                    <w:tabs>
                      <w:tab w:val="left" w:pos="1418"/>
                      <w:tab w:val="left" w:pos="1701"/>
                      <w:tab w:val="left" w:pos="1985"/>
                      <w:tab w:val="left" w:pos="2268"/>
                      <w:tab w:val="right" w:pos="9072"/>
                    </w:tabs>
                    <w:rPr>
                      <w:b/>
                      <w:color w:val="17365D" w:themeColor="text2" w:themeShade="BF"/>
                      <w:sz w:val="24"/>
                      <w:szCs w:val="24"/>
                    </w:rPr>
                  </w:pPr>
                  <w:r w:rsidRPr="00B0435F">
                    <w:rPr>
                      <w:b/>
                      <w:color w:val="17365D" w:themeColor="text2" w:themeShade="BF"/>
                      <w:sz w:val="24"/>
                      <w:szCs w:val="24"/>
                    </w:rPr>
                    <w:t>Integrated Performance Report: Executive Summary</w:t>
                  </w:r>
                  <w:r w:rsidRPr="00B0435F">
                    <w:rPr>
                      <w:b/>
                      <w:color w:val="17365D" w:themeColor="text2" w:themeShade="BF"/>
                      <w:sz w:val="24"/>
                      <w:szCs w:val="24"/>
                    </w:rPr>
                    <w:tab/>
                  </w:r>
                  <w:r w:rsidR="0021543D">
                    <w:rPr>
                      <w:b/>
                      <w:color w:val="17365D" w:themeColor="text2" w:themeShade="BF"/>
                      <w:sz w:val="24"/>
                      <w:szCs w:val="24"/>
                    </w:rPr>
                    <w:t>7</w:t>
                  </w:r>
                </w:p>
              </w:txbxContent>
            </v:textbox>
          </v:rect>
        </w:pict>
      </w:r>
      <w:r w:rsidR="001B4295" w:rsidRPr="00B77BE0">
        <w:rPr>
          <w:rFonts w:cs="Arial"/>
          <w:color w:val="17365D" w:themeColor="text2" w:themeShade="BF"/>
          <w:szCs w:val="22"/>
        </w:rPr>
        <w:tab/>
      </w:r>
      <w:r w:rsidR="001B4295" w:rsidRPr="00B77BE0">
        <w:rPr>
          <w:rFonts w:cs="Arial"/>
          <w:color w:val="17365D" w:themeColor="text2" w:themeShade="BF"/>
          <w:szCs w:val="22"/>
        </w:rPr>
        <w:tab/>
      </w:r>
      <w:r w:rsidR="001B4295" w:rsidRPr="00B77BE0">
        <w:rPr>
          <w:rFonts w:cs="Arial"/>
          <w:color w:val="17365D" w:themeColor="text2" w:themeShade="BF"/>
          <w:szCs w:val="22"/>
        </w:rPr>
        <w:tab/>
      </w:r>
      <w:r w:rsidR="001B4295" w:rsidRPr="00B77BE0">
        <w:rPr>
          <w:rFonts w:cs="Arial"/>
          <w:color w:val="17365D" w:themeColor="text2" w:themeShade="BF"/>
          <w:szCs w:val="22"/>
        </w:rPr>
        <w:tab/>
      </w:r>
    </w:p>
    <w:p w:rsidR="009E0B90" w:rsidRPr="00D13B1B" w:rsidRDefault="009E0B90"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5B2FA1" w:rsidRPr="00D13B1B" w:rsidRDefault="005B2FA1" w:rsidP="001B4295">
      <w:pPr>
        <w:tabs>
          <w:tab w:val="left" w:pos="1418"/>
          <w:tab w:val="left" w:pos="1701"/>
          <w:tab w:val="left" w:pos="1985"/>
          <w:tab w:val="left" w:pos="2268"/>
          <w:tab w:val="right" w:pos="9072"/>
        </w:tabs>
        <w:rPr>
          <w:rFonts w:cs="Arial"/>
          <w:color w:val="17365D" w:themeColor="text2" w:themeShade="BF"/>
          <w:szCs w:val="22"/>
          <w:highlight w:val="yellow"/>
        </w:rPr>
      </w:pPr>
    </w:p>
    <w:p w:rsidR="0023158A" w:rsidRDefault="0023158A" w:rsidP="00882B57">
      <w:pPr>
        <w:rPr>
          <w:rFonts w:cs="Arial"/>
          <w:b/>
          <w:highlight w:val="yellow"/>
        </w:rPr>
      </w:pPr>
    </w:p>
    <w:p w:rsidR="00E50634" w:rsidRDefault="00E50634" w:rsidP="00882B57">
      <w:pPr>
        <w:rPr>
          <w:rFonts w:cs="Arial"/>
          <w:b/>
          <w:highlight w:val="yellow"/>
        </w:rPr>
      </w:pPr>
    </w:p>
    <w:p w:rsidR="00E50634" w:rsidRPr="00D13B1B" w:rsidRDefault="00E50634" w:rsidP="00882B57">
      <w:pPr>
        <w:rPr>
          <w:rFonts w:cs="Arial"/>
          <w:b/>
          <w:highlight w:val="yellow"/>
        </w:rPr>
      </w:pPr>
    </w:p>
    <w:p w:rsidR="00234ABE" w:rsidRPr="00AA1592" w:rsidRDefault="00E50634" w:rsidP="00AA1592">
      <w:pPr>
        <w:pStyle w:val="Heading1"/>
      </w:pPr>
      <w:r>
        <w:t xml:space="preserve">Section A: </w:t>
      </w:r>
      <w:r w:rsidR="00ED7630" w:rsidRPr="00AA1592">
        <w:t>Introduction</w:t>
      </w:r>
      <w:r w:rsidR="002668C8" w:rsidRPr="00AA1592">
        <w:tab/>
      </w:r>
    </w:p>
    <w:p w:rsidR="00AA1592" w:rsidRPr="00E92537" w:rsidRDefault="00AA1592" w:rsidP="00AA1592">
      <w:pPr>
        <w:spacing w:after="180"/>
        <w:jc w:val="both"/>
        <w:rPr>
          <w:rFonts w:cs="Arial"/>
          <w:szCs w:val="22"/>
        </w:rPr>
      </w:pPr>
      <w:r w:rsidRPr="00E92537">
        <w:rPr>
          <w:rFonts w:cs="Arial"/>
          <w:szCs w:val="22"/>
        </w:rPr>
        <w:t>The purpose of the Integrated Performance Report (IPR) is to provide assurance on NHS Golden Jubilee’s performance relating to National Standards, local priorities and significant risks.</w:t>
      </w:r>
    </w:p>
    <w:p w:rsidR="00AA1592" w:rsidRPr="00E92537" w:rsidRDefault="00AA1592" w:rsidP="00AA1592">
      <w:pPr>
        <w:spacing w:after="180"/>
        <w:jc w:val="both"/>
        <w:rPr>
          <w:rFonts w:cs="Arial"/>
          <w:szCs w:val="22"/>
        </w:rPr>
      </w:pPr>
      <w:r w:rsidRPr="00E92537">
        <w:rPr>
          <w:rFonts w:cs="Arial"/>
          <w:szCs w:val="22"/>
        </w:rPr>
        <w:t xml:space="preserve">The IPR comprises </w:t>
      </w:r>
      <w:r>
        <w:rPr>
          <w:rFonts w:cs="Arial"/>
          <w:szCs w:val="22"/>
        </w:rPr>
        <w:t>four section with each section being considered in detail by the appropriate Standing Committee</w:t>
      </w:r>
      <w:r w:rsidRPr="00E92537">
        <w:rPr>
          <w:rFonts w:cs="Arial"/>
          <w:szCs w:val="22"/>
        </w:rPr>
        <w:t>:</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A</w:t>
      </w:r>
      <w:r w:rsidRPr="00E92537">
        <w:rPr>
          <w:rFonts w:cs="Arial"/>
          <w:sz w:val="22"/>
          <w:szCs w:val="22"/>
        </w:rPr>
        <w:tab/>
        <w:t>Introduction</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B:1</w:t>
      </w:r>
      <w:r w:rsidRPr="00E92537">
        <w:rPr>
          <w:rFonts w:cs="Arial"/>
          <w:sz w:val="22"/>
          <w:szCs w:val="22"/>
        </w:rPr>
        <w:tab/>
        <w:t>Clinical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B:2</w:t>
      </w:r>
      <w:r w:rsidRPr="00E92537">
        <w:rPr>
          <w:rFonts w:cs="Arial"/>
          <w:sz w:val="22"/>
          <w:szCs w:val="22"/>
        </w:rPr>
        <w:tab/>
        <w:t>Staff Governance</w:t>
      </w:r>
    </w:p>
    <w:p w:rsidR="00AA1592" w:rsidRPr="00E92537" w:rsidRDefault="00AA1592" w:rsidP="00AA1592">
      <w:pPr>
        <w:pStyle w:val="ListParagraph"/>
        <w:numPr>
          <w:ilvl w:val="0"/>
          <w:numId w:val="2"/>
        </w:numPr>
        <w:tabs>
          <w:tab w:val="left" w:pos="3402"/>
        </w:tabs>
        <w:ind w:left="714" w:hanging="357"/>
        <w:jc w:val="both"/>
        <w:rPr>
          <w:rFonts w:cs="Arial"/>
          <w:sz w:val="22"/>
          <w:szCs w:val="22"/>
        </w:rPr>
      </w:pPr>
      <w:r w:rsidRPr="00E92537">
        <w:rPr>
          <w:rFonts w:cs="Arial"/>
          <w:sz w:val="22"/>
          <w:szCs w:val="22"/>
        </w:rPr>
        <w:t>Section B:3</w:t>
      </w:r>
      <w:r w:rsidRPr="00E92537">
        <w:rPr>
          <w:rFonts w:cs="Arial"/>
          <w:sz w:val="22"/>
          <w:szCs w:val="22"/>
        </w:rPr>
        <w:tab/>
        <w:t>Finance, Performance &amp; Planning</w:t>
      </w:r>
    </w:p>
    <w:p w:rsidR="00AA1592" w:rsidRDefault="00AA1592" w:rsidP="00AA1592">
      <w:pPr>
        <w:spacing w:after="180"/>
        <w:jc w:val="both"/>
        <w:rPr>
          <w:rFonts w:cs="Arial"/>
          <w:szCs w:val="22"/>
        </w:rPr>
      </w:pPr>
    </w:p>
    <w:p w:rsidR="00AA1592" w:rsidRDefault="00AA1592" w:rsidP="00AA1592">
      <w:pPr>
        <w:spacing w:after="180"/>
        <w:jc w:val="both"/>
        <w:rPr>
          <w:rFonts w:cs="Arial"/>
          <w:szCs w:val="22"/>
        </w:rPr>
      </w:pPr>
      <w:r>
        <w:rPr>
          <w:rFonts w:cs="Arial"/>
          <w:szCs w:val="22"/>
        </w:rPr>
        <w:t>This Board Summary Report of the IPR is presented to the Board and contains the summaries from each section of the full IPR.</w:t>
      </w:r>
    </w:p>
    <w:p w:rsidR="00AA1592" w:rsidRDefault="00AA1592" w:rsidP="00AA1592">
      <w:pPr>
        <w:pStyle w:val="BodyTextIndent"/>
        <w:spacing w:after="0"/>
        <w:ind w:left="0" w:right="183"/>
        <w:rPr>
          <w:rFonts w:cs="Arial"/>
          <w:b/>
          <w:bCs/>
        </w:rPr>
      </w:pPr>
      <w:r>
        <w:rPr>
          <w:rFonts w:cs="Arial"/>
          <w:b/>
          <w:bCs/>
        </w:rPr>
        <w:t>Jann Gardner</w:t>
      </w:r>
      <w:r>
        <w:rPr>
          <w:rFonts w:cs="Arial"/>
          <w:b/>
          <w:bCs/>
        </w:rPr>
        <w:tab/>
      </w:r>
      <w:r>
        <w:rPr>
          <w:rFonts w:cs="Arial"/>
          <w:b/>
          <w:bCs/>
        </w:rPr>
        <w:tab/>
      </w:r>
      <w:r>
        <w:rPr>
          <w:rFonts w:cs="Arial"/>
          <w:b/>
          <w:bCs/>
        </w:rPr>
        <w:tab/>
        <w:t>Colin Neil</w:t>
      </w:r>
      <w:r>
        <w:rPr>
          <w:rFonts w:cs="Arial"/>
          <w:b/>
          <w:bCs/>
        </w:rPr>
        <w:tab/>
      </w:r>
      <w:r>
        <w:rPr>
          <w:rFonts w:cs="Arial"/>
          <w:b/>
          <w:bCs/>
        </w:rPr>
        <w:tab/>
      </w:r>
      <w:r>
        <w:rPr>
          <w:rFonts w:cs="Arial"/>
          <w:b/>
          <w:bCs/>
        </w:rPr>
        <w:tab/>
        <w:t>June Rogers</w:t>
      </w:r>
    </w:p>
    <w:p w:rsidR="00AA1592" w:rsidRDefault="00AA1592" w:rsidP="00AA1592">
      <w:pPr>
        <w:pStyle w:val="BodyTextIndent"/>
        <w:spacing w:after="0"/>
        <w:ind w:left="0" w:right="183"/>
        <w:rPr>
          <w:rFonts w:cs="Arial"/>
          <w:b/>
          <w:bCs/>
        </w:rPr>
      </w:pPr>
      <w:r>
        <w:rPr>
          <w:rFonts w:cs="Arial"/>
          <w:b/>
          <w:bCs/>
        </w:rPr>
        <w:t>Chief Executive</w:t>
      </w:r>
      <w:r>
        <w:rPr>
          <w:rFonts w:cs="Arial"/>
          <w:b/>
          <w:bCs/>
        </w:rPr>
        <w:tab/>
      </w:r>
      <w:r>
        <w:rPr>
          <w:rFonts w:cs="Arial"/>
          <w:b/>
          <w:bCs/>
        </w:rPr>
        <w:tab/>
        <w:t>Director of Finance</w:t>
      </w:r>
      <w:r>
        <w:rPr>
          <w:rFonts w:cs="Arial"/>
          <w:b/>
          <w:bCs/>
        </w:rPr>
        <w:tab/>
      </w:r>
      <w:r>
        <w:rPr>
          <w:rFonts w:cs="Arial"/>
          <w:b/>
          <w:bCs/>
        </w:rPr>
        <w:tab/>
        <w:t>Deputy Chief Executive</w:t>
      </w:r>
    </w:p>
    <w:p w:rsidR="005148A3" w:rsidRPr="00D13B1B" w:rsidRDefault="005148A3" w:rsidP="004C0D07">
      <w:pPr>
        <w:spacing w:after="180"/>
        <w:jc w:val="both"/>
        <w:rPr>
          <w:rFonts w:cs="Arial"/>
          <w:szCs w:val="22"/>
          <w:highlight w:val="yellow"/>
        </w:rPr>
        <w:sectPr w:rsidR="005148A3" w:rsidRPr="00D13B1B" w:rsidSect="00093B15">
          <w:footerReference w:type="default" r:id="rId9"/>
          <w:pgSz w:w="11906" w:h="16838" w:code="9"/>
          <w:pgMar w:top="720" w:right="720" w:bottom="720" w:left="720" w:header="709" w:footer="709" w:gutter="0"/>
          <w:cols w:space="708"/>
          <w:titlePg/>
          <w:docGrid w:linePitch="360"/>
        </w:sectPr>
      </w:pPr>
    </w:p>
    <w:p w:rsidR="00B42B0C" w:rsidRPr="007A64A0" w:rsidRDefault="0008461C" w:rsidP="00B42B0C">
      <w:pPr>
        <w:spacing w:after="180"/>
        <w:jc w:val="center"/>
        <w:rPr>
          <w:rFonts w:cs="Arial"/>
          <w:bCs/>
          <w:sz w:val="36"/>
          <w:szCs w:val="36"/>
        </w:rPr>
      </w:pPr>
      <w:r w:rsidRPr="007A64A0">
        <w:rPr>
          <w:rFonts w:cs="Arial"/>
          <w:bCs/>
          <w:sz w:val="36"/>
          <w:szCs w:val="36"/>
        </w:rPr>
        <w:lastRenderedPageBreak/>
        <w:t>Performance Summary</w:t>
      </w:r>
      <w:r w:rsidR="002341CE" w:rsidRPr="007A64A0">
        <w:rPr>
          <w:rFonts w:cs="Arial"/>
          <w:bCs/>
          <w:sz w:val="36"/>
          <w:szCs w:val="36"/>
        </w:rPr>
        <w:t xml:space="preserve"> </w:t>
      </w:r>
      <w:r w:rsidR="00CB2BFA" w:rsidRPr="007A64A0">
        <w:rPr>
          <w:rFonts w:cs="Arial"/>
          <w:bCs/>
          <w:sz w:val="36"/>
          <w:szCs w:val="36"/>
        </w:rPr>
        <w:t>Dashboard</w:t>
      </w:r>
      <w:r w:rsidR="00247F73" w:rsidRPr="007A64A0">
        <w:rPr>
          <w:rFonts w:cs="Arial"/>
          <w:bCs/>
          <w:sz w:val="36"/>
          <w:szCs w:val="36"/>
        </w:rPr>
        <w:t xml:space="preserve"> – Guidance</w:t>
      </w:r>
    </w:p>
    <w:p w:rsidR="00247F73" w:rsidRPr="00571E3D" w:rsidRDefault="00942B09" w:rsidP="00B42B0C">
      <w:pPr>
        <w:spacing w:after="180"/>
        <w:jc w:val="center"/>
        <w:rPr>
          <w:rFonts w:cs="Arial"/>
          <w:bCs/>
          <w:sz w:val="36"/>
          <w:szCs w:val="36"/>
        </w:rPr>
      </w:pPr>
      <w:r w:rsidRPr="007A64A0">
        <w:rPr>
          <w:rFonts w:cs="Arial"/>
          <w:noProof/>
          <w:lang w:eastAsia="en-GB"/>
        </w:rPr>
        <w:drawing>
          <wp:inline distT="0" distB="0" distL="0" distR="0" wp14:anchorId="332BF638" wp14:editId="3891A135">
            <wp:extent cx="8891270" cy="41811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1270" cy="4181148"/>
                    </a:xfrm>
                    <a:prstGeom prst="rect">
                      <a:avLst/>
                    </a:prstGeom>
                    <a:noFill/>
                    <a:ln>
                      <a:noFill/>
                    </a:ln>
                  </pic:spPr>
                </pic:pic>
              </a:graphicData>
            </a:graphic>
          </wp:inline>
        </w:drawing>
      </w:r>
    </w:p>
    <w:p w:rsidR="00247F73" w:rsidRPr="00571E3D" w:rsidRDefault="00894CA6" w:rsidP="00247F73">
      <w:pPr>
        <w:spacing w:after="180"/>
        <w:rPr>
          <w:rFonts w:cs="Arial"/>
          <w:bCs/>
          <w:color w:val="FF0000"/>
          <w:sz w:val="36"/>
          <w:szCs w:val="36"/>
        </w:rPr>
      </w:pPr>
      <w:r w:rsidRPr="00571E3D">
        <w:rPr>
          <w:rFonts w:cs="Arial"/>
          <w:bCs/>
          <w:sz w:val="36"/>
          <w:szCs w:val="36"/>
        </w:rPr>
        <w:t xml:space="preserve"> </w:t>
      </w:r>
      <w:r w:rsidR="004E3B21" w:rsidRPr="004E3B21">
        <w:rPr>
          <w:noProof/>
          <w:lang w:eastAsia="en-GB"/>
        </w:rPr>
        <w:drawing>
          <wp:inline distT="0" distB="0" distL="0" distR="0">
            <wp:extent cx="5343525" cy="11449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3525" cy="1144905"/>
                    </a:xfrm>
                    <a:prstGeom prst="rect">
                      <a:avLst/>
                    </a:prstGeom>
                    <a:noFill/>
                    <a:ln>
                      <a:noFill/>
                    </a:ln>
                  </pic:spPr>
                </pic:pic>
              </a:graphicData>
            </a:graphic>
          </wp:inline>
        </w:drawing>
      </w:r>
    </w:p>
    <w:p w:rsidR="00571E3D" w:rsidRDefault="008303CF" w:rsidP="00133250">
      <w:pPr>
        <w:spacing w:after="180"/>
        <w:jc w:val="center"/>
        <w:rPr>
          <w:rFonts w:cs="Arial"/>
          <w:bCs/>
          <w:sz w:val="36"/>
          <w:szCs w:val="36"/>
        </w:rPr>
      </w:pPr>
      <w:r w:rsidRPr="00571E3D">
        <w:rPr>
          <w:rFonts w:cs="Arial"/>
          <w:bCs/>
          <w:sz w:val="36"/>
          <w:szCs w:val="36"/>
        </w:rPr>
        <w:lastRenderedPageBreak/>
        <w:t>Board</w:t>
      </w:r>
      <w:r w:rsidR="00247F73" w:rsidRPr="00571E3D">
        <w:rPr>
          <w:rFonts w:cs="Arial"/>
          <w:bCs/>
          <w:sz w:val="36"/>
          <w:szCs w:val="36"/>
        </w:rPr>
        <w:t xml:space="preserve"> Performance Dashboard</w:t>
      </w:r>
      <w:r w:rsidR="00133250" w:rsidRPr="00571E3D">
        <w:rPr>
          <w:rFonts w:cs="Arial"/>
          <w:bCs/>
          <w:sz w:val="36"/>
          <w:szCs w:val="36"/>
        </w:rPr>
        <w:t xml:space="preserve"> – P</w:t>
      </w:r>
      <w:r w:rsidR="00D4735B" w:rsidRPr="00571E3D">
        <w:rPr>
          <w:rFonts w:cs="Arial"/>
          <w:bCs/>
          <w:sz w:val="36"/>
          <w:szCs w:val="36"/>
        </w:rPr>
        <w:t xml:space="preserve">art </w:t>
      </w:r>
      <w:r w:rsidR="00133250" w:rsidRPr="00571E3D">
        <w:rPr>
          <w:rFonts w:cs="Arial"/>
          <w:bCs/>
          <w:sz w:val="36"/>
          <w:szCs w:val="36"/>
        </w:rPr>
        <w:t>1</w:t>
      </w:r>
    </w:p>
    <w:p w:rsidR="005518EA" w:rsidRDefault="00462716" w:rsidP="00133250">
      <w:pPr>
        <w:spacing w:after="180"/>
        <w:jc w:val="center"/>
        <w:rPr>
          <w:rFonts w:cs="Arial"/>
          <w:bCs/>
          <w:sz w:val="36"/>
          <w:szCs w:val="36"/>
          <w:highlight w:val="yellow"/>
        </w:rPr>
      </w:pPr>
      <w:r w:rsidRPr="007A64A0">
        <w:rPr>
          <w:rFonts w:cs="Arial"/>
          <w:noProof/>
          <w:lang w:eastAsia="en-GB"/>
        </w:rPr>
        <w:drawing>
          <wp:inline distT="0" distB="0" distL="0" distR="0" wp14:anchorId="312AD4DD" wp14:editId="3B7861B8">
            <wp:extent cx="8891270" cy="112776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1270" cy="1127760"/>
                    </a:xfrm>
                    <a:prstGeom prst="rect">
                      <a:avLst/>
                    </a:prstGeom>
                    <a:noFill/>
                    <a:ln>
                      <a:noFill/>
                    </a:ln>
                  </pic:spPr>
                </pic:pic>
              </a:graphicData>
            </a:graphic>
          </wp:inline>
        </w:drawing>
      </w:r>
      <w:r w:rsidR="004E3B21" w:rsidRPr="004D06D5">
        <w:rPr>
          <w:noProof/>
          <w:lang w:eastAsia="en-GB"/>
        </w:rPr>
        <w:drawing>
          <wp:inline distT="0" distB="0" distL="0" distR="0" wp14:anchorId="2AEB22C4" wp14:editId="19A173E0">
            <wp:extent cx="8891270" cy="23101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1270" cy="2310130"/>
                    </a:xfrm>
                    <a:prstGeom prst="rect">
                      <a:avLst/>
                    </a:prstGeom>
                    <a:noFill/>
                    <a:ln>
                      <a:noFill/>
                    </a:ln>
                  </pic:spPr>
                </pic:pic>
              </a:graphicData>
            </a:graphic>
          </wp:inline>
        </w:drawing>
      </w:r>
    </w:p>
    <w:p w:rsidR="00C62B5C" w:rsidRDefault="00C62B5C" w:rsidP="00133250">
      <w:pPr>
        <w:spacing w:after="180"/>
        <w:jc w:val="center"/>
        <w:rPr>
          <w:rFonts w:cs="Arial"/>
          <w:bCs/>
          <w:sz w:val="36"/>
          <w:szCs w:val="36"/>
          <w:highlight w:val="yellow"/>
        </w:rPr>
      </w:pPr>
    </w:p>
    <w:p w:rsidR="00E11866" w:rsidRDefault="00E11866" w:rsidP="00133250">
      <w:pPr>
        <w:spacing w:after="180"/>
        <w:jc w:val="center"/>
        <w:rPr>
          <w:rFonts w:cs="Arial"/>
          <w:bCs/>
          <w:sz w:val="36"/>
          <w:szCs w:val="36"/>
          <w:highlight w:val="yellow"/>
        </w:rPr>
      </w:pPr>
    </w:p>
    <w:p w:rsidR="002F0639" w:rsidRDefault="002F0639" w:rsidP="00133250">
      <w:pPr>
        <w:spacing w:after="180"/>
        <w:jc w:val="center"/>
        <w:rPr>
          <w:rFonts w:cs="Arial"/>
          <w:bCs/>
          <w:sz w:val="36"/>
          <w:szCs w:val="36"/>
          <w:highlight w:val="yellow"/>
        </w:rPr>
      </w:pPr>
    </w:p>
    <w:p w:rsidR="00E11866" w:rsidRDefault="00E11866" w:rsidP="00133250">
      <w:pPr>
        <w:spacing w:after="180"/>
        <w:jc w:val="center"/>
        <w:rPr>
          <w:rFonts w:cs="Arial"/>
          <w:bCs/>
          <w:sz w:val="36"/>
          <w:szCs w:val="36"/>
          <w:highlight w:val="yellow"/>
        </w:rPr>
      </w:pPr>
    </w:p>
    <w:p w:rsidR="004E3B21" w:rsidRPr="00D13B1B" w:rsidRDefault="004E3B21" w:rsidP="00133250">
      <w:pPr>
        <w:spacing w:after="180"/>
        <w:jc w:val="center"/>
        <w:rPr>
          <w:rFonts w:cs="Arial"/>
          <w:bCs/>
          <w:sz w:val="36"/>
          <w:szCs w:val="36"/>
          <w:highlight w:val="yellow"/>
        </w:rPr>
      </w:pPr>
    </w:p>
    <w:p w:rsidR="00133250" w:rsidRPr="005518EA" w:rsidRDefault="008303CF" w:rsidP="00133250">
      <w:pPr>
        <w:spacing w:after="180"/>
        <w:jc w:val="center"/>
        <w:rPr>
          <w:rFonts w:cs="Arial"/>
          <w:bCs/>
          <w:color w:val="FF0000"/>
          <w:sz w:val="36"/>
          <w:szCs w:val="36"/>
        </w:rPr>
      </w:pPr>
      <w:r w:rsidRPr="005518EA">
        <w:rPr>
          <w:rFonts w:cs="Arial"/>
          <w:bCs/>
          <w:sz w:val="36"/>
          <w:szCs w:val="36"/>
        </w:rPr>
        <w:lastRenderedPageBreak/>
        <w:t>Board</w:t>
      </w:r>
      <w:r w:rsidR="00133250" w:rsidRPr="005518EA">
        <w:rPr>
          <w:rFonts w:cs="Arial"/>
          <w:bCs/>
          <w:sz w:val="36"/>
          <w:szCs w:val="36"/>
        </w:rPr>
        <w:t xml:space="preserve"> Performance Dashboard – P</w:t>
      </w:r>
      <w:r w:rsidR="00D4735B" w:rsidRPr="005518EA">
        <w:rPr>
          <w:rFonts w:cs="Arial"/>
          <w:bCs/>
          <w:sz w:val="36"/>
          <w:szCs w:val="36"/>
        </w:rPr>
        <w:t xml:space="preserve">art </w:t>
      </w:r>
      <w:r w:rsidR="00133250" w:rsidRPr="005518EA">
        <w:rPr>
          <w:rFonts w:cs="Arial"/>
          <w:bCs/>
          <w:sz w:val="36"/>
          <w:szCs w:val="36"/>
        </w:rPr>
        <w:t>2</w:t>
      </w:r>
    </w:p>
    <w:p w:rsidR="00A32056" w:rsidRDefault="000E66BE" w:rsidP="00A32056">
      <w:pPr>
        <w:spacing w:after="180"/>
        <w:rPr>
          <w:rFonts w:cs="Arial"/>
          <w:szCs w:val="22"/>
        </w:rPr>
      </w:pPr>
      <w:r w:rsidRPr="007A64A0">
        <w:rPr>
          <w:rFonts w:cs="Arial"/>
          <w:noProof/>
          <w:lang w:eastAsia="en-GB"/>
        </w:rPr>
        <w:drawing>
          <wp:inline distT="0" distB="0" distL="0" distR="0" wp14:anchorId="2C26976A" wp14:editId="5F8B787A">
            <wp:extent cx="8891270" cy="112785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1270" cy="1127852"/>
                    </a:xfrm>
                    <a:prstGeom prst="rect">
                      <a:avLst/>
                    </a:prstGeom>
                    <a:noFill/>
                    <a:ln>
                      <a:noFill/>
                    </a:ln>
                  </pic:spPr>
                </pic:pic>
              </a:graphicData>
            </a:graphic>
          </wp:inline>
        </w:drawing>
      </w:r>
      <w:r w:rsidR="004E3B21" w:rsidRPr="004E3B21">
        <w:rPr>
          <w:noProof/>
          <w:lang w:eastAsia="en-GB"/>
        </w:rPr>
        <w:drawing>
          <wp:inline distT="0" distB="0" distL="0" distR="0">
            <wp:extent cx="8891270" cy="316586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1270" cy="3165863"/>
                    </a:xfrm>
                    <a:prstGeom prst="rect">
                      <a:avLst/>
                    </a:prstGeom>
                    <a:noFill/>
                    <a:ln>
                      <a:noFill/>
                    </a:ln>
                  </pic:spPr>
                </pic:pic>
              </a:graphicData>
            </a:graphic>
          </wp:inline>
        </w:drawing>
      </w:r>
    </w:p>
    <w:p w:rsidR="00155FE4" w:rsidRDefault="00155FE4" w:rsidP="00A32056">
      <w:pPr>
        <w:spacing w:after="180"/>
        <w:rPr>
          <w:rFonts w:cs="Arial"/>
          <w:szCs w:val="22"/>
        </w:rPr>
      </w:pPr>
    </w:p>
    <w:p w:rsidR="00155FE4" w:rsidRDefault="00155FE4" w:rsidP="00A32056">
      <w:pPr>
        <w:spacing w:after="180"/>
        <w:rPr>
          <w:rFonts w:cs="Arial"/>
          <w:szCs w:val="22"/>
        </w:rPr>
      </w:pPr>
    </w:p>
    <w:p w:rsidR="00587A7C" w:rsidRDefault="00587A7C" w:rsidP="00A32056">
      <w:pPr>
        <w:spacing w:after="180"/>
        <w:rPr>
          <w:rFonts w:cs="Arial"/>
          <w:szCs w:val="22"/>
        </w:rPr>
        <w:sectPr w:rsidR="00587A7C" w:rsidSect="00551C36">
          <w:footerReference w:type="first" r:id="rId15"/>
          <w:pgSz w:w="16838" w:h="11906" w:orient="landscape" w:code="9"/>
          <w:pgMar w:top="1134" w:right="1418" w:bottom="1134" w:left="1418" w:header="709" w:footer="709" w:gutter="0"/>
          <w:cols w:space="708"/>
          <w:titlePg/>
          <w:docGrid w:linePitch="360"/>
        </w:sectPr>
      </w:pPr>
    </w:p>
    <w:p w:rsidR="00AA1592" w:rsidRDefault="00AA1592" w:rsidP="00D717CD">
      <w:pPr>
        <w:spacing w:after="180"/>
        <w:rPr>
          <w:rFonts w:cs="Arial"/>
          <w:color w:val="000000" w:themeColor="text1"/>
          <w:sz w:val="24"/>
          <w:szCs w:val="22"/>
        </w:rPr>
      </w:pPr>
      <w:r w:rsidRPr="00AA1592">
        <w:rPr>
          <w:rFonts w:cs="Arial"/>
          <w:color w:val="000000" w:themeColor="text1"/>
          <w:sz w:val="24"/>
          <w:szCs w:val="22"/>
        </w:rPr>
        <w:lastRenderedPageBreak/>
        <w:t xml:space="preserve">At each meeting, the Standing Committees of NHS Golden Jubilee consider targets and </w:t>
      </w:r>
      <w:r w:rsidR="006A3CF5">
        <w:rPr>
          <w:rFonts w:cs="Arial"/>
          <w:color w:val="000000" w:themeColor="text1"/>
          <w:sz w:val="24"/>
          <w:szCs w:val="22"/>
        </w:rPr>
        <w:t>s</w:t>
      </w:r>
      <w:r w:rsidRPr="00AA1592">
        <w:rPr>
          <w:rFonts w:cs="Arial"/>
          <w:color w:val="000000" w:themeColor="text1"/>
          <w:sz w:val="24"/>
          <w:szCs w:val="22"/>
        </w:rPr>
        <w:t>tandards specific to their area of remit</w:t>
      </w:r>
      <w:r w:rsidR="00B620AB">
        <w:rPr>
          <w:rFonts w:cs="Arial"/>
          <w:color w:val="000000" w:themeColor="text1"/>
          <w:sz w:val="24"/>
          <w:szCs w:val="22"/>
        </w:rPr>
        <w:t xml:space="preserve"> using the Integrated Performance Report (IPR)</w:t>
      </w:r>
      <w:r w:rsidRPr="00AA1592">
        <w:rPr>
          <w:rFonts w:cs="Arial"/>
          <w:color w:val="000000" w:themeColor="text1"/>
          <w:sz w:val="24"/>
          <w:szCs w:val="22"/>
        </w:rPr>
        <w:t>. Th</w:t>
      </w:r>
      <w:r w:rsidR="00B620AB">
        <w:rPr>
          <w:rFonts w:cs="Arial"/>
          <w:color w:val="000000" w:themeColor="text1"/>
          <w:sz w:val="24"/>
          <w:szCs w:val="22"/>
        </w:rPr>
        <w:t>ere is a</w:t>
      </w:r>
      <w:r w:rsidRPr="00AA1592">
        <w:rPr>
          <w:rFonts w:cs="Arial"/>
          <w:color w:val="000000" w:themeColor="text1"/>
          <w:sz w:val="24"/>
          <w:szCs w:val="22"/>
        </w:rPr>
        <w:t xml:space="preserve"> section of the IPR </w:t>
      </w:r>
      <w:r w:rsidR="00B620AB">
        <w:rPr>
          <w:rFonts w:cs="Arial"/>
          <w:color w:val="000000" w:themeColor="text1"/>
          <w:sz w:val="24"/>
          <w:szCs w:val="22"/>
        </w:rPr>
        <w:t xml:space="preserve">which </w:t>
      </w:r>
      <w:r w:rsidRPr="00AA1592">
        <w:rPr>
          <w:rFonts w:cs="Arial"/>
          <w:color w:val="000000" w:themeColor="text1"/>
          <w:sz w:val="24"/>
          <w:szCs w:val="22"/>
        </w:rPr>
        <w:t>provides a summary of performance Standards and targets identified as areas of note</w:t>
      </w:r>
      <w:r w:rsidR="00B620AB">
        <w:rPr>
          <w:rFonts w:cs="Arial"/>
          <w:color w:val="000000" w:themeColor="text1"/>
          <w:sz w:val="24"/>
          <w:szCs w:val="22"/>
        </w:rPr>
        <w:t xml:space="preserve"> which is reproduced below</w:t>
      </w:r>
      <w:r w:rsidRPr="00AA1592">
        <w:rPr>
          <w:rFonts w:cs="Arial"/>
          <w:color w:val="000000" w:themeColor="text1"/>
          <w:sz w:val="24"/>
          <w:szCs w:val="22"/>
        </w:rPr>
        <w:t>. Topics are grouped under the heading of the Committee responsible for scrutiny of performance.</w:t>
      </w:r>
    </w:p>
    <w:p w:rsidR="0077268D" w:rsidRPr="00AA1592" w:rsidRDefault="0077268D" w:rsidP="00D717CD">
      <w:pPr>
        <w:spacing w:after="180"/>
        <w:rPr>
          <w:rFonts w:cs="Arial"/>
          <w:color w:val="000000" w:themeColor="text1"/>
          <w:sz w:val="24"/>
          <w:szCs w:val="22"/>
        </w:rPr>
      </w:pPr>
    </w:p>
    <w:p w:rsidR="00025608" w:rsidRPr="00191F09" w:rsidRDefault="00025608" w:rsidP="00025608">
      <w:pPr>
        <w:pStyle w:val="Heading1"/>
      </w:pPr>
      <w:r w:rsidRPr="007A64A0">
        <w:t>Section B: 1 Clinical Governance</w:t>
      </w:r>
    </w:p>
    <w:p w:rsidR="00AA1592" w:rsidRPr="007F0372" w:rsidRDefault="00AA1592" w:rsidP="00AA1592">
      <w:pPr>
        <w:rPr>
          <w:sz w:val="24"/>
        </w:rPr>
      </w:pPr>
    </w:p>
    <w:tbl>
      <w:tblPr>
        <w:tblStyle w:val="TableGrid"/>
        <w:tblW w:w="9286" w:type="dxa"/>
        <w:tblLayout w:type="fixed"/>
        <w:tblLook w:val="04A0" w:firstRow="1" w:lastRow="0" w:firstColumn="1" w:lastColumn="0" w:noHBand="0" w:noVBand="1"/>
      </w:tblPr>
      <w:tblGrid>
        <w:gridCol w:w="2802"/>
        <w:gridCol w:w="567"/>
        <w:gridCol w:w="5917"/>
      </w:tblGrid>
      <w:tr w:rsidR="00587A7C" w:rsidRPr="00E70732" w:rsidTr="00AB277E">
        <w:trPr>
          <w:trHeight w:val="132"/>
        </w:trPr>
        <w:tc>
          <w:tcPr>
            <w:tcW w:w="9286" w:type="dxa"/>
            <w:gridSpan w:val="3"/>
            <w:shd w:val="clear" w:color="auto" w:fill="B8CCE4" w:themeFill="accent1" w:themeFillTint="66"/>
          </w:tcPr>
          <w:p w:rsidR="00587A7C" w:rsidRPr="00E70732" w:rsidRDefault="00587A7C" w:rsidP="00AB277E">
            <w:pPr>
              <w:jc w:val="both"/>
              <w:rPr>
                <w:rFonts w:cs="Arial"/>
                <w:b/>
                <w:color w:val="000000" w:themeColor="text1"/>
                <w:sz w:val="24"/>
                <w:szCs w:val="24"/>
                <w:highlight w:val="yellow"/>
              </w:rPr>
            </w:pPr>
            <w:r w:rsidRPr="00E70732">
              <w:rPr>
                <w:rFonts w:cs="Arial"/>
                <w:b/>
                <w:color w:val="000000" w:themeColor="text1"/>
                <w:sz w:val="24"/>
                <w:szCs w:val="24"/>
              </w:rPr>
              <w:t>Clinical Governance</w:t>
            </w:r>
          </w:p>
        </w:tc>
      </w:tr>
      <w:tr w:rsidR="00587A7C" w:rsidRPr="00E70732" w:rsidTr="00AB277E">
        <w:trPr>
          <w:trHeight w:val="280"/>
        </w:trPr>
        <w:tc>
          <w:tcPr>
            <w:tcW w:w="2802" w:type="dxa"/>
          </w:tcPr>
          <w:p w:rsidR="00587A7C" w:rsidRPr="00E70732" w:rsidRDefault="00587A7C" w:rsidP="00AB277E">
            <w:pPr>
              <w:jc w:val="both"/>
              <w:rPr>
                <w:rFonts w:cs="Arial"/>
                <w:b/>
                <w:color w:val="000000" w:themeColor="text1"/>
                <w:sz w:val="24"/>
                <w:szCs w:val="24"/>
              </w:rPr>
            </w:pPr>
            <w:r w:rsidRPr="00E70732">
              <w:rPr>
                <w:rFonts w:cs="Arial"/>
                <w:b/>
                <w:color w:val="000000" w:themeColor="text1"/>
                <w:sz w:val="24"/>
                <w:szCs w:val="24"/>
              </w:rPr>
              <w:t>KPI</w:t>
            </w:r>
          </w:p>
        </w:tc>
        <w:tc>
          <w:tcPr>
            <w:tcW w:w="567" w:type="dxa"/>
            <w:vAlign w:val="center"/>
          </w:tcPr>
          <w:p w:rsidR="00587A7C" w:rsidRPr="00E70732" w:rsidRDefault="00587A7C" w:rsidP="00AB277E">
            <w:pPr>
              <w:jc w:val="center"/>
              <w:rPr>
                <w:rFonts w:cs="Arial"/>
                <w:b/>
                <w:color w:val="000000" w:themeColor="text1"/>
                <w:sz w:val="24"/>
                <w:szCs w:val="24"/>
              </w:rPr>
            </w:pPr>
            <w:r w:rsidRPr="00E70732">
              <w:rPr>
                <w:rFonts w:cs="Arial"/>
                <w:b/>
                <w:color w:val="000000" w:themeColor="text1"/>
                <w:sz w:val="14"/>
                <w:szCs w:val="24"/>
              </w:rPr>
              <w:t>RAG</w:t>
            </w:r>
          </w:p>
        </w:tc>
        <w:tc>
          <w:tcPr>
            <w:tcW w:w="5917" w:type="dxa"/>
          </w:tcPr>
          <w:p w:rsidR="00587A7C" w:rsidRPr="00E70732" w:rsidRDefault="00587A7C" w:rsidP="00AB277E">
            <w:pPr>
              <w:jc w:val="both"/>
              <w:rPr>
                <w:rFonts w:cs="Arial"/>
                <w:b/>
                <w:color w:val="000000" w:themeColor="text1"/>
                <w:sz w:val="24"/>
                <w:szCs w:val="24"/>
              </w:rPr>
            </w:pPr>
            <w:r w:rsidRPr="00E70732">
              <w:rPr>
                <w:rFonts w:cs="Arial"/>
                <w:b/>
                <w:color w:val="000000" w:themeColor="text1"/>
                <w:sz w:val="24"/>
                <w:szCs w:val="24"/>
              </w:rPr>
              <w:t>Position:</w:t>
            </w:r>
          </w:p>
        </w:tc>
      </w:tr>
      <w:tr w:rsidR="00587A7C" w:rsidRPr="00E70732" w:rsidTr="00AB277E">
        <w:trPr>
          <w:trHeight w:val="551"/>
        </w:trPr>
        <w:tc>
          <w:tcPr>
            <w:tcW w:w="2802" w:type="dxa"/>
          </w:tcPr>
          <w:p w:rsidR="00587A7C" w:rsidRPr="00E70732" w:rsidRDefault="00587A7C" w:rsidP="00AB277E">
            <w:pPr>
              <w:rPr>
                <w:rFonts w:cs="Arial"/>
                <w:color w:val="000000" w:themeColor="text1"/>
                <w:sz w:val="24"/>
                <w:szCs w:val="24"/>
              </w:rPr>
            </w:pPr>
            <w:r w:rsidRPr="00E70732">
              <w:rPr>
                <w:rFonts w:cs="Arial"/>
                <w:color w:val="000000" w:themeColor="text1"/>
                <w:sz w:val="24"/>
                <w:szCs w:val="24"/>
              </w:rPr>
              <w:t>Total complaints (Stage 1 and 2) as a percentage of activity</w:t>
            </w:r>
          </w:p>
        </w:tc>
        <w:tc>
          <w:tcPr>
            <w:tcW w:w="567" w:type="dxa"/>
            <w:shd w:val="clear" w:color="auto" w:fill="D6E3BC" w:themeFill="accent3" w:themeFillTint="66"/>
          </w:tcPr>
          <w:p w:rsidR="00587A7C" w:rsidRPr="00E70732" w:rsidRDefault="00587A7C" w:rsidP="00AB277E">
            <w:pPr>
              <w:rPr>
                <w:rFonts w:cs="Arial"/>
                <w:color w:val="000000" w:themeColor="text1"/>
                <w:sz w:val="24"/>
                <w:szCs w:val="24"/>
              </w:rPr>
            </w:pPr>
          </w:p>
        </w:tc>
        <w:tc>
          <w:tcPr>
            <w:tcW w:w="5917" w:type="dxa"/>
          </w:tcPr>
          <w:p w:rsidR="00587A7C" w:rsidRPr="00E70732" w:rsidRDefault="00587A7C" w:rsidP="00AB277E">
            <w:pPr>
              <w:rPr>
                <w:rFonts w:cs="Arial"/>
                <w:color w:val="000000" w:themeColor="text1"/>
                <w:sz w:val="24"/>
                <w:szCs w:val="24"/>
              </w:rPr>
            </w:pPr>
            <w:r w:rsidRPr="00E70732">
              <w:rPr>
                <w:rFonts w:cs="Arial"/>
                <w:color w:val="000000" w:themeColor="text1"/>
                <w:sz w:val="24"/>
                <w:szCs w:val="24"/>
              </w:rPr>
              <w:t>In February 2020 there were eight complaints reported compared to nine in January 2020. This represents 0.</w:t>
            </w:r>
            <w:r>
              <w:rPr>
                <w:rFonts w:cs="Arial"/>
                <w:color w:val="000000" w:themeColor="text1"/>
                <w:sz w:val="24"/>
                <w:szCs w:val="24"/>
              </w:rPr>
              <w:t>097</w:t>
            </w:r>
            <w:r w:rsidRPr="00E70732">
              <w:rPr>
                <w:rFonts w:cs="Arial"/>
                <w:color w:val="000000" w:themeColor="text1"/>
                <w:sz w:val="24"/>
                <w:szCs w:val="24"/>
              </w:rPr>
              <w:t>% of all activity.</w:t>
            </w:r>
          </w:p>
        </w:tc>
      </w:tr>
      <w:tr w:rsidR="00587A7C" w:rsidRPr="00E70732" w:rsidTr="00AB277E">
        <w:tc>
          <w:tcPr>
            <w:tcW w:w="2802" w:type="dxa"/>
          </w:tcPr>
          <w:p w:rsidR="00587A7C" w:rsidRPr="00E70732" w:rsidRDefault="00587A7C" w:rsidP="00AB277E">
            <w:pPr>
              <w:rPr>
                <w:rFonts w:cs="Arial"/>
                <w:color w:val="000000" w:themeColor="text1"/>
                <w:sz w:val="24"/>
                <w:szCs w:val="24"/>
              </w:rPr>
            </w:pPr>
            <w:r w:rsidRPr="00E70732">
              <w:rPr>
                <w:rFonts w:cs="Arial"/>
                <w:color w:val="000000" w:themeColor="text1"/>
                <w:sz w:val="24"/>
                <w:szCs w:val="24"/>
              </w:rPr>
              <w:t>Stage 1 complaints response time</w:t>
            </w:r>
          </w:p>
        </w:tc>
        <w:tc>
          <w:tcPr>
            <w:tcW w:w="567" w:type="dxa"/>
            <w:shd w:val="clear" w:color="auto" w:fill="FBD4B4" w:themeFill="accent6" w:themeFillTint="66"/>
          </w:tcPr>
          <w:p w:rsidR="00587A7C" w:rsidRPr="008E1286" w:rsidRDefault="00587A7C" w:rsidP="00AB277E">
            <w:pPr>
              <w:rPr>
                <w:rFonts w:cs="Arial"/>
                <w:color w:val="FF0000"/>
                <w:sz w:val="24"/>
                <w:szCs w:val="24"/>
              </w:rPr>
            </w:pPr>
          </w:p>
        </w:tc>
        <w:tc>
          <w:tcPr>
            <w:tcW w:w="5917" w:type="dxa"/>
          </w:tcPr>
          <w:p w:rsidR="00587A7C" w:rsidRPr="00E70732" w:rsidRDefault="00587A7C" w:rsidP="00AB277E">
            <w:pPr>
              <w:rPr>
                <w:rFonts w:cs="Arial"/>
                <w:color w:val="000000" w:themeColor="text1"/>
                <w:sz w:val="24"/>
                <w:szCs w:val="24"/>
              </w:rPr>
            </w:pPr>
            <w:r w:rsidRPr="00E70732">
              <w:rPr>
                <w:rFonts w:cs="Arial"/>
                <w:color w:val="000000" w:themeColor="text1"/>
                <w:sz w:val="24"/>
                <w:szCs w:val="24"/>
              </w:rPr>
              <w:t xml:space="preserve">In </w:t>
            </w:r>
            <w:r>
              <w:rPr>
                <w:rFonts w:cs="Arial"/>
                <w:color w:val="000000" w:themeColor="text1"/>
                <w:sz w:val="24"/>
                <w:szCs w:val="24"/>
              </w:rPr>
              <w:t>March</w:t>
            </w:r>
            <w:r w:rsidRPr="00E70732">
              <w:rPr>
                <w:rFonts w:cs="Arial"/>
                <w:color w:val="000000" w:themeColor="text1"/>
                <w:sz w:val="24"/>
                <w:szCs w:val="24"/>
              </w:rPr>
              <w:t xml:space="preserve"> 2020 with four out of six (66.7%) responses were made within the five day response threshold.</w:t>
            </w:r>
          </w:p>
        </w:tc>
      </w:tr>
      <w:tr w:rsidR="00587A7C" w:rsidRPr="00E70732" w:rsidTr="00AB277E">
        <w:trPr>
          <w:trHeight w:val="321"/>
        </w:trPr>
        <w:tc>
          <w:tcPr>
            <w:tcW w:w="2802" w:type="dxa"/>
          </w:tcPr>
          <w:p w:rsidR="00587A7C" w:rsidRPr="00E70732" w:rsidRDefault="00587A7C" w:rsidP="00AB277E">
            <w:pPr>
              <w:rPr>
                <w:rFonts w:cs="Arial"/>
                <w:color w:val="000000" w:themeColor="text1"/>
                <w:sz w:val="24"/>
                <w:szCs w:val="24"/>
              </w:rPr>
            </w:pPr>
            <w:r w:rsidRPr="00E70732">
              <w:rPr>
                <w:rFonts w:cs="Arial"/>
                <w:color w:val="000000" w:themeColor="text1"/>
                <w:sz w:val="24"/>
                <w:szCs w:val="24"/>
              </w:rPr>
              <w:t xml:space="preserve">Stage 2 complaints response time </w:t>
            </w:r>
          </w:p>
        </w:tc>
        <w:tc>
          <w:tcPr>
            <w:tcW w:w="567" w:type="dxa"/>
            <w:shd w:val="clear" w:color="auto" w:fill="E5B8B7" w:themeFill="accent2" w:themeFillTint="66"/>
          </w:tcPr>
          <w:p w:rsidR="00587A7C" w:rsidRPr="00E70732" w:rsidRDefault="00587A7C" w:rsidP="00AB277E">
            <w:pPr>
              <w:rPr>
                <w:rFonts w:cs="Arial"/>
                <w:color w:val="000000" w:themeColor="text1"/>
                <w:sz w:val="24"/>
                <w:szCs w:val="24"/>
              </w:rPr>
            </w:pPr>
          </w:p>
        </w:tc>
        <w:tc>
          <w:tcPr>
            <w:tcW w:w="5917" w:type="dxa"/>
          </w:tcPr>
          <w:p w:rsidR="00587A7C" w:rsidRPr="00E70732" w:rsidRDefault="00587A7C" w:rsidP="00AB277E">
            <w:pPr>
              <w:rPr>
                <w:rFonts w:cs="Arial"/>
                <w:color w:val="000000" w:themeColor="text1"/>
                <w:sz w:val="24"/>
                <w:szCs w:val="24"/>
              </w:rPr>
            </w:pPr>
            <w:r w:rsidRPr="00E70732">
              <w:rPr>
                <w:rFonts w:cs="Arial"/>
                <w:color w:val="000000" w:themeColor="text1"/>
                <w:sz w:val="24"/>
                <w:szCs w:val="24"/>
              </w:rPr>
              <w:t>In February 2020 there were three Stage 2 complaints which did not meet the response time within 20 working days. (0%)</w:t>
            </w:r>
          </w:p>
        </w:tc>
      </w:tr>
      <w:tr w:rsidR="00587A7C" w:rsidRPr="00A4428F" w:rsidTr="00AB277E">
        <w:trPr>
          <w:trHeight w:val="321"/>
        </w:trPr>
        <w:tc>
          <w:tcPr>
            <w:tcW w:w="2802" w:type="dxa"/>
          </w:tcPr>
          <w:p w:rsidR="00587A7C" w:rsidRPr="00A4428F" w:rsidRDefault="00587A7C" w:rsidP="00AB277E">
            <w:pPr>
              <w:rPr>
                <w:rFonts w:cs="Arial"/>
                <w:color w:val="000000" w:themeColor="text1"/>
                <w:sz w:val="24"/>
                <w:szCs w:val="24"/>
              </w:rPr>
            </w:pPr>
            <w:r w:rsidRPr="00A4428F">
              <w:rPr>
                <w:rFonts w:cs="Arial"/>
                <w:color w:val="000000" w:themeColor="text1"/>
                <w:sz w:val="24"/>
                <w:szCs w:val="24"/>
              </w:rPr>
              <w:t>Mortality</w:t>
            </w:r>
          </w:p>
        </w:tc>
        <w:tc>
          <w:tcPr>
            <w:tcW w:w="567" w:type="dxa"/>
            <w:shd w:val="clear" w:color="auto" w:fill="D6E3BC" w:themeFill="accent3" w:themeFillTint="66"/>
          </w:tcPr>
          <w:p w:rsidR="00587A7C" w:rsidRPr="00A4428F" w:rsidRDefault="00587A7C" w:rsidP="00AB277E">
            <w:pPr>
              <w:rPr>
                <w:rFonts w:cs="Arial"/>
                <w:color w:val="000000" w:themeColor="text1"/>
                <w:sz w:val="24"/>
                <w:szCs w:val="24"/>
              </w:rPr>
            </w:pPr>
          </w:p>
        </w:tc>
        <w:tc>
          <w:tcPr>
            <w:tcW w:w="5917" w:type="dxa"/>
          </w:tcPr>
          <w:p w:rsidR="00587A7C" w:rsidRPr="00A4428F" w:rsidRDefault="00587A7C" w:rsidP="00AB277E">
            <w:pPr>
              <w:rPr>
                <w:rFonts w:cs="Arial"/>
                <w:color w:val="000000" w:themeColor="text1"/>
                <w:sz w:val="24"/>
                <w:szCs w:val="24"/>
              </w:rPr>
            </w:pPr>
            <w:r w:rsidRPr="00A4428F">
              <w:rPr>
                <w:rFonts w:cs="Arial"/>
                <w:color w:val="000000" w:themeColor="text1"/>
                <w:sz w:val="24"/>
                <w:szCs w:val="24"/>
              </w:rPr>
              <w:t>The mortality figure for March 2020 was reported as 15. There were ten deaths in February 2020.</w:t>
            </w:r>
          </w:p>
        </w:tc>
      </w:tr>
      <w:tr w:rsidR="00587A7C" w:rsidRPr="00E70732" w:rsidTr="00AB277E">
        <w:trPr>
          <w:trHeight w:val="321"/>
        </w:trPr>
        <w:tc>
          <w:tcPr>
            <w:tcW w:w="2802" w:type="dxa"/>
          </w:tcPr>
          <w:p w:rsidR="00587A7C" w:rsidRPr="00E70732" w:rsidRDefault="00587A7C" w:rsidP="00AB277E">
            <w:pPr>
              <w:rPr>
                <w:rFonts w:cs="Arial"/>
                <w:color w:val="000000" w:themeColor="text1"/>
                <w:sz w:val="24"/>
                <w:szCs w:val="24"/>
              </w:rPr>
            </w:pPr>
            <w:r w:rsidRPr="00E70732">
              <w:rPr>
                <w:rFonts w:cs="Arial"/>
                <w:color w:val="000000" w:themeColor="text1"/>
                <w:sz w:val="24"/>
                <w:szCs w:val="24"/>
              </w:rPr>
              <w:t>Significant adverse events</w:t>
            </w:r>
          </w:p>
        </w:tc>
        <w:tc>
          <w:tcPr>
            <w:tcW w:w="567" w:type="dxa"/>
            <w:shd w:val="clear" w:color="auto" w:fill="D6E3BC" w:themeFill="accent3" w:themeFillTint="66"/>
          </w:tcPr>
          <w:p w:rsidR="00587A7C" w:rsidRPr="00E70732" w:rsidRDefault="00587A7C" w:rsidP="00AB277E">
            <w:pPr>
              <w:rPr>
                <w:rFonts w:cs="Arial"/>
                <w:color w:val="000000" w:themeColor="text1"/>
                <w:sz w:val="24"/>
                <w:szCs w:val="24"/>
              </w:rPr>
            </w:pPr>
          </w:p>
        </w:tc>
        <w:tc>
          <w:tcPr>
            <w:tcW w:w="5917" w:type="dxa"/>
          </w:tcPr>
          <w:p w:rsidR="00587A7C" w:rsidRPr="00E70732" w:rsidRDefault="00587A7C" w:rsidP="00AB277E">
            <w:pPr>
              <w:rPr>
                <w:rFonts w:cs="Arial"/>
                <w:color w:val="000000" w:themeColor="text1"/>
                <w:sz w:val="24"/>
                <w:szCs w:val="24"/>
              </w:rPr>
            </w:pPr>
            <w:r w:rsidRPr="00E70732">
              <w:rPr>
                <w:rFonts w:cs="Arial"/>
                <w:color w:val="000000" w:themeColor="text1"/>
                <w:sz w:val="24"/>
                <w:szCs w:val="24"/>
              </w:rPr>
              <w:t>There were four significant adverse event reviews in March 2020, within the set tolerance limit</w:t>
            </w:r>
          </w:p>
        </w:tc>
      </w:tr>
      <w:tr w:rsidR="00587A7C" w:rsidRPr="00A4428F" w:rsidTr="00AB277E">
        <w:trPr>
          <w:trHeight w:val="321"/>
        </w:trPr>
        <w:tc>
          <w:tcPr>
            <w:tcW w:w="2802" w:type="dxa"/>
          </w:tcPr>
          <w:p w:rsidR="00587A7C" w:rsidRPr="00A4428F" w:rsidRDefault="00587A7C" w:rsidP="00AB277E">
            <w:pPr>
              <w:rPr>
                <w:rFonts w:cs="Arial"/>
                <w:color w:val="000000" w:themeColor="text1"/>
                <w:sz w:val="24"/>
                <w:szCs w:val="24"/>
              </w:rPr>
            </w:pPr>
            <w:r w:rsidRPr="00A4428F">
              <w:rPr>
                <w:rFonts w:cs="Arial"/>
                <w:color w:val="000000" w:themeColor="text1"/>
                <w:sz w:val="24"/>
                <w:szCs w:val="24"/>
              </w:rPr>
              <w:t>MRSA/MSSA cases</w:t>
            </w:r>
          </w:p>
          <w:p w:rsidR="00587A7C" w:rsidRPr="00A4428F" w:rsidRDefault="00587A7C" w:rsidP="00AB277E">
            <w:pPr>
              <w:rPr>
                <w:rFonts w:cs="Arial"/>
                <w:color w:val="000000" w:themeColor="text1"/>
                <w:sz w:val="24"/>
                <w:szCs w:val="24"/>
              </w:rPr>
            </w:pPr>
          </w:p>
        </w:tc>
        <w:tc>
          <w:tcPr>
            <w:tcW w:w="567" w:type="dxa"/>
            <w:shd w:val="clear" w:color="auto" w:fill="E5B8B7" w:themeFill="accent2" w:themeFillTint="66"/>
          </w:tcPr>
          <w:p w:rsidR="00587A7C" w:rsidRPr="00A4428F" w:rsidRDefault="00587A7C" w:rsidP="00AB277E">
            <w:pPr>
              <w:rPr>
                <w:rFonts w:cs="Arial"/>
                <w:color w:val="000000" w:themeColor="text1"/>
                <w:sz w:val="24"/>
                <w:szCs w:val="24"/>
              </w:rPr>
            </w:pPr>
          </w:p>
        </w:tc>
        <w:tc>
          <w:tcPr>
            <w:tcW w:w="5917" w:type="dxa"/>
          </w:tcPr>
          <w:p w:rsidR="00587A7C" w:rsidRPr="00A4428F" w:rsidRDefault="00587A7C" w:rsidP="00AB277E">
            <w:pPr>
              <w:rPr>
                <w:rFonts w:cs="Arial"/>
                <w:color w:val="000000" w:themeColor="text1"/>
                <w:sz w:val="24"/>
                <w:szCs w:val="24"/>
              </w:rPr>
            </w:pPr>
            <w:r w:rsidRPr="00A4428F">
              <w:rPr>
                <w:rFonts w:cs="Arial"/>
                <w:color w:val="000000" w:themeColor="text1"/>
                <w:sz w:val="24"/>
                <w:szCs w:val="24"/>
              </w:rPr>
              <w:t xml:space="preserve">There was one instance of Staphylococcus aureus Bacteraemia (SAB) reported in March 2020. </w:t>
            </w:r>
          </w:p>
        </w:tc>
      </w:tr>
      <w:tr w:rsidR="00587A7C" w:rsidRPr="00A4428F" w:rsidTr="00AB277E">
        <w:trPr>
          <w:trHeight w:val="321"/>
        </w:trPr>
        <w:tc>
          <w:tcPr>
            <w:tcW w:w="2802" w:type="dxa"/>
          </w:tcPr>
          <w:p w:rsidR="00587A7C" w:rsidRPr="00A4428F" w:rsidRDefault="00587A7C" w:rsidP="00AB277E">
            <w:pPr>
              <w:rPr>
                <w:rFonts w:cs="Arial"/>
                <w:color w:val="000000" w:themeColor="text1"/>
                <w:sz w:val="24"/>
                <w:szCs w:val="24"/>
              </w:rPr>
            </w:pPr>
            <w:r w:rsidRPr="00A4428F">
              <w:rPr>
                <w:rFonts w:cs="Arial"/>
                <w:color w:val="000000" w:themeColor="text1"/>
                <w:sz w:val="24"/>
                <w:szCs w:val="24"/>
              </w:rPr>
              <w:t>Clostridiodes Difficile</w:t>
            </w:r>
          </w:p>
        </w:tc>
        <w:tc>
          <w:tcPr>
            <w:tcW w:w="567" w:type="dxa"/>
            <w:shd w:val="clear" w:color="auto" w:fill="FBD4B4" w:themeFill="accent6" w:themeFillTint="66"/>
          </w:tcPr>
          <w:p w:rsidR="00587A7C" w:rsidRPr="00A4428F" w:rsidRDefault="00587A7C" w:rsidP="00AB277E">
            <w:pPr>
              <w:rPr>
                <w:rFonts w:cs="Arial"/>
                <w:color w:val="000000" w:themeColor="text1"/>
                <w:sz w:val="24"/>
                <w:szCs w:val="24"/>
              </w:rPr>
            </w:pPr>
          </w:p>
        </w:tc>
        <w:tc>
          <w:tcPr>
            <w:tcW w:w="5917" w:type="dxa"/>
          </w:tcPr>
          <w:p w:rsidR="00587A7C" w:rsidRPr="00A4428F" w:rsidRDefault="00587A7C" w:rsidP="00AB277E">
            <w:pPr>
              <w:rPr>
                <w:rFonts w:cs="Arial"/>
                <w:color w:val="000000" w:themeColor="text1"/>
                <w:sz w:val="24"/>
                <w:szCs w:val="24"/>
              </w:rPr>
            </w:pPr>
            <w:r w:rsidRPr="00A4428F">
              <w:rPr>
                <w:rFonts w:cs="Arial"/>
                <w:color w:val="000000" w:themeColor="text1"/>
                <w:sz w:val="24"/>
                <w:szCs w:val="24"/>
              </w:rPr>
              <w:t xml:space="preserve">There was one Clostridiodes Difficile Infections (CDI) reported in March 2020. </w:t>
            </w:r>
          </w:p>
        </w:tc>
      </w:tr>
    </w:tbl>
    <w:p w:rsidR="00A33DAD" w:rsidRDefault="00A33DA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21543D" w:rsidRDefault="0021543D" w:rsidP="00BB2C7D">
      <w:pPr>
        <w:spacing w:after="180"/>
        <w:rPr>
          <w:rFonts w:cs="Arial"/>
          <w:b/>
          <w:color w:val="000000" w:themeColor="text1"/>
          <w:sz w:val="28"/>
          <w:szCs w:val="28"/>
        </w:rPr>
      </w:pPr>
    </w:p>
    <w:p w:rsidR="00587A7C" w:rsidRDefault="00587A7C" w:rsidP="00BB2C7D">
      <w:pPr>
        <w:spacing w:after="180"/>
        <w:rPr>
          <w:rFonts w:cs="Arial"/>
          <w:b/>
          <w:color w:val="000000" w:themeColor="text1"/>
          <w:sz w:val="28"/>
          <w:szCs w:val="28"/>
        </w:rPr>
      </w:pPr>
    </w:p>
    <w:p w:rsidR="00587A7C" w:rsidRDefault="00587A7C" w:rsidP="00BB2C7D">
      <w:pPr>
        <w:spacing w:after="180"/>
        <w:rPr>
          <w:rFonts w:cs="Arial"/>
          <w:b/>
          <w:color w:val="000000" w:themeColor="text1"/>
          <w:sz w:val="28"/>
          <w:szCs w:val="28"/>
        </w:rPr>
      </w:pPr>
    </w:p>
    <w:p w:rsidR="00CE50E8" w:rsidRPr="00767853" w:rsidRDefault="00CE50E8" w:rsidP="00CE50E8">
      <w:pPr>
        <w:spacing w:after="180"/>
        <w:jc w:val="both"/>
        <w:rPr>
          <w:b/>
          <w:sz w:val="28"/>
          <w:szCs w:val="28"/>
        </w:rPr>
      </w:pPr>
      <w:r>
        <w:rPr>
          <w:b/>
          <w:sz w:val="28"/>
          <w:szCs w:val="28"/>
        </w:rPr>
        <w:lastRenderedPageBreak/>
        <w:t xml:space="preserve">Clinical Governance </w:t>
      </w:r>
      <w:r w:rsidRPr="00767853">
        <w:rPr>
          <w:b/>
          <w:sz w:val="28"/>
          <w:szCs w:val="28"/>
        </w:rPr>
        <w:t>Executive Summary</w:t>
      </w:r>
    </w:p>
    <w:p w:rsidR="00587A7C" w:rsidRPr="00587A7C" w:rsidRDefault="00587A7C" w:rsidP="00587A7C">
      <w:pPr>
        <w:spacing w:after="200" w:line="276" w:lineRule="auto"/>
        <w:rPr>
          <w:rFonts w:cs="Arial"/>
          <w:sz w:val="24"/>
          <w:szCs w:val="24"/>
        </w:rPr>
      </w:pPr>
      <w:r w:rsidRPr="00587A7C">
        <w:rPr>
          <w:rFonts w:cs="Arial"/>
          <w:sz w:val="24"/>
          <w:szCs w:val="24"/>
        </w:rPr>
        <w:t xml:space="preserve">Give the current situation we have moved to a contingency position for Clinical Governance. Datix remains available for use, and locations have been updated to take account of the changing footprint during the response period.  All staff are strongly encouraged to continue to engage with adverse event reporting via Datix.  CG team members will continue to screen regularly, review and process.  </w:t>
      </w:r>
    </w:p>
    <w:p w:rsidR="00587A7C" w:rsidRPr="00587A7C" w:rsidRDefault="00587A7C" w:rsidP="00587A7C">
      <w:pPr>
        <w:spacing w:after="200" w:line="276" w:lineRule="auto"/>
        <w:rPr>
          <w:rFonts w:cs="Arial"/>
          <w:sz w:val="24"/>
          <w:szCs w:val="24"/>
        </w:rPr>
      </w:pPr>
    </w:p>
    <w:p w:rsidR="00587A7C" w:rsidRPr="00587A7C" w:rsidRDefault="00587A7C" w:rsidP="00587A7C">
      <w:pPr>
        <w:spacing w:after="200" w:line="276" w:lineRule="auto"/>
        <w:rPr>
          <w:rFonts w:cs="Arial"/>
          <w:sz w:val="24"/>
          <w:szCs w:val="24"/>
        </w:rPr>
      </w:pPr>
      <w:r w:rsidRPr="00587A7C">
        <w:rPr>
          <w:rFonts w:cs="Arial"/>
          <w:sz w:val="24"/>
          <w:szCs w:val="24"/>
        </w:rPr>
        <w:t xml:space="preserve">There are 5 open SAE reviews which have been paused.  Contact has been made with all patients/ families to advise them of the situation.   CG team members will review and complete as much as possible and ensure a clear overview of what is required to be completed at a later date.  We recognise we will not be commissioning any new SAE reviews during this period but have developed a Brief Assessment Tool to support review of any significant events during this time to ensure a governance process.  CG will collate and monitor for any trends and we will consider the need for any retrospective RCAs.  During March we undertook 4 of these reviews, 2 arising from historic events identified via complaints.  All have been completed and are not recommending any further SAE review.  The national reporting of Level1, Category 1 events has been suspended at present.  </w:t>
      </w:r>
    </w:p>
    <w:p w:rsidR="00587A7C" w:rsidRPr="00587A7C" w:rsidRDefault="00587A7C" w:rsidP="00587A7C">
      <w:pPr>
        <w:spacing w:after="200" w:line="276" w:lineRule="auto"/>
        <w:rPr>
          <w:rFonts w:cs="Arial"/>
          <w:sz w:val="24"/>
          <w:szCs w:val="24"/>
        </w:rPr>
      </w:pPr>
    </w:p>
    <w:p w:rsidR="00587A7C" w:rsidRPr="00587A7C" w:rsidRDefault="00587A7C" w:rsidP="00587A7C">
      <w:pPr>
        <w:spacing w:after="200" w:line="276" w:lineRule="auto"/>
        <w:rPr>
          <w:rFonts w:cs="Arial"/>
          <w:sz w:val="24"/>
          <w:szCs w:val="24"/>
        </w:rPr>
      </w:pPr>
      <w:r w:rsidRPr="00587A7C">
        <w:rPr>
          <w:rFonts w:cs="Arial"/>
          <w:sz w:val="24"/>
          <w:szCs w:val="24"/>
        </w:rPr>
        <w:t xml:space="preserve">With regards to complaints, we have issued a communication via the website and within our acknowledgement letters that timescales will not be met during the COVID.  We received 3 stage 2 in February and 1 in March which are now awaiting sign off.  Several stage 1 have been received which we have for the majority been able to manage within timescales with 2 exceptions where patients were not available for feedback within the 5 days.  Contact has been made with all complainants to advise of delay.  We have been maintaining contact with national networks to ensure a consistent approach in respect of timescales and communication with patients/ relatives.  </w:t>
      </w:r>
    </w:p>
    <w:p w:rsidR="00587A7C" w:rsidRPr="00587A7C" w:rsidRDefault="00587A7C" w:rsidP="00587A7C">
      <w:pPr>
        <w:spacing w:after="200" w:line="276" w:lineRule="auto"/>
        <w:rPr>
          <w:rFonts w:cs="Arial"/>
          <w:sz w:val="24"/>
          <w:szCs w:val="24"/>
        </w:rPr>
      </w:pPr>
    </w:p>
    <w:p w:rsidR="00CE50E8" w:rsidRDefault="00587A7C" w:rsidP="00587A7C">
      <w:pPr>
        <w:spacing w:after="200" w:line="276" w:lineRule="auto"/>
        <w:rPr>
          <w:rFonts w:cs="Arial"/>
          <w:sz w:val="24"/>
          <w:szCs w:val="24"/>
        </w:rPr>
      </w:pPr>
      <w:r w:rsidRPr="00587A7C">
        <w:rPr>
          <w:rFonts w:cs="Arial"/>
          <w:sz w:val="24"/>
          <w:szCs w:val="24"/>
        </w:rPr>
        <w:t xml:space="preserve">Crude mortality was 15 in March with 9 deaths within cardiology, 4 cardiac and 2 thoracic.  Discussions are ongoing with clinical leads in these areas to ensure robust M&amp;M reviews during this time.  </w:t>
      </w:r>
    </w:p>
    <w:p w:rsidR="00587A7C" w:rsidRDefault="00587A7C" w:rsidP="00587A7C">
      <w:pPr>
        <w:spacing w:after="200" w:line="276" w:lineRule="auto"/>
        <w:rPr>
          <w:rFonts w:cs="Arial"/>
          <w:sz w:val="24"/>
          <w:szCs w:val="24"/>
        </w:rPr>
      </w:pPr>
    </w:p>
    <w:p w:rsidR="00587A7C" w:rsidRDefault="00587A7C" w:rsidP="00587A7C">
      <w:pPr>
        <w:spacing w:after="200" w:line="276" w:lineRule="auto"/>
        <w:rPr>
          <w:rFonts w:cs="Arial"/>
          <w:sz w:val="24"/>
          <w:szCs w:val="24"/>
        </w:rPr>
      </w:pPr>
    </w:p>
    <w:p w:rsidR="00587A7C" w:rsidRDefault="00587A7C" w:rsidP="00587A7C">
      <w:pPr>
        <w:spacing w:after="200" w:line="276" w:lineRule="auto"/>
        <w:rPr>
          <w:rFonts w:cs="Arial"/>
          <w:sz w:val="24"/>
          <w:szCs w:val="24"/>
        </w:rPr>
      </w:pPr>
    </w:p>
    <w:p w:rsidR="00587A7C" w:rsidRDefault="00587A7C" w:rsidP="00587A7C">
      <w:pPr>
        <w:spacing w:after="200" w:line="276" w:lineRule="auto"/>
        <w:rPr>
          <w:rFonts w:cs="Arial"/>
          <w:sz w:val="24"/>
          <w:szCs w:val="24"/>
        </w:rPr>
      </w:pPr>
    </w:p>
    <w:p w:rsidR="00587A7C" w:rsidRDefault="00587A7C" w:rsidP="00587A7C">
      <w:pPr>
        <w:spacing w:after="200" w:line="276" w:lineRule="auto"/>
        <w:rPr>
          <w:rFonts w:cs="Arial"/>
          <w:sz w:val="24"/>
          <w:szCs w:val="24"/>
        </w:rPr>
      </w:pPr>
    </w:p>
    <w:p w:rsidR="00587A7C" w:rsidRPr="00587A7C" w:rsidRDefault="00587A7C" w:rsidP="00587A7C">
      <w:pPr>
        <w:spacing w:after="200" w:line="276" w:lineRule="auto"/>
        <w:rPr>
          <w:rFonts w:cs="Arial"/>
          <w:b/>
          <w:sz w:val="24"/>
          <w:szCs w:val="24"/>
        </w:rPr>
      </w:pPr>
    </w:p>
    <w:p w:rsidR="0021543D" w:rsidRPr="0021543D" w:rsidRDefault="0021543D" w:rsidP="0021543D">
      <w:pPr>
        <w:spacing w:after="180"/>
        <w:jc w:val="both"/>
        <w:rPr>
          <w:b/>
          <w:sz w:val="28"/>
          <w:szCs w:val="28"/>
        </w:rPr>
      </w:pPr>
      <w:r w:rsidRPr="0021543D">
        <w:rPr>
          <w:b/>
          <w:sz w:val="28"/>
          <w:szCs w:val="28"/>
        </w:rPr>
        <w:lastRenderedPageBreak/>
        <w:t xml:space="preserve">Key Healthcare Associated Infection Headlines </w:t>
      </w:r>
      <w:r w:rsidR="00587A7C">
        <w:rPr>
          <w:b/>
          <w:sz w:val="28"/>
          <w:szCs w:val="28"/>
        </w:rPr>
        <w:t>– February 2020 report</w:t>
      </w:r>
    </w:p>
    <w:p w:rsidR="00587A7C" w:rsidRPr="00960D5A" w:rsidRDefault="00587A7C" w:rsidP="00587A7C">
      <w:pPr>
        <w:shd w:val="clear" w:color="auto" w:fill="FFFFFF" w:themeFill="background1"/>
        <w:contextualSpacing/>
        <w:rPr>
          <w:rFonts w:cs="Arial"/>
        </w:rPr>
      </w:pPr>
      <w:r w:rsidRPr="00960D5A">
        <w:rPr>
          <w:rFonts w:cs="Arial"/>
          <w:b/>
          <w:i/>
          <w:iCs/>
          <w:sz w:val="24"/>
          <w:szCs w:val="22"/>
        </w:rPr>
        <w:t>Staphylococcus aureus</w:t>
      </w:r>
      <w:r w:rsidRPr="00960D5A">
        <w:rPr>
          <w:rFonts w:cs="Arial"/>
          <w:b/>
          <w:sz w:val="24"/>
          <w:szCs w:val="22"/>
        </w:rPr>
        <w:t xml:space="preserve"> Bacteraemia</w:t>
      </w:r>
      <w:r w:rsidRPr="00960D5A">
        <w:rPr>
          <w:rFonts w:cs="Arial"/>
          <w:sz w:val="24"/>
          <w:szCs w:val="22"/>
        </w:rPr>
        <w:t>- No SAB to report in February. There will be one SAB reported in the March 2020 report.</w:t>
      </w:r>
    </w:p>
    <w:p w:rsidR="00587A7C" w:rsidRPr="00960D5A" w:rsidRDefault="00587A7C" w:rsidP="00587A7C">
      <w:pPr>
        <w:pStyle w:val="ListParagraph"/>
        <w:shd w:val="clear" w:color="auto" w:fill="FFFFFF" w:themeFill="background1"/>
        <w:rPr>
          <w:rFonts w:cs="Arial"/>
          <w:sz w:val="22"/>
        </w:rPr>
      </w:pPr>
    </w:p>
    <w:p w:rsidR="00587A7C" w:rsidRPr="00960D5A" w:rsidRDefault="00587A7C" w:rsidP="00587A7C">
      <w:pPr>
        <w:shd w:val="clear" w:color="auto" w:fill="FFFFFF" w:themeFill="background1"/>
        <w:contextualSpacing/>
        <w:rPr>
          <w:rFonts w:cs="Arial"/>
          <w:b/>
          <w:i/>
          <w:sz w:val="24"/>
          <w:szCs w:val="22"/>
        </w:rPr>
      </w:pPr>
      <w:r w:rsidRPr="00960D5A">
        <w:rPr>
          <w:rFonts w:cs="Arial"/>
          <w:b/>
          <w:i/>
          <w:sz w:val="24"/>
          <w:szCs w:val="22"/>
        </w:rPr>
        <w:t>Clostridioides difficile</w:t>
      </w:r>
      <w:r w:rsidRPr="00960D5A">
        <w:rPr>
          <w:rFonts w:cs="Arial"/>
          <w:b/>
          <w:sz w:val="24"/>
          <w:szCs w:val="22"/>
        </w:rPr>
        <w:t xml:space="preserve"> infection (previously known as </w:t>
      </w:r>
      <w:r w:rsidRPr="00960D5A">
        <w:rPr>
          <w:rFonts w:cs="Arial"/>
          <w:b/>
          <w:i/>
          <w:sz w:val="24"/>
          <w:szCs w:val="22"/>
        </w:rPr>
        <w:t>Clostridium difficile)-</w:t>
      </w:r>
    </w:p>
    <w:p w:rsidR="00587A7C" w:rsidRPr="00960D5A" w:rsidRDefault="00587A7C" w:rsidP="00587A7C">
      <w:pPr>
        <w:shd w:val="clear" w:color="auto" w:fill="FFFFFF" w:themeFill="background1"/>
        <w:contextualSpacing/>
        <w:rPr>
          <w:rFonts w:cs="Arial"/>
        </w:rPr>
      </w:pPr>
      <w:r w:rsidRPr="00960D5A">
        <w:rPr>
          <w:rFonts w:cs="Arial"/>
          <w:sz w:val="24"/>
          <w:szCs w:val="22"/>
        </w:rPr>
        <w:t>No CDI to report. There will be one CDI reported in the March 2020 report.</w:t>
      </w:r>
    </w:p>
    <w:p w:rsidR="00587A7C" w:rsidRPr="00960D5A" w:rsidRDefault="00587A7C" w:rsidP="00587A7C">
      <w:pPr>
        <w:pStyle w:val="ListParagraph"/>
        <w:shd w:val="clear" w:color="auto" w:fill="FFFFFF" w:themeFill="background1"/>
        <w:ind w:left="0"/>
        <w:rPr>
          <w:rFonts w:cs="Arial"/>
          <w:szCs w:val="22"/>
        </w:rPr>
      </w:pPr>
    </w:p>
    <w:p w:rsidR="00587A7C" w:rsidRPr="00960D5A" w:rsidRDefault="00587A7C" w:rsidP="00587A7C">
      <w:pPr>
        <w:pStyle w:val="ListParagraph"/>
        <w:shd w:val="clear" w:color="auto" w:fill="FFFFFF" w:themeFill="background1"/>
        <w:rPr>
          <w:rFonts w:cs="Arial"/>
          <w:szCs w:val="22"/>
        </w:rPr>
      </w:pPr>
    </w:p>
    <w:p w:rsidR="00587A7C" w:rsidRPr="00960D5A" w:rsidRDefault="00587A7C" w:rsidP="00587A7C">
      <w:pPr>
        <w:shd w:val="clear" w:color="auto" w:fill="FFFFFF" w:themeFill="background1"/>
        <w:contextualSpacing/>
        <w:rPr>
          <w:rFonts w:cs="Arial"/>
          <w:color w:val="000000" w:themeColor="text1"/>
          <w:sz w:val="24"/>
          <w:szCs w:val="22"/>
        </w:rPr>
      </w:pPr>
      <w:r w:rsidRPr="00960D5A">
        <w:rPr>
          <w:rFonts w:cs="Arial"/>
          <w:b/>
          <w:sz w:val="24"/>
          <w:szCs w:val="22"/>
        </w:rPr>
        <w:t>Hand Hygiene</w:t>
      </w:r>
      <w:r w:rsidRPr="00960D5A">
        <w:rPr>
          <w:rFonts w:cs="Arial"/>
          <w:sz w:val="24"/>
          <w:szCs w:val="22"/>
        </w:rPr>
        <w:t>-</w:t>
      </w:r>
      <w:r w:rsidRPr="00960D5A">
        <w:rPr>
          <w:rFonts w:cs="Arial"/>
          <w:color w:val="000000" w:themeColor="text1"/>
          <w:sz w:val="24"/>
          <w:szCs w:val="22"/>
        </w:rPr>
        <w:t xml:space="preserve"> The </w:t>
      </w:r>
      <w:r w:rsidRPr="00960D5A">
        <w:rPr>
          <w:rFonts w:cs="Arial"/>
          <w:b/>
          <w:color w:val="000000" w:themeColor="text1"/>
          <w:sz w:val="24"/>
          <w:szCs w:val="22"/>
        </w:rPr>
        <w:t>bimonthly</w:t>
      </w:r>
      <w:r w:rsidRPr="00960D5A">
        <w:rPr>
          <w:rFonts w:cs="Arial"/>
          <w:color w:val="000000" w:themeColor="text1"/>
          <w:sz w:val="24"/>
          <w:szCs w:val="22"/>
        </w:rPr>
        <w:t xml:space="preserve"> report from January demonstrates an overall compliance of 96% with hand hygiene opportunity and technique. This is an overall reduction in all staff groups. Next audit due March 20.</w:t>
      </w:r>
    </w:p>
    <w:p w:rsidR="00587A7C" w:rsidRPr="00960D5A" w:rsidRDefault="00587A7C" w:rsidP="00587A7C">
      <w:pPr>
        <w:pStyle w:val="ListParagraph"/>
        <w:shd w:val="clear" w:color="auto" w:fill="FFFFFF" w:themeFill="background1"/>
        <w:rPr>
          <w:rFonts w:cs="Arial"/>
          <w:b/>
          <w:szCs w:val="22"/>
        </w:rPr>
      </w:pPr>
    </w:p>
    <w:p w:rsidR="00587A7C" w:rsidRPr="00960D5A" w:rsidRDefault="00587A7C" w:rsidP="00587A7C">
      <w:pPr>
        <w:shd w:val="clear" w:color="auto" w:fill="FFFFFF" w:themeFill="background1"/>
        <w:contextualSpacing/>
        <w:rPr>
          <w:rFonts w:cs="Arial"/>
          <w:b/>
          <w:sz w:val="24"/>
          <w:szCs w:val="22"/>
        </w:rPr>
      </w:pPr>
      <w:r w:rsidRPr="00960D5A">
        <w:rPr>
          <w:rFonts w:cs="Arial"/>
          <w:b/>
          <w:sz w:val="24"/>
          <w:szCs w:val="22"/>
        </w:rPr>
        <w:t>Cleaning and the Healthcare Environment- Facilities Management Tool</w:t>
      </w:r>
    </w:p>
    <w:p w:rsidR="00587A7C" w:rsidRPr="00960D5A" w:rsidRDefault="00587A7C" w:rsidP="00587A7C">
      <w:pPr>
        <w:shd w:val="clear" w:color="auto" w:fill="FFFFFF" w:themeFill="background1"/>
        <w:rPr>
          <w:rFonts w:cs="Arial"/>
          <w:sz w:val="24"/>
          <w:szCs w:val="22"/>
        </w:rPr>
      </w:pPr>
      <w:r w:rsidRPr="00960D5A">
        <w:rPr>
          <w:rFonts w:cs="Arial"/>
          <w:b/>
          <w:sz w:val="24"/>
          <w:szCs w:val="22"/>
        </w:rPr>
        <w:t xml:space="preserve">Housekeeping Compliance: </w:t>
      </w:r>
      <w:r w:rsidRPr="00960D5A">
        <w:rPr>
          <w:rFonts w:cs="Arial"/>
          <w:sz w:val="24"/>
          <w:szCs w:val="22"/>
        </w:rPr>
        <w:t>98.33%</w:t>
      </w:r>
      <w:r w:rsidRPr="00960D5A">
        <w:rPr>
          <w:rFonts w:cs="Arial"/>
          <w:b/>
          <w:sz w:val="24"/>
          <w:szCs w:val="22"/>
        </w:rPr>
        <w:t xml:space="preserve">          Estates Compliance: </w:t>
      </w:r>
      <w:r w:rsidRPr="00960D5A">
        <w:rPr>
          <w:rFonts w:cs="Arial"/>
          <w:sz w:val="24"/>
          <w:szCs w:val="22"/>
        </w:rPr>
        <w:t>98.78%</w:t>
      </w:r>
    </w:p>
    <w:p w:rsidR="00587A7C" w:rsidRPr="00960D5A" w:rsidRDefault="00587A7C" w:rsidP="00587A7C">
      <w:pPr>
        <w:shd w:val="clear" w:color="auto" w:fill="FFFFFF" w:themeFill="background1"/>
        <w:rPr>
          <w:rFonts w:cs="Arial"/>
          <w:sz w:val="24"/>
          <w:szCs w:val="22"/>
        </w:rPr>
      </w:pPr>
    </w:p>
    <w:p w:rsidR="00587A7C" w:rsidRPr="00960D5A" w:rsidRDefault="00587A7C" w:rsidP="00587A7C">
      <w:pPr>
        <w:shd w:val="clear" w:color="auto" w:fill="FFFFFF" w:themeFill="background1"/>
        <w:spacing w:after="100" w:afterAutospacing="1"/>
        <w:contextualSpacing/>
        <w:jc w:val="both"/>
        <w:rPr>
          <w:rFonts w:cs="Arial"/>
          <w:b/>
          <w:sz w:val="24"/>
          <w:szCs w:val="22"/>
        </w:rPr>
      </w:pPr>
      <w:r w:rsidRPr="00960D5A">
        <w:rPr>
          <w:rFonts w:cs="Arial"/>
          <w:b/>
          <w:sz w:val="24"/>
          <w:szCs w:val="22"/>
        </w:rPr>
        <w:t>Surgical Site Infection</w:t>
      </w:r>
      <w:r w:rsidRPr="00960D5A">
        <w:rPr>
          <w:rFonts w:cs="Arial"/>
          <w:sz w:val="24"/>
          <w:szCs w:val="22"/>
        </w:rPr>
        <w:t xml:space="preserve">- </w:t>
      </w:r>
    </w:p>
    <w:p w:rsidR="00587A7C" w:rsidRPr="00960D5A" w:rsidRDefault="00587A7C" w:rsidP="00587A7C">
      <w:pPr>
        <w:shd w:val="clear" w:color="auto" w:fill="FFFFFF" w:themeFill="background1"/>
        <w:rPr>
          <w:rFonts w:cs="Arial"/>
          <w:sz w:val="24"/>
          <w:szCs w:val="22"/>
        </w:rPr>
      </w:pPr>
      <w:r w:rsidRPr="00960D5A">
        <w:rPr>
          <w:rFonts w:cs="Arial"/>
          <w:sz w:val="24"/>
          <w:szCs w:val="22"/>
        </w:rPr>
        <w:t>Hip &amp; Knee replacement SSI rates within control limits.</w:t>
      </w:r>
    </w:p>
    <w:p w:rsidR="00587A7C" w:rsidRPr="00960D5A" w:rsidRDefault="00587A7C" w:rsidP="00587A7C">
      <w:pPr>
        <w:shd w:val="clear" w:color="auto" w:fill="FFFFFF" w:themeFill="background1"/>
        <w:rPr>
          <w:rFonts w:cs="Arial"/>
          <w:sz w:val="24"/>
          <w:szCs w:val="22"/>
        </w:rPr>
      </w:pPr>
      <w:r w:rsidRPr="00960D5A">
        <w:rPr>
          <w:rFonts w:cs="Arial"/>
          <w:sz w:val="24"/>
          <w:szCs w:val="22"/>
        </w:rPr>
        <w:t>Cardiac and CABG SSI rates (within 30-day post-operative period) within control limits.</w:t>
      </w:r>
    </w:p>
    <w:p w:rsidR="00587A7C" w:rsidRPr="00960D5A" w:rsidRDefault="00587A7C" w:rsidP="00587A7C">
      <w:pPr>
        <w:shd w:val="clear" w:color="auto" w:fill="FFFFFF" w:themeFill="background1"/>
        <w:rPr>
          <w:rFonts w:cs="Arial"/>
          <w:sz w:val="24"/>
          <w:szCs w:val="22"/>
        </w:rPr>
      </w:pPr>
    </w:p>
    <w:p w:rsidR="00587A7C" w:rsidRPr="00960D5A" w:rsidRDefault="00587A7C" w:rsidP="00587A7C">
      <w:pPr>
        <w:pStyle w:val="ListParagraph"/>
        <w:shd w:val="clear" w:color="auto" w:fill="FFFFFF" w:themeFill="background1"/>
        <w:ind w:left="0"/>
        <w:rPr>
          <w:rFonts w:cs="Arial"/>
          <w:b/>
          <w:szCs w:val="22"/>
        </w:rPr>
      </w:pPr>
      <w:r w:rsidRPr="00960D5A">
        <w:rPr>
          <w:rFonts w:cs="Arial"/>
          <w:b/>
          <w:szCs w:val="22"/>
        </w:rPr>
        <w:t>Other HAI Related Activity</w:t>
      </w:r>
    </w:p>
    <w:p w:rsidR="00587A7C" w:rsidRPr="00960D5A" w:rsidRDefault="00587A7C" w:rsidP="00587A7C">
      <w:pPr>
        <w:shd w:val="clear" w:color="auto" w:fill="FFFFFF" w:themeFill="background1"/>
        <w:rPr>
          <w:rFonts w:cs="Arial"/>
          <w:b/>
          <w:bCs/>
          <w:color w:val="000000"/>
          <w:sz w:val="24"/>
          <w:szCs w:val="18"/>
        </w:rPr>
      </w:pPr>
      <w:r w:rsidRPr="00960D5A">
        <w:rPr>
          <w:rFonts w:cs="Arial"/>
          <w:b/>
          <w:bCs/>
          <w:color w:val="000000"/>
          <w:sz w:val="24"/>
          <w:szCs w:val="18"/>
        </w:rPr>
        <w:t>HEI Inspection report</w:t>
      </w:r>
    </w:p>
    <w:p w:rsidR="00587A7C" w:rsidRPr="00960D5A" w:rsidRDefault="00587A7C" w:rsidP="00587A7C">
      <w:pPr>
        <w:shd w:val="clear" w:color="auto" w:fill="FFFFFF" w:themeFill="background1"/>
        <w:rPr>
          <w:rFonts w:cs="Arial"/>
          <w:b/>
          <w:bCs/>
          <w:sz w:val="24"/>
          <w:szCs w:val="18"/>
        </w:rPr>
      </w:pPr>
    </w:p>
    <w:p w:rsidR="00587A7C" w:rsidRPr="00960D5A" w:rsidRDefault="00587A7C" w:rsidP="00587A7C">
      <w:pPr>
        <w:shd w:val="clear" w:color="auto" w:fill="FFFFFF" w:themeFill="background1"/>
        <w:rPr>
          <w:rFonts w:cs="Arial"/>
          <w:sz w:val="24"/>
          <w:szCs w:val="22"/>
          <w:lang w:val="en"/>
        </w:rPr>
      </w:pPr>
      <w:r w:rsidRPr="00960D5A">
        <w:rPr>
          <w:rFonts w:cs="Arial"/>
          <w:sz w:val="24"/>
          <w:szCs w:val="22"/>
          <w:lang w:val="en"/>
        </w:rPr>
        <w:t>HEI carried out unannounced inspections of the wards and theatre departments, from Tuesday 3 to Thursday 5 December 2019. The HEI report was published in February and the Board was commended on-</w:t>
      </w:r>
    </w:p>
    <w:p w:rsidR="00587A7C" w:rsidRPr="00960D5A" w:rsidRDefault="00587A7C" w:rsidP="00944058">
      <w:pPr>
        <w:numPr>
          <w:ilvl w:val="0"/>
          <w:numId w:val="5"/>
        </w:numPr>
        <w:spacing w:before="100" w:beforeAutospacing="1" w:after="100" w:afterAutospacing="1"/>
        <w:rPr>
          <w:rFonts w:cs="Arial"/>
          <w:sz w:val="24"/>
          <w:szCs w:val="22"/>
          <w:lang w:val="en"/>
        </w:rPr>
      </w:pPr>
      <w:r w:rsidRPr="00960D5A">
        <w:rPr>
          <w:rFonts w:cs="Arial"/>
          <w:sz w:val="24"/>
          <w:szCs w:val="22"/>
          <w:lang w:val="en"/>
        </w:rPr>
        <w:t>Environmental cleanliness was very good (wards).</w:t>
      </w:r>
    </w:p>
    <w:p w:rsidR="00587A7C" w:rsidRPr="00960D5A" w:rsidRDefault="00587A7C" w:rsidP="00944058">
      <w:pPr>
        <w:numPr>
          <w:ilvl w:val="0"/>
          <w:numId w:val="5"/>
        </w:numPr>
        <w:spacing w:before="100" w:beforeAutospacing="1" w:after="100" w:afterAutospacing="1"/>
        <w:rPr>
          <w:rFonts w:cs="Arial"/>
          <w:sz w:val="24"/>
          <w:szCs w:val="22"/>
          <w:lang w:val="en"/>
        </w:rPr>
      </w:pPr>
      <w:r w:rsidRPr="00960D5A">
        <w:rPr>
          <w:rFonts w:cs="Arial"/>
          <w:sz w:val="24"/>
          <w:szCs w:val="22"/>
          <w:lang w:val="en"/>
        </w:rPr>
        <w:t>Staff knowledge of standard infection control precautions and transmission-based precautions was good (wards and theatre department).</w:t>
      </w:r>
    </w:p>
    <w:p w:rsidR="00587A7C" w:rsidRPr="00960D5A" w:rsidRDefault="00587A7C" w:rsidP="00944058">
      <w:pPr>
        <w:numPr>
          <w:ilvl w:val="0"/>
          <w:numId w:val="5"/>
        </w:numPr>
        <w:spacing w:before="100" w:beforeAutospacing="1" w:after="100" w:afterAutospacing="1"/>
        <w:rPr>
          <w:rFonts w:cs="Arial"/>
          <w:sz w:val="24"/>
          <w:szCs w:val="22"/>
          <w:lang w:val="en"/>
        </w:rPr>
      </w:pPr>
      <w:r w:rsidRPr="00960D5A">
        <w:rPr>
          <w:rFonts w:cs="Arial"/>
          <w:sz w:val="24"/>
          <w:szCs w:val="22"/>
          <w:lang w:val="en"/>
        </w:rPr>
        <w:t>Staff compliance with completing infection, prevention and control education for all staff groups was good (wards and theatre department).</w:t>
      </w:r>
    </w:p>
    <w:p w:rsidR="00587A7C" w:rsidRPr="00960D5A" w:rsidRDefault="00587A7C" w:rsidP="00944058">
      <w:pPr>
        <w:numPr>
          <w:ilvl w:val="0"/>
          <w:numId w:val="5"/>
        </w:numPr>
        <w:spacing w:before="100" w:beforeAutospacing="1" w:after="100" w:afterAutospacing="1"/>
        <w:rPr>
          <w:rFonts w:cs="Arial"/>
          <w:sz w:val="24"/>
          <w:szCs w:val="22"/>
          <w:lang w:val="en"/>
        </w:rPr>
      </w:pPr>
      <w:r w:rsidRPr="00960D5A">
        <w:rPr>
          <w:rFonts w:cs="Arial"/>
          <w:sz w:val="24"/>
          <w:szCs w:val="22"/>
          <w:lang w:val="en"/>
        </w:rPr>
        <w:t>Decontamination process for surgical instruments was good (theatre department).</w:t>
      </w:r>
    </w:p>
    <w:p w:rsidR="00587A7C" w:rsidRPr="00960D5A" w:rsidRDefault="00587A7C" w:rsidP="00587A7C">
      <w:pPr>
        <w:spacing w:before="100" w:beforeAutospacing="1" w:after="100" w:afterAutospacing="1"/>
        <w:rPr>
          <w:rFonts w:cs="Arial"/>
          <w:sz w:val="24"/>
          <w:szCs w:val="22"/>
          <w:lang w:val="en"/>
        </w:rPr>
      </w:pPr>
      <w:r w:rsidRPr="00960D5A">
        <w:rPr>
          <w:rFonts w:cs="Arial"/>
          <w:sz w:val="24"/>
          <w:szCs w:val="22"/>
          <w:lang w:val="en"/>
        </w:rPr>
        <w:t>The Board received 5 requirements focused around-</w:t>
      </w:r>
    </w:p>
    <w:p w:rsidR="00587A7C" w:rsidRPr="00960D5A" w:rsidRDefault="00587A7C" w:rsidP="00944058">
      <w:pPr>
        <w:numPr>
          <w:ilvl w:val="0"/>
          <w:numId w:val="6"/>
        </w:numPr>
        <w:spacing w:before="100" w:beforeAutospacing="1" w:after="100" w:afterAutospacing="1"/>
        <w:rPr>
          <w:rFonts w:cs="Arial"/>
          <w:sz w:val="24"/>
          <w:szCs w:val="22"/>
          <w:lang w:val="en"/>
        </w:rPr>
      </w:pPr>
      <w:r w:rsidRPr="00960D5A">
        <w:rPr>
          <w:rFonts w:cs="Arial"/>
          <w:sz w:val="24"/>
          <w:szCs w:val="22"/>
          <w:lang w:val="en"/>
        </w:rPr>
        <w:t>Ensure equipment and the environment is clean and monitored (theatre department).</w:t>
      </w:r>
    </w:p>
    <w:p w:rsidR="00587A7C" w:rsidRPr="00960D5A" w:rsidRDefault="00587A7C" w:rsidP="00944058">
      <w:pPr>
        <w:numPr>
          <w:ilvl w:val="0"/>
          <w:numId w:val="6"/>
        </w:numPr>
        <w:spacing w:before="100" w:beforeAutospacing="1" w:after="100" w:afterAutospacing="1"/>
        <w:rPr>
          <w:rFonts w:cs="Arial"/>
          <w:sz w:val="24"/>
          <w:szCs w:val="22"/>
          <w:lang w:val="en"/>
        </w:rPr>
      </w:pPr>
      <w:r w:rsidRPr="00960D5A">
        <w:rPr>
          <w:rFonts w:cs="Arial"/>
          <w:sz w:val="24"/>
          <w:szCs w:val="22"/>
          <w:lang w:val="en"/>
        </w:rPr>
        <w:t>Ensure clean and sterile equipment is stored appropriately (theatre department).</w:t>
      </w:r>
    </w:p>
    <w:p w:rsidR="00587A7C" w:rsidRPr="00960D5A" w:rsidRDefault="00587A7C" w:rsidP="00587A7C">
      <w:pPr>
        <w:spacing w:before="100" w:beforeAutospacing="1" w:after="100" w:afterAutospacing="1"/>
        <w:rPr>
          <w:rFonts w:cs="Arial"/>
          <w:sz w:val="24"/>
          <w:szCs w:val="22"/>
          <w:lang w:val="en"/>
        </w:rPr>
      </w:pPr>
      <w:r w:rsidRPr="00960D5A">
        <w:rPr>
          <w:rFonts w:cs="Arial"/>
          <w:sz w:val="24"/>
          <w:szCs w:val="22"/>
          <w:lang w:val="en"/>
        </w:rPr>
        <w:t>An action plan has been completed and implemented to address these requirements.</w:t>
      </w:r>
    </w:p>
    <w:p w:rsidR="0021543D" w:rsidRPr="00960D5A" w:rsidRDefault="0021543D" w:rsidP="00CE50E8">
      <w:pPr>
        <w:spacing w:after="200" w:line="276" w:lineRule="auto"/>
        <w:rPr>
          <w:rFonts w:cs="Arial"/>
          <w:b/>
          <w:sz w:val="28"/>
          <w:szCs w:val="24"/>
        </w:rPr>
      </w:pPr>
    </w:p>
    <w:p w:rsidR="0021543D" w:rsidRPr="00960D5A" w:rsidRDefault="0021543D" w:rsidP="00CE50E8">
      <w:pPr>
        <w:spacing w:after="200" w:line="276" w:lineRule="auto"/>
        <w:rPr>
          <w:rFonts w:cs="Arial"/>
          <w:b/>
          <w:sz w:val="28"/>
          <w:szCs w:val="24"/>
        </w:rPr>
      </w:pPr>
    </w:p>
    <w:p w:rsidR="00587A7C" w:rsidRDefault="00587A7C" w:rsidP="00CE50E8">
      <w:pPr>
        <w:spacing w:after="200" w:line="276" w:lineRule="auto"/>
        <w:rPr>
          <w:rFonts w:cs="Arial"/>
          <w:b/>
          <w:sz w:val="24"/>
          <w:szCs w:val="24"/>
        </w:rPr>
      </w:pPr>
    </w:p>
    <w:p w:rsidR="00587A7C" w:rsidRDefault="00587A7C" w:rsidP="00CE50E8">
      <w:pPr>
        <w:spacing w:after="200" w:line="276" w:lineRule="auto"/>
        <w:rPr>
          <w:rFonts w:cs="Arial"/>
          <w:b/>
          <w:sz w:val="24"/>
          <w:szCs w:val="24"/>
        </w:rPr>
      </w:pPr>
    </w:p>
    <w:p w:rsidR="00025608" w:rsidRPr="007B3705" w:rsidRDefault="00025608" w:rsidP="00025608">
      <w:pPr>
        <w:pStyle w:val="Heading1"/>
      </w:pPr>
      <w:r w:rsidRPr="007B3705">
        <w:lastRenderedPageBreak/>
        <w:t>Section B:2 Staff Governance</w:t>
      </w:r>
    </w:p>
    <w:tbl>
      <w:tblPr>
        <w:tblStyle w:val="TableGrid"/>
        <w:tblW w:w="9286" w:type="dxa"/>
        <w:tblLayout w:type="fixed"/>
        <w:tblLook w:val="04A0" w:firstRow="1" w:lastRow="0" w:firstColumn="1" w:lastColumn="0" w:noHBand="0" w:noVBand="1"/>
      </w:tblPr>
      <w:tblGrid>
        <w:gridCol w:w="2802"/>
        <w:gridCol w:w="567"/>
        <w:gridCol w:w="5917"/>
      </w:tblGrid>
      <w:tr w:rsidR="00944058" w:rsidRPr="00E20DE2" w:rsidTr="00AB277E">
        <w:trPr>
          <w:trHeight w:val="225"/>
        </w:trPr>
        <w:tc>
          <w:tcPr>
            <w:tcW w:w="9286" w:type="dxa"/>
            <w:gridSpan w:val="3"/>
            <w:shd w:val="clear" w:color="auto" w:fill="B2A1C7" w:themeFill="accent4" w:themeFillTint="99"/>
          </w:tcPr>
          <w:p w:rsidR="00944058" w:rsidRPr="00E20DE2" w:rsidRDefault="00944058" w:rsidP="00AB277E">
            <w:pPr>
              <w:rPr>
                <w:rFonts w:cs="Arial"/>
                <w:color w:val="000000" w:themeColor="text1"/>
                <w:sz w:val="24"/>
                <w:szCs w:val="24"/>
                <w:highlight w:val="yellow"/>
              </w:rPr>
            </w:pPr>
            <w:r w:rsidRPr="00E20DE2">
              <w:rPr>
                <w:rFonts w:cs="Arial"/>
                <w:b/>
                <w:color w:val="000000" w:themeColor="text1"/>
                <w:sz w:val="24"/>
                <w:szCs w:val="24"/>
              </w:rPr>
              <w:t>Staff Governance</w:t>
            </w:r>
          </w:p>
        </w:tc>
      </w:tr>
      <w:tr w:rsidR="00944058" w:rsidRPr="00E20DE2" w:rsidTr="00AB277E">
        <w:trPr>
          <w:trHeight w:val="651"/>
        </w:trPr>
        <w:tc>
          <w:tcPr>
            <w:tcW w:w="2802" w:type="dxa"/>
            <w:shd w:val="clear" w:color="auto" w:fill="auto"/>
          </w:tcPr>
          <w:p w:rsidR="00944058" w:rsidRPr="00E20DE2" w:rsidRDefault="00944058" w:rsidP="00AB277E">
            <w:pPr>
              <w:rPr>
                <w:rFonts w:cs="Arial"/>
                <w:color w:val="000000" w:themeColor="text1"/>
                <w:sz w:val="24"/>
                <w:szCs w:val="24"/>
              </w:rPr>
            </w:pPr>
            <w:r w:rsidRPr="00E20DE2">
              <w:rPr>
                <w:rFonts w:cs="Arial"/>
                <w:color w:val="000000" w:themeColor="text1"/>
                <w:sz w:val="24"/>
                <w:szCs w:val="24"/>
              </w:rPr>
              <w:t xml:space="preserve">Disciplinaries &amp; Grievances </w:t>
            </w:r>
          </w:p>
        </w:tc>
        <w:tc>
          <w:tcPr>
            <w:tcW w:w="567" w:type="dxa"/>
            <w:shd w:val="clear" w:color="auto" w:fill="D6E3BC" w:themeFill="accent3" w:themeFillTint="66"/>
          </w:tcPr>
          <w:p w:rsidR="00944058" w:rsidRPr="00E20DE2" w:rsidRDefault="00944058" w:rsidP="00AB277E">
            <w:pPr>
              <w:rPr>
                <w:rFonts w:cs="Arial"/>
                <w:color w:val="000000" w:themeColor="text1"/>
                <w:sz w:val="24"/>
                <w:szCs w:val="24"/>
                <w:highlight w:val="yellow"/>
              </w:rPr>
            </w:pPr>
          </w:p>
        </w:tc>
        <w:tc>
          <w:tcPr>
            <w:tcW w:w="5917" w:type="dxa"/>
          </w:tcPr>
          <w:p w:rsidR="00944058" w:rsidRPr="00E20DE2" w:rsidRDefault="00944058" w:rsidP="00AB277E">
            <w:pPr>
              <w:rPr>
                <w:rFonts w:cs="Arial"/>
                <w:color w:val="000000" w:themeColor="text1"/>
                <w:sz w:val="24"/>
                <w:szCs w:val="24"/>
              </w:rPr>
            </w:pPr>
            <w:r w:rsidRPr="00E20DE2">
              <w:rPr>
                <w:rFonts w:cs="Arial"/>
                <w:color w:val="000000" w:themeColor="text1"/>
                <w:sz w:val="24"/>
                <w:szCs w:val="24"/>
              </w:rPr>
              <w:t xml:space="preserve">Both indicators were on target for March 2020 with zero disciplinary cases resulting in a warning with zero grievance cases reported. </w:t>
            </w:r>
          </w:p>
        </w:tc>
      </w:tr>
      <w:tr w:rsidR="00944058" w:rsidRPr="00E20DE2" w:rsidTr="00AB277E">
        <w:trPr>
          <w:trHeight w:val="651"/>
        </w:trPr>
        <w:tc>
          <w:tcPr>
            <w:tcW w:w="2802" w:type="dxa"/>
          </w:tcPr>
          <w:p w:rsidR="00944058" w:rsidRPr="00E20DE2" w:rsidRDefault="00944058" w:rsidP="00AB277E">
            <w:pPr>
              <w:rPr>
                <w:rFonts w:cs="Arial"/>
                <w:color w:val="000000" w:themeColor="text1"/>
                <w:sz w:val="24"/>
                <w:szCs w:val="24"/>
              </w:rPr>
            </w:pPr>
            <w:r w:rsidRPr="00E20DE2">
              <w:rPr>
                <w:rFonts w:cs="Arial"/>
                <w:color w:val="000000" w:themeColor="text1"/>
                <w:sz w:val="24"/>
                <w:szCs w:val="24"/>
              </w:rPr>
              <w:t>Bullying and harassment</w:t>
            </w:r>
          </w:p>
        </w:tc>
        <w:tc>
          <w:tcPr>
            <w:tcW w:w="567" w:type="dxa"/>
            <w:shd w:val="clear" w:color="auto" w:fill="D6E3BC" w:themeFill="accent3" w:themeFillTint="66"/>
          </w:tcPr>
          <w:p w:rsidR="00944058" w:rsidRPr="00E20DE2" w:rsidRDefault="00944058" w:rsidP="00AB277E">
            <w:pPr>
              <w:rPr>
                <w:rFonts w:cs="Arial"/>
                <w:color w:val="000000" w:themeColor="text1"/>
                <w:sz w:val="24"/>
                <w:szCs w:val="24"/>
              </w:rPr>
            </w:pPr>
          </w:p>
        </w:tc>
        <w:tc>
          <w:tcPr>
            <w:tcW w:w="5917" w:type="dxa"/>
          </w:tcPr>
          <w:p w:rsidR="00944058" w:rsidRPr="00E20DE2" w:rsidRDefault="00944058" w:rsidP="00AB277E">
            <w:pPr>
              <w:rPr>
                <w:rFonts w:cs="Arial"/>
                <w:color w:val="000000" w:themeColor="text1"/>
                <w:sz w:val="24"/>
                <w:szCs w:val="24"/>
              </w:rPr>
            </w:pPr>
            <w:r w:rsidRPr="00E20DE2">
              <w:rPr>
                <w:rFonts w:cs="Arial"/>
                <w:color w:val="000000" w:themeColor="text1"/>
                <w:sz w:val="24"/>
                <w:szCs w:val="24"/>
              </w:rPr>
              <w:t>There were zero bullying cases reported in March 2020. Year to date there have been three cases raised.</w:t>
            </w:r>
          </w:p>
        </w:tc>
      </w:tr>
      <w:tr w:rsidR="00944058" w:rsidRPr="009A66A7" w:rsidTr="00AB277E">
        <w:trPr>
          <w:trHeight w:val="651"/>
        </w:trPr>
        <w:tc>
          <w:tcPr>
            <w:tcW w:w="2802" w:type="dxa"/>
          </w:tcPr>
          <w:p w:rsidR="00944058" w:rsidRPr="009A66A7" w:rsidRDefault="00944058" w:rsidP="00AB277E">
            <w:pPr>
              <w:rPr>
                <w:rFonts w:cs="Arial"/>
                <w:color w:val="000000" w:themeColor="text1"/>
                <w:sz w:val="24"/>
                <w:szCs w:val="24"/>
              </w:rPr>
            </w:pPr>
            <w:r w:rsidRPr="009A66A7">
              <w:rPr>
                <w:rFonts w:cs="Arial"/>
                <w:color w:val="000000" w:themeColor="text1"/>
                <w:sz w:val="24"/>
                <w:szCs w:val="24"/>
              </w:rPr>
              <w:t>Local Sickness absence</w:t>
            </w:r>
          </w:p>
        </w:tc>
        <w:tc>
          <w:tcPr>
            <w:tcW w:w="567" w:type="dxa"/>
            <w:shd w:val="clear" w:color="auto" w:fill="E5B8B7" w:themeFill="accent2" w:themeFillTint="66"/>
          </w:tcPr>
          <w:p w:rsidR="00944058" w:rsidRPr="009A66A7" w:rsidRDefault="00944058" w:rsidP="00AB277E">
            <w:pPr>
              <w:rPr>
                <w:rFonts w:cs="Arial"/>
                <w:color w:val="000000" w:themeColor="text1"/>
                <w:sz w:val="24"/>
                <w:szCs w:val="24"/>
              </w:rPr>
            </w:pPr>
          </w:p>
        </w:tc>
        <w:tc>
          <w:tcPr>
            <w:tcW w:w="5917" w:type="dxa"/>
          </w:tcPr>
          <w:p w:rsidR="00944058" w:rsidRPr="009A66A7" w:rsidRDefault="00944058" w:rsidP="00AB277E">
            <w:pPr>
              <w:rPr>
                <w:rFonts w:cs="Arial"/>
                <w:color w:val="000000" w:themeColor="text1"/>
                <w:sz w:val="24"/>
                <w:szCs w:val="24"/>
              </w:rPr>
            </w:pPr>
            <w:r w:rsidRPr="009A66A7">
              <w:rPr>
                <w:rFonts w:cs="Arial"/>
                <w:color w:val="000000" w:themeColor="text1"/>
                <w:sz w:val="24"/>
                <w:szCs w:val="24"/>
              </w:rPr>
              <w:t>There was a 0.1% increase in sickness absence in March 2020 with sickness increasing from 4.9% to 5.0%.  A 5% Special Leave – Covid related rate was also reported</w:t>
            </w:r>
          </w:p>
        </w:tc>
      </w:tr>
      <w:tr w:rsidR="00944058" w:rsidRPr="009E18BA" w:rsidTr="00AB277E">
        <w:trPr>
          <w:trHeight w:val="707"/>
        </w:trPr>
        <w:tc>
          <w:tcPr>
            <w:tcW w:w="2802" w:type="dxa"/>
          </w:tcPr>
          <w:p w:rsidR="00944058" w:rsidRPr="009E18BA" w:rsidRDefault="00944058" w:rsidP="00AB277E">
            <w:pPr>
              <w:rPr>
                <w:rFonts w:cs="Arial"/>
                <w:color w:val="000000" w:themeColor="text1"/>
                <w:sz w:val="24"/>
                <w:szCs w:val="24"/>
              </w:rPr>
            </w:pPr>
            <w:r w:rsidRPr="009E18BA">
              <w:rPr>
                <w:rFonts w:cs="Arial"/>
                <w:color w:val="000000" w:themeColor="text1"/>
                <w:sz w:val="24"/>
                <w:szCs w:val="24"/>
              </w:rPr>
              <w:t>Medical appraisal with completed interview and form 4</w:t>
            </w:r>
          </w:p>
        </w:tc>
        <w:tc>
          <w:tcPr>
            <w:tcW w:w="567" w:type="dxa"/>
            <w:shd w:val="clear" w:color="auto" w:fill="E5B8B7" w:themeFill="accent2" w:themeFillTint="66"/>
          </w:tcPr>
          <w:p w:rsidR="00944058" w:rsidRPr="009E18BA" w:rsidRDefault="00944058" w:rsidP="00AB277E">
            <w:pPr>
              <w:rPr>
                <w:rFonts w:cs="Arial"/>
                <w:color w:val="000000" w:themeColor="text1"/>
                <w:sz w:val="24"/>
                <w:szCs w:val="24"/>
              </w:rPr>
            </w:pPr>
          </w:p>
        </w:tc>
        <w:tc>
          <w:tcPr>
            <w:tcW w:w="5917" w:type="dxa"/>
          </w:tcPr>
          <w:p w:rsidR="00944058" w:rsidRPr="009E18BA" w:rsidRDefault="00944058" w:rsidP="00AB277E">
            <w:pPr>
              <w:rPr>
                <w:rFonts w:cs="Arial"/>
                <w:color w:val="000000" w:themeColor="text1"/>
                <w:sz w:val="24"/>
                <w:szCs w:val="24"/>
              </w:rPr>
            </w:pPr>
            <w:r w:rsidRPr="009E18BA">
              <w:rPr>
                <w:rFonts w:cs="Arial"/>
                <w:color w:val="000000" w:themeColor="text1"/>
                <w:sz w:val="24"/>
                <w:szCs w:val="24"/>
              </w:rPr>
              <w:t>Last reported position was end of February 2020 was 58.4% (73/125) against a target of 70%. Appraisals are currently suspended.</w:t>
            </w:r>
          </w:p>
        </w:tc>
      </w:tr>
      <w:tr w:rsidR="00944058" w:rsidRPr="009E18BA" w:rsidTr="00AB277E">
        <w:trPr>
          <w:trHeight w:val="651"/>
        </w:trPr>
        <w:tc>
          <w:tcPr>
            <w:tcW w:w="2802" w:type="dxa"/>
          </w:tcPr>
          <w:p w:rsidR="00944058" w:rsidRPr="009E18BA" w:rsidRDefault="00944058" w:rsidP="00AB277E">
            <w:pPr>
              <w:rPr>
                <w:rFonts w:cs="Arial"/>
                <w:color w:val="000000" w:themeColor="text1"/>
                <w:sz w:val="24"/>
                <w:szCs w:val="24"/>
              </w:rPr>
            </w:pPr>
            <w:r w:rsidRPr="009E18BA">
              <w:rPr>
                <w:rFonts w:cs="Arial"/>
                <w:color w:val="000000" w:themeColor="text1"/>
                <w:sz w:val="24"/>
                <w:szCs w:val="24"/>
              </w:rPr>
              <w:t>TURAS Appraisal rates</w:t>
            </w:r>
          </w:p>
        </w:tc>
        <w:tc>
          <w:tcPr>
            <w:tcW w:w="567" w:type="dxa"/>
            <w:shd w:val="clear" w:color="auto" w:fill="E5B8B7" w:themeFill="accent2" w:themeFillTint="66"/>
          </w:tcPr>
          <w:p w:rsidR="00944058" w:rsidRPr="009E18BA" w:rsidRDefault="00944058" w:rsidP="00AB277E">
            <w:pPr>
              <w:rPr>
                <w:rFonts w:cs="Arial"/>
                <w:color w:val="000000" w:themeColor="text1"/>
                <w:sz w:val="24"/>
                <w:szCs w:val="24"/>
              </w:rPr>
            </w:pPr>
          </w:p>
        </w:tc>
        <w:tc>
          <w:tcPr>
            <w:tcW w:w="5917" w:type="dxa"/>
          </w:tcPr>
          <w:p w:rsidR="00944058" w:rsidRPr="009E18BA" w:rsidRDefault="00944058" w:rsidP="00AB277E">
            <w:pPr>
              <w:rPr>
                <w:rFonts w:cs="Arial"/>
                <w:color w:val="000000" w:themeColor="text1"/>
                <w:sz w:val="24"/>
                <w:szCs w:val="24"/>
              </w:rPr>
            </w:pPr>
            <w:r w:rsidRPr="009E18BA">
              <w:rPr>
                <w:rFonts w:cs="Arial"/>
                <w:color w:val="000000" w:themeColor="text1"/>
                <w:sz w:val="24"/>
                <w:szCs w:val="24"/>
              </w:rPr>
              <w:t xml:space="preserve">Last reported position was 72% in January 2020 remaining below the required threshold of 80%. </w:t>
            </w:r>
          </w:p>
        </w:tc>
      </w:tr>
      <w:tr w:rsidR="00944058" w:rsidRPr="009E18BA" w:rsidTr="00AB277E">
        <w:trPr>
          <w:trHeight w:val="651"/>
        </w:trPr>
        <w:tc>
          <w:tcPr>
            <w:tcW w:w="2802" w:type="dxa"/>
          </w:tcPr>
          <w:p w:rsidR="00944058" w:rsidRPr="009E18BA" w:rsidRDefault="00944058" w:rsidP="00AB277E">
            <w:pPr>
              <w:rPr>
                <w:rFonts w:cs="Arial"/>
                <w:color w:val="000000" w:themeColor="text1"/>
                <w:sz w:val="24"/>
                <w:szCs w:val="24"/>
                <w:highlight w:val="yellow"/>
              </w:rPr>
            </w:pPr>
            <w:r w:rsidRPr="009E18BA">
              <w:rPr>
                <w:rFonts w:cs="Arial"/>
                <w:color w:val="000000" w:themeColor="text1"/>
                <w:sz w:val="24"/>
                <w:szCs w:val="24"/>
              </w:rPr>
              <w:t>Job Planning: Elective Services</w:t>
            </w:r>
          </w:p>
        </w:tc>
        <w:tc>
          <w:tcPr>
            <w:tcW w:w="567" w:type="dxa"/>
            <w:shd w:val="clear" w:color="auto" w:fill="E5B8B7" w:themeFill="accent2" w:themeFillTint="66"/>
          </w:tcPr>
          <w:p w:rsidR="00944058" w:rsidRPr="009E18BA" w:rsidRDefault="00944058" w:rsidP="00AB277E">
            <w:pPr>
              <w:rPr>
                <w:rFonts w:cs="Arial"/>
                <w:color w:val="000000" w:themeColor="text1"/>
                <w:sz w:val="24"/>
                <w:szCs w:val="24"/>
                <w:highlight w:val="yellow"/>
              </w:rPr>
            </w:pPr>
          </w:p>
        </w:tc>
        <w:tc>
          <w:tcPr>
            <w:tcW w:w="5917" w:type="dxa"/>
          </w:tcPr>
          <w:p w:rsidR="00944058" w:rsidRPr="009E18BA" w:rsidRDefault="00944058" w:rsidP="00AB277E">
            <w:pPr>
              <w:rPr>
                <w:rFonts w:cs="Arial"/>
                <w:color w:val="000000" w:themeColor="text1"/>
                <w:sz w:val="24"/>
                <w:szCs w:val="24"/>
                <w:highlight w:val="yellow"/>
              </w:rPr>
            </w:pPr>
            <w:r w:rsidRPr="009E18BA">
              <w:rPr>
                <w:rFonts w:cs="Arial"/>
                <w:color w:val="000000" w:themeColor="text1"/>
                <w:sz w:val="24"/>
                <w:szCs w:val="24"/>
              </w:rPr>
              <w:t>Last reported position was 85.7% (60/70) of consultants having an approved job plan. Job planning is currently suspended.</w:t>
            </w:r>
          </w:p>
        </w:tc>
      </w:tr>
      <w:tr w:rsidR="00944058" w:rsidRPr="009E18BA" w:rsidTr="00AB277E">
        <w:trPr>
          <w:trHeight w:val="574"/>
        </w:trPr>
        <w:tc>
          <w:tcPr>
            <w:tcW w:w="2802" w:type="dxa"/>
          </w:tcPr>
          <w:p w:rsidR="00944058" w:rsidRPr="009E18BA" w:rsidRDefault="00944058" w:rsidP="00AB277E">
            <w:pPr>
              <w:rPr>
                <w:rFonts w:cs="Arial"/>
                <w:color w:val="000000" w:themeColor="text1"/>
                <w:sz w:val="24"/>
                <w:szCs w:val="24"/>
              </w:rPr>
            </w:pPr>
            <w:r w:rsidRPr="009E18BA">
              <w:rPr>
                <w:rFonts w:cs="Arial"/>
                <w:color w:val="000000" w:themeColor="text1"/>
                <w:sz w:val="24"/>
                <w:szCs w:val="24"/>
              </w:rPr>
              <w:t>Job Planning: Heart, Lung and Diagnostic</w:t>
            </w:r>
          </w:p>
        </w:tc>
        <w:tc>
          <w:tcPr>
            <w:tcW w:w="567" w:type="dxa"/>
            <w:shd w:val="clear" w:color="auto" w:fill="E5B8B7" w:themeFill="accent2" w:themeFillTint="66"/>
          </w:tcPr>
          <w:p w:rsidR="00944058" w:rsidRPr="009E18BA" w:rsidRDefault="00944058" w:rsidP="00AB277E">
            <w:pPr>
              <w:rPr>
                <w:rFonts w:cs="Arial"/>
                <w:color w:val="000000" w:themeColor="text1"/>
                <w:sz w:val="24"/>
                <w:szCs w:val="24"/>
              </w:rPr>
            </w:pPr>
          </w:p>
        </w:tc>
        <w:tc>
          <w:tcPr>
            <w:tcW w:w="5917" w:type="dxa"/>
          </w:tcPr>
          <w:p w:rsidR="00944058" w:rsidRPr="009E18BA" w:rsidRDefault="00944058" w:rsidP="00AB277E">
            <w:pPr>
              <w:rPr>
                <w:rFonts w:cs="Arial"/>
                <w:color w:val="000000" w:themeColor="text1"/>
                <w:sz w:val="24"/>
                <w:szCs w:val="24"/>
              </w:rPr>
            </w:pPr>
            <w:r w:rsidRPr="009E18BA">
              <w:rPr>
                <w:rFonts w:cs="Arial"/>
                <w:color w:val="000000" w:themeColor="text1"/>
                <w:sz w:val="24"/>
                <w:szCs w:val="24"/>
              </w:rPr>
              <w:t>Last reported position was 80% (12/15) Job planning is currently suspended.</w:t>
            </w:r>
          </w:p>
        </w:tc>
      </w:tr>
    </w:tbl>
    <w:p w:rsidR="007F0372" w:rsidRPr="007F0372" w:rsidRDefault="007F0372" w:rsidP="00AA1592">
      <w:pPr>
        <w:rPr>
          <w:sz w:val="24"/>
        </w:rPr>
      </w:pPr>
    </w:p>
    <w:p w:rsidR="00AA1592" w:rsidRDefault="00AA1592"/>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CE50E8" w:rsidRDefault="00CE50E8"/>
    <w:p w:rsidR="0021543D" w:rsidRDefault="0021543D"/>
    <w:p w:rsidR="0021543D" w:rsidRDefault="0021543D"/>
    <w:p w:rsidR="00960D5A" w:rsidRDefault="00960D5A"/>
    <w:p w:rsidR="00960D5A" w:rsidRDefault="00960D5A"/>
    <w:p w:rsidR="00CE50E8" w:rsidRDefault="00CE50E8"/>
    <w:p w:rsidR="00CE50E8" w:rsidRPr="00BB2C7D" w:rsidRDefault="00CE50E8" w:rsidP="00CE50E8">
      <w:pPr>
        <w:spacing w:after="180"/>
        <w:rPr>
          <w:rFonts w:cs="Arial"/>
          <w:b/>
          <w:color w:val="000000" w:themeColor="text1"/>
          <w:sz w:val="28"/>
          <w:szCs w:val="28"/>
        </w:rPr>
      </w:pPr>
      <w:r>
        <w:rPr>
          <w:rFonts w:cs="Arial"/>
          <w:b/>
          <w:color w:val="000000" w:themeColor="text1"/>
          <w:sz w:val="28"/>
          <w:szCs w:val="28"/>
        </w:rPr>
        <w:lastRenderedPageBreak/>
        <w:t xml:space="preserve">Staff Governance </w:t>
      </w:r>
      <w:r w:rsidRPr="00BB2C7D">
        <w:rPr>
          <w:rFonts w:cs="Arial"/>
          <w:b/>
          <w:color w:val="000000" w:themeColor="text1"/>
          <w:sz w:val="28"/>
          <w:szCs w:val="28"/>
        </w:rPr>
        <w:t>Executive Summary</w:t>
      </w:r>
    </w:p>
    <w:p w:rsidR="00CE50E8" w:rsidRPr="0064786A" w:rsidRDefault="00CE50E8" w:rsidP="00CE50E8">
      <w:pPr>
        <w:ind w:right="2"/>
        <w:rPr>
          <w:rFonts w:cs="Arial"/>
        </w:rPr>
      </w:pPr>
    </w:p>
    <w:p w:rsidR="00944058" w:rsidRPr="00556DE2" w:rsidRDefault="00944058" w:rsidP="00944058">
      <w:pPr>
        <w:ind w:right="2"/>
        <w:rPr>
          <w:rFonts w:cs="Arial"/>
          <w:b/>
          <w:sz w:val="24"/>
          <w:szCs w:val="24"/>
        </w:rPr>
      </w:pPr>
      <w:r w:rsidRPr="00556DE2">
        <w:rPr>
          <w:rFonts w:cs="Arial"/>
          <w:b/>
          <w:sz w:val="24"/>
          <w:szCs w:val="24"/>
        </w:rPr>
        <w:t>Executive Summary March 2020</w:t>
      </w:r>
    </w:p>
    <w:p w:rsidR="00944058" w:rsidRPr="00556DE2" w:rsidRDefault="00944058" w:rsidP="00944058">
      <w:pPr>
        <w:ind w:right="2"/>
        <w:rPr>
          <w:rFonts w:cs="Arial"/>
          <w:sz w:val="24"/>
          <w:szCs w:val="24"/>
        </w:rPr>
      </w:pPr>
    </w:p>
    <w:p w:rsidR="00944058" w:rsidRPr="00556DE2" w:rsidRDefault="00944058" w:rsidP="00944058">
      <w:pPr>
        <w:tabs>
          <w:tab w:val="left" w:pos="576"/>
        </w:tabs>
        <w:ind w:right="2"/>
        <w:textAlignment w:val="baseline"/>
        <w:rPr>
          <w:rFonts w:cs="Arial"/>
          <w:color w:val="000000"/>
          <w:sz w:val="24"/>
          <w:szCs w:val="24"/>
        </w:rPr>
      </w:pPr>
      <w:r w:rsidRPr="00556DE2">
        <w:rPr>
          <w:rFonts w:cs="Arial"/>
          <w:color w:val="000000"/>
          <w:sz w:val="24"/>
          <w:szCs w:val="24"/>
        </w:rPr>
        <w:t>Within the Staff Governance section of the IPR we report on the following:</w:t>
      </w:r>
    </w:p>
    <w:p w:rsidR="00944058" w:rsidRPr="00556DE2" w:rsidRDefault="00944058" w:rsidP="00944058">
      <w:pPr>
        <w:numPr>
          <w:ilvl w:val="0"/>
          <w:numId w:val="4"/>
        </w:numPr>
        <w:tabs>
          <w:tab w:val="left" w:pos="576"/>
        </w:tabs>
        <w:ind w:right="2"/>
        <w:textAlignment w:val="baseline"/>
        <w:rPr>
          <w:rFonts w:cs="Arial"/>
          <w:color w:val="000000"/>
          <w:sz w:val="24"/>
          <w:szCs w:val="24"/>
        </w:rPr>
      </w:pPr>
      <w:r w:rsidRPr="00556DE2">
        <w:rPr>
          <w:rFonts w:cs="Arial"/>
          <w:color w:val="000000"/>
          <w:sz w:val="24"/>
          <w:szCs w:val="24"/>
        </w:rPr>
        <w:t>sickness absence rates;</w:t>
      </w:r>
    </w:p>
    <w:p w:rsidR="00944058" w:rsidRPr="00556DE2" w:rsidRDefault="00944058" w:rsidP="00944058">
      <w:pPr>
        <w:numPr>
          <w:ilvl w:val="0"/>
          <w:numId w:val="4"/>
        </w:numPr>
        <w:tabs>
          <w:tab w:val="left" w:pos="576"/>
        </w:tabs>
        <w:ind w:right="2"/>
        <w:textAlignment w:val="baseline"/>
        <w:rPr>
          <w:rFonts w:cs="Arial"/>
          <w:color w:val="000000"/>
          <w:sz w:val="24"/>
          <w:szCs w:val="24"/>
        </w:rPr>
      </w:pPr>
      <w:r w:rsidRPr="00556DE2">
        <w:rPr>
          <w:rFonts w:cs="Arial"/>
          <w:color w:val="000000"/>
          <w:sz w:val="24"/>
          <w:szCs w:val="24"/>
        </w:rPr>
        <w:t>appraisal rates for those under Agenda for Change and medical pay scales; and</w:t>
      </w:r>
    </w:p>
    <w:p w:rsidR="00944058" w:rsidRPr="00556DE2" w:rsidRDefault="00944058" w:rsidP="00944058">
      <w:pPr>
        <w:numPr>
          <w:ilvl w:val="0"/>
          <w:numId w:val="4"/>
        </w:numPr>
        <w:tabs>
          <w:tab w:val="left" w:pos="576"/>
        </w:tabs>
        <w:ind w:right="2"/>
        <w:textAlignment w:val="baseline"/>
        <w:rPr>
          <w:rFonts w:cs="Arial"/>
          <w:color w:val="000000"/>
          <w:sz w:val="24"/>
          <w:szCs w:val="24"/>
        </w:rPr>
      </w:pPr>
      <w:r w:rsidRPr="00556DE2">
        <w:rPr>
          <w:rFonts w:cs="Arial"/>
          <w:color w:val="000000"/>
          <w:sz w:val="24"/>
          <w:szCs w:val="24"/>
        </w:rPr>
        <w:t>medical job planning.</w:t>
      </w:r>
    </w:p>
    <w:p w:rsidR="00944058" w:rsidRPr="00556DE2" w:rsidRDefault="00944058" w:rsidP="00944058">
      <w:pPr>
        <w:tabs>
          <w:tab w:val="left" w:pos="576"/>
        </w:tabs>
        <w:ind w:right="2"/>
        <w:textAlignment w:val="baseline"/>
        <w:rPr>
          <w:rFonts w:cs="Arial"/>
          <w:color w:val="000000"/>
          <w:sz w:val="24"/>
          <w:szCs w:val="24"/>
        </w:rPr>
      </w:pPr>
    </w:p>
    <w:p w:rsidR="00944058" w:rsidRPr="00556DE2" w:rsidRDefault="00944058" w:rsidP="00944058">
      <w:pPr>
        <w:tabs>
          <w:tab w:val="left" w:pos="576"/>
        </w:tabs>
        <w:ind w:right="2"/>
        <w:textAlignment w:val="baseline"/>
        <w:rPr>
          <w:rFonts w:cs="Arial"/>
          <w:color w:val="000000"/>
          <w:sz w:val="24"/>
          <w:szCs w:val="24"/>
        </w:rPr>
      </w:pPr>
      <w:r w:rsidRPr="00556DE2">
        <w:rPr>
          <w:rFonts w:cs="Arial"/>
          <w:color w:val="000000"/>
          <w:sz w:val="24"/>
          <w:szCs w:val="24"/>
        </w:rPr>
        <w:t>From March 2020 and for the foreseeable future we will also summarise absence due to COVID-19.</w:t>
      </w:r>
    </w:p>
    <w:p w:rsidR="00944058" w:rsidRPr="00556DE2" w:rsidRDefault="00944058" w:rsidP="00944058">
      <w:pPr>
        <w:tabs>
          <w:tab w:val="left" w:pos="576"/>
        </w:tabs>
        <w:ind w:right="2"/>
        <w:textAlignment w:val="baseline"/>
        <w:rPr>
          <w:rFonts w:cs="Arial"/>
          <w:color w:val="000000"/>
          <w:sz w:val="24"/>
          <w:szCs w:val="24"/>
        </w:rPr>
      </w:pPr>
    </w:p>
    <w:p w:rsidR="00944058" w:rsidRPr="00556DE2" w:rsidRDefault="00944058" w:rsidP="00944058">
      <w:pPr>
        <w:tabs>
          <w:tab w:val="left" w:pos="576"/>
        </w:tabs>
        <w:ind w:right="2"/>
        <w:textAlignment w:val="baseline"/>
        <w:rPr>
          <w:rFonts w:cs="Arial"/>
          <w:b/>
          <w:color w:val="000000"/>
          <w:sz w:val="24"/>
          <w:szCs w:val="24"/>
        </w:rPr>
      </w:pPr>
      <w:r w:rsidRPr="00556DE2">
        <w:rPr>
          <w:rFonts w:cs="Arial"/>
          <w:b/>
          <w:color w:val="000000"/>
          <w:sz w:val="24"/>
          <w:szCs w:val="24"/>
        </w:rPr>
        <w:t>Sickness absence</w:t>
      </w:r>
    </w:p>
    <w:p w:rsidR="00944058" w:rsidRPr="00556DE2" w:rsidRDefault="00944058" w:rsidP="00944058">
      <w:pPr>
        <w:tabs>
          <w:tab w:val="left" w:pos="576"/>
        </w:tabs>
        <w:ind w:right="2"/>
        <w:textAlignment w:val="baseline"/>
        <w:rPr>
          <w:rFonts w:cs="Arial"/>
          <w:color w:val="000000"/>
          <w:sz w:val="24"/>
          <w:szCs w:val="24"/>
        </w:rPr>
      </w:pPr>
      <w:r w:rsidRPr="00556DE2">
        <w:rPr>
          <w:rFonts w:cs="Arial"/>
          <w:color w:val="000000"/>
          <w:sz w:val="24"/>
          <w:szCs w:val="24"/>
        </w:rPr>
        <w:t>In March 2020 the Board’s sickness absence rate stood at 5.0%, 0.1% higher than the previous month.  Across the Directorates absence was as follows:</w:t>
      </w:r>
    </w:p>
    <w:p w:rsidR="00944058" w:rsidRPr="00556DE2" w:rsidRDefault="00944058" w:rsidP="00944058">
      <w:pPr>
        <w:numPr>
          <w:ilvl w:val="0"/>
          <w:numId w:val="7"/>
        </w:numPr>
        <w:tabs>
          <w:tab w:val="left" w:pos="576"/>
        </w:tabs>
        <w:ind w:right="2"/>
        <w:textAlignment w:val="baseline"/>
        <w:rPr>
          <w:rFonts w:cs="Arial"/>
          <w:color w:val="000000"/>
          <w:sz w:val="24"/>
          <w:szCs w:val="24"/>
        </w:rPr>
      </w:pPr>
      <w:r w:rsidRPr="00556DE2">
        <w:rPr>
          <w:rFonts w:cs="Arial"/>
          <w:color w:val="000000"/>
          <w:sz w:val="24"/>
          <w:szCs w:val="24"/>
        </w:rPr>
        <w:t>Corporate: 3.9%, up from 2.8% the previous month;</w:t>
      </w:r>
    </w:p>
    <w:p w:rsidR="00944058" w:rsidRPr="00556DE2" w:rsidRDefault="00944058" w:rsidP="00944058">
      <w:pPr>
        <w:numPr>
          <w:ilvl w:val="0"/>
          <w:numId w:val="7"/>
        </w:numPr>
        <w:tabs>
          <w:tab w:val="left" w:pos="576"/>
        </w:tabs>
        <w:ind w:right="2"/>
        <w:textAlignment w:val="baseline"/>
        <w:rPr>
          <w:rFonts w:cs="Arial"/>
          <w:color w:val="000000"/>
          <w:sz w:val="24"/>
          <w:szCs w:val="24"/>
        </w:rPr>
      </w:pPr>
      <w:r w:rsidRPr="00556DE2">
        <w:rPr>
          <w:rFonts w:cs="Arial"/>
          <w:color w:val="000000"/>
          <w:sz w:val="24"/>
          <w:szCs w:val="24"/>
        </w:rPr>
        <w:t>Golden Jubilee Conference Hotel: 1.3%, down from 2.1%;</w:t>
      </w:r>
    </w:p>
    <w:p w:rsidR="00944058" w:rsidRPr="00556DE2" w:rsidRDefault="00944058" w:rsidP="00944058">
      <w:pPr>
        <w:numPr>
          <w:ilvl w:val="0"/>
          <w:numId w:val="7"/>
        </w:numPr>
        <w:tabs>
          <w:tab w:val="left" w:pos="576"/>
        </w:tabs>
        <w:ind w:right="2"/>
        <w:textAlignment w:val="baseline"/>
        <w:rPr>
          <w:rFonts w:cs="Arial"/>
          <w:color w:val="000000"/>
          <w:sz w:val="24"/>
          <w:szCs w:val="24"/>
        </w:rPr>
      </w:pPr>
      <w:r w:rsidRPr="00556DE2">
        <w:rPr>
          <w:rFonts w:cs="Arial"/>
          <w:color w:val="000000"/>
          <w:sz w:val="24"/>
          <w:szCs w:val="24"/>
        </w:rPr>
        <w:t>Heart, Lung and Diagnostic Services: 5.7%, down from 7.2%; and</w:t>
      </w:r>
    </w:p>
    <w:p w:rsidR="00944058" w:rsidRPr="00556DE2" w:rsidRDefault="00944058" w:rsidP="00944058">
      <w:pPr>
        <w:numPr>
          <w:ilvl w:val="0"/>
          <w:numId w:val="7"/>
        </w:numPr>
        <w:tabs>
          <w:tab w:val="left" w:pos="576"/>
        </w:tabs>
        <w:ind w:right="2"/>
        <w:textAlignment w:val="baseline"/>
        <w:rPr>
          <w:rFonts w:cs="Arial"/>
          <w:color w:val="000000"/>
          <w:sz w:val="24"/>
          <w:szCs w:val="24"/>
        </w:rPr>
      </w:pPr>
      <w:r w:rsidRPr="00556DE2">
        <w:rPr>
          <w:rFonts w:cs="Arial"/>
          <w:color w:val="000000"/>
          <w:sz w:val="24"/>
          <w:szCs w:val="24"/>
        </w:rPr>
        <w:t>National Elective Services: 5.8%, up from 4.3%.</w:t>
      </w:r>
    </w:p>
    <w:p w:rsidR="00944058" w:rsidRPr="00556DE2" w:rsidRDefault="00944058" w:rsidP="00944058">
      <w:pPr>
        <w:tabs>
          <w:tab w:val="left" w:pos="576"/>
        </w:tabs>
        <w:ind w:right="2"/>
        <w:textAlignment w:val="baseline"/>
        <w:rPr>
          <w:rFonts w:cs="Arial"/>
          <w:color w:val="000000"/>
          <w:sz w:val="24"/>
          <w:szCs w:val="24"/>
        </w:rPr>
      </w:pPr>
    </w:p>
    <w:p w:rsidR="00944058" w:rsidRPr="00556DE2" w:rsidRDefault="00944058" w:rsidP="00944058">
      <w:pPr>
        <w:tabs>
          <w:tab w:val="left" w:pos="576"/>
        </w:tabs>
        <w:ind w:right="2"/>
        <w:textAlignment w:val="baseline"/>
        <w:rPr>
          <w:rFonts w:cs="Arial"/>
          <w:sz w:val="24"/>
          <w:szCs w:val="24"/>
        </w:rPr>
      </w:pPr>
      <w:r w:rsidRPr="00556DE2">
        <w:rPr>
          <w:rFonts w:cs="Arial"/>
          <w:color w:val="000000"/>
          <w:sz w:val="24"/>
          <w:szCs w:val="24"/>
        </w:rPr>
        <w:t xml:space="preserve">As with previous months, a large proportion of sickness absence </w:t>
      </w:r>
      <w:r w:rsidRPr="00556DE2">
        <w:rPr>
          <w:rFonts w:cs="Arial"/>
          <w:sz w:val="24"/>
          <w:szCs w:val="24"/>
        </w:rPr>
        <w:t>was due to “Anxiety/stress/ depression/other psychiatric illnesses”, which accounted for 22.0% of the Board’s sickness absence.  It was the main cause of sickness absence in Corporate and Heart, Lung and Diagnostic Services (21.2% and 30.2% respectively).  In the Hotel “Gastro-intestinal problems” accounted for 43.7% of sickness absence, while in National Elective Services the main cause of sickness absence (22.6%) came under the “Unknown causes/not specified” heading.</w:t>
      </w:r>
    </w:p>
    <w:p w:rsidR="00944058" w:rsidRPr="00556DE2" w:rsidRDefault="00944058" w:rsidP="00944058">
      <w:pPr>
        <w:rPr>
          <w:rFonts w:cs="Arial"/>
          <w:sz w:val="24"/>
          <w:szCs w:val="24"/>
        </w:rPr>
      </w:pPr>
    </w:p>
    <w:p w:rsidR="00944058" w:rsidRPr="00556DE2" w:rsidRDefault="00944058" w:rsidP="00944058">
      <w:pPr>
        <w:rPr>
          <w:rFonts w:cs="Arial"/>
          <w:b/>
          <w:sz w:val="24"/>
          <w:szCs w:val="24"/>
        </w:rPr>
      </w:pPr>
      <w:r w:rsidRPr="00556DE2">
        <w:rPr>
          <w:rFonts w:cs="Arial"/>
          <w:b/>
          <w:sz w:val="24"/>
          <w:szCs w:val="24"/>
        </w:rPr>
        <w:t>COVID-19</w:t>
      </w:r>
    </w:p>
    <w:p w:rsidR="00944058" w:rsidRPr="00556DE2" w:rsidRDefault="00944058" w:rsidP="00944058">
      <w:pPr>
        <w:rPr>
          <w:rFonts w:cs="Arial"/>
          <w:sz w:val="24"/>
          <w:szCs w:val="24"/>
        </w:rPr>
      </w:pPr>
      <w:r w:rsidRPr="00556DE2">
        <w:rPr>
          <w:rFonts w:cs="Arial"/>
          <w:sz w:val="24"/>
          <w:szCs w:val="24"/>
        </w:rPr>
        <w:t>Absences from work due to the Coronavirus are recorded as special leave under one of five headings: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656"/>
      </w:tblGrid>
      <w:tr w:rsidR="00944058" w:rsidRPr="00556DE2" w:rsidTr="00AB277E">
        <w:tc>
          <w:tcPr>
            <w:tcW w:w="4928" w:type="dxa"/>
            <w:shd w:val="clear" w:color="auto" w:fill="auto"/>
          </w:tcPr>
          <w:p w:rsidR="00944058" w:rsidRPr="00556DE2" w:rsidRDefault="00944058" w:rsidP="00AB277E">
            <w:pPr>
              <w:rPr>
                <w:rFonts w:cs="Arial"/>
                <w:sz w:val="24"/>
                <w:szCs w:val="24"/>
              </w:rPr>
            </w:pPr>
            <w:r w:rsidRPr="00556DE2">
              <w:rPr>
                <w:rFonts w:cs="Arial"/>
                <w:sz w:val="24"/>
                <w:szCs w:val="24"/>
              </w:rPr>
              <w:t>Coronavirus</w:t>
            </w:r>
          </w:p>
        </w:tc>
        <w:tc>
          <w:tcPr>
            <w:tcW w:w="4929" w:type="dxa"/>
            <w:shd w:val="clear" w:color="auto" w:fill="auto"/>
          </w:tcPr>
          <w:p w:rsidR="00944058" w:rsidRPr="00556DE2" w:rsidRDefault="00944058" w:rsidP="00AB277E">
            <w:pPr>
              <w:rPr>
                <w:rFonts w:cs="Arial"/>
                <w:sz w:val="24"/>
                <w:szCs w:val="24"/>
              </w:rPr>
            </w:pPr>
            <w:r w:rsidRPr="00556DE2">
              <w:rPr>
                <w:rFonts w:cs="Arial"/>
                <w:sz w:val="24"/>
                <w:szCs w:val="24"/>
              </w:rPr>
              <w:t>This will record those who have caring responsibilities and are absent due to these.</w:t>
            </w:r>
          </w:p>
        </w:tc>
      </w:tr>
      <w:tr w:rsidR="00944058" w:rsidRPr="00556DE2" w:rsidTr="00AB277E">
        <w:tc>
          <w:tcPr>
            <w:tcW w:w="4928" w:type="dxa"/>
            <w:shd w:val="clear" w:color="auto" w:fill="auto"/>
          </w:tcPr>
          <w:p w:rsidR="00944058" w:rsidRPr="00556DE2" w:rsidRDefault="00944058" w:rsidP="00AB277E">
            <w:pPr>
              <w:rPr>
                <w:rFonts w:cs="Arial"/>
                <w:sz w:val="24"/>
                <w:szCs w:val="24"/>
              </w:rPr>
            </w:pPr>
            <w:r w:rsidRPr="00556DE2">
              <w:rPr>
                <w:rFonts w:cs="Arial"/>
                <w:sz w:val="24"/>
                <w:szCs w:val="24"/>
              </w:rPr>
              <w:t>Coronavirus – COVID-19 positive</w:t>
            </w:r>
          </w:p>
        </w:tc>
        <w:tc>
          <w:tcPr>
            <w:tcW w:w="4929" w:type="dxa"/>
            <w:shd w:val="clear" w:color="auto" w:fill="auto"/>
          </w:tcPr>
          <w:p w:rsidR="00944058" w:rsidRPr="00556DE2" w:rsidRDefault="00944058" w:rsidP="00AB277E">
            <w:pPr>
              <w:rPr>
                <w:rFonts w:cs="Arial"/>
                <w:sz w:val="24"/>
                <w:szCs w:val="24"/>
              </w:rPr>
            </w:pPr>
            <w:r w:rsidRPr="00556DE2">
              <w:rPr>
                <w:rFonts w:cs="Arial"/>
                <w:sz w:val="24"/>
                <w:szCs w:val="24"/>
              </w:rPr>
              <w:t>As it says employees who have tested positive for the virus.</w:t>
            </w:r>
          </w:p>
        </w:tc>
      </w:tr>
      <w:tr w:rsidR="00944058" w:rsidRPr="00556DE2" w:rsidTr="00AB277E">
        <w:tc>
          <w:tcPr>
            <w:tcW w:w="4928" w:type="dxa"/>
            <w:shd w:val="clear" w:color="auto" w:fill="auto"/>
          </w:tcPr>
          <w:p w:rsidR="00944058" w:rsidRPr="00556DE2" w:rsidRDefault="00944058" w:rsidP="00AB277E">
            <w:pPr>
              <w:rPr>
                <w:rFonts w:cs="Arial"/>
                <w:sz w:val="24"/>
                <w:szCs w:val="24"/>
              </w:rPr>
            </w:pPr>
            <w:r w:rsidRPr="00556DE2">
              <w:rPr>
                <w:rFonts w:cs="Arial"/>
                <w:sz w:val="24"/>
                <w:szCs w:val="24"/>
              </w:rPr>
              <w:t>Coronavirus – household related – self isolating</w:t>
            </w:r>
          </w:p>
        </w:tc>
        <w:tc>
          <w:tcPr>
            <w:tcW w:w="4929" w:type="dxa"/>
            <w:shd w:val="clear" w:color="auto" w:fill="auto"/>
          </w:tcPr>
          <w:p w:rsidR="00944058" w:rsidRPr="00556DE2" w:rsidRDefault="00944058" w:rsidP="00AB277E">
            <w:pPr>
              <w:rPr>
                <w:rFonts w:cs="Arial"/>
                <w:sz w:val="24"/>
                <w:szCs w:val="24"/>
              </w:rPr>
            </w:pPr>
            <w:r w:rsidRPr="00556DE2">
              <w:rPr>
                <w:rFonts w:cs="Arial"/>
                <w:sz w:val="24"/>
                <w:szCs w:val="24"/>
              </w:rPr>
              <w:t>Someone in the household of the staff member is displaying symptoms.</w:t>
            </w:r>
          </w:p>
        </w:tc>
      </w:tr>
      <w:tr w:rsidR="00944058" w:rsidRPr="00556DE2" w:rsidTr="00AB277E">
        <w:tc>
          <w:tcPr>
            <w:tcW w:w="4928" w:type="dxa"/>
            <w:shd w:val="clear" w:color="auto" w:fill="auto"/>
          </w:tcPr>
          <w:p w:rsidR="00944058" w:rsidRPr="00556DE2" w:rsidRDefault="00944058" w:rsidP="00AB277E">
            <w:pPr>
              <w:rPr>
                <w:rFonts w:cs="Arial"/>
                <w:sz w:val="24"/>
                <w:szCs w:val="24"/>
              </w:rPr>
            </w:pPr>
            <w:r w:rsidRPr="00556DE2">
              <w:rPr>
                <w:rFonts w:cs="Arial"/>
                <w:sz w:val="24"/>
                <w:szCs w:val="24"/>
              </w:rPr>
              <w:t>Coronavirus – self displaying systems – self isolating</w:t>
            </w:r>
          </w:p>
        </w:tc>
        <w:tc>
          <w:tcPr>
            <w:tcW w:w="4929" w:type="dxa"/>
            <w:shd w:val="clear" w:color="auto" w:fill="auto"/>
          </w:tcPr>
          <w:p w:rsidR="00944058" w:rsidRPr="00556DE2" w:rsidRDefault="00944058" w:rsidP="00AB277E">
            <w:pPr>
              <w:rPr>
                <w:rFonts w:cs="Arial"/>
                <w:sz w:val="24"/>
                <w:szCs w:val="24"/>
              </w:rPr>
            </w:pPr>
            <w:r w:rsidRPr="00556DE2">
              <w:rPr>
                <w:rFonts w:cs="Arial"/>
                <w:sz w:val="24"/>
                <w:szCs w:val="24"/>
              </w:rPr>
              <w:t>This will record a staff member who is displaying symptoms and allow testing of key workers to be targeted.</w:t>
            </w:r>
          </w:p>
        </w:tc>
      </w:tr>
      <w:tr w:rsidR="00944058" w:rsidRPr="00556DE2" w:rsidTr="00AB277E">
        <w:tc>
          <w:tcPr>
            <w:tcW w:w="4928" w:type="dxa"/>
            <w:shd w:val="clear" w:color="auto" w:fill="auto"/>
          </w:tcPr>
          <w:p w:rsidR="00944058" w:rsidRPr="00556DE2" w:rsidRDefault="00944058" w:rsidP="00AB277E">
            <w:pPr>
              <w:rPr>
                <w:rFonts w:cs="Arial"/>
                <w:sz w:val="24"/>
                <w:szCs w:val="24"/>
              </w:rPr>
            </w:pPr>
            <w:r w:rsidRPr="00556DE2">
              <w:rPr>
                <w:rFonts w:cs="Arial"/>
                <w:sz w:val="24"/>
                <w:szCs w:val="24"/>
              </w:rPr>
              <w:t>Coronavirus – underlying health conditions</w:t>
            </w:r>
          </w:p>
        </w:tc>
        <w:tc>
          <w:tcPr>
            <w:tcW w:w="4929" w:type="dxa"/>
            <w:shd w:val="clear" w:color="auto" w:fill="auto"/>
          </w:tcPr>
          <w:p w:rsidR="00944058" w:rsidRPr="00556DE2" w:rsidRDefault="00944058" w:rsidP="00AB277E">
            <w:pPr>
              <w:rPr>
                <w:rFonts w:cs="Arial"/>
                <w:sz w:val="24"/>
                <w:szCs w:val="24"/>
              </w:rPr>
            </w:pPr>
            <w:r w:rsidRPr="00556DE2">
              <w:rPr>
                <w:rFonts w:cs="Arial"/>
                <w:sz w:val="24"/>
                <w:szCs w:val="24"/>
              </w:rPr>
              <w:t>Staff member has underlying health conditions putting them in the at risk category.</w:t>
            </w:r>
          </w:p>
        </w:tc>
      </w:tr>
    </w:tbl>
    <w:p w:rsidR="00944058" w:rsidRPr="00556DE2" w:rsidRDefault="00944058" w:rsidP="00944058">
      <w:pPr>
        <w:rPr>
          <w:rFonts w:cs="Arial"/>
          <w:sz w:val="24"/>
          <w:szCs w:val="24"/>
        </w:rPr>
      </w:pPr>
    </w:p>
    <w:p w:rsidR="00944058" w:rsidRPr="00556DE2" w:rsidRDefault="00944058" w:rsidP="00944058">
      <w:pPr>
        <w:rPr>
          <w:rFonts w:cs="Arial"/>
          <w:sz w:val="24"/>
          <w:szCs w:val="24"/>
        </w:rPr>
      </w:pPr>
      <w:r w:rsidRPr="00556DE2">
        <w:rPr>
          <w:rFonts w:cs="Arial"/>
          <w:sz w:val="24"/>
          <w:szCs w:val="24"/>
        </w:rPr>
        <w:t>Recording of COVID-19 absences started in mid-March.  By the end of the month they accounted for an absence rate across the Board of 5.0% for the month.  The Directorate breakdown was:</w:t>
      </w:r>
    </w:p>
    <w:p w:rsidR="00944058" w:rsidRPr="00556DE2" w:rsidRDefault="00944058" w:rsidP="00944058">
      <w:pPr>
        <w:numPr>
          <w:ilvl w:val="0"/>
          <w:numId w:val="8"/>
        </w:numPr>
        <w:rPr>
          <w:rFonts w:cs="Arial"/>
          <w:sz w:val="24"/>
          <w:szCs w:val="24"/>
        </w:rPr>
      </w:pPr>
      <w:r w:rsidRPr="00556DE2">
        <w:rPr>
          <w:rFonts w:cs="Arial"/>
          <w:sz w:val="24"/>
          <w:szCs w:val="24"/>
        </w:rPr>
        <w:t>Corporate: 5.8%;</w:t>
      </w:r>
    </w:p>
    <w:p w:rsidR="00944058" w:rsidRPr="00556DE2" w:rsidRDefault="00944058" w:rsidP="00944058">
      <w:pPr>
        <w:numPr>
          <w:ilvl w:val="0"/>
          <w:numId w:val="8"/>
        </w:numPr>
        <w:rPr>
          <w:rFonts w:cs="Arial"/>
          <w:sz w:val="24"/>
          <w:szCs w:val="24"/>
        </w:rPr>
      </w:pPr>
      <w:r w:rsidRPr="00556DE2">
        <w:rPr>
          <w:rFonts w:cs="Arial"/>
          <w:sz w:val="24"/>
          <w:szCs w:val="24"/>
        </w:rPr>
        <w:t>Golden Jubilee Conference Hotel: 7.0%;</w:t>
      </w:r>
    </w:p>
    <w:p w:rsidR="00944058" w:rsidRPr="00556DE2" w:rsidRDefault="00944058" w:rsidP="00944058">
      <w:pPr>
        <w:numPr>
          <w:ilvl w:val="0"/>
          <w:numId w:val="8"/>
        </w:numPr>
        <w:rPr>
          <w:rFonts w:cs="Arial"/>
          <w:sz w:val="24"/>
          <w:szCs w:val="24"/>
        </w:rPr>
      </w:pPr>
      <w:r w:rsidRPr="00556DE2">
        <w:rPr>
          <w:rFonts w:cs="Arial"/>
          <w:sz w:val="24"/>
          <w:szCs w:val="24"/>
        </w:rPr>
        <w:t>Heart, Lung and Diagnostic Services: 4.5%; and</w:t>
      </w:r>
    </w:p>
    <w:p w:rsidR="00944058" w:rsidRPr="00556DE2" w:rsidRDefault="00944058" w:rsidP="00944058">
      <w:pPr>
        <w:numPr>
          <w:ilvl w:val="0"/>
          <w:numId w:val="8"/>
        </w:numPr>
        <w:rPr>
          <w:rFonts w:cs="Arial"/>
          <w:sz w:val="24"/>
          <w:szCs w:val="24"/>
        </w:rPr>
      </w:pPr>
      <w:r w:rsidRPr="00556DE2">
        <w:rPr>
          <w:rFonts w:cs="Arial"/>
          <w:sz w:val="24"/>
          <w:szCs w:val="24"/>
        </w:rPr>
        <w:lastRenderedPageBreak/>
        <w:t>National Elective Services: 5.3%.</w:t>
      </w:r>
    </w:p>
    <w:p w:rsidR="00944058" w:rsidRPr="00556DE2" w:rsidRDefault="00944058" w:rsidP="00944058">
      <w:pPr>
        <w:rPr>
          <w:rFonts w:cs="Arial"/>
          <w:sz w:val="24"/>
          <w:szCs w:val="24"/>
        </w:rPr>
      </w:pPr>
    </w:p>
    <w:p w:rsidR="00944058" w:rsidRPr="00556DE2" w:rsidRDefault="00944058" w:rsidP="00944058">
      <w:pPr>
        <w:rPr>
          <w:rFonts w:cs="Arial"/>
          <w:sz w:val="24"/>
          <w:szCs w:val="24"/>
        </w:rPr>
      </w:pPr>
      <w:r w:rsidRPr="00556DE2">
        <w:rPr>
          <w:rFonts w:cs="Arial"/>
          <w:sz w:val="24"/>
          <w:szCs w:val="24"/>
        </w:rPr>
        <w:t>We will continue to provide a monthly summary of COVID-19 absences until the end of the pandemic.</w:t>
      </w:r>
    </w:p>
    <w:p w:rsidR="00944058" w:rsidRPr="00556DE2" w:rsidRDefault="00944058" w:rsidP="00944058">
      <w:pPr>
        <w:ind w:right="2"/>
        <w:textAlignment w:val="baseline"/>
        <w:rPr>
          <w:rFonts w:cs="Arial"/>
          <w:sz w:val="24"/>
          <w:szCs w:val="24"/>
        </w:rPr>
      </w:pPr>
    </w:p>
    <w:p w:rsidR="00944058" w:rsidRPr="00556DE2" w:rsidRDefault="00944058" w:rsidP="00944058">
      <w:pPr>
        <w:ind w:right="2"/>
        <w:textAlignment w:val="baseline"/>
        <w:rPr>
          <w:rFonts w:cs="Arial"/>
          <w:b/>
          <w:sz w:val="24"/>
          <w:szCs w:val="24"/>
        </w:rPr>
      </w:pPr>
      <w:r w:rsidRPr="00556DE2">
        <w:rPr>
          <w:rFonts w:cs="Arial"/>
          <w:b/>
          <w:sz w:val="24"/>
          <w:szCs w:val="24"/>
        </w:rPr>
        <w:t>Agenda for Change appraisal</w:t>
      </w:r>
    </w:p>
    <w:p w:rsidR="00944058" w:rsidRDefault="00944058" w:rsidP="00944058">
      <w:pPr>
        <w:ind w:right="2"/>
        <w:textAlignment w:val="baseline"/>
        <w:rPr>
          <w:rFonts w:cs="Arial"/>
          <w:sz w:val="24"/>
          <w:szCs w:val="24"/>
        </w:rPr>
      </w:pPr>
      <w:r w:rsidRPr="00556DE2">
        <w:rPr>
          <w:rFonts w:cs="Arial"/>
          <w:sz w:val="24"/>
          <w:szCs w:val="24"/>
        </w:rPr>
        <w:t xml:space="preserve">Within the year to 31 March 2020 54% of staff who come under the Agenda for Change terms and conditions completed their appraisal using TURAS.  </w:t>
      </w:r>
    </w:p>
    <w:p w:rsidR="00944058" w:rsidRPr="00556DE2" w:rsidRDefault="00944058" w:rsidP="00944058">
      <w:pPr>
        <w:ind w:right="2"/>
        <w:textAlignment w:val="baseline"/>
        <w:rPr>
          <w:rFonts w:cs="Arial"/>
          <w:sz w:val="24"/>
          <w:szCs w:val="24"/>
        </w:rPr>
      </w:pPr>
      <w:r w:rsidRPr="00556DE2">
        <w:rPr>
          <w:rFonts w:cs="Arial"/>
          <w:sz w:val="24"/>
          <w:szCs w:val="24"/>
        </w:rPr>
        <w:t>The Directorate breakdown is as follows:</w:t>
      </w:r>
    </w:p>
    <w:p w:rsidR="00944058" w:rsidRPr="00556DE2" w:rsidRDefault="00944058" w:rsidP="00944058">
      <w:pPr>
        <w:ind w:right="2"/>
        <w:textAlignment w:val="baseline"/>
        <w:rPr>
          <w:rFonts w:cs="Arial"/>
          <w:sz w:val="24"/>
          <w:szCs w:val="24"/>
        </w:rPr>
      </w:pPr>
      <w:r>
        <w:rPr>
          <w:rFonts w:cs="Arial"/>
          <w:sz w:val="24"/>
          <w:szCs w:val="24"/>
        </w:rPr>
        <w:t>Corporate:58%</w:t>
      </w:r>
    </w:p>
    <w:p w:rsidR="00944058" w:rsidRPr="00556DE2" w:rsidRDefault="00944058" w:rsidP="00944058">
      <w:pPr>
        <w:ind w:right="2"/>
        <w:textAlignment w:val="baseline"/>
        <w:rPr>
          <w:rFonts w:cs="Arial"/>
          <w:sz w:val="24"/>
          <w:szCs w:val="24"/>
        </w:rPr>
      </w:pPr>
      <w:r w:rsidRPr="00556DE2">
        <w:rPr>
          <w:rFonts w:cs="Arial"/>
          <w:sz w:val="24"/>
          <w:szCs w:val="24"/>
        </w:rPr>
        <w:t xml:space="preserve">Golden Jubilee Conference Hotel: </w:t>
      </w:r>
      <w:r>
        <w:rPr>
          <w:rFonts w:cs="Arial"/>
          <w:sz w:val="24"/>
          <w:szCs w:val="24"/>
        </w:rPr>
        <w:t>38%</w:t>
      </w:r>
    </w:p>
    <w:p w:rsidR="00944058" w:rsidRPr="00556DE2" w:rsidRDefault="00944058" w:rsidP="00944058">
      <w:pPr>
        <w:ind w:right="2"/>
        <w:textAlignment w:val="baseline"/>
        <w:rPr>
          <w:rFonts w:cs="Arial"/>
          <w:sz w:val="24"/>
          <w:szCs w:val="24"/>
        </w:rPr>
      </w:pPr>
      <w:r w:rsidRPr="00556DE2">
        <w:rPr>
          <w:rFonts w:cs="Arial"/>
          <w:sz w:val="24"/>
          <w:szCs w:val="24"/>
        </w:rPr>
        <w:t>Heart</w:t>
      </w:r>
      <w:r>
        <w:rPr>
          <w:rFonts w:cs="Arial"/>
          <w:sz w:val="24"/>
          <w:szCs w:val="24"/>
        </w:rPr>
        <w:t>, Lung and Diagnostic Services:57%</w:t>
      </w:r>
    </w:p>
    <w:p w:rsidR="00944058" w:rsidRPr="00556DE2" w:rsidRDefault="00944058" w:rsidP="00944058">
      <w:pPr>
        <w:ind w:right="2"/>
        <w:textAlignment w:val="baseline"/>
        <w:rPr>
          <w:rFonts w:cs="Arial"/>
          <w:sz w:val="24"/>
          <w:szCs w:val="24"/>
        </w:rPr>
      </w:pPr>
      <w:r>
        <w:rPr>
          <w:rFonts w:cs="Arial"/>
          <w:sz w:val="24"/>
          <w:szCs w:val="24"/>
        </w:rPr>
        <w:t>National Elective Services:</w:t>
      </w:r>
      <w:r>
        <w:rPr>
          <w:rFonts w:cs="Arial"/>
          <w:sz w:val="24"/>
          <w:szCs w:val="24"/>
        </w:rPr>
        <w:tab/>
      </w:r>
      <w:r w:rsidRPr="00556DE2">
        <w:rPr>
          <w:rFonts w:cs="Arial"/>
          <w:sz w:val="24"/>
          <w:szCs w:val="24"/>
        </w:rPr>
        <w:t>47%.</w:t>
      </w:r>
    </w:p>
    <w:p w:rsidR="00944058" w:rsidRPr="00556DE2" w:rsidRDefault="00944058" w:rsidP="00944058">
      <w:pPr>
        <w:ind w:right="2"/>
        <w:textAlignment w:val="baseline"/>
        <w:rPr>
          <w:rFonts w:cs="Arial"/>
          <w:sz w:val="24"/>
          <w:szCs w:val="24"/>
        </w:rPr>
      </w:pPr>
      <w:r w:rsidRPr="00556DE2">
        <w:rPr>
          <w:rFonts w:cs="Arial"/>
          <w:sz w:val="24"/>
          <w:szCs w:val="24"/>
        </w:rPr>
        <w:t>The numbers dropped significantly during March, predominantly due to appraisals “falling off” the completed list at the end of the year in February and March.  Additionally, there was no appraisal activity during March due to COVID-19.  Activity has taken up again during April, which should positively affect the numbers next month.</w:t>
      </w:r>
    </w:p>
    <w:p w:rsidR="00944058" w:rsidRPr="00556DE2" w:rsidRDefault="00944058" w:rsidP="00944058">
      <w:pPr>
        <w:ind w:right="2"/>
        <w:textAlignment w:val="baseline"/>
        <w:rPr>
          <w:rFonts w:cs="Arial"/>
          <w:sz w:val="24"/>
          <w:szCs w:val="24"/>
        </w:rPr>
      </w:pPr>
    </w:p>
    <w:p w:rsidR="00944058" w:rsidRPr="00556DE2" w:rsidRDefault="00944058" w:rsidP="00944058">
      <w:pPr>
        <w:ind w:right="2"/>
        <w:textAlignment w:val="baseline"/>
        <w:rPr>
          <w:rFonts w:cs="Arial"/>
          <w:b/>
          <w:sz w:val="24"/>
          <w:szCs w:val="24"/>
        </w:rPr>
      </w:pPr>
      <w:r w:rsidRPr="00556DE2">
        <w:rPr>
          <w:rFonts w:cs="Arial"/>
          <w:b/>
          <w:sz w:val="24"/>
          <w:szCs w:val="24"/>
        </w:rPr>
        <w:t>Medical appraisal</w:t>
      </w:r>
    </w:p>
    <w:p w:rsidR="00944058" w:rsidRPr="00556DE2" w:rsidRDefault="00944058" w:rsidP="00944058">
      <w:pPr>
        <w:ind w:right="2"/>
        <w:textAlignment w:val="baseline"/>
        <w:rPr>
          <w:rFonts w:cs="Arial"/>
          <w:sz w:val="24"/>
          <w:szCs w:val="24"/>
        </w:rPr>
      </w:pPr>
      <w:r w:rsidRPr="00556DE2">
        <w:rPr>
          <w:rFonts w:cs="Arial"/>
          <w:sz w:val="24"/>
          <w:szCs w:val="24"/>
        </w:rPr>
        <w:t>The appraisal year for medical staff runs from 1 April to 31 March.  Prior to the end of the appraisal year the requirement for doctors to complete appraisals was temporarily suspended due to the COVID-19 pandemic.  By the end of March 136 doctors were attached to NHS Golden Jubilee for appraisal and revalidation purposes.  Of these 97 had complete their appraisal and been issues with a Form 4, or had participated in an ARCP in the appraisal year, or were late starts for whom undertaking appraisal would not be possible at NHS Golden Jubilee in 2019/2020.</w:t>
      </w:r>
    </w:p>
    <w:p w:rsidR="00944058" w:rsidRPr="00556DE2" w:rsidRDefault="00944058" w:rsidP="00944058">
      <w:pPr>
        <w:ind w:right="2"/>
        <w:textAlignment w:val="baseline"/>
        <w:rPr>
          <w:rFonts w:cs="Arial"/>
          <w:sz w:val="24"/>
          <w:szCs w:val="24"/>
        </w:rPr>
      </w:pPr>
    </w:p>
    <w:p w:rsidR="00944058" w:rsidRPr="00556DE2" w:rsidRDefault="00944058" w:rsidP="00944058">
      <w:pPr>
        <w:ind w:right="2"/>
        <w:textAlignment w:val="baseline"/>
        <w:rPr>
          <w:rFonts w:cs="Arial"/>
          <w:b/>
          <w:sz w:val="24"/>
          <w:szCs w:val="24"/>
        </w:rPr>
      </w:pPr>
      <w:r w:rsidRPr="00556DE2">
        <w:rPr>
          <w:rFonts w:cs="Arial"/>
          <w:b/>
          <w:sz w:val="24"/>
          <w:szCs w:val="24"/>
        </w:rPr>
        <w:t>Medical job planning</w:t>
      </w:r>
    </w:p>
    <w:p w:rsidR="00944058" w:rsidRPr="00556DE2" w:rsidRDefault="00944058" w:rsidP="00944058">
      <w:pPr>
        <w:ind w:right="2"/>
        <w:textAlignment w:val="baseline"/>
        <w:rPr>
          <w:rFonts w:cs="Arial"/>
          <w:sz w:val="24"/>
          <w:szCs w:val="24"/>
        </w:rPr>
      </w:pPr>
      <w:r w:rsidRPr="00556DE2">
        <w:rPr>
          <w:rFonts w:cs="Arial"/>
          <w:sz w:val="24"/>
          <w:szCs w:val="24"/>
        </w:rPr>
        <w:t>As of 31 March 80 out of 95 (84.2%) medical staff had signed off on their 2019/2020 job plan.  As with appraisal the end of the job planning year was affected by COVID-19.</w:t>
      </w:r>
    </w:p>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780706" w:rsidRDefault="00780706"/>
    <w:p w:rsidR="00A6577D" w:rsidRPr="007B3705" w:rsidRDefault="00A6577D" w:rsidP="00A6577D">
      <w:pPr>
        <w:pStyle w:val="Heading1"/>
      </w:pPr>
      <w:r w:rsidRPr="007B3705">
        <w:lastRenderedPageBreak/>
        <w:t>Section B:</w:t>
      </w:r>
      <w:r>
        <w:t>3</w:t>
      </w:r>
      <w:r w:rsidRPr="007B3705">
        <w:t xml:space="preserve"> </w:t>
      </w:r>
      <w:r>
        <w:t>Finance, Performance and Resources</w:t>
      </w:r>
    </w:p>
    <w:p w:rsidR="00CC5F6F" w:rsidRDefault="00CC5F6F"/>
    <w:tbl>
      <w:tblPr>
        <w:tblStyle w:val="TableGrid"/>
        <w:tblW w:w="9286" w:type="dxa"/>
        <w:tblLayout w:type="fixed"/>
        <w:tblLook w:val="04A0" w:firstRow="1" w:lastRow="0" w:firstColumn="1" w:lastColumn="0" w:noHBand="0" w:noVBand="1"/>
      </w:tblPr>
      <w:tblGrid>
        <w:gridCol w:w="2802"/>
        <w:gridCol w:w="567"/>
        <w:gridCol w:w="5917"/>
      </w:tblGrid>
      <w:tr w:rsidR="00944058" w:rsidRPr="00C27710" w:rsidTr="00AB277E">
        <w:tc>
          <w:tcPr>
            <w:tcW w:w="9286" w:type="dxa"/>
            <w:gridSpan w:val="3"/>
            <w:shd w:val="clear" w:color="auto" w:fill="C4BC96" w:themeFill="background2" w:themeFillShade="BF"/>
          </w:tcPr>
          <w:p w:rsidR="00944058" w:rsidRPr="00C27710" w:rsidRDefault="00944058" w:rsidP="00AB277E">
            <w:pPr>
              <w:rPr>
                <w:rFonts w:cs="Arial"/>
                <w:b/>
                <w:sz w:val="24"/>
                <w:szCs w:val="24"/>
              </w:rPr>
            </w:pPr>
            <w:r w:rsidRPr="00C27710">
              <w:rPr>
                <w:rFonts w:cs="Arial"/>
                <w:b/>
                <w:sz w:val="24"/>
                <w:szCs w:val="24"/>
              </w:rPr>
              <w:t>Finance, Performance and Resources</w:t>
            </w:r>
          </w:p>
        </w:tc>
      </w:tr>
      <w:tr w:rsidR="00944058" w:rsidRPr="0076634E" w:rsidTr="00AB277E">
        <w:tc>
          <w:tcPr>
            <w:tcW w:w="2802" w:type="dxa"/>
          </w:tcPr>
          <w:p w:rsidR="00944058" w:rsidRPr="0076634E" w:rsidRDefault="00944058" w:rsidP="00AB277E">
            <w:pPr>
              <w:rPr>
                <w:rFonts w:cs="Arial"/>
                <w:sz w:val="24"/>
                <w:szCs w:val="24"/>
              </w:rPr>
            </w:pPr>
            <w:r w:rsidRPr="0076634E">
              <w:rPr>
                <w:rFonts w:cs="Arial"/>
                <w:sz w:val="24"/>
                <w:szCs w:val="24"/>
              </w:rPr>
              <w:t>Finance – Manage within annual budget limit</w:t>
            </w:r>
          </w:p>
        </w:tc>
        <w:tc>
          <w:tcPr>
            <w:tcW w:w="567" w:type="dxa"/>
            <w:shd w:val="clear" w:color="auto" w:fill="D6E3BC" w:themeFill="accent3" w:themeFillTint="66"/>
          </w:tcPr>
          <w:p w:rsidR="00944058" w:rsidRPr="0076634E" w:rsidRDefault="00944058" w:rsidP="00AB277E">
            <w:pPr>
              <w:rPr>
                <w:rFonts w:cs="Arial"/>
                <w:sz w:val="24"/>
                <w:szCs w:val="24"/>
              </w:rPr>
            </w:pPr>
          </w:p>
        </w:tc>
        <w:tc>
          <w:tcPr>
            <w:tcW w:w="5917" w:type="dxa"/>
          </w:tcPr>
          <w:p w:rsidR="00944058" w:rsidRPr="0076634E" w:rsidRDefault="00944058" w:rsidP="00AB277E">
            <w:pPr>
              <w:rPr>
                <w:rFonts w:cs="Arial"/>
                <w:sz w:val="24"/>
                <w:szCs w:val="24"/>
              </w:rPr>
            </w:pPr>
            <w:r w:rsidRPr="0076634E">
              <w:rPr>
                <w:rFonts w:cs="Arial"/>
                <w:sz w:val="24"/>
                <w:szCs w:val="24"/>
              </w:rPr>
              <w:t xml:space="preserve">The month twelve results show a position of £222,000 above the annual budget target. This is reduced from month eleven (£536,000). </w:t>
            </w:r>
          </w:p>
        </w:tc>
      </w:tr>
      <w:tr w:rsidR="00944058" w:rsidRPr="0076634E" w:rsidTr="00AB277E">
        <w:tc>
          <w:tcPr>
            <w:tcW w:w="2802" w:type="dxa"/>
          </w:tcPr>
          <w:p w:rsidR="00944058" w:rsidRPr="0076634E" w:rsidRDefault="00944058" w:rsidP="00AB277E">
            <w:pPr>
              <w:rPr>
                <w:rFonts w:cs="Arial"/>
                <w:sz w:val="24"/>
                <w:szCs w:val="24"/>
              </w:rPr>
            </w:pPr>
            <w:r w:rsidRPr="0076634E">
              <w:rPr>
                <w:rFonts w:cs="Arial"/>
                <w:sz w:val="24"/>
                <w:szCs w:val="24"/>
              </w:rPr>
              <w:t>Finance – Deliver Board efficiency target</w:t>
            </w:r>
          </w:p>
        </w:tc>
        <w:tc>
          <w:tcPr>
            <w:tcW w:w="567" w:type="dxa"/>
            <w:shd w:val="clear" w:color="auto" w:fill="D6E3BC" w:themeFill="accent3" w:themeFillTint="66"/>
          </w:tcPr>
          <w:p w:rsidR="00944058" w:rsidRPr="0076634E" w:rsidRDefault="00944058" w:rsidP="00AB277E">
            <w:pPr>
              <w:rPr>
                <w:rFonts w:cs="Arial"/>
                <w:sz w:val="24"/>
                <w:szCs w:val="24"/>
              </w:rPr>
            </w:pPr>
          </w:p>
        </w:tc>
        <w:tc>
          <w:tcPr>
            <w:tcW w:w="5917" w:type="dxa"/>
          </w:tcPr>
          <w:p w:rsidR="00944058" w:rsidRPr="0076634E" w:rsidRDefault="00944058" w:rsidP="00AB277E">
            <w:pPr>
              <w:rPr>
                <w:rFonts w:cs="Arial"/>
                <w:sz w:val="24"/>
                <w:szCs w:val="24"/>
              </w:rPr>
            </w:pPr>
            <w:r w:rsidRPr="0076634E">
              <w:rPr>
                <w:rFonts w:cs="Arial"/>
                <w:sz w:val="24"/>
                <w:szCs w:val="24"/>
              </w:rPr>
              <w:t>The month twelve position shows a total cash releasing savings of £4,810,</w:t>
            </w:r>
            <w:r>
              <w:rPr>
                <w:rFonts w:cs="Arial"/>
                <w:sz w:val="24"/>
                <w:szCs w:val="24"/>
              </w:rPr>
              <w:t>000</w:t>
            </w:r>
            <w:r w:rsidRPr="0076634E">
              <w:rPr>
                <w:rFonts w:cs="Arial"/>
                <w:sz w:val="24"/>
                <w:szCs w:val="24"/>
              </w:rPr>
              <w:t xml:space="preserve"> against a threshold of  £4,807,0000. </w:t>
            </w:r>
          </w:p>
        </w:tc>
      </w:tr>
      <w:tr w:rsidR="00944058" w:rsidRPr="00AE5341" w:rsidTr="00AB277E">
        <w:tc>
          <w:tcPr>
            <w:tcW w:w="2802" w:type="dxa"/>
            <w:shd w:val="clear" w:color="auto" w:fill="auto"/>
          </w:tcPr>
          <w:p w:rsidR="00944058" w:rsidRPr="00AE5341" w:rsidRDefault="00944058" w:rsidP="00AB277E">
            <w:pPr>
              <w:rPr>
                <w:rFonts w:cs="Arial"/>
                <w:color w:val="000000" w:themeColor="text1"/>
                <w:sz w:val="24"/>
                <w:szCs w:val="24"/>
              </w:rPr>
            </w:pPr>
            <w:r w:rsidRPr="00AE5341">
              <w:rPr>
                <w:rFonts w:cs="Arial"/>
                <w:color w:val="000000" w:themeColor="text1"/>
                <w:sz w:val="24"/>
                <w:szCs w:val="24"/>
              </w:rPr>
              <w:t xml:space="preserve">Cancer 31 Day </w:t>
            </w:r>
          </w:p>
        </w:tc>
        <w:tc>
          <w:tcPr>
            <w:tcW w:w="567" w:type="dxa"/>
            <w:shd w:val="clear" w:color="auto" w:fill="E5B8B7" w:themeFill="accent2" w:themeFillTint="66"/>
          </w:tcPr>
          <w:p w:rsidR="00944058" w:rsidRPr="00AE5341" w:rsidRDefault="00944058" w:rsidP="00AB277E">
            <w:pPr>
              <w:rPr>
                <w:rFonts w:cs="Arial"/>
                <w:color w:val="000000" w:themeColor="text1"/>
                <w:sz w:val="24"/>
                <w:szCs w:val="24"/>
              </w:rPr>
            </w:pPr>
          </w:p>
        </w:tc>
        <w:tc>
          <w:tcPr>
            <w:tcW w:w="5917" w:type="dxa"/>
            <w:shd w:val="clear" w:color="auto" w:fill="auto"/>
          </w:tcPr>
          <w:p w:rsidR="00944058" w:rsidRPr="00AE5341" w:rsidRDefault="00944058" w:rsidP="00AB277E">
            <w:pPr>
              <w:rPr>
                <w:rFonts w:cs="Arial"/>
                <w:color w:val="000000" w:themeColor="text1"/>
                <w:sz w:val="24"/>
                <w:szCs w:val="24"/>
              </w:rPr>
            </w:pPr>
            <w:r w:rsidRPr="00AE5341">
              <w:rPr>
                <w:rFonts w:cs="Arial"/>
                <w:color w:val="000000" w:themeColor="text1"/>
                <w:sz w:val="24"/>
                <w:szCs w:val="24"/>
              </w:rPr>
              <w:t xml:space="preserve">In February 2020 the Monthly Cancer Waiting Times report, issued by the Scottish Government, reported performance of 82.8% (24/29) which is below the threshold of 95%. </w:t>
            </w:r>
          </w:p>
        </w:tc>
      </w:tr>
      <w:tr w:rsidR="00944058" w:rsidRPr="00E6687C" w:rsidTr="00AB277E">
        <w:tc>
          <w:tcPr>
            <w:tcW w:w="2802" w:type="dxa"/>
          </w:tcPr>
          <w:p w:rsidR="00944058" w:rsidRPr="00E6687C" w:rsidRDefault="00944058" w:rsidP="00AB277E">
            <w:pPr>
              <w:rPr>
                <w:rFonts w:cs="Arial"/>
                <w:color w:val="000000" w:themeColor="text1"/>
                <w:sz w:val="24"/>
                <w:szCs w:val="24"/>
                <w:highlight w:val="yellow"/>
              </w:rPr>
            </w:pPr>
            <w:r w:rsidRPr="00E6687C">
              <w:rPr>
                <w:rFonts w:cs="Arial"/>
                <w:color w:val="000000" w:themeColor="text1"/>
                <w:sz w:val="24"/>
                <w:szCs w:val="24"/>
              </w:rPr>
              <w:t>TTG: Number of patients who have breached the TTG</w:t>
            </w:r>
          </w:p>
        </w:tc>
        <w:tc>
          <w:tcPr>
            <w:tcW w:w="567" w:type="dxa"/>
            <w:shd w:val="clear" w:color="auto" w:fill="E5B8B7" w:themeFill="accent2" w:themeFillTint="66"/>
          </w:tcPr>
          <w:p w:rsidR="00944058" w:rsidRPr="008E1286" w:rsidRDefault="00944058" w:rsidP="00AB277E">
            <w:pPr>
              <w:rPr>
                <w:rFonts w:cs="Arial"/>
                <w:color w:val="FF0000"/>
                <w:sz w:val="24"/>
                <w:szCs w:val="24"/>
                <w:highlight w:val="yellow"/>
              </w:rPr>
            </w:pPr>
          </w:p>
        </w:tc>
        <w:tc>
          <w:tcPr>
            <w:tcW w:w="5917" w:type="dxa"/>
          </w:tcPr>
          <w:p w:rsidR="00944058" w:rsidRPr="00E6687C" w:rsidRDefault="00944058" w:rsidP="00AB277E">
            <w:pPr>
              <w:rPr>
                <w:rFonts w:cs="Arial"/>
                <w:color w:val="000000" w:themeColor="text1"/>
                <w:sz w:val="24"/>
                <w:szCs w:val="24"/>
              </w:rPr>
            </w:pPr>
            <w:r w:rsidRPr="00E6687C">
              <w:rPr>
                <w:rFonts w:cs="Arial"/>
                <w:color w:val="000000" w:themeColor="text1"/>
                <w:sz w:val="24"/>
                <w:szCs w:val="24"/>
              </w:rPr>
              <w:t>In March 2020 there were 143 patients who exceeded their twelve week treatment time guarantee. This included 29 cardiac surgery patients, 2 thoracic surgery patients,34 coronary patients,38 electrophysiology patients,10 device patients,1 lead extraction patient,6 respiratory patients,23 orthopaedic patients.</w:t>
            </w:r>
          </w:p>
        </w:tc>
      </w:tr>
      <w:tr w:rsidR="00944058" w:rsidRPr="00E6687C" w:rsidTr="00AB277E">
        <w:tc>
          <w:tcPr>
            <w:tcW w:w="2802" w:type="dxa"/>
          </w:tcPr>
          <w:p w:rsidR="00944058" w:rsidRPr="00E6687C" w:rsidRDefault="00944058" w:rsidP="00AB277E">
            <w:pPr>
              <w:rPr>
                <w:rFonts w:cs="Arial"/>
                <w:color w:val="000000" w:themeColor="text1"/>
                <w:sz w:val="24"/>
                <w:szCs w:val="24"/>
              </w:rPr>
            </w:pPr>
            <w:r w:rsidRPr="00E6687C">
              <w:rPr>
                <w:rFonts w:cs="Arial"/>
                <w:color w:val="000000" w:themeColor="text1"/>
                <w:sz w:val="24"/>
                <w:szCs w:val="24"/>
              </w:rPr>
              <w:t>TTG: Percentage of patients admitted within 12 weeks</w:t>
            </w:r>
          </w:p>
        </w:tc>
        <w:tc>
          <w:tcPr>
            <w:tcW w:w="567" w:type="dxa"/>
            <w:shd w:val="clear" w:color="auto" w:fill="E5B8B7" w:themeFill="accent2" w:themeFillTint="66"/>
          </w:tcPr>
          <w:p w:rsidR="00944058" w:rsidRPr="00E6687C" w:rsidRDefault="00944058" w:rsidP="00AB277E">
            <w:pPr>
              <w:rPr>
                <w:rFonts w:cs="Arial"/>
                <w:color w:val="000000" w:themeColor="text1"/>
                <w:sz w:val="24"/>
                <w:szCs w:val="24"/>
              </w:rPr>
            </w:pPr>
          </w:p>
        </w:tc>
        <w:tc>
          <w:tcPr>
            <w:tcW w:w="5917" w:type="dxa"/>
            <w:shd w:val="clear" w:color="auto" w:fill="auto"/>
          </w:tcPr>
          <w:p w:rsidR="00944058" w:rsidRPr="00E6687C" w:rsidRDefault="00944058" w:rsidP="00AB277E">
            <w:pPr>
              <w:rPr>
                <w:rFonts w:cs="Arial"/>
                <w:color w:val="000000" w:themeColor="text1"/>
                <w:sz w:val="24"/>
                <w:szCs w:val="24"/>
              </w:rPr>
            </w:pPr>
            <w:r w:rsidRPr="00E6687C">
              <w:rPr>
                <w:rFonts w:cs="Arial"/>
                <w:color w:val="000000" w:themeColor="text1"/>
                <w:sz w:val="24"/>
                <w:szCs w:val="24"/>
              </w:rPr>
              <w:t>The percentage of patients who were admitted within their twelve week treatment time guarantee increased by 3.8% from 84.4% in February 2020 to 88.2% in March 2020. This reflects a decrease in the number of patients admitted over twelve weeks (-97).</w:t>
            </w:r>
          </w:p>
        </w:tc>
      </w:tr>
      <w:tr w:rsidR="00944058" w:rsidRPr="00471F57" w:rsidTr="00AB277E">
        <w:tc>
          <w:tcPr>
            <w:tcW w:w="2802" w:type="dxa"/>
          </w:tcPr>
          <w:p w:rsidR="00944058" w:rsidRPr="00471F57" w:rsidRDefault="00944058" w:rsidP="00AB277E">
            <w:pPr>
              <w:rPr>
                <w:rFonts w:cs="Arial"/>
                <w:color w:val="000000" w:themeColor="text1"/>
                <w:sz w:val="24"/>
                <w:szCs w:val="24"/>
                <w:highlight w:val="yellow"/>
              </w:rPr>
            </w:pPr>
            <w:r w:rsidRPr="00471F57">
              <w:rPr>
                <w:rFonts w:cs="Arial"/>
                <w:color w:val="000000" w:themeColor="text1"/>
                <w:sz w:val="24"/>
                <w:szCs w:val="24"/>
              </w:rPr>
              <w:t>Stage of Treatment Guarantee – Inpatient and DC cases (Heart &amp; Lung only)</w:t>
            </w:r>
          </w:p>
        </w:tc>
        <w:tc>
          <w:tcPr>
            <w:tcW w:w="567" w:type="dxa"/>
            <w:shd w:val="clear" w:color="auto" w:fill="E5B8B7" w:themeFill="accent2" w:themeFillTint="66"/>
          </w:tcPr>
          <w:p w:rsidR="00944058" w:rsidRPr="00471F57" w:rsidRDefault="00944058" w:rsidP="00AB277E">
            <w:pPr>
              <w:rPr>
                <w:rFonts w:cs="Arial"/>
                <w:color w:val="000000" w:themeColor="text1"/>
                <w:sz w:val="24"/>
                <w:szCs w:val="24"/>
                <w:highlight w:val="yellow"/>
              </w:rPr>
            </w:pPr>
          </w:p>
        </w:tc>
        <w:tc>
          <w:tcPr>
            <w:tcW w:w="5917" w:type="dxa"/>
          </w:tcPr>
          <w:p w:rsidR="00944058" w:rsidRPr="00471F57" w:rsidRDefault="00944058" w:rsidP="00AB277E">
            <w:pPr>
              <w:rPr>
                <w:rFonts w:cs="Arial"/>
                <w:color w:val="000000" w:themeColor="text1"/>
                <w:sz w:val="24"/>
                <w:szCs w:val="24"/>
                <w:highlight w:val="yellow"/>
              </w:rPr>
            </w:pPr>
            <w:r w:rsidRPr="00471F57">
              <w:rPr>
                <w:rFonts w:cs="Arial"/>
                <w:color w:val="000000" w:themeColor="text1"/>
                <w:sz w:val="24"/>
                <w:szCs w:val="24"/>
              </w:rPr>
              <w:t>Position improved from 59.0% in February 2020 to 73.3% (+14.3%) in March 2020. The number of patients treated over 12 weeks decreased to 125 whilst the number of patients treated within 12 weeks increased to 344.</w:t>
            </w:r>
          </w:p>
        </w:tc>
      </w:tr>
      <w:tr w:rsidR="00944058" w:rsidRPr="00E20DE2" w:rsidTr="00AB277E">
        <w:tc>
          <w:tcPr>
            <w:tcW w:w="2802" w:type="dxa"/>
          </w:tcPr>
          <w:p w:rsidR="00944058" w:rsidRPr="00E20DE2" w:rsidRDefault="00944058" w:rsidP="00AB277E">
            <w:pPr>
              <w:rPr>
                <w:rFonts w:cs="Arial"/>
                <w:color w:val="000000" w:themeColor="text1"/>
                <w:sz w:val="24"/>
                <w:szCs w:val="24"/>
                <w:highlight w:val="yellow"/>
              </w:rPr>
            </w:pPr>
            <w:r w:rsidRPr="00E20DE2">
              <w:rPr>
                <w:rFonts w:cs="Arial"/>
                <w:color w:val="000000" w:themeColor="text1"/>
                <w:sz w:val="24"/>
                <w:szCs w:val="24"/>
              </w:rPr>
              <w:t>DOSA rate: Cardiac Surgery</w:t>
            </w:r>
          </w:p>
        </w:tc>
        <w:tc>
          <w:tcPr>
            <w:tcW w:w="567" w:type="dxa"/>
            <w:shd w:val="clear" w:color="auto" w:fill="E5B8B7" w:themeFill="accent2" w:themeFillTint="66"/>
          </w:tcPr>
          <w:p w:rsidR="00944058" w:rsidRPr="00E20DE2" w:rsidRDefault="00944058" w:rsidP="00AB277E">
            <w:pPr>
              <w:rPr>
                <w:rFonts w:cs="Arial"/>
                <w:color w:val="000000" w:themeColor="text1"/>
                <w:sz w:val="24"/>
                <w:szCs w:val="24"/>
                <w:highlight w:val="yellow"/>
              </w:rPr>
            </w:pPr>
          </w:p>
        </w:tc>
        <w:tc>
          <w:tcPr>
            <w:tcW w:w="5917" w:type="dxa"/>
          </w:tcPr>
          <w:p w:rsidR="00944058" w:rsidRPr="00E20DE2" w:rsidRDefault="00944058" w:rsidP="00AB277E">
            <w:pPr>
              <w:rPr>
                <w:rFonts w:cs="Arial"/>
                <w:color w:val="000000" w:themeColor="text1"/>
                <w:sz w:val="24"/>
                <w:szCs w:val="24"/>
                <w:highlight w:val="yellow"/>
              </w:rPr>
            </w:pPr>
            <w:r w:rsidRPr="00E20DE2">
              <w:rPr>
                <w:rFonts w:cs="Arial"/>
                <w:color w:val="000000" w:themeColor="text1"/>
                <w:sz w:val="24"/>
                <w:szCs w:val="24"/>
              </w:rPr>
              <w:t xml:space="preserve">In March 2020 the Cardiac DoSA rate was 20.8% against a target of 19.6%. This was a 6.6% decrease (16 less DoSA cases against reduced activity) </w:t>
            </w:r>
          </w:p>
        </w:tc>
      </w:tr>
      <w:tr w:rsidR="00944058" w:rsidRPr="00E20DE2" w:rsidTr="00AB277E">
        <w:tc>
          <w:tcPr>
            <w:tcW w:w="2802" w:type="dxa"/>
          </w:tcPr>
          <w:p w:rsidR="00944058" w:rsidRPr="00E20DE2" w:rsidRDefault="00944058" w:rsidP="00AB277E">
            <w:pPr>
              <w:rPr>
                <w:rFonts w:cs="Arial"/>
                <w:color w:val="000000" w:themeColor="text1"/>
                <w:sz w:val="24"/>
                <w:szCs w:val="24"/>
                <w:highlight w:val="yellow"/>
              </w:rPr>
            </w:pPr>
            <w:r w:rsidRPr="00E20DE2">
              <w:rPr>
                <w:rFonts w:cs="Arial"/>
                <w:color w:val="000000" w:themeColor="text1"/>
                <w:sz w:val="24"/>
                <w:szCs w:val="24"/>
              </w:rPr>
              <w:t>DOSA rate: Orthopaedics</w:t>
            </w:r>
          </w:p>
        </w:tc>
        <w:tc>
          <w:tcPr>
            <w:tcW w:w="567" w:type="dxa"/>
            <w:shd w:val="clear" w:color="auto" w:fill="E5B8B7" w:themeFill="accent2" w:themeFillTint="66"/>
          </w:tcPr>
          <w:p w:rsidR="00944058" w:rsidRPr="00E20DE2" w:rsidRDefault="00944058" w:rsidP="00AB277E">
            <w:pPr>
              <w:rPr>
                <w:rFonts w:cs="Arial"/>
                <w:color w:val="000000" w:themeColor="text1"/>
                <w:sz w:val="24"/>
                <w:szCs w:val="24"/>
                <w:highlight w:val="yellow"/>
              </w:rPr>
            </w:pPr>
          </w:p>
        </w:tc>
        <w:tc>
          <w:tcPr>
            <w:tcW w:w="5917" w:type="dxa"/>
          </w:tcPr>
          <w:p w:rsidR="00944058" w:rsidRPr="00E20DE2" w:rsidRDefault="00944058" w:rsidP="00AB277E">
            <w:pPr>
              <w:rPr>
                <w:rFonts w:cs="Arial"/>
                <w:color w:val="000000" w:themeColor="text1"/>
                <w:sz w:val="24"/>
                <w:szCs w:val="24"/>
              </w:rPr>
            </w:pPr>
            <w:r w:rsidRPr="00E20DE2">
              <w:rPr>
                <w:rFonts w:cs="Arial"/>
                <w:color w:val="000000" w:themeColor="text1"/>
                <w:sz w:val="24"/>
                <w:szCs w:val="24"/>
              </w:rPr>
              <w:t>In March 2020 the Orthopaedic DoSA rate was 65% with a target of 75.0%. The March position represented a 1.3% increase although overall activity was reduced.</w:t>
            </w:r>
          </w:p>
        </w:tc>
      </w:tr>
      <w:tr w:rsidR="00944058" w:rsidRPr="00E20DE2" w:rsidTr="00AB277E">
        <w:tc>
          <w:tcPr>
            <w:tcW w:w="2802" w:type="dxa"/>
          </w:tcPr>
          <w:p w:rsidR="00944058" w:rsidRPr="00E20DE2" w:rsidRDefault="00944058" w:rsidP="00AB277E">
            <w:pPr>
              <w:rPr>
                <w:rFonts w:cs="Arial"/>
                <w:color w:val="000000" w:themeColor="text1"/>
                <w:sz w:val="24"/>
                <w:szCs w:val="24"/>
                <w:highlight w:val="yellow"/>
              </w:rPr>
            </w:pPr>
            <w:r w:rsidRPr="00E20DE2">
              <w:rPr>
                <w:rFonts w:cs="Arial"/>
                <w:color w:val="000000" w:themeColor="text1"/>
                <w:sz w:val="24"/>
                <w:szCs w:val="24"/>
              </w:rPr>
              <w:t>DOSA rate: Thoracic Surgery</w:t>
            </w:r>
          </w:p>
        </w:tc>
        <w:tc>
          <w:tcPr>
            <w:tcW w:w="567" w:type="dxa"/>
            <w:shd w:val="clear" w:color="auto" w:fill="E5B8B7" w:themeFill="accent2" w:themeFillTint="66"/>
          </w:tcPr>
          <w:p w:rsidR="00944058" w:rsidRPr="00E20DE2" w:rsidRDefault="00944058" w:rsidP="00AB277E">
            <w:pPr>
              <w:rPr>
                <w:rFonts w:cs="Arial"/>
                <w:color w:val="000000" w:themeColor="text1"/>
                <w:sz w:val="24"/>
                <w:szCs w:val="24"/>
                <w:highlight w:val="yellow"/>
              </w:rPr>
            </w:pPr>
          </w:p>
        </w:tc>
        <w:tc>
          <w:tcPr>
            <w:tcW w:w="5917" w:type="dxa"/>
          </w:tcPr>
          <w:p w:rsidR="00944058" w:rsidRPr="00E20DE2" w:rsidRDefault="00944058" w:rsidP="00AB277E">
            <w:pPr>
              <w:rPr>
                <w:rFonts w:cs="Arial"/>
                <w:color w:val="000000" w:themeColor="text1"/>
                <w:sz w:val="24"/>
                <w:szCs w:val="24"/>
                <w:highlight w:val="yellow"/>
              </w:rPr>
            </w:pPr>
            <w:r w:rsidRPr="00E20DE2">
              <w:rPr>
                <w:rFonts w:cs="Arial"/>
                <w:color w:val="000000" w:themeColor="text1"/>
                <w:sz w:val="24"/>
                <w:szCs w:val="24"/>
              </w:rPr>
              <w:t xml:space="preserve">In March 2020 the Thoracic DoSA rate was 19.8% against a target of 40.0%. The March position represented a 15% decrease (13 less DOSA cases) </w:t>
            </w:r>
          </w:p>
        </w:tc>
      </w:tr>
      <w:tr w:rsidR="00944058" w:rsidRPr="001116EB" w:rsidTr="00AB277E">
        <w:tc>
          <w:tcPr>
            <w:tcW w:w="2802" w:type="dxa"/>
          </w:tcPr>
          <w:p w:rsidR="00944058" w:rsidRPr="001116EB" w:rsidRDefault="00944058" w:rsidP="00AB277E">
            <w:pPr>
              <w:rPr>
                <w:rFonts w:cs="Arial"/>
                <w:color w:val="000000" w:themeColor="text1"/>
                <w:sz w:val="24"/>
                <w:szCs w:val="24"/>
                <w:highlight w:val="yellow"/>
              </w:rPr>
            </w:pPr>
            <w:r w:rsidRPr="001116EB">
              <w:rPr>
                <w:rFonts w:cs="Arial"/>
                <w:color w:val="000000" w:themeColor="text1"/>
                <w:sz w:val="24"/>
                <w:szCs w:val="24"/>
              </w:rPr>
              <w:t>Theatre Cancellation Rates</w:t>
            </w:r>
          </w:p>
        </w:tc>
        <w:tc>
          <w:tcPr>
            <w:tcW w:w="567" w:type="dxa"/>
            <w:shd w:val="clear" w:color="auto" w:fill="E5B8B7" w:themeFill="accent2" w:themeFillTint="66"/>
          </w:tcPr>
          <w:p w:rsidR="00944058" w:rsidRPr="001116EB" w:rsidRDefault="00944058" w:rsidP="00AB277E">
            <w:pPr>
              <w:rPr>
                <w:rFonts w:cs="Arial"/>
                <w:color w:val="000000" w:themeColor="text1"/>
                <w:sz w:val="24"/>
                <w:szCs w:val="24"/>
                <w:highlight w:val="yellow"/>
              </w:rPr>
            </w:pPr>
          </w:p>
        </w:tc>
        <w:tc>
          <w:tcPr>
            <w:tcW w:w="5917" w:type="dxa"/>
          </w:tcPr>
          <w:p w:rsidR="00944058" w:rsidRPr="001116EB" w:rsidRDefault="00944058" w:rsidP="00AB277E">
            <w:pPr>
              <w:rPr>
                <w:rFonts w:cs="Arial"/>
                <w:color w:val="000000" w:themeColor="text1"/>
                <w:sz w:val="24"/>
                <w:szCs w:val="24"/>
              </w:rPr>
            </w:pPr>
            <w:r w:rsidRPr="001116EB">
              <w:rPr>
                <w:rFonts w:cs="Arial"/>
                <w:color w:val="000000" w:themeColor="text1"/>
                <w:sz w:val="24"/>
                <w:szCs w:val="24"/>
              </w:rPr>
              <w:t>In March 2020 the overall hospital cancellation rate was 7.9%. This represents a 1.5% deterioration compared to February 2020. There were 97 cancellations with 1228 scheduled procedures with a major reduction in cases in the last few weeks of March 2020.</w:t>
            </w:r>
          </w:p>
        </w:tc>
      </w:tr>
      <w:tr w:rsidR="00944058" w:rsidRPr="001116EB" w:rsidTr="00AB277E">
        <w:tc>
          <w:tcPr>
            <w:tcW w:w="2802" w:type="dxa"/>
          </w:tcPr>
          <w:p w:rsidR="00944058" w:rsidRPr="001116EB" w:rsidRDefault="00944058" w:rsidP="00AB277E">
            <w:pPr>
              <w:rPr>
                <w:rFonts w:cs="Arial"/>
                <w:color w:val="000000" w:themeColor="text1"/>
                <w:sz w:val="24"/>
                <w:szCs w:val="24"/>
              </w:rPr>
            </w:pPr>
            <w:r w:rsidRPr="001116EB">
              <w:rPr>
                <w:rFonts w:cs="Arial"/>
                <w:color w:val="000000" w:themeColor="text1"/>
                <w:sz w:val="24"/>
                <w:szCs w:val="24"/>
              </w:rPr>
              <w:t>Hospital Bed Occupancy</w:t>
            </w:r>
          </w:p>
        </w:tc>
        <w:tc>
          <w:tcPr>
            <w:tcW w:w="567" w:type="dxa"/>
            <w:shd w:val="clear" w:color="auto" w:fill="B8CCE4" w:themeFill="accent1" w:themeFillTint="66"/>
          </w:tcPr>
          <w:p w:rsidR="00944058" w:rsidRPr="001116EB" w:rsidRDefault="00944058" w:rsidP="00AB277E">
            <w:pPr>
              <w:rPr>
                <w:rFonts w:cs="Arial"/>
                <w:color w:val="000000" w:themeColor="text1"/>
                <w:sz w:val="24"/>
                <w:szCs w:val="24"/>
              </w:rPr>
            </w:pPr>
          </w:p>
        </w:tc>
        <w:tc>
          <w:tcPr>
            <w:tcW w:w="5917" w:type="dxa"/>
          </w:tcPr>
          <w:p w:rsidR="00944058" w:rsidRPr="001116EB" w:rsidRDefault="00944058" w:rsidP="00AB277E">
            <w:pPr>
              <w:rPr>
                <w:rFonts w:cs="Arial"/>
                <w:color w:val="000000" w:themeColor="text1"/>
                <w:sz w:val="24"/>
                <w:szCs w:val="24"/>
              </w:rPr>
            </w:pPr>
            <w:r w:rsidRPr="001116EB">
              <w:rPr>
                <w:rFonts w:cs="Arial"/>
                <w:color w:val="000000" w:themeColor="text1"/>
                <w:sz w:val="24"/>
                <w:szCs w:val="24"/>
              </w:rPr>
              <w:t xml:space="preserve">Hospital wide bed occupancy was reported as 70.6% in March 2020 compared to 75.5% in February 2020. For comparison occupancy was 10% below March 2019. </w:t>
            </w:r>
          </w:p>
        </w:tc>
      </w:tr>
      <w:tr w:rsidR="00944058" w:rsidRPr="00286A2A" w:rsidTr="00AB277E">
        <w:tc>
          <w:tcPr>
            <w:tcW w:w="2802" w:type="dxa"/>
          </w:tcPr>
          <w:p w:rsidR="00944058" w:rsidRPr="00286A2A" w:rsidRDefault="00944058" w:rsidP="00AB277E">
            <w:pPr>
              <w:rPr>
                <w:rFonts w:cs="Arial"/>
                <w:color w:val="000000" w:themeColor="text1"/>
                <w:sz w:val="24"/>
                <w:szCs w:val="24"/>
              </w:rPr>
            </w:pPr>
            <w:r w:rsidRPr="00286A2A">
              <w:rPr>
                <w:rFonts w:cs="Arial"/>
                <w:color w:val="000000" w:themeColor="text1"/>
                <w:sz w:val="24"/>
                <w:szCs w:val="24"/>
              </w:rPr>
              <w:t>Hotel Overall Net profit</w:t>
            </w:r>
          </w:p>
        </w:tc>
        <w:tc>
          <w:tcPr>
            <w:tcW w:w="567" w:type="dxa"/>
            <w:shd w:val="clear" w:color="auto" w:fill="E5B8B7" w:themeFill="accent2" w:themeFillTint="66"/>
          </w:tcPr>
          <w:p w:rsidR="00944058" w:rsidRPr="00286A2A" w:rsidRDefault="00944058" w:rsidP="00AB277E">
            <w:pPr>
              <w:rPr>
                <w:rFonts w:cs="Arial"/>
                <w:color w:val="000000" w:themeColor="text1"/>
                <w:sz w:val="24"/>
                <w:szCs w:val="24"/>
              </w:rPr>
            </w:pPr>
          </w:p>
        </w:tc>
        <w:tc>
          <w:tcPr>
            <w:tcW w:w="5917" w:type="dxa"/>
          </w:tcPr>
          <w:p w:rsidR="00944058" w:rsidRPr="00286A2A" w:rsidRDefault="00944058" w:rsidP="00AB277E">
            <w:pPr>
              <w:rPr>
                <w:rFonts w:cs="Arial"/>
                <w:color w:val="000000" w:themeColor="text1"/>
                <w:sz w:val="24"/>
                <w:szCs w:val="24"/>
              </w:rPr>
            </w:pPr>
            <w:r w:rsidRPr="00286A2A">
              <w:rPr>
                <w:rFonts w:cs="Arial"/>
                <w:color w:val="000000" w:themeColor="text1"/>
                <w:sz w:val="24"/>
                <w:szCs w:val="24"/>
              </w:rPr>
              <w:t xml:space="preserve">The </w:t>
            </w:r>
            <w:r>
              <w:rPr>
                <w:rFonts w:cs="Arial"/>
                <w:color w:val="000000" w:themeColor="text1"/>
                <w:sz w:val="24"/>
                <w:szCs w:val="24"/>
              </w:rPr>
              <w:t>March</w:t>
            </w:r>
            <w:r w:rsidRPr="00286A2A">
              <w:rPr>
                <w:rFonts w:cs="Arial"/>
                <w:color w:val="000000" w:themeColor="text1"/>
                <w:sz w:val="24"/>
                <w:szCs w:val="24"/>
              </w:rPr>
              <w:t xml:space="preserve"> 2020 position was -</w:t>
            </w:r>
            <w:r>
              <w:rPr>
                <w:rFonts w:cs="Arial"/>
                <w:color w:val="000000" w:themeColor="text1"/>
                <w:sz w:val="24"/>
                <w:szCs w:val="24"/>
              </w:rPr>
              <w:t xml:space="preserve">248% reflecting </w:t>
            </w:r>
            <w:r w:rsidR="000E0FE5">
              <w:rPr>
                <w:rFonts w:cs="Arial"/>
                <w:color w:val="000000" w:themeColor="text1"/>
                <w:sz w:val="24"/>
                <w:szCs w:val="24"/>
              </w:rPr>
              <w:t>its</w:t>
            </w:r>
            <w:r>
              <w:rPr>
                <w:rFonts w:cs="Arial"/>
                <w:color w:val="000000" w:themeColor="text1"/>
                <w:sz w:val="24"/>
                <w:szCs w:val="24"/>
              </w:rPr>
              <w:t xml:space="preserve"> </w:t>
            </w:r>
            <w:r>
              <w:rPr>
                <w:rFonts w:cs="Arial"/>
                <w:color w:val="000000" w:themeColor="text1"/>
                <w:sz w:val="24"/>
                <w:szCs w:val="24"/>
              </w:rPr>
              <w:lastRenderedPageBreak/>
              <w:t xml:space="preserve">closure in March 2020. </w:t>
            </w:r>
          </w:p>
        </w:tc>
      </w:tr>
      <w:tr w:rsidR="00944058" w:rsidRPr="00286A2A" w:rsidTr="00AB277E">
        <w:tc>
          <w:tcPr>
            <w:tcW w:w="2802" w:type="dxa"/>
          </w:tcPr>
          <w:p w:rsidR="00944058" w:rsidRPr="00286A2A" w:rsidRDefault="00944058" w:rsidP="00AB277E">
            <w:pPr>
              <w:rPr>
                <w:rFonts w:cs="Arial"/>
                <w:color w:val="000000" w:themeColor="text1"/>
                <w:sz w:val="24"/>
                <w:szCs w:val="24"/>
              </w:rPr>
            </w:pPr>
            <w:r w:rsidRPr="00286A2A">
              <w:rPr>
                <w:rFonts w:cs="Arial"/>
                <w:color w:val="000000" w:themeColor="text1"/>
                <w:sz w:val="24"/>
                <w:szCs w:val="24"/>
              </w:rPr>
              <w:lastRenderedPageBreak/>
              <w:t>Hotel Patient Bed Night Usage</w:t>
            </w:r>
          </w:p>
        </w:tc>
        <w:tc>
          <w:tcPr>
            <w:tcW w:w="567" w:type="dxa"/>
            <w:shd w:val="clear" w:color="auto" w:fill="E5B8B7" w:themeFill="accent2" w:themeFillTint="66"/>
          </w:tcPr>
          <w:p w:rsidR="00944058" w:rsidRPr="00286A2A" w:rsidRDefault="00944058" w:rsidP="00AB277E">
            <w:pPr>
              <w:rPr>
                <w:rFonts w:cs="Arial"/>
                <w:color w:val="000000" w:themeColor="text1"/>
                <w:sz w:val="24"/>
                <w:szCs w:val="24"/>
              </w:rPr>
            </w:pPr>
          </w:p>
        </w:tc>
        <w:tc>
          <w:tcPr>
            <w:tcW w:w="5917" w:type="dxa"/>
          </w:tcPr>
          <w:p w:rsidR="00944058" w:rsidRPr="00286A2A" w:rsidRDefault="00944058" w:rsidP="00AB277E">
            <w:pPr>
              <w:rPr>
                <w:rFonts w:cs="Arial"/>
                <w:color w:val="000000" w:themeColor="text1"/>
                <w:sz w:val="24"/>
                <w:szCs w:val="24"/>
              </w:rPr>
            </w:pPr>
            <w:r w:rsidRPr="00286A2A">
              <w:rPr>
                <w:rFonts w:cs="Arial"/>
                <w:color w:val="000000" w:themeColor="text1"/>
                <w:sz w:val="24"/>
                <w:szCs w:val="24"/>
              </w:rPr>
              <w:t>Patient bed night usage remained below target at -</w:t>
            </w:r>
            <w:r>
              <w:rPr>
                <w:rFonts w:cs="Arial"/>
                <w:color w:val="000000" w:themeColor="text1"/>
                <w:sz w:val="24"/>
                <w:szCs w:val="24"/>
              </w:rPr>
              <w:t>19.6</w:t>
            </w:r>
            <w:r w:rsidRPr="00286A2A">
              <w:rPr>
                <w:rFonts w:cs="Arial"/>
                <w:color w:val="000000" w:themeColor="text1"/>
                <w:sz w:val="24"/>
                <w:szCs w:val="24"/>
              </w:rPr>
              <w:t xml:space="preserve">% in February 2020. </w:t>
            </w:r>
          </w:p>
        </w:tc>
      </w:tr>
      <w:tr w:rsidR="00944058" w:rsidRPr="00286A2A" w:rsidTr="00AB277E">
        <w:tc>
          <w:tcPr>
            <w:tcW w:w="2802" w:type="dxa"/>
          </w:tcPr>
          <w:p w:rsidR="00944058" w:rsidRPr="00286A2A" w:rsidRDefault="00944058" w:rsidP="00AB277E">
            <w:pPr>
              <w:rPr>
                <w:rFonts w:cs="Arial"/>
                <w:color w:val="000000" w:themeColor="text1"/>
                <w:sz w:val="24"/>
                <w:szCs w:val="24"/>
                <w:highlight w:val="yellow"/>
              </w:rPr>
            </w:pPr>
            <w:r w:rsidRPr="00286A2A">
              <w:rPr>
                <w:rFonts w:cs="Arial"/>
                <w:color w:val="000000" w:themeColor="text1"/>
                <w:sz w:val="24"/>
                <w:szCs w:val="24"/>
              </w:rPr>
              <w:t>Hotel Not for profit percentage</w:t>
            </w:r>
          </w:p>
        </w:tc>
        <w:tc>
          <w:tcPr>
            <w:tcW w:w="567" w:type="dxa"/>
            <w:shd w:val="clear" w:color="auto" w:fill="D6E3BC" w:themeFill="accent3" w:themeFillTint="66"/>
          </w:tcPr>
          <w:p w:rsidR="00944058" w:rsidRPr="00286A2A" w:rsidRDefault="00944058" w:rsidP="00AB277E">
            <w:pPr>
              <w:rPr>
                <w:rFonts w:cs="Arial"/>
                <w:color w:val="000000" w:themeColor="text1"/>
                <w:sz w:val="24"/>
                <w:szCs w:val="24"/>
                <w:highlight w:val="yellow"/>
              </w:rPr>
            </w:pPr>
          </w:p>
        </w:tc>
        <w:tc>
          <w:tcPr>
            <w:tcW w:w="5917" w:type="dxa"/>
          </w:tcPr>
          <w:p w:rsidR="00944058" w:rsidRPr="00286A2A" w:rsidRDefault="00944058" w:rsidP="00AB277E">
            <w:pPr>
              <w:rPr>
                <w:rFonts w:cs="Arial"/>
                <w:color w:val="000000" w:themeColor="text1"/>
                <w:sz w:val="24"/>
                <w:szCs w:val="24"/>
                <w:highlight w:val="yellow"/>
              </w:rPr>
            </w:pPr>
            <w:r w:rsidRPr="00286A2A">
              <w:rPr>
                <w:rFonts w:cs="Arial"/>
                <w:color w:val="000000" w:themeColor="text1"/>
                <w:sz w:val="24"/>
                <w:szCs w:val="24"/>
              </w:rPr>
              <w:t xml:space="preserve">The percentage in </w:t>
            </w:r>
            <w:r>
              <w:rPr>
                <w:rFonts w:cs="Arial"/>
                <w:color w:val="000000" w:themeColor="text1"/>
                <w:sz w:val="24"/>
                <w:szCs w:val="24"/>
              </w:rPr>
              <w:t>March</w:t>
            </w:r>
            <w:r w:rsidRPr="00286A2A">
              <w:rPr>
                <w:rFonts w:cs="Arial"/>
                <w:color w:val="000000" w:themeColor="text1"/>
                <w:sz w:val="24"/>
                <w:szCs w:val="24"/>
              </w:rPr>
              <w:t xml:space="preserve"> 2020 increased to </w:t>
            </w:r>
            <w:r>
              <w:rPr>
                <w:rFonts w:cs="Arial"/>
                <w:color w:val="000000" w:themeColor="text1"/>
                <w:sz w:val="24"/>
                <w:szCs w:val="24"/>
              </w:rPr>
              <w:t>57</w:t>
            </w:r>
            <w:r w:rsidRPr="00286A2A">
              <w:rPr>
                <w:rFonts w:cs="Arial"/>
                <w:color w:val="000000" w:themeColor="text1"/>
                <w:sz w:val="24"/>
                <w:szCs w:val="24"/>
              </w:rPr>
              <w:t xml:space="preserve">% and was above the minimum threshold of 51%. </w:t>
            </w:r>
          </w:p>
        </w:tc>
      </w:tr>
      <w:tr w:rsidR="00944058" w:rsidRPr="007920C6" w:rsidTr="00AB277E">
        <w:tc>
          <w:tcPr>
            <w:tcW w:w="2802"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Research and Innovation: New Research projects approved</w:t>
            </w:r>
          </w:p>
        </w:tc>
        <w:tc>
          <w:tcPr>
            <w:tcW w:w="567" w:type="dxa"/>
            <w:shd w:val="clear" w:color="auto" w:fill="D6E3BC" w:themeFill="accent3" w:themeFillTint="66"/>
          </w:tcPr>
          <w:p w:rsidR="00944058" w:rsidRPr="007920C6" w:rsidRDefault="00944058" w:rsidP="00AB277E">
            <w:pPr>
              <w:rPr>
                <w:rFonts w:cs="Arial"/>
                <w:color w:val="000000" w:themeColor="text1"/>
                <w:sz w:val="24"/>
                <w:szCs w:val="24"/>
                <w:highlight w:val="yellow"/>
              </w:rPr>
            </w:pPr>
          </w:p>
        </w:tc>
        <w:tc>
          <w:tcPr>
            <w:tcW w:w="5917"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Nine projects approved which is above the threshold of eight</w:t>
            </w:r>
          </w:p>
        </w:tc>
      </w:tr>
      <w:tr w:rsidR="00944058" w:rsidRPr="007920C6" w:rsidTr="00AB277E">
        <w:tc>
          <w:tcPr>
            <w:tcW w:w="2802"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Research and Innovation: Income</w:t>
            </w:r>
          </w:p>
        </w:tc>
        <w:tc>
          <w:tcPr>
            <w:tcW w:w="567" w:type="dxa"/>
            <w:shd w:val="clear" w:color="auto" w:fill="D6E3BC" w:themeFill="accent3" w:themeFillTint="66"/>
          </w:tcPr>
          <w:p w:rsidR="00944058" w:rsidRPr="007920C6" w:rsidRDefault="00944058" w:rsidP="00AB277E">
            <w:pPr>
              <w:rPr>
                <w:rFonts w:cs="Arial"/>
                <w:color w:val="000000" w:themeColor="text1"/>
                <w:sz w:val="24"/>
                <w:szCs w:val="24"/>
                <w:highlight w:val="yellow"/>
              </w:rPr>
            </w:pPr>
          </w:p>
        </w:tc>
        <w:tc>
          <w:tcPr>
            <w:tcW w:w="5917"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March 2020 position reported as 19% above threshold (+286k)</w:t>
            </w:r>
          </w:p>
        </w:tc>
      </w:tr>
      <w:tr w:rsidR="00944058" w:rsidRPr="007920C6" w:rsidTr="00AB277E">
        <w:tc>
          <w:tcPr>
            <w:tcW w:w="2802"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Research and Innovation: Motion Lab Analysis Income</w:t>
            </w:r>
          </w:p>
        </w:tc>
        <w:tc>
          <w:tcPr>
            <w:tcW w:w="567" w:type="dxa"/>
            <w:shd w:val="clear" w:color="auto" w:fill="E5B8B7" w:themeFill="accent2" w:themeFillTint="66"/>
          </w:tcPr>
          <w:p w:rsidR="00944058" w:rsidRPr="007920C6" w:rsidRDefault="00944058" w:rsidP="00AB277E">
            <w:pPr>
              <w:rPr>
                <w:rFonts w:cs="Arial"/>
                <w:color w:val="000000" w:themeColor="text1"/>
                <w:sz w:val="24"/>
                <w:szCs w:val="24"/>
                <w:highlight w:val="yellow"/>
              </w:rPr>
            </w:pPr>
          </w:p>
        </w:tc>
        <w:tc>
          <w:tcPr>
            <w:tcW w:w="5917"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Position at March 2020 reported as £72k which was under the threshold of £202160</w:t>
            </w:r>
          </w:p>
        </w:tc>
      </w:tr>
      <w:tr w:rsidR="00944058" w:rsidRPr="007920C6" w:rsidTr="00AB277E">
        <w:tc>
          <w:tcPr>
            <w:tcW w:w="2802"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Research and Innovation: Clinical Skills Centre Occupancy</w:t>
            </w:r>
          </w:p>
        </w:tc>
        <w:tc>
          <w:tcPr>
            <w:tcW w:w="567" w:type="dxa"/>
            <w:shd w:val="clear" w:color="auto" w:fill="E5B8B7" w:themeFill="accent2" w:themeFillTint="66"/>
          </w:tcPr>
          <w:p w:rsidR="00944058" w:rsidRPr="007920C6" w:rsidRDefault="00944058" w:rsidP="00AB277E">
            <w:pPr>
              <w:rPr>
                <w:rFonts w:cs="Arial"/>
                <w:color w:val="000000" w:themeColor="text1"/>
                <w:sz w:val="24"/>
                <w:szCs w:val="24"/>
                <w:highlight w:val="yellow"/>
              </w:rPr>
            </w:pPr>
          </w:p>
        </w:tc>
        <w:tc>
          <w:tcPr>
            <w:tcW w:w="5917"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Position at March 2020 reported as 57% which was under the threshold of 65%.</w:t>
            </w:r>
          </w:p>
        </w:tc>
      </w:tr>
      <w:tr w:rsidR="00944058" w:rsidRPr="007920C6" w:rsidTr="00AB277E">
        <w:tc>
          <w:tcPr>
            <w:tcW w:w="2802"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Research and Innovation: Clinical Research Facility Occupancy</w:t>
            </w:r>
          </w:p>
        </w:tc>
        <w:tc>
          <w:tcPr>
            <w:tcW w:w="567" w:type="dxa"/>
            <w:shd w:val="clear" w:color="auto" w:fill="E5B8B7" w:themeFill="accent2" w:themeFillTint="66"/>
          </w:tcPr>
          <w:p w:rsidR="00944058" w:rsidRPr="007920C6" w:rsidRDefault="00944058" w:rsidP="00AB277E">
            <w:pPr>
              <w:rPr>
                <w:rFonts w:cs="Arial"/>
                <w:color w:val="000000" w:themeColor="text1"/>
                <w:sz w:val="24"/>
                <w:szCs w:val="24"/>
                <w:highlight w:val="yellow"/>
              </w:rPr>
            </w:pPr>
          </w:p>
        </w:tc>
        <w:tc>
          <w:tcPr>
            <w:tcW w:w="5917"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Position at March 2020 reported as 60% which was under the threshold of 70%.</w:t>
            </w:r>
          </w:p>
        </w:tc>
      </w:tr>
      <w:tr w:rsidR="00944058" w:rsidRPr="007920C6" w:rsidTr="00AB277E">
        <w:tc>
          <w:tcPr>
            <w:tcW w:w="2802"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Research and Innovation: MDαT sessions secured</w:t>
            </w:r>
          </w:p>
        </w:tc>
        <w:tc>
          <w:tcPr>
            <w:tcW w:w="567" w:type="dxa"/>
            <w:shd w:val="clear" w:color="auto" w:fill="E5B8B7" w:themeFill="accent2" w:themeFillTint="66"/>
          </w:tcPr>
          <w:p w:rsidR="00944058" w:rsidRPr="007920C6" w:rsidRDefault="00944058" w:rsidP="00AB277E">
            <w:pPr>
              <w:rPr>
                <w:rFonts w:cs="Arial"/>
                <w:color w:val="000000" w:themeColor="text1"/>
                <w:sz w:val="24"/>
                <w:szCs w:val="24"/>
                <w:highlight w:val="yellow"/>
              </w:rPr>
            </w:pPr>
          </w:p>
        </w:tc>
        <w:tc>
          <w:tcPr>
            <w:tcW w:w="5917" w:type="dxa"/>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No sessions were secured in the last financial year.</w:t>
            </w:r>
          </w:p>
        </w:tc>
      </w:tr>
      <w:tr w:rsidR="00944058" w:rsidRPr="007920C6" w:rsidTr="00AB277E">
        <w:trPr>
          <w:trHeight w:val="181"/>
        </w:trPr>
        <w:tc>
          <w:tcPr>
            <w:tcW w:w="9286" w:type="dxa"/>
            <w:gridSpan w:val="3"/>
            <w:tcBorders>
              <w:top w:val="single" w:sz="4" w:space="0" w:color="auto"/>
              <w:left w:val="single" w:sz="4" w:space="0" w:color="auto"/>
              <w:bottom w:val="single" w:sz="4" w:space="0" w:color="auto"/>
              <w:right w:val="single" w:sz="4" w:space="0" w:color="auto"/>
            </w:tcBorders>
            <w:shd w:val="clear" w:color="auto" w:fill="C4BC96" w:themeFill="background2" w:themeFillShade="BF"/>
          </w:tcPr>
          <w:p w:rsidR="00944058" w:rsidRPr="007920C6" w:rsidRDefault="00944058" w:rsidP="00AB277E">
            <w:pPr>
              <w:rPr>
                <w:rFonts w:cs="Arial"/>
                <w:color w:val="000000" w:themeColor="text1"/>
                <w:sz w:val="24"/>
                <w:szCs w:val="24"/>
              </w:rPr>
            </w:pPr>
            <w:r w:rsidRPr="007920C6">
              <w:rPr>
                <w:rFonts w:cs="Arial"/>
                <w:color w:val="000000" w:themeColor="text1"/>
                <w:sz w:val="24"/>
                <w:szCs w:val="24"/>
              </w:rPr>
              <w:t>National Comparison Table, Corporate Dashboard, Waiting list &amp; Productivity table</w:t>
            </w:r>
          </w:p>
        </w:tc>
      </w:tr>
      <w:tr w:rsidR="00944058" w:rsidRPr="007920C6" w:rsidTr="00AB277E">
        <w:tc>
          <w:tcPr>
            <w:tcW w:w="9286" w:type="dxa"/>
            <w:gridSpan w:val="3"/>
            <w:tcBorders>
              <w:top w:val="single" w:sz="4" w:space="0" w:color="auto"/>
            </w:tcBorders>
          </w:tcPr>
          <w:p w:rsidR="00944058" w:rsidRPr="007920C6" w:rsidRDefault="00944058" w:rsidP="00AB277E">
            <w:pPr>
              <w:spacing w:after="180"/>
              <w:rPr>
                <w:rFonts w:cs="Arial"/>
                <w:color w:val="000000" w:themeColor="text1"/>
                <w:sz w:val="24"/>
                <w:szCs w:val="24"/>
                <w:highlight w:val="yellow"/>
              </w:rPr>
            </w:pPr>
            <w:r w:rsidRPr="007920C6">
              <w:rPr>
                <w:rFonts w:cs="Arial"/>
                <w:color w:val="000000" w:themeColor="text1"/>
                <w:sz w:val="24"/>
                <w:szCs w:val="24"/>
              </w:rPr>
              <w:t xml:space="preserve">The GJNH nationally reported elective cancellation rate increased from 5.3% in Jan 2020 to 6.7% in Feb 2020. The GJNH had the third lowest elective cancellation rate nationally (behind NHS Shetland). The Scotland rate was 9%. </w:t>
            </w:r>
          </w:p>
        </w:tc>
      </w:tr>
      <w:tr w:rsidR="00944058" w:rsidRPr="007920C6" w:rsidTr="00AB277E">
        <w:tc>
          <w:tcPr>
            <w:tcW w:w="9286" w:type="dxa"/>
            <w:gridSpan w:val="3"/>
            <w:tcBorders>
              <w:top w:val="single" w:sz="4" w:space="0" w:color="auto"/>
            </w:tcBorders>
          </w:tcPr>
          <w:p w:rsidR="00944058" w:rsidRPr="007920C6" w:rsidRDefault="00944058" w:rsidP="00AB277E">
            <w:pPr>
              <w:spacing w:after="180"/>
              <w:rPr>
                <w:rFonts w:cs="Arial"/>
                <w:color w:val="000000" w:themeColor="text1"/>
                <w:sz w:val="24"/>
                <w:szCs w:val="24"/>
                <w:highlight w:val="yellow"/>
              </w:rPr>
            </w:pPr>
            <w:r w:rsidRPr="007920C6">
              <w:rPr>
                <w:rFonts w:cs="Arial"/>
                <w:color w:val="000000" w:themeColor="text1"/>
                <w:sz w:val="24"/>
                <w:szCs w:val="24"/>
              </w:rPr>
              <w:t xml:space="preserve">Golden Jubilee comparative performance against the national 31 Day Cancer target is reported using the Information Services Division (ISD) nationally published position. For Quarter 4 2019 GJNH dropped to 6th at 96% (4 breaches). </w:t>
            </w:r>
          </w:p>
        </w:tc>
      </w:tr>
      <w:tr w:rsidR="00944058" w:rsidRPr="007920C6" w:rsidTr="00AB277E">
        <w:tc>
          <w:tcPr>
            <w:tcW w:w="9286" w:type="dxa"/>
            <w:gridSpan w:val="3"/>
          </w:tcPr>
          <w:p w:rsidR="00944058" w:rsidRPr="007920C6" w:rsidRDefault="00944058" w:rsidP="00AB277E">
            <w:pPr>
              <w:spacing w:after="180"/>
              <w:rPr>
                <w:rFonts w:cs="Arial"/>
                <w:color w:val="000000" w:themeColor="text1"/>
                <w:sz w:val="24"/>
                <w:szCs w:val="24"/>
              </w:rPr>
            </w:pPr>
            <w:r w:rsidRPr="007920C6">
              <w:rPr>
                <w:rFonts w:cs="Arial"/>
                <w:color w:val="000000" w:themeColor="text1"/>
                <w:sz w:val="24"/>
                <w:szCs w:val="24"/>
              </w:rPr>
              <w:t xml:space="preserve">Health Protection Scotland published figures for Quarter 4 2019 report a GJNH incidence rate (per 100,000 total occupied bed days) of 8.6 for both SAB and CDiff incidence. The Scotland rates were 15.2 and 14.9 respectively. </w:t>
            </w:r>
          </w:p>
        </w:tc>
      </w:tr>
      <w:tr w:rsidR="00944058" w:rsidRPr="007920C6" w:rsidTr="00AB277E">
        <w:tc>
          <w:tcPr>
            <w:tcW w:w="9286" w:type="dxa"/>
            <w:gridSpan w:val="3"/>
          </w:tcPr>
          <w:p w:rsidR="00944058" w:rsidRPr="007920C6" w:rsidRDefault="00944058" w:rsidP="00AB277E">
            <w:pPr>
              <w:spacing w:after="180"/>
              <w:rPr>
                <w:rFonts w:cs="Arial"/>
                <w:color w:val="000000" w:themeColor="text1"/>
                <w:sz w:val="24"/>
                <w:szCs w:val="24"/>
                <w:highlight w:val="yellow"/>
              </w:rPr>
            </w:pPr>
            <w:r w:rsidRPr="007920C6">
              <w:rPr>
                <w:rFonts w:cs="Arial"/>
                <w:color w:val="000000" w:themeColor="text1"/>
                <w:sz w:val="24"/>
                <w:szCs w:val="24"/>
              </w:rPr>
              <w:t>Corporate sickness rates improved in February 2020 (-0.9% to 2.8%) The number of departments over the 4% threshold reduced to: Security</w:t>
            </w:r>
          </w:p>
        </w:tc>
      </w:tr>
      <w:tr w:rsidR="00944058" w:rsidRPr="007920C6" w:rsidTr="00AB277E">
        <w:tc>
          <w:tcPr>
            <w:tcW w:w="9286" w:type="dxa"/>
            <w:gridSpan w:val="3"/>
          </w:tcPr>
          <w:p w:rsidR="00944058" w:rsidRPr="007920C6" w:rsidRDefault="00944058" w:rsidP="00AB277E">
            <w:pPr>
              <w:spacing w:after="180"/>
              <w:rPr>
                <w:rFonts w:cs="Arial"/>
                <w:color w:val="000000" w:themeColor="text1"/>
                <w:sz w:val="24"/>
                <w:szCs w:val="24"/>
              </w:rPr>
            </w:pPr>
            <w:r w:rsidRPr="007920C6">
              <w:rPr>
                <w:rFonts w:cs="Arial"/>
                <w:color w:val="000000" w:themeColor="text1"/>
                <w:sz w:val="24"/>
                <w:szCs w:val="24"/>
              </w:rPr>
              <w:t>The total inpatient waiting list month end position decreased by 149 from 4246 to 4097 with Orthopaedics increasing by 170.</w:t>
            </w:r>
          </w:p>
          <w:p w:rsidR="00944058" w:rsidRPr="007920C6" w:rsidRDefault="00944058" w:rsidP="00AB277E">
            <w:pPr>
              <w:spacing w:after="180"/>
              <w:rPr>
                <w:rFonts w:cs="Arial"/>
                <w:color w:val="000000" w:themeColor="text1"/>
                <w:sz w:val="24"/>
                <w:szCs w:val="24"/>
              </w:rPr>
            </w:pPr>
            <w:r w:rsidRPr="007920C6">
              <w:rPr>
                <w:rFonts w:cs="Arial"/>
                <w:color w:val="000000" w:themeColor="text1"/>
                <w:sz w:val="24"/>
                <w:szCs w:val="24"/>
              </w:rPr>
              <w:t>The total outpatient waiting list increased by 198 to 1826.</w:t>
            </w:r>
          </w:p>
        </w:tc>
      </w:tr>
    </w:tbl>
    <w:p w:rsidR="008C28F2" w:rsidRDefault="008C28F2" w:rsidP="007F4702">
      <w:pPr>
        <w:rPr>
          <w:rFonts w:cs="Arial"/>
          <w:b/>
          <w:bCs/>
          <w:noProof/>
          <w:color w:val="FFFFFF" w:themeColor="background1"/>
          <w:kern w:val="32"/>
          <w:sz w:val="28"/>
          <w:szCs w:val="28"/>
          <w:u w:val="single"/>
          <w:lang w:eastAsia="en-GB"/>
        </w:rPr>
      </w:pPr>
    </w:p>
    <w:p w:rsidR="00944058" w:rsidRDefault="00944058" w:rsidP="007F4702">
      <w:pPr>
        <w:rPr>
          <w:rFonts w:cs="Arial"/>
          <w:b/>
          <w:bCs/>
          <w:noProof/>
          <w:kern w:val="32"/>
          <w:sz w:val="28"/>
          <w:szCs w:val="28"/>
          <w:u w:val="single"/>
          <w:lang w:eastAsia="en-GB"/>
        </w:rPr>
      </w:pPr>
    </w:p>
    <w:p w:rsidR="009A2950" w:rsidRDefault="009A2950" w:rsidP="007F4702">
      <w:pPr>
        <w:rPr>
          <w:rFonts w:cs="Arial"/>
          <w:b/>
          <w:bCs/>
          <w:noProof/>
          <w:kern w:val="32"/>
          <w:sz w:val="28"/>
          <w:szCs w:val="28"/>
          <w:u w:val="single"/>
          <w:lang w:eastAsia="en-GB"/>
        </w:rPr>
      </w:pPr>
    </w:p>
    <w:p w:rsidR="009A2950" w:rsidRDefault="009A2950" w:rsidP="007F4702">
      <w:pPr>
        <w:rPr>
          <w:rFonts w:cs="Arial"/>
          <w:b/>
          <w:bCs/>
          <w:noProof/>
          <w:kern w:val="32"/>
          <w:sz w:val="28"/>
          <w:szCs w:val="28"/>
          <w:u w:val="single"/>
          <w:lang w:eastAsia="en-GB"/>
        </w:rPr>
      </w:pPr>
    </w:p>
    <w:p w:rsidR="009A2950" w:rsidRDefault="009A2950" w:rsidP="007F4702">
      <w:pPr>
        <w:rPr>
          <w:rFonts w:cs="Arial"/>
          <w:b/>
          <w:bCs/>
          <w:noProof/>
          <w:kern w:val="32"/>
          <w:sz w:val="28"/>
          <w:szCs w:val="28"/>
          <w:u w:val="single"/>
          <w:lang w:eastAsia="en-GB"/>
        </w:rPr>
      </w:pPr>
    </w:p>
    <w:p w:rsidR="009A2950" w:rsidRDefault="009A2950" w:rsidP="007F4702">
      <w:pPr>
        <w:rPr>
          <w:rFonts w:cs="Arial"/>
          <w:b/>
          <w:bCs/>
          <w:noProof/>
          <w:kern w:val="32"/>
          <w:sz w:val="28"/>
          <w:szCs w:val="28"/>
          <w:u w:val="single"/>
          <w:lang w:eastAsia="en-GB"/>
        </w:rPr>
      </w:pPr>
    </w:p>
    <w:p w:rsidR="00C701C5" w:rsidRDefault="00C701C5" w:rsidP="00C701C5">
      <w:pPr>
        <w:rPr>
          <w:rFonts w:cs="Arial"/>
          <w:b/>
        </w:rPr>
      </w:pPr>
    </w:p>
    <w:p w:rsidR="009A2950" w:rsidRPr="00C701C5" w:rsidRDefault="009A2950" w:rsidP="009A2950">
      <w:pPr>
        <w:spacing w:after="180"/>
        <w:rPr>
          <w:rFonts w:cs="Arial"/>
          <w:b/>
          <w:color w:val="000000" w:themeColor="text1"/>
          <w:sz w:val="28"/>
          <w:szCs w:val="28"/>
        </w:rPr>
      </w:pPr>
      <w:r w:rsidRPr="00C701C5">
        <w:rPr>
          <w:rFonts w:cs="Arial"/>
          <w:b/>
          <w:color w:val="000000" w:themeColor="text1"/>
          <w:sz w:val="28"/>
          <w:szCs w:val="28"/>
        </w:rPr>
        <w:lastRenderedPageBreak/>
        <w:t>Finance</w:t>
      </w:r>
      <w:r>
        <w:rPr>
          <w:rFonts w:cs="Arial"/>
          <w:b/>
          <w:color w:val="000000" w:themeColor="text1"/>
          <w:sz w:val="28"/>
          <w:szCs w:val="28"/>
        </w:rPr>
        <w:t xml:space="preserve"> </w:t>
      </w:r>
      <w:r w:rsidRPr="00C701C5">
        <w:rPr>
          <w:rFonts w:cs="Arial"/>
          <w:b/>
          <w:color w:val="000000" w:themeColor="text1"/>
          <w:sz w:val="28"/>
          <w:szCs w:val="28"/>
        </w:rPr>
        <w:t>Executive Summary</w:t>
      </w:r>
    </w:p>
    <w:p w:rsidR="009A2950" w:rsidRPr="00C701C5" w:rsidRDefault="009A2950" w:rsidP="009A2950">
      <w:pPr>
        <w:ind w:right="2"/>
        <w:textAlignment w:val="baseline"/>
        <w:rPr>
          <w:rFonts w:cs="Arial"/>
          <w:b/>
          <w:szCs w:val="22"/>
        </w:rPr>
      </w:pPr>
      <w:r w:rsidRPr="00C701C5">
        <w:rPr>
          <w:rFonts w:cs="Arial"/>
          <w:b/>
          <w:szCs w:val="22"/>
        </w:rPr>
        <w:t>Financial Position as at Month 12, March 2020</w:t>
      </w:r>
    </w:p>
    <w:p w:rsidR="009A2950" w:rsidRPr="00C701C5" w:rsidRDefault="009A2950" w:rsidP="009A2950">
      <w:pPr>
        <w:ind w:right="2"/>
        <w:textAlignment w:val="baseline"/>
        <w:rPr>
          <w:rFonts w:cs="Arial"/>
          <w:b/>
          <w:szCs w:val="22"/>
        </w:rPr>
      </w:pPr>
      <w:r w:rsidRPr="00C701C5">
        <w:rPr>
          <w:rFonts w:cs="Arial"/>
          <w:b/>
          <w:szCs w:val="22"/>
        </w:rPr>
        <w:t>Revenue Position</w:t>
      </w:r>
    </w:p>
    <w:p w:rsidR="009A2950" w:rsidRPr="00C701C5" w:rsidRDefault="009A2950" w:rsidP="009A2950">
      <w:pPr>
        <w:ind w:right="2"/>
        <w:textAlignment w:val="baseline"/>
        <w:rPr>
          <w:rFonts w:cs="Arial"/>
          <w:b/>
          <w:szCs w:val="22"/>
        </w:rPr>
      </w:pPr>
    </w:p>
    <w:p w:rsidR="009A2950" w:rsidRPr="00C701C5" w:rsidRDefault="009A2950" w:rsidP="009A2950">
      <w:pPr>
        <w:rPr>
          <w:rFonts w:cs="Arial"/>
          <w:szCs w:val="22"/>
        </w:rPr>
      </w:pPr>
      <w:r w:rsidRPr="00C701C5">
        <w:rPr>
          <w:rFonts w:cs="Arial"/>
          <w:szCs w:val="22"/>
        </w:rPr>
        <w:t>The total surplus as at Month 12, March 2020 amounts to £217k, subject to final year-end audit. The underspend position reflects the position following the impact on results associated with Covid-19, where all financial consequences were taken account of to provide this positive financial position at the financial year-end.</w:t>
      </w:r>
    </w:p>
    <w:p w:rsidR="009A2950" w:rsidRPr="00C701C5" w:rsidRDefault="009A2950" w:rsidP="009A2950">
      <w:pPr>
        <w:rPr>
          <w:rFonts w:cs="Arial"/>
          <w:szCs w:val="22"/>
        </w:rPr>
      </w:pPr>
    </w:p>
    <w:p w:rsidR="009A2950" w:rsidRPr="00C701C5" w:rsidRDefault="009A2950" w:rsidP="009A2950">
      <w:pPr>
        <w:rPr>
          <w:rFonts w:cs="Arial"/>
          <w:szCs w:val="22"/>
        </w:rPr>
      </w:pPr>
    </w:p>
    <w:p w:rsidR="009A2950" w:rsidRPr="00C701C5" w:rsidRDefault="009A2950" w:rsidP="009A2950">
      <w:pPr>
        <w:rPr>
          <w:rFonts w:cs="Arial"/>
          <w:b/>
          <w:szCs w:val="22"/>
        </w:rPr>
      </w:pPr>
      <w:r w:rsidRPr="00C701C5">
        <w:rPr>
          <w:rFonts w:cs="Arial"/>
          <w:b/>
          <w:szCs w:val="22"/>
        </w:rPr>
        <w:t>Main Points to note</w:t>
      </w:r>
    </w:p>
    <w:p w:rsidR="009A2950" w:rsidRPr="00C701C5" w:rsidRDefault="009A2950" w:rsidP="009A2950">
      <w:pPr>
        <w:rPr>
          <w:rFonts w:cs="Arial"/>
          <w:szCs w:val="22"/>
        </w:rPr>
      </w:pPr>
    </w:p>
    <w:p w:rsidR="009A2950" w:rsidRPr="00C701C5" w:rsidRDefault="009A2950" w:rsidP="009A2950">
      <w:pPr>
        <w:ind w:right="-330"/>
        <w:rPr>
          <w:rFonts w:cs="Arial"/>
          <w:b/>
          <w:bCs/>
        </w:rPr>
      </w:pPr>
      <w:r w:rsidRPr="00C701C5">
        <w:rPr>
          <w:rFonts w:cs="Arial"/>
          <w:b/>
          <w:bCs/>
        </w:rPr>
        <w:t>Revenue Position</w:t>
      </w:r>
    </w:p>
    <w:p w:rsidR="009A2950" w:rsidRPr="00C701C5" w:rsidRDefault="009A2950" w:rsidP="009A2950">
      <w:pPr>
        <w:ind w:right="-330"/>
        <w:rPr>
          <w:rFonts w:cs="Arial"/>
          <w:bCs/>
        </w:rPr>
      </w:pPr>
    </w:p>
    <w:p w:rsidR="009A2950" w:rsidRPr="00C701C5" w:rsidRDefault="009A2950" w:rsidP="009A2950">
      <w:pPr>
        <w:ind w:right="-330"/>
        <w:rPr>
          <w:rFonts w:cs="Arial"/>
          <w:b/>
          <w:bCs/>
        </w:rPr>
      </w:pPr>
      <w:r w:rsidRPr="00C701C5">
        <w:rPr>
          <w:rFonts w:cs="Arial"/>
          <w:b/>
          <w:bCs/>
        </w:rPr>
        <w:t>Month 12</w:t>
      </w:r>
    </w:p>
    <w:p w:rsidR="009A2950" w:rsidRPr="00C701C5" w:rsidRDefault="009A2950" w:rsidP="009A2950">
      <w:pPr>
        <w:ind w:right="-330"/>
        <w:rPr>
          <w:rFonts w:cs="Arial"/>
          <w:b/>
          <w:bCs/>
        </w:rPr>
      </w:pPr>
    </w:p>
    <w:p w:rsidR="009A2950" w:rsidRPr="00C701C5" w:rsidRDefault="009A2950" w:rsidP="009A2950">
      <w:pPr>
        <w:ind w:right="-330"/>
        <w:rPr>
          <w:rFonts w:cs="Arial"/>
          <w:bCs/>
        </w:rPr>
      </w:pPr>
      <w:r w:rsidRPr="00C701C5">
        <w:rPr>
          <w:rFonts w:cs="Arial"/>
          <w:bCs/>
        </w:rPr>
        <w:t>The Month 12 position, subject to audit, as at 31</w:t>
      </w:r>
      <w:r w:rsidRPr="00C701C5">
        <w:rPr>
          <w:rFonts w:cs="Arial"/>
          <w:bCs/>
          <w:vertAlign w:val="superscript"/>
        </w:rPr>
        <w:t>st</w:t>
      </w:r>
      <w:r w:rsidRPr="00C701C5">
        <w:rPr>
          <w:rFonts w:cs="Arial"/>
          <w:bCs/>
        </w:rPr>
        <w:t xml:space="preserve"> March 2020 is reporting a surplus of £0.2m and hence financially we have met our RRL targets for the financial year 2019/20. This incorporates the net position following additional costs associated with Covid-19 and funding in place to cover these costs, as agreed with Scottish Government. </w:t>
      </w:r>
    </w:p>
    <w:p w:rsidR="009A2950" w:rsidRPr="00C701C5" w:rsidRDefault="009A2950" w:rsidP="009A2950">
      <w:pPr>
        <w:ind w:right="-330"/>
        <w:rPr>
          <w:rFonts w:cs="Arial"/>
          <w:bCs/>
        </w:rPr>
      </w:pPr>
    </w:p>
    <w:p w:rsidR="009A2950" w:rsidRPr="00C701C5" w:rsidRDefault="009A2950" w:rsidP="009A2950">
      <w:pPr>
        <w:ind w:right="-330"/>
        <w:rPr>
          <w:rFonts w:cs="Arial"/>
          <w:bCs/>
        </w:rPr>
      </w:pPr>
      <w:r w:rsidRPr="00C701C5">
        <w:rPr>
          <w:rFonts w:cs="Arial"/>
          <w:bCs/>
        </w:rPr>
        <w:t xml:space="preserve">The position on our Efficiency Savings target of £4.807m at month 12 noted that this was achieved in full within the financial year 2019/20. This achievement comprised of £2.5m of recurring savings and £2.3m of non-recurring savings, to balance the overall target. Of the recurring savings at £2.5m, this matures to a FYE saving of £3.76m, therefore results in a c/fwd of just over £1m into the financial year 2020/21, which is within the threshold incorporated within our Finance Plan. </w:t>
      </w:r>
    </w:p>
    <w:p w:rsidR="009A2950" w:rsidRPr="00C701C5" w:rsidRDefault="009A2950" w:rsidP="009A2950">
      <w:pPr>
        <w:ind w:right="-330"/>
        <w:rPr>
          <w:rFonts w:cs="Arial"/>
          <w:bCs/>
        </w:rPr>
      </w:pPr>
    </w:p>
    <w:p w:rsidR="009A2950" w:rsidRPr="00C701C5" w:rsidRDefault="009A2950" w:rsidP="009A2950">
      <w:pPr>
        <w:ind w:right="-330"/>
        <w:rPr>
          <w:rFonts w:cs="Arial"/>
          <w:bCs/>
        </w:rPr>
      </w:pPr>
      <w:r w:rsidRPr="00C701C5">
        <w:rPr>
          <w:rFonts w:cs="Arial"/>
          <w:bCs/>
        </w:rPr>
        <w:t>It was previously thought that the c/fwd element would have been slightly lighter at around £0.85m - £0.9m however year end activities and financial flows have impacted on our ability to recognise / validate any further saving. It is however anticipated that some of these areas under review will roll forward into plans for 2020/21.</w:t>
      </w:r>
    </w:p>
    <w:p w:rsidR="009A2950" w:rsidRPr="00C701C5" w:rsidRDefault="009A2950" w:rsidP="009A2950">
      <w:pPr>
        <w:ind w:right="-330"/>
        <w:rPr>
          <w:rFonts w:cs="Arial"/>
          <w:bCs/>
        </w:rPr>
      </w:pPr>
    </w:p>
    <w:p w:rsidR="009A2950" w:rsidRPr="00C701C5" w:rsidRDefault="009A2950" w:rsidP="009A2950">
      <w:pPr>
        <w:ind w:right="-330"/>
        <w:rPr>
          <w:rFonts w:cs="Arial"/>
          <w:bCs/>
        </w:rPr>
      </w:pPr>
      <w:r w:rsidRPr="00C701C5">
        <w:rPr>
          <w:rFonts w:cs="Arial"/>
          <w:bCs/>
        </w:rPr>
        <w:t>The month 12 figures have taken account of the issues associated with Covid -19 which have impacted across the organisation in a variety of formats. This impact is not only from a direct expenditure point of view, regarding mobilisation / readiness and changes in activity / spend, but also from an income perspective given the complexity of the sources previously described at the board seminar and the significant impact on the business activity of the Hotel and Conference Centre.</w:t>
      </w:r>
    </w:p>
    <w:p w:rsidR="009A2950" w:rsidRPr="00C701C5" w:rsidRDefault="009A2950" w:rsidP="009A2950">
      <w:pPr>
        <w:ind w:right="-330"/>
        <w:rPr>
          <w:rFonts w:cs="Arial"/>
          <w:b/>
          <w:bCs/>
        </w:rPr>
      </w:pPr>
    </w:p>
    <w:p w:rsidR="009A2950" w:rsidRPr="00C701C5" w:rsidRDefault="009A2950" w:rsidP="009A2950">
      <w:pPr>
        <w:ind w:right="-330"/>
        <w:rPr>
          <w:rFonts w:cs="Arial"/>
          <w:b/>
          <w:bCs/>
        </w:rPr>
      </w:pPr>
    </w:p>
    <w:p w:rsidR="009A2950" w:rsidRPr="00C701C5" w:rsidRDefault="009A2950" w:rsidP="009A2950">
      <w:pPr>
        <w:ind w:right="-330"/>
        <w:rPr>
          <w:rFonts w:cs="Arial"/>
          <w:b/>
          <w:bCs/>
        </w:rPr>
      </w:pPr>
      <w:r w:rsidRPr="00C701C5">
        <w:rPr>
          <w:rFonts w:cs="Arial"/>
          <w:b/>
          <w:bCs/>
        </w:rPr>
        <w:t>Hotel Position</w:t>
      </w:r>
    </w:p>
    <w:p w:rsidR="009A2950" w:rsidRPr="00C701C5" w:rsidRDefault="009A2950" w:rsidP="009A2950">
      <w:pPr>
        <w:ind w:right="-330"/>
        <w:rPr>
          <w:rFonts w:cs="Arial"/>
          <w:b/>
          <w:bCs/>
        </w:rPr>
      </w:pPr>
    </w:p>
    <w:p w:rsidR="009A2950" w:rsidRPr="00C701C5" w:rsidRDefault="009A2950" w:rsidP="009A2950">
      <w:pPr>
        <w:ind w:right="-330"/>
        <w:rPr>
          <w:rFonts w:cs="Arial"/>
          <w:bCs/>
        </w:rPr>
      </w:pPr>
      <w:r w:rsidRPr="00C701C5">
        <w:rPr>
          <w:rFonts w:cs="Arial"/>
          <w:bCs/>
        </w:rPr>
        <w:t>The Hotel had been on track to produce a surplus for reinvestment of c£150k, and some of this reinvestment was enacted before the financial year-end. It should be recognised that the Hotel &amp; Conference centre was achieving well against targets prior to the unprecedented issue of Covid-19, which was clearly out with their control.</w:t>
      </w:r>
    </w:p>
    <w:p w:rsidR="009A2950" w:rsidRPr="00C701C5" w:rsidRDefault="009A2950" w:rsidP="009A2950">
      <w:pPr>
        <w:ind w:right="-330"/>
        <w:rPr>
          <w:rFonts w:cs="Arial"/>
          <w:bCs/>
        </w:rPr>
      </w:pPr>
    </w:p>
    <w:p w:rsidR="009A2950" w:rsidRPr="00C701C5" w:rsidRDefault="009A2950" w:rsidP="009A2950">
      <w:pPr>
        <w:ind w:right="-330"/>
        <w:rPr>
          <w:rFonts w:cs="Arial"/>
          <w:bCs/>
        </w:rPr>
      </w:pPr>
      <w:r w:rsidRPr="00C701C5">
        <w:rPr>
          <w:rFonts w:cs="Arial"/>
          <w:bCs/>
        </w:rPr>
        <w:t xml:space="preserve">The month 12 position resulted in a core deficit due to Covid-19 of c£0.3m, which was incorporated into mobilisation planning assumptions and has been covered to ensure a net balanced position within the boards overall accounts. </w:t>
      </w:r>
    </w:p>
    <w:p w:rsidR="009A2950" w:rsidRPr="00C701C5" w:rsidRDefault="009A2950" w:rsidP="009A2950">
      <w:pPr>
        <w:ind w:right="-330"/>
        <w:rPr>
          <w:rFonts w:cs="Arial"/>
          <w:bCs/>
        </w:rPr>
      </w:pPr>
    </w:p>
    <w:p w:rsidR="009A2950" w:rsidRDefault="009A2950" w:rsidP="009A2950">
      <w:pPr>
        <w:ind w:right="-330"/>
        <w:rPr>
          <w:rFonts w:cs="Arial"/>
          <w:bCs/>
        </w:rPr>
      </w:pPr>
    </w:p>
    <w:p w:rsidR="009A2950" w:rsidRPr="00C701C5" w:rsidRDefault="009A2950" w:rsidP="009A2950">
      <w:pPr>
        <w:ind w:right="-330"/>
        <w:rPr>
          <w:rFonts w:cs="Arial"/>
          <w:bCs/>
        </w:rPr>
      </w:pPr>
    </w:p>
    <w:p w:rsidR="009A2950" w:rsidRPr="00C701C5" w:rsidRDefault="009A2950" w:rsidP="009A2950">
      <w:pPr>
        <w:ind w:right="-330"/>
        <w:rPr>
          <w:rFonts w:cs="Arial"/>
          <w:bCs/>
        </w:rPr>
      </w:pPr>
    </w:p>
    <w:p w:rsidR="009A2950" w:rsidRPr="00C701C5" w:rsidRDefault="009A2950" w:rsidP="009A2950">
      <w:pPr>
        <w:ind w:right="-330"/>
        <w:rPr>
          <w:rFonts w:cs="Arial"/>
          <w:b/>
          <w:bCs/>
        </w:rPr>
      </w:pPr>
      <w:r w:rsidRPr="00C701C5">
        <w:rPr>
          <w:rFonts w:cs="Arial"/>
          <w:b/>
          <w:bCs/>
        </w:rPr>
        <w:t>Capital Position</w:t>
      </w:r>
    </w:p>
    <w:p w:rsidR="009A2950" w:rsidRPr="00C701C5" w:rsidRDefault="009A2950" w:rsidP="009A2950">
      <w:pPr>
        <w:ind w:right="-330"/>
        <w:rPr>
          <w:rFonts w:cs="Arial"/>
          <w:bCs/>
        </w:rPr>
      </w:pPr>
    </w:p>
    <w:p w:rsidR="009A2950" w:rsidRPr="00C701C5" w:rsidRDefault="009A2950" w:rsidP="009A2950">
      <w:pPr>
        <w:ind w:right="-330"/>
        <w:rPr>
          <w:rFonts w:cs="Arial"/>
          <w:bCs/>
        </w:rPr>
      </w:pPr>
      <w:r w:rsidRPr="00C701C5">
        <w:rPr>
          <w:rFonts w:cs="Arial"/>
          <w:bCs/>
        </w:rPr>
        <w:lastRenderedPageBreak/>
        <w:t>The month 11 Capital position was fully on track to balance the total Capital Resource Limit (CRL) by the financial year-end, however the impact of Covid-19 had the following 3 issues</w:t>
      </w:r>
    </w:p>
    <w:p w:rsidR="009A2950" w:rsidRPr="00C701C5" w:rsidRDefault="009A2950" w:rsidP="009A2950">
      <w:pPr>
        <w:ind w:right="-330"/>
        <w:rPr>
          <w:rFonts w:cs="Arial"/>
          <w:bCs/>
        </w:rPr>
      </w:pPr>
    </w:p>
    <w:p w:rsidR="009A2950" w:rsidRPr="00C701C5" w:rsidRDefault="009A2950" w:rsidP="009A2950">
      <w:pPr>
        <w:numPr>
          <w:ilvl w:val="0"/>
          <w:numId w:val="9"/>
        </w:numPr>
        <w:ind w:right="-330"/>
        <w:rPr>
          <w:rFonts w:cs="Arial"/>
          <w:bCs/>
        </w:rPr>
      </w:pPr>
      <w:r w:rsidRPr="00C701C5">
        <w:rPr>
          <w:rFonts w:cs="Arial"/>
          <w:bCs/>
        </w:rPr>
        <w:t>Impact on Core Capital Funding</w:t>
      </w:r>
    </w:p>
    <w:p w:rsidR="009A2950" w:rsidRPr="00C701C5" w:rsidRDefault="009A2950" w:rsidP="009A2950">
      <w:pPr>
        <w:numPr>
          <w:ilvl w:val="0"/>
          <w:numId w:val="9"/>
        </w:numPr>
        <w:ind w:right="-330"/>
        <w:rPr>
          <w:rFonts w:cs="Arial"/>
          <w:bCs/>
        </w:rPr>
      </w:pPr>
      <w:r w:rsidRPr="00C701C5">
        <w:rPr>
          <w:rFonts w:cs="Arial"/>
          <w:bCs/>
        </w:rPr>
        <w:t>Impact on requirement to advance purchase Capital Equipment as a direct consequence of Covid-19</w:t>
      </w:r>
    </w:p>
    <w:p w:rsidR="009A2950" w:rsidRPr="00C701C5" w:rsidRDefault="009A2950" w:rsidP="009A2950">
      <w:pPr>
        <w:numPr>
          <w:ilvl w:val="0"/>
          <w:numId w:val="9"/>
        </w:numPr>
        <w:ind w:right="-330"/>
        <w:rPr>
          <w:rFonts w:cs="Arial"/>
          <w:bCs/>
        </w:rPr>
      </w:pPr>
      <w:r w:rsidRPr="00C701C5">
        <w:rPr>
          <w:rFonts w:cs="Arial"/>
          <w:bCs/>
        </w:rPr>
        <w:t>Impact on Expansion Capital Programme</w:t>
      </w:r>
    </w:p>
    <w:p w:rsidR="009A2950" w:rsidRPr="00C701C5" w:rsidRDefault="009A2950" w:rsidP="009A2950">
      <w:pPr>
        <w:ind w:left="720" w:right="-330"/>
        <w:contextualSpacing/>
        <w:rPr>
          <w:rFonts w:cs="Arial"/>
          <w:bCs/>
        </w:rPr>
      </w:pPr>
    </w:p>
    <w:p w:rsidR="009A2950" w:rsidRPr="00C701C5" w:rsidRDefault="009A2950" w:rsidP="009A2950">
      <w:pPr>
        <w:ind w:right="-330"/>
        <w:rPr>
          <w:rFonts w:cs="Arial"/>
          <w:bCs/>
        </w:rPr>
      </w:pPr>
      <w:r w:rsidRPr="00C701C5">
        <w:rPr>
          <w:rFonts w:cs="Arial"/>
          <w:bCs/>
        </w:rPr>
        <w:t>In terms of the core capital, the progress on this had been accelerated on a number of fronts prior to the impact of Covid-19 and as such had largely progressed exceptionally well with a limited amount of slippage across all schemes. The level of capital purchase in preparedness for Covid-19 was partly covered from internal source, with a residual additional spend of £165k. This additional spend was incorporated into discussions and correspondence with capital finance colleagues at Scottish Government and funding was authorised and provided for this expenditure as part of our year end accounts.</w:t>
      </w:r>
    </w:p>
    <w:p w:rsidR="009A2950" w:rsidRPr="00C701C5" w:rsidRDefault="009A2950" w:rsidP="009A2950">
      <w:pPr>
        <w:ind w:right="-330"/>
        <w:rPr>
          <w:rFonts w:cs="Arial"/>
          <w:bCs/>
        </w:rPr>
      </w:pPr>
      <w:r w:rsidRPr="00C701C5">
        <w:rPr>
          <w:rFonts w:cs="Arial"/>
          <w:bCs/>
        </w:rPr>
        <w:t xml:space="preserve"> </w:t>
      </w:r>
    </w:p>
    <w:p w:rsidR="009A2950" w:rsidRPr="00C701C5" w:rsidRDefault="009A2950" w:rsidP="009A2950">
      <w:pPr>
        <w:ind w:right="-330"/>
        <w:rPr>
          <w:rFonts w:cs="Arial"/>
          <w:bCs/>
        </w:rPr>
      </w:pPr>
      <w:r w:rsidRPr="00C701C5">
        <w:rPr>
          <w:rFonts w:cs="Arial"/>
          <w:bCs/>
        </w:rPr>
        <w:t>In terms of the Expansion projects the timing of this issue has resulted in a reduction to expected costs related to work unable to be undertaken through the latter part of March 2020. Following discussions with Keir and a review with our cost advisors, Aecom, the detail became clear relating to the overall financial effect for 2019/20. The reductions resulted in the originally anticipated spend level being lower than the original allocation by a sum of around £1.591m. The benefit of being in close contact with Scottish Government colleagues allowed appropriate action to agreed that this value was returned to Scottish Government for future re-provision for the project, in 2020/21, and to effectively provide a balanced position against our CRL for the financial year 2019/20.</w:t>
      </w:r>
    </w:p>
    <w:p w:rsidR="009A2950" w:rsidRPr="00C701C5" w:rsidRDefault="009A2950" w:rsidP="009A2950">
      <w:pPr>
        <w:ind w:right="-330"/>
        <w:rPr>
          <w:rFonts w:cs="Arial"/>
          <w:bCs/>
        </w:rPr>
      </w:pPr>
    </w:p>
    <w:p w:rsidR="009A2950" w:rsidRPr="00C701C5" w:rsidRDefault="009A2950" w:rsidP="009A2950">
      <w:pPr>
        <w:ind w:right="-330"/>
        <w:rPr>
          <w:rFonts w:cs="Arial"/>
          <w:bCs/>
        </w:rPr>
      </w:pPr>
      <w:r w:rsidRPr="00C701C5">
        <w:rPr>
          <w:rFonts w:cs="Arial"/>
          <w:bCs/>
        </w:rPr>
        <w:t>All actions have been taken as part of our year-end outturn and again, subject to audit, we are reporting a balanced position across our CRL following these agreements being in place with Scottish Government.</w:t>
      </w:r>
    </w:p>
    <w:p w:rsidR="009A2950" w:rsidRDefault="009A2950" w:rsidP="009A2950">
      <w:pPr>
        <w:rPr>
          <w:rFonts w:cs="Arial"/>
          <w:b/>
        </w:rPr>
      </w:pPr>
    </w:p>
    <w:p w:rsidR="00C701C5" w:rsidRDefault="00C701C5"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9A2950" w:rsidRDefault="009A2950" w:rsidP="00C701C5">
      <w:pPr>
        <w:spacing w:after="180"/>
        <w:rPr>
          <w:rFonts w:cs="Arial"/>
          <w:b/>
          <w:color w:val="000000" w:themeColor="text1"/>
          <w:sz w:val="28"/>
          <w:szCs w:val="28"/>
        </w:rPr>
      </w:pPr>
    </w:p>
    <w:p w:rsidR="00C701C5" w:rsidRDefault="00C701C5" w:rsidP="00C701C5">
      <w:pPr>
        <w:spacing w:after="180"/>
        <w:rPr>
          <w:rFonts w:cs="Arial"/>
          <w:b/>
          <w:color w:val="000000" w:themeColor="text1"/>
          <w:sz w:val="28"/>
          <w:szCs w:val="28"/>
        </w:rPr>
      </w:pPr>
    </w:p>
    <w:p w:rsidR="00C701C5" w:rsidRDefault="00C701C5" w:rsidP="00C701C5">
      <w:pPr>
        <w:spacing w:after="180"/>
        <w:rPr>
          <w:rFonts w:cs="Arial"/>
          <w:b/>
          <w:color w:val="000000" w:themeColor="text1"/>
          <w:sz w:val="28"/>
          <w:szCs w:val="28"/>
        </w:rPr>
      </w:pPr>
    </w:p>
    <w:p w:rsidR="00C701C5" w:rsidRPr="00C701C5" w:rsidRDefault="00C701C5" w:rsidP="00C701C5">
      <w:pPr>
        <w:spacing w:after="180"/>
        <w:rPr>
          <w:rFonts w:cs="Arial"/>
          <w:b/>
          <w:color w:val="000000" w:themeColor="text1"/>
          <w:sz w:val="28"/>
          <w:szCs w:val="28"/>
        </w:rPr>
      </w:pPr>
      <w:r w:rsidRPr="00C701C5">
        <w:rPr>
          <w:rFonts w:cs="Arial"/>
          <w:b/>
          <w:color w:val="000000" w:themeColor="text1"/>
          <w:sz w:val="28"/>
          <w:szCs w:val="28"/>
        </w:rPr>
        <w:lastRenderedPageBreak/>
        <w:t>Business Services Executive Summary</w:t>
      </w:r>
    </w:p>
    <w:p w:rsidR="00C701C5" w:rsidRPr="00C701C5" w:rsidRDefault="00C701C5" w:rsidP="00C701C5">
      <w:pPr>
        <w:ind w:left="-360"/>
        <w:rPr>
          <w:rFonts w:cs="Arial"/>
          <w:b/>
          <w:szCs w:val="22"/>
          <w:lang w:eastAsia="en-GB"/>
        </w:rPr>
      </w:pPr>
    </w:p>
    <w:p w:rsidR="00C701C5" w:rsidRPr="00C701C5" w:rsidRDefault="00C701C5" w:rsidP="00C701C5">
      <w:pPr>
        <w:ind w:left="-360"/>
        <w:rPr>
          <w:rFonts w:cs="Arial"/>
          <w:b/>
          <w:szCs w:val="22"/>
          <w:lang w:eastAsia="en-GB"/>
        </w:rPr>
      </w:pPr>
      <w:r w:rsidRPr="00C701C5">
        <w:rPr>
          <w:rFonts w:cs="Arial"/>
          <w:b/>
          <w:szCs w:val="22"/>
          <w:lang w:eastAsia="en-GB"/>
        </w:rPr>
        <w:t>1.</w:t>
      </w:r>
      <w:r w:rsidRPr="00C701C5">
        <w:rPr>
          <w:rFonts w:cs="Arial"/>
          <w:b/>
          <w:szCs w:val="22"/>
          <w:lang w:eastAsia="en-GB"/>
        </w:rPr>
        <w:tab/>
        <w:t>Background</w:t>
      </w:r>
    </w:p>
    <w:p w:rsidR="00C701C5" w:rsidRPr="00C701C5" w:rsidRDefault="00C701C5" w:rsidP="00C701C5">
      <w:pPr>
        <w:ind w:left="-360"/>
        <w:rPr>
          <w:rFonts w:cs="Arial"/>
          <w:b/>
          <w:szCs w:val="22"/>
          <w:lang w:eastAsia="en-GB"/>
        </w:rPr>
      </w:pPr>
    </w:p>
    <w:p w:rsidR="00C701C5" w:rsidRPr="00C701C5" w:rsidRDefault="00C701C5" w:rsidP="00C701C5">
      <w:pPr>
        <w:ind w:right="180"/>
        <w:rPr>
          <w:rFonts w:cs="Arial"/>
          <w:szCs w:val="22"/>
          <w:lang w:eastAsia="en-GB"/>
        </w:rPr>
      </w:pPr>
      <w:r w:rsidRPr="00C701C5">
        <w:rPr>
          <w:rFonts w:cs="Arial"/>
          <w:szCs w:val="22"/>
          <w:lang w:eastAsia="en-GB"/>
        </w:rPr>
        <w:t xml:space="preserve">Patient activity is reported on a monthly basis, both by month and year to date.  Data contained within the Performance Pack is primarily measured in episodes of care.  However, data is also captured to reflect the number of procedures being carried out by Board, by specialty.  This information is particularly relevant to referring Boards who are allocated activity and measure their activity/throughput at GJNH in numbers of procedures.  </w:t>
      </w:r>
    </w:p>
    <w:p w:rsidR="00C701C5" w:rsidRPr="00C701C5" w:rsidRDefault="00C701C5" w:rsidP="00C701C5">
      <w:pPr>
        <w:ind w:right="180"/>
        <w:rPr>
          <w:rFonts w:cs="Arial"/>
          <w:szCs w:val="22"/>
          <w:lang w:eastAsia="en-GB"/>
        </w:rPr>
      </w:pPr>
    </w:p>
    <w:p w:rsidR="00C701C5" w:rsidRPr="00C701C5" w:rsidRDefault="00C701C5" w:rsidP="00C701C5">
      <w:pPr>
        <w:ind w:right="180"/>
        <w:rPr>
          <w:rFonts w:cs="Arial"/>
          <w:szCs w:val="22"/>
          <w:lang w:eastAsia="en-GB"/>
        </w:rPr>
      </w:pPr>
      <w:r w:rsidRPr="00C701C5">
        <w:rPr>
          <w:rFonts w:cs="Arial"/>
          <w:szCs w:val="22"/>
          <w:lang w:eastAsia="en-GB"/>
        </w:rPr>
        <w:t>Appendix A to this document is provided for information purposes and reflects the number of patients treated against an annual plan of 18,314 (patients).</w:t>
      </w:r>
    </w:p>
    <w:p w:rsidR="00C701C5" w:rsidRPr="00C701C5" w:rsidRDefault="00C701C5" w:rsidP="00C701C5">
      <w:pPr>
        <w:ind w:right="180"/>
        <w:rPr>
          <w:rFonts w:cs="Arial"/>
          <w:szCs w:val="22"/>
          <w:lang w:eastAsia="en-GB"/>
        </w:rPr>
      </w:pPr>
    </w:p>
    <w:p w:rsidR="00C701C5" w:rsidRPr="00C701C5" w:rsidRDefault="00C701C5" w:rsidP="00C701C5">
      <w:pPr>
        <w:ind w:right="180"/>
        <w:rPr>
          <w:rFonts w:cs="Arial"/>
          <w:szCs w:val="22"/>
          <w:lang w:eastAsia="en-GB"/>
        </w:rPr>
      </w:pPr>
      <w:r w:rsidRPr="00C701C5">
        <w:rPr>
          <w:rFonts w:cs="Arial"/>
          <w:szCs w:val="22"/>
          <w:lang w:eastAsia="en-GB"/>
        </w:rPr>
        <w:t>Appendix B to this document is adjusted to represent theatre slots used (as opposed to numbers of patients) in both orthopaedic surgery and plastic surgery.  This allows us to more accurately reflect actual theatre utilisation and allows us to focus on maximising the theatre capacity that is available to us.</w:t>
      </w:r>
    </w:p>
    <w:p w:rsidR="00C701C5" w:rsidRPr="00C701C5" w:rsidRDefault="00C701C5" w:rsidP="00C701C5">
      <w:pPr>
        <w:ind w:right="180"/>
        <w:rPr>
          <w:rFonts w:cs="Arial"/>
          <w:szCs w:val="22"/>
          <w:lang w:eastAsia="en-GB"/>
        </w:rPr>
      </w:pPr>
    </w:p>
    <w:p w:rsidR="00C701C5" w:rsidRPr="00C701C5" w:rsidRDefault="00C701C5" w:rsidP="00C701C5">
      <w:pPr>
        <w:ind w:right="180"/>
        <w:rPr>
          <w:rFonts w:cs="Arial"/>
          <w:szCs w:val="22"/>
          <w:lang w:eastAsia="en-GB"/>
        </w:rPr>
      </w:pPr>
      <w:r w:rsidRPr="00C701C5">
        <w:rPr>
          <w:rFonts w:cs="Arial"/>
          <w:szCs w:val="22"/>
          <w:lang w:eastAsia="en-GB"/>
        </w:rPr>
        <w:t>Appendix C outlines the activity that was planned for the month of March prior to COVID related cancellations.</w:t>
      </w:r>
    </w:p>
    <w:p w:rsidR="00C701C5" w:rsidRPr="00C701C5" w:rsidRDefault="00C701C5" w:rsidP="00C701C5">
      <w:pPr>
        <w:ind w:right="180"/>
        <w:rPr>
          <w:rFonts w:cs="Arial"/>
          <w:szCs w:val="22"/>
          <w:lang w:eastAsia="en-GB"/>
        </w:rPr>
      </w:pPr>
    </w:p>
    <w:p w:rsidR="00C701C5" w:rsidRPr="00C701C5" w:rsidRDefault="00C701C5" w:rsidP="00C701C5">
      <w:pPr>
        <w:ind w:right="180"/>
        <w:rPr>
          <w:rFonts w:cs="Arial"/>
          <w:szCs w:val="22"/>
          <w:lang w:eastAsia="en-GB"/>
        </w:rPr>
      </w:pPr>
      <w:r w:rsidRPr="00C701C5">
        <w:rPr>
          <w:rFonts w:cs="Arial"/>
          <w:szCs w:val="22"/>
          <w:lang w:eastAsia="en-GB"/>
        </w:rPr>
        <w:t>This paper is intended to monitor and report on the national waiting times activity allocated to Boards across Scotland.  High level Regional Heart and Lung Centre activity is also provided for information purposes.  This activity is reported in more detail on the Divisional Performance and Planning Reports which are then summarised for presentation to the Board.</w:t>
      </w:r>
    </w:p>
    <w:p w:rsidR="00C701C5" w:rsidRPr="00C701C5" w:rsidRDefault="00C701C5" w:rsidP="00C701C5">
      <w:pPr>
        <w:ind w:right="180"/>
        <w:rPr>
          <w:rFonts w:cs="Arial"/>
          <w:szCs w:val="22"/>
          <w:lang w:eastAsia="en-GB"/>
        </w:rPr>
      </w:pPr>
    </w:p>
    <w:p w:rsidR="00C701C5" w:rsidRPr="00C701C5" w:rsidRDefault="00C701C5" w:rsidP="00C701C5">
      <w:pPr>
        <w:ind w:right="180"/>
        <w:rPr>
          <w:rFonts w:cs="Arial"/>
          <w:szCs w:val="22"/>
          <w:lang w:eastAsia="en-GB"/>
        </w:rPr>
      </w:pPr>
      <w:r w:rsidRPr="00C701C5">
        <w:rPr>
          <w:rFonts w:cs="Arial"/>
          <w:szCs w:val="22"/>
          <w:lang w:eastAsia="en-GB"/>
        </w:rPr>
        <w:t>Referring Boards receive a monthly monitoring document which provides a detailed breakdown of the number of patients referred, their complexity and the number of theatre slots used to treat them.</w:t>
      </w:r>
    </w:p>
    <w:p w:rsidR="00C701C5" w:rsidRPr="00C701C5" w:rsidRDefault="00C701C5" w:rsidP="00C701C5">
      <w:pPr>
        <w:ind w:right="180"/>
        <w:rPr>
          <w:rFonts w:cs="Arial"/>
          <w:szCs w:val="22"/>
          <w:lang w:eastAsia="en-GB"/>
        </w:rPr>
      </w:pPr>
    </w:p>
    <w:p w:rsidR="00C701C5" w:rsidRPr="00C701C5" w:rsidRDefault="00C701C5" w:rsidP="00C701C5">
      <w:pPr>
        <w:ind w:right="180"/>
        <w:rPr>
          <w:rFonts w:cs="Arial"/>
          <w:szCs w:val="22"/>
          <w:lang w:eastAsia="en-GB"/>
        </w:rPr>
      </w:pPr>
    </w:p>
    <w:p w:rsidR="00C701C5" w:rsidRPr="00C701C5" w:rsidRDefault="00C701C5" w:rsidP="00C701C5">
      <w:pPr>
        <w:ind w:right="180"/>
        <w:rPr>
          <w:rFonts w:cs="Arial"/>
          <w:szCs w:val="22"/>
          <w:lang w:eastAsia="en-GB"/>
        </w:rPr>
      </w:pPr>
    </w:p>
    <w:p w:rsidR="00C701C5" w:rsidRPr="00C701C5" w:rsidRDefault="00C701C5" w:rsidP="00C701C5">
      <w:pPr>
        <w:numPr>
          <w:ilvl w:val="0"/>
          <w:numId w:val="10"/>
        </w:numPr>
        <w:tabs>
          <w:tab w:val="num" w:pos="-360"/>
        </w:tabs>
        <w:ind w:left="-360" w:firstLine="0"/>
        <w:rPr>
          <w:rFonts w:cs="Arial"/>
          <w:b/>
          <w:szCs w:val="22"/>
          <w:lang w:eastAsia="en-GB"/>
        </w:rPr>
      </w:pPr>
      <w:r w:rsidRPr="00C701C5">
        <w:rPr>
          <w:rFonts w:cs="Arial"/>
          <w:b/>
          <w:szCs w:val="22"/>
          <w:lang w:eastAsia="en-GB"/>
        </w:rPr>
        <w:t>Operational Governance</w:t>
      </w:r>
    </w:p>
    <w:p w:rsidR="00C701C5" w:rsidRPr="00C701C5" w:rsidRDefault="00C701C5" w:rsidP="00C701C5">
      <w:pPr>
        <w:rPr>
          <w:rFonts w:cs="Arial"/>
          <w:b/>
          <w:szCs w:val="22"/>
          <w:lang w:eastAsia="en-GB"/>
        </w:rPr>
      </w:pPr>
    </w:p>
    <w:p w:rsidR="00C701C5" w:rsidRPr="00C701C5" w:rsidRDefault="00C701C5" w:rsidP="00C701C5">
      <w:pPr>
        <w:rPr>
          <w:rFonts w:cs="Arial"/>
          <w:b/>
          <w:szCs w:val="22"/>
          <w:lang w:eastAsia="en-GB"/>
        </w:rPr>
      </w:pPr>
      <w:r w:rsidRPr="00C701C5">
        <w:rPr>
          <w:rFonts w:cs="Arial"/>
          <w:b/>
          <w:szCs w:val="22"/>
          <w:lang w:eastAsia="en-GB"/>
        </w:rPr>
        <w:t>COVID-19 Pandemic</w:t>
      </w:r>
    </w:p>
    <w:p w:rsidR="00C701C5" w:rsidRPr="00C701C5" w:rsidRDefault="00C701C5" w:rsidP="00C701C5">
      <w:pPr>
        <w:rPr>
          <w:rFonts w:cs="Arial"/>
          <w:b/>
          <w:szCs w:val="22"/>
          <w:lang w:eastAsia="en-GB"/>
        </w:rPr>
      </w:pPr>
    </w:p>
    <w:p w:rsidR="00C701C5" w:rsidRPr="00C701C5" w:rsidRDefault="00C701C5" w:rsidP="00C701C5">
      <w:pPr>
        <w:rPr>
          <w:rFonts w:cs="Arial"/>
          <w:szCs w:val="22"/>
          <w:lang w:eastAsia="en-GB"/>
        </w:rPr>
      </w:pPr>
      <w:r w:rsidRPr="00C701C5">
        <w:rPr>
          <w:rFonts w:cs="Arial"/>
          <w:szCs w:val="22"/>
          <w:lang w:eastAsia="en-GB"/>
        </w:rPr>
        <w:t>Following a Scottish Government announcement, on 16</w:t>
      </w:r>
      <w:r w:rsidRPr="00C701C5">
        <w:rPr>
          <w:rFonts w:cs="Arial"/>
          <w:szCs w:val="22"/>
          <w:vertAlign w:val="superscript"/>
          <w:lang w:eastAsia="en-GB"/>
        </w:rPr>
        <w:t>th</w:t>
      </w:r>
      <w:r w:rsidRPr="00C701C5">
        <w:rPr>
          <w:rFonts w:cs="Arial"/>
          <w:szCs w:val="22"/>
          <w:lang w:eastAsia="en-GB"/>
        </w:rPr>
        <w:t xml:space="preserve"> March a decision was taken to cancel all elective surgery across the country.  The purpose of cancelling elective procedures was to ensure NHS Boards were in a state of readiness to manage the anticipated demand on beds for patients with COVID 19 over the coming weeks and months.  Consequently 703 elective surgery patients and 739 diagnostic imaging patients (associated to our service level agreements) were cancelled.</w:t>
      </w:r>
    </w:p>
    <w:p w:rsidR="00C701C5" w:rsidRPr="00C701C5" w:rsidRDefault="00C701C5" w:rsidP="00C701C5">
      <w:pPr>
        <w:rPr>
          <w:rFonts w:cs="Arial"/>
          <w:szCs w:val="22"/>
          <w:lang w:eastAsia="en-GB"/>
        </w:rPr>
      </w:pPr>
    </w:p>
    <w:p w:rsidR="00C701C5" w:rsidRPr="00C701C5" w:rsidRDefault="00C701C5" w:rsidP="00C701C5">
      <w:pPr>
        <w:rPr>
          <w:rFonts w:cs="Arial"/>
          <w:szCs w:val="22"/>
          <w:lang w:eastAsia="en-GB"/>
        </w:rPr>
      </w:pPr>
      <w:r w:rsidRPr="00C701C5">
        <w:rPr>
          <w:rFonts w:cs="Arial"/>
          <w:szCs w:val="22"/>
          <w:lang w:eastAsia="en-GB"/>
        </w:rPr>
        <w:t>Appendix B attached to this report outlines the actual activity carried out in March 2020 and Appendix C outlines the activity that was planned for the month of March prior to cancellations.</w:t>
      </w:r>
    </w:p>
    <w:p w:rsidR="00C701C5" w:rsidRPr="00C701C5" w:rsidRDefault="00C701C5" w:rsidP="00C701C5">
      <w:pPr>
        <w:ind w:left="-360"/>
        <w:rPr>
          <w:rFonts w:cs="Arial"/>
          <w:szCs w:val="22"/>
          <w:lang w:eastAsia="en-GB"/>
        </w:rPr>
      </w:pPr>
    </w:p>
    <w:p w:rsidR="00C701C5" w:rsidRPr="00C701C5" w:rsidRDefault="00C701C5" w:rsidP="00C701C5">
      <w:pPr>
        <w:ind w:left="-360"/>
        <w:rPr>
          <w:rFonts w:cs="Arial"/>
          <w:szCs w:val="22"/>
          <w:lang w:eastAsia="en-GB"/>
        </w:rPr>
      </w:pPr>
    </w:p>
    <w:p w:rsidR="00C701C5" w:rsidRPr="00C701C5" w:rsidRDefault="00C701C5" w:rsidP="00C701C5">
      <w:pPr>
        <w:ind w:left="-360"/>
        <w:rPr>
          <w:rFonts w:cs="Arial"/>
          <w:szCs w:val="22"/>
          <w:lang w:eastAsia="en-GB"/>
        </w:rPr>
      </w:pPr>
    </w:p>
    <w:p w:rsidR="00C701C5" w:rsidRPr="00C701C5" w:rsidRDefault="00C701C5" w:rsidP="00C701C5">
      <w:pPr>
        <w:rPr>
          <w:rFonts w:cs="Arial"/>
          <w:b/>
          <w:szCs w:val="22"/>
          <w:lang w:eastAsia="en-GB"/>
        </w:rPr>
      </w:pPr>
      <w:r w:rsidRPr="00C701C5">
        <w:rPr>
          <w:rFonts w:cs="Arial"/>
          <w:b/>
          <w:szCs w:val="22"/>
          <w:lang w:eastAsia="en-GB"/>
        </w:rPr>
        <w:t>In Patient/Day Case/Diagnostic Imaging Activity Analysis March 2020 (Appendix B – actual, after COVID-19 cancellations)</w:t>
      </w:r>
    </w:p>
    <w:p w:rsidR="00C701C5" w:rsidRPr="00C701C5" w:rsidRDefault="00C701C5" w:rsidP="00C701C5">
      <w:pPr>
        <w:rPr>
          <w:rFonts w:cs="Arial"/>
          <w:b/>
          <w:szCs w:val="22"/>
          <w:lang w:eastAsia="en-GB"/>
        </w:rPr>
      </w:pPr>
    </w:p>
    <w:p w:rsidR="00C701C5" w:rsidRPr="00C701C5" w:rsidRDefault="00C701C5" w:rsidP="00C701C5">
      <w:pPr>
        <w:rPr>
          <w:rFonts w:cs="Arial"/>
          <w:szCs w:val="22"/>
          <w:lang w:eastAsia="en-GB"/>
        </w:rPr>
      </w:pPr>
      <w:r w:rsidRPr="00C701C5">
        <w:rPr>
          <w:rFonts w:cs="Arial"/>
          <w:szCs w:val="22"/>
          <w:lang w:eastAsia="en-GB"/>
        </w:rPr>
        <w:t xml:space="preserve">After COVID-19 related cancellations, inpatient/day case procedures in March, measured against a projection of 18,314 (excluding cardiothoracic/cardiology activity) was 41.8% behind plan by for the month of March and 6.1% behind the year to date plan. </w:t>
      </w:r>
    </w:p>
    <w:p w:rsidR="00C701C5" w:rsidRPr="00C701C5" w:rsidRDefault="00C701C5" w:rsidP="00C701C5">
      <w:pPr>
        <w:rPr>
          <w:rFonts w:cs="Arial"/>
          <w:szCs w:val="22"/>
          <w:lang w:eastAsia="en-GB"/>
        </w:rPr>
      </w:pPr>
    </w:p>
    <w:p w:rsidR="00C701C5" w:rsidRPr="00C701C5" w:rsidRDefault="00C701C5" w:rsidP="00C701C5">
      <w:pPr>
        <w:rPr>
          <w:rFonts w:cs="Arial"/>
          <w:szCs w:val="22"/>
          <w:lang w:eastAsia="en-GB"/>
        </w:rPr>
      </w:pPr>
      <w:r w:rsidRPr="00C701C5">
        <w:rPr>
          <w:rFonts w:cs="Arial"/>
          <w:szCs w:val="22"/>
          <w:lang w:eastAsia="en-GB"/>
        </w:rPr>
        <w:lastRenderedPageBreak/>
        <w:t xml:space="preserve">Measured against a total activity projection of 61,734, the combined inpatient/day case and imaging activity, at the end of March activity was behind the full year plan by 3.1% when adjusted to reflect complexity (Appendix B). </w:t>
      </w:r>
    </w:p>
    <w:p w:rsidR="00C701C5" w:rsidRPr="00C701C5" w:rsidRDefault="00C701C5" w:rsidP="00C701C5">
      <w:pPr>
        <w:ind w:left="-360"/>
        <w:rPr>
          <w:rFonts w:cs="Arial"/>
          <w:szCs w:val="22"/>
          <w:lang w:eastAsia="en-GB"/>
        </w:rPr>
      </w:pPr>
    </w:p>
    <w:p w:rsidR="00C701C5" w:rsidRPr="00C701C5" w:rsidRDefault="00C701C5" w:rsidP="00C701C5">
      <w:pPr>
        <w:ind w:left="-360"/>
        <w:rPr>
          <w:rFonts w:cs="Arial"/>
          <w:szCs w:val="22"/>
          <w:lang w:eastAsia="en-GB"/>
        </w:rPr>
      </w:pPr>
    </w:p>
    <w:p w:rsidR="00C701C5" w:rsidRPr="00C701C5" w:rsidRDefault="00C701C5" w:rsidP="00C701C5">
      <w:pPr>
        <w:rPr>
          <w:rFonts w:cs="Arial"/>
          <w:b/>
          <w:szCs w:val="22"/>
          <w:lang w:eastAsia="en-GB"/>
        </w:rPr>
      </w:pPr>
      <w:r w:rsidRPr="00C701C5">
        <w:rPr>
          <w:rFonts w:cs="Arial"/>
          <w:b/>
          <w:szCs w:val="22"/>
          <w:lang w:eastAsia="en-GB"/>
        </w:rPr>
        <w:t>In Patient/Day Case/Diagnostic Imaging Activity Analysis March 2020 (Appendix C – prior to COVID-19 cancellations)</w:t>
      </w:r>
    </w:p>
    <w:p w:rsidR="00C701C5" w:rsidRPr="00C701C5" w:rsidRDefault="00C701C5" w:rsidP="00C701C5">
      <w:pPr>
        <w:ind w:left="-360" w:firstLine="360"/>
        <w:rPr>
          <w:rFonts w:cs="Arial"/>
          <w:b/>
          <w:szCs w:val="22"/>
          <w:lang w:eastAsia="en-GB"/>
        </w:rPr>
      </w:pPr>
    </w:p>
    <w:p w:rsidR="00C701C5" w:rsidRPr="00C701C5" w:rsidRDefault="00C701C5" w:rsidP="00C701C5">
      <w:pPr>
        <w:rPr>
          <w:rFonts w:cs="Arial"/>
          <w:szCs w:val="22"/>
          <w:lang w:eastAsia="en-GB"/>
        </w:rPr>
      </w:pPr>
      <w:r w:rsidRPr="00C701C5">
        <w:rPr>
          <w:rFonts w:cs="Arial"/>
          <w:szCs w:val="22"/>
          <w:lang w:eastAsia="en-GB"/>
        </w:rPr>
        <w:t>Had activity gone ahead as planned: measured against a total activity projection of 61,734, the combined inpatient/day case and imaging activity at the year end would have been 0.6% behind plan when adjusted to reflect complexity (Appendix C).</w:t>
      </w:r>
    </w:p>
    <w:p w:rsidR="00C701C5" w:rsidRPr="00C701C5" w:rsidRDefault="00C701C5" w:rsidP="00C701C5">
      <w:pPr>
        <w:ind w:left="-360"/>
        <w:rPr>
          <w:rFonts w:cs="Arial"/>
          <w:b/>
          <w:szCs w:val="22"/>
          <w:lang w:eastAsia="en-GB"/>
        </w:rPr>
      </w:pPr>
    </w:p>
    <w:p w:rsidR="00C701C5" w:rsidRPr="00C701C5" w:rsidRDefault="00C701C5" w:rsidP="00C701C5">
      <w:pPr>
        <w:ind w:left="-360"/>
        <w:rPr>
          <w:rFonts w:cs="Arial"/>
          <w:b/>
          <w:szCs w:val="22"/>
          <w:lang w:eastAsia="en-GB"/>
        </w:rPr>
      </w:pPr>
    </w:p>
    <w:p w:rsidR="00C701C5" w:rsidRPr="00C701C5" w:rsidRDefault="00C701C5" w:rsidP="00C701C5">
      <w:pPr>
        <w:numPr>
          <w:ilvl w:val="0"/>
          <w:numId w:val="10"/>
        </w:numPr>
        <w:tabs>
          <w:tab w:val="num" w:pos="0"/>
        </w:tabs>
        <w:ind w:left="-360" w:firstLine="0"/>
        <w:rPr>
          <w:rFonts w:cs="Arial"/>
          <w:b/>
          <w:szCs w:val="22"/>
          <w:lang w:eastAsia="en-GB"/>
        </w:rPr>
      </w:pPr>
      <w:r w:rsidRPr="00C701C5">
        <w:rPr>
          <w:rFonts w:cs="Arial"/>
          <w:b/>
          <w:szCs w:val="22"/>
          <w:lang w:eastAsia="en-GB"/>
        </w:rPr>
        <w:t>Analysis of Performance Against Plan at End March 2020</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r w:rsidRPr="00C701C5">
        <w:rPr>
          <w:rFonts w:cs="Arial"/>
          <w:szCs w:val="22"/>
        </w:rPr>
        <w:t xml:space="preserve">As expected, due to COVID-19 cancellations all elective services fell short of the anticipated plan.  Throughout the year there have been many challenged which affected performance including the impact of pension arrangements for consultants, prolonged periods of sickness absence in some consultant groups, upgrade of orthopaedic theatres in Q1 and floods in Q4.  </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r w:rsidRPr="00C701C5">
        <w:rPr>
          <w:rFonts w:cs="Arial"/>
          <w:szCs w:val="22"/>
        </w:rPr>
        <w:t>The Divisional teams focussed on recovering activity shortfalls accumulated in the first half of the year.  Some joint appointments and improved working practices were implemented through the year resulting in significant performance improvements in some specialties e.g. Ophthalmology and Orthopaedics.  It was therefore particularly disappointing to end the year behind the full year plan.</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r w:rsidRPr="00C701C5">
        <w:rPr>
          <w:rFonts w:cs="Arial"/>
          <w:szCs w:val="22"/>
        </w:rPr>
        <w:t xml:space="preserve">Diagnostic Imaging activity was significantly behind plan in the middle of the year due to consultant availability to read examinations.  An external provider was sourced to supplement the shortfall in service.  Recovery plans were put in place and would have been realised by the end of March 2020 had there been no COVID related cancellations.  </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p>
    <w:p w:rsidR="00C701C5" w:rsidRPr="00C701C5" w:rsidRDefault="00C701C5" w:rsidP="00C701C5">
      <w:pPr>
        <w:numPr>
          <w:ilvl w:val="0"/>
          <w:numId w:val="10"/>
        </w:numPr>
        <w:tabs>
          <w:tab w:val="num" w:pos="0"/>
        </w:tabs>
        <w:ind w:right="-360" w:hanging="786"/>
        <w:rPr>
          <w:rFonts w:cs="Arial"/>
          <w:b/>
          <w:szCs w:val="22"/>
        </w:rPr>
      </w:pPr>
      <w:r w:rsidRPr="00C701C5">
        <w:rPr>
          <w:rFonts w:cs="Arial"/>
          <w:b/>
          <w:szCs w:val="22"/>
        </w:rPr>
        <w:t>Ophthalmology/Synaptik</w:t>
      </w:r>
    </w:p>
    <w:p w:rsidR="00C701C5" w:rsidRPr="00C701C5" w:rsidRDefault="00C701C5" w:rsidP="00C701C5">
      <w:pPr>
        <w:ind w:right="-360"/>
        <w:rPr>
          <w:rFonts w:cs="Arial"/>
          <w:szCs w:val="22"/>
        </w:rPr>
      </w:pPr>
    </w:p>
    <w:p w:rsidR="00C701C5" w:rsidRPr="00C701C5" w:rsidRDefault="00C701C5" w:rsidP="00C701C5">
      <w:pPr>
        <w:spacing w:after="100" w:afterAutospacing="1"/>
        <w:rPr>
          <w:rFonts w:eastAsiaTheme="minorHAnsi" w:cs="Arial"/>
          <w:szCs w:val="22"/>
        </w:rPr>
      </w:pPr>
      <w:r w:rsidRPr="00C701C5">
        <w:rPr>
          <w:rFonts w:eastAsiaTheme="minorHAnsi" w:cs="Arial"/>
          <w:szCs w:val="22"/>
        </w:rPr>
        <w:t xml:space="preserve">Engagement with GJNH, Scottish Government Access Support Team and Synaptik representatives began in early September 2019 to discuss the potential for clinical teams, provided by Synaptik, to carry our cataract surgery in the GJNH Mobile Vanguard Unit over weekends. </w:t>
      </w:r>
    </w:p>
    <w:p w:rsidR="00C701C5" w:rsidRPr="00C701C5" w:rsidRDefault="00C701C5" w:rsidP="00C701C5">
      <w:pPr>
        <w:spacing w:after="100" w:afterAutospacing="1"/>
        <w:rPr>
          <w:rFonts w:eastAsiaTheme="minorHAnsi" w:cs="Arial"/>
          <w:szCs w:val="22"/>
        </w:rPr>
      </w:pPr>
      <w:r w:rsidRPr="00C701C5">
        <w:rPr>
          <w:rFonts w:eastAsiaTheme="minorHAnsi" w:cs="Arial"/>
          <w:szCs w:val="22"/>
        </w:rPr>
        <w:t>The Synaptik consultants were supported by the GJNH booking office team, waiting list and admin staff.  The clinical team was supplemented by GJNH theatre staff.  Activity commenced on 18th October 2019 and a total of an additional 865 cataracts were delivered by16th March 2020.  This activity is not included in the GJNH Activity Analysis routinely submitted to the Board (Appendix B).</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p>
    <w:p w:rsidR="00C701C5" w:rsidRPr="00C701C5" w:rsidRDefault="00C701C5" w:rsidP="00C701C5">
      <w:pPr>
        <w:numPr>
          <w:ilvl w:val="0"/>
          <w:numId w:val="10"/>
        </w:numPr>
        <w:ind w:left="0" w:right="-360" w:hanging="426"/>
        <w:rPr>
          <w:rFonts w:cs="Arial"/>
          <w:b/>
          <w:szCs w:val="22"/>
        </w:rPr>
      </w:pPr>
      <w:r w:rsidRPr="00C701C5">
        <w:rPr>
          <w:rFonts w:cs="Arial"/>
          <w:b/>
          <w:szCs w:val="22"/>
        </w:rPr>
        <w:t>Performance 2018/19 vs 2019/20 Activity</w:t>
      </w:r>
    </w:p>
    <w:p w:rsidR="00C701C5" w:rsidRPr="00C701C5" w:rsidRDefault="00C701C5" w:rsidP="00C701C5">
      <w:pPr>
        <w:ind w:left="720" w:right="-360"/>
        <w:rPr>
          <w:rFonts w:cs="Arial"/>
          <w:b/>
          <w:szCs w:val="22"/>
        </w:rPr>
      </w:pPr>
    </w:p>
    <w:p w:rsidR="00C701C5" w:rsidRPr="00C701C5" w:rsidRDefault="00C701C5" w:rsidP="00C701C5">
      <w:pPr>
        <w:ind w:right="-360"/>
        <w:rPr>
          <w:rFonts w:cs="Arial"/>
          <w:szCs w:val="22"/>
        </w:rPr>
      </w:pPr>
      <w:r w:rsidRPr="00C701C5">
        <w:rPr>
          <w:rFonts w:cs="Arial"/>
          <w:szCs w:val="22"/>
        </w:rPr>
        <w:t xml:space="preserve">Despite the disappointing impact of cancelling elective surgery and diagnostic imaging examinations, as demonstrated below, activity remained high in comparison the previous year.  </w:t>
      </w:r>
    </w:p>
    <w:p w:rsidR="00C701C5" w:rsidRPr="00C701C5" w:rsidRDefault="00C701C5" w:rsidP="00C701C5">
      <w:pPr>
        <w:ind w:right="-360"/>
        <w:rPr>
          <w:rFonts w:cs="Arial"/>
          <w:szCs w:val="22"/>
        </w:rPr>
      </w:pPr>
    </w:p>
    <w:tbl>
      <w:tblPr>
        <w:tblStyle w:val="TableGrid3"/>
        <w:tblW w:w="0" w:type="auto"/>
        <w:tblInd w:w="108" w:type="dxa"/>
        <w:tblLook w:val="04A0" w:firstRow="1" w:lastRow="0" w:firstColumn="1" w:lastColumn="0" w:noHBand="0" w:noVBand="1"/>
      </w:tblPr>
      <w:tblGrid>
        <w:gridCol w:w="2300"/>
        <w:gridCol w:w="1984"/>
        <w:gridCol w:w="1941"/>
      </w:tblGrid>
      <w:tr w:rsidR="00C701C5" w:rsidRPr="00C701C5" w:rsidTr="00F55C75">
        <w:tc>
          <w:tcPr>
            <w:tcW w:w="2300" w:type="dxa"/>
          </w:tcPr>
          <w:p w:rsidR="00C701C5" w:rsidRPr="00C701C5" w:rsidRDefault="00C701C5" w:rsidP="00C701C5">
            <w:pPr>
              <w:ind w:left="-362" w:right="-360"/>
              <w:rPr>
                <w:rFonts w:cs="Arial"/>
                <w:szCs w:val="22"/>
              </w:rPr>
            </w:pPr>
          </w:p>
        </w:tc>
        <w:tc>
          <w:tcPr>
            <w:tcW w:w="1984" w:type="dxa"/>
          </w:tcPr>
          <w:p w:rsidR="00C701C5" w:rsidRPr="00C701C5" w:rsidRDefault="00C701C5" w:rsidP="00C701C5">
            <w:pPr>
              <w:ind w:right="-360"/>
              <w:rPr>
                <w:rFonts w:cs="Arial"/>
                <w:b/>
                <w:szCs w:val="22"/>
              </w:rPr>
            </w:pPr>
            <w:r w:rsidRPr="00C701C5">
              <w:rPr>
                <w:rFonts w:cs="Arial"/>
                <w:b/>
                <w:szCs w:val="22"/>
              </w:rPr>
              <w:t>2018/19 Activity</w:t>
            </w:r>
          </w:p>
        </w:tc>
        <w:tc>
          <w:tcPr>
            <w:tcW w:w="1941" w:type="dxa"/>
          </w:tcPr>
          <w:p w:rsidR="00C701C5" w:rsidRPr="00C701C5" w:rsidRDefault="00C701C5" w:rsidP="00C701C5">
            <w:pPr>
              <w:ind w:right="-360"/>
              <w:rPr>
                <w:rFonts w:cs="Arial"/>
                <w:b/>
                <w:szCs w:val="22"/>
              </w:rPr>
            </w:pPr>
            <w:r w:rsidRPr="00C701C5">
              <w:rPr>
                <w:rFonts w:cs="Arial"/>
                <w:b/>
                <w:szCs w:val="22"/>
              </w:rPr>
              <w:t>2019/20 Activity</w:t>
            </w:r>
          </w:p>
        </w:tc>
      </w:tr>
      <w:tr w:rsidR="00C701C5" w:rsidRPr="00C701C5" w:rsidTr="00F55C75">
        <w:tc>
          <w:tcPr>
            <w:tcW w:w="2300" w:type="dxa"/>
          </w:tcPr>
          <w:p w:rsidR="00C701C5" w:rsidRPr="00C701C5" w:rsidRDefault="00C701C5" w:rsidP="00C701C5">
            <w:pPr>
              <w:ind w:right="-360"/>
              <w:rPr>
                <w:rFonts w:cs="Arial"/>
                <w:b/>
                <w:szCs w:val="22"/>
              </w:rPr>
            </w:pPr>
            <w:r w:rsidRPr="00C701C5">
              <w:rPr>
                <w:rFonts w:cs="Arial"/>
                <w:b/>
                <w:szCs w:val="22"/>
              </w:rPr>
              <w:t>IP/DC Procedures</w:t>
            </w:r>
          </w:p>
        </w:tc>
        <w:tc>
          <w:tcPr>
            <w:tcW w:w="1984" w:type="dxa"/>
          </w:tcPr>
          <w:p w:rsidR="00C701C5" w:rsidRPr="00C701C5" w:rsidRDefault="00C701C5" w:rsidP="00C701C5">
            <w:pPr>
              <w:ind w:right="-360"/>
              <w:rPr>
                <w:rFonts w:cs="Arial"/>
                <w:szCs w:val="22"/>
              </w:rPr>
            </w:pPr>
            <w:r w:rsidRPr="00C701C5">
              <w:rPr>
                <w:rFonts w:cs="Arial"/>
                <w:szCs w:val="22"/>
              </w:rPr>
              <w:t>17,320</w:t>
            </w:r>
          </w:p>
        </w:tc>
        <w:tc>
          <w:tcPr>
            <w:tcW w:w="1941" w:type="dxa"/>
          </w:tcPr>
          <w:p w:rsidR="00C701C5" w:rsidRPr="00C701C5" w:rsidRDefault="00C701C5" w:rsidP="00C701C5">
            <w:pPr>
              <w:ind w:right="-360"/>
              <w:rPr>
                <w:rFonts w:cs="Arial"/>
                <w:szCs w:val="22"/>
              </w:rPr>
            </w:pPr>
            <w:r w:rsidRPr="00C701C5">
              <w:rPr>
                <w:rFonts w:cs="Arial"/>
                <w:szCs w:val="22"/>
              </w:rPr>
              <w:t>17,206</w:t>
            </w:r>
          </w:p>
        </w:tc>
      </w:tr>
      <w:tr w:rsidR="00C701C5" w:rsidRPr="00C701C5" w:rsidTr="00F55C75">
        <w:tc>
          <w:tcPr>
            <w:tcW w:w="2300" w:type="dxa"/>
          </w:tcPr>
          <w:p w:rsidR="00C701C5" w:rsidRPr="00C701C5" w:rsidRDefault="00C701C5" w:rsidP="00C701C5">
            <w:pPr>
              <w:ind w:right="-360"/>
              <w:rPr>
                <w:rFonts w:cs="Arial"/>
                <w:b/>
                <w:szCs w:val="22"/>
              </w:rPr>
            </w:pPr>
            <w:r w:rsidRPr="00C701C5">
              <w:rPr>
                <w:rFonts w:cs="Arial"/>
                <w:b/>
                <w:szCs w:val="22"/>
              </w:rPr>
              <w:t>Imaging</w:t>
            </w:r>
          </w:p>
        </w:tc>
        <w:tc>
          <w:tcPr>
            <w:tcW w:w="1984" w:type="dxa"/>
          </w:tcPr>
          <w:p w:rsidR="00C701C5" w:rsidRPr="00C701C5" w:rsidRDefault="00C701C5" w:rsidP="00C701C5">
            <w:pPr>
              <w:ind w:right="-360"/>
              <w:rPr>
                <w:rFonts w:cs="Arial"/>
                <w:szCs w:val="22"/>
              </w:rPr>
            </w:pPr>
            <w:r w:rsidRPr="00C701C5">
              <w:rPr>
                <w:rFonts w:cs="Arial"/>
                <w:szCs w:val="22"/>
              </w:rPr>
              <w:t>35,275</w:t>
            </w:r>
          </w:p>
        </w:tc>
        <w:tc>
          <w:tcPr>
            <w:tcW w:w="1941" w:type="dxa"/>
          </w:tcPr>
          <w:p w:rsidR="00C701C5" w:rsidRPr="00C701C5" w:rsidRDefault="00C701C5" w:rsidP="00C701C5">
            <w:pPr>
              <w:ind w:right="-360"/>
              <w:rPr>
                <w:rFonts w:cs="Arial"/>
                <w:szCs w:val="22"/>
              </w:rPr>
            </w:pPr>
            <w:r w:rsidRPr="00C701C5">
              <w:rPr>
                <w:rFonts w:cs="Arial"/>
                <w:szCs w:val="22"/>
              </w:rPr>
              <w:t>42,621</w:t>
            </w:r>
          </w:p>
        </w:tc>
      </w:tr>
      <w:tr w:rsidR="00C701C5" w:rsidRPr="00C701C5" w:rsidTr="00F55C75">
        <w:tc>
          <w:tcPr>
            <w:tcW w:w="2300" w:type="dxa"/>
          </w:tcPr>
          <w:p w:rsidR="00C701C5" w:rsidRPr="00C701C5" w:rsidRDefault="00C701C5" w:rsidP="00C701C5">
            <w:pPr>
              <w:ind w:right="-360"/>
              <w:rPr>
                <w:rFonts w:cs="Arial"/>
                <w:b/>
                <w:szCs w:val="22"/>
              </w:rPr>
            </w:pPr>
            <w:r w:rsidRPr="00C701C5">
              <w:rPr>
                <w:rFonts w:cs="Arial"/>
                <w:b/>
                <w:szCs w:val="22"/>
              </w:rPr>
              <w:t>Total</w:t>
            </w:r>
          </w:p>
        </w:tc>
        <w:tc>
          <w:tcPr>
            <w:tcW w:w="1984" w:type="dxa"/>
          </w:tcPr>
          <w:p w:rsidR="00C701C5" w:rsidRPr="00C701C5" w:rsidRDefault="00C701C5" w:rsidP="00C701C5">
            <w:pPr>
              <w:ind w:right="-360"/>
              <w:rPr>
                <w:rFonts w:cs="Arial"/>
                <w:szCs w:val="22"/>
              </w:rPr>
            </w:pPr>
            <w:r w:rsidRPr="00C701C5">
              <w:rPr>
                <w:rFonts w:cs="Arial"/>
                <w:szCs w:val="22"/>
              </w:rPr>
              <w:t>52,595</w:t>
            </w:r>
          </w:p>
        </w:tc>
        <w:tc>
          <w:tcPr>
            <w:tcW w:w="1941" w:type="dxa"/>
          </w:tcPr>
          <w:p w:rsidR="00C701C5" w:rsidRPr="00C701C5" w:rsidRDefault="00C701C5" w:rsidP="00C701C5">
            <w:pPr>
              <w:ind w:right="-360"/>
              <w:rPr>
                <w:rFonts w:cs="Arial"/>
                <w:szCs w:val="22"/>
              </w:rPr>
            </w:pPr>
            <w:r w:rsidRPr="00C701C5">
              <w:rPr>
                <w:rFonts w:cs="Arial"/>
                <w:szCs w:val="22"/>
              </w:rPr>
              <w:t>59,827</w:t>
            </w:r>
          </w:p>
        </w:tc>
      </w:tr>
    </w:tbl>
    <w:p w:rsidR="00C701C5" w:rsidRPr="00C701C5" w:rsidRDefault="00C701C5" w:rsidP="00C701C5">
      <w:pPr>
        <w:ind w:right="-360"/>
        <w:rPr>
          <w:rFonts w:cs="Arial"/>
          <w:szCs w:val="22"/>
        </w:rPr>
      </w:pPr>
    </w:p>
    <w:p w:rsidR="00C701C5" w:rsidRPr="00C701C5" w:rsidRDefault="00C701C5" w:rsidP="00C701C5">
      <w:pPr>
        <w:ind w:right="-360"/>
        <w:rPr>
          <w:rFonts w:cs="Arial"/>
          <w:szCs w:val="22"/>
        </w:rPr>
      </w:pPr>
      <w:r w:rsidRPr="00C701C5">
        <w:rPr>
          <w:rFonts w:cs="Arial"/>
          <w:szCs w:val="22"/>
        </w:rPr>
        <w:lastRenderedPageBreak/>
        <w:t>Despite 703 COVID-19 related cancellations, activity in 2019/20 was only 0.6% lower than the previous year.</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r w:rsidRPr="00C701C5">
        <w:rPr>
          <w:rFonts w:cs="Arial"/>
          <w:szCs w:val="22"/>
        </w:rPr>
        <w:t>After 739 COVID-19 related diagnostic imaging cancellation, activity in 2019/20 was 20.8% higher than the previous year.</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r w:rsidRPr="00C701C5">
        <w:rPr>
          <w:rFonts w:cs="Arial"/>
          <w:szCs w:val="22"/>
        </w:rPr>
        <w:t>Collectively, in total 2019/20 activity was 13.7% higher than the previous year.</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p>
    <w:p w:rsidR="00C701C5" w:rsidRPr="00C701C5" w:rsidRDefault="00C701C5" w:rsidP="00C701C5">
      <w:pPr>
        <w:numPr>
          <w:ilvl w:val="0"/>
          <w:numId w:val="10"/>
        </w:numPr>
        <w:ind w:left="0" w:right="-360" w:hanging="426"/>
        <w:rPr>
          <w:rFonts w:cs="Arial"/>
          <w:b/>
          <w:szCs w:val="22"/>
        </w:rPr>
      </w:pPr>
      <w:r w:rsidRPr="00C701C5">
        <w:rPr>
          <w:rFonts w:cs="Arial"/>
          <w:b/>
          <w:szCs w:val="22"/>
        </w:rPr>
        <w:t>Current Situation</w:t>
      </w:r>
    </w:p>
    <w:p w:rsidR="00C701C5" w:rsidRPr="00C701C5" w:rsidRDefault="00C701C5" w:rsidP="00C701C5">
      <w:pPr>
        <w:ind w:left="720" w:right="-360"/>
        <w:rPr>
          <w:rFonts w:cs="Arial"/>
          <w:b/>
          <w:szCs w:val="22"/>
        </w:rPr>
      </w:pPr>
    </w:p>
    <w:p w:rsidR="00C701C5" w:rsidRPr="00C701C5" w:rsidRDefault="00C701C5" w:rsidP="00C701C5">
      <w:pPr>
        <w:ind w:right="-360"/>
        <w:rPr>
          <w:rFonts w:cs="Arial"/>
          <w:szCs w:val="22"/>
        </w:rPr>
      </w:pPr>
      <w:r w:rsidRPr="00C701C5">
        <w:rPr>
          <w:rFonts w:cs="Arial"/>
          <w:szCs w:val="22"/>
        </w:rPr>
        <w:t>As we progressed towards the peak of the pandemic, GJNH engaged with a number of NHS Boards offering to provide theatre and ward capacity to carry out urgent cancer procedures.  This involved a significant amount of collaboration and multidisciplinary interaction across a number of Boards and a number of specialties.  Standard Operating Procedures have been established and approval to commence surgery was achieved.  Feedback to date, has been that this has been a positive experience for both the patients and the visiting surgeons.</w:t>
      </w:r>
    </w:p>
    <w:p w:rsidR="00C701C5" w:rsidRPr="00C701C5" w:rsidRDefault="00C701C5" w:rsidP="00C701C5">
      <w:pPr>
        <w:ind w:right="-360"/>
        <w:rPr>
          <w:rFonts w:cs="Arial"/>
          <w:szCs w:val="22"/>
        </w:rPr>
      </w:pPr>
    </w:p>
    <w:p w:rsidR="00C701C5" w:rsidRPr="00C701C5" w:rsidRDefault="00C701C5" w:rsidP="00C701C5">
      <w:pPr>
        <w:ind w:right="-360"/>
        <w:rPr>
          <w:rFonts w:cs="Arial"/>
          <w:szCs w:val="22"/>
        </w:rPr>
      </w:pPr>
      <w:r w:rsidRPr="00C701C5">
        <w:rPr>
          <w:rFonts w:cs="Arial"/>
          <w:szCs w:val="22"/>
        </w:rPr>
        <w:t>A Recovery Plan is being formulated for submission to the Scottish Government which will describe progressively working towards reinstating elective services at GJNH, however it will continue to offer support for cancer surgery.  It is very likely that the Service Level Agreements that are currently in place with NHS Boards across Scotland for elective surgery and diagnostic imaging will be discontinued in their current form.  A new plan will be developed against which a new performance monitoring process will apply.</w:t>
      </w:r>
    </w:p>
    <w:p w:rsidR="00C701C5" w:rsidRPr="00C701C5" w:rsidRDefault="00C701C5" w:rsidP="00C701C5">
      <w:pPr>
        <w:ind w:left="720" w:right="-360"/>
        <w:rPr>
          <w:rFonts w:cs="Arial"/>
          <w:b/>
          <w:szCs w:val="22"/>
        </w:rPr>
      </w:pPr>
    </w:p>
    <w:p w:rsidR="00C701C5" w:rsidRPr="00C701C5" w:rsidRDefault="00C701C5" w:rsidP="00C701C5">
      <w:pPr>
        <w:ind w:right="-360"/>
        <w:rPr>
          <w:rFonts w:cs="Arial"/>
          <w:szCs w:val="22"/>
        </w:rPr>
      </w:pPr>
      <w:r w:rsidRPr="00C701C5">
        <w:rPr>
          <w:rFonts w:cs="Arial"/>
          <w:b/>
          <w:szCs w:val="22"/>
        </w:rPr>
        <w:t>June Rogers</w:t>
      </w:r>
    </w:p>
    <w:p w:rsidR="00C701C5" w:rsidRPr="00C701C5" w:rsidRDefault="00C701C5" w:rsidP="00C701C5">
      <w:pPr>
        <w:ind w:right="-360"/>
        <w:rPr>
          <w:rFonts w:cs="Arial"/>
          <w:b/>
          <w:szCs w:val="22"/>
        </w:rPr>
      </w:pPr>
      <w:r w:rsidRPr="00C701C5">
        <w:rPr>
          <w:rFonts w:cs="Arial"/>
          <w:b/>
          <w:szCs w:val="22"/>
        </w:rPr>
        <w:t xml:space="preserve">Director of Operations </w:t>
      </w:r>
    </w:p>
    <w:p w:rsidR="00C701C5" w:rsidRPr="00C701C5" w:rsidRDefault="00C701C5" w:rsidP="00C701C5">
      <w:pPr>
        <w:ind w:right="-360"/>
        <w:rPr>
          <w:rFonts w:cs="Arial"/>
          <w:b/>
          <w:szCs w:val="22"/>
        </w:rPr>
      </w:pPr>
    </w:p>
    <w:p w:rsidR="00C701C5" w:rsidRPr="00C701C5" w:rsidRDefault="00C701C5" w:rsidP="00C701C5">
      <w:pPr>
        <w:ind w:right="-360"/>
        <w:rPr>
          <w:rFonts w:cs="Arial"/>
          <w:b/>
          <w:szCs w:val="22"/>
        </w:rPr>
      </w:pPr>
      <w:r w:rsidRPr="00C701C5">
        <w:rPr>
          <w:rFonts w:cs="Arial"/>
          <w:b/>
          <w:szCs w:val="22"/>
        </w:rPr>
        <w:t>21</w:t>
      </w:r>
      <w:r w:rsidRPr="00C701C5">
        <w:rPr>
          <w:rFonts w:cs="Arial"/>
          <w:b/>
          <w:szCs w:val="22"/>
          <w:vertAlign w:val="superscript"/>
        </w:rPr>
        <w:t>st</w:t>
      </w:r>
      <w:r w:rsidRPr="00C701C5">
        <w:rPr>
          <w:rFonts w:cs="Arial"/>
          <w:b/>
          <w:szCs w:val="22"/>
        </w:rPr>
        <w:t xml:space="preserve"> May 2020</w:t>
      </w:r>
    </w:p>
    <w:p w:rsidR="00C701C5" w:rsidRDefault="00C701C5" w:rsidP="007F4702">
      <w:pPr>
        <w:rPr>
          <w:rFonts w:cs="Arial"/>
          <w:b/>
          <w:bCs/>
          <w:noProof/>
          <w:kern w:val="32"/>
          <w:sz w:val="28"/>
          <w:szCs w:val="28"/>
          <w:u w:val="single"/>
          <w:lang w:eastAsia="en-GB"/>
        </w:rPr>
      </w:pPr>
    </w:p>
    <w:p w:rsidR="00C701C5" w:rsidRPr="00992C82" w:rsidRDefault="009A2950" w:rsidP="007F4702">
      <w:pPr>
        <w:rPr>
          <w:rFonts w:cs="Arial"/>
          <w:b/>
          <w:bCs/>
          <w:noProof/>
          <w:kern w:val="32"/>
          <w:sz w:val="24"/>
          <w:szCs w:val="28"/>
          <w:lang w:eastAsia="en-GB"/>
        </w:rPr>
      </w:pPr>
      <w:r w:rsidRPr="00992C82">
        <w:rPr>
          <w:rFonts w:cs="Arial"/>
          <w:b/>
          <w:bCs/>
          <w:noProof/>
          <w:kern w:val="32"/>
          <w:sz w:val="24"/>
          <w:szCs w:val="28"/>
          <w:lang w:eastAsia="en-GB"/>
        </w:rPr>
        <w:t>Business Services Appendix A</w:t>
      </w:r>
    </w:p>
    <w:p w:rsidR="00C701C5" w:rsidRDefault="00C701C5" w:rsidP="007F4702">
      <w:pPr>
        <w:rPr>
          <w:rFonts w:cs="Arial"/>
          <w:b/>
          <w:bCs/>
          <w:noProof/>
          <w:kern w:val="32"/>
          <w:sz w:val="28"/>
          <w:szCs w:val="28"/>
          <w:u w:val="single"/>
          <w:lang w:eastAsia="en-GB"/>
        </w:rPr>
      </w:pPr>
    </w:p>
    <w:p w:rsidR="00C701C5" w:rsidRPr="00C701C5" w:rsidRDefault="009A2950" w:rsidP="007F4702">
      <w:pPr>
        <w:rPr>
          <w:rFonts w:cs="Arial"/>
          <w:b/>
          <w:bCs/>
          <w:noProof/>
          <w:kern w:val="32"/>
          <w:sz w:val="28"/>
          <w:szCs w:val="28"/>
          <w:u w:val="single"/>
          <w:lang w:eastAsia="en-GB"/>
        </w:rPr>
      </w:pPr>
      <w:r w:rsidRPr="009A2950">
        <w:rPr>
          <w:noProof/>
          <w:lang w:eastAsia="en-GB"/>
        </w:rPr>
        <w:drawing>
          <wp:inline distT="0" distB="0" distL="0" distR="0">
            <wp:extent cx="5759450" cy="3523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9450" cy="3523624"/>
                    </a:xfrm>
                    <a:prstGeom prst="rect">
                      <a:avLst/>
                    </a:prstGeom>
                    <a:noFill/>
                    <a:ln>
                      <a:noFill/>
                    </a:ln>
                  </pic:spPr>
                </pic:pic>
              </a:graphicData>
            </a:graphic>
          </wp:inline>
        </w:drawing>
      </w:r>
    </w:p>
    <w:p w:rsidR="00C701C5" w:rsidRDefault="00C701C5">
      <w:pPr>
        <w:spacing w:after="200" w:line="276" w:lineRule="auto"/>
        <w:rPr>
          <w:rFonts w:cs="Arial"/>
          <w:b/>
          <w:sz w:val="24"/>
          <w:szCs w:val="24"/>
        </w:rPr>
      </w:pPr>
    </w:p>
    <w:p w:rsidR="00C701C5" w:rsidRDefault="00C701C5">
      <w:pPr>
        <w:spacing w:after="200" w:line="276" w:lineRule="auto"/>
        <w:rPr>
          <w:rFonts w:cs="Arial"/>
          <w:b/>
          <w:bCs/>
          <w:noProof/>
          <w:kern w:val="32"/>
          <w:sz w:val="24"/>
          <w:szCs w:val="28"/>
          <w:lang w:eastAsia="en-GB"/>
        </w:rPr>
      </w:pPr>
      <w:r>
        <w:rPr>
          <w:rFonts w:cs="Arial"/>
          <w:b/>
          <w:color w:val="000000" w:themeColor="text1"/>
          <w:sz w:val="28"/>
          <w:szCs w:val="28"/>
        </w:rPr>
        <w:br w:type="page"/>
      </w:r>
      <w:r w:rsidR="00992C82">
        <w:rPr>
          <w:rFonts w:cs="Arial"/>
          <w:b/>
          <w:bCs/>
          <w:noProof/>
          <w:kern w:val="32"/>
          <w:sz w:val="24"/>
          <w:szCs w:val="28"/>
          <w:lang w:eastAsia="en-GB"/>
        </w:rPr>
        <w:lastRenderedPageBreak/>
        <w:t>Business Services Appendix B</w:t>
      </w:r>
    </w:p>
    <w:p w:rsidR="00992C82" w:rsidRDefault="00992C82">
      <w:pPr>
        <w:spacing w:after="200" w:line="276" w:lineRule="auto"/>
        <w:rPr>
          <w:rFonts w:cs="Arial"/>
          <w:b/>
          <w:color w:val="000000" w:themeColor="text1"/>
          <w:sz w:val="28"/>
          <w:szCs w:val="28"/>
        </w:rPr>
      </w:pPr>
      <w:r w:rsidRPr="00992C82">
        <w:rPr>
          <w:noProof/>
          <w:lang w:eastAsia="en-GB"/>
        </w:rPr>
        <w:drawing>
          <wp:inline distT="0" distB="0" distL="0" distR="0">
            <wp:extent cx="5759450" cy="41599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4159998"/>
                    </a:xfrm>
                    <a:prstGeom prst="rect">
                      <a:avLst/>
                    </a:prstGeom>
                    <a:noFill/>
                    <a:ln>
                      <a:noFill/>
                    </a:ln>
                  </pic:spPr>
                </pic:pic>
              </a:graphicData>
            </a:graphic>
          </wp:inline>
        </w:drawing>
      </w:r>
    </w:p>
    <w:p w:rsidR="00992C82" w:rsidRPr="00B95664" w:rsidRDefault="00992C82">
      <w:pPr>
        <w:spacing w:after="200" w:line="276" w:lineRule="auto"/>
        <w:rPr>
          <w:rFonts w:cs="Arial"/>
          <w:b/>
          <w:color w:val="000000" w:themeColor="text1"/>
          <w:sz w:val="24"/>
          <w:szCs w:val="28"/>
        </w:rPr>
      </w:pPr>
      <w:r w:rsidRPr="00B95664">
        <w:rPr>
          <w:rFonts w:cs="Arial"/>
          <w:b/>
          <w:color w:val="000000" w:themeColor="text1"/>
          <w:sz w:val="24"/>
          <w:szCs w:val="28"/>
        </w:rPr>
        <w:t>Business Services Appendix C</w:t>
      </w:r>
      <w:bookmarkStart w:id="0" w:name="_GoBack"/>
      <w:bookmarkEnd w:id="0"/>
    </w:p>
    <w:p w:rsidR="00992C82" w:rsidRDefault="00992C82">
      <w:pPr>
        <w:spacing w:after="200" w:line="276" w:lineRule="auto"/>
        <w:rPr>
          <w:rFonts w:cs="Arial"/>
          <w:b/>
          <w:color w:val="000000" w:themeColor="text1"/>
          <w:sz w:val="28"/>
          <w:szCs w:val="28"/>
        </w:rPr>
      </w:pPr>
      <w:r w:rsidRPr="00992C82">
        <w:rPr>
          <w:noProof/>
          <w:lang w:eastAsia="en-GB"/>
        </w:rPr>
        <w:drawing>
          <wp:inline distT="0" distB="0" distL="0" distR="0">
            <wp:extent cx="5759450" cy="41599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9450" cy="4159998"/>
                    </a:xfrm>
                    <a:prstGeom prst="rect">
                      <a:avLst/>
                    </a:prstGeom>
                    <a:noFill/>
                    <a:ln>
                      <a:noFill/>
                    </a:ln>
                  </pic:spPr>
                </pic:pic>
              </a:graphicData>
            </a:graphic>
          </wp:inline>
        </w:drawing>
      </w:r>
    </w:p>
    <w:sectPr w:rsidR="00992C82" w:rsidSect="00E809DB">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408" w:rsidRDefault="00916408" w:rsidP="005A1C4D">
      <w:r>
        <w:separator/>
      </w:r>
    </w:p>
  </w:endnote>
  <w:endnote w:type="continuationSeparator" w:id="0">
    <w:p w:rsidR="00916408" w:rsidRDefault="00916408" w:rsidP="005A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Stone Sans Semi Bold">
    <w:altName w:val="Calibri"/>
    <w:charset w:val="00"/>
    <w:family w:val="auto"/>
    <w:pitch w:val="variable"/>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963936"/>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B95664">
          <w:rPr>
            <w:noProof/>
          </w:rPr>
          <w:t>19</w:t>
        </w:r>
        <w:r>
          <w:rPr>
            <w:noProof/>
          </w:rPr>
          <w:fldChar w:fldCharType="end"/>
        </w:r>
      </w:p>
    </w:sdtContent>
  </w:sdt>
  <w:p w:rsidR="009A4D4A" w:rsidRDefault="009A4D4A" w:rsidP="00A403AC">
    <w:pPr>
      <w:pStyle w:val="Footer"/>
      <w:tabs>
        <w:tab w:val="clear" w:pos="4320"/>
        <w:tab w:val="clear" w:pos="8640"/>
        <w:tab w:val="right" w:pos="9026"/>
      </w:tabs>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8500"/>
      <w:docPartObj>
        <w:docPartGallery w:val="Page Numbers (Bottom of Page)"/>
        <w:docPartUnique/>
      </w:docPartObj>
    </w:sdtPr>
    <w:sdtEndPr/>
    <w:sdtContent>
      <w:p w:rsidR="009A4D4A" w:rsidRDefault="009A4D4A">
        <w:pPr>
          <w:pStyle w:val="Footer"/>
          <w:jc w:val="right"/>
        </w:pPr>
        <w:r>
          <w:rPr>
            <w:noProof/>
          </w:rPr>
          <w:fldChar w:fldCharType="begin"/>
        </w:r>
        <w:r>
          <w:rPr>
            <w:noProof/>
          </w:rPr>
          <w:instrText xml:space="preserve"> PAGE   \* MERGEFORMAT </w:instrText>
        </w:r>
        <w:r>
          <w:rPr>
            <w:noProof/>
          </w:rPr>
          <w:fldChar w:fldCharType="separate"/>
        </w:r>
        <w:r w:rsidR="00B95664">
          <w:rPr>
            <w:noProof/>
          </w:rPr>
          <w:t>6</w:t>
        </w:r>
        <w:r>
          <w:rPr>
            <w:noProof/>
          </w:rPr>
          <w:fldChar w:fldCharType="end"/>
        </w:r>
      </w:p>
    </w:sdtContent>
  </w:sdt>
  <w:p w:rsidR="009A4D4A" w:rsidRPr="0000750A" w:rsidRDefault="009A4D4A" w:rsidP="0000750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408" w:rsidRDefault="00916408" w:rsidP="005A1C4D">
      <w:r>
        <w:separator/>
      </w:r>
    </w:p>
  </w:footnote>
  <w:footnote w:type="continuationSeparator" w:id="0">
    <w:p w:rsidR="00916408" w:rsidRDefault="00916408" w:rsidP="005A1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280"/>
    <w:multiLevelType w:val="hybridMultilevel"/>
    <w:tmpl w:val="2E361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126B5"/>
    <w:multiLevelType w:val="multilevel"/>
    <w:tmpl w:val="6EE0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8633C"/>
    <w:multiLevelType w:val="hybridMultilevel"/>
    <w:tmpl w:val="30580648"/>
    <w:lvl w:ilvl="0" w:tplc="94949CB8">
      <w:start w:val="1"/>
      <w:numFmt w:val="bullet"/>
      <w:pStyle w:val="TableBullet2"/>
      <w:lvlText w:val=""/>
      <w:lvlJc w:val="left"/>
      <w:pPr>
        <w:tabs>
          <w:tab w:val="num" w:pos="681"/>
        </w:tabs>
        <w:ind w:left="681" w:hanging="284"/>
      </w:pPr>
      <w:rPr>
        <w:rFonts w:ascii="Symbol" w:hAnsi="Symbol" w:hint="default"/>
        <w:color w:val="auto"/>
      </w:rPr>
    </w:lvl>
    <w:lvl w:ilvl="1" w:tplc="04090019" w:tentative="1">
      <w:start w:val="1"/>
      <w:numFmt w:val="bullet"/>
      <w:lvlText w:val="o"/>
      <w:lvlJc w:val="left"/>
      <w:pPr>
        <w:tabs>
          <w:tab w:val="num" w:pos="1842"/>
        </w:tabs>
        <w:ind w:left="1842" w:hanging="360"/>
      </w:pPr>
      <w:rPr>
        <w:rFonts w:ascii="Courier New" w:hAnsi="Courier New" w:hint="default"/>
      </w:rPr>
    </w:lvl>
    <w:lvl w:ilvl="2" w:tplc="0409001B" w:tentative="1">
      <w:start w:val="1"/>
      <w:numFmt w:val="bullet"/>
      <w:lvlText w:val=""/>
      <w:lvlJc w:val="left"/>
      <w:pPr>
        <w:tabs>
          <w:tab w:val="num" w:pos="2562"/>
        </w:tabs>
        <w:ind w:left="2562" w:hanging="360"/>
      </w:pPr>
      <w:rPr>
        <w:rFonts w:ascii="Wingdings" w:hAnsi="Wingdings" w:hint="default"/>
      </w:rPr>
    </w:lvl>
    <w:lvl w:ilvl="3" w:tplc="0409000F" w:tentative="1">
      <w:start w:val="1"/>
      <w:numFmt w:val="bullet"/>
      <w:lvlText w:val=""/>
      <w:lvlJc w:val="left"/>
      <w:pPr>
        <w:tabs>
          <w:tab w:val="num" w:pos="3282"/>
        </w:tabs>
        <w:ind w:left="3282" w:hanging="360"/>
      </w:pPr>
      <w:rPr>
        <w:rFonts w:ascii="Symbol" w:hAnsi="Symbol" w:hint="default"/>
      </w:rPr>
    </w:lvl>
    <w:lvl w:ilvl="4" w:tplc="04090019" w:tentative="1">
      <w:start w:val="1"/>
      <w:numFmt w:val="bullet"/>
      <w:lvlText w:val="o"/>
      <w:lvlJc w:val="left"/>
      <w:pPr>
        <w:tabs>
          <w:tab w:val="num" w:pos="4002"/>
        </w:tabs>
        <w:ind w:left="4002" w:hanging="360"/>
      </w:pPr>
      <w:rPr>
        <w:rFonts w:ascii="Courier New" w:hAnsi="Courier New" w:hint="default"/>
      </w:rPr>
    </w:lvl>
    <w:lvl w:ilvl="5" w:tplc="0409001B" w:tentative="1">
      <w:start w:val="1"/>
      <w:numFmt w:val="bullet"/>
      <w:lvlText w:val=""/>
      <w:lvlJc w:val="left"/>
      <w:pPr>
        <w:tabs>
          <w:tab w:val="num" w:pos="4722"/>
        </w:tabs>
        <w:ind w:left="4722" w:hanging="360"/>
      </w:pPr>
      <w:rPr>
        <w:rFonts w:ascii="Wingdings" w:hAnsi="Wingdings" w:hint="default"/>
      </w:rPr>
    </w:lvl>
    <w:lvl w:ilvl="6" w:tplc="0409000F" w:tentative="1">
      <w:start w:val="1"/>
      <w:numFmt w:val="bullet"/>
      <w:lvlText w:val=""/>
      <w:lvlJc w:val="left"/>
      <w:pPr>
        <w:tabs>
          <w:tab w:val="num" w:pos="5442"/>
        </w:tabs>
        <w:ind w:left="5442" w:hanging="360"/>
      </w:pPr>
      <w:rPr>
        <w:rFonts w:ascii="Symbol" w:hAnsi="Symbol" w:hint="default"/>
      </w:rPr>
    </w:lvl>
    <w:lvl w:ilvl="7" w:tplc="04090019" w:tentative="1">
      <w:start w:val="1"/>
      <w:numFmt w:val="bullet"/>
      <w:lvlText w:val="o"/>
      <w:lvlJc w:val="left"/>
      <w:pPr>
        <w:tabs>
          <w:tab w:val="num" w:pos="6162"/>
        </w:tabs>
        <w:ind w:left="6162" w:hanging="360"/>
      </w:pPr>
      <w:rPr>
        <w:rFonts w:ascii="Courier New" w:hAnsi="Courier New" w:hint="default"/>
      </w:rPr>
    </w:lvl>
    <w:lvl w:ilvl="8" w:tplc="0409001B" w:tentative="1">
      <w:start w:val="1"/>
      <w:numFmt w:val="bullet"/>
      <w:lvlText w:val=""/>
      <w:lvlJc w:val="left"/>
      <w:pPr>
        <w:tabs>
          <w:tab w:val="num" w:pos="6882"/>
        </w:tabs>
        <w:ind w:left="6882" w:hanging="360"/>
      </w:pPr>
      <w:rPr>
        <w:rFonts w:ascii="Wingdings" w:hAnsi="Wingdings" w:hint="default"/>
      </w:rPr>
    </w:lvl>
  </w:abstractNum>
  <w:abstractNum w:abstractNumId="3" w15:restartNumberingAfterBreak="0">
    <w:nsid w:val="2C091153"/>
    <w:multiLevelType w:val="hybridMultilevel"/>
    <w:tmpl w:val="4D0C375A"/>
    <w:lvl w:ilvl="0" w:tplc="6896B6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3018A"/>
    <w:multiLevelType w:val="hybridMultilevel"/>
    <w:tmpl w:val="694631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704CAA"/>
    <w:multiLevelType w:val="hybridMultilevel"/>
    <w:tmpl w:val="A0E85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7F0AA9"/>
    <w:multiLevelType w:val="hybridMultilevel"/>
    <w:tmpl w:val="120A69AC"/>
    <w:lvl w:ilvl="0" w:tplc="5B2628E4">
      <w:start w:val="2"/>
      <w:numFmt w:val="decimal"/>
      <w:lvlText w:val="%1."/>
      <w:lvlJc w:val="left"/>
      <w:pPr>
        <w:tabs>
          <w:tab w:val="num" w:pos="360"/>
        </w:tabs>
        <w:ind w:left="360" w:hanging="360"/>
      </w:pPr>
      <w:rPr>
        <w:rFonts w:hint="default"/>
      </w:rPr>
    </w:lvl>
    <w:lvl w:ilvl="1" w:tplc="08090001">
      <w:start w:val="1"/>
      <w:numFmt w:val="bullet"/>
      <w:lvlText w:val=""/>
      <w:lvlJc w:val="left"/>
      <w:pPr>
        <w:tabs>
          <w:tab w:val="num" w:pos="360"/>
        </w:tabs>
        <w:ind w:left="360" w:hanging="360"/>
      </w:pPr>
      <w:rPr>
        <w:rFonts w:ascii="Symbol" w:hAnsi="Symbol" w:hint="default"/>
      </w:rPr>
    </w:lvl>
    <w:lvl w:ilvl="2" w:tplc="0AAA6108">
      <w:numFmt w:val="bullet"/>
      <w:lvlText w:val="-"/>
      <w:lvlJc w:val="left"/>
      <w:pPr>
        <w:tabs>
          <w:tab w:val="num" w:pos="1260"/>
        </w:tabs>
        <w:ind w:left="1260" w:hanging="360"/>
      </w:pPr>
      <w:rPr>
        <w:rFonts w:ascii="Arial" w:eastAsia="Times New Roman" w:hAnsi="Arial" w:cs="Arial" w:hint="default"/>
      </w:r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7" w15:restartNumberingAfterBreak="0">
    <w:nsid w:val="393E4C21"/>
    <w:multiLevelType w:val="multilevel"/>
    <w:tmpl w:val="98C8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C20A69"/>
    <w:multiLevelType w:val="multilevel"/>
    <w:tmpl w:val="B664B4F2"/>
    <w:lvl w:ilvl="0">
      <w:start w:val="1"/>
      <w:numFmt w:val="none"/>
      <w:lvlText w:val=""/>
      <w:lvlJc w:val="left"/>
      <w:pPr>
        <w:ind w:left="432" w:hanging="432"/>
      </w:pPr>
      <w:rPr>
        <w:rFonts w:hint="default"/>
      </w:rPr>
    </w:lvl>
    <w:lvl w:ilvl="1">
      <w:start w:val="1"/>
      <w:numFmt w:val="decimal"/>
      <w:lvlRestart w:val="0"/>
      <w:pStyle w:val="Heading2"/>
      <w:lvlText w:val="%2%1"/>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655256C6"/>
    <w:multiLevelType w:val="hybridMultilevel"/>
    <w:tmpl w:val="CFC2B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0"/>
  </w:num>
  <w:num w:numId="5">
    <w:abstractNumId w:val="1"/>
  </w:num>
  <w:num w:numId="6">
    <w:abstractNumId w:val="7"/>
  </w:num>
  <w:num w:numId="7">
    <w:abstractNumId w:val="5"/>
  </w:num>
  <w:num w:numId="8">
    <w:abstractNumId w:val="4"/>
  </w:num>
  <w:num w:numId="9">
    <w:abstractNumId w:val="9"/>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defaultTabStop w:val="720"/>
  <w:drawingGridHorizontalSpacing w:val="110"/>
  <w:displayHorizontalDrawingGridEvery w:val="2"/>
  <w:characterSpacingControl w:val="doNotCompress"/>
  <w:hdrShapeDefaults>
    <o:shapedefaults v:ext="edit" spidmax="8193"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w:hdrShapeDefaults>
  <w:footnotePr>
    <w:footnote w:id="-1"/>
    <w:footnote w:id="0"/>
  </w:footnotePr>
  <w:endnotePr>
    <w:endnote w:id="-1"/>
    <w:endnote w:id="0"/>
  </w:endnotePr>
  <w:compat>
    <w:compatSetting w:name="compatibilityMode" w:uri="http://schemas.microsoft.com/office/word" w:val="12"/>
  </w:compat>
  <w:rsids>
    <w:rsidRoot w:val="00234ABE"/>
    <w:rsid w:val="00000344"/>
    <w:rsid w:val="00000522"/>
    <w:rsid w:val="0000063A"/>
    <w:rsid w:val="00000641"/>
    <w:rsid w:val="00000EF3"/>
    <w:rsid w:val="00001653"/>
    <w:rsid w:val="00001DD4"/>
    <w:rsid w:val="00001DDC"/>
    <w:rsid w:val="00001F33"/>
    <w:rsid w:val="00002A14"/>
    <w:rsid w:val="0000389C"/>
    <w:rsid w:val="00003FDF"/>
    <w:rsid w:val="00004163"/>
    <w:rsid w:val="00004A7E"/>
    <w:rsid w:val="0000552B"/>
    <w:rsid w:val="00005B93"/>
    <w:rsid w:val="00006715"/>
    <w:rsid w:val="0000750A"/>
    <w:rsid w:val="000077B8"/>
    <w:rsid w:val="00007A8F"/>
    <w:rsid w:val="000102D0"/>
    <w:rsid w:val="00010603"/>
    <w:rsid w:val="00010862"/>
    <w:rsid w:val="00010DAB"/>
    <w:rsid w:val="00011268"/>
    <w:rsid w:val="00011BD0"/>
    <w:rsid w:val="00012ADE"/>
    <w:rsid w:val="00012D8A"/>
    <w:rsid w:val="00013344"/>
    <w:rsid w:val="00013BAD"/>
    <w:rsid w:val="00015DEE"/>
    <w:rsid w:val="0001741C"/>
    <w:rsid w:val="000179EB"/>
    <w:rsid w:val="00022A8F"/>
    <w:rsid w:val="00022C08"/>
    <w:rsid w:val="00022EC3"/>
    <w:rsid w:val="00023BDC"/>
    <w:rsid w:val="00023C1D"/>
    <w:rsid w:val="00023F59"/>
    <w:rsid w:val="0002479D"/>
    <w:rsid w:val="00024F25"/>
    <w:rsid w:val="000252BF"/>
    <w:rsid w:val="000254F5"/>
    <w:rsid w:val="000255FB"/>
    <w:rsid w:val="00025608"/>
    <w:rsid w:val="00026AD3"/>
    <w:rsid w:val="0002776F"/>
    <w:rsid w:val="0002792E"/>
    <w:rsid w:val="00027F88"/>
    <w:rsid w:val="00030119"/>
    <w:rsid w:val="00030FD4"/>
    <w:rsid w:val="00031036"/>
    <w:rsid w:val="00031610"/>
    <w:rsid w:val="00031C47"/>
    <w:rsid w:val="00031CC0"/>
    <w:rsid w:val="000320E7"/>
    <w:rsid w:val="00032476"/>
    <w:rsid w:val="000325C5"/>
    <w:rsid w:val="00032EFB"/>
    <w:rsid w:val="00033537"/>
    <w:rsid w:val="00034CC9"/>
    <w:rsid w:val="000352C2"/>
    <w:rsid w:val="000354E8"/>
    <w:rsid w:val="000359CC"/>
    <w:rsid w:val="0003663A"/>
    <w:rsid w:val="0003678D"/>
    <w:rsid w:val="0003690B"/>
    <w:rsid w:val="00036AAC"/>
    <w:rsid w:val="00037409"/>
    <w:rsid w:val="000425C2"/>
    <w:rsid w:val="00043005"/>
    <w:rsid w:val="0004300E"/>
    <w:rsid w:val="000441AE"/>
    <w:rsid w:val="00044433"/>
    <w:rsid w:val="00045EEB"/>
    <w:rsid w:val="00045F20"/>
    <w:rsid w:val="000469A3"/>
    <w:rsid w:val="000477B7"/>
    <w:rsid w:val="000508AC"/>
    <w:rsid w:val="0005279E"/>
    <w:rsid w:val="00053EB2"/>
    <w:rsid w:val="0005542B"/>
    <w:rsid w:val="000556F0"/>
    <w:rsid w:val="0005676F"/>
    <w:rsid w:val="00057658"/>
    <w:rsid w:val="00057D18"/>
    <w:rsid w:val="0006009C"/>
    <w:rsid w:val="000605F7"/>
    <w:rsid w:val="00060807"/>
    <w:rsid w:val="00060D50"/>
    <w:rsid w:val="00060ED7"/>
    <w:rsid w:val="00063741"/>
    <w:rsid w:val="000637D1"/>
    <w:rsid w:val="00063CA5"/>
    <w:rsid w:val="00064152"/>
    <w:rsid w:val="00064A0C"/>
    <w:rsid w:val="00064EF8"/>
    <w:rsid w:val="00066620"/>
    <w:rsid w:val="00067F6C"/>
    <w:rsid w:val="00070FA2"/>
    <w:rsid w:val="000717ED"/>
    <w:rsid w:val="00072EAD"/>
    <w:rsid w:val="00073169"/>
    <w:rsid w:val="0007331A"/>
    <w:rsid w:val="00073418"/>
    <w:rsid w:val="0007351C"/>
    <w:rsid w:val="00073658"/>
    <w:rsid w:val="000744B6"/>
    <w:rsid w:val="00074632"/>
    <w:rsid w:val="00075929"/>
    <w:rsid w:val="00075F91"/>
    <w:rsid w:val="000777BF"/>
    <w:rsid w:val="0008052D"/>
    <w:rsid w:val="00080A82"/>
    <w:rsid w:val="00080FEB"/>
    <w:rsid w:val="00081403"/>
    <w:rsid w:val="00081C6A"/>
    <w:rsid w:val="0008456B"/>
    <w:rsid w:val="0008461C"/>
    <w:rsid w:val="00085A9C"/>
    <w:rsid w:val="00085CD3"/>
    <w:rsid w:val="00086167"/>
    <w:rsid w:val="00086388"/>
    <w:rsid w:val="000865FF"/>
    <w:rsid w:val="00087C06"/>
    <w:rsid w:val="00087C84"/>
    <w:rsid w:val="00087EF4"/>
    <w:rsid w:val="00091498"/>
    <w:rsid w:val="00091952"/>
    <w:rsid w:val="00092955"/>
    <w:rsid w:val="00093559"/>
    <w:rsid w:val="00093A56"/>
    <w:rsid w:val="00093B15"/>
    <w:rsid w:val="00094F31"/>
    <w:rsid w:val="000951FE"/>
    <w:rsid w:val="0009546E"/>
    <w:rsid w:val="00095479"/>
    <w:rsid w:val="00095904"/>
    <w:rsid w:val="00096022"/>
    <w:rsid w:val="00096B7B"/>
    <w:rsid w:val="00096E25"/>
    <w:rsid w:val="00097425"/>
    <w:rsid w:val="00097A2C"/>
    <w:rsid w:val="000A09BA"/>
    <w:rsid w:val="000A0E90"/>
    <w:rsid w:val="000A1EE7"/>
    <w:rsid w:val="000A49C0"/>
    <w:rsid w:val="000A4F39"/>
    <w:rsid w:val="000A4FD6"/>
    <w:rsid w:val="000A5272"/>
    <w:rsid w:val="000A6B2A"/>
    <w:rsid w:val="000A6BC0"/>
    <w:rsid w:val="000A7070"/>
    <w:rsid w:val="000A72F3"/>
    <w:rsid w:val="000A73CC"/>
    <w:rsid w:val="000A7A2F"/>
    <w:rsid w:val="000B00C3"/>
    <w:rsid w:val="000B0C4B"/>
    <w:rsid w:val="000B1464"/>
    <w:rsid w:val="000B19D9"/>
    <w:rsid w:val="000B2AE3"/>
    <w:rsid w:val="000B32C2"/>
    <w:rsid w:val="000B38A4"/>
    <w:rsid w:val="000B3D2C"/>
    <w:rsid w:val="000B41FE"/>
    <w:rsid w:val="000B4E79"/>
    <w:rsid w:val="000B5257"/>
    <w:rsid w:val="000B567C"/>
    <w:rsid w:val="000B6E0E"/>
    <w:rsid w:val="000B6F4A"/>
    <w:rsid w:val="000B764E"/>
    <w:rsid w:val="000C0299"/>
    <w:rsid w:val="000C293D"/>
    <w:rsid w:val="000C3735"/>
    <w:rsid w:val="000C38E4"/>
    <w:rsid w:val="000C40BD"/>
    <w:rsid w:val="000C46DB"/>
    <w:rsid w:val="000C4BED"/>
    <w:rsid w:val="000C55B5"/>
    <w:rsid w:val="000C77EF"/>
    <w:rsid w:val="000C78D2"/>
    <w:rsid w:val="000D02CB"/>
    <w:rsid w:val="000D0BB5"/>
    <w:rsid w:val="000D1107"/>
    <w:rsid w:val="000D1572"/>
    <w:rsid w:val="000D1BC6"/>
    <w:rsid w:val="000D262A"/>
    <w:rsid w:val="000D3B61"/>
    <w:rsid w:val="000D5DD0"/>
    <w:rsid w:val="000D6AA3"/>
    <w:rsid w:val="000D71EE"/>
    <w:rsid w:val="000E0520"/>
    <w:rsid w:val="000E0D85"/>
    <w:rsid w:val="000E0FA7"/>
    <w:rsid w:val="000E0FE5"/>
    <w:rsid w:val="000E1262"/>
    <w:rsid w:val="000E1402"/>
    <w:rsid w:val="000E15AA"/>
    <w:rsid w:val="000E1D6B"/>
    <w:rsid w:val="000E25EF"/>
    <w:rsid w:val="000E2718"/>
    <w:rsid w:val="000E2856"/>
    <w:rsid w:val="000E2BD8"/>
    <w:rsid w:val="000E2BF3"/>
    <w:rsid w:val="000E2CC3"/>
    <w:rsid w:val="000E3118"/>
    <w:rsid w:val="000E3BA6"/>
    <w:rsid w:val="000E45BE"/>
    <w:rsid w:val="000E5364"/>
    <w:rsid w:val="000E61C1"/>
    <w:rsid w:val="000E66BE"/>
    <w:rsid w:val="000E6A64"/>
    <w:rsid w:val="000E713E"/>
    <w:rsid w:val="000E7DD3"/>
    <w:rsid w:val="000E7F8A"/>
    <w:rsid w:val="000F0446"/>
    <w:rsid w:val="000F08D5"/>
    <w:rsid w:val="000F1B81"/>
    <w:rsid w:val="000F1DB5"/>
    <w:rsid w:val="000F1E91"/>
    <w:rsid w:val="000F2544"/>
    <w:rsid w:val="000F2BBC"/>
    <w:rsid w:val="000F36A2"/>
    <w:rsid w:val="000F3C26"/>
    <w:rsid w:val="000F3F5E"/>
    <w:rsid w:val="000F469D"/>
    <w:rsid w:val="000F4881"/>
    <w:rsid w:val="000F4E75"/>
    <w:rsid w:val="000F5356"/>
    <w:rsid w:val="000F53B0"/>
    <w:rsid w:val="000F5AB8"/>
    <w:rsid w:val="000F5CA5"/>
    <w:rsid w:val="000F62EC"/>
    <w:rsid w:val="000F6827"/>
    <w:rsid w:val="000F6BCA"/>
    <w:rsid w:val="000F6BDA"/>
    <w:rsid w:val="000F7C49"/>
    <w:rsid w:val="001000CB"/>
    <w:rsid w:val="001000F9"/>
    <w:rsid w:val="00100408"/>
    <w:rsid w:val="0010071A"/>
    <w:rsid w:val="00101A8D"/>
    <w:rsid w:val="00102028"/>
    <w:rsid w:val="00102148"/>
    <w:rsid w:val="001022C4"/>
    <w:rsid w:val="0010268D"/>
    <w:rsid w:val="00103120"/>
    <w:rsid w:val="00103142"/>
    <w:rsid w:val="00104F89"/>
    <w:rsid w:val="00105869"/>
    <w:rsid w:val="00105BC1"/>
    <w:rsid w:val="00106CD5"/>
    <w:rsid w:val="00106E28"/>
    <w:rsid w:val="00106F79"/>
    <w:rsid w:val="00106FB8"/>
    <w:rsid w:val="0011005D"/>
    <w:rsid w:val="00110FA4"/>
    <w:rsid w:val="001117EA"/>
    <w:rsid w:val="00111BF9"/>
    <w:rsid w:val="00111FB0"/>
    <w:rsid w:val="001129D9"/>
    <w:rsid w:val="00113A09"/>
    <w:rsid w:val="00113AC1"/>
    <w:rsid w:val="00113FE0"/>
    <w:rsid w:val="001141FC"/>
    <w:rsid w:val="0011472A"/>
    <w:rsid w:val="00114FD9"/>
    <w:rsid w:val="001160BA"/>
    <w:rsid w:val="0011624F"/>
    <w:rsid w:val="00116353"/>
    <w:rsid w:val="00117396"/>
    <w:rsid w:val="001177E9"/>
    <w:rsid w:val="00120BD2"/>
    <w:rsid w:val="00120D98"/>
    <w:rsid w:val="00121D92"/>
    <w:rsid w:val="00122BCB"/>
    <w:rsid w:val="00122FBD"/>
    <w:rsid w:val="0012387E"/>
    <w:rsid w:val="00123A0A"/>
    <w:rsid w:val="001240AA"/>
    <w:rsid w:val="00124DC7"/>
    <w:rsid w:val="001250DB"/>
    <w:rsid w:val="00125394"/>
    <w:rsid w:val="001253E3"/>
    <w:rsid w:val="00125A90"/>
    <w:rsid w:val="0012677B"/>
    <w:rsid w:val="0012746A"/>
    <w:rsid w:val="00131605"/>
    <w:rsid w:val="00132043"/>
    <w:rsid w:val="001329FA"/>
    <w:rsid w:val="00132E37"/>
    <w:rsid w:val="00133250"/>
    <w:rsid w:val="00133897"/>
    <w:rsid w:val="001340CA"/>
    <w:rsid w:val="00135326"/>
    <w:rsid w:val="001357A8"/>
    <w:rsid w:val="00136B26"/>
    <w:rsid w:val="00136E0E"/>
    <w:rsid w:val="00137261"/>
    <w:rsid w:val="00140415"/>
    <w:rsid w:val="00140DF2"/>
    <w:rsid w:val="0014132A"/>
    <w:rsid w:val="00141381"/>
    <w:rsid w:val="00141C99"/>
    <w:rsid w:val="00141CD0"/>
    <w:rsid w:val="00142337"/>
    <w:rsid w:val="00142915"/>
    <w:rsid w:val="00142DDD"/>
    <w:rsid w:val="00143CB1"/>
    <w:rsid w:val="00143D74"/>
    <w:rsid w:val="001446DF"/>
    <w:rsid w:val="00144F29"/>
    <w:rsid w:val="00144F5D"/>
    <w:rsid w:val="00145273"/>
    <w:rsid w:val="00145918"/>
    <w:rsid w:val="00145BBE"/>
    <w:rsid w:val="00146367"/>
    <w:rsid w:val="001467D5"/>
    <w:rsid w:val="00146837"/>
    <w:rsid w:val="0014774B"/>
    <w:rsid w:val="00150F27"/>
    <w:rsid w:val="00150F63"/>
    <w:rsid w:val="00150FCB"/>
    <w:rsid w:val="001518BA"/>
    <w:rsid w:val="00151B73"/>
    <w:rsid w:val="00152017"/>
    <w:rsid w:val="0015483E"/>
    <w:rsid w:val="00155699"/>
    <w:rsid w:val="00155BBF"/>
    <w:rsid w:val="00155FE4"/>
    <w:rsid w:val="00156B4A"/>
    <w:rsid w:val="0015713C"/>
    <w:rsid w:val="00157B28"/>
    <w:rsid w:val="00157B40"/>
    <w:rsid w:val="00161C94"/>
    <w:rsid w:val="001621B0"/>
    <w:rsid w:val="00163137"/>
    <w:rsid w:val="00163894"/>
    <w:rsid w:val="00163DBE"/>
    <w:rsid w:val="00164571"/>
    <w:rsid w:val="001649C9"/>
    <w:rsid w:val="00164F3B"/>
    <w:rsid w:val="0016554C"/>
    <w:rsid w:val="00165783"/>
    <w:rsid w:val="001660DA"/>
    <w:rsid w:val="001666CA"/>
    <w:rsid w:val="00167237"/>
    <w:rsid w:val="00167F54"/>
    <w:rsid w:val="0017017F"/>
    <w:rsid w:val="00170B44"/>
    <w:rsid w:val="00171EDC"/>
    <w:rsid w:val="00172A9C"/>
    <w:rsid w:val="00172E1E"/>
    <w:rsid w:val="0017353A"/>
    <w:rsid w:val="0017393B"/>
    <w:rsid w:val="00173FA9"/>
    <w:rsid w:val="00174556"/>
    <w:rsid w:val="00174624"/>
    <w:rsid w:val="00174928"/>
    <w:rsid w:val="00174C9A"/>
    <w:rsid w:val="0017517C"/>
    <w:rsid w:val="00175424"/>
    <w:rsid w:val="00175C34"/>
    <w:rsid w:val="001765BE"/>
    <w:rsid w:val="0017676B"/>
    <w:rsid w:val="00176DBC"/>
    <w:rsid w:val="001773F8"/>
    <w:rsid w:val="001776B6"/>
    <w:rsid w:val="00180159"/>
    <w:rsid w:val="00180192"/>
    <w:rsid w:val="00180A85"/>
    <w:rsid w:val="00180BEC"/>
    <w:rsid w:val="00180D9C"/>
    <w:rsid w:val="001812DB"/>
    <w:rsid w:val="0018206C"/>
    <w:rsid w:val="001824BD"/>
    <w:rsid w:val="001827C6"/>
    <w:rsid w:val="00182FAE"/>
    <w:rsid w:val="001830DD"/>
    <w:rsid w:val="001836C4"/>
    <w:rsid w:val="00183CAA"/>
    <w:rsid w:val="0018413B"/>
    <w:rsid w:val="001848AC"/>
    <w:rsid w:val="00184A62"/>
    <w:rsid w:val="00185315"/>
    <w:rsid w:val="00185C84"/>
    <w:rsid w:val="00186147"/>
    <w:rsid w:val="00187098"/>
    <w:rsid w:val="00187E38"/>
    <w:rsid w:val="00190451"/>
    <w:rsid w:val="00190D2E"/>
    <w:rsid w:val="00191F09"/>
    <w:rsid w:val="001923F9"/>
    <w:rsid w:val="001927F1"/>
    <w:rsid w:val="00192C5C"/>
    <w:rsid w:val="0019334C"/>
    <w:rsid w:val="0019340F"/>
    <w:rsid w:val="0019353F"/>
    <w:rsid w:val="00195141"/>
    <w:rsid w:val="001955C3"/>
    <w:rsid w:val="00195895"/>
    <w:rsid w:val="00195FF5"/>
    <w:rsid w:val="00196EBF"/>
    <w:rsid w:val="00196FB9"/>
    <w:rsid w:val="0019774F"/>
    <w:rsid w:val="00197771"/>
    <w:rsid w:val="00197DBD"/>
    <w:rsid w:val="001A03D3"/>
    <w:rsid w:val="001A05F0"/>
    <w:rsid w:val="001A10DE"/>
    <w:rsid w:val="001A13E1"/>
    <w:rsid w:val="001A1E84"/>
    <w:rsid w:val="001A2A79"/>
    <w:rsid w:val="001A2DD6"/>
    <w:rsid w:val="001A30D9"/>
    <w:rsid w:val="001A34CC"/>
    <w:rsid w:val="001A3569"/>
    <w:rsid w:val="001A412A"/>
    <w:rsid w:val="001A6667"/>
    <w:rsid w:val="001A68D4"/>
    <w:rsid w:val="001A7851"/>
    <w:rsid w:val="001A7AAF"/>
    <w:rsid w:val="001B129E"/>
    <w:rsid w:val="001B14AB"/>
    <w:rsid w:val="001B16B5"/>
    <w:rsid w:val="001B2810"/>
    <w:rsid w:val="001B3127"/>
    <w:rsid w:val="001B320C"/>
    <w:rsid w:val="001B32A4"/>
    <w:rsid w:val="001B3BFA"/>
    <w:rsid w:val="001B3EC4"/>
    <w:rsid w:val="001B3FB1"/>
    <w:rsid w:val="001B4295"/>
    <w:rsid w:val="001B5804"/>
    <w:rsid w:val="001B638F"/>
    <w:rsid w:val="001B6FFF"/>
    <w:rsid w:val="001B744B"/>
    <w:rsid w:val="001C0AA5"/>
    <w:rsid w:val="001C1521"/>
    <w:rsid w:val="001C1545"/>
    <w:rsid w:val="001C1575"/>
    <w:rsid w:val="001C19F7"/>
    <w:rsid w:val="001C2B2B"/>
    <w:rsid w:val="001C2E56"/>
    <w:rsid w:val="001C307B"/>
    <w:rsid w:val="001C34D7"/>
    <w:rsid w:val="001C37A5"/>
    <w:rsid w:val="001C3BEF"/>
    <w:rsid w:val="001C3F7B"/>
    <w:rsid w:val="001C3FB9"/>
    <w:rsid w:val="001C46F4"/>
    <w:rsid w:val="001C49DE"/>
    <w:rsid w:val="001C5E73"/>
    <w:rsid w:val="001C71B6"/>
    <w:rsid w:val="001D110E"/>
    <w:rsid w:val="001D12D0"/>
    <w:rsid w:val="001D1D01"/>
    <w:rsid w:val="001D2993"/>
    <w:rsid w:val="001D2A5B"/>
    <w:rsid w:val="001D3516"/>
    <w:rsid w:val="001D3E37"/>
    <w:rsid w:val="001D3EDE"/>
    <w:rsid w:val="001D4138"/>
    <w:rsid w:val="001D59B6"/>
    <w:rsid w:val="001D5AF8"/>
    <w:rsid w:val="001D5BFE"/>
    <w:rsid w:val="001D5C0A"/>
    <w:rsid w:val="001E02C7"/>
    <w:rsid w:val="001E046B"/>
    <w:rsid w:val="001E0A78"/>
    <w:rsid w:val="001E1A66"/>
    <w:rsid w:val="001E1E9A"/>
    <w:rsid w:val="001E2345"/>
    <w:rsid w:val="001E30A8"/>
    <w:rsid w:val="001E32A8"/>
    <w:rsid w:val="001E37AA"/>
    <w:rsid w:val="001E3998"/>
    <w:rsid w:val="001E444D"/>
    <w:rsid w:val="001E476C"/>
    <w:rsid w:val="001E4E83"/>
    <w:rsid w:val="001E5ED6"/>
    <w:rsid w:val="001E663E"/>
    <w:rsid w:val="001E6AF0"/>
    <w:rsid w:val="001E6DDC"/>
    <w:rsid w:val="001E74AE"/>
    <w:rsid w:val="001F0000"/>
    <w:rsid w:val="001F080E"/>
    <w:rsid w:val="001F0C57"/>
    <w:rsid w:val="001F0EC5"/>
    <w:rsid w:val="001F10B6"/>
    <w:rsid w:val="001F2269"/>
    <w:rsid w:val="001F24B7"/>
    <w:rsid w:val="001F2587"/>
    <w:rsid w:val="001F3573"/>
    <w:rsid w:val="001F4D78"/>
    <w:rsid w:val="001F5BBA"/>
    <w:rsid w:val="001F5BFB"/>
    <w:rsid w:val="001F606C"/>
    <w:rsid w:val="001F6E98"/>
    <w:rsid w:val="001F7848"/>
    <w:rsid w:val="001F7852"/>
    <w:rsid w:val="001F78FE"/>
    <w:rsid w:val="001F7C45"/>
    <w:rsid w:val="002004F1"/>
    <w:rsid w:val="00201096"/>
    <w:rsid w:val="002013E5"/>
    <w:rsid w:val="00201F89"/>
    <w:rsid w:val="00203BEE"/>
    <w:rsid w:val="00204831"/>
    <w:rsid w:val="0020484B"/>
    <w:rsid w:val="0020643F"/>
    <w:rsid w:val="00206829"/>
    <w:rsid w:val="00206EB4"/>
    <w:rsid w:val="0020712A"/>
    <w:rsid w:val="00207B02"/>
    <w:rsid w:val="00211652"/>
    <w:rsid w:val="00211B48"/>
    <w:rsid w:val="00212AA1"/>
    <w:rsid w:val="00212C8A"/>
    <w:rsid w:val="002131E4"/>
    <w:rsid w:val="0021348A"/>
    <w:rsid w:val="002144B0"/>
    <w:rsid w:val="00214700"/>
    <w:rsid w:val="00214B73"/>
    <w:rsid w:val="0021543D"/>
    <w:rsid w:val="00215857"/>
    <w:rsid w:val="00215CFC"/>
    <w:rsid w:val="002161BD"/>
    <w:rsid w:val="00216216"/>
    <w:rsid w:val="0021662B"/>
    <w:rsid w:val="00216A04"/>
    <w:rsid w:val="00217413"/>
    <w:rsid w:val="002204A3"/>
    <w:rsid w:val="00220B47"/>
    <w:rsid w:val="00221742"/>
    <w:rsid w:val="0022379F"/>
    <w:rsid w:val="00224170"/>
    <w:rsid w:val="002244C4"/>
    <w:rsid w:val="00224529"/>
    <w:rsid w:val="00224629"/>
    <w:rsid w:val="00224A35"/>
    <w:rsid w:val="00226350"/>
    <w:rsid w:val="002264AF"/>
    <w:rsid w:val="0023158A"/>
    <w:rsid w:val="00233771"/>
    <w:rsid w:val="002341CE"/>
    <w:rsid w:val="00234943"/>
    <w:rsid w:val="00234ABE"/>
    <w:rsid w:val="00234CA7"/>
    <w:rsid w:val="00235575"/>
    <w:rsid w:val="0023572A"/>
    <w:rsid w:val="00235875"/>
    <w:rsid w:val="00235D42"/>
    <w:rsid w:val="00235FB3"/>
    <w:rsid w:val="00237D44"/>
    <w:rsid w:val="00241E35"/>
    <w:rsid w:val="002429E9"/>
    <w:rsid w:val="00242D83"/>
    <w:rsid w:val="00242DC2"/>
    <w:rsid w:val="00242E27"/>
    <w:rsid w:val="00243EE0"/>
    <w:rsid w:val="002461DD"/>
    <w:rsid w:val="002464F4"/>
    <w:rsid w:val="00247F73"/>
    <w:rsid w:val="00247FBC"/>
    <w:rsid w:val="00250BA5"/>
    <w:rsid w:val="0025158B"/>
    <w:rsid w:val="002517B9"/>
    <w:rsid w:val="002527E7"/>
    <w:rsid w:val="0025404E"/>
    <w:rsid w:val="00254600"/>
    <w:rsid w:val="00256C99"/>
    <w:rsid w:val="002579BA"/>
    <w:rsid w:val="00257E36"/>
    <w:rsid w:val="0026081E"/>
    <w:rsid w:val="00261229"/>
    <w:rsid w:val="002615A8"/>
    <w:rsid w:val="00261D8B"/>
    <w:rsid w:val="0026250E"/>
    <w:rsid w:val="0026392F"/>
    <w:rsid w:val="00263ABB"/>
    <w:rsid w:val="00264C63"/>
    <w:rsid w:val="00265087"/>
    <w:rsid w:val="002663CD"/>
    <w:rsid w:val="002668C8"/>
    <w:rsid w:val="002726E4"/>
    <w:rsid w:val="00272F98"/>
    <w:rsid w:val="002737D1"/>
    <w:rsid w:val="0027448C"/>
    <w:rsid w:val="002747FC"/>
    <w:rsid w:val="00276618"/>
    <w:rsid w:val="00276F50"/>
    <w:rsid w:val="00281962"/>
    <w:rsid w:val="00281B11"/>
    <w:rsid w:val="00281FAE"/>
    <w:rsid w:val="002824DF"/>
    <w:rsid w:val="00283028"/>
    <w:rsid w:val="002844AE"/>
    <w:rsid w:val="00286139"/>
    <w:rsid w:val="00286681"/>
    <w:rsid w:val="00286BCB"/>
    <w:rsid w:val="00286D0E"/>
    <w:rsid w:val="00287F16"/>
    <w:rsid w:val="00290A05"/>
    <w:rsid w:val="00291465"/>
    <w:rsid w:val="00292422"/>
    <w:rsid w:val="002928DC"/>
    <w:rsid w:val="002928E3"/>
    <w:rsid w:val="00292E05"/>
    <w:rsid w:val="00293B88"/>
    <w:rsid w:val="002944BF"/>
    <w:rsid w:val="0029476D"/>
    <w:rsid w:val="00294AD8"/>
    <w:rsid w:val="00294B9B"/>
    <w:rsid w:val="00295993"/>
    <w:rsid w:val="00296377"/>
    <w:rsid w:val="002964C3"/>
    <w:rsid w:val="00296B7A"/>
    <w:rsid w:val="002977D7"/>
    <w:rsid w:val="00297B14"/>
    <w:rsid w:val="002A0B22"/>
    <w:rsid w:val="002A0CD6"/>
    <w:rsid w:val="002A0FC0"/>
    <w:rsid w:val="002A1403"/>
    <w:rsid w:val="002A2000"/>
    <w:rsid w:val="002A30A7"/>
    <w:rsid w:val="002A316F"/>
    <w:rsid w:val="002A3A55"/>
    <w:rsid w:val="002A47AB"/>
    <w:rsid w:val="002A4EB1"/>
    <w:rsid w:val="002A5394"/>
    <w:rsid w:val="002A540D"/>
    <w:rsid w:val="002A63ED"/>
    <w:rsid w:val="002A7711"/>
    <w:rsid w:val="002B050F"/>
    <w:rsid w:val="002B05AE"/>
    <w:rsid w:val="002B187F"/>
    <w:rsid w:val="002B1D4E"/>
    <w:rsid w:val="002B1DC8"/>
    <w:rsid w:val="002B1F86"/>
    <w:rsid w:val="002B2200"/>
    <w:rsid w:val="002B2D13"/>
    <w:rsid w:val="002B3324"/>
    <w:rsid w:val="002B3E74"/>
    <w:rsid w:val="002B4927"/>
    <w:rsid w:val="002B4C35"/>
    <w:rsid w:val="002B5696"/>
    <w:rsid w:val="002B5D1B"/>
    <w:rsid w:val="002B697F"/>
    <w:rsid w:val="002B6B5A"/>
    <w:rsid w:val="002B79FE"/>
    <w:rsid w:val="002C0626"/>
    <w:rsid w:val="002C0870"/>
    <w:rsid w:val="002C1BB7"/>
    <w:rsid w:val="002C1D65"/>
    <w:rsid w:val="002C28A2"/>
    <w:rsid w:val="002C3896"/>
    <w:rsid w:val="002C3B18"/>
    <w:rsid w:val="002C4737"/>
    <w:rsid w:val="002C5831"/>
    <w:rsid w:val="002D06E1"/>
    <w:rsid w:val="002D0844"/>
    <w:rsid w:val="002D0880"/>
    <w:rsid w:val="002D0FB2"/>
    <w:rsid w:val="002D1A56"/>
    <w:rsid w:val="002D1A9B"/>
    <w:rsid w:val="002D1D50"/>
    <w:rsid w:val="002D30A9"/>
    <w:rsid w:val="002D34A2"/>
    <w:rsid w:val="002D36BB"/>
    <w:rsid w:val="002D3D35"/>
    <w:rsid w:val="002D73EA"/>
    <w:rsid w:val="002E006C"/>
    <w:rsid w:val="002E0E2B"/>
    <w:rsid w:val="002E1C24"/>
    <w:rsid w:val="002E230C"/>
    <w:rsid w:val="002E2570"/>
    <w:rsid w:val="002E2BEA"/>
    <w:rsid w:val="002E2E07"/>
    <w:rsid w:val="002E330D"/>
    <w:rsid w:val="002E3A2C"/>
    <w:rsid w:val="002E4131"/>
    <w:rsid w:val="002E70A1"/>
    <w:rsid w:val="002E760B"/>
    <w:rsid w:val="002E7B64"/>
    <w:rsid w:val="002F0639"/>
    <w:rsid w:val="002F0791"/>
    <w:rsid w:val="002F0CED"/>
    <w:rsid w:val="002F0FE5"/>
    <w:rsid w:val="002F1F73"/>
    <w:rsid w:val="002F271D"/>
    <w:rsid w:val="002F2978"/>
    <w:rsid w:val="002F37FA"/>
    <w:rsid w:val="002F3C4B"/>
    <w:rsid w:val="002F3CBF"/>
    <w:rsid w:val="002F408D"/>
    <w:rsid w:val="002F639A"/>
    <w:rsid w:val="002F6741"/>
    <w:rsid w:val="002F6B61"/>
    <w:rsid w:val="002F770A"/>
    <w:rsid w:val="002F7C37"/>
    <w:rsid w:val="003005F9"/>
    <w:rsid w:val="0030067F"/>
    <w:rsid w:val="00301475"/>
    <w:rsid w:val="0030150C"/>
    <w:rsid w:val="00302356"/>
    <w:rsid w:val="003026AA"/>
    <w:rsid w:val="00302A15"/>
    <w:rsid w:val="00302EAE"/>
    <w:rsid w:val="0030434E"/>
    <w:rsid w:val="003044CC"/>
    <w:rsid w:val="00304CA9"/>
    <w:rsid w:val="003053E3"/>
    <w:rsid w:val="00305B15"/>
    <w:rsid w:val="00305C21"/>
    <w:rsid w:val="003064FA"/>
    <w:rsid w:val="003065DC"/>
    <w:rsid w:val="003073AB"/>
    <w:rsid w:val="00307F85"/>
    <w:rsid w:val="00310844"/>
    <w:rsid w:val="003109E4"/>
    <w:rsid w:val="00310ACD"/>
    <w:rsid w:val="00311201"/>
    <w:rsid w:val="00311D23"/>
    <w:rsid w:val="003122C6"/>
    <w:rsid w:val="003126AC"/>
    <w:rsid w:val="0031290C"/>
    <w:rsid w:val="00312C58"/>
    <w:rsid w:val="00314350"/>
    <w:rsid w:val="00314E14"/>
    <w:rsid w:val="00315497"/>
    <w:rsid w:val="00315924"/>
    <w:rsid w:val="00315D24"/>
    <w:rsid w:val="003164A6"/>
    <w:rsid w:val="00317157"/>
    <w:rsid w:val="003175E4"/>
    <w:rsid w:val="00317D40"/>
    <w:rsid w:val="003209A9"/>
    <w:rsid w:val="003209B7"/>
    <w:rsid w:val="00321144"/>
    <w:rsid w:val="00321A3C"/>
    <w:rsid w:val="00322864"/>
    <w:rsid w:val="00322CBB"/>
    <w:rsid w:val="003232DD"/>
    <w:rsid w:val="0032508F"/>
    <w:rsid w:val="0032607A"/>
    <w:rsid w:val="0032694A"/>
    <w:rsid w:val="00326B95"/>
    <w:rsid w:val="0032725B"/>
    <w:rsid w:val="00327278"/>
    <w:rsid w:val="003273BC"/>
    <w:rsid w:val="00327DDF"/>
    <w:rsid w:val="00327F76"/>
    <w:rsid w:val="00330BA5"/>
    <w:rsid w:val="00331CC3"/>
    <w:rsid w:val="00332883"/>
    <w:rsid w:val="003329F1"/>
    <w:rsid w:val="003331B6"/>
    <w:rsid w:val="003335D3"/>
    <w:rsid w:val="00334284"/>
    <w:rsid w:val="003355F3"/>
    <w:rsid w:val="00335DF9"/>
    <w:rsid w:val="00336513"/>
    <w:rsid w:val="00340227"/>
    <w:rsid w:val="00340E5A"/>
    <w:rsid w:val="0034158B"/>
    <w:rsid w:val="0034172A"/>
    <w:rsid w:val="00341785"/>
    <w:rsid w:val="003427A0"/>
    <w:rsid w:val="003427E9"/>
    <w:rsid w:val="0034328E"/>
    <w:rsid w:val="00343460"/>
    <w:rsid w:val="00343601"/>
    <w:rsid w:val="0034374F"/>
    <w:rsid w:val="00343D13"/>
    <w:rsid w:val="003440C2"/>
    <w:rsid w:val="003448FD"/>
    <w:rsid w:val="003450AD"/>
    <w:rsid w:val="00345589"/>
    <w:rsid w:val="0034673C"/>
    <w:rsid w:val="00346ACF"/>
    <w:rsid w:val="00350D8E"/>
    <w:rsid w:val="003515ED"/>
    <w:rsid w:val="00351E7A"/>
    <w:rsid w:val="00352000"/>
    <w:rsid w:val="00352DA2"/>
    <w:rsid w:val="00353387"/>
    <w:rsid w:val="00353D17"/>
    <w:rsid w:val="00354CB9"/>
    <w:rsid w:val="00355295"/>
    <w:rsid w:val="0035583E"/>
    <w:rsid w:val="00355885"/>
    <w:rsid w:val="003567F0"/>
    <w:rsid w:val="00357438"/>
    <w:rsid w:val="0036191E"/>
    <w:rsid w:val="00362495"/>
    <w:rsid w:val="003626C1"/>
    <w:rsid w:val="00363170"/>
    <w:rsid w:val="0036420C"/>
    <w:rsid w:val="00364465"/>
    <w:rsid w:val="003646BA"/>
    <w:rsid w:val="003648BC"/>
    <w:rsid w:val="00364914"/>
    <w:rsid w:val="00365317"/>
    <w:rsid w:val="003655DC"/>
    <w:rsid w:val="00366594"/>
    <w:rsid w:val="00366731"/>
    <w:rsid w:val="0036740D"/>
    <w:rsid w:val="00370D43"/>
    <w:rsid w:val="00370FEE"/>
    <w:rsid w:val="0037115D"/>
    <w:rsid w:val="00372407"/>
    <w:rsid w:val="003740F2"/>
    <w:rsid w:val="0037502B"/>
    <w:rsid w:val="003768B3"/>
    <w:rsid w:val="0037693E"/>
    <w:rsid w:val="003773AB"/>
    <w:rsid w:val="0037748C"/>
    <w:rsid w:val="00377754"/>
    <w:rsid w:val="00380582"/>
    <w:rsid w:val="00380915"/>
    <w:rsid w:val="00380919"/>
    <w:rsid w:val="00381390"/>
    <w:rsid w:val="00381434"/>
    <w:rsid w:val="0038207E"/>
    <w:rsid w:val="00382092"/>
    <w:rsid w:val="00382C75"/>
    <w:rsid w:val="00383A7A"/>
    <w:rsid w:val="00383ED6"/>
    <w:rsid w:val="003849EB"/>
    <w:rsid w:val="00384A27"/>
    <w:rsid w:val="003858B8"/>
    <w:rsid w:val="00386CDD"/>
    <w:rsid w:val="00386FCC"/>
    <w:rsid w:val="00387081"/>
    <w:rsid w:val="0038787B"/>
    <w:rsid w:val="003903D3"/>
    <w:rsid w:val="00390954"/>
    <w:rsid w:val="00391196"/>
    <w:rsid w:val="003918F9"/>
    <w:rsid w:val="00392708"/>
    <w:rsid w:val="003929CD"/>
    <w:rsid w:val="00393126"/>
    <w:rsid w:val="003946A5"/>
    <w:rsid w:val="00394C7B"/>
    <w:rsid w:val="00396BEE"/>
    <w:rsid w:val="00397B6C"/>
    <w:rsid w:val="003A05D6"/>
    <w:rsid w:val="003A05F4"/>
    <w:rsid w:val="003A15D2"/>
    <w:rsid w:val="003A1CC2"/>
    <w:rsid w:val="003A2561"/>
    <w:rsid w:val="003A25A5"/>
    <w:rsid w:val="003A28F9"/>
    <w:rsid w:val="003A2B9E"/>
    <w:rsid w:val="003A3240"/>
    <w:rsid w:val="003A36A7"/>
    <w:rsid w:val="003A3929"/>
    <w:rsid w:val="003A4888"/>
    <w:rsid w:val="003A49D9"/>
    <w:rsid w:val="003A4D38"/>
    <w:rsid w:val="003A58CC"/>
    <w:rsid w:val="003A5C8F"/>
    <w:rsid w:val="003A6537"/>
    <w:rsid w:val="003A65A7"/>
    <w:rsid w:val="003A6985"/>
    <w:rsid w:val="003A6BCC"/>
    <w:rsid w:val="003A740C"/>
    <w:rsid w:val="003A7B79"/>
    <w:rsid w:val="003A7D98"/>
    <w:rsid w:val="003B1AC2"/>
    <w:rsid w:val="003B1CC4"/>
    <w:rsid w:val="003B21F6"/>
    <w:rsid w:val="003B2B8F"/>
    <w:rsid w:val="003B2BD5"/>
    <w:rsid w:val="003B3B34"/>
    <w:rsid w:val="003B3C29"/>
    <w:rsid w:val="003B4DED"/>
    <w:rsid w:val="003B50A1"/>
    <w:rsid w:val="003B5C7B"/>
    <w:rsid w:val="003B6749"/>
    <w:rsid w:val="003B79B2"/>
    <w:rsid w:val="003C0246"/>
    <w:rsid w:val="003C0C1A"/>
    <w:rsid w:val="003C2065"/>
    <w:rsid w:val="003C29EB"/>
    <w:rsid w:val="003C2C7E"/>
    <w:rsid w:val="003C3079"/>
    <w:rsid w:val="003C3973"/>
    <w:rsid w:val="003C3F1A"/>
    <w:rsid w:val="003C445A"/>
    <w:rsid w:val="003C486D"/>
    <w:rsid w:val="003C49FA"/>
    <w:rsid w:val="003C512F"/>
    <w:rsid w:val="003C63C3"/>
    <w:rsid w:val="003C7082"/>
    <w:rsid w:val="003C7D76"/>
    <w:rsid w:val="003D15C2"/>
    <w:rsid w:val="003D19C0"/>
    <w:rsid w:val="003D1E91"/>
    <w:rsid w:val="003D43DC"/>
    <w:rsid w:val="003D461B"/>
    <w:rsid w:val="003D46E5"/>
    <w:rsid w:val="003D4974"/>
    <w:rsid w:val="003D5B53"/>
    <w:rsid w:val="003D65B1"/>
    <w:rsid w:val="003D6AE9"/>
    <w:rsid w:val="003D6BDE"/>
    <w:rsid w:val="003D6C40"/>
    <w:rsid w:val="003E0BA8"/>
    <w:rsid w:val="003E1598"/>
    <w:rsid w:val="003E1BCA"/>
    <w:rsid w:val="003E1C57"/>
    <w:rsid w:val="003E1D43"/>
    <w:rsid w:val="003E2D21"/>
    <w:rsid w:val="003E3019"/>
    <w:rsid w:val="003E46B3"/>
    <w:rsid w:val="003E58CF"/>
    <w:rsid w:val="003E7AE7"/>
    <w:rsid w:val="003F215A"/>
    <w:rsid w:val="003F2914"/>
    <w:rsid w:val="003F345F"/>
    <w:rsid w:val="003F358E"/>
    <w:rsid w:val="003F368A"/>
    <w:rsid w:val="003F3831"/>
    <w:rsid w:val="003F4AA0"/>
    <w:rsid w:val="003F4F9C"/>
    <w:rsid w:val="003F5951"/>
    <w:rsid w:val="003F5966"/>
    <w:rsid w:val="003F6234"/>
    <w:rsid w:val="003F6AF7"/>
    <w:rsid w:val="003F6DB7"/>
    <w:rsid w:val="00400409"/>
    <w:rsid w:val="00400AD8"/>
    <w:rsid w:val="00400C0F"/>
    <w:rsid w:val="0040200E"/>
    <w:rsid w:val="00402215"/>
    <w:rsid w:val="00402616"/>
    <w:rsid w:val="00403316"/>
    <w:rsid w:val="00403382"/>
    <w:rsid w:val="00403387"/>
    <w:rsid w:val="0040339C"/>
    <w:rsid w:val="00403580"/>
    <w:rsid w:val="00403FF7"/>
    <w:rsid w:val="0040438D"/>
    <w:rsid w:val="0040736D"/>
    <w:rsid w:val="0040737F"/>
    <w:rsid w:val="00407E9A"/>
    <w:rsid w:val="00410251"/>
    <w:rsid w:val="00410A53"/>
    <w:rsid w:val="00410C8B"/>
    <w:rsid w:val="00410E26"/>
    <w:rsid w:val="00410F7E"/>
    <w:rsid w:val="00411532"/>
    <w:rsid w:val="00411A7E"/>
    <w:rsid w:val="00412200"/>
    <w:rsid w:val="0041267B"/>
    <w:rsid w:val="00412955"/>
    <w:rsid w:val="00412C4A"/>
    <w:rsid w:val="00412D51"/>
    <w:rsid w:val="00414672"/>
    <w:rsid w:val="00414A5A"/>
    <w:rsid w:val="00414D30"/>
    <w:rsid w:val="004168FC"/>
    <w:rsid w:val="004173B9"/>
    <w:rsid w:val="00417574"/>
    <w:rsid w:val="00420F0A"/>
    <w:rsid w:val="00421396"/>
    <w:rsid w:val="00421A0E"/>
    <w:rsid w:val="00421A14"/>
    <w:rsid w:val="00422027"/>
    <w:rsid w:val="00423760"/>
    <w:rsid w:val="00423928"/>
    <w:rsid w:val="00425131"/>
    <w:rsid w:val="0042778D"/>
    <w:rsid w:val="0043042E"/>
    <w:rsid w:val="00430B71"/>
    <w:rsid w:val="0043176D"/>
    <w:rsid w:val="00431DA3"/>
    <w:rsid w:val="004320AB"/>
    <w:rsid w:val="004321BA"/>
    <w:rsid w:val="004322EA"/>
    <w:rsid w:val="004328DA"/>
    <w:rsid w:val="00433749"/>
    <w:rsid w:val="004344DA"/>
    <w:rsid w:val="00435783"/>
    <w:rsid w:val="00435D20"/>
    <w:rsid w:val="00435D4B"/>
    <w:rsid w:val="00437155"/>
    <w:rsid w:val="004374A6"/>
    <w:rsid w:val="0044079B"/>
    <w:rsid w:val="00440839"/>
    <w:rsid w:val="00440A84"/>
    <w:rsid w:val="00441C99"/>
    <w:rsid w:val="00442A81"/>
    <w:rsid w:val="00443394"/>
    <w:rsid w:val="004436BE"/>
    <w:rsid w:val="00443954"/>
    <w:rsid w:val="00444970"/>
    <w:rsid w:val="00445059"/>
    <w:rsid w:val="004457D2"/>
    <w:rsid w:val="00446C7B"/>
    <w:rsid w:val="00447203"/>
    <w:rsid w:val="004473B4"/>
    <w:rsid w:val="00450525"/>
    <w:rsid w:val="00450A4B"/>
    <w:rsid w:val="00452EB5"/>
    <w:rsid w:val="00454CE2"/>
    <w:rsid w:val="004550AC"/>
    <w:rsid w:val="004552A4"/>
    <w:rsid w:val="0045664D"/>
    <w:rsid w:val="0045709B"/>
    <w:rsid w:val="00457EDE"/>
    <w:rsid w:val="00460243"/>
    <w:rsid w:val="0046119E"/>
    <w:rsid w:val="004611A2"/>
    <w:rsid w:val="00462716"/>
    <w:rsid w:val="0046393B"/>
    <w:rsid w:val="004646FC"/>
    <w:rsid w:val="00464FAB"/>
    <w:rsid w:val="00464FFF"/>
    <w:rsid w:val="0046655D"/>
    <w:rsid w:val="0046712F"/>
    <w:rsid w:val="00471647"/>
    <w:rsid w:val="00473EAD"/>
    <w:rsid w:val="00473F93"/>
    <w:rsid w:val="00474C88"/>
    <w:rsid w:val="00474E95"/>
    <w:rsid w:val="0047703C"/>
    <w:rsid w:val="00477AD1"/>
    <w:rsid w:val="00477EA3"/>
    <w:rsid w:val="00477F5C"/>
    <w:rsid w:val="004807ED"/>
    <w:rsid w:val="0048149B"/>
    <w:rsid w:val="00481C0C"/>
    <w:rsid w:val="00481EDF"/>
    <w:rsid w:val="00482D46"/>
    <w:rsid w:val="00482E13"/>
    <w:rsid w:val="0048516D"/>
    <w:rsid w:val="0048519A"/>
    <w:rsid w:val="00485E65"/>
    <w:rsid w:val="0049038F"/>
    <w:rsid w:val="0049054C"/>
    <w:rsid w:val="00490BDC"/>
    <w:rsid w:val="00491395"/>
    <w:rsid w:val="00491EB6"/>
    <w:rsid w:val="004922DA"/>
    <w:rsid w:val="004925EF"/>
    <w:rsid w:val="004928B4"/>
    <w:rsid w:val="004937F1"/>
    <w:rsid w:val="00493885"/>
    <w:rsid w:val="00493BED"/>
    <w:rsid w:val="00493E43"/>
    <w:rsid w:val="00493E7D"/>
    <w:rsid w:val="0049409D"/>
    <w:rsid w:val="004940BE"/>
    <w:rsid w:val="0049441F"/>
    <w:rsid w:val="0049476C"/>
    <w:rsid w:val="00495114"/>
    <w:rsid w:val="00495AF2"/>
    <w:rsid w:val="0049751A"/>
    <w:rsid w:val="004979C0"/>
    <w:rsid w:val="00497ABB"/>
    <w:rsid w:val="00497DB3"/>
    <w:rsid w:val="004A172B"/>
    <w:rsid w:val="004A213A"/>
    <w:rsid w:val="004A4836"/>
    <w:rsid w:val="004A7431"/>
    <w:rsid w:val="004A7683"/>
    <w:rsid w:val="004B0F3A"/>
    <w:rsid w:val="004B10F2"/>
    <w:rsid w:val="004B171D"/>
    <w:rsid w:val="004B18A9"/>
    <w:rsid w:val="004B2362"/>
    <w:rsid w:val="004B3989"/>
    <w:rsid w:val="004B3F10"/>
    <w:rsid w:val="004B4436"/>
    <w:rsid w:val="004B4940"/>
    <w:rsid w:val="004B4D96"/>
    <w:rsid w:val="004B68D4"/>
    <w:rsid w:val="004B6A4D"/>
    <w:rsid w:val="004B786A"/>
    <w:rsid w:val="004C0241"/>
    <w:rsid w:val="004C0D07"/>
    <w:rsid w:val="004C1112"/>
    <w:rsid w:val="004C11B4"/>
    <w:rsid w:val="004C2353"/>
    <w:rsid w:val="004C3C2C"/>
    <w:rsid w:val="004C408F"/>
    <w:rsid w:val="004C4277"/>
    <w:rsid w:val="004C42D3"/>
    <w:rsid w:val="004C4900"/>
    <w:rsid w:val="004C5274"/>
    <w:rsid w:val="004C53BA"/>
    <w:rsid w:val="004C53FF"/>
    <w:rsid w:val="004C5DE4"/>
    <w:rsid w:val="004C76D7"/>
    <w:rsid w:val="004D17D3"/>
    <w:rsid w:val="004D18D7"/>
    <w:rsid w:val="004D1AF8"/>
    <w:rsid w:val="004D2192"/>
    <w:rsid w:val="004D2FF5"/>
    <w:rsid w:val="004D34BD"/>
    <w:rsid w:val="004D354C"/>
    <w:rsid w:val="004D5F53"/>
    <w:rsid w:val="004D625B"/>
    <w:rsid w:val="004D71E9"/>
    <w:rsid w:val="004D7667"/>
    <w:rsid w:val="004E2AC5"/>
    <w:rsid w:val="004E31BC"/>
    <w:rsid w:val="004E3B21"/>
    <w:rsid w:val="004E624E"/>
    <w:rsid w:val="004E6632"/>
    <w:rsid w:val="004F01C5"/>
    <w:rsid w:val="004F0FD9"/>
    <w:rsid w:val="004F16A8"/>
    <w:rsid w:val="004F3387"/>
    <w:rsid w:val="004F3B3A"/>
    <w:rsid w:val="004F4524"/>
    <w:rsid w:val="004F4F75"/>
    <w:rsid w:val="004F52B4"/>
    <w:rsid w:val="004F618F"/>
    <w:rsid w:val="004F62F0"/>
    <w:rsid w:val="004F68FC"/>
    <w:rsid w:val="004F6E62"/>
    <w:rsid w:val="004F7341"/>
    <w:rsid w:val="004F7940"/>
    <w:rsid w:val="004F79F1"/>
    <w:rsid w:val="004F7E5B"/>
    <w:rsid w:val="00500DA5"/>
    <w:rsid w:val="005013FC"/>
    <w:rsid w:val="00501707"/>
    <w:rsid w:val="0050261B"/>
    <w:rsid w:val="0050324E"/>
    <w:rsid w:val="00504125"/>
    <w:rsid w:val="00504747"/>
    <w:rsid w:val="0050603D"/>
    <w:rsid w:val="005074B1"/>
    <w:rsid w:val="0051023B"/>
    <w:rsid w:val="00510410"/>
    <w:rsid w:val="00510706"/>
    <w:rsid w:val="005114B5"/>
    <w:rsid w:val="00511BED"/>
    <w:rsid w:val="0051339B"/>
    <w:rsid w:val="0051353A"/>
    <w:rsid w:val="00513650"/>
    <w:rsid w:val="00513C7F"/>
    <w:rsid w:val="0051445F"/>
    <w:rsid w:val="005148A3"/>
    <w:rsid w:val="00515A60"/>
    <w:rsid w:val="00516310"/>
    <w:rsid w:val="00516B46"/>
    <w:rsid w:val="00516CD8"/>
    <w:rsid w:val="00516E9B"/>
    <w:rsid w:val="00517A12"/>
    <w:rsid w:val="00517B39"/>
    <w:rsid w:val="00520080"/>
    <w:rsid w:val="00520205"/>
    <w:rsid w:val="005204F7"/>
    <w:rsid w:val="0052061C"/>
    <w:rsid w:val="00520E36"/>
    <w:rsid w:val="00521338"/>
    <w:rsid w:val="005217AF"/>
    <w:rsid w:val="00521E31"/>
    <w:rsid w:val="00521FC7"/>
    <w:rsid w:val="0052263D"/>
    <w:rsid w:val="00522A40"/>
    <w:rsid w:val="00522E0E"/>
    <w:rsid w:val="00523BB4"/>
    <w:rsid w:val="00523CB6"/>
    <w:rsid w:val="0052400A"/>
    <w:rsid w:val="00524DA6"/>
    <w:rsid w:val="00526104"/>
    <w:rsid w:val="0052625B"/>
    <w:rsid w:val="00530F3A"/>
    <w:rsid w:val="00531238"/>
    <w:rsid w:val="0053174E"/>
    <w:rsid w:val="0053189C"/>
    <w:rsid w:val="0053199F"/>
    <w:rsid w:val="00531B5C"/>
    <w:rsid w:val="00532D42"/>
    <w:rsid w:val="00532FF2"/>
    <w:rsid w:val="00533163"/>
    <w:rsid w:val="00533A9F"/>
    <w:rsid w:val="00534411"/>
    <w:rsid w:val="0053673A"/>
    <w:rsid w:val="005401CC"/>
    <w:rsid w:val="00540D81"/>
    <w:rsid w:val="005411C5"/>
    <w:rsid w:val="00541D96"/>
    <w:rsid w:val="0054200C"/>
    <w:rsid w:val="005421FA"/>
    <w:rsid w:val="005424A8"/>
    <w:rsid w:val="00543677"/>
    <w:rsid w:val="005437CC"/>
    <w:rsid w:val="00543C11"/>
    <w:rsid w:val="00543CCF"/>
    <w:rsid w:val="00544258"/>
    <w:rsid w:val="00544311"/>
    <w:rsid w:val="0054434A"/>
    <w:rsid w:val="00544A44"/>
    <w:rsid w:val="00544F06"/>
    <w:rsid w:val="0054508D"/>
    <w:rsid w:val="00545364"/>
    <w:rsid w:val="00545BB8"/>
    <w:rsid w:val="0054680D"/>
    <w:rsid w:val="00546DC2"/>
    <w:rsid w:val="00547557"/>
    <w:rsid w:val="0054758E"/>
    <w:rsid w:val="005518EA"/>
    <w:rsid w:val="00551C36"/>
    <w:rsid w:val="00551CBA"/>
    <w:rsid w:val="00552C8A"/>
    <w:rsid w:val="00552EC1"/>
    <w:rsid w:val="00553108"/>
    <w:rsid w:val="005539BB"/>
    <w:rsid w:val="00554201"/>
    <w:rsid w:val="00554568"/>
    <w:rsid w:val="005545CF"/>
    <w:rsid w:val="00554F53"/>
    <w:rsid w:val="00555CE3"/>
    <w:rsid w:val="00556DFA"/>
    <w:rsid w:val="00557896"/>
    <w:rsid w:val="00557D16"/>
    <w:rsid w:val="00560C00"/>
    <w:rsid w:val="00561127"/>
    <w:rsid w:val="0056128A"/>
    <w:rsid w:val="0056195C"/>
    <w:rsid w:val="00561BB7"/>
    <w:rsid w:val="00564263"/>
    <w:rsid w:val="0056487A"/>
    <w:rsid w:val="00564D1D"/>
    <w:rsid w:val="00565370"/>
    <w:rsid w:val="0056643A"/>
    <w:rsid w:val="00567A7D"/>
    <w:rsid w:val="00567B74"/>
    <w:rsid w:val="005700BA"/>
    <w:rsid w:val="005719D6"/>
    <w:rsid w:val="00571E3D"/>
    <w:rsid w:val="005722FA"/>
    <w:rsid w:val="00573EBD"/>
    <w:rsid w:val="00574992"/>
    <w:rsid w:val="00575FD1"/>
    <w:rsid w:val="0057697C"/>
    <w:rsid w:val="00576B28"/>
    <w:rsid w:val="00576CCE"/>
    <w:rsid w:val="00577714"/>
    <w:rsid w:val="00577A21"/>
    <w:rsid w:val="00577F12"/>
    <w:rsid w:val="00580777"/>
    <w:rsid w:val="00581400"/>
    <w:rsid w:val="0058159D"/>
    <w:rsid w:val="005831E0"/>
    <w:rsid w:val="00583AC7"/>
    <w:rsid w:val="00584DB6"/>
    <w:rsid w:val="0058569A"/>
    <w:rsid w:val="005862E4"/>
    <w:rsid w:val="00586FA4"/>
    <w:rsid w:val="005872E1"/>
    <w:rsid w:val="00587490"/>
    <w:rsid w:val="00587A7C"/>
    <w:rsid w:val="005900A5"/>
    <w:rsid w:val="00590223"/>
    <w:rsid w:val="005907D8"/>
    <w:rsid w:val="00590B77"/>
    <w:rsid w:val="00590E70"/>
    <w:rsid w:val="005915A9"/>
    <w:rsid w:val="00591F9E"/>
    <w:rsid w:val="005921CE"/>
    <w:rsid w:val="0059239A"/>
    <w:rsid w:val="005924E7"/>
    <w:rsid w:val="00592A26"/>
    <w:rsid w:val="00592A2C"/>
    <w:rsid w:val="005934A6"/>
    <w:rsid w:val="005938C6"/>
    <w:rsid w:val="00593B34"/>
    <w:rsid w:val="00593E64"/>
    <w:rsid w:val="00595050"/>
    <w:rsid w:val="00597B40"/>
    <w:rsid w:val="005A0119"/>
    <w:rsid w:val="005A0760"/>
    <w:rsid w:val="005A16E1"/>
    <w:rsid w:val="005A1C4D"/>
    <w:rsid w:val="005A4128"/>
    <w:rsid w:val="005A6013"/>
    <w:rsid w:val="005A6087"/>
    <w:rsid w:val="005A71E9"/>
    <w:rsid w:val="005A735A"/>
    <w:rsid w:val="005A7962"/>
    <w:rsid w:val="005B02FA"/>
    <w:rsid w:val="005B0EAB"/>
    <w:rsid w:val="005B1257"/>
    <w:rsid w:val="005B16BF"/>
    <w:rsid w:val="005B1951"/>
    <w:rsid w:val="005B264B"/>
    <w:rsid w:val="005B2FA1"/>
    <w:rsid w:val="005B5312"/>
    <w:rsid w:val="005B6206"/>
    <w:rsid w:val="005B6450"/>
    <w:rsid w:val="005B65AB"/>
    <w:rsid w:val="005B7F91"/>
    <w:rsid w:val="005C07C4"/>
    <w:rsid w:val="005C103F"/>
    <w:rsid w:val="005C12B0"/>
    <w:rsid w:val="005C346E"/>
    <w:rsid w:val="005C354F"/>
    <w:rsid w:val="005C4DB2"/>
    <w:rsid w:val="005C4DC1"/>
    <w:rsid w:val="005C4FC2"/>
    <w:rsid w:val="005C619C"/>
    <w:rsid w:val="005C76D3"/>
    <w:rsid w:val="005D00A3"/>
    <w:rsid w:val="005D04CA"/>
    <w:rsid w:val="005D1A77"/>
    <w:rsid w:val="005D3590"/>
    <w:rsid w:val="005D439E"/>
    <w:rsid w:val="005D4770"/>
    <w:rsid w:val="005D52B8"/>
    <w:rsid w:val="005D5AA8"/>
    <w:rsid w:val="005D697F"/>
    <w:rsid w:val="005D6A6B"/>
    <w:rsid w:val="005D78BF"/>
    <w:rsid w:val="005E038A"/>
    <w:rsid w:val="005E18A9"/>
    <w:rsid w:val="005E1D11"/>
    <w:rsid w:val="005E2DB5"/>
    <w:rsid w:val="005E2E8E"/>
    <w:rsid w:val="005E4DC5"/>
    <w:rsid w:val="005E4DCA"/>
    <w:rsid w:val="005E4F05"/>
    <w:rsid w:val="005E4F8C"/>
    <w:rsid w:val="005E57BD"/>
    <w:rsid w:val="005E5B60"/>
    <w:rsid w:val="005E696F"/>
    <w:rsid w:val="005E7845"/>
    <w:rsid w:val="005E78C6"/>
    <w:rsid w:val="005E7A42"/>
    <w:rsid w:val="005E7AD8"/>
    <w:rsid w:val="005F1252"/>
    <w:rsid w:val="005F369D"/>
    <w:rsid w:val="005F3E75"/>
    <w:rsid w:val="005F5796"/>
    <w:rsid w:val="005F631A"/>
    <w:rsid w:val="005F6C20"/>
    <w:rsid w:val="005F71E6"/>
    <w:rsid w:val="0060013E"/>
    <w:rsid w:val="006002F4"/>
    <w:rsid w:val="00601600"/>
    <w:rsid w:val="00601629"/>
    <w:rsid w:val="006024CA"/>
    <w:rsid w:val="00602D0F"/>
    <w:rsid w:val="006037CD"/>
    <w:rsid w:val="00603FF6"/>
    <w:rsid w:val="006040D1"/>
    <w:rsid w:val="006048A1"/>
    <w:rsid w:val="00604D0E"/>
    <w:rsid w:val="006059A6"/>
    <w:rsid w:val="00605BD3"/>
    <w:rsid w:val="00606BF9"/>
    <w:rsid w:val="00607737"/>
    <w:rsid w:val="0061078B"/>
    <w:rsid w:val="006117B7"/>
    <w:rsid w:val="006121B3"/>
    <w:rsid w:val="0061424E"/>
    <w:rsid w:val="00614477"/>
    <w:rsid w:val="006144F0"/>
    <w:rsid w:val="00614C71"/>
    <w:rsid w:val="006155F5"/>
    <w:rsid w:val="00615C8D"/>
    <w:rsid w:val="0061616C"/>
    <w:rsid w:val="00617387"/>
    <w:rsid w:val="0061763D"/>
    <w:rsid w:val="00617C85"/>
    <w:rsid w:val="0062111C"/>
    <w:rsid w:val="00621998"/>
    <w:rsid w:val="00623013"/>
    <w:rsid w:val="00623A01"/>
    <w:rsid w:val="00624811"/>
    <w:rsid w:val="006252B1"/>
    <w:rsid w:val="0062576C"/>
    <w:rsid w:val="006258FF"/>
    <w:rsid w:val="00625B72"/>
    <w:rsid w:val="0062671D"/>
    <w:rsid w:val="00626B21"/>
    <w:rsid w:val="0062751B"/>
    <w:rsid w:val="00627CC2"/>
    <w:rsid w:val="00627EB9"/>
    <w:rsid w:val="00627F1E"/>
    <w:rsid w:val="00630284"/>
    <w:rsid w:val="0063057C"/>
    <w:rsid w:val="006309CE"/>
    <w:rsid w:val="00630E63"/>
    <w:rsid w:val="00630EEE"/>
    <w:rsid w:val="00631EEB"/>
    <w:rsid w:val="006320DD"/>
    <w:rsid w:val="0063285F"/>
    <w:rsid w:val="00632915"/>
    <w:rsid w:val="00633427"/>
    <w:rsid w:val="00634BCF"/>
    <w:rsid w:val="006359A4"/>
    <w:rsid w:val="00636525"/>
    <w:rsid w:val="00636673"/>
    <w:rsid w:val="00637421"/>
    <w:rsid w:val="0064180B"/>
    <w:rsid w:val="00641B88"/>
    <w:rsid w:val="00642A50"/>
    <w:rsid w:val="00644C72"/>
    <w:rsid w:val="00644CCC"/>
    <w:rsid w:val="00644FD0"/>
    <w:rsid w:val="00645447"/>
    <w:rsid w:val="00645B06"/>
    <w:rsid w:val="00645B54"/>
    <w:rsid w:val="00645FB9"/>
    <w:rsid w:val="00647A7D"/>
    <w:rsid w:val="00647AC4"/>
    <w:rsid w:val="00647EB9"/>
    <w:rsid w:val="00647EE1"/>
    <w:rsid w:val="0065011A"/>
    <w:rsid w:val="00650526"/>
    <w:rsid w:val="0065164B"/>
    <w:rsid w:val="00651D62"/>
    <w:rsid w:val="006520BD"/>
    <w:rsid w:val="00652A35"/>
    <w:rsid w:val="00655B5B"/>
    <w:rsid w:val="00656948"/>
    <w:rsid w:val="0066023F"/>
    <w:rsid w:val="00660BDA"/>
    <w:rsid w:val="0066292F"/>
    <w:rsid w:val="006629B8"/>
    <w:rsid w:val="00662D74"/>
    <w:rsid w:val="00663DA9"/>
    <w:rsid w:val="00664041"/>
    <w:rsid w:val="006647A2"/>
    <w:rsid w:val="0066608A"/>
    <w:rsid w:val="0067081A"/>
    <w:rsid w:val="00672CFD"/>
    <w:rsid w:val="006737F5"/>
    <w:rsid w:val="00673DF0"/>
    <w:rsid w:val="00673E45"/>
    <w:rsid w:val="00673F4E"/>
    <w:rsid w:val="00674DFF"/>
    <w:rsid w:val="00676C9D"/>
    <w:rsid w:val="00677C36"/>
    <w:rsid w:val="00677EA2"/>
    <w:rsid w:val="00680431"/>
    <w:rsid w:val="00680FF2"/>
    <w:rsid w:val="00682072"/>
    <w:rsid w:val="00682C39"/>
    <w:rsid w:val="00683067"/>
    <w:rsid w:val="00683584"/>
    <w:rsid w:val="00683C18"/>
    <w:rsid w:val="006854D9"/>
    <w:rsid w:val="00685EB7"/>
    <w:rsid w:val="00686381"/>
    <w:rsid w:val="006866D6"/>
    <w:rsid w:val="006866F0"/>
    <w:rsid w:val="00686A0D"/>
    <w:rsid w:val="00686F8D"/>
    <w:rsid w:val="00687F4B"/>
    <w:rsid w:val="00690476"/>
    <w:rsid w:val="006922EE"/>
    <w:rsid w:val="0069296D"/>
    <w:rsid w:val="00692CD8"/>
    <w:rsid w:val="006950AD"/>
    <w:rsid w:val="00695535"/>
    <w:rsid w:val="006965CD"/>
    <w:rsid w:val="00696DCA"/>
    <w:rsid w:val="0069772A"/>
    <w:rsid w:val="0069797D"/>
    <w:rsid w:val="00697BA5"/>
    <w:rsid w:val="006A0826"/>
    <w:rsid w:val="006A1149"/>
    <w:rsid w:val="006A1279"/>
    <w:rsid w:val="006A144C"/>
    <w:rsid w:val="006A1738"/>
    <w:rsid w:val="006A191D"/>
    <w:rsid w:val="006A1AD5"/>
    <w:rsid w:val="006A22D6"/>
    <w:rsid w:val="006A2ECC"/>
    <w:rsid w:val="006A3B0C"/>
    <w:rsid w:val="006A3B6A"/>
    <w:rsid w:val="006A3C15"/>
    <w:rsid w:val="006A3CF5"/>
    <w:rsid w:val="006A63E1"/>
    <w:rsid w:val="006A6D08"/>
    <w:rsid w:val="006A6F3A"/>
    <w:rsid w:val="006A7AF6"/>
    <w:rsid w:val="006A7B1D"/>
    <w:rsid w:val="006B092C"/>
    <w:rsid w:val="006B0B1F"/>
    <w:rsid w:val="006B1EE1"/>
    <w:rsid w:val="006B1FD0"/>
    <w:rsid w:val="006B3581"/>
    <w:rsid w:val="006B5AFE"/>
    <w:rsid w:val="006B5D3B"/>
    <w:rsid w:val="006B65E8"/>
    <w:rsid w:val="006B7DA1"/>
    <w:rsid w:val="006C04F0"/>
    <w:rsid w:val="006C13FF"/>
    <w:rsid w:val="006C1486"/>
    <w:rsid w:val="006C2258"/>
    <w:rsid w:val="006C5476"/>
    <w:rsid w:val="006C57CC"/>
    <w:rsid w:val="006C5AE1"/>
    <w:rsid w:val="006C6168"/>
    <w:rsid w:val="006C62BD"/>
    <w:rsid w:val="006C63F9"/>
    <w:rsid w:val="006C6459"/>
    <w:rsid w:val="006C7358"/>
    <w:rsid w:val="006D00A1"/>
    <w:rsid w:val="006D03C9"/>
    <w:rsid w:val="006D0616"/>
    <w:rsid w:val="006D069A"/>
    <w:rsid w:val="006D075E"/>
    <w:rsid w:val="006D15D3"/>
    <w:rsid w:val="006D28D4"/>
    <w:rsid w:val="006D2B4E"/>
    <w:rsid w:val="006D37F0"/>
    <w:rsid w:val="006D3B2E"/>
    <w:rsid w:val="006D3DAC"/>
    <w:rsid w:val="006D4172"/>
    <w:rsid w:val="006D4322"/>
    <w:rsid w:val="006D51F9"/>
    <w:rsid w:val="006D5271"/>
    <w:rsid w:val="006D5562"/>
    <w:rsid w:val="006D5C5C"/>
    <w:rsid w:val="006D65C2"/>
    <w:rsid w:val="006D6787"/>
    <w:rsid w:val="006D6D47"/>
    <w:rsid w:val="006D7999"/>
    <w:rsid w:val="006D7AB5"/>
    <w:rsid w:val="006D7ECA"/>
    <w:rsid w:val="006E026E"/>
    <w:rsid w:val="006E1644"/>
    <w:rsid w:val="006E2979"/>
    <w:rsid w:val="006E2EE9"/>
    <w:rsid w:val="006E2FCC"/>
    <w:rsid w:val="006E31E2"/>
    <w:rsid w:val="006E33FD"/>
    <w:rsid w:val="006E3712"/>
    <w:rsid w:val="006E3F7C"/>
    <w:rsid w:val="006E4658"/>
    <w:rsid w:val="006E4735"/>
    <w:rsid w:val="006E4D32"/>
    <w:rsid w:val="006E680E"/>
    <w:rsid w:val="006E7830"/>
    <w:rsid w:val="006F1B38"/>
    <w:rsid w:val="006F1DE3"/>
    <w:rsid w:val="006F3921"/>
    <w:rsid w:val="006F4282"/>
    <w:rsid w:val="006F5BE8"/>
    <w:rsid w:val="006F5BE9"/>
    <w:rsid w:val="006F5E93"/>
    <w:rsid w:val="006F6E9B"/>
    <w:rsid w:val="006F6FEA"/>
    <w:rsid w:val="006F7B9B"/>
    <w:rsid w:val="00700418"/>
    <w:rsid w:val="0070137B"/>
    <w:rsid w:val="007013F4"/>
    <w:rsid w:val="00701FF2"/>
    <w:rsid w:val="0070295F"/>
    <w:rsid w:val="0070320C"/>
    <w:rsid w:val="007033CC"/>
    <w:rsid w:val="00703C1A"/>
    <w:rsid w:val="007048C1"/>
    <w:rsid w:val="00704C54"/>
    <w:rsid w:val="00705744"/>
    <w:rsid w:val="0070692D"/>
    <w:rsid w:val="00706B72"/>
    <w:rsid w:val="007070DC"/>
    <w:rsid w:val="0071056E"/>
    <w:rsid w:val="00710B4E"/>
    <w:rsid w:val="007111BA"/>
    <w:rsid w:val="0071184D"/>
    <w:rsid w:val="00711889"/>
    <w:rsid w:val="00711D5D"/>
    <w:rsid w:val="00712070"/>
    <w:rsid w:val="007125C8"/>
    <w:rsid w:val="00713098"/>
    <w:rsid w:val="00713BB2"/>
    <w:rsid w:val="00713CB8"/>
    <w:rsid w:val="00713DDD"/>
    <w:rsid w:val="00713FB3"/>
    <w:rsid w:val="00714E78"/>
    <w:rsid w:val="00717383"/>
    <w:rsid w:val="0071745D"/>
    <w:rsid w:val="00722701"/>
    <w:rsid w:val="0072281A"/>
    <w:rsid w:val="007239A4"/>
    <w:rsid w:val="007241EB"/>
    <w:rsid w:val="00724A5A"/>
    <w:rsid w:val="00724F3A"/>
    <w:rsid w:val="00725D8F"/>
    <w:rsid w:val="00726142"/>
    <w:rsid w:val="007267B8"/>
    <w:rsid w:val="00727B12"/>
    <w:rsid w:val="007301E0"/>
    <w:rsid w:val="007318AD"/>
    <w:rsid w:val="00731968"/>
    <w:rsid w:val="00731F01"/>
    <w:rsid w:val="007326BB"/>
    <w:rsid w:val="00734412"/>
    <w:rsid w:val="0073487A"/>
    <w:rsid w:val="00734AED"/>
    <w:rsid w:val="00734EE7"/>
    <w:rsid w:val="007356D1"/>
    <w:rsid w:val="007360A2"/>
    <w:rsid w:val="0073626F"/>
    <w:rsid w:val="00736E9A"/>
    <w:rsid w:val="00737608"/>
    <w:rsid w:val="00741E24"/>
    <w:rsid w:val="00742762"/>
    <w:rsid w:val="007432D5"/>
    <w:rsid w:val="0074339A"/>
    <w:rsid w:val="00743927"/>
    <w:rsid w:val="0074394D"/>
    <w:rsid w:val="00743A88"/>
    <w:rsid w:val="00743D39"/>
    <w:rsid w:val="007463B8"/>
    <w:rsid w:val="00746BD5"/>
    <w:rsid w:val="007471F1"/>
    <w:rsid w:val="0074782D"/>
    <w:rsid w:val="00750564"/>
    <w:rsid w:val="0075057A"/>
    <w:rsid w:val="00750868"/>
    <w:rsid w:val="00752917"/>
    <w:rsid w:val="00752C18"/>
    <w:rsid w:val="00752D73"/>
    <w:rsid w:val="00753190"/>
    <w:rsid w:val="007534E0"/>
    <w:rsid w:val="007537F8"/>
    <w:rsid w:val="007543DE"/>
    <w:rsid w:val="007549FE"/>
    <w:rsid w:val="00755661"/>
    <w:rsid w:val="0075569A"/>
    <w:rsid w:val="007558C0"/>
    <w:rsid w:val="00755F56"/>
    <w:rsid w:val="00756349"/>
    <w:rsid w:val="007572DE"/>
    <w:rsid w:val="00757A1D"/>
    <w:rsid w:val="0076014F"/>
    <w:rsid w:val="00760DDE"/>
    <w:rsid w:val="00762E54"/>
    <w:rsid w:val="00762F53"/>
    <w:rsid w:val="007643B1"/>
    <w:rsid w:val="007650EC"/>
    <w:rsid w:val="00765184"/>
    <w:rsid w:val="00765276"/>
    <w:rsid w:val="00766D54"/>
    <w:rsid w:val="00771990"/>
    <w:rsid w:val="007722ED"/>
    <w:rsid w:val="00772438"/>
    <w:rsid w:val="0077268D"/>
    <w:rsid w:val="007730D0"/>
    <w:rsid w:val="00773638"/>
    <w:rsid w:val="00773A1B"/>
    <w:rsid w:val="00773B5F"/>
    <w:rsid w:val="0077457A"/>
    <w:rsid w:val="00775DE1"/>
    <w:rsid w:val="0077636D"/>
    <w:rsid w:val="00776876"/>
    <w:rsid w:val="00776D80"/>
    <w:rsid w:val="00777368"/>
    <w:rsid w:val="00777D3D"/>
    <w:rsid w:val="00780706"/>
    <w:rsid w:val="00783435"/>
    <w:rsid w:val="00783EC3"/>
    <w:rsid w:val="0078553F"/>
    <w:rsid w:val="00785DB9"/>
    <w:rsid w:val="00786A85"/>
    <w:rsid w:val="00786EFB"/>
    <w:rsid w:val="00786FB4"/>
    <w:rsid w:val="0078730F"/>
    <w:rsid w:val="007900BB"/>
    <w:rsid w:val="007900FC"/>
    <w:rsid w:val="00791B3F"/>
    <w:rsid w:val="00792373"/>
    <w:rsid w:val="00792FF6"/>
    <w:rsid w:val="00793383"/>
    <w:rsid w:val="00793E97"/>
    <w:rsid w:val="0079512C"/>
    <w:rsid w:val="007959AA"/>
    <w:rsid w:val="00797502"/>
    <w:rsid w:val="0079774E"/>
    <w:rsid w:val="00797B76"/>
    <w:rsid w:val="00797EAD"/>
    <w:rsid w:val="007A0CB7"/>
    <w:rsid w:val="007A1C85"/>
    <w:rsid w:val="007A2513"/>
    <w:rsid w:val="007A3298"/>
    <w:rsid w:val="007A3AD0"/>
    <w:rsid w:val="007A3E2E"/>
    <w:rsid w:val="007A4F27"/>
    <w:rsid w:val="007A562E"/>
    <w:rsid w:val="007A6375"/>
    <w:rsid w:val="007A64A0"/>
    <w:rsid w:val="007B0B17"/>
    <w:rsid w:val="007B0B68"/>
    <w:rsid w:val="007B1AC0"/>
    <w:rsid w:val="007B26FC"/>
    <w:rsid w:val="007B27AE"/>
    <w:rsid w:val="007B3705"/>
    <w:rsid w:val="007B3A6E"/>
    <w:rsid w:val="007B3B92"/>
    <w:rsid w:val="007B3E9E"/>
    <w:rsid w:val="007B57F4"/>
    <w:rsid w:val="007B5B76"/>
    <w:rsid w:val="007B78F6"/>
    <w:rsid w:val="007C00E5"/>
    <w:rsid w:val="007C0374"/>
    <w:rsid w:val="007C0911"/>
    <w:rsid w:val="007C0DCF"/>
    <w:rsid w:val="007C21B9"/>
    <w:rsid w:val="007C248D"/>
    <w:rsid w:val="007C36C9"/>
    <w:rsid w:val="007C37CA"/>
    <w:rsid w:val="007C45E8"/>
    <w:rsid w:val="007C460B"/>
    <w:rsid w:val="007C48E7"/>
    <w:rsid w:val="007C4BFF"/>
    <w:rsid w:val="007C55A1"/>
    <w:rsid w:val="007C61E7"/>
    <w:rsid w:val="007C654E"/>
    <w:rsid w:val="007C76BD"/>
    <w:rsid w:val="007C77CD"/>
    <w:rsid w:val="007C7931"/>
    <w:rsid w:val="007D110A"/>
    <w:rsid w:val="007D181B"/>
    <w:rsid w:val="007D18AA"/>
    <w:rsid w:val="007D1B5F"/>
    <w:rsid w:val="007D28D4"/>
    <w:rsid w:val="007D4293"/>
    <w:rsid w:val="007D4484"/>
    <w:rsid w:val="007D4779"/>
    <w:rsid w:val="007D4D62"/>
    <w:rsid w:val="007D5D90"/>
    <w:rsid w:val="007D5DCD"/>
    <w:rsid w:val="007D658B"/>
    <w:rsid w:val="007D68C2"/>
    <w:rsid w:val="007D6A8B"/>
    <w:rsid w:val="007D6B42"/>
    <w:rsid w:val="007D71E5"/>
    <w:rsid w:val="007D7826"/>
    <w:rsid w:val="007E11C8"/>
    <w:rsid w:val="007E1271"/>
    <w:rsid w:val="007E1A5A"/>
    <w:rsid w:val="007E1F4F"/>
    <w:rsid w:val="007E2019"/>
    <w:rsid w:val="007E2116"/>
    <w:rsid w:val="007E2177"/>
    <w:rsid w:val="007E2398"/>
    <w:rsid w:val="007E2DE0"/>
    <w:rsid w:val="007E3676"/>
    <w:rsid w:val="007E43D4"/>
    <w:rsid w:val="007E79F2"/>
    <w:rsid w:val="007F000D"/>
    <w:rsid w:val="007F0326"/>
    <w:rsid w:val="007F0372"/>
    <w:rsid w:val="007F19B2"/>
    <w:rsid w:val="007F284C"/>
    <w:rsid w:val="007F3431"/>
    <w:rsid w:val="007F41C5"/>
    <w:rsid w:val="007F439A"/>
    <w:rsid w:val="007F45B7"/>
    <w:rsid w:val="007F4702"/>
    <w:rsid w:val="007F4F61"/>
    <w:rsid w:val="007F58CA"/>
    <w:rsid w:val="007F6869"/>
    <w:rsid w:val="007F7C75"/>
    <w:rsid w:val="008001F6"/>
    <w:rsid w:val="00801BF5"/>
    <w:rsid w:val="00803067"/>
    <w:rsid w:val="0080323A"/>
    <w:rsid w:val="00803EA2"/>
    <w:rsid w:val="008040C3"/>
    <w:rsid w:val="008041A2"/>
    <w:rsid w:val="00807D50"/>
    <w:rsid w:val="00807D72"/>
    <w:rsid w:val="0081003D"/>
    <w:rsid w:val="00810EB0"/>
    <w:rsid w:val="0081264B"/>
    <w:rsid w:val="00812933"/>
    <w:rsid w:val="0081368F"/>
    <w:rsid w:val="00813D01"/>
    <w:rsid w:val="008144AD"/>
    <w:rsid w:val="00814A69"/>
    <w:rsid w:val="008151EE"/>
    <w:rsid w:val="00815636"/>
    <w:rsid w:val="00815E05"/>
    <w:rsid w:val="00815FB4"/>
    <w:rsid w:val="00820230"/>
    <w:rsid w:val="00821C26"/>
    <w:rsid w:val="00821FDE"/>
    <w:rsid w:val="00823E24"/>
    <w:rsid w:val="00824743"/>
    <w:rsid w:val="00824876"/>
    <w:rsid w:val="00824A29"/>
    <w:rsid w:val="00824A99"/>
    <w:rsid w:val="00826452"/>
    <w:rsid w:val="008266C6"/>
    <w:rsid w:val="00826B0C"/>
    <w:rsid w:val="00827618"/>
    <w:rsid w:val="00827CBD"/>
    <w:rsid w:val="008303CF"/>
    <w:rsid w:val="00830ED8"/>
    <w:rsid w:val="008310AC"/>
    <w:rsid w:val="00831590"/>
    <w:rsid w:val="00831B8D"/>
    <w:rsid w:val="00831D55"/>
    <w:rsid w:val="0083215B"/>
    <w:rsid w:val="00832389"/>
    <w:rsid w:val="00833686"/>
    <w:rsid w:val="00834162"/>
    <w:rsid w:val="0083425E"/>
    <w:rsid w:val="00834369"/>
    <w:rsid w:val="0083521A"/>
    <w:rsid w:val="0083559D"/>
    <w:rsid w:val="00835638"/>
    <w:rsid w:val="00836424"/>
    <w:rsid w:val="008366AE"/>
    <w:rsid w:val="00836F72"/>
    <w:rsid w:val="008405D6"/>
    <w:rsid w:val="0084109A"/>
    <w:rsid w:val="00843D8F"/>
    <w:rsid w:val="00845575"/>
    <w:rsid w:val="0084676C"/>
    <w:rsid w:val="00847DE0"/>
    <w:rsid w:val="0085033F"/>
    <w:rsid w:val="00853F3D"/>
    <w:rsid w:val="008544D2"/>
    <w:rsid w:val="0085494D"/>
    <w:rsid w:val="00854B35"/>
    <w:rsid w:val="00855035"/>
    <w:rsid w:val="00855756"/>
    <w:rsid w:val="00855FA1"/>
    <w:rsid w:val="00856027"/>
    <w:rsid w:val="00856A9D"/>
    <w:rsid w:val="0085725C"/>
    <w:rsid w:val="008574D3"/>
    <w:rsid w:val="00857B0C"/>
    <w:rsid w:val="00857C61"/>
    <w:rsid w:val="00860185"/>
    <w:rsid w:val="008605CE"/>
    <w:rsid w:val="008609D1"/>
    <w:rsid w:val="00860F1F"/>
    <w:rsid w:val="00861096"/>
    <w:rsid w:val="00861750"/>
    <w:rsid w:val="00861EBE"/>
    <w:rsid w:val="00863C9B"/>
    <w:rsid w:val="00863DAE"/>
    <w:rsid w:val="008652F5"/>
    <w:rsid w:val="008655BC"/>
    <w:rsid w:val="008659A8"/>
    <w:rsid w:val="00867BE8"/>
    <w:rsid w:val="00870110"/>
    <w:rsid w:val="0087016C"/>
    <w:rsid w:val="00871FFF"/>
    <w:rsid w:val="00873097"/>
    <w:rsid w:val="00873343"/>
    <w:rsid w:val="00873357"/>
    <w:rsid w:val="00873927"/>
    <w:rsid w:val="008748EB"/>
    <w:rsid w:val="00874BEE"/>
    <w:rsid w:val="00875E2D"/>
    <w:rsid w:val="00876117"/>
    <w:rsid w:val="00876AFC"/>
    <w:rsid w:val="00876CB0"/>
    <w:rsid w:val="00880719"/>
    <w:rsid w:val="0088141D"/>
    <w:rsid w:val="008815F7"/>
    <w:rsid w:val="00882B57"/>
    <w:rsid w:val="00882D9F"/>
    <w:rsid w:val="00884AA6"/>
    <w:rsid w:val="00885167"/>
    <w:rsid w:val="00885CD2"/>
    <w:rsid w:val="00885F8F"/>
    <w:rsid w:val="0088632D"/>
    <w:rsid w:val="008868BF"/>
    <w:rsid w:val="00887AC4"/>
    <w:rsid w:val="00887D80"/>
    <w:rsid w:val="00887DD3"/>
    <w:rsid w:val="00890674"/>
    <w:rsid w:val="00890B27"/>
    <w:rsid w:val="008910B2"/>
    <w:rsid w:val="00894CA6"/>
    <w:rsid w:val="00894FA1"/>
    <w:rsid w:val="00896779"/>
    <w:rsid w:val="00896E06"/>
    <w:rsid w:val="008A1B0F"/>
    <w:rsid w:val="008A1C61"/>
    <w:rsid w:val="008A1E76"/>
    <w:rsid w:val="008A2D1F"/>
    <w:rsid w:val="008A343D"/>
    <w:rsid w:val="008A3797"/>
    <w:rsid w:val="008A3ED2"/>
    <w:rsid w:val="008A6398"/>
    <w:rsid w:val="008A7FC9"/>
    <w:rsid w:val="008B0FFB"/>
    <w:rsid w:val="008B1080"/>
    <w:rsid w:val="008B14CF"/>
    <w:rsid w:val="008B17B8"/>
    <w:rsid w:val="008B1F95"/>
    <w:rsid w:val="008B2B8F"/>
    <w:rsid w:val="008B3A85"/>
    <w:rsid w:val="008B40AF"/>
    <w:rsid w:val="008B4898"/>
    <w:rsid w:val="008B4D45"/>
    <w:rsid w:val="008B65AC"/>
    <w:rsid w:val="008B720A"/>
    <w:rsid w:val="008B752D"/>
    <w:rsid w:val="008B7BC6"/>
    <w:rsid w:val="008C004C"/>
    <w:rsid w:val="008C0FEE"/>
    <w:rsid w:val="008C1714"/>
    <w:rsid w:val="008C1E9E"/>
    <w:rsid w:val="008C28F2"/>
    <w:rsid w:val="008C2F56"/>
    <w:rsid w:val="008C65D7"/>
    <w:rsid w:val="008C6D2C"/>
    <w:rsid w:val="008C6FD4"/>
    <w:rsid w:val="008C7F80"/>
    <w:rsid w:val="008C7FDF"/>
    <w:rsid w:val="008D0D37"/>
    <w:rsid w:val="008D13D3"/>
    <w:rsid w:val="008D13EB"/>
    <w:rsid w:val="008D16B5"/>
    <w:rsid w:val="008D1CF2"/>
    <w:rsid w:val="008D36D8"/>
    <w:rsid w:val="008D4AD0"/>
    <w:rsid w:val="008D4FC1"/>
    <w:rsid w:val="008D51BB"/>
    <w:rsid w:val="008D553D"/>
    <w:rsid w:val="008D6CC4"/>
    <w:rsid w:val="008D6F23"/>
    <w:rsid w:val="008D757E"/>
    <w:rsid w:val="008E0833"/>
    <w:rsid w:val="008E1086"/>
    <w:rsid w:val="008E1904"/>
    <w:rsid w:val="008E2821"/>
    <w:rsid w:val="008E2CC8"/>
    <w:rsid w:val="008E3626"/>
    <w:rsid w:val="008E5A69"/>
    <w:rsid w:val="008E6884"/>
    <w:rsid w:val="008E77AC"/>
    <w:rsid w:val="008F03CC"/>
    <w:rsid w:val="008F05FE"/>
    <w:rsid w:val="008F0998"/>
    <w:rsid w:val="008F0B93"/>
    <w:rsid w:val="008F0FE3"/>
    <w:rsid w:val="008F130F"/>
    <w:rsid w:val="008F27D9"/>
    <w:rsid w:val="008F29C6"/>
    <w:rsid w:val="008F45B2"/>
    <w:rsid w:val="008F5116"/>
    <w:rsid w:val="008F5476"/>
    <w:rsid w:val="008F69E9"/>
    <w:rsid w:val="008F754B"/>
    <w:rsid w:val="00900C6B"/>
    <w:rsid w:val="00901A5B"/>
    <w:rsid w:val="00902A1D"/>
    <w:rsid w:val="009044C4"/>
    <w:rsid w:val="00904739"/>
    <w:rsid w:val="0090634D"/>
    <w:rsid w:val="00906501"/>
    <w:rsid w:val="0090671F"/>
    <w:rsid w:val="009067CB"/>
    <w:rsid w:val="00906C42"/>
    <w:rsid w:val="00907DFC"/>
    <w:rsid w:val="00910511"/>
    <w:rsid w:val="0091051A"/>
    <w:rsid w:val="00910628"/>
    <w:rsid w:val="00910758"/>
    <w:rsid w:val="00911D16"/>
    <w:rsid w:val="0091314E"/>
    <w:rsid w:val="0091322B"/>
    <w:rsid w:val="0091323D"/>
    <w:rsid w:val="0091341A"/>
    <w:rsid w:val="00913B99"/>
    <w:rsid w:val="00915399"/>
    <w:rsid w:val="00915C39"/>
    <w:rsid w:val="00916408"/>
    <w:rsid w:val="0091642E"/>
    <w:rsid w:val="00917070"/>
    <w:rsid w:val="009174CF"/>
    <w:rsid w:val="00917B03"/>
    <w:rsid w:val="009206B3"/>
    <w:rsid w:val="009213A0"/>
    <w:rsid w:val="00922FD7"/>
    <w:rsid w:val="0092358A"/>
    <w:rsid w:val="00923CB2"/>
    <w:rsid w:val="00924114"/>
    <w:rsid w:val="00924350"/>
    <w:rsid w:val="00924562"/>
    <w:rsid w:val="009251E7"/>
    <w:rsid w:val="009258EE"/>
    <w:rsid w:val="00926036"/>
    <w:rsid w:val="00926C05"/>
    <w:rsid w:val="0092724C"/>
    <w:rsid w:val="00927B64"/>
    <w:rsid w:val="00927C97"/>
    <w:rsid w:val="009304C4"/>
    <w:rsid w:val="00930882"/>
    <w:rsid w:val="00931482"/>
    <w:rsid w:val="00931C79"/>
    <w:rsid w:val="009324A4"/>
    <w:rsid w:val="00932DA0"/>
    <w:rsid w:val="009346B6"/>
    <w:rsid w:val="0093508D"/>
    <w:rsid w:val="0093604B"/>
    <w:rsid w:val="00936AB9"/>
    <w:rsid w:val="00936D3B"/>
    <w:rsid w:val="00940CBD"/>
    <w:rsid w:val="00941FC4"/>
    <w:rsid w:val="009421B0"/>
    <w:rsid w:val="00942A8F"/>
    <w:rsid w:val="00942B09"/>
    <w:rsid w:val="00943049"/>
    <w:rsid w:val="0094382E"/>
    <w:rsid w:val="00943B03"/>
    <w:rsid w:val="00944058"/>
    <w:rsid w:val="00944A25"/>
    <w:rsid w:val="009456DD"/>
    <w:rsid w:val="0094579A"/>
    <w:rsid w:val="00946525"/>
    <w:rsid w:val="00946E2B"/>
    <w:rsid w:val="00947201"/>
    <w:rsid w:val="009500C4"/>
    <w:rsid w:val="009508B3"/>
    <w:rsid w:val="009519CE"/>
    <w:rsid w:val="0095208D"/>
    <w:rsid w:val="00952574"/>
    <w:rsid w:val="00953CF8"/>
    <w:rsid w:val="00953D8F"/>
    <w:rsid w:val="009550DC"/>
    <w:rsid w:val="0095515B"/>
    <w:rsid w:val="00955244"/>
    <w:rsid w:val="00955929"/>
    <w:rsid w:val="00955B91"/>
    <w:rsid w:val="00956001"/>
    <w:rsid w:val="00956597"/>
    <w:rsid w:val="009569D3"/>
    <w:rsid w:val="00956BAD"/>
    <w:rsid w:val="00957768"/>
    <w:rsid w:val="00957CA6"/>
    <w:rsid w:val="00960C07"/>
    <w:rsid w:val="00960D5A"/>
    <w:rsid w:val="00961DB1"/>
    <w:rsid w:val="0096391E"/>
    <w:rsid w:val="00964FEF"/>
    <w:rsid w:val="00965582"/>
    <w:rsid w:val="009661C8"/>
    <w:rsid w:val="009667DC"/>
    <w:rsid w:val="00966BC7"/>
    <w:rsid w:val="00967851"/>
    <w:rsid w:val="0096792A"/>
    <w:rsid w:val="00967FD1"/>
    <w:rsid w:val="009707F5"/>
    <w:rsid w:val="00971500"/>
    <w:rsid w:val="00972FE6"/>
    <w:rsid w:val="009731CE"/>
    <w:rsid w:val="00973962"/>
    <w:rsid w:val="0097529A"/>
    <w:rsid w:val="00975861"/>
    <w:rsid w:val="009766EB"/>
    <w:rsid w:val="00976AF6"/>
    <w:rsid w:val="009774DA"/>
    <w:rsid w:val="00977F7E"/>
    <w:rsid w:val="00980833"/>
    <w:rsid w:val="00981511"/>
    <w:rsid w:val="0098168A"/>
    <w:rsid w:val="009827E8"/>
    <w:rsid w:val="00982963"/>
    <w:rsid w:val="00982E00"/>
    <w:rsid w:val="0098328E"/>
    <w:rsid w:val="00983A2C"/>
    <w:rsid w:val="00984316"/>
    <w:rsid w:val="00984B17"/>
    <w:rsid w:val="00984E4F"/>
    <w:rsid w:val="00986DAD"/>
    <w:rsid w:val="00987F71"/>
    <w:rsid w:val="00991F19"/>
    <w:rsid w:val="009926E5"/>
    <w:rsid w:val="00992C82"/>
    <w:rsid w:val="00992CA4"/>
    <w:rsid w:val="00992DC1"/>
    <w:rsid w:val="00993BC2"/>
    <w:rsid w:val="00993CE5"/>
    <w:rsid w:val="009951B6"/>
    <w:rsid w:val="00995C8F"/>
    <w:rsid w:val="009963EB"/>
    <w:rsid w:val="009965C5"/>
    <w:rsid w:val="00996924"/>
    <w:rsid w:val="009A0819"/>
    <w:rsid w:val="009A17D5"/>
    <w:rsid w:val="009A190D"/>
    <w:rsid w:val="009A2253"/>
    <w:rsid w:val="009A274A"/>
    <w:rsid w:val="009A2950"/>
    <w:rsid w:val="009A2A76"/>
    <w:rsid w:val="009A4D4A"/>
    <w:rsid w:val="009A4F61"/>
    <w:rsid w:val="009A636D"/>
    <w:rsid w:val="009A6495"/>
    <w:rsid w:val="009A6725"/>
    <w:rsid w:val="009A76D5"/>
    <w:rsid w:val="009A790A"/>
    <w:rsid w:val="009A7E71"/>
    <w:rsid w:val="009B0246"/>
    <w:rsid w:val="009B0265"/>
    <w:rsid w:val="009B026F"/>
    <w:rsid w:val="009B119F"/>
    <w:rsid w:val="009B154A"/>
    <w:rsid w:val="009B2C01"/>
    <w:rsid w:val="009B3B22"/>
    <w:rsid w:val="009B4DB5"/>
    <w:rsid w:val="009B5C5B"/>
    <w:rsid w:val="009B613F"/>
    <w:rsid w:val="009B66B1"/>
    <w:rsid w:val="009B746F"/>
    <w:rsid w:val="009B78F5"/>
    <w:rsid w:val="009C05C8"/>
    <w:rsid w:val="009C157D"/>
    <w:rsid w:val="009C1DA9"/>
    <w:rsid w:val="009C1EC0"/>
    <w:rsid w:val="009C4606"/>
    <w:rsid w:val="009C5F98"/>
    <w:rsid w:val="009C7C75"/>
    <w:rsid w:val="009D1B5A"/>
    <w:rsid w:val="009D2534"/>
    <w:rsid w:val="009D2DCB"/>
    <w:rsid w:val="009D43F1"/>
    <w:rsid w:val="009D4615"/>
    <w:rsid w:val="009D5965"/>
    <w:rsid w:val="009D67DB"/>
    <w:rsid w:val="009D6808"/>
    <w:rsid w:val="009D6CC2"/>
    <w:rsid w:val="009D6D06"/>
    <w:rsid w:val="009D7BA5"/>
    <w:rsid w:val="009E00D6"/>
    <w:rsid w:val="009E06C2"/>
    <w:rsid w:val="009E098A"/>
    <w:rsid w:val="009E0B90"/>
    <w:rsid w:val="009E2488"/>
    <w:rsid w:val="009E40F5"/>
    <w:rsid w:val="009E4476"/>
    <w:rsid w:val="009E458A"/>
    <w:rsid w:val="009E45CD"/>
    <w:rsid w:val="009E47D9"/>
    <w:rsid w:val="009E6384"/>
    <w:rsid w:val="009E648E"/>
    <w:rsid w:val="009E7A8B"/>
    <w:rsid w:val="009E7D8E"/>
    <w:rsid w:val="009F01DC"/>
    <w:rsid w:val="009F1F3F"/>
    <w:rsid w:val="009F2724"/>
    <w:rsid w:val="009F3805"/>
    <w:rsid w:val="009F3A45"/>
    <w:rsid w:val="009F438A"/>
    <w:rsid w:val="009F43E1"/>
    <w:rsid w:val="009F481F"/>
    <w:rsid w:val="009F4937"/>
    <w:rsid w:val="009F5EC1"/>
    <w:rsid w:val="009F6270"/>
    <w:rsid w:val="009F65E6"/>
    <w:rsid w:val="009F683B"/>
    <w:rsid w:val="009F78C3"/>
    <w:rsid w:val="00A0086C"/>
    <w:rsid w:val="00A00A89"/>
    <w:rsid w:val="00A01C8D"/>
    <w:rsid w:val="00A023E9"/>
    <w:rsid w:val="00A02428"/>
    <w:rsid w:val="00A02E41"/>
    <w:rsid w:val="00A03CDA"/>
    <w:rsid w:val="00A0417A"/>
    <w:rsid w:val="00A044E9"/>
    <w:rsid w:val="00A052FD"/>
    <w:rsid w:val="00A0546D"/>
    <w:rsid w:val="00A058D6"/>
    <w:rsid w:val="00A0590B"/>
    <w:rsid w:val="00A063AA"/>
    <w:rsid w:val="00A0685A"/>
    <w:rsid w:val="00A107C4"/>
    <w:rsid w:val="00A108E5"/>
    <w:rsid w:val="00A10ECA"/>
    <w:rsid w:val="00A1195C"/>
    <w:rsid w:val="00A122DF"/>
    <w:rsid w:val="00A1255B"/>
    <w:rsid w:val="00A13E3A"/>
    <w:rsid w:val="00A1496B"/>
    <w:rsid w:val="00A14C06"/>
    <w:rsid w:val="00A15A9B"/>
    <w:rsid w:val="00A15DD4"/>
    <w:rsid w:val="00A166B2"/>
    <w:rsid w:val="00A16D6A"/>
    <w:rsid w:val="00A171E9"/>
    <w:rsid w:val="00A1781F"/>
    <w:rsid w:val="00A20660"/>
    <w:rsid w:val="00A23153"/>
    <w:rsid w:val="00A2447A"/>
    <w:rsid w:val="00A248ED"/>
    <w:rsid w:val="00A255BA"/>
    <w:rsid w:val="00A25FA1"/>
    <w:rsid w:val="00A2675C"/>
    <w:rsid w:val="00A27C6F"/>
    <w:rsid w:val="00A302B6"/>
    <w:rsid w:val="00A31117"/>
    <w:rsid w:val="00A31A77"/>
    <w:rsid w:val="00A32056"/>
    <w:rsid w:val="00A3212F"/>
    <w:rsid w:val="00A33736"/>
    <w:rsid w:val="00A33D5E"/>
    <w:rsid w:val="00A33DAD"/>
    <w:rsid w:val="00A3467A"/>
    <w:rsid w:val="00A347E3"/>
    <w:rsid w:val="00A34826"/>
    <w:rsid w:val="00A36415"/>
    <w:rsid w:val="00A40323"/>
    <w:rsid w:val="00A403AC"/>
    <w:rsid w:val="00A41A78"/>
    <w:rsid w:val="00A42DC1"/>
    <w:rsid w:val="00A443C0"/>
    <w:rsid w:val="00A468C5"/>
    <w:rsid w:val="00A4755C"/>
    <w:rsid w:val="00A47F50"/>
    <w:rsid w:val="00A502DC"/>
    <w:rsid w:val="00A504A2"/>
    <w:rsid w:val="00A50642"/>
    <w:rsid w:val="00A50AD5"/>
    <w:rsid w:val="00A513E0"/>
    <w:rsid w:val="00A52312"/>
    <w:rsid w:val="00A526F0"/>
    <w:rsid w:val="00A52CE7"/>
    <w:rsid w:val="00A5328D"/>
    <w:rsid w:val="00A534FC"/>
    <w:rsid w:val="00A53691"/>
    <w:rsid w:val="00A5374D"/>
    <w:rsid w:val="00A54E9F"/>
    <w:rsid w:val="00A55DFA"/>
    <w:rsid w:val="00A55EF3"/>
    <w:rsid w:val="00A56D85"/>
    <w:rsid w:val="00A62283"/>
    <w:rsid w:val="00A62F61"/>
    <w:rsid w:val="00A6406A"/>
    <w:rsid w:val="00A64C85"/>
    <w:rsid w:val="00A6577D"/>
    <w:rsid w:val="00A65D43"/>
    <w:rsid w:val="00A65E3B"/>
    <w:rsid w:val="00A665FF"/>
    <w:rsid w:val="00A674FE"/>
    <w:rsid w:val="00A67676"/>
    <w:rsid w:val="00A707FA"/>
    <w:rsid w:val="00A70DDA"/>
    <w:rsid w:val="00A7116F"/>
    <w:rsid w:val="00A71194"/>
    <w:rsid w:val="00A711A9"/>
    <w:rsid w:val="00A717DF"/>
    <w:rsid w:val="00A72688"/>
    <w:rsid w:val="00A72E33"/>
    <w:rsid w:val="00A73EE2"/>
    <w:rsid w:val="00A741F5"/>
    <w:rsid w:val="00A744CA"/>
    <w:rsid w:val="00A74FAE"/>
    <w:rsid w:val="00A753FE"/>
    <w:rsid w:val="00A758EB"/>
    <w:rsid w:val="00A75917"/>
    <w:rsid w:val="00A766D4"/>
    <w:rsid w:val="00A76822"/>
    <w:rsid w:val="00A76BCF"/>
    <w:rsid w:val="00A77925"/>
    <w:rsid w:val="00A808CE"/>
    <w:rsid w:val="00A80949"/>
    <w:rsid w:val="00A8103D"/>
    <w:rsid w:val="00A81B4C"/>
    <w:rsid w:val="00A82958"/>
    <w:rsid w:val="00A8362B"/>
    <w:rsid w:val="00A83990"/>
    <w:rsid w:val="00A83C18"/>
    <w:rsid w:val="00A84084"/>
    <w:rsid w:val="00A8573C"/>
    <w:rsid w:val="00A85A69"/>
    <w:rsid w:val="00A879BC"/>
    <w:rsid w:val="00A87D48"/>
    <w:rsid w:val="00A916B0"/>
    <w:rsid w:val="00A91DA0"/>
    <w:rsid w:val="00A924E3"/>
    <w:rsid w:val="00A92C19"/>
    <w:rsid w:val="00A92E6C"/>
    <w:rsid w:val="00A94377"/>
    <w:rsid w:val="00A9562D"/>
    <w:rsid w:val="00A95CD2"/>
    <w:rsid w:val="00A9678F"/>
    <w:rsid w:val="00A96A78"/>
    <w:rsid w:val="00A97B5E"/>
    <w:rsid w:val="00AA1592"/>
    <w:rsid w:val="00AA2B6E"/>
    <w:rsid w:val="00AA3A27"/>
    <w:rsid w:val="00AA5016"/>
    <w:rsid w:val="00AA5EDD"/>
    <w:rsid w:val="00AA7C0D"/>
    <w:rsid w:val="00AB2C28"/>
    <w:rsid w:val="00AB333F"/>
    <w:rsid w:val="00AB360C"/>
    <w:rsid w:val="00AB398A"/>
    <w:rsid w:val="00AB3F5E"/>
    <w:rsid w:val="00AB48C6"/>
    <w:rsid w:val="00AB529C"/>
    <w:rsid w:val="00AB5EF9"/>
    <w:rsid w:val="00AB6526"/>
    <w:rsid w:val="00AB7DD9"/>
    <w:rsid w:val="00AC06A5"/>
    <w:rsid w:val="00AC07A2"/>
    <w:rsid w:val="00AC15DC"/>
    <w:rsid w:val="00AC1976"/>
    <w:rsid w:val="00AC2411"/>
    <w:rsid w:val="00AC2ED7"/>
    <w:rsid w:val="00AC39D0"/>
    <w:rsid w:val="00AC4FC3"/>
    <w:rsid w:val="00AC751C"/>
    <w:rsid w:val="00AC7530"/>
    <w:rsid w:val="00AC7C51"/>
    <w:rsid w:val="00AC7F5C"/>
    <w:rsid w:val="00AD0BB9"/>
    <w:rsid w:val="00AD219B"/>
    <w:rsid w:val="00AD2F74"/>
    <w:rsid w:val="00AD30F8"/>
    <w:rsid w:val="00AD3879"/>
    <w:rsid w:val="00AD3F76"/>
    <w:rsid w:val="00AD4EAC"/>
    <w:rsid w:val="00AD4FEC"/>
    <w:rsid w:val="00AD5FCF"/>
    <w:rsid w:val="00AD66CB"/>
    <w:rsid w:val="00AD672E"/>
    <w:rsid w:val="00AD69BD"/>
    <w:rsid w:val="00AD723E"/>
    <w:rsid w:val="00AD7969"/>
    <w:rsid w:val="00AE0E3D"/>
    <w:rsid w:val="00AE0E9B"/>
    <w:rsid w:val="00AE0EC9"/>
    <w:rsid w:val="00AE1093"/>
    <w:rsid w:val="00AE1BEC"/>
    <w:rsid w:val="00AE1FC6"/>
    <w:rsid w:val="00AE2404"/>
    <w:rsid w:val="00AE2D2E"/>
    <w:rsid w:val="00AE3190"/>
    <w:rsid w:val="00AE5EFC"/>
    <w:rsid w:val="00AE6780"/>
    <w:rsid w:val="00AE6EE8"/>
    <w:rsid w:val="00AE70B4"/>
    <w:rsid w:val="00AE71D4"/>
    <w:rsid w:val="00AE745A"/>
    <w:rsid w:val="00AE7587"/>
    <w:rsid w:val="00AF21E8"/>
    <w:rsid w:val="00AF2CF8"/>
    <w:rsid w:val="00AF367B"/>
    <w:rsid w:val="00AF3E47"/>
    <w:rsid w:val="00AF3E93"/>
    <w:rsid w:val="00AF4269"/>
    <w:rsid w:val="00AF5859"/>
    <w:rsid w:val="00AF5914"/>
    <w:rsid w:val="00AF59A3"/>
    <w:rsid w:val="00AF5E7F"/>
    <w:rsid w:val="00AF6F8A"/>
    <w:rsid w:val="00AF7056"/>
    <w:rsid w:val="00AF7165"/>
    <w:rsid w:val="00AF75FB"/>
    <w:rsid w:val="00B0102F"/>
    <w:rsid w:val="00B01101"/>
    <w:rsid w:val="00B0189F"/>
    <w:rsid w:val="00B02A09"/>
    <w:rsid w:val="00B033C1"/>
    <w:rsid w:val="00B03960"/>
    <w:rsid w:val="00B04C25"/>
    <w:rsid w:val="00B0518D"/>
    <w:rsid w:val="00B052B9"/>
    <w:rsid w:val="00B05977"/>
    <w:rsid w:val="00B05D21"/>
    <w:rsid w:val="00B05F5F"/>
    <w:rsid w:val="00B06898"/>
    <w:rsid w:val="00B07D61"/>
    <w:rsid w:val="00B07ECC"/>
    <w:rsid w:val="00B10014"/>
    <w:rsid w:val="00B10B33"/>
    <w:rsid w:val="00B11192"/>
    <w:rsid w:val="00B111A3"/>
    <w:rsid w:val="00B114B7"/>
    <w:rsid w:val="00B11946"/>
    <w:rsid w:val="00B11AAC"/>
    <w:rsid w:val="00B11FB5"/>
    <w:rsid w:val="00B12FE5"/>
    <w:rsid w:val="00B130E7"/>
    <w:rsid w:val="00B13D7E"/>
    <w:rsid w:val="00B14C00"/>
    <w:rsid w:val="00B1686A"/>
    <w:rsid w:val="00B1696D"/>
    <w:rsid w:val="00B16F6B"/>
    <w:rsid w:val="00B171DF"/>
    <w:rsid w:val="00B21052"/>
    <w:rsid w:val="00B21D59"/>
    <w:rsid w:val="00B2236B"/>
    <w:rsid w:val="00B2295B"/>
    <w:rsid w:val="00B233A5"/>
    <w:rsid w:val="00B23647"/>
    <w:rsid w:val="00B23822"/>
    <w:rsid w:val="00B23C24"/>
    <w:rsid w:val="00B24735"/>
    <w:rsid w:val="00B249B0"/>
    <w:rsid w:val="00B2631D"/>
    <w:rsid w:val="00B27149"/>
    <w:rsid w:val="00B27178"/>
    <w:rsid w:val="00B2753F"/>
    <w:rsid w:val="00B27CA8"/>
    <w:rsid w:val="00B27E85"/>
    <w:rsid w:val="00B30109"/>
    <w:rsid w:val="00B32971"/>
    <w:rsid w:val="00B3374F"/>
    <w:rsid w:val="00B344DF"/>
    <w:rsid w:val="00B345DA"/>
    <w:rsid w:val="00B34B2D"/>
    <w:rsid w:val="00B35077"/>
    <w:rsid w:val="00B361A9"/>
    <w:rsid w:val="00B3662E"/>
    <w:rsid w:val="00B366A9"/>
    <w:rsid w:val="00B3739E"/>
    <w:rsid w:val="00B376C4"/>
    <w:rsid w:val="00B40994"/>
    <w:rsid w:val="00B4172A"/>
    <w:rsid w:val="00B419C9"/>
    <w:rsid w:val="00B41CB8"/>
    <w:rsid w:val="00B41DB4"/>
    <w:rsid w:val="00B42B0C"/>
    <w:rsid w:val="00B433F8"/>
    <w:rsid w:val="00B43F3D"/>
    <w:rsid w:val="00B449D5"/>
    <w:rsid w:val="00B44F9C"/>
    <w:rsid w:val="00B46261"/>
    <w:rsid w:val="00B46310"/>
    <w:rsid w:val="00B478B5"/>
    <w:rsid w:val="00B47F1D"/>
    <w:rsid w:val="00B51308"/>
    <w:rsid w:val="00B51626"/>
    <w:rsid w:val="00B51F95"/>
    <w:rsid w:val="00B526B5"/>
    <w:rsid w:val="00B534E6"/>
    <w:rsid w:val="00B54F93"/>
    <w:rsid w:val="00B550FD"/>
    <w:rsid w:val="00B56483"/>
    <w:rsid w:val="00B56A2F"/>
    <w:rsid w:val="00B5739A"/>
    <w:rsid w:val="00B57448"/>
    <w:rsid w:val="00B5790F"/>
    <w:rsid w:val="00B57DC8"/>
    <w:rsid w:val="00B57FC2"/>
    <w:rsid w:val="00B57FEA"/>
    <w:rsid w:val="00B620AB"/>
    <w:rsid w:val="00B6284E"/>
    <w:rsid w:val="00B62C69"/>
    <w:rsid w:val="00B63152"/>
    <w:rsid w:val="00B63803"/>
    <w:rsid w:val="00B639DF"/>
    <w:rsid w:val="00B655D9"/>
    <w:rsid w:val="00B65919"/>
    <w:rsid w:val="00B660E6"/>
    <w:rsid w:val="00B662F0"/>
    <w:rsid w:val="00B70078"/>
    <w:rsid w:val="00B70D4B"/>
    <w:rsid w:val="00B71815"/>
    <w:rsid w:val="00B71A7C"/>
    <w:rsid w:val="00B72178"/>
    <w:rsid w:val="00B72C8F"/>
    <w:rsid w:val="00B72D5F"/>
    <w:rsid w:val="00B733AA"/>
    <w:rsid w:val="00B736CB"/>
    <w:rsid w:val="00B73A61"/>
    <w:rsid w:val="00B75B1F"/>
    <w:rsid w:val="00B7606B"/>
    <w:rsid w:val="00B76942"/>
    <w:rsid w:val="00B77195"/>
    <w:rsid w:val="00B774DE"/>
    <w:rsid w:val="00B77BE0"/>
    <w:rsid w:val="00B77C53"/>
    <w:rsid w:val="00B80B6D"/>
    <w:rsid w:val="00B810F5"/>
    <w:rsid w:val="00B815CF"/>
    <w:rsid w:val="00B82118"/>
    <w:rsid w:val="00B828E3"/>
    <w:rsid w:val="00B8337F"/>
    <w:rsid w:val="00B835CB"/>
    <w:rsid w:val="00B83A20"/>
    <w:rsid w:val="00B841F0"/>
    <w:rsid w:val="00B84890"/>
    <w:rsid w:val="00B84DC6"/>
    <w:rsid w:val="00B86514"/>
    <w:rsid w:val="00B86A43"/>
    <w:rsid w:val="00B86AA2"/>
    <w:rsid w:val="00B871F7"/>
    <w:rsid w:val="00B87621"/>
    <w:rsid w:val="00B9096B"/>
    <w:rsid w:val="00B91501"/>
    <w:rsid w:val="00B91B77"/>
    <w:rsid w:val="00B923C8"/>
    <w:rsid w:val="00B92728"/>
    <w:rsid w:val="00B95664"/>
    <w:rsid w:val="00B95672"/>
    <w:rsid w:val="00B958B3"/>
    <w:rsid w:val="00B95F68"/>
    <w:rsid w:val="00B96584"/>
    <w:rsid w:val="00B96C65"/>
    <w:rsid w:val="00B9754A"/>
    <w:rsid w:val="00B9761A"/>
    <w:rsid w:val="00BA1271"/>
    <w:rsid w:val="00BA13AB"/>
    <w:rsid w:val="00BA16E8"/>
    <w:rsid w:val="00BA1FB3"/>
    <w:rsid w:val="00BA2F40"/>
    <w:rsid w:val="00BA5EA4"/>
    <w:rsid w:val="00BA6440"/>
    <w:rsid w:val="00BA7592"/>
    <w:rsid w:val="00BA79D1"/>
    <w:rsid w:val="00BA7EF4"/>
    <w:rsid w:val="00BB159F"/>
    <w:rsid w:val="00BB1ED3"/>
    <w:rsid w:val="00BB21A2"/>
    <w:rsid w:val="00BB25AA"/>
    <w:rsid w:val="00BB267C"/>
    <w:rsid w:val="00BB2C7D"/>
    <w:rsid w:val="00BB40C3"/>
    <w:rsid w:val="00BB497C"/>
    <w:rsid w:val="00BB4F40"/>
    <w:rsid w:val="00BB57D3"/>
    <w:rsid w:val="00BB6995"/>
    <w:rsid w:val="00BB7215"/>
    <w:rsid w:val="00BB7F2C"/>
    <w:rsid w:val="00BC2DB3"/>
    <w:rsid w:val="00BC3C8F"/>
    <w:rsid w:val="00BC4EF2"/>
    <w:rsid w:val="00BC58AC"/>
    <w:rsid w:val="00BC6938"/>
    <w:rsid w:val="00BC706F"/>
    <w:rsid w:val="00BC74A8"/>
    <w:rsid w:val="00BC7D8D"/>
    <w:rsid w:val="00BD0755"/>
    <w:rsid w:val="00BD09E5"/>
    <w:rsid w:val="00BD185C"/>
    <w:rsid w:val="00BD1B46"/>
    <w:rsid w:val="00BD2535"/>
    <w:rsid w:val="00BD2A03"/>
    <w:rsid w:val="00BD339D"/>
    <w:rsid w:val="00BD474C"/>
    <w:rsid w:val="00BD485F"/>
    <w:rsid w:val="00BD49DF"/>
    <w:rsid w:val="00BD5E70"/>
    <w:rsid w:val="00BD611C"/>
    <w:rsid w:val="00BD6184"/>
    <w:rsid w:val="00BD6A28"/>
    <w:rsid w:val="00BD763F"/>
    <w:rsid w:val="00BE02CD"/>
    <w:rsid w:val="00BE0395"/>
    <w:rsid w:val="00BE0595"/>
    <w:rsid w:val="00BE0999"/>
    <w:rsid w:val="00BE17F7"/>
    <w:rsid w:val="00BE2029"/>
    <w:rsid w:val="00BE2D7B"/>
    <w:rsid w:val="00BE4515"/>
    <w:rsid w:val="00BE4C48"/>
    <w:rsid w:val="00BE4C60"/>
    <w:rsid w:val="00BE4D30"/>
    <w:rsid w:val="00BE6A3D"/>
    <w:rsid w:val="00BE6AF2"/>
    <w:rsid w:val="00BE6CD4"/>
    <w:rsid w:val="00BE711C"/>
    <w:rsid w:val="00BE71FA"/>
    <w:rsid w:val="00BE72F5"/>
    <w:rsid w:val="00BE7AF3"/>
    <w:rsid w:val="00BE7E52"/>
    <w:rsid w:val="00BF0F7D"/>
    <w:rsid w:val="00BF1582"/>
    <w:rsid w:val="00BF3440"/>
    <w:rsid w:val="00BF4C94"/>
    <w:rsid w:val="00BF4FD5"/>
    <w:rsid w:val="00BF5E40"/>
    <w:rsid w:val="00BF6D09"/>
    <w:rsid w:val="00BF7B45"/>
    <w:rsid w:val="00BF7EC8"/>
    <w:rsid w:val="00C003EB"/>
    <w:rsid w:val="00C00721"/>
    <w:rsid w:val="00C0140A"/>
    <w:rsid w:val="00C01724"/>
    <w:rsid w:val="00C01952"/>
    <w:rsid w:val="00C01CB6"/>
    <w:rsid w:val="00C02598"/>
    <w:rsid w:val="00C05546"/>
    <w:rsid w:val="00C05B17"/>
    <w:rsid w:val="00C0602A"/>
    <w:rsid w:val="00C06633"/>
    <w:rsid w:val="00C0676D"/>
    <w:rsid w:val="00C0699D"/>
    <w:rsid w:val="00C071C1"/>
    <w:rsid w:val="00C0783F"/>
    <w:rsid w:val="00C07D2B"/>
    <w:rsid w:val="00C07E88"/>
    <w:rsid w:val="00C103E7"/>
    <w:rsid w:val="00C10B9A"/>
    <w:rsid w:val="00C1105F"/>
    <w:rsid w:val="00C114C3"/>
    <w:rsid w:val="00C11797"/>
    <w:rsid w:val="00C117C2"/>
    <w:rsid w:val="00C120B8"/>
    <w:rsid w:val="00C12535"/>
    <w:rsid w:val="00C12C21"/>
    <w:rsid w:val="00C12F09"/>
    <w:rsid w:val="00C13047"/>
    <w:rsid w:val="00C13ADB"/>
    <w:rsid w:val="00C13B2A"/>
    <w:rsid w:val="00C13B65"/>
    <w:rsid w:val="00C1430C"/>
    <w:rsid w:val="00C15BD5"/>
    <w:rsid w:val="00C1641C"/>
    <w:rsid w:val="00C168EA"/>
    <w:rsid w:val="00C20299"/>
    <w:rsid w:val="00C20497"/>
    <w:rsid w:val="00C2112E"/>
    <w:rsid w:val="00C21F45"/>
    <w:rsid w:val="00C221DF"/>
    <w:rsid w:val="00C22619"/>
    <w:rsid w:val="00C22C31"/>
    <w:rsid w:val="00C22E24"/>
    <w:rsid w:val="00C23057"/>
    <w:rsid w:val="00C24C74"/>
    <w:rsid w:val="00C261E0"/>
    <w:rsid w:val="00C26864"/>
    <w:rsid w:val="00C276B3"/>
    <w:rsid w:val="00C307E2"/>
    <w:rsid w:val="00C30C58"/>
    <w:rsid w:val="00C30D4C"/>
    <w:rsid w:val="00C3145F"/>
    <w:rsid w:val="00C31DA5"/>
    <w:rsid w:val="00C32273"/>
    <w:rsid w:val="00C329E8"/>
    <w:rsid w:val="00C33B17"/>
    <w:rsid w:val="00C34932"/>
    <w:rsid w:val="00C355E6"/>
    <w:rsid w:val="00C35783"/>
    <w:rsid w:val="00C358F4"/>
    <w:rsid w:val="00C36CD4"/>
    <w:rsid w:val="00C36F6E"/>
    <w:rsid w:val="00C40068"/>
    <w:rsid w:val="00C40E38"/>
    <w:rsid w:val="00C40EC1"/>
    <w:rsid w:val="00C41168"/>
    <w:rsid w:val="00C42C69"/>
    <w:rsid w:val="00C43F08"/>
    <w:rsid w:val="00C441CB"/>
    <w:rsid w:val="00C44E01"/>
    <w:rsid w:val="00C44ECE"/>
    <w:rsid w:val="00C45660"/>
    <w:rsid w:val="00C45B62"/>
    <w:rsid w:val="00C46C93"/>
    <w:rsid w:val="00C46DCB"/>
    <w:rsid w:val="00C47963"/>
    <w:rsid w:val="00C50A69"/>
    <w:rsid w:val="00C51934"/>
    <w:rsid w:val="00C51B31"/>
    <w:rsid w:val="00C527A1"/>
    <w:rsid w:val="00C52B0D"/>
    <w:rsid w:val="00C53869"/>
    <w:rsid w:val="00C545DC"/>
    <w:rsid w:val="00C547C8"/>
    <w:rsid w:val="00C54B3C"/>
    <w:rsid w:val="00C54D1F"/>
    <w:rsid w:val="00C555DE"/>
    <w:rsid w:val="00C560BF"/>
    <w:rsid w:val="00C567CA"/>
    <w:rsid w:val="00C56B22"/>
    <w:rsid w:val="00C56E66"/>
    <w:rsid w:val="00C5713D"/>
    <w:rsid w:val="00C57627"/>
    <w:rsid w:val="00C6063B"/>
    <w:rsid w:val="00C60690"/>
    <w:rsid w:val="00C6077E"/>
    <w:rsid w:val="00C60A02"/>
    <w:rsid w:val="00C61B57"/>
    <w:rsid w:val="00C61C5C"/>
    <w:rsid w:val="00C61DF2"/>
    <w:rsid w:val="00C61F32"/>
    <w:rsid w:val="00C61FBE"/>
    <w:rsid w:val="00C62A51"/>
    <w:rsid w:val="00C62B5C"/>
    <w:rsid w:val="00C633D0"/>
    <w:rsid w:val="00C638EE"/>
    <w:rsid w:val="00C662C2"/>
    <w:rsid w:val="00C67049"/>
    <w:rsid w:val="00C67886"/>
    <w:rsid w:val="00C67C29"/>
    <w:rsid w:val="00C67C87"/>
    <w:rsid w:val="00C67CE8"/>
    <w:rsid w:val="00C701C5"/>
    <w:rsid w:val="00C70341"/>
    <w:rsid w:val="00C70468"/>
    <w:rsid w:val="00C70D6D"/>
    <w:rsid w:val="00C714C4"/>
    <w:rsid w:val="00C71FB1"/>
    <w:rsid w:val="00C72D06"/>
    <w:rsid w:val="00C7331A"/>
    <w:rsid w:val="00C73EC8"/>
    <w:rsid w:val="00C746B5"/>
    <w:rsid w:val="00C747A9"/>
    <w:rsid w:val="00C747C2"/>
    <w:rsid w:val="00C7506D"/>
    <w:rsid w:val="00C75E47"/>
    <w:rsid w:val="00C76151"/>
    <w:rsid w:val="00C76BE9"/>
    <w:rsid w:val="00C77AAA"/>
    <w:rsid w:val="00C77FBD"/>
    <w:rsid w:val="00C8048D"/>
    <w:rsid w:val="00C80E24"/>
    <w:rsid w:val="00C82503"/>
    <w:rsid w:val="00C82E9C"/>
    <w:rsid w:val="00C8352D"/>
    <w:rsid w:val="00C847BB"/>
    <w:rsid w:val="00C85119"/>
    <w:rsid w:val="00C85FD8"/>
    <w:rsid w:val="00C901DF"/>
    <w:rsid w:val="00C90BFB"/>
    <w:rsid w:val="00C91A6E"/>
    <w:rsid w:val="00C92032"/>
    <w:rsid w:val="00C92095"/>
    <w:rsid w:val="00C930CF"/>
    <w:rsid w:val="00C9342A"/>
    <w:rsid w:val="00C93CF0"/>
    <w:rsid w:val="00C93EDF"/>
    <w:rsid w:val="00C94878"/>
    <w:rsid w:val="00C948F5"/>
    <w:rsid w:val="00C963D5"/>
    <w:rsid w:val="00C96FF8"/>
    <w:rsid w:val="00C973D4"/>
    <w:rsid w:val="00C97DDC"/>
    <w:rsid w:val="00CA08A0"/>
    <w:rsid w:val="00CA1029"/>
    <w:rsid w:val="00CA1C66"/>
    <w:rsid w:val="00CA2166"/>
    <w:rsid w:val="00CA4A15"/>
    <w:rsid w:val="00CA7557"/>
    <w:rsid w:val="00CA7837"/>
    <w:rsid w:val="00CB02C3"/>
    <w:rsid w:val="00CB0A80"/>
    <w:rsid w:val="00CB1EA2"/>
    <w:rsid w:val="00CB2BFA"/>
    <w:rsid w:val="00CB35DF"/>
    <w:rsid w:val="00CB38BD"/>
    <w:rsid w:val="00CB39BF"/>
    <w:rsid w:val="00CB419A"/>
    <w:rsid w:val="00CB576C"/>
    <w:rsid w:val="00CB5825"/>
    <w:rsid w:val="00CB6810"/>
    <w:rsid w:val="00CB6DDC"/>
    <w:rsid w:val="00CB7A7E"/>
    <w:rsid w:val="00CB7FFB"/>
    <w:rsid w:val="00CC0D44"/>
    <w:rsid w:val="00CC176F"/>
    <w:rsid w:val="00CC2D68"/>
    <w:rsid w:val="00CC3738"/>
    <w:rsid w:val="00CC430E"/>
    <w:rsid w:val="00CC4351"/>
    <w:rsid w:val="00CC4BA9"/>
    <w:rsid w:val="00CC53FF"/>
    <w:rsid w:val="00CC5EB0"/>
    <w:rsid w:val="00CC5F6F"/>
    <w:rsid w:val="00CC6866"/>
    <w:rsid w:val="00CC6BD4"/>
    <w:rsid w:val="00CC78A7"/>
    <w:rsid w:val="00CD3543"/>
    <w:rsid w:val="00CD457F"/>
    <w:rsid w:val="00CD4F0A"/>
    <w:rsid w:val="00CD56A2"/>
    <w:rsid w:val="00CD58F8"/>
    <w:rsid w:val="00CD712D"/>
    <w:rsid w:val="00CD7E9C"/>
    <w:rsid w:val="00CE015C"/>
    <w:rsid w:val="00CE0CC2"/>
    <w:rsid w:val="00CE0D84"/>
    <w:rsid w:val="00CE266A"/>
    <w:rsid w:val="00CE3553"/>
    <w:rsid w:val="00CE36C2"/>
    <w:rsid w:val="00CE3D23"/>
    <w:rsid w:val="00CE3DEA"/>
    <w:rsid w:val="00CE41C9"/>
    <w:rsid w:val="00CE43A4"/>
    <w:rsid w:val="00CE50E8"/>
    <w:rsid w:val="00CE5105"/>
    <w:rsid w:val="00CE5975"/>
    <w:rsid w:val="00CE69E7"/>
    <w:rsid w:val="00CE6DA1"/>
    <w:rsid w:val="00CE6FCE"/>
    <w:rsid w:val="00CE7343"/>
    <w:rsid w:val="00CE748E"/>
    <w:rsid w:val="00CE752A"/>
    <w:rsid w:val="00CE7B80"/>
    <w:rsid w:val="00CF035B"/>
    <w:rsid w:val="00CF0FC7"/>
    <w:rsid w:val="00CF2754"/>
    <w:rsid w:val="00CF2DAA"/>
    <w:rsid w:val="00CF32F0"/>
    <w:rsid w:val="00CF4522"/>
    <w:rsid w:val="00CF587C"/>
    <w:rsid w:val="00CF6F93"/>
    <w:rsid w:val="00D00189"/>
    <w:rsid w:val="00D004D6"/>
    <w:rsid w:val="00D0076C"/>
    <w:rsid w:val="00D00EAE"/>
    <w:rsid w:val="00D01BCE"/>
    <w:rsid w:val="00D025C1"/>
    <w:rsid w:val="00D027EC"/>
    <w:rsid w:val="00D02F03"/>
    <w:rsid w:val="00D047B7"/>
    <w:rsid w:val="00D047DC"/>
    <w:rsid w:val="00D04B97"/>
    <w:rsid w:val="00D04BDB"/>
    <w:rsid w:val="00D04CAB"/>
    <w:rsid w:val="00D0635E"/>
    <w:rsid w:val="00D0660F"/>
    <w:rsid w:val="00D06A96"/>
    <w:rsid w:val="00D106A8"/>
    <w:rsid w:val="00D11E87"/>
    <w:rsid w:val="00D12134"/>
    <w:rsid w:val="00D121E5"/>
    <w:rsid w:val="00D12C93"/>
    <w:rsid w:val="00D12D90"/>
    <w:rsid w:val="00D1321E"/>
    <w:rsid w:val="00D1326C"/>
    <w:rsid w:val="00D13541"/>
    <w:rsid w:val="00D13B1B"/>
    <w:rsid w:val="00D13BDF"/>
    <w:rsid w:val="00D14A44"/>
    <w:rsid w:val="00D157B7"/>
    <w:rsid w:val="00D15B73"/>
    <w:rsid w:val="00D20B71"/>
    <w:rsid w:val="00D20EFB"/>
    <w:rsid w:val="00D21330"/>
    <w:rsid w:val="00D21A35"/>
    <w:rsid w:val="00D21AE2"/>
    <w:rsid w:val="00D21D05"/>
    <w:rsid w:val="00D22115"/>
    <w:rsid w:val="00D22475"/>
    <w:rsid w:val="00D23242"/>
    <w:rsid w:val="00D23DAE"/>
    <w:rsid w:val="00D23F9A"/>
    <w:rsid w:val="00D25205"/>
    <w:rsid w:val="00D25883"/>
    <w:rsid w:val="00D25A04"/>
    <w:rsid w:val="00D25D96"/>
    <w:rsid w:val="00D26D6B"/>
    <w:rsid w:val="00D279AE"/>
    <w:rsid w:val="00D27B20"/>
    <w:rsid w:val="00D31EE4"/>
    <w:rsid w:val="00D32266"/>
    <w:rsid w:val="00D32B5B"/>
    <w:rsid w:val="00D32D9E"/>
    <w:rsid w:val="00D33C8B"/>
    <w:rsid w:val="00D34A42"/>
    <w:rsid w:val="00D34BD5"/>
    <w:rsid w:val="00D34D29"/>
    <w:rsid w:val="00D357F7"/>
    <w:rsid w:val="00D3599E"/>
    <w:rsid w:val="00D362CE"/>
    <w:rsid w:val="00D36356"/>
    <w:rsid w:val="00D3727D"/>
    <w:rsid w:val="00D375E8"/>
    <w:rsid w:val="00D377C2"/>
    <w:rsid w:val="00D40088"/>
    <w:rsid w:val="00D40704"/>
    <w:rsid w:val="00D40E91"/>
    <w:rsid w:val="00D42BA3"/>
    <w:rsid w:val="00D43106"/>
    <w:rsid w:val="00D4324D"/>
    <w:rsid w:val="00D43541"/>
    <w:rsid w:val="00D4409A"/>
    <w:rsid w:val="00D44149"/>
    <w:rsid w:val="00D4455A"/>
    <w:rsid w:val="00D4527C"/>
    <w:rsid w:val="00D46748"/>
    <w:rsid w:val="00D46F15"/>
    <w:rsid w:val="00D47240"/>
    <w:rsid w:val="00D4735B"/>
    <w:rsid w:val="00D47BAB"/>
    <w:rsid w:val="00D47FE9"/>
    <w:rsid w:val="00D50860"/>
    <w:rsid w:val="00D51830"/>
    <w:rsid w:val="00D51D07"/>
    <w:rsid w:val="00D5200E"/>
    <w:rsid w:val="00D52094"/>
    <w:rsid w:val="00D5254E"/>
    <w:rsid w:val="00D526A9"/>
    <w:rsid w:val="00D53CBB"/>
    <w:rsid w:val="00D56167"/>
    <w:rsid w:val="00D5620F"/>
    <w:rsid w:val="00D57759"/>
    <w:rsid w:val="00D579C0"/>
    <w:rsid w:val="00D60359"/>
    <w:rsid w:val="00D60417"/>
    <w:rsid w:val="00D60691"/>
    <w:rsid w:val="00D613F3"/>
    <w:rsid w:val="00D634E5"/>
    <w:rsid w:val="00D6353A"/>
    <w:rsid w:val="00D63842"/>
    <w:rsid w:val="00D645E6"/>
    <w:rsid w:val="00D6498C"/>
    <w:rsid w:val="00D65417"/>
    <w:rsid w:val="00D659DF"/>
    <w:rsid w:val="00D65D30"/>
    <w:rsid w:val="00D660D2"/>
    <w:rsid w:val="00D66997"/>
    <w:rsid w:val="00D66EDF"/>
    <w:rsid w:val="00D671AD"/>
    <w:rsid w:val="00D6753B"/>
    <w:rsid w:val="00D70064"/>
    <w:rsid w:val="00D717A3"/>
    <w:rsid w:val="00D717CD"/>
    <w:rsid w:val="00D720CE"/>
    <w:rsid w:val="00D73177"/>
    <w:rsid w:val="00D73524"/>
    <w:rsid w:val="00D74BAB"/>
    <w:rsid w:val="00D75183"/>
    <w:rsid w:val="00D76BD3"/>
    <w:rsid w:val="00D76D1E"/>
    <w:rsid w:val="00D7743B"/>
    <w:rsid w:val="00D77D97"/>
    <w:rsid w:val="00D80C2E"/>
    <w:rsid w:val="00D81032"/>
    <w:rsid w:val="00D81274"/>
    <w:rsid w:val="00D81A07"/>
    <w:rsid w:val="00D8368B"/>
    <w:rsid w:val="00D83B85"/>
    <w:rsid w:val="00D84A66"/>
    <w:rsid w:val="00D84B3B"/>
    <w:rsid w:val="00D85459"/>
    <w:rsid w:val="00D85BCC"/>
    <w:rsid w:val="00D864E8"/>
    <w:rsid w:val="00D86FFF"/>
    <w:rsid w:val="00D8726F"/>
    <w:rsid w:val="00D872D7"/>
    <w:rsid w:val="00D8748C"/>
    <w:rsid w:val="00D8749C"/>
    <w:rsid w:val="00D902A4"/>
    <w:rsid w:val="00D907D9"/>
    <w:rsid w:val="00D912DA"/>
    <w:rsid w:val="00D91532"/>
    <w:rsid w:val="00D916ED"/>
    <w:rsid w:val="00D919E0"/>
    <w:rsid w:val="00D91F02"/>
    <w:rsid w:val="00D92114"/>
    <w:rsid w:val="00D9240D"/>
    <w:rsid w:val="00D929DA"/>
    <w:rsid w:val="00D92B54"/>
    <w:rsid w:val="00D92D4F"/>
    <w:rsid w:val="00D93327"/>
    <w:rsid w:val="00D9351D"/>
    <w:rsid w:val="00D94A33"/>
    <w:rsid w:val="00DA01DC"/>
    <w:rsid w:val="00DA08B9"/>
    <w:rsid w:val="00DA1340"/>
    <w:rsid w:val="00DA1500"/>
    <w:rsid w:val="00DA1CF6"/>
    <w:rsid w:val="00DA1DBD"/>
    <w:rsid w:val="00DA2DC9"/>
    <w:rsid w:val="00DA5134"/>
    <w:rsid w:val="00DA52DE"/>
    <w:rsid w:val="00DA542D"/>
    <w:rsid w:val="00DA5613"/>
    <w:rsid w:val="00DA56C2"/>
    <w:rsid w:val="00DA56FF"/>
    <w:rsid w:val="00DA57D3"/>
    <w:rsid w:val="00DA59D5"/>
    <w:rsid w:val="00DA5A77"/>
    <w:rsid w:val="00DA6320"/>
    <w:rsid w:val="00DA7515"/>
    <w:rsid w:val="00DA7E3E"/>
    <w:rsid w:val="00DB0736"/>
    <w:rsid w:val="00DB1B6B"/>
    <w:rsid w:val="00DB1E24"/>
    <w:rsid w:val="00DB2770"/>
    <w:rsid w:val="00DB3401"/>
    <w:rsid w:val="00DB3A81"/>
    <w:rsid w:val="00DB3DF6"/>
    <w:rsid w:val="00DB47DE"/>
    <w:rsid w:val="00DB4E18"/>
    <w:rsid w:val="00DB5F58"/>
    <w:rsid w:val="00DB65A5"/>
    <w:rsid w:val="00DB7794"/>
    <w:rsid w:val="00DC0DF3"/>
    <w:rsid w:val="00DC2036"/>
    <w:rsid w:val="00DC37B0"/>
    <w:rsid w:val="00DC3844"/>
    <w:rsid w:val="00DC4006"/>
    <w:rsid w:val="00DC431D"/>
    <w:rsid w:val="00DC4B40"/>
    <w:rsid w:val="00DC4EDD"/>
    <w:rsid w:val="00DC51EA"/>
    <w:rsid w:val="00DC5256"/>
    <w:rsid w:val="00DC5B41"/>
    <w:rsid w:val="00DC6AA1"/>
    <w:rsid w:val="00DD008F"/>
    <w:rsid w:val="00DD037C"/>
    <w:rsid w:val="00DD16AF"/>
    <w:rsid w:val="00DD1B6E"/>
    <w:rsid w:val="00DD1C11"/>
    <w:rsid w:val="00DD1D96"/>
    <w:rsid w:val="00DD203A"/>
    <w:rsid w:val="00DD2707"/>
    <w:rsid w:val="00DD28E4"/>
    <w:rsid w:val="00DD3665"/>
    <w:rsid w:val="00DD36A1"/>
    <w:rsid w:val="00DD374E"/>
    <w:rsid w:val="00DD44D3"/>
    <w:rsid w:val="00DD48CD"/>
    <w:rsid w:val="00DD6914"/>
    <w:rsid w:val="00DD7A5E"/>
    <w:rsid w:val="00DE0402"/>
    <w:rsid w:val="00DE08DC"/>
    <w:rsid w:val="00DE0C26"/>
    <w:rsid w:val="00DE15E0"/>
    <w:rsid w:val="00DE1EF3"/>
    <w:rsid w:val="00DE2995"/>
    <w:rsid w:val="00DE2C60"/>
    <w:rsid w:val="00DE30DA"/>
    <w:rsid w:val="00DE33BD"/>
    <w:rsid w:val="00DE3C40"/>
    <w:rsid w:val="00DE4FA1"/>
    <w:rsid w:val="00DE5216"/>
    <w:rsid w:val="00DE5B9B"/>
    <w:rsid w:val="00DE6029"/>
    <w:rsid w:val="00DE6068"/>
    <w:rsid w:val="00DE619E"/>
    <w:rsid w:val="00DE6328"/>
    <w:rsid w:val="00DE65C0"/>
    <w:rsid w:val="00DE6D55"/>
    <w:rsid w:val="00DE7BB8"/>
    <w:rsid w:val="00DE7C12"/>
    <w:rsid w:val="00DE7E9B"/>
    <w:rsid w:val="00DF0197"/>
    <w:rsid w:val="00DF059D"/>
    <w:rsid w:val="00DF12A5"/>
    <w:rsid w:val="00DF14E4"/>
    <w:rsid w:val="00DF1B1C"/>
    <w:rsid w:val="00DF2DEE"/>
    <w:rsid w:val="00DF37D2"/>
    <w:rsid w:val="00DF3F9D"/>
    <w:rsid w:val="00DF42A9"/>
    <w:rsid w:val="00DF5BE2"/>
    <w:rsid w:val="00DF67B8"/>
    <w:rsid w:val="00DF7045"/>
    <w:rsid w:val="00DF7533"/>
    <w:rsid w:val="00DF765B"/>
    <w:rsid w:val="00E000D1"/>
    <w:rsid w:val="00E00175"/>
    <w:rsid w:val="00E00C12"/>
    <w:rsid w:val="00E00F00"/>
    <w:rsid w:val="00E017C0"/>
    <w:rsid w:val="00E02118"/>
    <w:rsid w:val="00E02BAE"/>
    <w:rsid w:val="00E0413C"/>
    <w:rsid w:val="00E06530"/>
    <w:rsid w:val="00E06B43"/>
    <w:rsid w:val="00E06C29"/>
    <w:rsid w:val="00E07B25"/>
    <w:rsid w:val="00E1025C"/>
    <w:rsid w:val="00E10565"/>
    <w:rsid w:val="00E1068A"/>
    <w:rsid w:val="00E10E19"/>
    <w:rsid w:val="00E11198"/>
    <w:rsid w:val="00E11866"/>
    <w:rsid w:val="00E12386"/>
    <w:rsid w:val="00E1263D"/>
    <w:rsid w:val="00E1270F"/>
    <w:rsid w:val="00E12D5A"/>
    <w:rsid w:val="00E135CA"/>
    <w:rsid w:val="00E15393"/>
    <w:rsid w:val="00E16111"/>
    <w:rsid w:val="00E1648E"/>
    <w:rsid w:val="00E166E2"/>
    <w:rsid w:val="00E167FE"/>
    <w:rsid w:val="00E16CB0"/>
    <w:rsid w:val="00E17718"/>
    <w:rsid w:val="00E17872"/>
    <w:rsid w:val="00E20694"/>
    <w:rsid w:val="00E20841"/>
    <w:rsid w:val="00E21042"/>
    <w:rsid w:val="00E214DC"/>
    <w:rsid w:val="00E21672"/>
    <w:rsid w:val="00E22111"/>
    <w:rsid w:val="00E22427"/>
    <w:rsid w:val="00E227DE"/>
    <w:rsid w:val="00E22999"/>
    <w:rsid w:val="00E22AE4"/>
    <w:rsid w:val="00E235C9"/>
    <w:rsid w:val="00E235D2"/>
    <w:rsid w:val="00E23E80"/>
    <w:rsid w:val="00E23E9A"/>
    <w:rsid w:val="00E2406B"/>
    <w:rsid w:val="00E24548"/>
    <w:rsid w:val="00E2461C"/>
    <w:rsid w:val="00E25017"/>
    <w:rsid w:val="00E25A95"/>
    <w:rsid w:val="00E26128"/>
    <w:rsid w:val="00E265C2"/>
    <w:rsid w:val="00E26E1B"/>
    <w:rsid w:val="00E2711D"/>
    <w:rsid w:val="00E2728F"/>
    <w:rsid w:val="00E30147"/>
    <w:rsid w:val="00E302F6"/>
    <w:rsid w:val="00E30A1D"/>
    <w:rsid w:val="00E32849"/>
    <w:rsid w:val="00E3285A"/>
    <w:rsid w:val="00E331EC"/>
    <w:rsid w:val="00E3359E"/>
    <w:rsid w:val="00E336BA"/>
    <w:rsid w:val="00E351F3"/>
    <w:rsid w:val="00E36437"/>
    <w:rsid w:val="00E3794A"/>
    <w:rsid w:val="00E404D2"/>
    <w:rsid w:val="00E412EC"/>
    <w:rsid w:val="00E41D05"/>
    <w:rsid w:val="00E4241D"/>
    <w:rsid w:val="00E42C2B"/>
    <w:rsid w:val="00E43459"/>
    <w:rsid w:val="00E435FA"/>
    <w:rsid w:val="00E442E0"/>
    <w:rsid w:val="00E44E51"/>
    <w:rsid w:val="00E457B1"/>
    <w:rsid w:val="00E4660A"/>
    <w:rsid w:val="00E4668A"/>
    <w:rsid w:val="00E47609"/>
    <w:rsid w:val="00E47791"/>
    <w:rsid w:val="00E47BB0"/>
    <w:rsid w:val="00E50512"/>
    <w:rsid w:val="00E50634"/>
    <w:rsid w:val="00E506C4"/>
    <w:rsid w:val="00E519FE"/>
    <w:rsid w:val="00E51F73"/>
    <w:rsid w:val="00E52CE2"/>
    <w:rsid w:val="00E5366E"/>
    <w:rsid w:val="00E53BFF"/>
    <w:rsid w:val="00E53C73"/>
    <w:rsid w:val="00E53CDB"/>
    <w:rsid w:val="00E55002"/>
    <w:rsid w:val="00E55087"/>
    <w:rsid w:val="00E55A09"/>
    <w:rsid w:val="00E55A4E"/>
    <w:rsid w:val="00E55A6E"/>
    <w:rsid w:val="00E5635E"/>
    <w:rsid w:val="00E57132"/>
    <w:rsid w:val="00E57281"/>
    <w:rsid w:val="00E6016A"/>
    <w:rsid w:val="00E608D2"/>
    <w:rsid w:val="00E609D2"/>
    <w:rsid w:val="00E616C9"/>
    <w:rsid w:val="00E6234A"/>
    <w:rsid w:val="00E649E8"/>
    <w:rsid w:val="00E64C65"/>
    <w:rsid w:val="00E65AC0"/>
    <w:rsid w:val="00E671FD"/>
    <w:rsid w:val="00E7008F"/>
    <w:rsid w:val="00E701D9"/>
    <w:rsid w:val="00E70A4F"/>
    <w:rsid w:val="00E70D72"/>
    <w:rsid w:val="00E717DF"/>
    <w:rsid w:val="00E723C4"/>
    <w:rsid w:val="00E72934"/>
    <w:rsid w:val="00E72A61"/>
    <w:rsid w:val="00E73A37"/>
    <w:rsid w:val="00E73D9E"/>
    <w:rsid w:val="00E741FD"/>
    <w:rsid w:val="00E745B2"/>
    <w:rsid w:val="00E7495C"/>
    <w:rsid w:val="00E7496D"/>
    <w:rsid w:val="00E7627F"/>
    <w:rsid w:val="00E80055"/>
    <w:rsid w:val="00E802FF"/>
    <w:rsid w:val="00E808EE"/>
    <w:rsid w:val="00E80964"/>
    <w:rsid w:val="00E809DB"/>
    <w:rsid w:val="00E80B82"/>
    <w:rsid w:val="00E81011"/>
    <w:rsid w:val="00E81085"/>
    <w:rsid w:val="00E81117"/>
    <w:rsid w:val="00E81216"/>
    <w:rsid w:val="00E81D40"/>
    <w:rsid w:val="00E81E61"/>
    <w:rsid w:val="00E82426"/>
    <w:rsid w:val="00E82487"/>
    <w:rsid w:val="00E82574"/>
    <w:rsid w:val="00E8282A"/>
    <w:rsid w:val="00E82F29"/>
    <w:rsid w:val="00E834CE"/>
    <w:rsid w:val="00E836DC"/>
    <w:rsid w:val="00E83739"/>
    <w:rsid w:val="00E83F4E"/>
    <w:rsid w:val="00E86940"/>
    <w:rsid w:val="00E86E2F"/>
    <w:rsid w:val="00E86E5D"/>
    <w:rsid w:val="00E907B2"/>
    <w:rsid w:val="00E92537"/>
    <w:rsid w:val="00E92A05"/>
    <w:rsid w:val="00E93191"/>
    <w:rsid w:val="00E931FA"/>
    <w:rsid w:val="00E941FF"/>
    <w:rsid w:val="00E943CC"/>
    <w:rsid w:val="00E9495D"/>
    <w:rsid w:val="00E96CEB"/>
    <w:rsid w:val="00E96F76"/>
    <w:rsid w:val="00EA06BE"/>
    <w:rsid w:val="00EA2324"/>
    <w:rsid w:val="00EA27D3"/>
    <w:rsid w:val="00EA2FFE"/>
    <w:rsid w:val="00EA395E"/>
    <w:rsid w:val="00EA3F0F"/>
    <w:rsid w:val="00EA4176"/>
    <w:rsid w:val="00EA6D01"/>
    <w:rsid w:val="00EA733C"/>
    <w:rsid w:val="00EB0302"/>
    <w:rsid w:val="00EB0975"/>
    <w:rsid w:val="00EB1804"/>
    <w:rsid w:val="00EB19B0"/>
    <w:rsid w:val="00EB4714"/>
    <w:rsid w:val="00EB4FF2"/>
    <w:rsid w:val="00EB5497"/>
    <w:rsid w:val="00EB67C5"/>
    <w:rsid w:val="00EB708F"/>
    <w:rsid w:val="00EB783C"/>
    <w:rsid w:val="00EB7F8E"/>
    <w:rsid w:val="00EC0176"/>
    <w:rsid w:val="00EC0F1C"/>
    <w:rsid w:val="00EC2DE2"/>
    <w:rsid w:val="00EC2EBA"/>
    <w:rsid w:val="00EC4A48"/>
    <w:rsid w:val="00EC4F7A"/>
    <w:rsid w:val="00EC584E"/>
    <w:rsid w:val="00EC5935"/>
    <w:rsid w:val="00EC64B7"/>
    <w:rsid w:val="00EC7506"/>
    <w:rsid w:val="00EC75D9"/>
    <w:rsid w:val="00ED00F5"/>
    <w:rsid w:val="00ED0A61"/>
    <w:rsid w:val="00ED0C67"/>
    <w:rsid w:val="00ED149F"/>
    <w:rsid w:val="00ED176D"/>
    <w:rsid w:val="00ED18AA"/>
    <w:rsid w:val="00ED1FFA"/>
    <w:rsid w:val="00ED2A78"/>
    <w:rsid w:val="00ED2EFA"/>
    <w:rsid w:val="00ED37C8"/>
    <w:rsid w:val="00ED3CC3"/>
    <w:rsid w:val="00ED4185"/>
    <w:rsid w:val="00ED4978"/>
    <w:rsid w:val="00ED5636"/>
    <w:rsid w:val="00ED69A2"/>
    <w:rsid w:val="00ED69E7"/>
    <w:rsid w:val="00ED6D9C"/>
    <w:rsid w:val="00ED6DE5"/>
    <w:rsid w:val="00ED7630"/>
    <w:rsid w:val="00EE023E"/>
    <w:rsid w:val="00EE0BD1"/>
    <w:rsid w:val="00EE271D"/>
    <w:rsid w:val="00EE2E4C"/>
    <w:rsid w:val="00EE32AE"/>
    <w:rsid w:val="00EE3C01"/>
    <w:rsid w:val="00EE40D1"/>
    <w:rsid w:val="00EE4351"/>
    <w:rsid w:val="00EE4E34"/>
    <w:rsid w:val="00EE4EE1"/>
    <w:rsid w:val="00EE620D"/>
    <w:rsid w:val="00EE6671"/>
    <w:rsid w:val="00EE67C0"/>
    <w:rsid w:val="00EE726A"/>
    <w:rsid w:val="00EE73EF"/>
    <w:rsid w:val="00EF0523"/>
    <w:rsid w:val="00EF0575"/>
    <w:rsid w:val="00EF16AA"/>
    <w:rsid w:val="00EF27DA"/>
    <w:rsid w:val="00EF3619"/>
    <w:rsid w:val="00EF3C0D"/>
    <w:rsid w:val="00EF5804"/>
    <w:rsid w:val="00EF6C85"/>
    <w:rsid w:val="00EF72CB"/>
    <w:rsid w:val="00EF7A04"/>
    <w:rsid w:val="00F02CDF"/>
    <w:rsid w:val="00F02FE6"/>
    <w:rsid w:val="00F03112"/>
    <w:rsid w:val="00F034CB"/>
    <w:rsid w:val="00F03574"/>
    <w:rsid w:val="00F046E0"/>
    <w:rsid w:val="00F0518E"/>
    <w:rsid w:val="00F05696"/>
    <w:rsid w:val="00F06C76"/>
    <w:rsid w:val="00F06EC1"/>
    <w:rsid w:val="00F0741A"/>
    <w:rsid w:val="00F10892"/>
    <w:rsid w:val="00F10DE2"/>
    <w:rsid w:val="00F114FC"/>
    <w:rsid w:val="00F11909"/>
    <w:rsid w:val="00F11EF3"/>
    <w:rsid w:val="00F11F11"/>
    <w:rsid w:val="00F12123"/>
    <w:rsid w:val="00F1247A"/>
    <w:rsid w:val="00F1249D"/>
    <w:rsid w:val="00F128E5"/>
    <w:rsid w:val="00F12B1F"/>
    <w:rsid w:val="00F1312B"/>
    <w:rsid w:val="00F1411A"/>
    <w:rsid w:val="00F1431D"/>
    <w:rsid w:val="00F15292"/>
    <w:rsid w:val="00F15462"/>
    <w:rsid w:val="00F1572C"/>
    <w:rsid w:val="00F159CD"/>
    <w:rsid w:val="00F15FE2"/>
    <w:rsid w:val="00F1625F"/>
    <w:rsid w:val="00F16741"/>
    <w:rsid w:val="00F1734E"/>
    <w:rsid w:val="00F21509"/>
    <w:rsid w:val="00F21D6C"/>
    <w:rsid w:val="00F21F93"/>
    <w:rsid w:val="00F2312B"/>
    <w:rsid w:val="00F234ED"/>
    <w:rsid w:val="00F24A25"/>
    <w:rsid w:val="00F24E38"/>
    <w:rsid w:val="00F25365"/>
    <w:rsid w:val="00F2574C"/>
    <w:rsid w:val="00F27A0B"/>
    <w:rsid w:val="00F27DE1"/>
    <w:rsid w:val="00F302BD"/>
    <w:rsid w:val="00F30E78"/>
    <w:rsid w:val="00F30F34"/>
    <w:rsid w:val="00F311DC"/>
    <w:rsid w:val="00F31B9C"/>
    <w:rsid w:val="00F32C11"/>
    <w:rsid w:val="00F33E35"/>
    <w:rsid w:val="00F35D60"/>
    <w:rsid w:val="00F35F1B"/>
    <w:rsid w:val="00F36277"/>
    <w:rsid w:val="00F3655E"/>
    <w:rsid w:val="00F374AB"/>
    <w:rsid w:val="00F3758A"/>
    <w:rsid w:val="00F3769B"/>
    <w:rsid w:val="00F37F59"/>
    <w:rsid w:val="00F40217"/>
    <w:rsid w:val="00F41042"/>
    <w:rsid w:val="00F417AF"/>
    <w:rsid w:val="00F42059"/>
    <w:rsid w:val="00F42918"/>
    <w:rsid w:val="00F42B10"/>
    <w:rsid w:val="00F43610"/>
    <w:rsid w:val="00F43989"/>
    <w:rsid w:val="00F44266"/>
    <w:rsid w:val="00F444B5"/>
    <w:rsid w:val="00F45073"/>
    <w:rsid w:val="00F46480"/>
    <w:rsid w:val="00F47308"/>
    <w:rsid w:val="00F47F7A"/>
    <w:rsid w:val="00F5016F"/>
    <w:rsid w:val="00F501C8"/>
    <w:rsid w:val="00F501EF"/>
    <w:rsid w:val="00F50B50"/>
    <w:rsid w:val="00F513D7"/>
    <w:rsid w:val="00F51B62"/>
    <w:rsid w:val="00F51C00"/>
    <w:rsid w:val="00F52923"/>
    <w:rsid w:val="00F52B16"/>
    <w:rsid w:val="00F53C7E"/>
    <w:rsid w:val="00F54201"/>
    <w:rsid w:val="00F54858"/>
    <w:rsid w:val="00F54F00"/>
    <w:rsid w:val="00F55820"/>
    <w:rsid w:val="00F55AD4"/>
    <w:rsid w:val="00F55E91"/>
    <w:rsid w:val="00F56B72"/>
    <w:rsid w:val="00F56C13"/>
    <w:rsid w:val="00F56F65"/>
    <w:rsid w:val="00F57B29"/>
    <w:rsid w:val="00F57F6D"/>
    <w:rsid w:val="00F6029A"/>
    <w:rsid w:val="00F607C5"/>
    <w:rsid w:val="00F61566"/>
    <w:rsid w:val="00F61CDB"/>
    <w:rsid w:val="00F62662"/>
    <w:rsid w:val="00F62ED7"/>
    <w:rsid w:val="00F63145"/>
    <w:rsid w:val="00F636A0"/>
    <w:rsid w:val="00F63F50"/>
    <w:rsid w:val="00F674D2"/>
    <w:rsid w:val="00F67A10"/>
    <w:rsid w:val="00F67AD1"/>
    <w:rsid w:val="00F70D2C"/>
    <w:rsid w:val="00F7139A"/>
    <w:rsid w:val="00F71DBE"/>
    <w:rsid w:val="00F72F2A"/>
    <w:rsid w:val="00F751EE"/>
    <w:rsid w:val="00F759BC"/>
    <w:rsid w:val="00F800BE"/>
    <w:rsid w:val="00F8028B"/>
    <w:rsid w:val="00F804DA"/>
    <w:rsid w:val="00F80DCD"/>
    <w:rsid w:val="00F80E8C"/>
    <w:rsid w:val="00F81C11"/>
    <w:rsid w:val="00F820B5"/>
    <w:rsid w:val="00F82A88"/>
    <w:rsid w:val="00F8338C"/>
    <w:rsid w:val="00F83D35"/>
    <w:rsid w:val="00F83FB3"/>
    <w:rsid w:val="00F8448C"/>
    <w:rsid w:val="00F8490E"/>
    <w:rsid w:val="00F8519A"/>
    <w:rsid w:val="00F8627B"/>
    <w:rsid w:val="00F86C3A"/>
    <w:rsid w:val="00F86D46"/>
    <w:rsid w:val="00F8771F"/>
    <w:rsid w:val="00F90190"/>
    <w:rsid w:val="00F919C0"/>
    <w:rsid w:val="00F920DD"/>
    <w:rsid w:val="00F922EF"/>
    <w:rsid w:val="00F93270"/>
    <w:rsid w:val="00F935AC"/>
    <w:rsid w:val="00F93A22"/>
    <w:rsid w:val="00F946E3"/>
    <w:rsid w:val="00F95A89"/>
    <w:rsid w:val="00F95D1A"/>
    <w:rsid w:val="00F96395"/>
    <w:rsid w:val="00F96CE1"/>
    <w:rsid w:val="00F97229"/>
    <w:rsid w:val="00F978F3"/>
    <w:rsid w:val="00FA0F74"/>
    <w:rsid w:val="00FA2158"/>
    <w:rsid w:val="00FA37DA"/>
    <w:rsid w:val="00FA5122"/>
    <w:rsid w:val="00FA5520"/>
    <w:rsid w:val="00FA6850"/>
    <w:rsid w:val="00FA6CE1"/>
    <w:rsid w:val="00FA7102"/>
    <w:rsid w:val="00FA764B"/>
    <w:rsid w:val="00FA7813"/>
    <w:rsid w:val="00FB01AE"/>
    <w:rsid w:val="00FB103F"/>
    <w:rsid w:val="00FB1BC3"/>
    <w:rsid w:val="00FB2045"/>
    <w:rsid w:val="00FB2691"/>
    <w:rsid w:val="00FB2AA7"/>
    <w:rsid w:val="00FB3002"/>
    <w:rsid w:val="00FB4569"/>
    <w:rsid w:val="00FB4FEE"/>
    <w:rsid w:val="00FB561A"/>
    <w:rsid w:val="00FB5E17"/>
    <w:rsid w:val="00FB65B4"/>
    <w:rsid w:val="00FB798D"/>
    <w:rsid w:val="00FC0634"/>
    <w:rsid w:val="00FC1F3B"/>
    <w:rsid w:val="00FC269C"/>
    <w:rsid w:val="00FC3230"/>
    <w:rsid w:val="00FC33D5"/>
    <w:rsid w:val="00FC48A2"/>
    <w:rsid w:val="00FC4975"/>
    <w:rsid w:val="00FC4E46"/>
    <w:rsid w:val="00FC62E6"/>
    <w:rsid w:val="00FC63C6"/>
    <w:rsid w:val="00FC69E0"/>
    <w:rsid w:val="00FC7328"/>
    <w:rsid w:val="00FC738F"/>
    <w:rsid w:val="00FD02A1"/>
    <w:rsid w:val="00FD0504"/>
    <w:rsid w:val="00FD0B93"/>
    <w:rsid w:val="00FD1474"/>
    <w:rsid w:val="00FD1AF0"/>
    <w:rsid w:val="00FD2A1C"/>
    <w:rsid w:val="00FD446B"/>
    <w:rsid w:val="00FD4636"/>
    <w:rsid w:val="00FD4E1A"/>
    <w:rsid w:val="00FD5541"/>
    <w:rsid w:val="00FD6A07"/>
    <w:rsid w:val="00FD6CEF"/>
    <w:rsid w:val="00FD6DDF"/>
    <w:rsid w:val="00FE03D4"/>
    <w:rsid w:val="00FE1498"/>
    <w:rsid w:val="00FE2328"/>
    <w:rsid w:val="00FE330A"/>
    <w:rsid w:val="00FE3422"/>
    <w:rsid w:val="00FE3AC1"/>
    <w:rsid w:val="00FE3CDB"/>
    <w:rsid w:val="00FE4D5B"/>
    <w:rsid w:val="00FE54E5"/>
    <w:rsid w:val="00FE74AD"/>
    <w:rsid w:val="00FE7714"/>
    <w:rsid w:val="00FF0305"/>
    <w:rsid w:val="00FF056A"/>
    <w:rsid w:val="00FF1550"/>
    <w:rsid w:val="00FF2070"/>
    <w:rsid w:val="00FF296C"/>
    <w:rsid w:val="00FF4746"/>
    <w:rsid w:val="00FF4D1F"/>
    <w:rsid w:val="00FF6E12"/>
    <w:rsid w:val="00FF7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percent:60;mso-height-percent:1000" o:allowincell="f" fillcolor="none [1303]" strokecolor="none [1303]">
      <v:fill color="none [1303]" color2="fill lighten(165)" rotate="t" method="linear sigma" focus="100%" type="gradient"/>
      <v:stroke color="none [1303]" weight="1pt"/>
      <v:imagedata embosscolor="shadow add(51)"/>
      <v:shadow type="perspective" color="none [2408]" origin=",.5" offset="0,-123pt" offset2=",-246pt" matrix=",,,-1"/>
      <o:extrusion v:ext="view" backdepth="0" color="none [1343]" rotationangle="25,25" viewpoint="0,0" viewpointorigin="0,0" skewangle="0" skewamt="0" lightposition="-50000,-50000" lightposition2="50000"/>
      <v:textbox inset="0,1in,1in,1in"/>
    </o:shapedefaults>
    <o:shapelayout v:ext="edit">
      <o:idmap v:ext="edit" data="1"/>
    </o:shapelayout>
  </w:shapeDefaults>
  <w:decimalSymbol w:val="."/>
  <w:listSeparator w:val=","/>
  <w15:docId w15:val="{D5E4FBB0-CF3D-4EA3-87F9-E1F1D755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BE"/>
    <w:pPr>
      <w:spacing w:after="0" w:line="240" w:lineRule="auto"/>
    </w:pPr>
    <w:rPr>
      <w:rFonts w:ascii="Arial" w:eastAsia="Times New Roman" w:hAnsi="Arial" w:cs="Times New Roman"/>
      <w:szCs w:val="20"/>
    </w:rPr>
  </w:style>
  <w:style w:type="paragraph" w:styleId="Heading1">
    <w:name w:val="heading 1"/>
    <w:basedOn w:val="Normal"/>
    <w:next w:val="Normal"/>
    <w:link w:val="Heading1Char"/>
    <w:autoRedefine/>
    <w:uiPriority w:val="99"/>
    <w:qFormat/>
    <w:rsid w:val="00AA1592"/>
    <w:pPr>
      <w:keepNext/>
      <w:pBdr>
        <w:right w:val="single" w:sz="4" w:space="1" w:color="auto"/>
      </w:pBdr>
      <w:shd w:val="clear" w:color="auto" w:fill="365F91" w:themeFill="accent1" w:themeFillShade="BF"/>
      <w:spacing w:before="240" w:after="240" w:line="360" w:lineRule="auto"/>
      <w:outlineLvl w:val="0"/>
    </w:pPr>
    <w:rPr>
      <w:rFonts w:cs="Arial"/>
      <w:b/>
      <w:bCs/>
      <w:noProof/>
      <w:color w:val="FFFFFF" w:themeColor="background1"/>
      <w:kern w:val="32"/>
      <w:sz w:val="28"/>
      <w:szCs w:val="28"/>
      <w:lang w:eastAsia="en-GB"/>
    </w:rPr>
  </w:style>
  <w:style w:type="paragraph" w:styleId="Heading2">
    <w:name w:val="heading 2"/>
    <w:basedOn w:val="Normal"/>
    <w:next w:val="Normal"/>
    <w:link w:val="Heading2Char"/>
    <w:qFormat/>
    <w:rsid w:val="009F3805"/>
    <w:pPr>
      <w:keepNext/>
      <w:numPr>
        <w:ilvl w:val="1"/>
        <w:numId w:val="1"/>
      </w:numPr>
      <w:spacing w:before="120" w:after="60"/>
      <w:outlineLvl w:val="1"/>
    </w:pPr>
    <w:rPr>
      <w:rFonts w:cs="Arial"/>
      <w:b/>
      <w:bCs/>
      <w:iCs/>
      <w:color w:val="365F91" w:themeColor="accent1" w:themeShade="BF"/>
      <w:sz w:val="28"/>
      <w:szCs w:val="28"/>
    </w:rPr>
  </w:style>
  <w:style w:type="paragraph" w:styleId="Heading3">
    <w:name w:val="heading 3"/>
    <w:basedOn w:val="Normal"/>
    <w:next w:val="Normal"/>
    <w:link w:val="Heading3Char"/>
    <w:uiPriority w:val="9"/>
    <w:qFormat/>
    <w:rsid w:val="00234ABE"/>
    <w:pPr>
      <w:keepNext/>
      <w:numPr>
        <w:ilvl w:val="2"/>
        <w:numId w:val="1"/>
      </w:numPr>
      <w:spacing w:before="240" w:after="60"/>
      <w:outlineLvl w:val="2"/>
    </w:pPr>
    <w:rPr>
      <w:rFonts w:cs="Arial"/>
      <w:b/>
      <w:bCs/>
      <w:color w:val="365F91" w:themeColor="accent1" w:themeShade="BF"/>
      <w:sz w:val="26"/>
      <w:szCs w:val="26"/>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uiPriority w:val="99"/>
    <w:qFormat/>
    <w:rsid w:val="009F3805"/>
    <w:pPr>
      <w:keepNext/>
      <w:numPr>
        <w:ilvl w:val="3"/>
        <w:numId w:val="1"/>
      </w:numPr>
      <w:spacing w:before="120" w:after="60"/>
      <w:outlineLvl w:val="3"/>
    </w:pPr>
    <w:rPr>
      <w:b/>
      <w:bCs/>
      <w:color w:val="365F91" w:themeColor="accent1" w:themeShade="BF"/>
      <w:szCs w:val="28"/>
    </w:rPr>
  </w:style>
  <w:style w:type="paragraph" w:styleId="Heading5">
    <w:name w:val="heading 5"/>
    <w:basedOn w:val="Normal"/>
    <w:next w:val="Normal"/>
    <w:link w:val="Heading5Char"/>
    <w:uiPriority w:val="99"/>
    <w:qFormat/>
    <w:rsid w:val="00234AB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uiPriority w:val="99"/>
    <w:qFormat/>
    <w:rsid w:val="00234ABE"/>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234AB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rsid w:val="00234AB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234ABE"/>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A1592"/>
    <w:rPr>
      <w:rFonts w:ascii="Arial" w:eastAsia="Times New Roman" w:hAnsi="Arial" w:cs="Arial"/>
      <w:b/>
      <w:bCs/>
      <w:noProof/>
      <w:color w:val="FFFFFF" w:themeColor="background1"/>
      <w:kern w:val="32"/>
      <w:sz w:val="28"/>
      <w:szCs w:val="28"/>
      <w:shd w:val="clear" w:color="auto" w:fill="365F91" w:themeFill="accent1" w:themeFillShade="BF"/>
      <w:lang w:eastAsia="en-GB"/>
    </w:rPr>
  </w:style>
  <w:style w:type="character" w:customStyle="1" w:styleId="Heading2Char">
    <w:name w:val="Heading 2 Char"/>
    <w:basedOn w:val="DefaultParagraphFont"/>
    <w:link w:val="Heading2"/>
    <w:rsid w:val="009F3805"/>
    <w:rPr>
      <w:rFonts w:ascii="Arial" w:eastAsia="Times New Roman" w:hAnsi="Arial" w:cs="Arial"/>
      <w:b/>
      <w:bCs/>
      <w:iCs/>
      <w:color w:val="365F91" w:themeColor="accent1" w:themeShade="BF"/>
      <w:sz w:val="28"/>
      <w:szCs w:val="28"/>
    </w:rPr>
  </w:style>
  <w:style w:type="character" w:customStyle="1" w:styleId="Heading3Char">
    <w:name w:val="Heading 3 Char"/>
    <w:basedOn w:val="DefaultParagraphFont"/>
    <w:link w:val="Heading3"/>
    <w:uiPriority w:val="9"/>
    <w:rsid w:val="00234ABE"/>
    <w:rPr>
      <w:rFonts w:ascii="Arial" w:eastAsia="Times New Roman" w:hAnsi="Arial" w:cs="Arial"/>
      <w:b/>
      <w:bCs/>
      <w:color w:val="365F91" w:themeColor="accent1" w:themeShade="BF"/>
      <w:sz w:val="26"/>
      <w:szCs w:val="26"/>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uiPriority w:val="99"/>
    <w:rsid w:val="009F3805"/>
    <w:rPr>
      <w:rFonts w:ascii="Arial" w:eastAsia="Times New Roman" w:hAnsi="Arial" w:cs="Times New Roman"/>
      <w:b/>
      <w:bCs/>
      <w:color w:val="365F91" w:themeColor="accent1" w:themeShade="BF"/>
      <w:szCs w:val="28"/>
    </w:rPr>
  </w:style>
  <w:style w:type="character" w:customStyle="1" w:styleId="Heading5Char">
    <w:name w:val="Heading 5 Char"/>
    <w:basedOn w:val="DefaultParagraphFont"/>
    <w:link w:val="Heading5"/>
    <w:uiPriority w:val="99"/>
    <w:rsid w:val="00234AB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234ABE"/>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234ABE"/>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234AB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rsid w:val="00234ABE"/>
    <w:rPr>
      <w:rFonts w:ascii="Arial" w:eastAsia="Times New Roman" w:hAnsi="Arial" w:cs="Arial"/>
    </w:rPr>
  </w:style>
  <w:style w:type="paragraph" w:styleId="Header">
    <w:name w:val="header"/>
    <w:basedOn w:val="Normal"/>
    <w:link w:val="HeaderChar"/>
    <w:uiPriority w:val="99"/>
    <w:rsid w:val="00234ABE"/>
    <w:pPr>
      <w:tabs>
        <w:tab w:val="center" w:pos="4320"/>
        <w:tab w:val="right" w:pos="8640"/>
      </w:tabs>
    </w:pPr>
  </w:style>
  <w:style w:type="character" w:customStyle="1" w:styleId="HeaderChar">
    <w:name w:val="Header Char"/>
    <w:basedOn w:val="DefaultParagraphFont"/>
    <w:link w:val="Header"/>
    <w:uiPriority w:val="99"/>
    <w:rsid w:val="00234ABE"/>
    <w:rPr>
      <w:rFonts w:ascii="Arial" w:eastAsia="Times New Roman" w:hAnsi="Arial" w:cs="Times New Roman"/>
      <w:szCs w:val="20"/>
      <w:lang w:val="en-US"/>
    </w:rPr>
  </w:style>
  <w:style w:type="paragraph" w:styleId="Footer">
    <w:name w:val="footer"/>
    <w:basedOn w:val="Normal"/>
    <w:link w:val="FooterChar"/>
    <w:uiPriority w:val="99"/>
    <w:rsid w:val="00234ABE"/>
    <w:pPr>
      <w:tabs>
        <w:tab w:val="center" w:pos="4320"/>
        <w:tab w:val="right" w:pos="8640"/>
      </w:tabs>
    </w:pPr>
  </w:style>
  <w:style w:type="character" w:customStyle="1" w:styleId="FooterChar">
    <w:name w:val="Footer Char"/>
    <w:basedOn w:val="DefaultParagraphFont"/>
    <w:link w:val="Footer"/>
    <w:uiPriority w:val="99"/>
    <w:rsid w:val="00234ABE"/>
    <w:rPr>
      <w:rFonts w:ascii="Arial" w:eastAsia="Times New Roman" w:hAnsi="Arial" w:cs="Times New Roman"/>
      <w:szCs w:val="20"/>
      <w:lang w:val="en-US"/>
    </w:rPr>
  </w:style>
  <w:style w:type="paragraph" w:styleId="ListParagraph">
    <w:name w:val="List Paragraph"/>
    <w:aliases w:val="F5 List Paragraph,List Paragraph2,MAIN CONTENT,List Paragraph12,Dot pt,List Paragraph1,Colorful List - Accent 11,List Paragraph Char Char Char,Indicator Text,Numbered Para 1,Bullet Points,Bullet 1,Normal numbered,OBC Bullet,L"/>
    <w:basedOn w:val="Normal"/>
    <w:link w:val="ListParagraphChar"/>
    <w:uiPriority w:val="34"/>
    <w:qFormat/>
    <w:rsid w:val="00234ABE"/>
    <w:pPr>
      <w:ind w:left="720"/>
    </w:pPr>
    <w:rPr>
      <w:sz w:val="24"/>
    </w:rPr>
  </w:style>
  <w:style w:type="character" w:styleId="Hyperlink">
    <w:name w:val="Hyperlink"/>
    <w:basedOn w:val="DefaultParagraphFont"/>
    <w:uiPriority w:val="99"/>
    <w:rsid w:val="00234ABE"/>
    <w:rPr>
      <w:color w:val="0000FF"/>
      <w:u w:val="single"/>
    </w:rPr>
  </w:style>
  <w:style w:type="paragraph" w:styleId="TOC1">
    <w:name w:val="toc 1"/>
    <w:basedOn w:val="Normal"/>
    <w:next w:val="Normal"/>
    <w:autoRedefine/>
    <w:uiPriority w:val="39"/>
    <w:rsid w:val="00234ABE"/>
    <w:pPr>
      <w:spacing w:after="100"/>
    </w:pPr>
  </w:style>
  <w:style w:type="paragraph" w:styleId="TOC2">
    <w:name w:val="toc 2"/>
    <w:basedOn w:val="Normal"/>
    <w:next w:val="Normal"/>
    <w:autoRedefine/>
    <w:uiPriority w:val="39"/>
    <w:rsid w:val="00234ABE"/>
    <w:pPr>
      <w:spacing w:after="100"/>
      <w:ind w:left="200"/>
    </w:pPr>
  </w:style>
  <w:style w:type="paragraph" w:styleId="Title">
    <w:name w:val="Title"/>
    <w:basedOn w:val="Normal"/>
    <w:next w:val="Normal"/>
    <w:link w:val="TitleChar"/>
    <w:uiPriority w:val="99"/>
    <w:qFormat/>
    <w:rsid w:val="00FE4D5B"/>
    <w:pPr>
      <w:pBdr>
        <w:bottom w:val="single" w:sz="8" w:space="4" w:color="4F81BD" w:themeColor="accent1"/>
      </w:pBdr>
      <w:spacing w:after="300"/>
      <w:contextualSpacing/>
    </w:pPr>
    <w:rPr>
      <w:rFonts w:eastAsiaTheme="majorEastAsia" w:cstheme="majorBidi"/>
      <w:b/>
      <w:color w:val="365F91" w:themeColor="accent1" w:themeShade="BF"/>
      <w:spacing w:val="5"/>
      <w:kern w:val="28"/>
      <w:sz w:val="40"/>
      <w:szCs w:val="52"/>
    </w:rPr>
  </w:style>
  <w:style w:type="character" w:customStyle="1" w:styleId="TitleChar">
    <w:name w:val="Title Char"/>
    <w:basedOn w:val="DefaultParagraphFont"/>
    <w:link w:val="Title"/>
    <w:uiPriority w:val="99"/>
    <w:rsid w:val="00FE4D5B"/>
    <w:rPr>
      <w:rFonts w:ascii="Arial" w:eastAsiaTheme="majorEastAsia" w:hAnsi="Arial" w:cstheme="majorBidi"/>
      <w:b/>
      <w:color w:val="365F91" w:themeColor="accent1" w:themeShade="BF"/>
      <w:spacing w:val="5"/>
      <w:kern w:val="28"/>
      <w:sz w:val="40"/>
      <w:szCs w:val="52"/>
      <w:lang w:val="en-US"/>
    </w:rPr>
  </w:style>
  <w:style w:type="paragraph" w:styleId="Subtitle">
    <w:name w:val="Subtitle"/>
    <w:basedOn w:val="Normal"/>
    <w:next w:val="Normal"/>
    <w:link w:val="SubtitleChar"/>
    <w:qFormat/>
    <w:rsid w:val="00234AB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234ABE"/>
    <w:rPr>
      <w:rFonts w:asciiTheme="majorHAnsi" w:eastAsiaTheme="majorEastAsia" w:hAnsiTheme="majorHAnsi" w:cstheme="majorBidi"/>
      <w:i/>
      <w:iCs/>
      <w:color w:val="4F81BD" w:themeColor="accent1"/>
      <w:spacing w:val="15"/>
      <w:sz w:val="24"/>
      <w:szCs w:val="24"/>
      <w:lang w:val="en-US"/>
    </w:rPr>
  </w:style>
  <w:style w:type="character" w:styleId="Emphasis">
    <w:name w:val="Emphasis"/>
    <w:basedOn w:val="DefaultParagraphFont"/>
    <w:uiPriority w:val="20"/>
    <w:qFormat/>
    <w:rsid w:val="000E713E"/>
    <w:rPr>
      <w:rFonts w:ascii="Arial" w:hAnsi="Arial"/>
      <w:i/>
      <w:iCs/>
      <w:color w:val="365F91" w:themeColor="accent1" w:themeShade="BF"/>
      <w:sz w:val="22"/>
    </w:rPr>
  </w:style>
  <w:style w:type="character" w:styleId="BookTitle">
    <w:name w:val="Book Title"/>
    <w:basedOn w:val="DefaultParagraphFont"/>
    <w:uiPriority w:val="33"/>
    <w:qFormat/>
    <w:rsid w:val="00234ABE"/>
    <w:rPr>
      <w:b/>
      <w:bCs/>
      <w:smallCaps/>
      <w:spacing w:val="5"/>
    </w:rPr>
  </w:style>
  <w:style w:type="paragraph" w:styleId="BalloonText">
    <w:name w:val="Balloon Text"/>
    <w:basedOn w:val="Normal"/>
    <w:link w:val="BalloonTextChar"/>
    <w:uiPriority w:val="99"/>
    <w:unhideWhenUsed/>
    <w:rsid w:val="00234ABE"/>
    <w:rPr>
      <w:rFonts w:ascii="Tahoma" w:hAnsi="Tahoma" w:cs="Tahoma"/>
      <w:sz w:val="16"/>
      <w:szCs w:val="16"/>
    </w:rPr>
  </w:style>
  <w:style w:type="character" w:customStyle="1" w:styleId="BalloonTextChar">
    <w:name w:val="Balloon Text Char"/>
    <w:basedOn w:val="DefaultParagraphFont"/>
    <w:link w:val="BalloonText"/>
    <w:uiPriority w:val="99"/>
    <w:rsid w:val="00234ABE"/>
    <w:rPr>
      <w:rFonts w:ascii="Tahoma" w:eastAsia="Times New Roman" w:hAnsi="Tahoma" w:cs="Tahoma"/>
      <w:sz w:val="16"/>
      <w:szCs w:val="16"/>
      <w:lang w:val="en-US"/>
    </w:rPr>
  </w:style>
  <w:style w:type="paragraph" w:styleId="TOC3">
    <w:name w:val="toc 3"/>
    <w:basedOn w:val="Normal"/>
    <w:next w:val="Normal"/>
    <w:autoRedefine/>
    <w:uiPriority w:val="39"/>
    <w:unhideWhenUsed/>
    <w:rsid w:val="00234ABE"/>
    <w:pPr>
      <w:spacing w:after="100"/>
      <w:ind w:left="440"/>
    </w:pPr>
  </w:style>
  <w:style w:type="character" w:styleId="Strong">
    <w:name w:val="Strong"/>
    <w:basedOn w:val="DefaultParagraphFont"/>
    <w:uiPriority w:val="22"/>
    <w:qFormat/>
    <w:rsid w:val="000A09BA"/>
    <w:rPr>
      <w:b/>
      <w:bCs/>
    </w:rPr>
  </w:style>
  <w:style w:type="paragraph" w:styleId="NoSpacing">
    <w:name w:val="No Spacing"/>
    <w:uiPriority w:val="99"/>
    <w:qFormat/>
    <w:rsid w:val="0045709B"/>
    <w:pPr>
      <w:spacing w:after="0" w:line="240" w:lineRule="auto"/>
    </w:pPr>
    <w:rPr>
      <w:rFonts w:ascii="Arial" w:eastAsia="Times New Roman" w:hAnsi="Arial" w:cs="Times New Roman"/>
      <w:sz w:val="24"/>
      <w:szCs w:val="20"/>
    </w:rPr>
  </w:style>
  <w:style w:type="paragraph" w:customStyle="1" w:styleId="xl74">
    <w:name w:val="xl74"/>
    <w:basedOn w:val="Normal"/>
    <w:rsid w:val="00450A4B"/>
    <w:pPr>
      <w:spacing w:before="100" w:beforeAutospacing="1" w:after="100" w:afterAutospacing="1"/>
    </w:pPr>
    <w:rPr>
      <w:rFonts w:cs="Arial"/>
      <w:b/>
      <w:bCs/>
      <w:sz w:val="24"/>
      <w:szCs w:val="24"/>
      <w:lang w:eastAsia="en-GB"/>
    </w:rPr>
  </w:style>
  <w:style w:type="paragraph" w:customStyle="1" w:styleId="xl75">
    <w:name w:val="xl75"/>
    <w:basedOn w:val="Normal"/>
    <w:rsid w:val="00450A4B"/>
    <w:pPr>
      <w:spacing w:before="100" w:beforeAutospacing="1" w:after="100" w:afterAutospacing="1"/>
      <w:jc w:val="center"/>
    </w:pPr>
    <w:rPr>
      <w:rFonts w:cs="Arial"/>
      <w:b/>
      <w:bCs/>
      <w:sz w:val="24"/>
      <w:szCs w:val="24"/>
      <w:lang w:eastAsia="en-GB"/>
    </w:rPr>
  </w:style>
  <w:style w:type="paragraph" w:customStyle="1" w:styleId="xl76">
    <w:name w:val="xl76"/>
    <w:basedOn w:val="Normal"/>
    <w:rsid w:val="00450A4B"/>
    <w:pPr>
      <w:spacing w:before="100" w:beforeAutospacing="1" w:after="100" w:afterAutospacing="1"/>
    </w:pPr>
    <w:rPr>
      <w:rFonts w:cs="Arial"/>
      <w:sz w:val="24"/>
      <w:szCs w:val="24"/>
      <w:lang w:eastAsia="en-GB"/>
    </w:rPr>
  </w:style>
  <w:style w:type="paragraph" w:customStyle="1" w:styleId="xl77">
    <w:name w:val="xl77"/>
    <w:basedOn w:val="Normal"/>
    <w:rsid w:val="00450A4B"/>
    <w:pPr>
      <w:spacing w:before="100" w:beforeAutospacing="1" w:after="100" w:afterAutospacing="1"/>
    </w:pPr>
    <w:rPr>
      <w:rFonts w:cs="Arial"/>
      <w:sz w:val="24"/>
      <w:szCs w:val="24"/>
      <w:lang w:eastAsia="en-GB"/>
    </w:rPr>
  </w:style>
  <w:style w:type="paragraph" w:customStyle="1" w:styleId="xl78">
    <w:name w:val="xl78"/>
    <w:basedOn w:val="Normal"/>
    <w:rsid w:val="00450A4B"/>
    <w:pPr>
      <w:spacing w:before="100" w:beforeAutospacing="1" w:after="100" w:afterAutospacing="1"/>
      <w:jc w:val="center"/>
    </w:pPr>
    <w:rPr>
      <w:rFonts w:cs="Arial"/>
      <w:sz w:val="24"/>
      <w:szCs w:val="24"/>
      <w:lang w:eastAsia="en-GB"/>
    </w:rPr>
  </w:style>
  <w:style w:type="paragraph" w:customStyle="1" w:styleId="xl79">
    <w:name w:val="xl79"/>
    <w:basedOn w:val="Normal"/>
    <w:rsid w:val="00450A4B"/>
    <w:pPr>
      <w:pBdr>
        <w:top w:val="single" w:sz="4" w:space="0" w:color="auto"/>
        <w:left w:val="single" w:sz="4" w:space="0" w:color="auto"/>
      </w:pBdr>
      <w:spacing w:before="100" w:beforeAutospacing="1" w:after="100" w:afterAutospacing="1"/>
    </w:pPr>
    <w:rPr>
      <w:rFonts w:cs="Arial"/>
      <w:b/>
      <w:bCs/>
      <w:sz w:val="24"/>
      <w:szCs w:val="24"/>
      <w:lang w:eastAsia="en-GB"/>
    </w:rPr>
  </w:style>
  <w:style w:type="paragraph" w:customStyle="1" w:styleId="xl80">
    <w:name w:val="xl80"/>
    <w:basedOn w:val="Normal"/>
    <w:rsid w:val="00450A4B"/>
    <w:pPr>
      <w:pBdr>
        <w:top w:val="single" w:sz="4" w:space="0" w:color="auto"/>
        <w:left w:val="single" w:sz="4" w:space="0" w:color="auto"/>
      </w:pBdr>
      <w:spacing w:before="100" w:beforeAutospacing="1" w:after="100" w:afterAutospacing="1"/>
      <w:jc w:val="center"/>
    </w:pPr>
    <w:rPr>
      <w:rFonts w:cs="Arial"/>
      <w:b/>
      <w:bCs/>
      <w:sz w:val="24"/>
      <w:szCs w:val="24"/>
      <w:lang w:eastAsia="en-GB"/>
    </w:rPr>
  </w:style>
  <w:style w:type="paragraph" w:customStyle="1" w:styleId="xl81">
    <w:name w:val="xl81"/>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2">
    <w:name w:val="xl82"/>
    <w:basedOn w:val="Normal"/>
    <w:rsid w:val="00450A4B"/>
    <w:pPr>
      <w:pBdr>
        <w:top w:val="single" w:sz="4" w:space="0" w:color="auto"/>
      </w:pBdr>
      <w:spacing w:before="100" w:beforeAutospacing="1" w:after="100" w:afterAutospacing="1"/>
      <w:jc w:val="center"/>
    </w:pPr>
    <w:rPr>
      <w:rFonts w:cs="Arial"/>
      <w:b/>
      <w:bCs/>
      <w:sz w:val="24"/>
      <w:szCs w:val="24"/>
      <w:lang w:eastAsia="en-GB"/>
    </w:rPr>
  </w:style>
  <w:style w:type="paragraph" w:customStyle="1" w:styleId="xl83">
    <w:name w:val="xl83"/>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4">
    <w:name w:val="xl84"/>
    <w:basedOn w:val="Normal"/>
    <w:rsid w:val="00450A4B"/>
    <w:pPr>
      <w:pBdr>
        <w:top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5">
    <w:name w:val="xl85"/>
    <w:basedOn w:val="Normal"/>
    <w:rsid w:val="00450A4B"/>
    <w:pPr>
      <w:pBdr>
        <w:left w:val="single" w:sz="4" w:space="0" w:color="auto"/>
      </w:pBdr>
      <w:spacing w:before="100" w:beforeAutospacing="1" w:after="100" w:afterAutospacing="1"/>
    </w:pPr>
    <w:rPr>
      <w:rFonts w:cs="Arial"/>
      <w:b/>
      <w:bCs/>
      <w:sz w:val="24"/>
      <w:szCs w:val="24"/>
      <w:lang w:eastAsia="en-GB"/>
    </w:rPr>
  </w:style>
  <w:style w:type="paragraph" w:customStyle="1" w:styleId="xl86">
    <w:name w:val="xl86"/>
    <w:basedOn w:val="Normal"/>
    <w:rsid w:val="00450A4B"/>
    <w:pPr>
      <w:pBdr>
        <w:left w:val="single" w:sz="4" w:space="0" w:color="auto"/>
      </w:pBdr>
      <w:spacing w:before="100" w:beforeAutospacing="1" w:after="100" w:afterAutospacing="1"/>
      <w:jc w:val="center"/>
    </w:pPr>
    <w:rPr>
      <w:rFonts w:cs="Arial"/>
      <w:b/>
      <w:bCs/>
      <w:sz w:val="24"/>
      <w:szCs w:val="24"/>
      <w:lang w:eastAsia="en-GB"/>
    </w:rPr>
  </w:style>
  <w:style w:type="paragraph" w:customStyle="1" w:styleId="xl87">
    <w:name w:val="xl8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88">
    <w:name w:val="xl88"/>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89">
    <w:name w:val="xl89"/>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90">
    <w:name w:val="xl90"/>
    <w:basedOn w:val="Normal"/>
    <w:rsid w:val="00450A4B"/>
    <w:pPr>
      <w:pBdr>
        <w:left w:val="single" w:sz="4" w:space="0" w:color="auto"/>
        <w:bottom w:val="single" w:sz="4" w:space="0" w:color="auto"/>
      </w:pBdr>
      <w:spacing w:before="100" w:beforeAutospacing="1" w:after="100" w:afterAutospacing="1"/>
    </w:pPr>
    <w:rPr>
      <w:rFonts w:cs="Arial"/>
      <w:b/>
      <w:bCs/>
      <w:sz w:val="24"/>
      <w:szCs w:val="24"/>
      <w:lang w:eastAsia="en-GB"/>
    </w:rPr>
  </w:style>
  <w:style w:type="paragraph" w:customStyle="1" w:styleId="xl91">
    <w:name w:val="xl91"/>
    <w:basedOn w:val="Normal"/>
    <w:rsid w:val="00450A4B"/>
    <w:pPr>
      <w:pBdr>
        <w:left w:val="single" w:sz="4" w:space="0" w:color="auto"/>
        <w:bottom w:val="single" w:sz="4" w:space="0" w:color="auto"/>
      </w:pBdr>
      <w:spacing w:before="100" w:beforeAutospacing="1" w:after="100" w:afterAutospacing="1"/>
      <w:jc w:val="center"/>
    </w:pPr>
    <w:rPr>
      <w:rFonts w:cs="Arial"/>
      <w:b/>
      <w:bCs/>
      <w:sz w:val="24"/>
      <w:szCs w:val="24"/>
      <w:lang w:eastAsia="en-GB"/>
    </w:rPr>
  </w:style>
  <w:style w:type="paragraph" w:customStyle="1" w:styleId="xl92">
    <w:name w:val="xl92"/>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93">
    <w:name w:val="xl93"/>
    <w:basedOn w:val="Normal"/>
    <w:rsid w:val="00450A4B"/>
    <w:pPr>
      <w:pBdr>
        <w:bottom w:val="single" w:sz="4" w:space="0" w:color="auto"/>
      </w:pBdr>
      <w:spacing w:before="100" w:beforeAutospacing="1" w:after="100" w:afterAutospacing="1"/>
      <w:jc w:val="center"/>
    </w:pPr>
    <w:rPr>
      <w:rFonts w:cs="Arial"/>
      <w:b/>
      <w:bCs/>
      <w:sz w:val="24"/>
      <w:szCs w:val="24"/>
      <w:lang w:eastAsia="en-GB"/>
    </w:rPr>
  </w:style>
  <w:style w:type="paragraph" w:customStyle="1" w:styleId="xl94">
    <w:name w:val="xl94"/>
    <w:basedOn w:val="Normal"/>
    <w:rsid w:val="00450A4B"/>
    <w:pPr>
      <w:pBdr>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5">
    <w:name w:val="xl95"/>
    <w:basedOn w:val="Normal"/>
    <w:rsid w:val="00450A4B"/>
    <w:pPr>
      <w:pBdr>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96">
    <w:name w:val="xl96"/>
    <w:basedOn w:val="Normal"/>
    <w:rsid w:val="00450A4B"/>
    <w:pPr>
      <w:pBdr>
        <w:top w:val="single" w:sz="4" w:space="0" w:color="auto"/>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97">
    <w:name w:val="xl97"/>
    <w:basedOn w:val="Normal"/>
    <w:rsid w:val="00450A4B"/>
    <w:pPr>
      <w:pBdr>
        <w:top w:val="single" w:sz="4" w:space="0" w:color="auto"/>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98">
    <w:name w:val="xl98"/>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99">
    <w:name w:val="xl99"/>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00">
    <w:name w:val="xl10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01">
    <w:name w:val="xl101"/>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02">
    <w:name w:val="xl10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3">
    <w:name w:val="xl103"/>
    <w:basedOn w:val="Normal"/>
    <w:rsid w:val="00450A4B"/>
    <w:pPr>
      <w:spacing w:before="100" w:beforeAutospacing="1" w:after="100" w:afterAutospacing="1"/>
    </w:pPr>
    <w:rPr>
      <w:rFonts w:cs="Arial"/>
      <w:sz w:val="24"/>
      <w:szCs w:val="24"/>
      <w:lang w:eastAsia="en-GB"/>
    </w:rPr>
  </w:style>
  <w:style w:type="paragraph" w:customStyle="1" w:styleId="xl104">
    <w:name w:val="xl104"/>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5">
    <w:name w:val="xl105"/>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06">
    <w:name w:val="xl106"/>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07">
    <w:name w:val="xl107"/>
    <w:basedOn w:val="Normal"/>
    <w:rsid w:val="00450A4B"/>
    <w:pPr>
      <w:pBdr>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08">
    <w:name w:val="xl108"/>
    <w:basedOn w:val="Normal"/>
    <w:rsid w:val="00450A4B"/>
    <w:pPr>
      <w:pBdr>
        <w:right w:val="single" w:sz="4" w:space="0" w:color="auto"/>
      </w:pBdr>
      <w:spacing w:before="100" w:beforeAutospacing="1" w:after="100" w:afterAutospacing="1"/>
    </w:pPr>
    <w:rPr>
      <w:rFonts w:cs="Arial"/>
      <w:b/>
      <w:bCs/>
      <w:sz w:val="24"/>
      <w:szCs w:val="24"/>
      <w:u w:val="single"/>
      <w:lang w:eastAsia="en-GB"/>
    </w:rPr>
  </w:style>
  <w:style w:type="paragraph" w:customStyle="1" w:styleId="xl109">
    <w:name w:val="xl109"/>
    <w:basedOn w:val="Normal"/>
    <w:rsid w:val="00450A4B"/>
    <w:pPr>
      <w:pBdr>
        <w:right w:val="single" w:sz="4" w:space="0" w:color="auto"/>
      </w:pBdr>
      <w:spacing w:before="100" w:beforeAutospacing="1" w:after="100" w:afterAutospacing="1"/>
      <w:jc w:val="center"/>
    </w:pPr>
    <w:rPr>
      <w:rFonts w:cs="Arial"/>
      <w:sz w:val="24"/>
      <w:szCs w:val="24"/>
      <w:lang w:eastAsia="en-GB"/>
    </w:rPr>
  </w:style>
  <w:style w:type="paragraph" w:customStyle="1" w:styleId="xl110">
    <w:name w:val="xl110"/>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11">
    <w:name w:val="xl111"/>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2">
    <w:name w:val="xl11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13">
    <w:name w:val="xl11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4">
    <w:name w:val="xl11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5">
    <w:name w:val="xl115"/>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6">
    <w:name w:val="xl116"/>
    <w:basedOn w:val="Normal"/>
    <w:rsid w:val="00450A4B"/>
    <w:pPr>
      <w:pBdr>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17">
    <w:name w:val="xl117"/>
    <w:basedOn w:val="Normal"/>
    <w:rsid w:val="00450A4B"/>
    <w:pPr>
      <w:pBdr>
        <w:top w:val="single" w:sz="4" w:space="0" w:color="auto"/>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18">
    <w:name w:val="xl118"/>
    <w:basedOn w:val="Normal"/>
    <w:rsid w:val="00450A4B"/>
    <w:pPr>
      <w:pBdr>
        <w:left w:val="single" w:sz="4" w:space="0" w:color="auto"/>
        <w:right w:val="single" w:sz="4" w:space="0" w:color="auto"/>
      </w:pBdr>
      <w:spacing w:before="100" w:beforeAutospacing="1" w:after="100" w:afterAutospacing="1"/>
    </w:pPr>
    <w:rPr>
      <w:rFonts w:cs="Arial"/>
      <w:b/>
      <w:bCs/>
      <w:sz w:val="24"/>
      <w:szCs w:val="24"/>
      <w:u w:val="single"/>
      <w:lang w:eastAsia="en-GB"/>
    </w:rPr>
  </w:style>
  <w:style w:type="paragraph" w:customStyle="1" w:styleId="xl119">
    <w:name w:val="xl119"/>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u w:val="single"/>
      <w:lang w:eastAsia="en-GB"/>
    </w:rPr>
  </w:style>
  <w:style w:type="paragraph" w:customStyle="1" w:styleId="xl120">
    <w:name w:val="xl12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1">
    <w:name w:val="xl121"/>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22">
    <w:name w:val="xl122"/>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23">
    <w:name w:val="xl123"/>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4">
    <w:name w:val="xl124"/>
    <w:basedOn w:val="Normal"/>
    <w:rsid w:val="00450A4B"/>
    <w:pPr>
      <w:pBdr>
        <w:right w:val="single" w:sz="4" w:space="0" w:color="auto"/>
      </w:pBdr>
      <w:spacing w:before="100" w:beforeAutospacing="1" w:after="100" w:afterAutospacing="1"/>
      <w:jc w:val="center"/>
    </w:pPr>
    <w:rPr>
      <w:rFonts w:cs="Arial"/>
      <w:b/>
      <w:bCs/>
      <w:sz w:val="24"/>
      <w:szCs w:val="24"/>
      <w:lang w:eastAsia="en-GB"/>
    </w:rPr>
  </w:style>
  <w:style w:type="paragraph" w:customStyle="1" w:styleId="xl125">
    <w:name w:val="xl125"/>
    <w:basedOn w:val="Normal"/>
    <w:rsid w:val="00450A4B"/>
    <w:pPr>
      <w:spacing w:before="100" w:beforeAutospacing="1" w:after="100" w:afterAutospacing="1"/>
    </w:pPr>
    <w:rPr>
      <w:rFonts w:cs="Arial"/>
      <w:b/>
      <w:bCs/>
      <w:sz w:val="24"/>
      <w:szCs w:val="24"/>
      <w:lang w:eastAsia="en-GB"/>
    </w:rPr>
  </w:style>
  <w:style w:type="paragraph" w:customStyle="1" w:styleId="xl126">
    <w:name w:val="xl126"/>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27">
    <w:name w:val="xl127"/>
    <w:basedOn w:val="Normal"/>
    <w:rsid w:val="00450A4B"/>
    <w:pPr>
      <w:pBdr>
        <w:right w:val="single" w:sz="4" w:space="0" w:color="auto"/>
      </w:pBdr>
      <w:spacing w:before="100" w:beforeAutospacing="1" w:after="100" w:afterAutospacing="1"/>
    </w:pPr>
    <w:rPr>
      <w:rFonts w:cs="Arial"/>
      <w:sz w:val="24"/>
      <w:szCs w:val="24"/>
      <w:lang w:eastAsia="en-GB"/>
    </w:rPr>
  </w:style>
  <w:style w:type="paragraph" w:customStyle="1" w:styleId="xl128">
    <w:name w:val="xl128"/>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29">
    <w:name w:val="xl129"/>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0">
    <w:name w:val="xl130"/>
    <w:basedOn w:val="Normal"/>
    <w:rsid w:val="00450A4B"/>
    <w:pPr>
      <w:pBdr>
        <w:left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1">
    <w:name w:val="xl131"/>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2">
    <w:name w:val="xl132"/>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lang w:eastAsia="en-GB"/>
    </w:rPr>
  </w:style>
  <w:style w:type="paragraph" w:customStyle="1" w:styleId="xl133">
    <w:name w:val="xl133"/>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4">
    <w:name w:val="xl134"/>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sz w:val="24"/>
      <w:szCs w:val="24"/>
      <w:lang w:eastAsia="en-GB"/>
    </w:rPr>
  </w:style>
  <w:style w:type="paragraph" w:customStyle="1" w:styleId="xl135">
    <w:name w:val="xl135"/>
    <w:basedOn w:val="Normal"/>
    <w:rsid w:val="00450A4B"/>
    <w:pPr>
      <w:pBdr>
        <w:left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36">
    <w:name w:val="xl136"/>
    <w:basedOn w:val="Normal"/>
    <w:rsid w:val="00450A4B"/>
    <w:pPr>
      <w:pBdr>
        <w:left w:val="single" w:sz="4" w:space="0" w:color="auto"/>
        <w:bottom w:val="single" w:sz="4" w:space="0" w:color="auto"/>
        <w:right w:val="single" w:sz="4" w:space="0" w:color="auto"/>
      </w:pBdr>
      <w:spacing w:before="100" w:beforeAutospacing="1" w:after="100" w:afterAutospacing="1"/>
    </w:pPr>
    <w:rPr>
      <w:rFonts w:cs="Arial"/>
      <w:sz w:val="24"/>
      <w:szCs w:val="24"/>
      <w:u w:val="single"/>
      <w:lang w:eastAsia="en-GB"/>
    </w:rPr>
  </w:style>
  <w:style w:type="paragraph" w:customStyle="1" w:styleId="xl137">
    <w:name w:val="xl13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38">
    <w:name w:val="xl138"/>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39">
    <w:name w:val="xl139"/>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sz w:val="24"/>
      <w:szCs w:val="24"/>
      <w:lang w:eastAsia="en-GB"/>
    </w:rPr>
  </w:style>
  <w:style w:type="paragraph" w:customStyle="1" w:styleId="xl140">
    <w:name w:val="xl140"/>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1">
    <w:name w:val="xl141"/>
    <w:basedOn w:val="Normal"/>
    <w:rsid w:val="00450A4B"/>
    <w:pPr>
      <w:pBdr>
        <w:left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2">
    <w:name w:val="xl142"/>
    <w:basedOn w:val="Normal"/>
    <w:rsid w:val="00450A4B"/>
    <w:pPr>
      <w:pBdr>
        <w:left w:val="single" w:sz="4" w:space="0" w:color="auto"/>
        <w:right w:val="single" w:sz="4" w:space="0" w:color="auto"/>
      </w:pBdr>
      <w:spacing w:before="100" w:beforeAutospacing="1" w:after="100" w:afterAutospacing="1"/>
    </w:pPr>
    <w:rPr>
      <w:rFonts w:cs="Arial"/>
      <w:b/>
      <w:bCs/>
      <w:sz w:val="24"/>
      <w:szCs w:val="24"/>
      <w:lang w:eastAsia="en-GB"/>
    </w:rPr>
  </w:style>
  <w:style w:type="paragraph" w:customStyle="1" w:styleId="xl143">
    <w:name w:val="xl143"/>
    <w:basedOn w:val="Normal"/>
    <w:rsid w:val="00450A4B"/>
    <w:pPr>
      <w:pBdr>
        <w:left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144">
    <w:name w:val="xl144"/>
    <w:basedOn w:val="Normal"/>
    <w:rsid w:val="00450A4B"/>
    <w:pPr>
      <w:pBdr>
        <w:left w:val="single" w:sz="4" w:space="0" w:color="auto"/>
        <w:right w:val="single" w:sz="4" w:space="0" w:color="auto"/>
      </w:pBdr>
      <w:spacing w:before="100" w:beforeAutospacing="1" w:after="100" w:afterAutospacing="1"/>
      <w:jc w:val="center"/>
    </w:pPr>
    <w:rPr>
      <w:rFonts w:cs="Arial"/>
      <w:sz w:val="24"/>
      <w:szCs w:val="24"/>
      <w:lang w:eastAsia="en-GB"/>
    </w:rPr>
  </w:style>
  <w:style w:type="paragraph" w:customStyle="1" w:styleId="xl145">
    <w:name w:val="xl145"/>
    <w:basedOn w:val="Normal"/>
    <w:rsid w:val="00450A4B"/>
    <w:pPr>
      <w:spacing w:before="100" w:beforeAutospacing="1" w:after="100" w:afterAutospacing="1"/>
      <w:jc w:val="center"/>
    </w:pPr>
    <w:rPr>
      <w:rFonts w:cs="Arial"/>
      <w:sz w:val="24"/>
      <w:szCs w:val="24"/>
      <w:lang w:eastAsia="en-GB"/>
    </w:rPr>
  </w:style>
  <w:style w:type="paragraph" w:customStyle="1" w:styleId="xl146">
    <w:name w:val="xl146"/>
    <w:basedOn w:val="Normal"/>
    <w:rsid w:val="00450A4B"/>
    <w:pPr>
      <w:pBdr>
        <w:left w:val="single" w:sz="4" w:space="0" w:color="auto"/>
        <w:bottom w:val="single" w:sz="4"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xl147">
    <w:name w:val="xl147"/>
    <w:basedOn w:val="Normal"/>
    <w:rsid w:val="00450A4B"/>
    <w:pPr>
      <w:pBdr>
        <w:left w:val="single" w:sz="4" w:space="0" w:color="auto"/>
        <w:right w:val="single" w:sz="4" w:space="0" w:color="auto"/>
      </w:pBdr>
      <w:shd w:val="clear" w:color="000000" w:fill="FFFF00"/>
      <w:spacing w:before="100" w:beforeAutospacing="1" w:after="100" w:afterAutospacing="1"/>
      <w:jc w:val="center"/>
    </w:pPr>
    <w:rPr>
      <w:rFonts w:cs="Arial"/>
      <w:b/>
      <w:bCs/>
      <w:sz w:val="24"/>
      <w:szCs w:val="24"/>
      <w:lang w:eastAsia="en-GB"/>
    </w:rPr>
  </w:style>
  <w:style w:type="paragraph" w:customStyle="1" w:styleId="xl148">
    <w:name w:val="xl148"/>
    <w:basedOn w:val="Normal"/>
    <w:rsid w:val="00450A4B"/>
    <w:pPr>
      <w:shd w:val="clear" w:color="000000" w:fill="FFFF00"/>
      <w:spacing w:before="100" w:beforeAutospacing="1" w:after="100" w:afterAutospacing="1"/>
      <w:jc w:val="center"/>
    </w:pPr>
    <w:rPr>
      <w:rFonts w:cs="Arial"/>
      <w:sz w:val="24"/>
      <w:szCs w:val="24"/>
      <w:lang w:eastAsia="en-GB"/>
    </w:rPr>
  </w:style>
  <w:style w:type="paragraph" w:customStyle="1" w:styleId="xl149">
    <w:name w:val="xl149"/>
    <w:basedOn w:val="Normal"/>
    <w:rsid w:val="00450A4B"/>
    <w:pPr>
      <w:pBdr>
        <w:top w:val="single" w:sz="4" w:space="0" w:color="auto"/>
        <w:left w:val="single" w:sz="4" w:space="0" w:color="auto"/>
        <w:bottom w:val="double" w:sz="6" w:space="0" w:color="auto"/>
        <w:right w:val="single" w:sz="4" w:space="0" w:color="auto"/>
      </w:pBdr>
      <w:shd w:val="clear" w:color="000000" w:fill="FFFF00"/>
      <w:spacing w:before="100" w:beforeAutospacing="1" w:after="100" w:afterAutospacing="1"/>
    </w:pPr>
    <w:rPr>
      <w:rFonts w:cs="Arial"/>
      <w:b/>
      <w:bCs/>
      <w:sz w:val="24"/>
      <w:szCs w:val="24"/>
      <w:lang w:eastAsia="en-GB"/>
    </w:rPr>
  </w:style>
  <w:style w:type="paragraph" w:customStyle="1" w:styleId="Default">
    <w:name w:val="Default"/>
    <w:link w:val="DefaultChar"/>
    <w:rsid w:val="00683067"/>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CommentText">
    <w:name w:val="annotation text"/>
    <w:basedOn w:val="Normal"/>
    <w:link w:val="CommentTextChar"/>
    <w:uiPriority w:val="99"/>
    <w:unhideWhenUsed/>
    <w:rsid w:val="00224170"/>
    <w:rPr>
      <w:sz w:val="20"/>
    </w:rPr>
  </w:style>
  <w:style w:type="character" w:customStyle="1" w:styleId="CommentTextChar">
    <w:name w:val="Comment Text Char"/>
    <w:basedOn w:val="DefaultParagraphFont"/>
    <w:link w:val="CommentText"/>
    <w:uiPriority w:val="99"/>
    <w:rsid w:val="00224170"/>
    <w:rPr>
      <w:rFonts w:ascii="Arial" w:eastAsia="Times New Roman" w:hAnsi="Arial" w:cs="Times New Roman"/>
      <w:sz w:val="20"/>
      <w:szCs w:val="20"/>
      <w:lang w:val="en-US"/>
    </w:rPr>
  </w:style>
  <w:style w:type="character" w:customStyle="1" w:styleId="CommentSubjectChar">
    <w:name w:val="Comment Subject Char"/>
    <w:basedOn w:val="CommentTextChar"/>
    <w:link w:val="CommentSubject"/>
    <w:uiPriority w:val="99"/>
    <w:rsid w:val="00224170"/>
    <w:rPr>
      <w:rFonts w:ascii="Arial" w:eastAsia="Times New Roman" w:hAnsi="Arial" w:cs="Times New Roman"/>
      <w:b/>
      <w:bCs/>
      <w:sz w:val="20"/>
      <w:szCs w:val="20"/>
      <w:lang w:val="en-US"/>
    </w:rPr>
  </w:style>
  <w:style w:type="paragraph" w:styleId="CommentSubject">
    <w:name w:val="annotation subject"/>
    <w:basedOn w:val="CommentText"/>
    <w:next w:val="CommentText"/>
    <w:link w:val="CommentSubjectChar"/>
    <w:uiPriority w:val="99"/>
    <w:unhideWhenUsed/>
    <w:rsid w:val="00224170"/>
    <w:rPr>
      <w:b/>
      <w:bCs/>
    </w:rPr>
  </w:style>
  <w:style w:type="paragraph" w:styleId="Caption">
    <w:name w:val="caption"/>
    <w:basedOn w:val="Normal"/>
    <w:next w:val="Normal"/>
    <w:uiPriority w:val="35"/>
    <w:unhideWhenUsed/>
    <w:qFormat/>
    <w:rsid w:val="00834162"/>
    <w:pPr>
      <w:spacing w:after="200"/>
    </w:pPr>
    <w:rPr>
      <w:rFonts w:asciiTheme="minorHAnsi" w:eastAsiaTheme="minorHAnsi" w:hAnsiTheme="minorHAnsi" w:cstheme="minorBidi"/>
      <w:b/>
      <w:bCs/>
      <w:color w:val="4F81BD" w:themeColor="accent1"/>
      <w:sz w:val="18"/>
      <w:szCs w:val="18"/>
    </w:rPr>
  </w:style>
  <w:style w:type="table" w:styleId="TableGrid">
    <w:name w:val="Table Grid"/>
    <w:basedOn w:val="TableNormal"/>
    <w:uiPriority w:val="59"/>
    <w:rsid w:val="0009602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E1F4F"/>
    <w:rPr>
      <w:sz w:val="16"/>
      <w:szCs w:val="16"/>
    </w:rPr>
  </w:style>
  <w:style w:type="paragraph" w:styleId="NormalWeb">
    <w:name w:val="Normal (Web)"/>
    <w:basedOn w:val="Normal"/>
    <w:uiPriority w:val="99"/>
    <w:unhideWhenUsed/>
    <w:rsid w:val="00286139"/>
    <w:pPr>
      <w:spacing w:before="100" w:beforeAutospacing="1" w:after="100" w:afterAutospacing="1"/>
    </w:pPr>
    <w:rPr>
      <w:rFonts w:ascii="Times New Roman" w:hAnsi="Times New Roman"/>
      <w:sz w:val="24"/>
      <w:szCs w:val="24"/>
      <w:lang w:eastAsia="en-GB"/>
    </w:rPr>
  </w:style>
  <w:style w:type="paragraph" w:customStyle="1" w:styleId="NoSpacing1">
    <w:name w:val="No Spacing1"/>
    <w:link w:val="NoSpacingChar"/>
    <w:uiPriority w:val="1"/>
    <w:qFormat/>
    <w:rsid w:val="00024F25"/>
    <w:pPr>
      <w:spacing w:after="0" w:line="240" w:lineRule="auto"/>
    </w:pPr>
    <w:rPr>
      <w:rFonts w:ascii="Calibri" w:eastAsia="Calibri" w:hAnsi="Calibri" w:cs="Times New Roman"/>
    </w:rPr>
  </w:style>
  <w:style w:type="character" w:customStyle="1" w:styleId="NoSpacingChar">
    <w:name w:val="No Spacing Char"/>
    <w:link w:val="NoSpacing1"/>
    <w:uiPriority w:val="1"/>
    <w:rsid w:val="00024F25"/>
    <w:rPr>
      <w:rFonts w:ascii="Calibri" w:eastAsia="Calibri" w:hAnsi="Calibri" w:cs="Times New Roman"/>
    </w:rPr>
  </w:style>
  <w:style w:type="character" w:customStyle="1" w:styleId="ListParagraphChar">
    <w:name w:val="List Paragraph Char"/>
    <w:aliases w:val="F5 List Paragraph Char,List Paragraph2 Char,MAIN CONTENT Char,List Paragraph12 Char,Dot pt Char,List Paragraph1 Char,Colorful List - Accent 11 Char,List Paragraph Char Char Char Char,Indicator Text Char,Numbered Para 1 Char,L Char"/>
    <w:link w:val="ListParagraph"/>
    <w:uiPriority w:val="34"/>
    <w:qFormat/>
    <w:locked/>
    <w:rsid w:val="009206B3"/>
    <w:rPr>
      <w:rFonts w:ascii="Arial" w:eastAsia="Times New Roman" w:hAnsi="Arial" w:cs="Times New Roman"/>
      <w:sz w:val="24"/>
      <w:szCs w:val="20"/>
    </w:rPr>
  </w:style>
  <w:style w:type="paragraph" w:styleId="BodyTextIndent2">
    <w:name w:val="Body Text Indent 2"/>
    <w:basedOn w:val="Normal"/>
    <w:link w:val="BodyTextIndent2Char"/>
    <w:uiPriority w:val="99"/>
    <w:rsid w:val="00242DC2"/>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rsid w:val="00242DC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D40704"/>
    <w:pPr>
      <w:spacing w:after="120"/>
      <w:ind w:left="283"/>
    </w:pPr>
  </w:style>
  <w:style w:type="character" w:customStyle="1" w:styleId="BodyTextIndentChar">
    <w:name w:val="Body Text Indent Char"/>
    <w:basedOn w:val="DefaultParagraphFont"/>
    <w:link w:val="BodyTextIndent"/>
    <w:uiPriority w:val="99"/>
    <w:rsid w:val="00D40704"/>
    <w:rPr>
      <w:rFonts w:ascii="Arial" w:eastAsia="Times New Roman" w:hAnsi="Arial" w:cs="Times New Roman"/>
      <w:szCs w:val="20"/>
    </w:rPr>
  </w:style>
  <w:style w:type="character" w:styleId="PageNumber">
    <w:name w:val="page number"/>
    <w:basedOn w:val="DefaultParagraphFont"/>
    <w:uiPriority w:val="99"/>
    <w:rsid w:val="00D40704"/>
  </w:style>
  <w:style w:type="paragraph" w:styleId="DocumentMap">
    <w:name w:val="Document Map"/>
    <w:basedOn w:val="Normal"/>
    <w:link w:val="DocumentMapChar"/>
    <w:uiPriority w:val="99"/>
    <w:semiHidden/>
    <w:rsid w:val="00D4070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40704"/>
    <w:rPr>
      <w:rFonts w:ascii="Tahoma" w:eastAsia="Times New Roman" w:hAnsi="Tahoma" w:cs="Tahoma"/>
      <w:sz w:val="20"/>
      <w:szCs w:val="20"/>
      <w:shd w:val="clear" w:color="auto" w:fill="000080"/>
    </w:rPr>
  </w:style>
  <w:style w:type="paragraph" w:styleId="BodyTextIndent3">
    <w:name w:val="Body Text Indent 3"/>
    <w:basedOn w:val="Normal"/>
    <w:link w:val="BodyTextIndent3Char"/>
    <w:rsid w:val="00D40704"/>
    <w:pPr>
      <w:spacing w:after="120"/>
      <w:ind w:left="283"/>
    </w:pPr>
    <w:rPr>
      <w:rFonts w:ascii="Times New Roman" w:hAnsi="Times New Roman"/>
      <w:sz w:val="16"/>
      <w:szCs w:val="16"/>
    </w:rPr>
  </w:style>
  <w:style w:type="character" w:customStyle="1" w:styleId="BodyTextIndent3Char">
    <w:name w:val="Body Text Indent 3 Char"/>
    <w:basedOn w:val="DefaultParagraphFont"/>
    <w:link w:val="BodyTextIndent3"/>
    <w:rsid w:val="00D40704"/>
    <w:rPr>
      <w:rFonts w:ascii="Times New Roman" w:eastAsia="Times New Roman" w:hAnsi="Times New Roman" w:cs="Times New Roman"/>
      <w:sz w:val="16"/>
      <w:szCs w:val="16"/>
    </w:rPr>
  </w:style>
  <w:style w:type="paragraph" w:styleId="BodyText">
    <w:name w:val="Body Text"/>
    <w:basedOn w:val="Normal"/>
    <w:link w:val="BodyTextChar"/>
    <w:uiPriority w:val="1"/>
    <w:qFormat/>
    <w:rsid w:val="00D40704"/>
    <w:pPr>
      <w:spacing w:after="120"/>
    </w:pPr>
    <w:rPr>
      <w:rFonts w:ascii="Times New Roman" w:hAnsi="Times New Roman"/>
      <w:sz w:val="24"/>
      <w:szCs w:val="24"/>
    </w:rPr>
  </w:style>
  <w:style w:type="character" w:customStyle="1" w:styleId="BodyTextChar">
    <w:name w:val="Body Text Char"/>
    <w:basedOn w:val="DefaultParagraphFont"/>
    <w:link w:val="BodyText"/>
    <w:uiPriority w:val="1"/>
    <w:rsid w:val="00D40704"/>
    <w:rPr>
      <w:rFonts w:ascii="Times New Roman" w:eastAsia="Times New Roman" w:hAnsi="Times New Roman" w:cs="Times New Roman"/>
      <w:sz w:val="24"/>
      <w:szCs w:val="24"/>
    </w:rPr>
  </w:style>
  <w:style w:type="paragraph" w:styleId="BodyText2">
    <w:name w:val="Body Text 2"/>
    <w:basedOn w:val="Normal"/>
    <w:link w:val="BodyText2Char"/>
    <w:uiPriority w:val="99"/>
    <w:rsid w:val="00D40704"/>
    <w:pPr>
      <w:jc w:val="center"/>
    </w:pPr>
    <w:rPr>
      <w:rFonts w:cs="Arial"/>
      <w:b/>
      <w:bCs/>
      <w:sz w:val="24"/>
      <w:szCs w:val="24"/>
    </w:rPr>
  </w:style>
  <w:style w:type="character" w:customStyle="1" w:styleId="BodyText2Char">
    <w:name w:val="Body Text 2 Char"/>
    <w:basedOn w:val="DefaultParagraphFont"/>
    <w:link w:val="BodyText2"/>
    <w:uiPriority w:val="99"/>
    <w:rsid w:val="00D40704"/>
    <w:rPr>
      <w:rFonts w:ascii="Arial" w:eastAsia="Times New Roman" w:hAnsi="Arial" w:cs="Arial"/>
      <w:b/>
      <w:bCs/>
      <w:sz w:val="24"/>
      <w:szCs w:val="24"/>
    </w:rPr>
  </w:style>
  <w:style w:type="paragraph" w:customStyle="1" w:styleId="Pa3">
    <w:name w:val="Pa3"/>
    <w:basedOn w:val="Normal"/>
    <w:next w:val="Normal"/>
    <w:uiPriority w:val="99"/>
    <w:rsid w:val="00D40704"/>
    <w:pPr>
      <w:autoSpaceDE w:val="0"/>
      <w:autoSpaceDN w:val="0"/>
      <w:adjustRightInd w:val="0"/>
      <w:spacing w:after="220" w:line="201" w:lineRule="atLeast"/>
    </w:pPr>
    <w:rPr>
      <w:rFonts w:ascii="Univers" w:hAnsi="Univers"/>
      <w:sz w:val="24"/>
      <w:szCs w:val="24"/>
      <w:lang w:val="en-US"/>
    </w:rPr>
  </w:style>
  <w:style w:type="character" w:customStyle="1" w:styleId="CharChar4">
    <w:name w:val="Char Char4"/>
    <w:basedOn w:val="DefaultParagraphFont"/>
    <w:uiPriority w:val="99"/>
    <w:locked/>
    <w:rsid w:val="00D40704"/>
    <w:rPr>
      <w:rFonts w:cs="Times New Roman"/>
      <w:iCs/>
      <w:sz w:val="24"/>
      <w:szCs w:val="24"/>
      <w:lang w:eastAsia="en-US"/>
    </w:rPr>
  </w:style>
  <w:style w:type="character" w:customStyle="1" w:styleId="CharChar6">
    <w:name w:val="Char Char6"/>
    <w:basedOn w:val="DefaultParagraphFont"/>
    <w:uiPriority w:val="99"/>
    <w:locked/>
    <w:rsid w:val="00D40704"/>
    <w:rPr>
      <w:rFonts w:cs="Times New Roman"/>
      <w:iCs/>
      <w:sz w:val="24"/>
      <w:szCs w:val="24"/>
      <w:lang w:eastAsia="en-US"/>
    </w:rPr>
  </w:style>
  <w:style w:type="paragraph" w:customStyle="1" w:styleId="TableBullet2">
    <w:name w:val="Table Bullet 2"/>
    <w:basedOn w:val="Normal"/>
    <w:qFormat/>
    <w:rsid w:val="00D40704"/>
    <w:pPr>
      <w:numPr>
        <w:numId w:val="3"/>
      </w:numPr>
    </w:pPr>
    <w:rPr>
      <w:rFonts w:asciiTheme="minorHAnsi" w:hAnsiTheme="minorHAnsi"/>
      <w:sz w:val="18"/>
      <w:szCs w:val="18"/>
    </w:rPr>
  </w:style>
  <w:style w:type="table" w:customStyle="1" w:styleId="TableStyle1">
    <w:name w:val="Table Style1"/>
    <w:basedOn w:val="TableNormal"/>
    <w:rsid w:val="00F0741A"/>
    <w:pPr>
      <w:spacing w:after="0" w:line="240" w:lineRule="auto"/>
    </w:pPr>
    <w:rPr>
      <w:rFonts w:ascii="Times New Roman" w:eastAsia="Times New Roman" w:hAnsi="Times New Roman" w:cs="Times New Roman"/>
      <w:sz w:val="20"/>
      <w:szCs w:val="20"/>
      <w:lang w:eastAsia="en-GB"/>
    </w:rPr>
    <w:tblPr/>
  </w:style>
  <w:style w:type="table" w:styleId="TableList3">
    <w:name w:val="Table List 3"/>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Classic1">
    <w:name w:val="Table Classic 1"/>
    <w:basedOn w:val="TableNormal"/>
    <w:rsid w:val="00F0741A"/>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F0741A"/>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Style2">
    <w:name w:val="Table Style2"/>
    <w:basedOn w:val="TableGrid"/>
    <w:rsid w:val="00F0741A"/>
    <w:tblPr/>
  </w:style>
  <w:style w:type="character" w:customStyle="1" w:styleId="y0nh2b">
    <w:name w:val="y0nh2b"/>
    <w:basedOn w:val="DefaultParagraphFont"/>
    <w:rsid w:val="00936AB9"/>
  </w:style>
  <w:style w:type="paragraph" w:customStyle="1" w:styleId="BodyText1">
    <w:name w:val="Body Text1"/>
    <w:basedOn w:val="Normal"/>
    <w:rsid w:val="00632915"/>
    <w:rPr>
      <w:sz w:val="24"/>
      <w:lang w:eastAsia="en-GB"/>
    </w:rPr>
  </w:style>
  <w:style w:type="paragraph" w:customStyle="1" w:styleId="BodyText10">
    <w:name w:val="Body Text1"/>
    <w:basedOn w:val="Normal"/>
    <w:rsid w:val="00632915"/>
    <w:rPr>
      <w:sz w:val="24"/>
      <w:lang w:eastAsia="en-GB"/>
    </w:rPr>
  </w:style>
  <w:style w:type="paragraph" w:customStyle="1" w:styleId="BodyText20">
    <w:name w:val="Body Text2"/>
    <w:basedOn w:val="Normal"/>
    <w:rsid w:val="00830ED8"/>
    <w:rPr>
      <w:sz w:val="24"/>
      <w:lang w:eastAsia="en-GB"/>
    </w:rPr>
  </w:style>
  <w:style w:type="paragraph" w:styleId="Revision">
    <w:name w:val="Revision"/>
    <w:hidden/>
    <w:uiPriority w:val="99"/>
    <w:semiHidden/>
    <w:rsid w:val="002A4EB1"/>
    <w:pPr>
      <w:spacing w:after="0" w:line="240" w:lineRule="auto"/>
    </w:pPr>
    <w:rPr>
      <w:rFonts w:ascii="Arial" w:eastAsia="Times New Roman" w:hAnsi="Arial" w:cs="Times New Roman"/>
      <w:szCs w:val="20"/>
    </w:rPr>
  </w:style>
  <w:style w:type="character" w:styleId="FollowedHyperlink">
    <w:name w:val="FollowedHyperlink"/>
    <w:basedOn w:val="DefaultParagraphFont"/>
    <w:uiPriority w:val="99"/>
    <w:rsid w:val="00DE65C0"/>
    <w:rPr>
      <w:rFonts w:cs="Times New Roman"/>
      <w:color w:val="606420"/>
      <w:u w:val="single"/>
    </w:rPr>
  </w:style>
  <w:style w:type="character" w:customStyle="1" w:styleId="header3">
    <w:name w:val="header3"/>
    <w:basedOn w:val="DefaultParagraphFont"/>
    <w:uiPriority w:val="99"/>
    <w:rsid w:val="00DE65C0"/>
    <w:rPr>
      <w:rFonts w:cs="Times New Roman"/>
      <w:b/>
      <w:bCs/>
      <w:color w:val="05265C"/>
      <w:sz w:val="24"/>
      <w:szCs w:val="24"/>
    </w:rPr>
  </w:style>
  <w:style w:type="paragraph" w:styleId="FootnoteText">
    <w:name w:val="footnote text"/>
    <w:basedOn w:val="Normal"/>
    <w:link w:val="FootnoteTextChar"/>
    <w:uiPriority w:val="99"/>
    <w:semiHidden/>
    <w:rsid w:val="00DE65C0"/>
    <w:pPr>
      <w:tabs>
        <w:tab w:val="left" w:pos="720"/>
        <w:tab w:val="left" w:pos="1440"/>
        <w:tab w:val="left" w:pos="2160"/>
        <w:tab w:val="left" w:pos="2880"/>
        <w:tab w:val="left" w:pos="4680"/>
        <w:tab w:val="left" w:pos="5400"/>
        <w:tab w:val="right" w:pos="9000"/>
      </w:tabs>
      <w:spacing w:line="240" w:lineRule="atLeast"/>
      <w:jc w:val="both"/>
    </w:pPr>
    <w:rPr>
      <w:sz w:val="20"/>
      <w:lang w:eastAsia="en-GB"/>
    </w:rPr>
  </w:style>
  <w:style w:type="character" w:customStyle="1" w:styleId="FootnoteTextChar">
    <w:name w:val="Footnote Text Char"/>
    <w:basedOn w:val="DefaultParagraphFont"/>
    <w:link w:val="FootnoteText"/>
    <w:uiPriority w:val="99"/>
    <w:semiHidden/>
    <w:rsid w:val="00DE65C0"/>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DE65C0"/>
    <w:rPr>
      <w:rFonts w:cs="Times New Roman"/>
      <w:vertAlign w:val="superscript"/>
    </w:rPr>
  </w:style>
  <w:style w:type="table" w:customStyle="1" w:styleId="TableGrid1">
    <w:name w:val="Table Grid1"/>
    <w:uiPriority w:val="99"/>
    <w:rsid w:val="00DE65C0"/>
    <w:pPr>
      <w:spacing w:after="0" w:line="240" w:lineRule="auto"/>
    </w:pPr>
    <w:rPr>
      <w:rFonts w:ascii="Arial" w:eastAsia="Times New Roman" w:hAnsi="Arial" w:cs="Times New Roman"/>
      <w:sz w:val="24"/>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listparagraph0">
    <w:name w:val="msolistparagraph"/>
    <w:basedOn w:val="Normal"/>
    <w:uiPriority w:val="99"/>
    <w:rsid w:val="00DE65C0"/>
    <w:pPr>
      <w:ind w:left="720"/>
    </w:pPr>
    <w:rPr>
      <w:rFonts w:ascii="Calibri" w:hAnsi="Calibri"/>
      <w:szCs w:val="22"/>
      <w:lang w:eastAsia="en-GB"/>
    </w:rPr>
  </w:style>
  <w:style w:type="character" w:styleId="HTMLCite">
    <w:name w:val="HTML Cite"/>
    <w:basedOn w:val="DefaultParagraphFont"/>
    <w:uiPriority w:val="99"/>
    <w:semiHidden/>
    <w:rsid w:val="00DE65C0"/>
    <w:rPr>
      <w:rFonts w:cs="Times New Roman"/>
      <w:i/>
      <w:iCs/>
    </w:rPr>
  </w:style>
  <w:style w:type="character" w:customStyle="1" w:styleId="DefaultChar">
    <w:name w:val="Default Char"/>
    <w:basedOn w:val="DefaultParagraphFont"/>
    <w:link w:val="Default"/>
    <w:locked/>
    <w:rsid w:val="00DE65C0"/>
    <w:rPr>
      <w:rFonts w:ascii="Arial" w:eastAsia="Times New Roman" w:hAnsi="Arial" w:cs="Arial"/>
      <w:color w:val="000000"/>
      <w:sz w:val="24"/>
      <w:szCs w:val="24"/>
      <w:lang w:eastAsia="en-GB"/>
    </w:rPr>
  </w:style>
  <w:style w:type="character" w:customStyle="1" w:styleId="EmailStyle42">
    <w:name w:val="EmailStyle42"/>
    <w:basedOn w:val="DefaultParagraphFont"/>
    <w:uiPriority w:val="99"/>
    <w:semiHidden/>
    <w:rsid w:val="00DE65C0"/>
    <w:rPr>
      <w:rFonts w:ascii="Arial" w:hAnsi="Arial" w:cs="Arial"/>
      <w:color w:val="000080"/>
      <w:sz w:val="20"/>
      <w:szCs w:val="20"/>
    </w:rPr>
  </w:style>
  <w:style w:type="character" w:customStyle="1" w:styleId="A3">
    <w:name w:val="A3"/>
    <w:uiPriority w:val="99"/>
    <w:rsid w:val="00DE65C0"/>
    <w:rPr>
      <w:color w:val="000000"/>
      <w:sz w:val="22"/>
    </w:rPr>
  </w:style>
  <w:style w:type="table" w:customStyle="1" w:styleId="TableGrid2">
    <w:name w:val="Table Grid2"/>
    <w:basedOn w:val="TableNormal"/>
    <w:next w:val="TableGrid"/>
    <w:uiPriority w:val="59"/>
    <w:rsid w:val="00FA0F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701C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8076">
      <w:bodyDiv w:val="1"/>
      <w:marLeft w:val="0"/>
      <w:marRight w:val="0"/>
      <w:marTop w:val="0"/>
      <w:marBottom w:val="0"/>
      <w:divBdr>
        <w:top w:val="none" w:sz="0" w:space="0" w:color="auto"/>
        <w:left w:val="none" w:sz="0" w:space="0" w:color="auto"/>
        <w:bottom w:val="none" w:sz="0" w:space="0" w:color="auto"/>
        <w:right w:val="none" w:sz="0" w:space="0" w:color="auto"/>
      </w:divBdr>
    </w:div>
    <w:div w:id="83578705">
      <w:bodyDiv w:val="1"/>
      <w:marLeft w:val="0"/>
      <w:marRight w:val="0"/>
      <w:marTop w:val="0"/>
      <w:marBottom w:val="0"/>
      <w:divBdr>
        <w:top w:val="none" w:sz="0" w:space="0" w:color="auto"/>
        <w:left w:val="none" w:sz="0" w:space="0" w:color="auto"/>
        <w:bottom w:val="none" w:sz="0" w:space="0" w:color="auto"/>
        <w:right w:val="none" w:sz="0" w:space="0" w:color="auto"/>
      </w:divBdr>
    </w:div>
    <w:div w:id="124156679">
      <w:bodyDiv w:val="1"/>
      <w:marLeft w:val="0"/>
      <w:marRight w:val="0"/>
      <w:marTop w:val="0"/>
      <w:marBottom w:val="0"/>
      <w:divBdr>
        <w:top w:val="none" w:sz="0" w:space="0" w:color="auto"/>
        <w:left w:val="none" w:sz="0" w:space="0" w:color="auto"/>
        <w:bottom w:val="none" w:sz="0" w:space="0" w:color="auto"/>
        <w:right w:val="none" w:sz="0" w:space="0" w:color="auto"/>
      </w:divBdr>
    </w:div>
    <w:div w:id="200896850">
      <w:bodyDiv w:val="1"/>
      <w:marLeft w:val="0"/>
      <w:marRight w:val="0"/>
      <w:marTop w:val="0"/>
      <w:marBottom w:val="0"/>
      <w:divBdr>
        <w:top w:val="none" w:sz="0" w:space="0" w:color="auto"/>
        <w:left w:val="none" w:sz="0" w:space="0" w:color="auto"/>
        <w:bottom w:val="none" w:sz="0" w:space="0" w:color="auto"/>
        <w:right w:val="none" w:sz="0" w:space="0" w:color="auto"/>
      </w:divBdr>
    </w:div>
    <w:div w:id="213002974">
      <w:bodyDiv w:val="1"/>
      <w:marLeft w:val="0"/>
      <w:marRight w:val="0"/>
      <w:marTop w:val="0"/>
      <w:marBottom w:val="0"/>
      <w:divBdr>
        <w:top w:val="none" w:sz="0" w:space="0" w:color="auto"/>
        <w:left w:val="none" w:sz="0" w:space="0" w:color="auto"/>
        <w:bottom w:val="none" w:sz="0" w:space="0" w:color="auto"/>
        <w:right w:val="none" w:sz="0" w:space="0" w:color="auto"/>
      </w:divBdr>
    </w:div>
    <w:div w:id="357237629">
      <w:bodyDiv w:val="1"/>
      <w:marLeft w:val="0"/>
      <w:marRight w:val="0"/>
      <w:marTop w:val="0"/>
      <w:marBottom w:val="0"/>
      <w:divBdr>
        <w:top w:val="none" w:sz="0" w:space="0" w:color="auto"/>
        <w:left w:val="none" w:sz="0" w:space="0" w:color="auto"/>
        <w:bottom w:val="none" w:sz="0" w:space="0" w:color="auto"/>
        <w:right w:val="none" w:sz="0" w:space="0" w:color="auto"/>
      </w:divBdr>
    </w:div>
    <w:div w:id="402022396">
      <w:bodyDiv w:val="1"/>
      <w:marLeft w:val="0"/>
      <w:marRight w:val="0"/>
      <w:marTop w:val="0"/>
      <w:marBottom w:val="0"/>
      <w:divBdr>
        <w:top w:val="none" w:sz="0" w:space="0" w:color="auto"/>
        <w:left w:val="none" w:sz="0" w:space="0" w:color="auto"/>
        <w:bottom w:val="none" w:sz="0" w:space="0" w:color="auto"/>
        <w:right w:val="none" w:sz="0" w:space="0" w:color="auto"/>
      </w:divBdr>
    </w:div>
    <w:div w:id="462231145">
      <w:bodyDiv w:val="1"/>
      <w:marLeft w:val="0"/>
      <w:marRight w:val="0"/>
      <w:marTop w:val="0"/>
      <w:marBottom w:val="0"/>
      <w:divBdr>
        <w:top w:val="none" w:sz="0" w:space="0" w:color="auto"/>
        <w:left w:val="none" w:sz="0" w:space="0" w:color="auto"/>
        <w:bottom w:val="none" w:sz="0" w:space="0" w:color="auto"/>
        <w:right w:val="none" w:sz="0" w:space="0" w:color="auto"/>
      </w:divBdr>
    </w:div>
    <w:div w:id="554201265">
      <w:bodyDiv w:val="1"/>
      <w:marLeft w:val="0"/>
      <w:marRight w:val="0"/>
      <w:marTop w:val="0"/>
      <w:marBottom w:val="0"/>
      <w:divBdr>
        <w:top w:val="none" w:sz="0" w:space="0" w:color="auto"/>
        <w:left w:val="none" w:sz="0" w:space="0" w:color="auto"/>
        <w:bottom w:val="none" w:sz="0" w:space="0" w:color="auto"/>
        <w:right w:val="none" w:sz="0" w:space="0" w:color="auto"/>
      </w:divBdr>
    </w:div>
    <w:div w:id="557522276">
      <w:bodyDiv w:val="1"/>
      <w:marLeft w:val="0"/>
      <w:marRight w:val="0"/>
      <w:marTop w:val="0"/>
      <w:marBottom w:val="0"/>
      <w:divBdr>
        <w:top w:val="none" w:sz="0" w:space="0" w:color="auto"/>
        <w:left w:val="none" w:sz="0" w:space="0" w:color="auto"/>
        <w:bottom w:val="none" w:sz="0" w:space="0" w:color="auto"/>
        <w:right w:val="none" w:sz="0" w:space="0" w:color="auto"/>
      </w:divBdr>
    </w:div>
    <w:div w:id="610162808">
      <w:bodyDiv w:val="1"/>
      <w:marLeft w:val="0"/>
      <w:marRight w:val="0"/>
      <w:marTop w:val="0"/>
      <w:marBottom w:val="0"/>
      <w:divBdr>
        <w:top w:val="none" w:sz="0" w:space="0" w:color="auto"/>
        <w:left w:val="none" w:sz="0" w:space="0" w:color="auto"/>
        <w:bottom w:val="none" w:sz="0" w:space="0" w:color="auto"/>
        <w:right w:val="none" w:sz="0" w:space="0" w:color="auto"/>
      </w:divBdr>
    </w:div>
    <w:div w:id="669674612">
      <w:bodyDiv w:val="1"/>
      <w:marLeft w:val="0"/>
      <w:marRight w:val="0"/>
      <w:marTop w:val="0"/>
      <w:marBottom w:val="0"/>
      <w:divBdr>
        <w:top w:val="none" w:sz="0" w:space="0" w:color="auto"/>
        <w:left w:val="none" w:sz="0" w:space="0" w:color="auto"/>
        <w:bottom w:val="none" w:sz="0" w:space="0" w:color="auto"/>
        <w:right w:val="none" w:sz="0" w:space="0" w:color="auto"/>
      </w:divBdr>
    </w:div>
    <w:div w:id="1018238346">
      <w:bodyDiv w:val="1"/>
      <w:marLeft w:val="0"/>
      <w:marRight w:val="0"/>
      <w:marTop w:val="0"/>
      <w:marBottom w:val="0"/>
      <w:divBdr>
        <w:top w:val="none" w:sz="0" w:space="0" w:color="auto"/>
        <w:left w:val="none" w:sz="0" w:space="0" w:color="auto"/>
        <w:bottom w:val="none" w:sz="0" w:space="0" w:color="auto"/>
        <w:right w:val="none" w:sz="0" w:space="0" w:color="auto"/>
      </w:divBdr>
    </w:div>
    <w:div w:id="1053849540">
      <w:bodyDiv w:val="1"/>
      <w:marLeft w:val="0"/>
      <w:marRight w:val="0"/>
      <w:marTop w:val="0"/>
      <w:marBottom w:val="0"/>
      <w:divBdr>
        <w:top w:val="none" w:sz="0" w:space="0" w:color="auto"/>
        <w:left w:val="none" w:sz="0" w:space="0" w:color="auto"/>
        <w:bottom w:val="none" w:sz="0" w:space="0" w:color="auto"/>
        <w:right w:val="none" w:sz="0" w:space="0" w:color="auto"/>
      </w:divBdr>
    </w:div>
    <w:div w:id="1072898336">
      <w:bodyDiv w:val="1"/>
      <w:marLeft w:val="0"/>
      <w:marRight w:val="0"/>
      <w:marTop w:val="0"/>
      <w:marBottom w:val="0"/>
      <w:divBdr>
        <w:top w:val="none" w:sz="0" w:space="0" w:color="auto"/>
        <w:left w:val="none" w:sz="0" w:space="0" w:color="auto"/>
        <w:bottom w:val="none" w:sz="0" w:space="0" w:color="auto"/>
        <w:right w:val="none" w:sz="0" w:space="0" w:color="auto"/>
      </w:divBdr>
    </w:div>
    <w:div w:id="1232083999">
      <w:bodyDiv w:val="1"/>
      <w:marLeft w:val="0"/>
      <w:marRight w:val="0"/>
      <w:marTop w:val="0"/>
      <w:marBottom w:val="0"/>
      <w:divBdr>
        <w:top w:val="none" w:sz="0" w:space="0" w:color="auto"/>
        <w:left w:val="none" w:sz="0" w:space="0" w:color="auto"/>
        <w:bottom w:val="none" w:sz="0" w:space="0" w:color="auto"/>
        <w:right w:val="none" w:sz="0" w:space="0" w:color="auto"/>
      </w:divBdr>
    </w:div>
    <w:div w:id="1285035547">
      <w:bodyDiv w:val="1"/>
      <w:marLeft w:val="0"/>
      <w:marRight w:val="0"/>
      <w:marTop w:val="0"/>
      <w:marBottom w:val="0"/>
      <w:divBdr>
        <w:top w:val="none" w:sz="0" w:space="0" w:color="auto"/>
        <w:left w:val="none" w:sz="0" w:space="0" w:color="auto"/>
        <w:bottom w:val="none" w:sz="0" w:space="0" w:color="auto"/>
        <w:right w:val="none" w:sz="0" w:space="0" w:color="auto"/>
      </w:divBdr>
    </w:div>
    <w:div w:id="1431658754">
      <w:bodyDiv w:val="1"/>
      <w:marLeft w:val="0"/>
      <w:marRight w:val="0"/>
      <w:marTop w:val="0"/>
      <w:marBottom w:val="0"/>
      <w:divBdr>
        <w:top w:val="none" w:sz="0" w:space="0" w:color="auto"/>
        <w:left w:val="none" w:sz="0" w:space="0" w:color="auto"/>
        <w:bottom w:val="none" w:sz="0" w:space="0" w:color="auto"/>
        <w:right w:val="none" w:sz="0" w:space="0" w:color="auto"/>
      </w:divBdr>
    </w:div>
    <w:div w:id="1452357359">
      <w:bodyDiv w:val="1"/>
      <w:marLeft w:val="0"/>
      <w:marRight w:val="0"/>
      <w:marTop w:val="0"/>
      <w:marBottom w:val="0"/>
      <w:divBdr>
        <w:top w:val="none" w:sz="0" w:space="0" w:color="auto"/>
        <w:left w:val="none" w:sz="0" w:space="0" w:color="auto"/>
        <w:bottom w:val="none" w:sz="0" w:space="0" w:color="auto"/>
        <w:right w:val="none" w:sz="0" w:space="0" w:color="auto"/>
      </w:divBdr>
    </w:div>
    <w:div w:id="1603108024">
      <w:bodyDiv w:val="1"/>
      <w:marLeft w:val="0"/>
      <w:marRight w:val="0"/>
      <w:marTop w:val="0"/>
      <w:marBottom w:val="0"/>
      <w:divBdr>
        <w:top w:val="none" w:sz="0" w:space="0" w:color="auto"/>
        <w:left w:val="none" w:sz="0" w:space="0" w:color="auto"/>
        <w:bottom w:val="none" w:sz="0" w:space="0" w:color="auto"/>
        <w:right w:val="none" w:sz="0" w:space="0" w:color="auto"/>
      </w:divBdr>
    </w:div>
    <w:div w:id="1667434509">
      <w:bodyDiv w:val="1"/>
      <w:marLeft w:val="0"/>
      <w:marRight w:val="0"/>
      <w:marTop w:val="0"/>
      <w:marBottom w:val="0"/>
      <w:divBdr>
        <w:top w:val="none" w:sz="0" w:space="0" w:color="auto"/>
        <w:left w:val="none" w:sz="0" w:space="0" w:color="auto"/>
        <w:bottom w:val="none" w:sz="0" w:space="0" w:color="auto"/>
        <w:right w:val="none" w:sz="0" w:space="0" w:color="auto"/>
      </w:divBdr>
    </w:div>
    <w:div w:id="1692681252">
      <w:bodyDiv w:val="1"/>
      <w:marLeft w:val="0"/>
      <w:marRight w:val="0"/>
      <w:marTop w:val="0"/>
      <w:marBottom w:val="0"/>
      <w:divBdr>
        <w:top w:val="none" w:sz="0" w:space="0" w:color="auto"/>
        <w:left w:val="none" w:sz="0" w:space="0" w:color="auto"/>
        <w:bottom w:val="none" w:sz="0" w:space="0" w:color="auto"/>
        <w:right w:val="none" w:sz="0" w:space="0" w:color="auto"/>
      </w:divBdr>
    </w:div>
    <w:div w:id="1705128640">
      <w:bodyDiv w:val="1"/>
      <w:marLeft w:val="0"/>
      <w:marRight w:val="0"/>
      <w:marTop w:val="0"/>
      <w:marBottom w:val="0"/>
      <w:divBdr>
        <w:top w:val="none" w:sz="0" w:space="0" w:color="auto"/>
        <w:left w:val="none" w:sz="0" w:space="0" w:color="auto"/>
        <w:bottom w:val="none" w:sz="0" w:space="0" w:color="auto"/>
        <w:right w:val="none" w:sz="0" w:space="0" w:color="auto"/>
      </w:divBdr>
    </w:div>
    <w:div w:id="1788424403">
      <w:bodyDiv w:val="1"/>
      <w:marLeft w:val="0"/>
      <w:marRight w:val="0"/>
      <w:marTop w:val="0"/>
      <w:marBottom w:val="0"/>
      <w:divBdr>
        <w:top w:val="none" w:sz="0" w:space="0" w:color="auto"/>
        <w:left w:val="none" w:sz="0" w:space="0" w:color="auto"/>
        <w:bottom w:val="none" w:sz="0" w:space="0" w:color="auto"/>
        <w:right w:val="none" w:sz="0" w:space="0" w:color="auto"/>
      </w:divBdr>
    </w:div>
    <w:div w:id="1790857033">
      <w:bodyDiv w:val="1"/>
      <w:marLeft w:val="0"/>
      <w:marRight w:val="0"/>
      <w:marTop w:val="0"/>
      <w:marBottom w:val="0"/>
      <w:divBdr>
        <w:top w:val="none" w:sz="0" w:space="0" w:color="auto"/>
        <w:left w:val="none" w:sz="0" w:space="0" w:color="auto"/>
        <w:bottom w:val="none" w:sz="0" w:space="0" w:color="auto"/>
        <w:right w:val="none" w:sz="0" w:space="0" w:color="auto"/>
      </w:divBdr>
    </w:div>
    <w:div w:id="1837577203">
      <w:bodyDiv w:val="1"/>
      <w:marLeft w:val="0"/>
      <w:marRight w:val="0"/>
      <w:marTop w:val="0"/>
      <w:marBottom w:val="0"/>
      <w:divBdr>
        <w:top w:val="none" w:sz="0" w:space="0" w:color="auto"/>
        <w:left w:val="none" w:sz="0" w:space="0" w:color="auto"/>
        <w:bottom w:val="none" w:sz="0" w:space="0" w:color="auto"/>
        <w:right w:val="none" w:sz="0" w:space="0" w:color="auto"/>
      </w:divBdr>
    </w:div>
    <w:div w:id="1962296308">
      <w:bodyDiv w:val="1"/>
      <w:marLeft w:val="0"/>
      <w:marRight w:val="0"/>
      <w:marTop w:val="0"/>
      <w:marBottom w:val="0"/>
      <w:divBdr>
        <w:top w:val="none" w:sz="0" w:space="0" w:color="auto"/>
        <w:left w:val="none" w:sz="0" w:space="0" w:color="auto"/>
        <w:bottom w:val="none" w:sz="0" w:space="0" w:color="auto"/>
        <w:right w:val="none" w:sz="0" w:space="0" w:color="auto"/>
      </w:divBdr>
    </w:div>
    <w:div w:id="2002269538">
      <w:bodyDiv w:val="1"/>
      <w:marLeft w:val="0"/>
      <w:marRight w:val="0"/>
      <w:marTop w:val="0"/>
      <w:marBottom w:val="0"/>
      <w:divBdr>
        <w:top w:val="none" w:sz="0" w:space="0" w:color="auto"/>
        <w:left w:val="none" w:sz="0" w:space="0" w:color="auto"/>
        <w:bottom w:val="none" w:sz="0" w:space="0" w:color="auto"/>
        <w:right w:val="none" w:sz="0" w:space="0" w:color="auto"/>
      </w:divBdr>
    </w:div>
    <w:div w:id="2017531423">
      <w:bodyDiv w:val="1"/>
      <w:marLeft w:val="0"/>
      <w:marRight w:val="0"/>
      <w:marTop w:val="0"/>
      <w:marBottom w:val="0"/>
      <w:divBdr>
        <w:top w:val="none" w:sz="0" w:space="0" w:color="auto"/>
        <w:left w:val="none" w:sz="0" w:space="0" w:color="auto"/>
        <w:bottom w:val="none" w:sz="0" w:space="0" w:color="auto"/>
        <w:right w:val="none" w:sz="0" w:space="0" w:color="auto"/>
      </w:divBdr>
    </w:div>
    <w:div w:id="211158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060165-C5AD-4865-86D6-0576687C5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4140</Words>
  <Characters>23604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cummingsl</dc:creator>
  <cp:lastModifiedBy>Brysong</cp:lastModifiedBy>
  <cp:revision>4</cp:revision>
  <cp:lastPrinted>2020-05-22T09:34:00Z</cp:lastPrinted>
  <dcterms:created xsi:type="dcterms:W3CDTF">2020-05-26T06:23:00Z</dcterms:created>
  <dcterms:modified xsi:type="dcterms:W3CDTF">2020-05-26T06:35:00Z</dcterms:modified>
</cp:coreProperties>
</file>