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E06B43" w:rsidRDefault="00573399" w:rsidP="00E06B43">
      <w:pPr>
        <w:jc w:val="center"/>
        <w:rPr>
          <w:rFonts w:ascii="Stone Sans Semi Bold" w:hAnsi="Stone Sans Semi Bold"/>
          <w:b/>
          <w:color w:val="004380"/>
        </w:rPr>
      </w:pPr>
      <w:r>
        <w:rPr>
          <w:rFonts w:ascii="Stone Sans Semi Bold" w:hAnsi="Stone Sans Semi Bold"/>
          <w:b/>
          <w:noProof/>
          <w:color w:val="004380"/>
          <w:lang w:eastAsia="en-GB"/>
        </w:rPr>
        <w:drawing>
          <wp:inline distT="0" distB="0" distL="0" distR="0" wp14:anchorId="19213C79">
            <wp:extent cx="6725624" cy="955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3148" cy="9610069"/>
                    </a:xfrm>
                    <a:prstGeom prst="rect">
                      <a:avLst/>
                    </a:prstGeom>
                    <a:noFill/>
                  </pic:spPr>
                </pic:pic>
              </a:graphicData>
            </a:graphic>
          </wp:inline>
        </w:drawing>
      </w:r>
    </w:p>
    <w:p w:rsidR="00234ABE" w:rsidRPr="00B77BE0" w:rsidRDefault="00234ABE" w:rsidP="00E50634">
      <w:pPr>
        <w:pStyle w:val="Heading1"/>
        <w:rPr>
          <w:b w:val="0"/>
          <w:color w:val="17365D" w:themeColor="text2" w:themeShade="BF"/>
          <w:sz w:val="32"/>
          <w:szCs w:val="32"/>
        </w:rPr>
      </w:pPr>
      <w:r w:rsidRPr="00E50634">
        <w:lastRenderedPageBreak/>
        <w:t>Contents</w:t>
      </w:r>
      <w:r w:rsidRPr="00E50634">
        <w:tab/>
      </w:r>
      <w:r w:rsidRPr="00B77BE0">
        <w:rPr>
          <w:b w:val="0"/>
          <w:color w:val="17365D" w:themeColor="text2" w:themeShade="BF"/>
          <w:sz w:val="32"/>
          <w:szCs w:val="32"/>
        </w:rPr>
        <w:tab/>
      </w:r>
    </w:p>
    <w:p w:rsidR="0061763D" w:rsidRPr="00D13B1B" w:rsidRDefault="0061763D" w:rsidP="00882B57">
      <w:pPr>
        <w:rPr>
          <w:rFonts w:cs="Arial"/>
          <w:b/>
          <w:color w:val="17365D" w:themeColor="text2" w:themeShade="BF"/>
          <w:sz w:val="32"/>
          <w:szCs w:val="32"/>
          <w:highlight w:val="yellow"/>
        </w:rPr>
      </w:pPr>
    </w:p>
    <w:p w:rsidR="0061763D" w:rsidRPr="00D13B1B" w:rsidRDefault="0061763D" w:rsidP="00882B57">
      <w:pPr>
        <w:rPr>
          <w:rFonts w:cs="Arial"/>
          <w:color w:val="17365D" w:themeColor="text2" w:themeShade="BF"/>
          <w:szCs w:val="22"/>
          <w:highlight w:val="yellow"/>
        </w:rPr>
      </w:pPr>
    </w:p>
    <w:p w:rsidR="0040438D" w:rsidRPr="00D13B1B" w:rsidRDefault="0040438D" w:rsidP="001B4295">
      <w:pPr>
        <w:tabs>
          <w:tab w:val="left" w:pos="1418"/>
          <w:tab w:val="left" w:pos="1701"/>
          <w:tab w:val="left" w:pos="1985"/>
          <w:tab w:val="left" w:pos="2268"/>
          <w:tab w:val="right" w:pos="9072"/>
        </w:tabs>
        <w:rPr>
          <w:rFonts w:cs="Arial"/>
          <w:color w:val="17365D" w:themeColor="text2" w:themeShade="BF"/>
          <w:szCs w:val="22"/>
          <w:highlight w:val="yellow"/>
        </w:rPr>
      </w:pPr>
    </w:p>
    <w:p w:rsidR="0061763D" w:rsidRPr="00D13B1B" w:rsidRDefault="0061763D" w:rsidP="001B4295">
      <w:pPr>
        <w:tabs>
          <w:tab w:val="left" w:pos="1418"/>
          <w:tab w:val="left" w:pos="1701"/>
          <w:tab w:val="left" w:pos="1985"/>
          <w:tab w:val="left" w:pos="2268"/>
          <w:tab w:val="right" w:pos="9072"/>
        </w:tabs>
        <w:rPr>
          <w:rFonts w:cs="Arial"/>
          <w:b/>
          <w:color w:val="17365D" w:themeColor="text2" w:themeShade="BF"/>
          <w:szCs w:val="22"/>
          <w:highlight w:val="yellow"/>
        </w:rPr>
      </w:pPr>
    </w:p>
    <w:p w:rsidR="00ED7630" w:rsidRPr="00D13B1B" w:rsidRDefault="00ED7630" w:rsidP="001B4295">
      <w:pPr>
        <w:tabs>
          <w:tab w:val="left" w:pos="1418"/>
          <w:tab w:val="left" w:pos="1701"/>
          <w:tab w:val="left" w:pos="1985"/>
          <w:tab w:val="left" w:pos="2268"/>
          <w:tab w:val="right" w:pos="9072"/>
        </w:tabs>
        <w:rPr>
          <w:rFonts w:cs="Arial"/>
          <w:b/>
          <w:color w:val="17365D" w:themeColor="text2" w:themeShade="BF"/>
          <w:szCs w:val="22"/>
          <w:highlight w:val="yellow"/>
        </w:rPr>
      </w:pPr>
    </w:p>
    <w:p w:rsidR="001B3EC4" w:rsidRPr="00B77BE0" w:rsidRDefault="001B3EC4" w:rsidP="001B4295">
      <w:pPr>
        <w:tabs>
          <w:tab w:val="left" w:pos="1418"/>
          <w:tab w:val="left" w:pos="1701"/>
          <w:tab w:val="left" w:pos="1985"/>
          <w:tab w:val="left" w:pos="2268"/>
          <w:tab w:val="right" w:pos="9072"/>
        </w:tabs>
        <w:rPr>
          <w:rFonts w:cs="Arial"/>
          <w:color w:val="17365D" w:themeColor="text2" w:themeShade="BF"/>
          <w:szCs w:val="22"/>
        </w:rPr>
      </w:pPr>
    </w:p>
    <w:p w:rsidR="0061763D" w:rsidRPr="00B77BE0" w:rsidRDefault="0061763D" w:rsidP="001B4295">
      <w:pPr>
        <w:tabs>
          <w:tab w:val="left" w:pos="1418"/>
          <w:tab w:val="left" w:pos="1701"/>
          <w:tab w:val="left" w:pos="1985"/>
          <w:tab w:val="left" w:pos="2268"/>
          <w:tab w:val="right" w:pos="9072"/>
        </w:tabs>
        <w:rPr>
          <w:rFonts w:cs="Arial"/>
          <w:color w:val="17365D" w:themeColor="text2" w:themeShade="BF"/>
          <w:szCs w:val="22"/>
        </w:rPr>
      </w:pPr>
    </w:p>
    <w:p w:rsidR="001B4295" w:rsidRPr="00B77BE0" w:rsidRDefault="001B3EC4" w:rsidP="00EE40D1">
      <w:pPr>
        <w:tabs>
          <w:tab w:val="left" w:pos="1418"/>
          <w:tab w:val="left" w:pos="1701"/>
          <w:tab w:val="left" w:pos="1985"/>
          <w:tab w:val="left" w:pos="2268"/>
          <w:tab w:val="right" w:pos="9072"/>
        </w:tabs>
        <w:rPr>
          <w:rFonts w:cs="Arial"/>
          <w:color w:val="17365D" w:themeColor="text2" w:themeShade="BF"/>
          <w:szCs w:val="22"/>
        </w:rPr>
      </w:pPr>
      <w:r w:rsidRPr="00B77BE0">
        <w:rPr>
          <w:rFonts w:cs="Arial"/>
          <w:color w:val="17365D" w:themeColor="text2" w:themeShade="BF"/>
          <w:szCs w:val="22"/>
        </w:rPr>
        <w:tab/>
      </w:r>
      <w:r w:rsidRPr="00B77BE0">
        <w:rPr>
          <w:rFonts w:cs="Arial"/>
          <w:color w:val="17365D" w:themeColor="text2" w:themeShade="BF"/>
          <w:szCs w:val="22"/>
        </w:rPr>
        <w:tab/>
      </w:r>
    </w:p>
    <w:p w:rsidR="0061763D" w:rsidRPr="00B77BE0" w:rsidRDefault="00DD7A41" w:rsidP="00EE40D1">
      <w:pPr>
        <w:tabs>
          <w:tab w:val="left" w:pos="1418"/>
          <w:tab w:val="left" w:pos="1701"/>
          <w:tab w:val="left" w:pos="1985"/>
          <w:tab w:val="left" w:pos="2268"/>
          <w:tab w:val="right" w:pos="9072"/>
        </w:tabs>
        <w:rPr>
          <w:rFonts w:cs="Arial"/>
          <w:color w:val="17365D" w:themeColor="text2" w:themeShade="BF"/>
          <w:szCs w:val="22"/>
        </w:rPr>
      </w:pPr>
      <w:r>
        <w:rPr>
          <w:rFonts w:cs="Arial"/>
          <w:noProof/>
          <w:color w:val="17365D" w:themeColor="text2" w:themeShade="BF"/>
          <w:szCs w:val="22"/>
          <w:lang w:eastAsia="en-GB"/>
        </w:rPr>
        <w:pict w14:anchorId="6C0362B2">
          <v:rect id="_x0000_s1975" style="position:absolute;margin-left:-12.15pt;margin-top:-77.2pt;width:508.5pt;height:131.25pt;z-index:252897279" fillcolor="white [3212]">
            <v:textbox style="mso-next-textbox:#_x0000_s1975">
              <w:txbxContent>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Introduction</w:t>
                  </w:r>
                  <w:r w:rsidRPr="00B0435F">
                    <w:rPr>
                      <w:b/>
                      <w:color w:val="17365D" w:themeColor="text2" w:themeShade="BF"/>
                      <w:sz w:val="24"/>
                      <w:szCs w:val="24"/>
                    </w:rPr>
                    <w:tab/>
                  </w:r>
                  <w:r w:rsidRPr="00B0435F">
                    <w:rPr>
                      <w:b/>
                      <w:color w:val="17365D" w:themeColor="text2" w:themeShade="BF"/>
                      <w:sz w:val="24"/>
                      <w:szCs w:val="24"/>
                    </w:rPr>
                    <w:tab/>
                  </w:r>
                  <w:r w:rsidRPr="00B0435F">
                    <w:rPr>
                      <w:b/>
                      <w:color w:val="17365D" w:themeColor="text2" w:themeShade="BF"/>
                      <w:sz w:val="24"/>
                      <w:szCs w:val="24"/>
                    </w:rPr>
                    <w:tab/>
                  </w:r>
                  <w:r w:rsidRPr="00B0435F">
                    <w:rPr>
                      <w:b/>
                      <w:color w:val="17365D" w:themeColor="text2" w:themeShade="BF"/>
                      <w:sz w:val="24"/>
                      <w:szCs w:val="24"/>
                    </w:rPr>
                    <w:tab/>
                  </w:r>
                  <w:r w:rsidRPr="00B0435F">
                    <w:rPr>
                      <w:b/>
                      <w:color w:val="17365D" w:themeColor="text2" w:themeShade="BF"/>
                      <w:sz w:val="24"/>
                      <w:szCs w:val="24"/>
                    </w:rPr>
                    <w:tab/>
                  </w:r>
                  <w:r w:rsidR="00A8103D">
                    <w:rPr>
                      <w:b/>
                      <w:color w:val="17365D" w:themeColor="text2" w:themeShade="BF"/>
                      <w:sz w:val="24"/>
                      <w:szCs w:val="24"/>
                    </w:rPr>
                    <w:t>2</w:t>
                  </w: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Performance Summary Dashboard</w:t>
                  </w:r>
                  <w:r w:rsidRPr="00B0435F">
                    <w:rPr>
                      <w:b/>
                      <w:color w:val="17365D" w:themeColor="text2" w:themeShade="BF"/>
                      <w:sz w:val="24"/>
                      <w:szCs w:val="24"/>
                    </w:rPr>
                    <w:tab/>
                    <w:t>4</w:t>
                  </w: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Integrated Performance Report: Executive Summa</w:t>
                  </w:r>
                  <w:r w:rsidR="005D4EEB">
                    <w:rPr>
                      <w:b/>
                      <w:color w:val="17365D" w:themeColor="text2" w:themeShade="BF"/>
                      <w:sz w:val="24"/>
                      <w:szCs w:val="24"/>
                    </w:rPr>
                    <w:t>ries</w:t>
                  </w:r>
                  <w:bookmarkStart w:id="0" w:name="_GoBack"/>
                  <w:bookmarkEnd w:id="0"/>
                  <w:r w:rsidRPr="00B0435F">
                    <w:rPr>
                      <w:b/>
                      <w:color w:val="17365D" w:themeColor="text2" w:themeShade="BF"/>
                      <w:sz w:val="24"/>
                      <w:szCs w:val="24"/>
                    </w:rPr>
                    <w:tab/>
                  </w:r>
                  <w:r w:rsidR="00DD7A41">
                    <w:rPr>
                      <w:b/>
                      <w:color w:val="17365D" w:themeColor="text2" w:themeShade="BF"/>
                      <w:sz w:val="24"/>
                      <w:szCs w:val="24"/>
                    </w:rPr>
                    <w:t>6</w:t>
                  </w:r>
                </w:p>
              </w:txbxContent>
            </v:textbox>
          </v:rect>
        </w:pict>
      </w:r>
      <w:r w:rsidR="001B4295" w:rsidRPr="00B77BE0">
        <w:rPr>
          <w:rFonts w:cs="Arial"/>
          <w:color w:val="17365D" w:themeColor="text2" w:themeShade="BF"/>
          <w:szCs w:val="22"/>
        </w:rPr>
        <w:tab/>
      </w:r>
      <w:r w:rsidR="001B4295" w:rsidRPr="00B77BE0">
        <w:rPr>
          <w:rFonts w:cs="Arial"/>
          <w:color w:val="17365D" w:themeColor="text2" w:themeShade="BF"/>
          <w:szCs w:val="22"/>
        </w:rPr>
        <w:tab/>
      </w:r>
      <w:r w:rsidR="001B4295" w:rsidRPr="00B77BE0">
        <w:rPr>
          <w:rFonts w:cs="Arial"/>
          <w:color w:val="17365D" w:themeColor="text2" w:themeShade="BF"/>
          <w:szCs w:val="22"/>
        </w:rPr>
        <w:tab/>
      </w:r>
      <w:r w:rsidR="001B4295" w:rsidRPr="00B77BE0">
        <w:rPr>
          <w:rFonts w:cs="Arial"/>
          <w:color w:val="17365D" w:themeColor="text2" w:themeShade="BF"/>
          <w:szCs w:val="22"/>
        </w:rPr>
        <w:tab/>
      </w:r>
    </w:p>
    <w:p w:rsidR="009E0B90" w:rsidRPr="00D13B1B" w:rsidRDefault="009E0B90" w:rsidP="001B4295">
      <w:pPr>
        <w:tabs>
          <w:tab w:val="left" w:pos="1418"/>
          <w:tab w:val="left" w:pos="1701"/>
          <w:tab w:val="left" w:pos="1985"/>
          <w:tab w:val="left" w:pos="2268"/>
          <w:tab w:val="right" w:pos="9072"/>
        </w:tabs>
        <w:rPr>
          <w:rFonts w:cs="Arial"/>
          <w:color w:val="17365D" w:themeColor="text2" w:themeShade="BF"/>
          <w:szCs w:val="22"/>
          <w:highlight w:val="yellow"/>
        </w:rPr>
      </w:pPr>
    </w:p>
    <w:p w:rsidR="005B2FA1" w:rsidRPr="00D13B1B" w:rsidRDefault="005B2FA1" w:rsidP="001B4295">
      <w:pPr>
        <w:tabs>
          <w:tab w:val="left" w:pos="1418"/>
          <w:tab w:val="left" w:pos="1701"/>
          <w:tab w:val="left" w:pos="1985"/>
          <w:tab w:val="left" w:pos="2268"/>
          <w:tab w:val="right" w:pos="9072"/>
        </w:tabs>
        <w:rPr>
          <w:rFonts w:cs="Arial"/>
          <w:color w:val="17365D" w:themeColor="text2" w:themeShade="BF"/>
          <w:szCs w:val="22"/>
          <w:highlight w:val="yellow"/>
        </w:rPr>
      </w:pPr>
    </w:p>
    <w:p w:rsidR="005B2FA1" w:rsidRPr="00D13B1B" w:rsidRDefault="005B2FA1" w:rsidP="001B4295">
      <w:pPr>
        <w:tabs>
          <w:tab w:val="left" w:pos="1418"/>
          <w:tab w:val="left" w:pos="1701"/>
          <w:tab w:val="left" w:pos="1985"/>
          <w:tab w:val="left" w:pos="2268"/>
          <w:tab w:val="right" w:pos="9072"/>
        </w:tabs>
        <w:rPr>
          <w:rFonts w:cs="Arial"/>
          <w:color w:val="17365D" w:themeColor="text2" w:themeShade="BF"/>
          <w:szCs w:val="22"/>
          <w:highlight w:val="yellow"/>
        </w:rPr>
      </w:pPr>
    </w:p>
    <w:p w:rsidR="0023158A" w:rsidRDefault="0023158A" w:rsidP="00882B57">
      <w:pPr>
        <w:rPr>
          <w:rFonts w:cs="Arial"/>
          <w:b/>
          <w:highlight w:val="yellow"/>
        </w:rPr>
      </w:pPr>
    </w:p>
    <w:p w:rsidR="00E50634" w:rsidRDefault="00E50634" w:rsidP="00882B57">
      <w:pPr>
        <w:rPr>
          <w:rFonts w:cs="Arial"/>
          <w:b/>
          <w:highlight w:val="yellow"/>
        </w:rPr>
      </w:pPr>
    </w:p>
    <w:p w:rsidR="00E50634" w:rsidRPr="00D13B1B" w:rsidRDefault="00E50634" w:rsidP="00882B57">
      <w:pPr>
        <w:rPr>
          <w:rFonts w:cs="Arial"/>
          <w:b/>
          <w:highlight w:val="yellow"/>
        </w:rPr>
      </w:pPr>
    </w:p>
    <w:p w:rsidR="00234ABE" w:rsidRPr="00AA1592" w:rsidRDefault="00E50634" w:rsidP="00AA1592">
      <w:pPr>
        <w:pStyle w:val="Heading1"/>
      </w:pPr>
      <w:r>
        <w:t xml:space="preserve">Section A: </w:t>
      </w:r>
      <w:r w:rsidR="00ED7630" w:rsidRPr="00AA1592">
        <w:t>Introduction</w:t>
      </w:r>
      <w:r w:rsidR="002668C8" w:rsidRPr="00AA1592">
        <w:tab/>
      </w:r>
    </w:p>
    <w:p w:rsidR="00AA1592" w:rsidRPr="00E92537" w:rsidRDefault="00AA1592" w:rsidP="00AA1592">
      <w:pPr>
        <w:spacing w:after="180"/>
        <w:jc w:val="both"/>
        <w:rPr>
          <w:rFonts w:cs="Arial"/>
          <w:szCs w:val="22"/>
        </w:rPr>
      </w:pPr>
      <w:r w:rsidRPr="00E92537">
        <w:rPr>
          <w:rFonts w:cs="Arial"/>
          <w:szCs w:val="22"/>
        </w:rPr>
        <w:t>The purpose of the Integrated Performance Report (IPR) is to provide assurance on NHS Golden Jubilee’s performance relating to National Standards, local priorities and significant risks.</w:t>
      </w:r>
    </w:p>
    <w:p w:rsidR="00AA1592" w:rsidRPr="00E92537" w:rsidRDefault="00AA1592" w:rsidP="00AA1592">
      <w:pPr>
        <w:spacing w:after="180"/>
        <w:jc w:val="both"/>
        <w:rPr>
          <w:rFonts w:cs="Arial"/>
          <w:szCs w:val="22"/>
        </w:rPr>
      </w:pPr>
      <w:r w:rsidRPr="00E92537">
        <w:rPr>
          <w:rFonts w:cs="Arial"/>
          <w:szCs w:val="22"/>
        </w:rPr>
        <w:t xml:space="preserve">The IPR comprises </w:t>
      </w:r>
      <w:r>
        <w:rPr>
          <w:rFonts w:cs="Arial"/>
          <w:szCs w:val="22"/>
        </w:rPr>
        <w:t>four section with each section being considered in detail by the appropriate Standing Committee</w:t>
      </w:r>
      <w:r w:rsidRPr="00E92537">
        <w:rPr>
          <w:rFonts w:cs="Arial"/>
          <w:szCs w:val="22"/>
        </w:rPr>
        <w:t>:</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A</w:t>
      </w:r>
      <w:r w:rsidRPr="00E92537">
        <w:rPr>
          <w:rFonts w:cs="Arial"/>
          <w:sz w:val="22"/>
          <w:szCs w:val="22"/>
        </w:rPr>
        <w:tab/>
        <w:t>Introduction</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B:1</w:t>
      </w:r>
      <w:r w:rsidRPr="00E92537">
        <w:rPr>
          <w:rFonts w:cs="Arial"/>
          <w:sz w:val="22"/>
          <w:szCs w:val="22"/>
        </w:rPr>
        <w:tab/>
        <w:t>Clinical Governance</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B:2</w:t>
      </w:r>
      <w:r w:rsidRPr="00E92537">
        <w:rPr>
          <w:rFonts w:cs="Arial"/>
          <w:sz w:val="22"/>
          <w:szCs w:val="22"/>
        </w:rPr>
        <w:tab/>
        <w:t>Staff Governance</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B:3</w:t>
      </w:r>
      <w:r w:rsidRPr="00E92537">
        <w:rPr>
          <w:rFonts w:cs="Arial"/>
          <w:sz w:val="22"/>
          <w:szCs w:val="22"/>
        </w:rPr>
        <w:tab/>
        <w:t>Finance, Performance &amp; Planning</w:t>
      </w:r>
    </w:p>
    <w:p w:rsidR="00AA1592" w:rsidRDefault="00AA1592" w:rsidP="00AA1592">
      <w:pPr>
        <w:spacing w:after="180"/>
        <w:jc w:val="both"/>
        <w:rPr>
          <w:rFonts w:cs="Arial"/>
          <w:szCs w:val="22"/>
        </w:rPr>
      </w:pPr>
    </w:p>
    <w:p w:rsidR="00AA1592" w:rsidRDefault="00AA1592" w:rsidP="00AA1592">
      <w:pPr>
        <w:spacing w:after="180"/>
        <w:jc w:val="both"/>
        <w:rPr>
          <w:rFonts w:cs="Arial"/>
          <w:szCs w:val="22"/>
        </w:rPr>
      </w:pPr>
      <w:r>
        <w:rPr>
          <w:rFonts w:cs="Arial"/>
          <w:szCs w:val="22"/>
        </w:rPr>
        <w:t>This Board Summary Report of the IPR is presented to the Board and contains the summaries from each section of the full IPR.</w:t>
      </w:r>
    </w:p>
    <w:p w:rsidR="00AA1592" w:rsidRDefault="00AA1592" w:rsidP="00AA1592">
      <w:pPr>
        <w:pStyle w:val="BodyTextIndent"/>
        <w:spacing w:after="0"/>
        <w:ind w:left="0" w:right="183"/>
        <w:rPr>
          <w:rFonts w:cs="Arial"/>
          <w:b/>
          <w:bCs/>
        </w:rPr>
      </w:pPr>
      <w:r>
        <w:rPr>
          <w:rFonts w:cs="Arial"/>
          <w:b/>
          <w:bCs/>
        </w:rPr>
        <w:t>Jann Gardner</w:t>
      </w:r>
      <w:r>
        <w:rPr>
          <w:rFonts w:cs="Arial"/>
          <w:b/>
          <w:bCs/>
        </w:rPr>
        <w:tab/>
      </w:r>
      <w:r>
        <w:rPr>
          <w:rFonts w:cs="Arial"/>
          <w:b/>
          <w:bCs/>
        </w:rPr>
        <w:tab/>
      </w:r>
      <w:r>
        <w:rPr>
          <w:rFonts w:cs="Arial"/>
          <w:b/>
          <w:bCs/>
        </w:rPr>
        <w:tab/>
        <w:t>Colin Neil</w:t>
      </w:r>
      <w:r>
        <w:rPr>
          <w:rFonts w:cs="Arial"/>
          <w:b/>
          <w:bCs/>
        </w:rPr>
        <w:tab/>
      </w:r>
      <w:r>
        <w:rPr>
          <w:rFonts w:cs="Arial"/>
          <w:b/>
          <w:bCs/>
        </w:rPr>
        <w:tab/>
      </w:r>
      <w:r>
        <w:rPr>
          <w:rFonts w:cs="Arial"/>
          <w:b/>
          <w:bCs/>
        </w:rPr>
        <w:tab/>
        <w:t>June Rogers</w:t>
      </w:r>
    </w:p>
    <w:p w:rsidR="00AA1592" w:rsidRDefault="00AA1592" w:rsidP="00AA1592">
      <w:pPr>
        <w:pStyle w:val="BodyTextIndent"/>
        <w:spacing w:after="0"/>
        <w:ind w:left="0" w:right="183"/>
        <w:rPr>
          <w:rFonts w:cs="Arial"/>
          <w:b/>
          <w:bCs/>
        </w:rPr>
      </w:pPr>
      <w:r>
        <w:rPr>
          <w:rFonts w:cs="Arial"/>
          <w:b/>
          <w:bCs/>
        </w:rPr>
        <w:t>Chief Executive</w:t>
      </w:r>
      <w:r>
        <w:rPr>
          <w:rFonts w:cs="Arial"/>
          <w:b/>
          <w:bCs/>
        </w:rPr>
        <w:tab/>
      </w:r>
      <w:r>
        <w:rPr>
          <w:rFonts w:cs="Arial"/>
          <w:b/>
          <w:bCs/>
        </w:rPr>
        <w:tab/>
        <w:t>Director of Finance</w:t>
      </w:r>
      <w:r>
        <w:rPr>
          <w:rFonts w:cs="Arial"/>
          <w:b/>
          <w:bCs/>
        </w:rPr>
        <w:tab/>
      </w:r>
      <w:r>
        <w:rPr>
          <w:rFonts w:cs="Arial"/>
          <w:b/>
          <w:bCs/>
        </w:rPr>
        <w:tab/>
        <w:t>Deputy Chief Executive</w:t>
      </w:r>
    </w:p>
    <w:p w:rsidR="005148A3" w:rsidRPr="00D13B1B" w:rsidRDefault="005148A3" w:rsidP="004C0D07">
      <w:pPr>
        <w:spacing w:after="180"/>
        <w:jc w:val="both"/>
        <w:rPr>
          <w:rFonts w:cs="Arial"/>
          <w:szCs w:val="22"/>
          <w:highlight w:val="yellow"/>
        </w:rPr>
        <w:sectPr w:rsidR="005148A3" w:rsidRPr="00D13B1B" w:rsidSect="00093B15">
          <w:footerReference w:type="default" r:id="rId9"/>
          <w:pgSz w:w="11906" w:h="16838" w:code="9"/>
          <w:pgMar w:top="720" w:right="720" w:bottom="720" w:left="720" w:header="709" w:footer="709" w:gutter="0"/>
          <w:cols w:space="708"/>
          <w:titlePg/>
          <w:docGrid w:linePitch="360"/>
        </w:sectPr>
      </w:pPr>
    </w:p>
    <w:p w:rsidR="00B42B0C" w:rsidRPr="007A64A0" w:rsidRDefault="0008461C" w:rsidP="00B42B0C">
      <w:pPr>
        <w:spacing w:after="180"/>
        <w:jc w:val="center"/>
        <w:rPr>
          <w:rFonts w:cs="Arial"/>
          <w:bCs/>
          <w:sz w:val="36"/>
          <w:szCs w:val="36"/>
        </w:rPr>
      </w:pPr>
      <w:r w:rsidRPr="007A64A0">
        <w:rPr>
          <w:rFonts w:cs="Arial"/>
          <w:bCs/>
          <w:sz w:val="36"/>
          <w:szCs w:val="36"/>
        </w:rPr>
        <w:lastRenderedPageBreak/>
        <w:t>Performance Summary</w:t>
      </w:r>
      <w:r w:rsidR="002341CE" w:rsidRPr="007A64A0">
        <w:rPr>
          <w:rFonts w:cs="Arial"/>
          <w:bCs/>
          <w:sz w:val="36"/>
          <w:szCs w:val="36"/>
        </w:rPr>
        <w:t xml:space="preserve"> </w:t>
      </w:r>
      <w:r w:rsidR="00CB2BFA" w:rsidRPr="007A64A0">
        <w:rPr>
          <w:rFonts w:cs="Arial"/>
          <w:bCs/>
          <w:sz w:val="36"/>
          <w:szCs w:val="36"/>
        </w:rPr>
        <w:t>Dashboard</w:t>
      </w:r>
      <w:r w:rsidR="00247F73" w:rsidRPr="007A64A0">
        <w:rPr>
          <w:rFonts w:cs="Arial"/>
          <w:bCs/>
          <w:sz w:val="36"/>
          <w:szCs w:val="36"/>
        </w:rPr>
        <w:t xml:space="preserve"> – Guidance</w:t>
      </w:r>
    </w:p>
    <w:p w:rsidR="00247F73" w:rsidRPr="00571E3D" w:rsidRDefault="00942B09" w:rsidP="00B42B0C">
      <w:pPr>
        <w:spacing w:after="180"/>
        <w:jc w:val="center"/>
        <w:rPr>
          <w:rFonts w:cs="Arial"/>
          <w:bCs/>
          <w:sz w:val="36"/>
          <w:szCs w:val="36"/>
        </w:rPr>
      </w:pPr>
      <w:r w:rsidRPr="007A64A0">
        <w:rPr>
          <w:rFonts w:cs="Arial"/>
          <w:noProof/>
          <w:lang w:eastAsia="en-GB"/>
        </w:rPr>
        <w:drawing>
          <wp:inline distT="0" distB="0" distL="0" distR="0" wp14:anchorId="332BF638" wp14:editId="3891A135">
            <wp:extent cx="8891270" cy="41811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1270" cy="4181148"/>
                    </a:xfrm>
                    <a:prstGeom prst="rect">
                      <a:avLst/>
                    </a:prstGeom>
                    <a:noFill/>
                    <a:ln>
                      <a:noFill/>
                    </a:ln>
                  </pic:spPr>
                </pic:pic>
              </a:graphicData>
            </a:graphic>
          </wp:inline>
        </w:drawing>
      </w:r>
    </w:p>
    <w:p w:rsidR="00247F73" w:rsidRPr="00571E3D" w:rsidRDefault="00894CA6" w:rsidP="00247F73">
      <w:pPr>
        <w:spacing w:after="180"/>
        <w:rPr>
          <w:rFonts w:cs="Arial"/>
          <w:bCs/>
          <w:color w:val="FF0000"/>
          <w:sz w:val="36"/>
          <w:szCs w:val="36"/>
        </w:rPr>
      </w:pPr>
      <w:r w:rsidRPr="00571E3D">
        <w:rPr>
          <w:rFonts w:cs="Arial"/>
          <w:bCs/>
          <w:sz w:val="36"/>
          <w:szCs w:val="36"/>
        </w:rPr>
        <w:t xml:space="preserve"> </w:t>
      </w:r>
    </w:p>
    <w:p w:rsidR="00573399" w:rsidRDefault="00573399" w:rsidP="00133250">
      <w:pPr>
        <w:spacing w:after="180"/>
        <w:jc w:val="center"/>
        <w:rPr>
          <w:rFonts w:cs="Arial"/>
          <w:bCs/>
          <w:sz w:val="36"/>
          <w:szCs w:val="36"/>
        </w:rPr>
      </w:pPr>
    </w:p>
    <w:p w:rsidR="00573399" w:rsidRDefault="00573399" w:rsidP="00133250">
      <w:pPr>
        <w:spacing w:after="180"/>
        <w:jc w:val="center"/>
        <w:rPr>
          <w:rFonts w:cs="Arial"/>
          <w:bCs/>
          <w:sz w:val="36"/>
          <w:szCs w:val="36"/>
        </w:rPr>
      </w:pPr>
    </w:p>
    <w:p w:rsidR="00573399" w:rsidRDefault="00573399" w:rsidP="00133250">
      <w:pPr>
        <w:spacing w:after="180"/>
        <w:jc w:val="center"/>
        <w:rPr>
          <w:rFonts w:cs="Arial"/>
          <w:bCs/>
          <w:sz w:val="36"/>
          <w:szCs w:val="36"/>
        </w:rPr>
      </w:pPr>
    </w:p>
    <w:p w:rsidR="00571E3D" w:rsidRDefault="008303CF" w:rsidP="00133250">
      <w:pPr>
        <w:spacing w:after="180"/>
        <w:jc w:val="center"/>
        <w:rPr>
          <w:rFonts w:cs="Arial"/>
          <w:bCs/>
          <w:sz w:val="36"/>
          <w:szCs w:val="36"/>
        </w:rPr>
      </w:pPr>
      <w:r w:rsidRPr="00571E3D">
        <w:rPr>
          <w:rFonts w:cs="Arial"/>
          <w:bCs/>
          <w:sz w:val="36"/>
          <w:szCs w:val="36"/>
        </w:rPr>
        <w:lastRenderedPageBreak/>
        <w:t>Board</w:t>
      </w:r>
      <w:r w:rsidR="00247F73" w:rsidRPr="00571E3D">
        <w:rPr>
          <w:rFonts w:cs="Arial"/>
          <w:bCs/>
          <w:sz w:val="36"/>
          <w:szCs w:val="36"/>
        </w:rPr>
        <w:t xml:space="preserve"> Performance Dashboard</w:t>
      </w:r>
      <w:r w:rsidR="00133250" w:rsidRPr="00571E3D">
        <w:rPr>
          <w:rFonts w:cs="Arial"/>
          <w:bCs/>
          <w:sz w:val="36"/>
          <w:szCs w:val="36"/>
        </w:rPr>
        <w:t xml:space="preserve"> – P</w:t>
      </w:r>
      <w:r w:rsidR="00D4735B" w:rsidRPr="00571E3D">
        <w:rPr>
          <w:rFonts w:cs="Arial"/>
          <w:bCs/>
          <w:sz w:val="36"/>
          <w:szCs w:val="36"/>
        </w:rPr>
        <w:t xml:space="preserve">art </w:t>
      </w:r>
      <w:r w:rsidR="00133250" w:rsidRPr="00571E3D">
        <w:rPr>
          <w:rFonts w:cs="Arial"/>
          <w:bCs/>
          <w:sz w:val="36"/>
          <w:szCs w:val="36"/>
        </w:rPr>
        <w:t>1</w:t>
      </w:r>
    </w:p>
    <w:p w:rsidR="00C62B5C" w:rsidRDefault="00462716" w:rsidP="00133250">
      <w:pPr>
        <w:spacing w:after="180"/>
        <w:jc w:val="center"/>
        <w:rPr>
          <w:rFonts w:cs="Arial"/>
          <w:bCs/>
          <w:sz w:val="36"/>
          <w:szCs w:val="36"/>
          <w:highlight w:val="yellow"/>
        </w:rPr>
      </w:pPr>
      <w:r w:rsidRPr="007A64A0">
        <w:rPr>
          <w:rFonts w:cs="Arial"/>
          <w:noProof/>
          <w:lang w:eastAsia="en-GB"/>
        </w:rPr>
        <w:drawing>
          <wp:inline distT="0" distB="0" distL="0" distR="0" wp14:anchorId="312AD4DD" wp14:editId="3B7861B8">
            <wp:extent cx="8891270" cy="11277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1270" cy="1127760"/>
                    </a:xfrm>
                    <a:prstGeom prst="rect">
                      <a:avLst/>
                    </a:prstGeom>
                    <a:noFill/>
                    <a:ln>
                      <a:noFill/>
                    </a:ln>
                  </pic:spPr>
                </pic:pic>
              </a:graphicData>
            </a:graphic>
          </wp:inline>
        </w:drawing>
      </w:r>
      <w:r w:rsidR="00573399" w:rsidRPr="00573399">
        <w:rPr>
          <w:noProof/>
          <w:lang w:eastAsia="en-GB"/>
        </w:rPr>
        <w:drawing>
          <wp:inline distT="0" distB="0" distL="0" distR="0">
            <wp:extent cx="8891270" cy="20825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1270" cy="2082542"/>
                    </a:xfrm>
                    <a:prstGeom prst="rect">
                      <a:avLst/>
                    </a:prstGeom>
                    <a:noFill/>
                    <a:ln>
                      <a:noFill/>
                    </a:ln>
                  </pic:spPr>
                </pic:pic>
              </a:graphicData>
            </a:graphic>
          </wp:inline>
        </w:drawing>
      </w:r>
    </w:p>
    <w:p w:rsidR="00E11866" w:rsidRDefault="00E11866" w:rsidP="00133250">
      <w:pPr>
        <w:spacing w:after="180"/>
        <w:jc w:val="center"/>
        <w:rPr>
          <w:rFonts w:cs="Arial"/>
          <w:bCs/>
          <w:sz w:val="36"/>
          <w:szCs w:val="36"/>
          <w:highlight w:val="yellow"/>
        </w:rPr>
      </w:pPr>
    </w:p>
    <w:p w:rsidR="00573399" w:rsidRDefault="00573399" w:rsidP="00133250">
      <w:pPr>
        <w:spacing w:after="180"/>
        <w:jc w:val="center"/>
        <w:rPr>
          <w:rFonts w:cs="Arial"/>
          <w:bCs/>
          <w:sz w:val="36"/>
          <w:szCs w:val="36"/>
          <w:highlight w:val="yellow"/>
        </w:rPr>
      </w:pPr>
    </w:p>
    <w:p w:rsidR="00573399" w:rsidRDefault="00573399" w:rsidP="00133250">
      <w:pPr>
        <w:spacing w:after="180"/>
        <w:jc w:val="center"/>
        <w:rPr>
          <w:rFonts w:cs="Arial"/>
          <w:bCs/>
          <w:sz w:val="36"/>
          <w:szCs w:val="36"/>
          <w:highlight w:val="yellow"/>
        </w:rPr>
      </w:pPr>
    </w:p>
    <w:p w:rsidR="002F0639" w:rsidRDefault="002F0639" w:rsidP="00133250">
      <w:pPr>
        <w:spacing w:after="180"/>
        <w:jc w:val="center"/>
        <w:rPr>
          <w:rFonts w:cs="Arial"/>
          <w:bCs/>
          <w:sz w:val="36"/>
          <w:szCs w:val="36"/>
          <w:highlight w:val="yellow"/>
        </w:rPr>
      </w:pPr>
    </w:p>
    <w:p w:rsidR="00E11866" w:rsidRDefault="00E11866" w:rsidP="00133250">
      <w:pPr>
        <w:spacing w:after="180"/>
        <w:jc w:val="center"/>
        <w:rPr>
          <w:rFonts w:cs="Arial"/>
          <w:bCs/>
          <w:sz w:val="36"/>
          <w:szCs w:val="36"/>
          <w:highlight w:val="yellow"/>
        </w:rPr>
      </w:pPr>
    </w:p>
    <w:p w:rsidR="004E3B21" w:rsidRPr="00D13B1B" w:rsidRDefault="004E3B21" w:rsidP="00133250">
      <w:pPr>
        <w:spacing w:after="180"/>
        <w:jc w:val="center"/>
        <w:rPr>
          <w:rFonts w:cs="Arial"/>
          <w:bCs/>
          <w:sz w:val="36"/>
          <w:szCs w:val="36"/>
          <w:highlight w:val="yellow"/>
        </w:rPr>
      </w:pPr>
    </w:p>
    <w:p w:rsidR="00133250" w:rsidRPr="005518EA" w:rsidRDefault="008303CF" w:rsidP="00133250">
      <w:pPr>
        <w:spacing w:after="180"/>
        <w:jc w:val="center"/>
        <w:rPr>
          <w:rFonts w:cs="Arial"/>
          <w:bCs/>
          <w:color w:val="FF0000"/>
          <w:sz w:val="36"/>
          <w:szCs w:val="36"/>
        </w:rPr>
      </w:pPr>
      <w:r w:rsidRPr="005518EA">
        <w:rPr>
          <w:rFonts w:cs="Arial"/>
          <w:bCs/>
          <w:sz w:val="36"/>
          <w:szCs w:val="36"/>
        </w:rPr>
        <w:lastRenderedPageBreak/>
        <w:t>Board</w:t>
      </w:r>
      <w:r w:rsidR="00133250" w:rsidRPr="005518EA">
        <w:rPr>
          <w:rFonts w:cs="Arial"/>
          <w:bCs/>
          <w:sz w:val="36"/>
          <w:szCs w:val="36"/>
        </w:rPr>
        <w:t xml:space="preserve"> Performance Dashboard – P</w:t>
      </w:r>
      <w:r w:rsidR="00D4735B" w:rsidRPr="005518EA">
        <w:rPr>
          <w:rFonts w:cs="Arial"/>
          <w:bCs/>
          <w:sz w:val="36"/>
          <w:szCs w:val="36"/>
        </w:rPr>
        <w:t xml:space="preserve">art </w:t>
      </w:r>
      <w:r w:rsidR="00133250" w:rsidRPr="005518EA">
        <w:rPr>
          <w:rFonts w:cs="Arial"/>
          <w:bCs/>
          <w:sz w:val="36"/>
          <w:szCs w:val="36"/>
        </w:rPr>
        <w:t>2</w:t>
      </w:r>
    </w:p>
    <w:p w:rsidR="00155FE4" w:rsidRDefault="000E66BE" w:rsidP="00A32056">
      <w:pPr>
        <w:spacing w:after="180"/>
        <w:rPr>
          <w:rFonts w:cs="Arial"/>
          <w:szCs w:val="22"/>
        </w:rPr>
      </w:pPr>
      <w:r w:rsidRPr="007A64A0">
        <w:rPr>
          <w:rFonts w:cs="Arial"/>
          <w:noProof/>
          <w:lang w:eastAsia="en-GB"/>
        </w:rPr>
        <w:drawing>
          <wp:inline distT="0" distB="0" distL="0" distR="0" wp14:anchorId="2C26976A" wp14:editId="5F8B787A">
            <wp:extent cx="8891270" cy="112785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1270" cy="1127852"/>
                    </a:xfrm>
                    <a:prstGeom prst="rect">
                      <a:avLst/>
                    </a:prstGeom>
                    <a:noFill/>
                    <a:ln>
                      <a:noFill/>
                    </a:ln>
                  </pic:spPr>
                </pic:pic>
              </a:graphicData>
            </a:graphic>
          </wp:inline>
        </w:drawing>
      </w:r>
      <w:r w:rsidR="00573399" w:rsidRPr="00573399">
        <w:rPr>
          <w:noProof/>
          <w:lang w:eastAsia="en-GB"/>
        </w:rPr>
        <w:drawing>
          <wp:inline distT="0" distB="0" distL="0" distR="0">
            <wp:extent cx="8891270" cy="31611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3161168"/>
                    </a:xfrm>
                    <a:prstGeom prst="rect">
                      <a:avLst/>
                    </a:prstGeom>
                    <a:noFill/>
                    <a:ln>
                      <a:noFill/>
                    </a:ln>
                  </pic:spPr>
                </pic:pic>
              </a:graphicData>
            </a:graphic>
          </wp:inline>
        </w:drawing>
      </w:r>
    </w:p>
    <w:p w:rsidR="00155FE4" w:rsidRDefault="00155FE4" w:rsidP="00A32056">
      <w:pPr>
        <w:spacing w:after="180"/>
        <w:rPr>
          <w:rFonts w:cs="Arial"/>
          <w:szCs w:val="22"/>
        </w:rPr>
      </w:pPr>
    </w:p>
    <w:p w:rsidR="00587A7C" w:rsidRDefault="00587A7C" w:rsidP="00A32056">
      <w:pPr>
        <w:spacing w:after="180"/>
        <w:rPr>
          <w:rFonts w:cs="Arial"/>
          <w:szCs w:val="22"/>
        </w:rPr>
        <w:sectPr w:rsidR="00587A7C" w:rsidSect="00551C36">
          <w:footerReference w:type="first" r:id="rId14"/>
          <w:pgSz w:w="16838" w:h="11906" w:orient="landscape" w:code="9"/>
          <w:pgMar w:top="1134" w:right="1418" w:bottom="1134" w:left="1418" w:header="709" w:footer="709" w:gutter="0"/>
          <w:cols w:space="708"/>
          <w:titlePg/>
          <w:docGrid w:linePitch="360"/>
        </w:sectPr>
      </w:pPr>
    </w:p>
    <w:p w:rsidR="00AA1592" w:rsidRDefault="00AA1592" w:rsidP="00D717CD">
      <w:pPr>
        <w:spacing w:after="180"/>
        <w:rPr>
          <w:rFonts w:cs="Arial"/>
          <w:color w:val="000000" w:themeColor="text1"/>
          <w:sz w:val="24"/>
          <w:szCs w:val="22"/>
        </w:rPr>
      </w:pPr>
      <w:r w:rsidRPr="00AA1592">
        <w:rPr>
          <w:rFonts w:cs="Arial"/>
          <w:color w:val="000000" w:themeColor="text1"/>
          <w:sz w:val="24"/>
          <w:szCs w:val="22"/>
        </w:rPr>
        <w:lastRenderedPageBreak/>
        <w:t xml:space="preserve">At each meeting, the Standing Committees of NHS Golden Jubilee consider targets and </w:t>
      </w:r>
      <w:r w:rsidR="006A3CF5">
        <w:rPr>
          <w:rFonts w:cs="Arial"/>
          <w:color w:val="000000" w:themeColor="text1"/>
          <w:sz w:val="24"/>
          <w:szCs w:val="22"/>
        </w:rPr>
        <w:t>s</w:t>
      </w:r>
      <w:r w:rsidRPr="00AA1592">
        <w:rPr>
          <w:rFonts w:cs="Arial"/>
          <w:color w:val="000000" w:themeColor="text1"/>
          <w:sz w:val="24"/>
          <w:szCs w:val="22"/>
        </w:rPr>
        <w:t>tandards specific to their area of remit</w:t>
      </w:r>
      <w:r w:rsidR="00B620AB">
        <w:rPr>
          <w:rFonts w:cs="Arial"/>
          <w:color w:val="000000" w:themeColor="text1"/>
          <w:sz w:val="24"/>
          <w:szCs w:val="22"/>
        </w:rPr>
        <w:t xml:space="preserve"> using the Integrated Performance Report (IPR)</w:t>
      </w:r>
      <w:r w:rsidRPr="00AA1592">
        <w:rPr>
          <w:rFonts w:cs="Arial"/>
          <w:color w:val="000000" w:themeColor="text1"/>
          <w:sz w:val="24"/>
          <w:szCs w:val="22"/>
        </w:rPr>
        <w:t>. Th</w:t>
      </w:r>
      <w:r w:rsidR="00B620AB">
        <w:rPr>
          <w:rFonts w:cs="Arial"/>
          <w:color w:val="000000" w:themeColor="text1"/>
          <w:sz w:val="24"/>
          <w:szCs w:val="22"/>
        </w:rPr>
        <w:t>ere is a</w:t>
      </w:r>
      <w:r w:rsidRPr="00AA1592">
        <w:rPr>
          <w:rFonts w:cs="Arial"/>
          <w:color w:val="000000" w:themeColor="text1"/>
          <w:sz w:val="24"/>
          <w:szCs w:val="22"/>
        </w:rPr>
        <w:t xml:space="preserve"> section of the IPR </w:t>
      </w:r>
      <w:r w:rsidR="00B620AB">
        <w:rPr>
          <w:rFonts w:cs="Arial"/>
          <w:color w:val="000000" w:themeColor="text1"/>
          <w:sz w:val="24"/>
          <w:szCs w:val="22"/>
        </w:rPr>
        <w:t xml:space="preserve">which </w:t>
      </w:r>
      <w:r w:rsidRPr="00AA1592">
        <w:rPr>
          <w:rFonts w:cs="Arial"/>
          <w:color w:val="000000" w:themeColor="text1"/>
          <w:sz w:val="24"/>
          <w:szCs w:val="22"/>
        </w:rPr>
        <w:t>provides a summary of performance Standards and targets identified as areas of note</w:t>
      </w:r>
      <w:r w:rsidR="00B620AB">
        <w:rPr>
          <w:rFonts w:cs="Arial"/>
          <w:color w:val="000000" w:themeColor="text1"/>
          <w:sz w:val="24"/>
          <w:szCs w:val="22"/>
        </w:rPr>
        <w:t xml:space="preserve"> which is reproduced below</w:t>
      </w:r>
      <w:r w:rsidRPr="00AA1592">
        <w:rPr>
          <w:rFonts w:cs="Arial"/>
          <w:color w:val="000000" w:themeColor="text1"/>
          <w:sz w:val="24"/>
          <w:szCs w:val="22"/>
        </w:rPr>
        <w:t>. Topics are grouped under the heading of the Committee responsible for scrutiny of performance.</w:t>
      </w:r>
    </w:p>
    <w:p w:rsidR="0077268D" w:rsidRPr="00AA1592" w:rsidRDefault="0077268D" w:rsidP="00D717CD">
      <w:pPr>
        <w:spacing w:after="180"/>
        <w:rPr>
          <w:rFonts w:cs="Arial"/>
          <w:color w:val="000000" w:themeColor="text1"/>
          <w:sz w:val="24"/>
          <w:szCs w:val="22"/>
        </w:rPr>
      </w:pPr>
    </w:p>
    <w:p w:rsidR="00025608" w:rsidRPr="00191F09" w:rsidRDefault="00025608" w:rsidP="00025608">
      <w:pPr>
        <w:pStyle w:val="Heading1"/>
      </w:pPr>
      <w:r w:rsidRPr="007A64A0">
        <w:t>Section B: 1 Clinical Governance</w:t>
      </w:r>
    </w:p>
    <w:p w:rsidR="00AA1592" w:rsidRPr="007F0372" w:rsidRDefault="00AA1592" w:rsidP="00AA1592">
      <w:pPr>
        <w:rPr>
          <w:sz w:val="24"/>
        </w:rPr>
      </w:pPr>
    </w:p>
    <w:tbl>
      <w:tblPr>
        <w:tblStyle w:val="TableGrid"/>
        <w:tblW w:w="9286" w:type="dxa"/>
        <w:tblLayout w:type="fixed"/>
        <w:tblLook w:val="04A0" w:firstRow="1" w:lastRow="0" w:firstColumn="1" w:lastColumn="0" w:noHBand="0" w:noVBand="1"/>
      </w:tblPr>
      <w:tblGrid>
        <w:gridCol w:w="2802"/>
        <w:gridCol w:w="567"/>
        <w:gridCol w:w="5917"/>
      </w:tblGrid>
      <w:tr w:rsidR="00573399" w:rsidRPr="00196599" w:rsidTr="00A80151">
        <w:trPr>
          <w:trHeight w:val="132"/>
        </w:trPr>
        <w:tc>
          <w:tcPr>
            <w:tcW w:w="9286" w:type="dxa"/>
            <w:gridSpan w:val="3"/>
            <w:shd w:val="clear" w:color="auto" w:fill="B8CCE4" w:themeFill="accent1" w:themeFillTint="66"/>
          </w:tcPr>
          <w:p w:rsidR="00573399" w:rsidRPr="00196599" w:rsidRDefault="00573399" w:rsidP="00A80151">
            <w:pPr>
              <w:jc w:val="both"/>
              <w:rPr>
                <w:rFonts w:cs="Arial"/>
                <w:b/>
                <w:color w:val="000000" w:themeColor="text1"/>
                <w:sz w:val="24"/>
                <w:szCs w:val="24"/>
                <w:highlight w:val="yellow"/>
              </w:rPr>
            </w:pPr>
            <w:r w:rsidRPr="00196599">
              <w:rPr>
                <w:rFonts w:cs="Arial"/>
                <w:b/>
                <w:color w:val="000000" w:themeColor="text1"/>
                <w:sz w:val="24"/>
                <w:szCs w:val="24"/>
              </w:rPr>
              <w:t>Clinical Governance</w:t>
            </w:r>
          </w:p>
        </w:tc>
      </w:tr>
      <w:tr w:rsidR="00573399" w:rsidRPr="00196599" w:rsidTr="00A80151">
        <w:trPr>
          <w:trHeight w:val="280"/>
        </w:trPr>
        <w:tc>
          <w:tcPr>
            <w:tcW w:w="2802" w:type="dxa"/>
          </w:tcPr>
          <w:p w:rsidR="00573399" w:rsidRPr="00196599" w:rsidRDefault="00573399" w:rsidP="00A80151">
            <w:pPr>
              <w:jc w:val="both"/>
              <w:rPr>
                <w:rFonts w:cs="Arial"/>
                <w:b/>
                <w:color w:val="000000" w:themeColor="text1"/>
                <w:sz w:val="24"/>
                <w:szCs w:val="24"/>
              </w:rPr>
            </w:pPr>
            <w:r w:rsidRPr="00196599">
              <w:rPr>
                <w:rFonts w:cs="Arial"/>
                <w:b/>
                <w:color w:val="000000" w:themeColor="text1"/>
                <w:sz w:val="24"/>
                <w:szCs w:val="24"/>
              </w:rPr>
              <w:t>KPI</w:t>
            </w:r>
          </w:p>
        </w:tc>
        <w:tc>
          <w:tcPr>
            <w:tcW w:w="567" w:type="dxa"/>
            <w:vAlign w:val="center"/>
          </w:tcPr>
          <w:p w:rsidR="00573399" w:rsidRPr="00196599" w:rsidRDefault="00573399" w:rsidP="00A80151">
            <w:pPr>
              <w:jc w:val="center"/>
              <w:rPr>
                <w:rFonts w:cs="Arial"/>
                <w:b/>
                <w:color w:val="000000" w:themeColor="text1"/>
                <w:sz w:val="24"/>
                <w:szCs w:val="24"/>
              </w:rPr>
            </w:pPr>
            <w:r w:rsidRPr="00196599">
              <w:rPr>
                <w:rFonts w:cs="Arial"/>
                <w:b/>
                <w:color w:val="000000" w:themeColor="text1"/>
                <w:sz w:val="14"/>
                <w:szCs w:val="24"/>
              </w:rPr>
              <w:t>RAG</w:t>
            </w:r>
          </w:p>
        </w:tc>
        <w:tc>
          <w:tcPr>
            <w:tcW w:w="5917" w:type="dxa"/>
          </w:tcPr>
          <w:p w:rsidR="00573399" w:rsidRPr="00196599" w:rsidRDefault="00573399" w:rsidP="00A80151">
            <w:pPr>
              <w:jc w:val="both"/>
              <w:rPr>
                <w:rFonts w:cs="Arial"/>
                <w:b/>
                <w:color w:val="000000" w:themeColor="text1"/>
                <w:sz w:val="24"/>
                <w:szCs w:val="24"/>
              </w:rPr>
            </w:pPr>
            <w:r w:rsidRPr="00196599">
              <w:rPr>
                <w:rFonts w:cs="Arial"/>
                <w:b/>
                <w:color w:val="000000" w:themeColor="text1"/>
                <w:sz w:val="24"/>
                <w:szCs w:val="24"/>
              </w:rPr>
              <w:t>Position:</w:t>
            </w:r>
          </w:p>
        </w:tc>
      </w:tr>
      <w:tr w:rsidR="00573399" w:rsidRPr="00196599" w:rsidTr="00A80151">
        <w:trPr>
          <w:trHeight w:val="551"/>
        </w:trPr>
        <w:tc>
          <w:tcPr>
            <w:tcW w:w="2802" w:type="dxa"/>
          </w:tcPr>
          <w:p w:rsidR="00573399" w:rsidRPr="00196599" w:rsidRDefault="00573399" w:rsidP="00A80151">
            <w:pPr>
              <w:rPr>
                <w:rFonts w:cs="Arial"/>
                <w:color w:val="000000" w:themeColor="text1"/>
                <w:sz w:val="24"/>
                <w:szCs w:val="24"/>
              </w:rPr>
            </w:pPr>
            <w:r w:rsidRPr="00196599">
              <w:rPr>
                <w:rFonts w:cs="Arial"/>
                <w:color w:val="000000" w:themeColor="text1"/>
                <w:sz w:val="24"/>
                <w:szCs w:val="24"/>
              </w:rPr>
              <w:t>Total complaints (Stage 1 and 2) as a percentage of activity</w:t>
            </w:r>
          </w:p>
        </w:tc>
        <w:tc>
          <w:tcPr>
            <w:tcW w:w="567" w:type="dxa"/>
            <w:shd w:val="clear" w:color="auto" w:fill="D6E3BC" w:themeFill="accent3" w:themeFillTint="66"/>
          </w:tcPr>
          <w:p w:rsidR="00573399" w:rsidRPr="00196599" w:rsidRDefault="00573399" w:rsidP="00A80151">
            <w:pPr>
              <w:rPr>
                <w:rFonts w:cs="Arial"/>
                <w:color w:val="000000" w:themeColor="text1"/>
                <w:sz w:val="24"/>
                <w:szCs w:val="24"/>
              </w:rPr>
            </w:pPr>
          </w:p>
        </w:tc>
        <w:tc>
          <w:tcPr>
            <w:tcW w:w="5917" w:type="dxa"/>
          </w:tcPr>
          <w:p w:rsidR="00573399" w:rsidRPr="00196599" w:rsidRDefault="00573399" w:rsidP="00A80151">
            <w:pPr>
              <w:rPr>
                <w:rFonts w:cs="Arial"/>
                <w:color w:val="000000" w:themeColor="text1"/>
                <w:sz w:val="24"/>
                <w:szCs w:val="24"/>
              </w:rPr>
            </w:pPr>
            <w:r w:rsidRPr="00196599">
              <w:rPr>
                <w:rFonts w:cs="Arial"/>
                <w:color w:val="000000" w:themeColor="text1"/>
                <w:sz w:val="24"/>
                <w:szCs w:val="24"/>
              </w:rPr>
              <w:t xml:space="preserve">In May 2020 there was one complaint reported which maintained the position for April 2020. </w:t>
            </w:r>
          </w:p>
        </w:tc>
      </w:tr>
      <w:tr w:rsidR="00573399" w:rsidRPr="00196599" w:rsidTr="00A80151">
        <w:tc>
          <w:tcPr>
            <w:tcW w:w="2802" w:type="dxa"/>
          </w:tcPr>
          <w:p w:rsidR="00573399" w:rsidRPr="00196599" w:rsidRDefault="00573399" w:rsidP="00A80151">
            <w:pPr>
              <w:rPr>
                <w:rFonts w:cs="Arial"/>
                <w:color w:val="000000" w:themeColor="text1"/>
                <w:sz w:val="24"/>
                <w:szCs w:val="24"/>
              </w:rPr>
            </w:pPr>
            <w:r w:rsidRPr="00196599">
              <w:rPr>
                <w:rFonts w:cs="Arial"/>
                <w:color w:val="000000" w:themeColor="text1"/>
                <w:sz w:val="24"/>
                <w:szCs w:val="24"/>
              </w:rPr>
              <w:t>Stage 1 complaints response time</w:t>
            </w:r>
          </w:p>
        </w:tc>
        <w:tc>
          <w:tcPr>
            <w:tcW w:w="567" w:type="dxa"/>
            <w:shd w:val="clear" w:color="auto" w:fill="E5B8B7" w:themeFill="accent2" w:themeFillTint="66"/>
          </w:tcPr>
          <w:p w:rsidR="00573399" w:rsidRPr="00196599" w:rsidRDefault="00573399" w:rsidP="00A80151">
            <w:pPr>
              <w:rPr>
                <w:rFonts w:cs="Arial"/>
                <w:color w:val="000000" w:themeColor="text1"/>
                <w:sz w:val="24"/>
                <w:szCs w:val="24"/>
              </w:rPr>
            </w:pPr>
          </w:p>
        </w:tc>
        <w:tc>
          <w:tcPr>
            <w:tcW w:w="5917" w:type="dxa"/>
          </w:tcPr>
          <w:p w:rsidR="00573399" w:rsidRPr="00196599" w:rsidRDefault="00573399" w:rsidP="00A80151">
            <w:pPr>
              <w:rPr>
                <w:rFonts w:cs="Arial"/>
                <w:color w:val="000000" w:themeColor="text1"/>
                <w:sz w:val="24"/>
                <w:szCs w:val="24"/>
              </w:rPr>
            </w:pPr>
            <w:r w:rsidRPr="00196599">
              <w:rPr>
                <w:rFonts w:cs="Arial"/>
                <w:color w:val="000000" w:themeColor="text1"/>
                <w:sz w:val="24"/>
                <w:szCs w:val="24"/>
              </w:rPr>
              <w:t>In May 2020 there was one Stage 1 complaints which did meet the 5 day response time threshold.</w:t>
            </w:r>
          </w:p>
        </w:tc>
      </w:tr>
      <w:tr w:rsidR="00573399" w:rsidRPr="00196599" w:rsidTr="00A80151">
        <w:trPr>
          <w:trHeight w:val="321"/>
        </w:trPr>
        <w:tc>
          <w:tcPr>
            <w:tcW w:w="2802" w:type="dxa"/>
          </w:tcPr>
          <w:p w:rsidR="00573399" w:rsidRPr="00196599" w:rsidRDefault="00573399" w:rsidP="00A80151">
            <w:pPr>
              <w:rPr>
                <w:rFonts w:cs="Arial"/>
                <w:color w:val="000000" w:themeColor="text1"/>
                <w:sz w:val="24"/>
                <w:szCs w:val="24"/>
              </w:rPr>
            </w:pPr>
            <w:r w:rsidRPr="00196599">
              <w:rPr>
                <w:rFonts w:cs="Arial"/>
                <w:color w:val="000000" w:themeColor="text1"/>
                <w:sz w:val="24"/>
                <w:szCs w:val="24"/>
              </w:rPr>
              <w:t xml:space="preserve">Stage 2 complaints response time </w:t>
            </w:r>
          </w:p>
        </w:tc>
        <w:tc>
          <w:tcPr>
            <w:tcW w:w="567" w:type="dxa"/>
            <w:shd w:val="clear" w:color="auto" w:fill="D6E3BC" w:themeFill="accent3" w:themeFillTint="66"/>
          </w:tcPr>
          <w:p w:rsidR="00573399" w:rsidRPr="00196599" w:rsidRDefault="00573399" w:rsidP="00A80151">
            <w:pPr>
              <w:rPr>
                <w:rFonts w:cs="Arial"/>
                <w:color w:val="000000" w:themeColor="text1"/>
                <w:sz w:val="24"/>
                <w:szCs w:val="24"/>
              </w:rPr>
            </w:pPr>
          </w:p>
        </w:tc>
        <w:tc>
          <w:tcPr>
            <w:tcW w:w="5917" w:type="dxa"/>
          </w:tcPr>
          <w:p w:rsidR="00573399" w:rsidRPr="00196599" w:rsidRDefault="00573399" w:rsidP="00A80151">
            <w:pPr>
              <w:rPr>
                <w:rFonts w:cs="Arial"/>
                <w:color w:val="000000" w:themeColor="text1"/>
                <w:sz w:val="24"/>
                <w:szCs w:val="24"/>
              </w:rPr>
            </w:pPr>
            <w:r w:rsidRPr="00196599">
              <w:rPr>
                <w:rFonts w:cs="Arial"/>
                <w:color w:val="000000" w:themeColor="text1"/>
                <w:sz w:val="24"/>
                <w:szCs w:val="24"/>
              </w:rPr>
              <w:t>In May 2020 there were zero Stage 2 complaints</w:t>
            </w:r>
          </w:p>
        </w:tc>
      </w:tr>
      <w:tr w:rsidR="00573399" w:rsidRPr="00196599" w:rsidTr="00A80151">
        <w:trPr>
          <w:trHeight w:val="321"/>
        </w:trPr>
        <w:tc>
          <w:tcPr>
            <w:tcW w:w="2802" w:type="dxa"/>
          </w:tcPr>
          <w:p w:rsidR="00573399" w:rsidRPr="00196599" w:rsidRDefault="00573399" w:rsidP="00A80151">
            <w:pPr>
              <w:rPr>
                <w:rFonts w:cs="Arial"/>
                <w:color w:val="000000" w:themeColor="text1"/>
                <w:sz w:val="24"/>
                <w:szCs w:val="24"/>
              </w:rPr>
            </w:pPr>
            <w:r w:rsidRPr="00196599">
              <w:rPr>
                <w:rFonts w:cs="Arial"/>
                <w:color w:val="000000" w:themeColor="text1"/>
                <w:sz w:val="24"/>
                <w:szCs w:val="24"/>
              </w:rPr>
              <w:t>Mortality</w:t>
            </w:r>
          </w:p>
        </w:tc>
        <w:tc>
          <w:tcPr>
            <w:tcW w:w="567" w:type="dxa"/>
            <w:shd w:val="clear" w:color="auto" w:fill="D6E3BC" w:themeFill="accent3" w:themeFillTint="66"/>
          </w:tcPr>
          <w:p w:rsidR="00573399" w:rsidRPr="00196599" w:rsidRDefault="00573399" w:rsidP="00A80151">
            <w:pPr>
              <w:rPr>
                <w:rFonts w:cs="Arial"/>
                <w:color w:val="000000" w:themeColor="text1"/>
                <w:sz w:val="24"/>
                <w:szCs w:val="24"/>
              </w:rPr>
            </w:pPr>
          </w:p>
        </w:tc>
        <w:tc>
          <w:tcPr>
            <w:tcW w:w="5917" w:type="dxa"/>
          </w:tcPr>
          <w:p w:rsidR="00573399" w:rsidRPr="00196599" w:rsidRDefault="00573399" w:rsidP="00A80151">
            <w:pPr>
              <w:rPr>
                <w:rFonts w:cs="Arial"/>
                <w:color w:val="000000" w:themeColor="text1"/>
                <w:sz w:val="24"/>
                <w:szCs w:val="24"/>
              </w:rPr>
            </w:pPr>
            <w:r w:rsidRPr="00196599">
              <w:rPr>
                <w:rFonts w:cs="Arial"/>
                <w:color w:val="000000" w:themeColor="text1"/>
                <w:sz w:val="24"/>
                <w:szCs w:val="24"/>
              </w:rPr>
              <w:t>The mortality figure for May 2020 was reported as 11. There were 16 deaths in April 2020.</w:t>
            </w:r>
          </w:p>
        </w:tc>
      </w:tr>
      <w:tr w:rsidR="00573399" w:rsidRPr="00196599" w:rsidTr="00A80151">
        <w:trPr>
          <w:trHeight w:val="321"/>
        </w:trPr>
        <w:tc>
          <w:tcPr>
            <w:tcW w:w="2802" w:type="dxa"/>
          </w:tcPr>
          <w:p w:rsidR="00573399" w:rsidRPr="00196599" w:rsidRDefault="00573399" w:rsidP="00A80151">
            <w:pPr>
              <w:rPr>
                <w:rFonts w:cs="Arial"/>
                <w:color w:val="000000" w:themeColor="text1"/>
                <w:sz w:val="24"/>
                <w:szCs w:val="24"/>
              </w:rPr>
            </w:pPr>
            <w:r w:rsidRPr="00196599">
              <w:rPr>
                <w:rFonts w:cs="Arial"/>
                <w:color w:val="000000" w:themeColor="text1"/>
                <w:sz w:val="24"/>
                <w:szCs w:val="24"/>
              </w:rPr>
              <w:t>Significant adverse events</w:t>
            </w:r>
          </w:p>
        </w:tc>
        <w:tc>
          <w:tcPr>
            <w:tcW w:w="567" w:type="dxa"/>
            <w:shd w:val="clear" w:color="auto" w:fill="D6E3BC" w:themeFill="accent3" w:themeFillTint="66"/>
          </w:tcPr>
          <w:p w:rsidR="00573399" w:rsidRPr="00196599" w:rsidRDefault="00573399" w:rsidP="00A80151">
            <w:pPr>
              <w:rPr>
                <w:rFonts w:cs="Arial"/>
                <w:color w:val="000000" w:themeColor="text1"/>
                <w:sz w:val="24"/>
                <w:szCs w:val="24"/>
              </w:rPr>
            </w:pPr>
          </w:p>
        </w:tc>
        <w:tc>
          <w:tcPr>
            <w:tcW w:w="5917" w:type="dxa"/>
          </w:tcPr>
          <w:p w:rsidR="00573399" w:rsidRPr="00196599" w:rsidRDefault="00573399" w:rsidP="00A80151">
            <w:pPr>
              <w:rPr>
                <w:rFonts w:cs="Arial"/>
                <w:color w:val="000000" w:themeColor="text1"/>
                <w:sz w:val="24"/>
                <w:szCs w:val="24"/>
              </w:rPr>
            </w:pPr>
            <w:r w:rsidRPr="00196599">
              <w:rPr>
                <w:rFonts w:cs="Arial"/>
                <w:color w:val="000000" w:themeColor="text1"/>
                <w:sz w:val="24"/>
                <w:szCs w:val="24"/>
              </w:rPr>
              <w:t>There was one significant adverse event reviews in May 2020.</w:t>
            </w:r>
          </w:p>
        </w:tc>
      </w:tr>
      <w:tr w:rsidR="00573399" w:rsidRPr="00E85C2E" w:rsidTr="00A80151">
        <w:trPr>
          <w:trHeight w:val="321"/>
        </w:trPr>
        <w:tc>
          <w:tcPr>
            <w:tcW w:w="2802" w:type="dxa"/>
          </w:tcPr>
          <w:p w:rsidR="00573399" w:rsidRPr="00E85C2E" w:rsidRDefault="00573399" w:rsidP="00A80151">
            <w:pPr>
              <w:rPr>
                <w:rFonts w:cs="Arial"/>
                <w:sz w:val="24"/>
                <w:szCs w:val="24"/>
              </w:rPr>
            </w:pPr>
            <w:r w:rsidRPr="00E85C2E">
              <w:rPr>
                <w:rFonts w:cs="Arial"/>
                <w:sz w:val="24"/>
                <w:szCs w:val="24"/>
              </w:rPr>
              <w:t>MRSA/MSSA cases</w:t>
            </w:r>
          </w:p>
          <w:p w:rsidR="00573399" w:rsidRPr="00E85C2E" w:rsidRDefault="00573399" w:rsidP="00A80151">
            <w:pPr>
              <w:rPr>
                <w:rFonts w:cs="Arial"/>
                <w:sz w:val="24"/>
                <w:szCs w:val="24"/>
              </w:rPr>
            </w:pPr>
          </w:p>
        </w:tc>
        <w:tc>
          <w:tcPr>
            <w:tcW w:w="567" w:type="dxa"/>
            <w:shd w:val="clear" w:color="auto" w:fill="E5B8B7" w:themeFill="accent2" w:themeFillTint="66"/>
          </w:tcPr>
          <w:p w:rsidR="00573399" w:rsidRPr="00E85C2E" w:rsidRDefault="00573399" w:rsidP="00A80151">
            <w:pPr>
              <w:rPr>
                <w:rFonts w:cs="Arial"/>
                <w:sz w:val="24"/>
                <w:szCs w:val="24"/>
              </w:rPr>
            </w:pPr>
          </w:p>
        </w:tc>
        <w:tc>
          <w:tcPr>
            <w:tcW w:w="5917" w:type="dxa"/>
          </w:tcPr>
          <w:p w:rsidR="00573399" w:rsidRPr="00E85C2E" w:rsidRDefault="00573399" w:rsidP="00A80151">
            <w:pPr>
              <w:rPr>
                <w:rFonts w:cs="Arial"/>
                <w:sz w:val="24"/>
                <w:szCs w:val="24"/>
              </w:rPr>
            </w:pPr>
            <w:r w:rsidRPr="00E85C2E">
              <w:rPr>
                <w:rFonts w:cs="Arial"/>
                <w:sz w:val="24"/>
                <w:szCs w:val="24"/>
              </w:rPr>
              <w:t xml:space="preserve">There were two instances of Staphylococcus aureus Bacteraemia (SAB) reported in May 2020. </w:t>
            </w:r>
          </w:p>
        </w:tc>
      </w:tr>
      <w:tr w:rsidR="00573399" w:rsidRPr="00E85C2E" w:rsidTr="00A80151">
        <w:trPr>
          <w:trHeight w:val="321"/>
        </w:trPr>
        <w:tc>
          <w:tcPr>
            <w:tcW w:w="2802" w:type="dxa"/>
          </w:tcPr>
          <w:p w:rsidR="00573399" w:rsidRPr="00E85C2E" w:rsidRDefault="00573399" w:rsidP="00A80151">
            <w:pPr>
              <w:rPr>
                <w:rFonts w:cs="Arial"/>
                <w:sz w:val="24"/>
                <w:szCs w:val="24"/>
              </w:rPr>
            </w:pPr>
            <w:r w:rsidRPr="00E85C2E">
              <w:rPr>
                <w:rFonts w:cs="Arial"/>
                <w:sz w:val="24"/>
                <w:szCs w:val="24"/>
              </w:rPr>
              <w:t>Clostridiodes Difficile</w:t>
            </w:r>
          </w:p>
        </w:tc>
        <w:tc>
          <w:tcPr>
            <w:tcW w:w="567" w:type="dxa"/>
            <w:shd w:val="clear" w:color="auto" w:fill="E5B8B7" w:themeFill="accent2" w:themeFillTint="66"/>
          </w:tcPr>
          <w:p w:rsidR="00573399" w:rsidRPr="00E85C2E" w:rsidRDefault="00573399" w:rsidP="00A80151">
            <w:pPr>
              <w:rPr>
                <w:rFonts w:cs="Arial"/>
                <w:sz w:val="24"/>
                <w:szCs w:val="24"/>
              </w:rPr>
            </w:pPr>
          </w:p>
        </w:tc>
        <w:tc>
          <w:tcPr>
            <w:tcW w:w="5917" w:type="dxa"/>
          </w:tcPr>
          <w:p w:rsidR="00573399" w:rsidRPr="00E85C2E" w:rsidRDefault="00573399" w:rsidP="00A80151">
            <w:pPr>
              <w:rPr>
                <w:rFonts w:cs="Arial"/>
                <w:sz w:val="24"/>
                <w:szCs w:val="24"/>
              </w:rPr>
            </w:pPr>
            <w:r w:rsidRPr="00E85C2E">
              <w:rPr>
                <w:rFonts w:cs="Arial"/>
                <w:sz w:val="24"/>
                <w:szCs w:val="24"/>
              </w:rPr>
              <w:t xml:space="preserve">There was one Clostridiodes Difficile Infection (CDI) reported in May 2020. </w:t>
            </w:r>
          </w:p>
        </w:tc>
      </w:tr>
    </w:tbl>
    <w:p w:rsidR="00A33DAD" w:rsidRDefault="00A33DA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587A7C" w:rsidRDefault="00587A7C" w:rsidP="00BB2C7D">
      <w:pPr>
        <w:spacing w:after="180"/>
        <w:rPr>
          <w:rFonts w:cs="Arial"/>
          <w:b/>
          <w:color w:val="000000" w:themeColor="text1"/>
          <w:sz w:val="28"/>
          <w:szCs w:val="28"/>
        </w:rPr>
      </w:pPr>
    </w:p>
    <w:p w:rsidR="00587A7C" w:rsidRDefault="00587A7C" w:rsidP="00BB2C7D">
      <w:pPr>
        <w:spacing w:after="180"/>
        <w:rPr>
          <w:rFonts w:cs="Arial"/>
          <w:b/>
          <w:color w:val="000000" w:themeColor="text1"/>
          <w:sz w:val="28"/>
          <w:szCs w:val="28"/>
        </w:rPr>
      </w:pPr>
    </w:p>
    <w:p w:rsidR="00CE50E8" w:rsidRPr="00767853" w:rsidRDefault="00CE50E8" w:rsidP="00CE50E8">
      <w:pPr>
        <w:spacing w:after="180"/>
        <w:jc w:val="both"/>
        <w:rPr>
          <w:b/>
          <w:sz w:val="28"/>
          <w:szCs w:val="28"/>
        </w:rPr>
      </w:pPr>
      <w:r>
        <w:rPr>
          <w:b/>
          <w:sz w:val="28"/>
          <w:szCs w:val="28"/>
        </w:rPr>
        <w:lastRenderedPageBreak/>
        <w:t xml:space="preserve">Clinical Governance </w:t>
      </w:r>
      <w:r w:rsidRPr="00767853">
        <w:rPr>
          <w:b/>
          <w:sz w:val="28"/>
          <w:szCs w:val="28"/>
        </w:rPr>
        <w:t>Executive Summary</w:t>
      </w:r>
    </w:p>
    <w:p w:rsidR="00573399" w:rsidRDefault="00573399" w:rsidP="00573399">
      <w:r>
        <w:t>GJNH</w:t>
      </w:r>
      <w:r w:rsidRPr="005175FF">
        <w:t xml:space="preserve"> had one stage 1 and no stage 2 complaints during May; the one stage 2 in April was responded to on day 24; sign off for complaints is still challenging at present but improving.  There were 4 events reviewed as potential SAE Reviews during May.  </w:t>
      </w:r>
    </w:p>
    <w:p w:rsidR="00573399" w:rsidRDefault="00573399" w:rsidP="00573399">
      <w:r w:rsidRPr="005175FF">
        <w:t xml:space="preserve">Of these two have been reviewed and are not progressing for SAER and two have had Level 1 reviews commissioned.  </w:t>
      </w:r>
    </w:p>
    <w:p w:rsidR="00573399" w:rsidRDefault="00573399" w:rsidP="00573399">
      <w:r w:rsidRPr="005175FF">
        <w:t xml:space="preserve">Both relate to deaths and one was identified from an M&amp;M review of cardiology deaths during April.  </w:t>
      </w:r>
    </w:p>
    <w:p w:rsidR="00587A7C" w:rsidRDefault="00587A7C" w:rsidP="00573399">
      <w:pPr>
        <w:shd w:val="clear" w:color="auto" w:fill="FFFFFF" w:themeFill="background1"/>
        <w:spacing w:after="200" w:line="276" w:lineRule="auto"/>
        <w:rPr>
          <w:rFonts w:cs="Arial"/>
          <w:b/>
          <w:sz w:val="24"/>
          <w:szCs w:val="24"/>
        </w:rPr>
      </w:pPr>
    </w:p>
    <w:p w:rsidR="00573399" w:rsidRPr="00573399" w:rsidRDefault="00573399" w:rsidP="00573399">
      <w:pPr>
        <w:shd w:val="clear" w:color="auto" w:fill="FFFFFF" w:themeFill="background1"/>
        <w:tabs>
          <w:tab w:val="left" w:pos="1418"/>
        </w:tabs>
        <w:spacing w:after="120"/>
        <w:jc w:val="both"/>
        <w:rPr>
          <w:rFonts w:cs="Arial"/>
          <w:b/>
          <w:u w:val="single"/>
        </w:rPr>
      </w:pPr>
      <w:r w:rsidRPr="00573399">
        <w:rPr>
          <w:rFonts w:cs="Arial"/>
          <w:b/>
          <w:u w:val="single"/>
        </w:rPr>
        <w:t xml:space="preserve">Key Healthcare Associated Infection Headlines </w:t>
      </w:r>
    </w:p>
    <w:p w:rsidR="00573399" w:rsidRPr="00573399" w:rsidRDefault="00573399" w:rsidP="00573399">
      <w:pPr>
        <w:shd w:val="clear" w:color="auto" w:fill="FFFFFF" w:themeFill="background1"/>
        <w:tabs>
          <w:tab w:val="left" w:pos="1418"/>
        </w:tabs>
        <w:spacing w:after="120"/>
        <w:jc w:val="both"/>
        <w:rPr>
          <w:rFonts w:cs="Arial"/>
          <w:b/>
          <w:sz w:val="20"/>
          <w:u w:val="single"/>
        </w:rPr>
      </w:pPr>
    </w:p>
    <w:p w:rsidR="00573399" w:rsidRPr="00573399" w:rsidRDefault="00573399" w:rsidP="00573399">
      <w:pPr>
        <w:pStyle w:val="ListParagraph"/>
        <w:numPr>
          <w:ilvl w:val="0"/>
          <w:numId w:val="13"/>
        </w:numPr>
        <w:spacing w:after="100" w:afterAutospacing="1"/>
        <w:contextualSpacing/>
        <w:jc w:val="both"/>
        <w:rPr>
          <w:rFonts w:cs="Arial"/>
          <w:sz w:val="22"/>
          <w:szCs w:val="22"/>
        </w:rPr>
      </w:pPr>
      <w:r w:rsidRPr="00573399">
        <w:rPr>
          <w:rFonts w:cs="Arial"/>
          <w:i/>
          <w:iCs/>
          <w:sz w:val="22"/>
          <w:szCs w:val="22"/>
        </w:rPr>
        <w:t>Staphylococcus aureus</w:t>
      </w:r>
      <w:r w:rsidRPr="00573399">
        <w:rPr>
          <w:rFonts w:cs="Arial"/>
          <w:sz w:val="22"/>
          <w:szCs w:val="22"/>
        </w:rPr>
        <w:t xml:space="preserve"> Bacteraemia- 2 SAB to report in May 2020. Source probable IABP and PVC. As per CE Letter 25/03/2020 Enhanced SAB surveillance has been paused until further notice. However, given these recent SAB the PCIT will resume this in June.</w:t>
      </w:r>
    </w:p>
    <w:p w:rsidR="00573399" w:rsidRPr="00573399" w:rsidRDefault="00573399" w:rsidP="00573399">
      <w:pPr>
        <w:pStyle w:val="ListParagraph"/>
        <w:shd w:val="clear" w:color="auto" w:fill="FFFFFF" w:themeFill="background1"/>
        <w:rPr>
          <w:rFonts w:cs="Arial"/>
          <w:sz w:val="22"/>
          <w:szCs w:val="22"/>
        </w:rPr>
      </w:pPr>
      <w:r w:rsidRPr="00573399">
        <w:rPr>
          <w:rFonts w:cs="Arial"/>
          <w:sz w:val="22"/>
          <w:szCs w:val="22"/>
        </w:rPr>
        <w:t xml:space="preserve"> </w:t>
      </w:r>
    </w:p>
    <w:p w:rsidR="00573399" w:rsidRPr="00573399" w:rsidRDefault="00573399" w:rsidP="00573399">
      <w:pPr>
        <w:pStyle w:val="ListParagraph"/>
        <w:numPr>
          <w:ilvl w:val="0"/>
          <w:numId w:val="13"/>
        </w:numPr>
        <w:shd w:val="clear" w:color="auto" w:fill="FFFFFF" w:themeFill="background1"/>
        <w:contextualSpacing/>
        <w:rPr>
          <w:rFonts w:cs="Arial"/>
          <w:sz w:val="22"/>
          <w:szCs w:val="22"/>
        </w:rPr>
      </w:pPr>
      <w:r w:rsidRPr="00573399">
        <w:rPr>
          <w:rFonts w:cs="Arial"/>
          <w:i/>
          <w:sz w:val="22"/>
          <w:szCs w:val="22"/>
        </w:rPr>
        <w:t>Clostridioides difficile</w:t>
      </w:r>
      <w:r w:rsidRPr="00573399">
        <w:rPr>
          <w:rFonts w:cs="Arial"/>
          <w:sz w:val="22"/>
          <w:szCs w:val="22"/>
        </w:rPr>
        <w:t xml:space="preserve"> infection (previously known as </w:t>
      </w:r>
      <w:r w:rsidRPr="00573399">
        <w:rPr>
          <w:rFonts w:cs="Arial"/>
          <w:i/>
          <w:sz w:val="22"/>
          <w:szCs w:val="22"/>
        </w:rPr>
        <w:t>Clostridium difficile</w:t>
      </w:r>
      <w:r w:rsidRPr="00573399">
        <w:rPr>
          <w:rFonts w:cs="Arial"/>
          <w:sz w:val="22"/>
          <w:szCs w:val="22"/>
        </w:rPr>
        <w:t>)- 1 CDI to report in May 2020. No patient crossover noted.</w:t>
      </w:r>
    </w:p>
    <w:p w:rsidR="00573399" w:rsidRPr="00573399" w:rsidRDefault="00573399" w:rsidP="00573399">
      <w:pPr>
        <w:shd w:val="clear" w:color="auto" w:fill="FFFFFF" w:themeFill="background1"/>
        <w:rPr>
          <w:rFonts w:cs="Arial"/>
          <w:szCs w:val="22"/>
        </w:rPr>
      </w:pPr>
    </w:p>
    <w:p w:rsidR="00573399" w:rsidRPr="00573399" w:rsidRDefault="00573399" w:rsidP="00573399">
      <w:pPr>
        <w:pStyle w:val="NoSpacing"/>
        <w:numPr>
          <w:ilvl w:val="0"/>
          <w:numId w:val="13"/>
        </w:numPr>
        <w:shd w:val="clear" w:color="auto" w:fill="FFFFFF" w:themeFill="background1"/>
        <w:rPr>
          <w:rFonts w:cs="Arial"/>
          <w:sz w:val="22"/>
          <w:szCs w:val="22"/>
        </w:rPr>
      </w:pPr>
      <w:r w:rsidRPr="00573399">
        <w:rPr>
          <w:rFonts w:cs="Arial"/>
          <w:sz w:val="22"/>
          <w:szCs w:val="22"/>
        </w:rPr>
        <w:t>Gram Negative/E.coli Bacteraemia (ECB)- No ECB to report in May.</w:t>
      </w:r>
    </w:p>
    <w:p w:rsidR="00573399" w:rsidRPr="00573399" w:rsidRDefault="00573399" w:rsidP="00573399">
      <w:pPr>
        <w:pStyle w:val="ListParagraph"/>
        <w:shd w:val="clear" w:color="auto" w:fill="FFFFFF" w:themeFill="background1"/>
        <w:rPr>
          <w:rFonts w:cs="Arial"/>
          <w:sz w:val="22"/>
          <w:szCs w:val="22"/>
        </w:rPr>
      </w:pPr>
    </w:p>
    <w:p w:rsidR="00573399" w:rsidRPr="00573399" w:rsidRDefault="00573399" w:rsidP="00573399">
      <w:pPr>
        <w:pStyle w:val="ListParagraph"/>
        <w:numPr>
          <w:ilvl w:val="0"/>
          <w:numId w:val="12"/>
        </w:numPr>
        <w:shd w:val="clear" w:color="auto" w:fill="FFFFFF" w:themeFill="background1"/>
        <w:contextualSpacing/>
        <w:rPr>
          <w:rFonts w:cs="Arial"/>
          <w:color w:val="000000" w:themeColor="text1"/>
          <w:sz w:val="22"/>
          <w:szCs w:val="22"/>
        </w:rPr>
      </w:pPr>
      <w:r w:rsidRPr="00573399">
        <w:rPr>
          <w:rFonts w:cs="Arial"/>
          <w:sz w:val="22"/>
          <w:szCs w:val="22"/>
        </w:rPr>
        <w:t>Hand Hygiene-</w:t>
      </w:r>
      <w:r w:rsidRPr="00573399">
        <w:rPr>
          <w:rFonts w:cs="Arial"/>
          <w:color w:val="000000" w:themeColor="text1"/>
          <w:sz w:val="22"/>
          <w:szCs w:val="22"/>
        </w:rPr>
        <w:t xml:space="preserve"> The bimonthly report from May demonstrates an overall compliance of 100% with hand hygiene opportunity and technique. Due to NHSGJNH COVID 19 reduced activity 10 areas submitted data as opposed to 15. Next update July.</w:t>
      </w:r>
    </w:p>
    <w:p w:rsidR="00573399" w:rsidRPr="00573399" w:rsidRDefault="00573399" w:rsidP="00573399">
      <w:pPr>
        <w:pStyle w:val="ListParagraph"/>
        <w:shd w:val="clear" w:color="auto" w:fill="FFFFFF" w:themeFill="background1"/>
        <w:rPr>
          <w:rFonts w:cs="Arial"/>
          <w:sz w:val="22"/>
          <w:szCs w:val="22"/>
        </w:rPr>
      </w:pPr>
    </w:p>
    <w:p w:rsidR="00573399" w:rsidRPr="00573399" w:rsidRDefault="00573399" w:rsidP="00573399">
      <w:pPr>
        <w:pStyle w:val="ListParagraph"/>
        <w:numPr>
          <w:ilvl w:val="0"/>
          <w:numId w:val="12"/>
        </w:numPr>
        <w:shd w:val="clear" w:color="auto" w:fill="FFFFFF" w:themeFill="background1"/>
        <w:contextualSpacing/>
        <w:rPr>
          <w:rFonts w:cs="Arial"/>
          <w:sz w:val="22"/>
          <w:szCs w:val="22"/>
        </w:rPr>
      </w:pPr>
      <w:r w:rsidRPr="00573399">
        <w:rPr>
          <w:rFonts w:cs="Arial"/>
          <w:sz w:val="22"/>
          <w:szCs w:val="22"/>
        </w:rPr>
        <w:t>Cleaning and the Healthcare Environment- Facilities Management Tool</w:t>
      </w:r>
    </w:p>
    <w:p w:rsidR="00573399" w:rsidRPr="00573399" w:rsidRDefault="00573399" w:rsidP="00573399">
      <w:pPr>
        <w:shd w:val="clear" w:color="auto" w:fill="FFFFFF" w:themeFill="background1"/>
        <w:rPr>
          <w:rFonts w:cs="Arial"/>
          <w:szCs w:val="22"/>
        </w:rPr>
      </w:pPr>
      <w:r w:rsidRPr="00573399">
        <w:rPr>
          <w:rFonts w:cs="Arial"/>
          <w:szCs w:val="22"/>
        </w:rPr>
        <w:t xml:space="preserve">            Housekeeping Compliance:  98.29%         Estates Compliance: 99.03%</w:t>
      </w:r>
    </w:p>
    <w:p w:rsidR="00573399" w:rsidRPr="00573399" w:rsidRDefault="00573399" w:rsidP="00573399">
      <w:pPr>
        <w:shd w:val="clear" w:color="auto" w:fill="FFFFFF" w:themeFill="background1"/>
        <w:ind w:left="709"/>
        <w:rPr>
          <w:rFonts w:cs="Arial"/>
          <w:szCs w:val="22"/>
        </w:rPr>
      </w:pPr>
    </w:p>
    <w:p w:rsidR="00573399" w:rsidRPr="00573399" w:rsidRDefault="00573399" w:rsidP="00573399">
      <w:pPr>
        <w:pStyle w:val="ListParagraph"/>
        <w:numPr>
          <w:ilvl w:val="0"/>
          <w:numId w:val="14"/>
        </w:numPr>
        <w:shd w:val="clear" w:color="auto" w:fill="FFFFFF" w:themeFill="background1"/>
        <w:spacing w:after="100" w:afterAutospacing="1"/>
        <w:contextualSpacing/>
        <w:jc w:val="both"/>
        <w:rPr>
          <w:rFonts w:cs="Arial"/>
          <w:sz w:val="22"/>
          <w:szCs w:val="22"/>
        </w:rPr>
      </w:pPr>
      <w:r w:rsidRPr="00573399">
        <w:rPr>
          <w:rFonts w:cs="Arial"/>
          <w:sz w:val="22"/>
          <w:szCs w:val="22"/>
        </w:rPr>
        <w:t xml:space="preserve">Surgical Site Infection- As per CE Letter 25/03/2020 SSI surveillance has been paused until further notice. </w:t>
      </w:r>
    </w:p>
    <w:p w:rsidR="00573399" w:rsidRPr="00573399" w:rsidRDefault="00573399" w:rsidP="00573399">
      <w:pPr>
        <w:pStyle w:val="ListParagraph"/>
        <w:shd w:val="clear" w:color="auto" w:fill="FFFFFF" w:themeFill="background1"/>
        <w:ind w:left="0"/>
        <w:rPr>
          <w:rFonts w:cs="Arial"/>
          <w:b/>
          <w:sz w:val="22"/>
          <w:szCs w:val="22"/>
        </w:rPr>
      </w:pPr>
    </w:p>
    <w:p w:rsidR="00573399" w:rsidRPr="00573399" w:rsidRDefault="00573399" w:rsidP="00573399">
      <w:pPr>
        <w:pStyle w:val="ListParagraph"/>
        <w:shd w:val="clear" w:color="auto" w:fill="FFFFFF" w:themeFill="background1"/>
        <w:ind w:left="0"/>
        <w:rPr>
          <w:rFonts w:cs="Arial"/>
          <w:sz w:val="22"/>
          <w:szCs w:val="22"/>
        </w:rPr>
      </w:pPr>
      <w:r w:rsidRPr="00573399">
        <w:rPr>
          <w:rFonts w:cs="Arial"/>
          <w:sz w:val="22"/>
          <w:szCs w:val="22"/>
        </w:rPr>
        <w:t>Other HAI Related Activity</w:t>
      </w:r>
    </w:p>
    <w:p w:rsidR="00573399" w:rsidRPr="00573399" w:rsidRDefault="00573399" w:rsidP="00573399">
      <w:pPr>
        <w:spacing w:before="100" w:beforeAutospacing="1" w:after="100" w:afterAutospacing="1"/>
        <w:rPr>
          <w:rFonts w:cs="Arial"/>
          <w:szCs w:val="22"/>
          <w:lang w:val="en"/>
        </w:rPr>
      </w:pPr>
      <w:r w:rsidRPr="00573399">
        <w:rPr>
          <w:rFonts w:cs="Arial"/>
          <w:szCs w:val="22"/>
          <w:lang w:val="en"/>
        </w:rPr>
        <w:t>A national multidisciplinary COVID 19 Nosocomial Review Group has been established, this group will focus on IPC indicators.</w:t>
      </w:r>
    </w:p>
    <w:p w:rsidR="00573399" w:rsidRPr="00573399" w:rsidRDefault="00573399" w:rsidP="00573399">
      <w:pPr>
        <w:shd w:val="clear" w:color="auto" w:fill="FFFFFF" w:themeFill="background1"/>
        <w:spacing w:before="100" w:beforeAutospacing="1" w:after="100" w:afterAutospacing="1"/>
        <w:rPr>
          <w:rFonts w:cs="Arial"/>
          <w:szCs w:val="22"/>
          <w:lang w:val="en"/>
        </w:rPr>
      </w:pPr>
      <w:r w:rsidRPr="00573399">
        <w:rPr>
          <w:rFonts w:cs="Arial"/>
          <w:szCs w:val="22"/>
          <w:lang w:val="en"/>
        </w:rPr>
        <w:t>The Centre of Excellence for Reducing risk of Infection in the HealthCare Built Environment have submitted their operational model to Scottish Governance and formal feedback awaited. The center will continue to learn lessons from new build.</w:t>
      </w:r>
    </w:p>
    <w:p w:rsidR="00573399" w:rsidRDefault="00573399" w:rsidP="00587A7C">
      <w:pPr>
        <w:spacing w:after="200" w:line="276" w:lineRule="auto"/>
        <w:rPr>
          <w:rFonts w:cs="Arial"/>
          <w:b/>
          <w:sz w:val="24"/>
          <w:szCs w:val="24"/>
        </w:rPr>
      </w:pPr>
    </w:p>
    <w:p w:rsidR="00100E12" w:rsidRPr="00587A7C" w:rsidRDefault="00100E12" w:rsidP="00587A7C">
      <w:pPr>
        <w:spacing w:after="200" w:line="276" w:lineRule="auto"/>
        <w:rPr>
          <w:rFonts w:cs="Arial"/>
          <w:b/>
          <w:sz w:val="24"/>
          <w:szCs w:val="24"/>
        </w:rPr>
      </w:pPr>
    </w:p>
    <w:p w:rsidR="0021543D" w:rsidRPr="00960D5A" w:rsidRDefault="0021543D" w:rsidP="00CE50E8">
      <w:pPr>
        <w:spacing w:after="200" w:line="276" w:lineRule="auto"/>
        <w:rPr>
          <w:rFonts w:cs="Arial"/>
          <w:b/>
          <w:sz w:val="28"/>
          <w:szCs w:val="24"/>
        </w:rPr>
      </w:pPr>
    </w:p>
    <w:p w:rsidR="0021543D" w:rsidRPr="00960D5A" w:rsidRDefault="0021543D" w:rsidP="00CE50E8">
      <w:pPr>
        <w:spacing w:after="200" w:line="276" w:lineRule="auto"/>
        <w:rPr>
          <w:rFonts w:cs="Arial"/>
          <w:b/>
          <w:sz w:val="28"/>
          <w:szCs w:val="24"/>
        </w:rPr>
      </w:pPr>
    </w:p>
    <w:p w:rsidR="00587A7C" w:rsidRDefault="00587A7C" w:rsidP="00CE50E8">
      <w:pPr>
        <w:spacing w:after="200" w:line="276" w:lineRule="auto"/>
        <w:rPr>
          <w:rFonts w:cs="Arial"/>
          <w:b/>
          <w:sz w:val="24"/>
          <w:szCs w:val="24"/>
        </w:rPr>
      </w:pPr>
    </w:p>
    <w:p w:rsidR="00587A7C" w:rsidRDefault="00587A7C" w:rsidP="00CE50E8">
      <w:pPr>
        <w:spacing w:after="200" w:line="276" w:lineRule="auto"/>
        <w:rPr>
          <w:rFonts w:cs="Arial"/>
          <w:b/>
          <w:sz w:val="24"/>
          <w:szCs w:val="24"/>
        </w:rPr>
      </w:pPr>
    </w:p>
    <w:p w:rsidR="00025608" w:rsidRPr="007B3705" w:rsidRDefault="00025608" w:rsidP="00025608">
      <w:pPr>
        <w:pStyle w:val="Heading1"/>
      </w:pPr>
      <w:r w:rsidRPr="007B3705">
        <w:lastRenderedPageBreak/>
        <w:t>Section B:2 Staff Governance</w:t>
      </w:r>
    </w:p>
    <w:tbl>
      <w:tblPr>
        <w:tblStyle w:val="TableGrid"/>
        <w:tblW w:w="9286" w:type="dxa"/>
        <w:tblLayout w:type="fixed"/>
        <w:tblLook w:val="04A0" w:firstRow="1" w:lastRow="0" w:firstColumn="1" w:lastColumn="0" w:noHBand="0" w:noVBand="1"/>
      </w:tblPr>
      <w:tblGrid>
        <w:gridCol w:w="2802"/>
        <w:gridCol w:w="567"/>
        <w:gridCol w:w="5917"/>
      </w:tblGrid>
      <w:tr w:rsidR="00100E12" w:rsidRPr="00675A7D" w:rsidTr="00A80151">
        <w:trPr>
          <w:trHeight w:val="225"/>
        </w:trPr>
        <w:tc>
          <w:tcPr>
            <w:tcW w:w="9286" w:type="dxa"/>
            <w:gridSpan w:val="3"/>
            <w:shd w:val="clear" w:color="auto" w:fill="B2A1C7" w:themeFill="accent4" w:themeFillTint="99"/>
          </w:tcPr>
          <w:p w:rsidR="00100E12" w:rsidRPr="00675A7D" w:rsidRDefault="00100E12" w:rsidP="00A80151">
            <w:pPr>
              <w:rPr>
                <w:rFonts w:cs="Arial"/>
                <w:color w:val="000000" w:themeColor="text1"/>
                <w:sz w:val="24"/>
                <w:szCs w:val="24"/>
                <w:highlight w:val="yellow"/>
              </w:rPr>
            </w:pPr>
            <w:r w:rsidRPr="00675A7D">
              <w:rPr>
                <w:rFonts w:cs="Arial"/>
                <w:b/>
                <w:color w:val="000000" w:themeColor="text1"/>
                <w:sz w:val="24"/>
                <w:szCs w:val="24"/>
              </w:rPr>
              <w:t>Staff Governance</w:t>
            </w:r>
          </w:p>
        </w:tc>
      </w:tr>
      <w:tr w:rsidR="00100E12" w:rsidRPr="00675A7D" w:rsidTr="00A80151">
        <w:trPr>
          <w:trHeight w:val="651"/>
        </w:trPr>
        <w:tc>
          <w:tcPr>
            <w:tcW w:w="2802" w:type="dxa"/>
            <w:shd w:val="clear" w:color="auto" w:fill="auto"/>
          </w:tcPr>
          <w:p w:rsidR="00100E12" w:rsidRPr="00675A7D" w:rsidRDefault="00100E12" w:rsidP="00A80151">
            <w:pPr>
              <w:rPr>
                <w:rFonts w:cs="Arial"/>
                <w:color w:val="000000" w:themeColor="text1"/>
                <w:sz w:val="24"/>
                <w:szCs w:val="24"/>
              </w:rPr>
            </w:pPr>
            <w:r w:rsidRPr="00675A7D">
              <w:rPr>
                <w:rFonts w:cs="Arial"/>
                <w:color w:val="000000" w:themeColor="text1"/>
                <w:sz w:val="24"/>
                <w:szCs w:val="24"/>
              </w:rPr>
              <w:t xml:space="preserve">Disciplinaries &amp; Grievances </w:t>
            </w:r>
          </w:p>
        </w:tc>
        <w:tc>
          <w:tcPr>
            <w:tcW w:w="567" w:type="dxa"/>
            <w:shd w:val="clear" w:color="auto" w:fill="D6E3BC" w:themeFill="accent3" w:themeFillTint="66"/>
          </w:tcPr>
          <w:p w:rsidR="00100E12" w:rsidRPr="00675A7D" w:rsidRDefault="00100E12" w:rsidP="00A80151">
            <w:pPr>
              <w:rPr>
                <w:rFonts w:cs="Arial"/>
                <w:color w:val="000000" w:themeColor="text1"/>
                <w:sz w:val="24"/>
                <w:szCs w:val="24"/>
                <w:highlight w:val="yellow"/>
              </w:rPr>
            </w:pPr>
          </w:p>
        </w:tc>
        <w:tc>
          <w:tcPr>
            <w:tcW w:w="5917" w:type="dxa"/>
          </w:tcPr>
          <w:p w:rsidR="00100E12" w:rsidRPr="00675A7D" w:rsidRDefault="00100E12" w:rsidP="00A80151">
            <w:pPr>
              <w:rPr>
                <w:rFonts w:cs="Arial"/>
                <w:color w:val="000000" w:themeColor="text1"/>
                <w:sz w:val="24"/>
                <w:szCs w:val="24"/>
              </w:rPr>
            </w:pPr>
            <w:r w:rsidRPr="00675A7D">
              <w:rPr>
                <w:rFonts w:cs="Arial"/>
                <w:color w:val="000000" w:themeColor="text1"/>
                <w:sz w:val="24"/>
                <w:szCs w:val="24"/>
              </w:rPr>
              <w:t xml:space="preserve">There were zero Disciplinary or Grievances reported in May 2020. </w:t>
            </w:r>
          </w:p>
        </w:tc>
      </w:tr>
      <w:tr w:rsidR="00100E12" w:rsidRPr="00675A7D" w:rsidTr="00A80151">
        <w:trPr>
          <w:trHeight w:val="651"/>
        </w:trPr>
        <w:tc>
          <w:tcPr>
            <w:tcW w:w="2802" w:type="dxa"/>
          </w:tcPr>
          <w:p w:rsidR="00100E12" w:rsidRPr="00675A7D" w:rsidRDefault="00100E12" w:rsidP="00A80151">
            <w:pPr>
              <w:rPr>
                <w:rFonts w:cs="Arial"/>
                <w:color w:val="000000" w:themeColor="text1"/>
                <w:sz w:val="24"/>
                <w:szCs w:val="24"/>
              </w:rPr>
            </w:pPr>
            <w:r w:rsidRPr="00675A7D">
              <w:rPr>
                <w:rFonts w:cs="Arial"/>
                <w:color w:val="000000" w:themeColor="text1"/>
                <w:sz w:val="24"/>
                <w:szCs w:val="24"/>
              </w:rPr>
              <w:t>Bullying and harassment</w:t>
            </w:r>
          </w:p>
        </w:tc>
        <w:tc>
          <w:tcPr>
            <w:tcW w:w="567" w:type="dxa"/>
            <w:shd w:val="clear" w:color="auto" w:fill="E5B8B7" w:themeFill="accent2" w:themeFillTint="66"/>
          </w:tcPr>
          <w:p w:rsidR="00100E12" w:rsidRPr="00675A7D" w:rsidRDefault="00100E12" w:rsidP="00A80151">
            <w:pPr>
              <w:rPr>
                <w:rFonts w:cs="Arial"/>
                <w:color w:val="000000" w:themeColor="text1"/>
                <w:sz w:val="24"/>
                <w:szCs w:val="24"/>
              </w:rPr>
            </w:pPr>
          </w:p>
        </w:tc>
        <w:tc>
          <w:tcPr>
            <w:tcW w:w="5917" w:type="dxa"/>
          </w:tcPr>
          <w:p w:rsidR="00100E12" w:rsidRPr="00675A7D" w:rsidRDefault="00100E12" w:rsidP="00A80151">
            <w:pPr>
              <w:rPr>
                <w:rFonts w:cs="Arial"/>
                <w:color w:val="000000" w:themeColor="text1"/>
                <w:sz w:val="24"/>
                <w:szCs w:val="24"/>
              </w:rPr>
            </w:pPr>
            <w:r w:rsidRPr="00675A7D">
              <w:rPr>
                <w:rFonts w:cs="Arial"/>
                <w:color w:val="000000" w:themeColor="text1"/>
                <w:sz w:val="24"/>
                <w:szCs w:val="24"/>
              </w:rPr>
              <w:t>There were 4 bullying cases reported in May 2020. Three Corporate, one HLD. The highest reported monthly position since reporting commenced.</w:t>
            </w:r>
          </w:p>
        </w:tc>
      </w:tr>
      <w:tr w:rsidR="00100E12" w:rsidRPr="00675A7D" w:rsidTr="00A80151">
        <w:trPr>
          <w:trHeight w:val="651"/>
        </w:trPr>
        <w:tc>
          <w:tcPr>
            <w:tcW w:w="2802" w:type="dxa"/>
          </w:tcPr>
          <w:p w:rsidR="00100E12" w:rsidRPr="00675A7D" w:rsidRDefault="00100E12" w:rsidP="00A80151">
            <w:pPr>
              <w:rPr>
                <w:rFonts w:cs="Arial"/>
                <w:color w:val="000000" w:themeColor="text1"/>
                <w:sz w:val="24"/>
                <w:szCs w:val="24"/>
              </w:rPr>
            </w:pPr>
            <w:r w:rsidRPr="00675A7D">
              <w:rPr>
                <w:rFonts w:cs="Arial"/>
                <w:color w:val="000000" w:themeColor="text1"/>
                <w:sz w:val="24"/>
                <w:szCs w:val="24"/>
              </w:rPr>
              <w:t>Local Sickness absence</w:t>
            </w:r>
          </w:p>
        </w:tc>
        <w:tc>
          <w:tcPr>
            <w:tcW w:w="567" w:type="dxa"/>
            <w:shd w:val="clear" w:color="auto" w:fill="E5B8B7" w:themeFill="accent2" w:themeFillTint="66"/>
          </w:tcPr>
          <w:p w:rsidR="00100E12" w:rsidRPr="00675A7D" w:rsidRDefault="00100E12" w:rsidP="00A80151">
            <w:pPr>
              <w:rPr>
                <w:rFonts w:cs="Arial"/>
                <w:color w:val="000000" w:themeColor="text1"/>
                <w:sz w:val="24"/>
                <w:szCs w:val="24"/>
              </w:rPr>
            </w:pPr>
          </w:p>
        </w:tc>
        <w:tc>
          <w:tcPr>
            <w:tcW w:w="5917" w:type="dxa"/>
          </w:tcPr>
          <w:p w:rsidR="00100E12" w:rsidRPr="00675A7D" w:rsidRDefault="00100E12" w:rsidP="00A80151">
            <w:pPr>
              <w:rPr>
                <w:rFonts w:cs="Arial"/>
                <w:color w:val="000000" w:themeColor="text1"/>
                <w:sz w:val="24"/>
                <w:szCs w:val="24"/>
              </w:rPr>
            </w:pPr>
            <w:r w:rsidRPr="00675A7D">
              <w:rPr>
                <w:rFonts w:cs="Arial"/>
                <w:color w:val="000000" w:themeColor="text1"/>
                <w:sz w:val="24"/>
                <w:szCs w:val="24"/>
              </w:rPr>
              <w:t xml:space="preserve">Sickness levels remained constant in May 2020 at 4.7%.  A 5.4% Special Leave – Covid related rate was also reported, a decrease of 1.7% from April 2020 </w:t>
            </w:r>
          </w:p>
        </w:tc>
      </w:tr>
      <w:tr w:rsidR="00100E12" w:rsidRPr="00793427" w:rsidTr="00A80151">
        <w:trPr>
          <w:trHeight w:val="707"/>
        </w:trPr>
        <w:tc>
          <w:tcPr>
            <w:tcW w:w="2802" w:type="dxa"/>
          </w:tcPr>
          <w:p w:rsidR="00100E12" w:rsidRPr="00793427" w:rsidRDefault="00100E12" w:rsidP="00A80151">
            <w:pPr>
              <w:rPr>
                <w:rFonts w:cs="Arial"/>
                <w:color w:val="000000" w:themeColor="text1"/>
                <w:sz w:val="24"/>
                <w:szCs w:val="24"/>
              </w:rPr>
            </w:pPr>
            <w:r w:rsidRPr="00793427">
              <w:rPr>
                <w:rFonts w:cs="Arial"/>
                <w:color w:val="000000" w:themeColor="text1"/>
                <w:sz w:val="24"/>
                <w:szCs w:val="24"/>
              </w:rPr>
              <w:t>Medical appraisal with completed interview and form 4</w:t>
            </w:r>
          </w:p>
        </w:tc>
        <w:tc>
          <w:tcPr>
            <w:tcW w:w="567" w:type="dxa"/>
            <w:shd w:val="clear" w:color="auto" w:fill="E5B8B7" w:themeFill="accent2" w:themeFillTint="66"/>
          </w:tcPr>
          <w:p w:rsidR="00100E12" w:rsidRPr="00793427" w:rsidRDefault="00100E12" w:rsidP="00A80151">
            <w:pPr>
              <w:rPr>
                <w:rFonts w:cs="Arial"/>
                <w:color w:val="000000" w:themeColor="text1"/>
                <w:sz w:val="24"/>
                <w:szCs w:val="24"/>
              </w:rPr>
            </w:pPr>
          </w:p>
        </w:tc>
        <w:tc>
          <w:tcPr>
            <w:tcW w:w="5917" w:type="dxa"/>
          </w:tcPr>
          <w:p w:rsidR="00100E12" w:rsidRPr="00793427" w:rsidRDefault="00100E12" w:rsidP="00A80151">
            <w:pPr>
              <w:rPr>
                <w:rFonts w:cs="Arial"/>
                <w:color w:val="000000" w:themeColor="text1"/>
                <w:sz w:val="24"/>
                <w:szCs w:val="24"/>
              </w:rPr>
            </w:pPr>
            <w:r w:rsidRPr="00793427">
              <w:rPr>
                <w:rFonts w:cs="Arial"/>
                <w:color w:val="000000" w:themeColor="text1"/>
                <w:sz w:val="24"/>
                <w:szCs w:val="24"/>
              </w:rPr>
              <w:t>Last reported position was end of February 2020 was 58.4% (73/125) against a target of 70%. Appraisals are currently suspended.</w:t>
            </w:r>
          </w:p>
        </w:tc>
      </w:tr>
      <w:tr w:rsidR="00100E12" w:rsidRPr="00793427" w:rsidTr="00A80151">
        <w:trPr>
          <w:trHeight w:val="651"/>
        </w:trPr>
        <w:tc>
          <w:tcPr>
            <w:tcW w:w="2802" w:type="dxa"/>
          </w:tcPr>
          <w:p w:rsidR="00100E12" w:rsidRPr="00793427" w:rsidRDefault="00100E12" w:rsidP="00A80151">
            <w:pPr>
              <w:rPr>
                <w:rFonts w:cs="Arial"/>
                <w:color w:val="000000" w:themeColor="text1"/>
                <w:sz w:val="24"/>
                <w:szCs w:val="24"/>
              </w:rPr>
            </w:pPr>
            <w:r w:rsidRPr="00793427">
              <w:rPr>
                <w:rFonts w:cs="Arial"/>
                <w:color w:val="000000" w:themeColor="text1"/>
                <w:sz w:val="24"/>
                <w:szCs w:val="24"/>
              </w:rPr>
              <w:t>TURAS Appraisal rates</w:t>
            </w:r>
          </w:p>
        </w:tc>
        <w:tc>
          <w:tcPr>
            <w:tcW w:w="567" w:type="dxa"/>
            <w:shd w:val="clear" w:color="auto" w:fill="E5B8B7" w:themeFill="accent2" w:themeFillTint="66"/>
          </w:tcPr>
          <w:p w:rsidR="00100E12" w:rsidRPr="00793427" w:rsidRDefault="00100E12" w:rsidP="00A80151">
            <w:pPr>
              <w:rPr>
                <w:rFonts w:cs="Arial"/>
                <w:color w:val="000000" w:themeColor="text1"/>
                <w:sz w:val="24"/>
                <w:szCs w:val="24"/>
              </w:rPr>
            </w:pPr>
          </w:p>
        </w:tc>
        <w:tc>
          <w:tcPr>
            <w:tcW w:w="5917" w:type="dxa"/>
          </w:tcPr>
          <w:p w:rsidR="00100E12" w:rsidRPr="00793427" w:rsidRDefault="00100E12" w:rsidP="00A80151">
            <w:pPr>
              <w:rPr>
                <w:rFonts w:cs="Arial"/>
                <w:color w:val="000000" w:themeColor="text1"/>
                <w:sz w:val="24"/>
                <w:szCs w:val="24"/>
              </w:rPr>
            </w:pPr>
            <w:r w:rsidRPr="00793427">
              <w:rPr>
                <w:rFonts w:cs="Arial"/>
                <w:color w:val="000000" w:themeColor="text1"/>
                <w:sz w:val="24"/>
                <w:szCs w:val="24"/>
              </w:rPr>
              <w:t xml:space="preserve">An updated position for </w:t>
            </w:r>
            <w:r>
              <w:rPr>
                <w:rFonts w:cs="Arial"/>
                <w:color w:val="000000" w:themeColor="text1"/>
                <w:sz w:val="24"/>
                <w:szCs w:val="24"/>
              </w:rPr>
              <w:t>May</w:t>
            </w:r>
            <w:r w:rsidRPr="00793427">
              <w:rPr>
                <w:rFonts w:cs="Arial"/>
                <w:color w:val="000000" w:themeColor="text1"/>
                <w:sz w:val="24"/>
                <w:szCs w:val="24"/>
              </w:rPr>
              <w:t xml:space="preserve"> 2020 reports the position at </w:t>
            </w:r>
            <w:r>
              <w:rPr>
                <w:rFonts w:cs="Arial"/>
                <w:color w:val="000000" w:themeColor="text1"/>
                <w:sz w:val="24"/>
                <w:szCs w:val="24"/>
              </w:rPr>
              <w:t>50%.</w:t>
            </w:r>
            <w:r w:rsidRPr="00793427">
              <w:rPr>
                <w:rFonts w:cs="Arial"/>
                <w:color w:val="000000" w:themeColor="text1"/>
                <w:sz w:val="24"/>
                <w:szCs w:val="24"/>
              </w:rPr>
              <w:t xml:space="preserve"> </w:t>
            </w:r>
          </w:p>
        </w:tc>
      </w:tr>
      <w:tr w:rsidR="00100E12" w:rsidRPr="00793427" w:rsidTr="00A80151">
        <w:trPr>
          <w:trHeight w:val="651"/>
        </w:trPr>
        <w:tc>
          <w:tcPr>
            <w:tcW w:w="2802" w:type="dxa"/>
          </w:tcPr>
          <w:p w:rsidR="00100E12" w:rsidRPr="00793427" w:rsidRDefault="00100E12" w:rsidP="00A80151">
            <w:pPr>
              <w:rPr>
                <w:rFonts w:cs="Arial"/>
                <w:color w:val="000000" w:themeColor="text1"/>
                <w:sz w:val="24"/>
                <w:szCs w:val="24"/>
                <w:highlight w:val="yellow"/>
              </w:rPr>
            </w:pPr>
            <w:r w:rsidRPr="00793427">
              <w:rPr>
                <w:rFonts w:cs="Arial"/>
                <w:color w:val="000000" w:themeColor="text1"/>
                <w:sz w:val="24"/>
                <w:szCs w:val="24"/>
              </w:rPr>
              <w:t>Job Planning: Elective Services</w:t>
            </w:r>
          </w:p>
        </w:tc>
        <w:tc>
          <w:tcPr>
            <w:tcW w:w="567" w:type="dxa"/>
            <w:shd w:val="clear" w:color="auto" w:fill="E5B8B7" w:themeFill="accent2" w:themeFillTint="66"/>
          </w:tcPr>
          <w:p w:rsidR="00100E12" w:rsidRPr="00793427" w:rsidRDefault="00100E12" w:rsidP="00A80151">
            <w:pPr>
              <w:rPr>
                <w:rFonts w:cs="Arial"/>
                <w:color w:val="000000" w:themeColor="text1"/>
                <w:sz w:val="24"/>
                <w:szCs w:val="24"/>
                <w:highlight w:val="yellow"/>
              </w:rPr>
            </w:pPr>
          </w:p>
        </w:tc>
        <w:tc>
          <w:tcPr>
            <w:tcW w:w="5917" w:type="dxa"/>
          </w:tcPr>
          <w:p w:rsidR="00100E12" w:rsidRPr="00793427" w:rsidRDefault="00100E12" w:rsidP="00A80151">
            <w:pPr>
              <w:rPr>
                <w:rFonts w:cs="Arial"/>
                <w:color w:val="000000" w:themeColor="text1"/>
                <w:sz w:val="24"/>
                <w:szCs w:val="24"/>
                <w:highlight w:val="yellow"/>
              </w:rPr>
            </w:pPr>
            <w:r w:rsidRPr="00793427">
              <w:rPr>
                <w:rFonts w:cs="Arial"/>
                <w:color w:val="000000" w:themeColor="text1"/>
                <w:sz w:val="24"/>
                <w:szCs w:val="24"/>
              </w:rPr>
              <w:t>Last reported position was 85.7% (60/70) of consultants having an approved job plan. Job planning is currently suspended.</w:t>
            </w:r>
          </w:p>
        </w:tc>
      </w:tr>
      <w:tr w:rsidR="00100E12" w:rsidRPr="00793427" w:rsidTr="00A80151">
        <w:trPr>
          <w:trHeight w:val="574"/>
        </w:trPr>
        <w:tc>
          <w:tcPr>
            <w:tcW w:w="2802" w:type="dxa"/>
          </w:tcPr>
          <w:p w:rsidR="00100E12" w:rsidRPr="00793427" w:rsidRDefault="00100E12" w:rsidP="00A80151">
            <w:pPr>
              <w:rPr>
                <w:rFonts w:cs="Arial"/>
                <w:color w:val="000000" w:themeColor="text1"/>
                <w:sz w:val="24"/>
                <w:szCs w:val="24"/>
              </w:rPr>
            </w:pPr>
            <w:r w:rsidRPr="00793427">
              <w:rPr>
                <w:rFonts w:cs="Arial"/>
                <w:color w:val="000000" w:themeColor="text1"/>
                <w:sz w:val="24"/>
                <w:szCs w:val="24"/>
              </w:rPr>
              <w:t>Job Planning: Heart, Lung and Diagnostic</w:t>
            </w:r>
          </w:p>
        </w:tc>
        <w:tc>
          <w:tcPr>
            <w:tcW w:w="567" w:type="dxa"/>
            <w:shd w:val="clear" w:color="auto" w:fill="E5B8B7" w:themeFill="accent2" w:themeFillTint="66"/>
          </w:tcPr>
          <w:p w:rsidR="00100E12" w:rsidRPr="00793427" w:rsidRDefault="00100E12" w:rsidP="00A80151">
            <w:pPr>
              <w:rPr>
                <w:rFonts w:cs="Arial"/>
                <w:color w:val="000000" w:themeColor="text1"/>
                <w:sz w:val="24"/>
                <w:szCs w:val="24"/>
              </w:rPr>
            </w:pPr>
          </w:p>
        </w:tc>
        <w:tc>
          <w:tcPr>
            <w:tcW w:w="5917" w:type="dxa"/>
          </w:tcPr>
          <w:p w:rsidR="00100E12" w:rsidRPr="00793427" w:rsidRDefault="00100E12" w:rsidP="00A80151">
            <w:pPr>
              <w:rPr>
                <w:rFonts w:cs="Arial"/>
                <w:color w:val="000000" w:themeColor="text1"/>
                <w:sz w:val="24"/>
                <w:szCs w:val="24"/>
              </w:rPr>
            </w:pPr>
            <w:r w:rsidRPr="00793427">
              <w:rPr>
                <w:rFonts w:cs="Arial"/>
                <w:color w:val="000000" w:themeColor="text1"/>
                <w:sz w:val="24"/>
                <w:szCs w:val="24"/>
              </w:rPr>
              <w:t>Last reported position was 80% (12/15) Job planning is currently suspended.</w:t>
            </w:r>
          </w:p>
        </w:tc>
      </w:tr>
    </w:tbl>
    <w:p w:rsidR="007F0372" w:rsidRPr="007F0372" w:rsidRDefault="007F0372" w:rsidP="00AA1592">
      <w:pPr>
        <w:rPr>
          <w:sz w:val="24"/>
        </w:rPr>
      </w:pPr>
    </w:p>
    <w:p w:rsidR="00AA1592" w:rsidRDefault="00AA1592"/>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21543D" w:rsidRDefault="0021543D"/>
    <w:p w:rsidR="0021543D" w:rsidRDefault="0021543D"/>
    <w:p w:rsidR="00960D5A" w:rsidRDefault="00960D5A"/>
    <w:p w:rsidR="00100E12" w:rsidRDefault="00100E12"/>
    <w:p w:rsidR="00960D5A" w:rsidRDefault="00960D5A"/>
    <w:p w:rsidR="00CE50E8" w:rsidRDefault="00CE50E8"/>
    <w:p w:rsidR="00CE50E8" w:rsidRPr="00BB2C7D" w:rsidRDefault="00CE50E8" w:rsidP="00CE50E8">
      <w:pPr>
        <w:spacing w:after="180"/>
        <w:rPr>
          <w:rFonts w:cs="Arial"/>
          <w:b/>
          <w:color w:val="000000" w:themeColor="text1"/>
          <w:sz w:val="28"/>
          <w:szCs w:val="28"/>
        </w:rPr>
      </w:pPr>
      <w:r>
        <w:rPr>
          <w:rFonts w:cs="Arial"/>
          <w:b/>
          <w:color w:val="000000" w:themeColor="text1"/>
          <w:sz w:val="28"/>
          <w:szCs w:val="28"/>
        </w:rPr>
        <w:lastRenderedPageBreak/>
        <w:t xml:space="preserve">Staff Governance </w:t>
      </w:r>
      <w:r w:rsidRPr="00BB2C7D">
        <w:rPr>
          <w:rFonts w:cs="Arial"/>
          <w:b/>
          <w:color w:val="000000" w:themeColor="text1"/>
          <w:sz w:val="28"/>
          <w:szCs w:val="28"/>
        </w:rPr>
        <w:t>Executive Summary</w:t>
      </w:r>
    </w:p>
    <w:p w:rsidR="00CE50E8" w:rsidRPr="0064786A" w:rsidRDefault="00CE50E8" w:rsidP="00CE50E8">
      <w:pPr>
        <w:ind w:right="2"/>
        <w:rPr>
          <w:rFonts w:cs="Arial"/>
        </w:rPr>
      </w:pPr>
    </w:p>
    <w:p w:rsidR="00100E12" w:rsidRPr="004E3E7F" w:rsidRDefault="00100E12" w:rsidP="00100E12">
      <w:pPr>
        <w:ind w:right="2"/>
        <w:rPr>
          <w:rFonts w:cs="Arial"/>
          <w:b/>
          <w:szCs w:val="22"/>
        </w:rPr>
      </w:pPr>
      <w:r w:rsidRPr="004E3E7F">
        <w:rPr>
          <w:rFonts w:cs="Arial"/>
          <w:b/>
          <w:szCs w:val="22"/>
        </w:rPr>
        <w:t>Staff Governance Executive Summary May 2020</w:t>
      </w:r>
    </w:p>
    <w:p w:rsidR="00100E12" w:rsidRPr="004E3E7F" w:rsidRDefault="00100E12" w:rsidP="00100E12">
      <w:pPr>
        <w:ind w:right="2"/>
        <w:rPr>
          <w:rFonts w:cs="Arial"/>
          <w:szCs w:val="22"/>
        </w:rPr>
      </w:pPr>
    </w:p>
    <w:p w:rsidR="00100E12" w:rsidRPr="004E3E7F" w:rsidRDefault="00100E12" w:rsidP="00100E12">
      <w:pPr>
        <w:tabs>
          <w:tab w:val="left" w:pos="576"/>
        </w:tabs>
        <w:ind w:right="2"/>
        <w:textAlignment w:val="baseline"/>
        <w:rPr>
          <w:rFonts w:cs="Arial"/>
          <w:color w:val="000000"/>
          <w:szCs w:val="22"/>
        </w:rPr>
      </w:pPr>
      <w:r w:rsidRPr="004E3E7F">
        <w:rPr>
          <w:rFonts w:cs="Arial"/>
          <w:color w:val="000000"/>
          <w:szCs w:val="22"/>
        </w:rPr>
        <w:t>Within the Staff Governance section of the IPR we report on the following:</w:t>
      </w:r>
    </w:p>
    <w:p w:rsidR="00100E12" w:rsidRPr="004E3E7F" w:rsidRDefault="00100E12" w:rsidP="00100E12">
      <w:pPr>
        <w:numPr>
          <w:ilvl w:val="0"/>
          <w:numId w:val="4"/>
        </w:numPr>
        <w:tabs>
          <w:tab w:val="left" w:pos="576"/>
        </w:tabs>
        <w:ind w:right="2"/>
        <w:textAlignment w:val="baseline"/>
        <w:rPr>
          <w:rFonts w:cs="Arial"/>
          <w:color w:val="000000"/>
          <w:szCs w:val="22"/>
        </w:rPr>
      </w:pPr>
      <w:r w:rsidRPr="004E3E7F">
        <w:rPr>
          <w:rFonts w:cs="Arial"/>
          <w:color w:val="000000"/>
          <w:szCs w:val="22"/>
        </w:rPr>
        <w:t>sickness absence rates;</w:t>
      </w:r>
    </w:p>
    <w:p w:rsidR="00100E12" w:rsidRPr="004E3E7F" w:rsidRDefault="00100E12" w:rsidP="00100E12">
      <w:pPr>
        <w:numPr>
          <w:ilvl w:val="0"/>
          <w:numId w:val="4"/>
        </w:numPr>
        <w:tabs>
          <w:tab w:val="left" w:pos="576"/>
        </w:tabs>
        <w:ind w:right="2"/>
        <w:textAlignment w:val="baseline"/>
        <w:rPr>
          <w:rFonts w:cs="Arial"/>
          <w:color w:val="000000"/>
          <w:szCs w:val="22"/>
        </w:rPr>
      </w:pPr>
      <w:r w:rsidRPr="004E3E7F">
        <w:rPr>
          <w:rFonts w:cs="Arial"/>
          <w:color w:val="000000"/>
          <w:szCs w:val="22"/>
        </w:rPr>
        <w:t>appraisal rates for those under Agenda for Change and medical pay scales; and</w:t>
      </w:r>
    </w:p>
    <w:p w:rsidR="00100E12" w:rsidRPr="004E3E7F" w:rsidRDefault="00100E12" w:rsidP="00100E12">
      <w:pPr>
        <w:numPr>
          <w:ilvl w:val="0"/>
          <w:numId w:val="4"/>
        </w:numPr>
        <w:tabs>
          <w:tab w:val="left" w:pos="576"/>
        </w:tabs>
        <w:ind w:right="2"/>
        <w:textAlignment w:val="baseline"/>
        <w:rPr>
          <w:rFonts w:cs="Arial"/>
          <w:color w:val="000000"/>
          <w:szCs w:val="22"/>
        </w:rPr>
      </w:pPr>
      <w:r w:rsidRPr="004E3E7F">
        <w:rPr>
          <w:rFonts w:cs="Arial"/>
          <w:color w:val="000000"/>
          <w:szCs w:val="22"/>
        </w:rPr>
        <w:t>medical job planning.</w:t>
      </w:r>
    </w:p>
    <w:p w:rsidR="00100E12" w:rsidRPr="004E3E7F" w:rsidRDefault="00100E12" w:rsidP="00100E12">
      <w:pPr>
        <w:tabs>
          <w:tab w:val="left" w:pos="576"/>
        </w:tabs>
        <w:ind w:right="2"/>
        <w:textAlignment w:val="baseline"/>
        <w:rPr>
          <w:rFonts w:cs="Arial"/>
          <w:color w:val="000000"/>
          <w:szCs w:val="22"/>
        </w:rPr>
      </w:pPr>
    </w:p>
    <w:p w:rsidR="00100E12" w:rsidRPr="004E3E7F" w:rsidRDefault="00100E12" w:rsidP="00100E12">
      <w:pPr>
        <w:tabs>
          <w:tab w:val="left" w:pos="576"/>
        </w:tabs>
        <w:ind w:right="2"/>
        <w:textAlignment w:val="baseline"/>
        <w:rPr>
          <w:rFonts w:cs="Arial"/>
          <w:color w:val="000000"/>
          <w:szCs w:val="22"/>
        </w:rPr>
      </w:pPr>
      <w:r w:rsidRPr="004E3E7F">
        <w:rPr>
          <w:rFonts w:cs="Arial"/>
          <w:color w:val="000000"/>
          <w:szCs w:val="22"/>
        </w:rPr>
        <w:t>From March 2020 and for the foreseeable future we will also summarise absence due to COVID-19.</w:t>
      </w:r>
    </w:p>
    <w:p w:rsidR="00100E12" w:rsidRPr="004E3E7F" w:rsidRDefault="00100E12" w:rsidP="00100E12">
      <w:pPr>
        <w:tabs>
          <w:tab w:val="left" w:pos="576"/>
        </w:tabs>
        <w:ind w:right="2"/>
        <w:textAlignment w:val="baseline"/>
        <w:rPr>
          <w:rFonts w:cs="Arial"/>
          <w:color w:val="000000"/>
          <w:szCs w:val="22"/>
        </w:rPr>
      </w:pPr>
    </w:p>
    <w:p w:rsidR="00100E12" w:rsidRPr="004E3E7F" w:rsidRDefault="00100E12" w:rsidP="00100E12">
      <w:pPr>
        <w:tabs>
          <w:tab w:val="left" w:pos="576"/>
        </w:tabs>
        <w:ind w:right="2"/>
        <w:textAlignment w:val="baseline"/>
        <w:rPr>
          <w:rFonts w:cs="Arial"/>
          <w:b/>
          <w:color w:val="000000"/>
          <w:szCs w:val="22"/>
        </w:rPr>
      </w:pPr>
      <w:r w:rsidRPr="004E3E7F">
        <w:rPr>
          <w:rFonts w:cs="Arial"/>
          <w:b/>
          <w:color w:val="000000"/>
          <w:szCs w:val="22"/>
        </w:rPr>
        <w:t>Sickness absence</w:t>
      </w:r>
    </w:p>
    <w:p w:rsidR="00100E12" w:rsidRPr="004E3E7F" w:rsidRDefault="00100E12" w:rsidP="00100E12">
      <w:pPr>
        <w:tabs>
          <w:tab w:val="left" w:pos="576"/>
        </w:tabs>
        <w:ind w:right="2"/>
        <w:textAlignment w:val="baseline"/>
        <w:rPr>
          <w:rFonts w:cs="Arial"/>
          <w:color w:val="000000"/>
          <w:szCs w:val="22"/>
        </w:rPr>
      </w:pPr>
      <w:r w:rsidRPr="004E3E7F">
        <w:rPr>
          <w:rFonts w:cs="Arial"/>
          <w:color w:val="000000"/>
          <w:szCs w:val="22"/>
        </w:rPr>
        <w:t>In May 2020 the Board’s sickness absence rate stood at 4.7%, the same as the previous month.  Across the Directorates absence was as follows:</w:t>
      </w:r>
    </w:p>
    <w:p w:rsidR="00100E12" w:rsidRPr="004E3E7F" w:rsidRDefault="00100E12" w:rsidP="00100E12">
      <w:pPr>
        <w:numPr>
          <w:ilvl w:val="0"/>
          <w:numId w:val="7"/>
        </w:numPr>
        <w:tabs>
          <w:tab w:val="left" w:pos="576"/>
        </w:tabs>
        <w:ind w:right="2"/>
        <w:textAlignment w:val="baseline"/>
        <w:rPr>
          <w:rFonts w:cs="Arial"/>
          <w:color w:val="000000"/>
          <w:szCs w:val="22"/>
        </w:rPr>
      </w:pPr>
      <w:r w:rsidRPr="004E3E7F">
        <w:rPr>
          <w:rFonts w:cs="Arial"/>
          <w:color w:val="000000"/>
          <w:szCs w:val="22"/>
        </w:rPr>
        <w:t>Corporate: 3.8%, up from 2.9% the previous month;</w:t>
      </w:r>
    </w:p>
    <w:p w:rsidR="00100E12" w:rsidRPr="004E3E7F" w:rsidRDefault="00100E12" w:rsidP="00100E12">
      <w:pPr>
        <w:numPr>
          <w:ilvl w:val="0"/>
          <w:numId w:val="7"/>
        </w:numPr>
        <w:tabs>
          <w:tab w:val="left" w:pos="576"/>
        </w:tabs>
        <w:ind w:right="2"/>
        <w:textAlignment w:val="baseline"/>
        <w:rPr>
          <w:rFonts w:cs="Arial"/>
          <w:color w:val="000000"/>
          <w:szCs w:val="22"/>
        </w:rPr>
      </w:pPr>
      <w:r w:rsidRPr="004E3E7F">
        <w:rPr>
          <w:rFonts w:cs="Arial"/>
          <w:color w:val="000000"/>
          <w:szCs w:val="22"/>
        </w:rPr>
        <w:t>Golden Jubilee Conference Hotel: 0.9%, up from 0.7%;</w:t>
      </w:r>
    </w:p>
    <w:p w:rsidR="00100E12" w:rsidRPr="004E3E7F" w:rsidRDefault="00100E12" w:rsidP="00100E12">
      <w:pPr>
        <w:numPr>
          <w:ilvl w:val="0"/>
          <w:numId w:val="7"/>
        </w:numPr>
        <w:tabs>
          <w:tab w:val="left" w:pos="576"/>
        </w:tabs>
        <w:ind w:right="2"/>
        <w:textAlignment w:val="baseline"/>
        <w:rPr>
          <w:rFonts w:cs="Arial"/>
          <w:color w:val="000000"/>
          <w:szCs w:val="22"/>
        </w:rPr>
      </w:pPr>
      <w:r w:rsidRPr="004E3E7F">
        <w:rPr>
          <w:rFonts w:cs="Arial"/>
          <w:color w:val="000000"/>
          <w:szCs w:val="22"/>
        </w:rPr>
        <w:t>Heart, Lung and Diagnostic Services: 5.0%, up from 4.9%; and</w:t>
      </w:r>
    </w:p>
    <w:p w:rsidR="00100E12" w:rsidRPr="004E3E7F" w:rsidRDefault="00100E12" w:rsidP="00100E12">
      <w:pPr>
        <w:numPr>
          <w:ilvl w:val="0"/>
          <w:numId w:val="7"/>
        </w:numPr>
        <w:tabs>
          <w:tab w:val="left" w:pos="576"/>
        </w:tabs>
        <w:ind w:right="2"/>
        <w:textAlignment w:val="baseline"/>
        <w:rPr>
          <w:rFonts w:cs="Arial"/>
          <w:color w:val="000000"/>
          <w:szCs w:val="22"/>
        </w:rPr>
      </w:pPr>
      <w:r w:rsidRPr="004E3E7F">
        <w:rPr>
          <w:rFonts w:cs="Arial"/>
          <w:color w:val="000000"/>
          <w:szCs w:val="22"/>
        </w:rPr>
        <w:t>National Elective Services: 6.1%, down from 6.9%.</w:t>
      </w:r>
    </w:p>
    <w:p w:rsidR="00100E12" w:rsidRPr="004E3E7F" w:rsidRDefault="00100E12" w:rsidP="00100E12">
      <w:pPr>
        <w:tabs>
          <w:tab w:val="left" w:pos="576"/>
        </w:tabs>
        <w:ind w:right="2"/>
        <w:textAlignment w:val="baseline"/>
        <w:rPr>
          <w:rFonts w:cs="Arial"/>
          <w:color w:val="000000"/>
          <w:szCs w:val="22"/>
        </w:rPr>
      </w:pPr>
    </w:p>
    <w:p w:rsidR="00100E12" w:rsidRPr="004E3E7F" w:rsidRDefault="00100E12" w:rsidP="00100E12">
      <w:pPr>
        <w:tabs>
          <w:tab w:val="left" w:pos="576"/>
        </w:tabs>
        <w:ind w:right="2"/>
        <w:textAlignment w:val="baseline"/>
        <w:rPr>
          <w:rFonts w:cs="Arial"/>
          <w:szCs w:val="22"/>
        </w:rPr>
      </w:pPr>
      <w:r w:rsidRPr="004E3E7F">
        <w:rPr>
          <w:rFonts w:cs="Arial"/>
          <w:color w:val="000000"/>
          <w:szCs w:val="22"/>
        </w:rPr>
        <w:t xml:space="preserve">As with previous months, a large proportion of sickness absence </w:t>
      </w:r>
      <w:r w:rsidRPr="004E3E7F">
        <w:rPr>
          <w:rFonts w:cs="Arial"/>
          <w:szCs w:val="22"/>
        </w:rPr>
        <w:t>was due to “Anxiety/stress/ depression/other psychiatric illnesses”, which accounted for 35.2% of the Board’s sickness absence.  It was the main cause of sickness absence in Corporate (46.3% of sickness absence), Heart, Lung and Diagnostic Services (20.0%) and National Elective Services (45.2%).  In the Hotel “Gastro-intestinal problems” accounted for 39.3% of sickness absence.</w:t>
      </w:r>
    </w:p>
    <w:p w:rsidR="00100E12" w:rsidRPr="004E3E7F" w:rsidRDefault="00100E12" w:rsidP="00100E12">
      <w:pPr>
        <w:rPr>
          <w:rFonts w:cs="Arial"/>
          <w:szCs w:val="22"/>
        </w:rPr>
      </w:pPr>
    </w:p>
    <w:p w:rsidR="00100E12" w:rsidRPr="004E3E7F" w:rsidRDefault="00100E12" w:rsidP="00100E12">
      <w:pPr>
        <w:rPr>
          <w:rFonts w:cs="Arial"/>
          <w:b/>
          <w:szCs w:val="22"/>
        </w:rPr>
      </w:pPr>
      <w:r w:rsidRPr="004E3E7F">
        <w:rPr>
          <w:rFonts w:cs="Arial"/>
          <w:b/>
          <w:szCs w:val="22"/>
        </w:rPr>
        <w:t>COVID-19</w:t>
      </w:r>
    </w:p>
    <w:p w:rsidR="00100E12" w:rsidRPr="004E3E7F" w:rsidRDefault="00100E12" w:rsidP="00100E12">
      <w:pPr>
        <w:rPr>
          <w:rFonts w:cs="Arial"/>
          <w:szCs w:val="22"/>
        </w:rPr>
      </w:pPr>
      <w:r w:rsidRPr="004E3E7F">
        <w:rPr>
          <w:rFonts w:cs="Arial"/>
          <w:szCs w:val="22"/>
        </w:rPr>
        <w:t>Absences from work due to the Coronavirus are recorded as special leave under one of six headings: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4654"/>
      </w:tblGrid>
      <w:tr w:rsidR="00100E12" w:rsidRPr="004E3E7F" w:rsidTr="00A80151">
        <w:tc>
          <w:tcPr>
            <w:tcW w:w="4928" w:type="dxa"/>
            <w:shd w:val="clear" w:color="auto" w:fill="auto"/>
          </w:tcPr>
          <w:p w:rsidR="00100E12" w:rsidRPr="004E3E7F" w:rsidRDefault="00100E12" w:rsidP="00A80151">
            <w:pPr>
              <w:rPr>
                <w:rFonts w:cs="Arial"/>
                <w:szCs w:val="22"/>
              </w:rPr>
            </w:pPr>
            <w:r w:rsidRPr="004E3E7F">
              <w:rPr>
                <w:rFonts w:cs="Arial"/>
                <w:szCs w:val="22"/>
              </w:rPr>
              <w:t>Coronavirus</w:t>
            </w:r>
          </w:p>
        </w:tc>
        <w:tc>
          <w:tcPr>
            <w:tcW w:w="4929" w:type="dxa"/>
            <w:shd w:val="clear" w:color="auto" w:fill="auto"/>
          </w:tcPr>
          <w:p w:rsidR="00100E12" w:rsidRPr="004E3E7F" w:rsidRDefault="00100E12" w:rsidP="00A80151">
            <w:pPr>
              <w:rPr>
                <w:rFonts w:cs="Arial"/>
                <w:szCs w:val="22"/>
              </w:rPr>
            </w:pPr>
            <w:r w:rsidRPr="004E3E7F">
              <w:rPr>
                <w:rFonts w:cs="Arial"/>
                <w:szCs w:val="22"/>
              </w:rPr>
              <w:t>This will record those who have caring responsibilities and are absent due to these.</w:t>
            </w:r>
          </w:p>
        </w:tc>
      </w:tr>
      <w:tr w:rsidR="00100E12" w:rsidRPr="004E3E7F" w:rsidTr="00A80151">
        <w:tc>
          <w:tcPr>
            <w:tcW w:w="4928" w:type="dxa"/>
            <w:shd w:val="clear" w:color="auto" w:fill="auto"/>
          </w:tcPr>
          <w:p w:rsidR="00100E12" w:rsidRPr="004E3E7F" w:rsidRDefault="00100E12" w:rsidP="00A80151">
            <w:pPr>
              <w:rPr>
                <w:rFonts w:cs="Arial"/>
                <w:szCs w:val="22"/>
              </w:rPr>
            </w:pPr>
            <w:r w:rsidRPr="004E3E7F">
              <w:rPr>
                <w:rFonts w:cs="Arial"/>
                <w:szCs w:val="22"/>
              </w:rPr>
              <w:t>Coronavirus – COVID-19 positive</w:t>
            </w:r>
          </w:p>
        </w:tc>
        <w:tc>
          <w:tcPr>
            <w:tcW w:w="4929" w:type="dxa"/>
            <w:shd w:val="clear" w:color="auto" w:fill="auto"/>
          </w:tcPr>
          <w:p w:rsidR="00100E12" w:rsidRPr="004E3E7F" w:rsidRDefault="00100E12" w:rsidP="00A80151">
            <w:pPr>
              <w:rPr>
                <w:rFonts w:cs="Arial"/>
                <w:szCs w:val="22"/>
              </w:rPr>
            </w:pPr>
            <w:r w:rsidRPr="004E3E7F">
              <w:rPr>
                <w:rFonts w:cs="Arial"/>
                <w:szCs w:val="22"/>
              </w:rPr>
              <w:t>As it says employees who have tested positive for the virus.</w:t>
            </w:r>
          </w:p>
        </w:tc>
      </w:tr>
      <w:tr w:rsidR="00100E12" w:rsidRPr="004E3E7F" w:rsidTr="00A80151">
        <w:tc>
          <w:tcPr>
            <w:tcW w:w="4928" w:type="dxa"/>
            <w:shd w:val="clear" w:color="auto" w:fill="auto"/>
          </w:tcPr>
          <w:p w:rsidR="00100E12" w:rsidRPr="004E3E7F" w:rsidRDefault="00100E12" w:rsidP="00A80151">
            <w:pPr>
              <w:rPr>
                <w:rFonts w:cs="Arial"/>
                <w:szCs w:val="22"/>
              </w:rPr>
            </w:pPr>
            <w:r w:rsidRPr="004E3E7F">
              <w:rPr>
                <w:rFonts w:cs="Arial"/>
                <w:szCs w:val="22"/>
              </w:rPr>
              <w:t>Coronavirus – household related – self isolating</w:t>
            </w:r>
          </w:p>
        </w:tc>
        <w:tc>
          <w:tcPr>
            <w:tcW w:w="4929" w:type="dxa"/>
            <w:shd w:val="clear" w:color="auto" w:fill="auto"/>
          </w:tcPr>
          <w:p w:rsidR="00100E12" w:rsidRPr="004E3E7F" w:rsidRDefault="00100E12" w:rsidP="00A80151">
            <w:pPr>
              <w:rPr>
                <w:rFonts w:cs="Arial"/>
                <w:szCs w:val="22"/>
              </w:rPr>
            </w:pPr>
            <w:r w:rsidRPr="004E3E7F">
              <w:rPr>
                <w:rFonts w:cs="Arial"/>
                <w:szCs w:val="22"/>
              </w:rPr>
              <w:t>Someone in the household of the staff member is displaying symptoms.</w:t>
            </w:r>
          </w:p>
        </w:tc>
      </w:tr>
      <w:tr w:rsidR="00100E12" w:rsidRPr="004E3E7F" w:rsidTr="00A80151">
        <w:tc>
          <w:tcPr>
            <w:tcW w:w="4928" w:type="dxa"/>
            <w:shd w:val="clear" w:color="auto" w:fill="auto"/>
          </w:tcPr>
          <w:p w:rsidR="00100E12" w:rsidRPr="004E3E7F" w:rsidRDefault="00100E12" w:rsidP="00A80151">
            <w:pPr>
              <w:rPr>
                <w:rFonts w:cs="Arial"/>
                <w:szCs w:val="22"/>
              </w:rPr>
            </w:pPr>
            <w:r w:rsidRPr="004E3E7F">
              <w:rPr>
                <w:rFonts w:cs="Arial"/>
                <w:szCs w:val="22"/>
              </w:rPr>
              <w:t>Coronavirus – self displaying systems – self isolating</w:t>
            </w:r>
          </w:p>
        </w:tc>
        <w:tc>
          <w:tcPr>
            <w:tcW w:w="4929" w:type="dxa"/>
            <w:shd w:val="clear" w:color="auto" w:fill="auto"/>
          </w:tcPr>
          <w:p w:rsidR="00100E12" w:rsidRPr="004E3E7F" w:rsidRDefault="00100E12" w:rsidP="00A80151">
            <w:pPr>
              <w:rPr>
                <w:rFonts w:cs="Arial"/>
                <w:szCs w:val="22"/>
              </w:rPr>
            </w:pPr>
            <w:r w:rsidRPr="004E3E7F">
              <w:rPr>
                <w:rFonts w:cs="Arial"/>
                <w:szCs w:val="22"/>
              </w:rPr>
              <w:t>This will record a staff member who is displaying symptoms and allow testing of key workers to be targeted.</w:t>
            </w:r>
          </w:p>
        </w:tc>
      </w:tr>
      <w:tr w:rsidR="00100E12" w:rsidRPr="004E3E7F" w:rsidTr="00A80151">
        <w:tc>
          <w:tcPr>
            <w:tcW w:w="4928" w:type="dxa"/>
            <w:shd w:val="clear" w:color="auto" w:fill="auto"/>
          </w:tcPr>
          <w:p w:rsidR="00100E12" w:rsidRPr="004E3E7F" w:rsidRDefault="00100E12" w:rsidP="00A80151">
            <w:pPr>
              <w:rPr>
                <w:rFonts w:cs="Arial"/>
                <w:szCs w:val="22"/>
              </w:rPr>
            </w:pPr>
            <w:r w:rsidRPr="004E3E7F">
              <w:rPr>
                <w:rFonts w:cs="Arial"/>
                <w:szCs w:val="22"/>
              </w:rPr>
              <w:t>Coronavirus – underlying health conditions</w:t>
            </w:r>
          </w:p>
        </w:tc>
        <w:tc>
          <w:tcPr>
            <w:tcW w:w="4929" w:type="dxa"/>
            <w:shd w:val="clear" w:color="auto" w:fill="auto"/>
          </w:tcPr>
          <w:p w:rsidR="00100E12" w:rsidRPr="004E3E7F" w:rsidRDefault="00100E12" w:rsidP="00A80151">
            <w:pPr>
              <w:rPr>
                <w:rFonts w:cs="Arial"/>
                <w:szCs w:val="22"/>
              </w:rPr>
            </w:pPr>
            <w:r w:rsidRPr="004E3E7F">
              <w:rPr>
                <w:rFonts w:cs="Arial"/>
                <w:szCs w:val="22"/>
              </w:rPr>
              <w:t>Staff member has underlying health conditions putting them in the at risk category.</w:t>
            </w:r>
          </w:p>
        </w:tc>
      </w:tr>
      <w:tr w:rsidR="00100E12" w:rsidRPr="004E3E7F" w:rsidTr="00A80151">
        <w:tc>
          <w:tcPr>
            <w:tcW w:w="4928" w:type="dxa"/>
            <w:shd w:val="clear" w:color="auto" w:fill="auto"/>
          </w:tcPr>
          <w:p w:rsidR="00100E12" w:rsidRPr="004E3E7F" w:rsidRDefault="00100E12" w:rsidP="00A80151">
            <w:pPr>
              <w:rPr>
                <w:rFonts w:cs="Arial"/>
                <w:szCs w:val="22"/>
              </w:rPr>
            </w:pPr>
            <w:r w:rsidRPr="004E3E7F">
              <w:rPr>
                <w:rFonts w:cs="Arial"/>
                <w:szCs w:val="22"/>
              </w:rPr>
              <w:t>Coronavirus – test and protect isolation</w:t>
            </w:r>
          </w:p>
        </w:tc>
        <w:tc>
          <w:tcPr>
            <w:tcW w:w="4929" w:type="dxa"/>
            <w:shd w:val="clear" w:color="auto" w:fill="auto"/>
          </w:tcPr>
          <w:p w:rsidR="00100E12" w:rsidRPr="004E3E7F" w:rsidRDefault="00100E12" w:rsidP="00A80151">
            <w:pPr>
              <w:rPr>
                <w:rFonts w:cs="Arial"/>
                <w:szCs w:val="22"/>
              </w:rPr>
            </w:pPr>
            <w:r w:rsidRPr="004E3E7F">
              <w:rPr>
                <w:rFonts w:cs="Arial"/>
                <w:szCs w:val="22"/>
              </w:rPr>
              <w:t>Staff member has been told to isolate following contact by test and protect staff</w:t>
            </w:r>
          </w:p>
        </w:tc>
      </w:tr>
    </w:tbl>
    <w:p w:rsidR="00100E12" w:rsidRPr="004E3E7F" w:rsidRDefault="00100E12" w:rsidP="00100E12">
      <w:pPr>
        <w:rPr>
          <w:rFonts w:cs="Arial"/>
          <w:szCs w:val="22"/>
        </w:rPr>
      </w:pPr>
    </w:p>
    <w:p w:rsidR="00100E12" w:rsidRPr="004E3E7F" w:rsidRDefault="00100E12" w:rsidP="00100E12">
      <w:pPr>
        <w:rPr>
          <w:rFonts w:cs="Arial"/>
          <w:szCs w:val="22"/>
        </w:rPr>
      </w:pPr>
      <w:r w:rsidRPr="004E3E7F">
        <w:rPr>
          <w:rFonts w:cs="Arial"/>
          <w:szCs w:val="22"/>
        </w:rPr>
        <w:t>In May COVID-19 special leave accounted for 5.4% of all contracted hours.  The Directorate breakdown was:</w:t>
      </w:r>
    </w:p>
    <w:p w:rsidR="00100E12" w:rsidRPr="004E3E7F" w:rsidRDefault="00100E12" w:rsidP="00100E12">
      <w:pPr>
        <w:numPr>
          <w:ilvl w:val="0"/>
          <w:numId w:val="8"/>
        </w:numPr>
        <w:rPr>
          <w:rFonts w:cs="Arial"/>
          <w:szCs w:val="22"/>
        </w:rPr>
      </w:pPr>
      <w:r w:rsidRPr="004E3E7F">
        <w:rPr>
          <w:rFonts w:cs="Arial"/>
          <w:szCs w:val="22"/>
        </w:rPr>
        <w:t>Corporate: 4.6%;</w:t>
      </w:r>
    </w:p>
    <w:p w:rsidR="00100E12" w:rsidRPr="004E3E7F" w:rsidRDefault="00100E12" w:rsidP="00100E12">
      <w:pPr>
        <w:numPr>
          <w:ilvl w:val="0"/>
          <w:numId w:val="8"/>
        </w:numPr>
        <w:rPr>
          <w:rFonts w:cs="Arial"/>
          <w:szCs w:val="22"/>
        </w:rPr>
      </w:pPr>
      <w:r w:rsidRPr="004E3E7F">
        <w:rPr>
          <w:rFonts w:cs="Arial"/>
          <w:szCs w:val="22"/>
        </w:rPr>
        <w:t>Golden Jubilee Conference Hotel: 11.6%;</w:t>
      </w:r>
    </w:p>
    <w:p w:rsidR="00100E12" w:rsidRPr="004E3E7F" w:rsidRDefault="00100E12" w:rsidP="00100E12">
      <w:pPr>
        <w:numPr>
          <w:ilvl w:val="0"/>
          <w:numId w:val="8"/>
        </w:numPr>
        <w:rPr>
          <w:rFonts w:cs="Arial"/>
          <w:szCs w:val="22"/>
        </w:rPr>
      </w:pPr>
      <w:r w:rsidRPr="004E3E7F">
        <w:rPr>
          <w:rFonts w:cs="Arial"/>
          <w:szCs w:val="22"/>
        </w:rPr>
        <w:t>Heart, Lung and Diagnostic Services: 4.1%; and</w:t>
      </w:r>
    </w:p>
    <w:p w:rsidR="00100E12" w:rsidRPr="004E3E7F" w:rsidRDefault="00100E12" w:rsidP="00100E12">
      <w:pPr>
        <w:numPr>
          <w:ilvl w:val="0"/>
          <w:numId w:val="8"/>
        </w:numPr>
        <w:rPr>
          <w:rFonts w:cs="Arial"/>
          <w:szCs w:val="22"/>
        </w:rPr>
      </w:pPr>
      <w:r w:rsidRPr="004E3E7F">
        <w:rPr>
          <w:rFonts w:cs="Arial"/>
          <w:szCs w:val="22"/>
        </w:rPr>
        <w:t>National Elective Services: 7.0%.</w:t>
      </w:r>
    </w:p>
    <w:p w:rsidR="00100E12" w:rsidRPr="004E3E7F" w:rsidRDefault="00100E12" w:rsidP="00100E12">
      <w:pPr>
        <w:rPr>
          <w:rFonts w:cs="Arial"/>
          <w:szCs w:val="22"/>
        </w:rPr>
      </w:pPr>
    </w:p>
    <w:p w:rsidR="00100E12" w:rsidRPr="004E3E7F" w:rsidRDefault="00100E12" w:rsidP="00100E12">
      <w:pPr>
        <w:rPr>
          <w:rFonts w:cs="Arial"/>
          <w:szCs w:val="22"/>
        </w:rPr>
      </w:pPr>
      <w:r w:rsidRPr="004E3E7F">
        <w:rPr>
          <w:rFonts w:cs="Arial"/>
          <w:szCs w:val="22"/>
        </w:rPr>
        <w:t>We will continue to provide a monthly summary of COVID-19 absences until the end of the pandemic.</w:t>
      </w:r>
    </w:p>
    <w:p w:rsidR="00100E12" w:rsidRPr="004E3E7F" w:rsidRDefault="00100E12" w:rsidP="00100E12">
      <w:pPr>
        <w:ind w:right="2"/>
        <w:textAlignment w:val="baseline"/>
        <w:rPr>
          <w:rFonts w:cs="Arial"/>
          <w:szCs w:val="22"/>
        </w:rPr>
      </w:pPr>
    </w:p>
    <w:p w:rsidR="00100E12" w:rsidRDefault="00100E12" w:rsidP="00100E12">
      <w:pPr>
        <w:ind w:right="2"/>
        <w:textAlignment w:val="baseline"/>
        <w:rPr>
          <w:rFonts w:cs="Arial"/>
          <w:b/>
          <w:szCs w:val="22"/>
        </w:rPr>
      </w:pPr>
    </w:p>
    <w:p w:rsidR="00100E12" w:rsidRDefault="00100E12" w:rsidP="00100E12">
      <w:pPr>
        <w:ind w:right="2"/>
        <w:textAlignment w:val="baseline"/>
        <w:rPr>
          <w:rFonts w:cs="Arial"/>
          <w:b/>
          <w:szCs w:val="22"/>
        </w:rPr>
      </w:pPr>
    </w:p>
    <w:p w:rsidR="00100E12" w:rsidRPr="004E3E7F" w:rsidRDefault="00100E12" w:rsidP="00100E12">
      <w:pPr>
        <w:ind w:right="2"/>
        <w:textAlignment w:val="baseline"/>
        <w:rPr>
          <w:rFonts w:cs="Arial"/>
          <w:b/>
          <w:szCs w:val="22"/>
        </w:rPr>
      </w:pPr>
      <w:r w:rsidRPr="004E3E7F">
        <w:rPr>
          <w:rFonts w:cs="Arial"/>
          <w:b/>
          <w:szCs w:val="22"/>
        </w:rPr>
        <w:lastRenderedPageBreak/>
        <w:t>Agenda for Change appraisal</w:t>
      </w:r>
    </w:p>
    <w:p w:rsidR="00100E12" w:rsidRPr="004E3E7F" w:rsidRDefault="00100E12" w:rsidP="00100E12">
      <w:pPr>
        <w:ind w:right="2"/>
        <w:textAlignment w:val="baseline"/>
        <w:rPr>
          <w:rFonts w:cs="Arial"/>
          <w:szCs w:val="22"/>
        </w:rPr>
      </w:pPr>
      <w:r w:rsidRPr="004E3E7F">
        <w:rPr>
          <w:rFonts w:cs="Arial"/>
          <w:szCs w:val="22"/>
        </w:rPr>
        <w:t>Within the year to 31 April 2020 50% of staff who come under the Agenda for Change terms and conditions completed their appraisal using TURAS.  The Directorate breakdown is as follows:</w:t>
      </w:r>
    </w:p>
    <w:p w:rsidR="00100E12" w:rsidRPr="004E3E7F" w:rsidRDefault="00100E12" w:rsidP="00100E12">
      <w:pPr>
        <w:ind w:right="2"/>
        <w:textAlignment w:val="baseline"/>
        <w:rPr>
          <w:rFonts w:cs="Arial"/>
          <w:szCs w:val="22"/>
        </w:rPr>
      </w:pPr>
      <w:r w:rsidRPr="004E3E7F">
        <w:rPr>
          <w:rFonts w:cs="Arial"/>
          <w:szCs w:val="22"/>
        </w:rPr>
        <w:t>Corporate:</w:t>
      </w:r>
      <w:r w:rsidRPr="004E3E7F">
        <w:rPr>
          <w:rFonts w:cs="Arial"/>
          <w:szCs w:val="22"/>
        </w:rPr>
        <w:tab/>
      </w:r>
      <w:r w:rsidRPr="004E3E7F">
        <w:rPr>
          <w:rFonts w:cs="Arial"/>
          <w:szCs w:val="22"/>
        </w:rPr>
        <w:tab/>
      </w:r>
      <w:r w:rsidRPr="004E3E7F">
        <w:rPr>
          <w:rFonts w:cs="Arial"/>
          <w:szCs w:val="22"/>
        </w:rPr>
        <w:tab/>
      </w:r>
      <w:r w:rsidRPr="004E3E7F">
        <w:rPr>
          <w:rFonts w:cs="Arial"/>
          <w:szCs w:val="22"/>
        </w:rPr>
        <w:tab/>
        <w:t>43%;</w:t>
      </w:r>
    </w:p>
    <w:p w:rsidR="00100E12" w:rsidRPr="004E3E7F" w:rsidRDefault="00100E12" w:rsidP="00100E12">
      <w:pPr>
        <w:ind w:right="2"/>
        <w:textAlignment w:val="baseline"/>
        <w:rPr>
          <w:rFonts w:cs="Arial"/>
          <w:szCs w:val="22"/>
        </w:rPr>
      </w:pPr>
      <w:r w:rsidRPr="004E3E7F">
        <w:rPr>
          <w:rFonts w:cs="Arial"/>
          <w:szCs w:val="22"/>
        </w:rPr>
        <w:t>Golden Jubilee Conference Hotel:</w:t>
      </w:r>
      <w:r w:rsidRPr="004E3E7F">
        <w:rPr>
          <w:rFonts w:cs="Arial"/>
          <w:szCs w:val="22"/>
        </w:rPr>
        <w:tab/>
        <w:t>31%;</w:t>
      </w:r>
    </w:p>
    <w:p w:rsidR="00100E12" w:rsidRPr="004E3E7F" w:rsidRDefault="00100E12" w:rsidP="00100E12">
      <w:pPr>
        <w:ind w:right="2"/>
        <w:textAlignment w:val="baseline"/>
        <w:rPr>
          <w:rFonts w:cs="Arial"/>
          <w:szCs w:val="22"/>
        </w:rPr>
      </w:pPr>
      <w:r w:rsidRPr="004E3E7F">
        <w:rPr>
          <w:rFonts w:cs="Arial"/>
          <w:szCs w:val="22"/>
        </w:rPr>
        <w:t>Heart, Lung and Diagnostic Services:</w:t>
      </w:r>
      <w:r w:rsidRPr="004E3E7F">
        <w:rPr>
          <w:rFonts w:cs="Arial"/>
          <w:szCs w:val="22"/>
        </w:rPr>
        <w:tab/>
        <w:t>52%; and</w:t>
      </w:r>
    </w:p>
    <w:p w:rsidR="00100E12" w:rsidRPr="004E3E7F" w:rsidRDefault="00100E12" w:rsidP="00100E12">
      <w:pPr>
        <w:ind w:right="2"/>
        <w:textAlignment w:val="baseline"/>
        <w:rPr>
          <w:rFonts w:cs="Arial"/>
          <w:szCs w:val="22"/>
        </w:rPr>
      </w:pPr>
      <w:r w:rsidRPr="004E3E7F">
        <w:rPr>
          <w:rFonts w:cs="Arial"/>
          <w:szCs w:val="22"/>
        </w:rPr>
        <w:t>National Elective Services:</w:t>
      </w:r>
      <w:r w:rsidRPr="004E3E7F">
        <w:rPr>
          <w:rFonts w:cs="Arial"/>
          <w:szCs w:val="22"/>
        </w:rPr>
        <w:tab/>
      </w:r>
      <w:r w:rsidRPr="004E3E7F">
        <w:rPr>
          <w:rFonts w:cs="Arial"/>
          <w:szCs w:val="22"/>
        </w:rPr>
        <w:tab/>
        <w:t>59%.</w:t>
      </w:r>
    </w:p>
    <w:p w:rsidR="00100E12" w:rsidRPr="004E3E7F" w:rsidRDefault="00100E12" w:rsidP="00100E12">
      <w:pPr>
        <w:ind w:right="2"/>
        <w:textAlignment w:val="baseline"/>
        <w:rPr>
          <w:rFonts w:cs="Arial"/>
          <w:szCs w:val="22"/>
        </w:rPr>
      </w:pPr>
    </w:p>
    <w:p w:rsidR="00100E12" w:rsidRPr="004E3E7F" w:rsidRDefault="00100E12" w:rsidP="00100E12">
      <w:pPr>
        <w:ind w:right="2"/>
        <w:textAlignment w:val="baseline"/>
        <w:rPr>
          <w:rFonts w:cs="Arial"/>
          <w:b/>
          <w:szCs w:val="22"/>
        </w:rPr>
      </w:pPr>
      <w:r w:rsidRPr="004E3E7F">
        <w:rPr>
          <w:rFonts w:cs="Arial"/>
          <w:b/>
          <w:szCs w:val="22"/>
        </w:rPr>
        <w:t>Medical appraisal</w:t>
      </w:r>
    </w:p>
    <w:p w:rsidR="00100E12" w:rsidRPr="004E3E7F" w:rsidRDefault="00100E12" w:rsidP="00100E12">
      <w:pPr>
        <w:ind w:right="2"/>
        <w:textAlignment w:val="baseline"/>
        <w:rPr>
          <w:rFonts w:cs="Arial"/>
          <w:szCs w:val="22"/>
        </w:rPr>
      </w:pPr>
      <w:r w:rsidRPr="004E3E7F">
        <w:rPr>
          <w:rFonts w:cs="Arial"/>
          <w:szCs w:val="22"/>
        </w:rPr>
        <w:t>The appraisal year for medical staff runs from 1 April to 31 March.  Prior to the end of the appraisal year the requirement for doctors to complete appraisals was temporarily suspended due to the COVID-19 pandemic.  The appraisal process has not yet started for 2020/2021.</w:t>
      </w:r>
    </w:p>
    <w:p w:rsidR="00100E12" w:rsidRPr="004E3E7F" w:rsidRDefault="00100E12" w:rsidP="00100E12">
      <w:pPr>
        <w:ind w:right="2"/>
        <w:textAlignment w:val="baseline"/>
        <w:rPr>
          <w:rFonts w:cs="Arial"/>
          <w:szCs w:val="22"/>
        </w:rPr>
      </w:pPr>
    </w:p>
    <w:p w:rsidR="00100E12" w:rsidRPr="004E3E7F" w:rsidRDefault="00100E12" w:rsidP="00100E12">
      <w:pPr>
        <w:ind w:right="2"/>
        <w:textAlignment w:val="baseline"/>
        <w:rPr>
          <w:rFonts w:cs="Arial"/>
          <w:b/>
          <w:szCs w:val="22"/>
        </w:rPr>
      </w:pPr>
      <w:r w:rsidRPr="004E3E7F">
        <w:rPr>
          <w:rFonts w:cs="Arial"/>
          <w:b/>
          <w:szCs w:val="22"/>
        </w:rPr>
        <w:t>Medical job planning</w:t>
      </w:r>
    </w:p>
    <w:p w:rsidR="00100E12" w:rsidRPr="004E3E7F" w:rsidRDefault="00100E12" w:rsidP="00100E12">
      <w:pPr>
        <w:ind w:right="2"/>
        <w:textAlignment w:val="baseline"/>
        <w:rPr>
          <w:rFonts w:cs="Arial"/>
          <w:szCs w:val="22"/>
        </w:rPr>
      </w:pPr>
      <w:r w:rsidRPr="004E3E7F">
        <w:rPr>
          <w:rFonts w:cs="Arial"/>
          <w:szCs w:val="22"/>
        </w:rPr>
        <w:t>Due to COVID-19 medical job planning has been temporarily suspended.  It will recommence when it is considered safe and appropriate to do so.</w:t>
      </w:r>
    </w:p>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100E12" w:rsidRDefault="00100E12"/>
    <w:p w:rsidR="00100E12" w:rsidRDefault="00100E12"/>
    <w:p w:rsidR="00100E12" w:rsidRDefault="00100E12"/>
    <w:p w:rsidR="00100E12" w:rsidRDefault="00100E12"/>
    <w:p w:rsidR="00100E12" w:rsidRDefault="00100E12"/>
    <w:p w:rsidR="00100E12" w:rsidRDefault="00100E12"/>
    <w:p w:rsidR="00100E12" w:rsidRDefault="00100E12"/>
    <w:p w:rsidR="00100E12" w:rsidRDefault="00100E12"/>
    <w:p w:rsidR="00100E12" w:rsidRDefault="00100E12"/>
    <w:p w:rsidR="00100E12" w:rsidRDefault="00100E12"/>
    <w:p w:rsidR="00100E12" w:rsidRDefault="00100E12"/>
    <w:p w:rsidR="00100E12" w:rsidRDefault="00100E12"/>
    <w:p w:rsidR="00100E12" w:rsidRDefault="00100E12"/>
    <w:p w:rsidR="00100E12" w:rsidRDefault="00100E12"/>
    <w:p w:rsidR="00100E12" w:rsidRDefault="00100E12"/>
    <w:p w:rsidR="00100E12" w:rsidRDefault="00100E12"/>
    <w:p w:rsidR="00100E12" w:rsidRDefault="00100E12"/>
    <w:p w:rsidR="00100E12" w:rsidRDefault="00100E12"/>
    <w:p w:rsidR="00100E12" w:rsidRDefault="00100E12"/>
    <w:p w:rsidR="00100E12" w:rsidRDefault="00100E12"/>
    <w:p w:rsidR="00A6577D" w:rsidRPr="007B3705" w:rsidRDefault="00A6577D" w:rsidP="00A6577D">
      <w:pPr>
        <w:pStyle w:val="Heading1"/>
      </w:pPr>
      <w:r w:rsidRPr="007B3705">
        <w:lastRenderedPageBreak/>
        <w:t>Section B:</w:t>
      </w:r>
      <w:r>
        <w:t>3</w:t>
      </w:r>
      <w:r w:rsidRPr="007B3705">
        <w:t xml:space="preserve"> </w:t>
      </w:r>
      <w:r>
        <w:t>Finance, Performance and Resources</w:t>
      </w:r>
    </w:p>
    <w:tbl>
      <w:tblPr>
        <w:tblStyle w:val="TableGrid"/>
        <w:tblW w:w="9286" w:type="dxa"/>
        <w:tblLayout w:type="fixed"/>
        <w:tblLook w:val="04A0" w:firstRow="1" w:lastRow="0" w:firstColumn="1" w:lastColumn="0" w:noHBand="0" w:noVBand="1"/>
      </w:tblPr>
      <w:tblGrid>
        <w:gridCol w:w="2802"/>
        <w:gridCol w:w="567"/>
        <w:gridCol w:w="5917"/>
      </w:tblGrid>
      <w:tr w:rsidR="00100E12" w:rsidRPr="00537E19" w:rsidTr="00A80151">
        <w:tc>
          <w:tcPr>
            <w:tcW w:w="9286" w:type="dxa"/>
            <w:gridSpan w:val="3"/>
            <w:shd w:val="clear" w:color="auto" w:fill="C4BC96" w:themeFill="background2" w:themeFillShade="BF"/>
          </w:tcPr>
          <w:p w:rsidR="00100E12" w:rsidRPr="00752EF6" w:rsidRDefault="00100E12" w:rsidP="00A80151">
            <w:pPr>
              <w:rPr>
                <w:rFonts w:cs="Arial"/>
                <w:b/>
                <w:sz w:val="24"/>
                <w:szCs w:val="24"/>
              </w:rPr>
            </w:pPr>
            <w:r w:rsidRPr="00752EF6">
              <w:rPr>
                <w:rFonts w:cs="Arial"/>
                <w:b/>
                <w:sz w:val="24"/>
                <w:szCs w:val="24"/>
              </w:rPr>
              <w:t>Finance, Performance and Resources</w:t>
            </w:r>
          </w:p>
        </w:tc>
      </w:tr>
      <w:tr w:rsidR="00100E12" w:rsidRPr="00537E19" w:rsidTr="00A80151">
        <w:tc>
          <w:tcPr>
            <w:tcW w:w="2802" w:type="dxa"/>
          </w:tcPr>
          <w:p w:rsidR="00100E12" w:rsidRPr="00752EF6" w:rsidRDefault="00100E12" w:rsidP="00A80151">
            <w:pPr>
              <w:rPr>
                <w:rFonts w:cs="Arial"/>
                <w:sz w:val="24"/>
                <w:szCs w:val="24"/>
              </w:rPr>
            </w:pPr>
            <w:r w:rsidRPr="00752EF6">
              <w:rPr>
                <w:rFonts w:cs="Arial"/>
                <w:sz w:val="24"/>
                <w:szCs w:val="24"/>
              </w:rPr>
              <w:t>Finance – Manage within annual budget limit</w:t>
            </w:r>
          </w:p>
        </w:tc>
        <w:tc>
          <w:tcPr>
            <w:tcW w:w="567" w:type="dxa"/>
            <w:shd w:val="clear" w:color="auto" w:fill="FFFFFF" w:themeFill="background1"/>
          </w:tcPr>
          <w:p w:rsidR="00100E12" w:rsidRPr="00752EF6" w:rsidRDefault="00100E12" w:rsidP="00A80151">
            <w:pPr>
              <w:rPr>
                <w:rFonts w:cs="Arial"/>
                <w:sz w:val="24"/>
                <w:szCs w:val="24"/>
              </w:rPr>
            </w:pPr>
          </w:p>
        </w:tc>
        <w:tc>
          <w:tcPr>
            <w:tcW w:w="5917" w:type="dxa"/>
          </w:tcPr>
          <w:p w:rsidR="00100E12" w:rsidRPr="00752EF6" w:rsidRDefault="00100E12" w:rsidP="00A80151">
            <w:pPr>
              <w:rPr>
                <w:rFonts w:cs="Arial"/>
                <w:sz w:val="24"/>
                <w:szCs w:val="24"/>
              </w:rPr>
            </w:pPr>
            <w:r w:rsidRPr="00752EF6">
              <w:rPr>
                <w:rFonts w:cs="Arial"/>
                <w:sz w:val="24"/>
                <w:szCs w:val="24"/>
              </w:rPr>
              <w:t>A surplus of 109k was reporting April however budgets have yet to be agreed</w:t>
            </w:r>
          </w:p>
        </w:tc>
      </w:tr>
      <w:tr w:rsidR="00100E12" w:rsidRPr="00537E19" w:rsidTr="00A80151">
        <w:tc>
          <w:tcPr>
            <w:tcW w:w="2802" w:type="dxa"/>
            <w:shd w:val="clear" w:color="auto" w:fill="auto"/>
          </w:tcPr>
          <w:p w:rsidR="00100E12" w:rsidRPr="00C20F33" w:rsidRDefault="00100E12" w:rsidP="00A80151">
            <w:pPr>
              <w:rPr>
                <w:rFonts w:cs="Arial"/>
                <w:sz w:val="24"/>
                <w:szCs w:val="24"/>
              </w:rPr>
            </w:pPr>
            <w:r w:rsidRPr="00C20F33">
              <w:rPr>
                <w:rFonts w:cs="Arial"/>
                <w:sz w:val="24"/>
                <w:szCs w:val="24"/>
              </w:rPr>
              <w:t xml:space="preserve">Cancer 31 Day </w:t>
            </w:r>
          </w:p>
        </w:tc>
        <w:tc>
          <w:tcPr>
            <w:tcW w:w="567" w:type="dxa"/>
            <w:shd w:val="clear" w:color="auto" w:fill="E5B8B7" w:themeFill="accent2" w:themeFillTint="66"/>
          </w:tcPr>
          <w:p w:rsidR="00100E12" w:rsidRPr="00C20F33" w:rsidRDefault="00100E12" w:rsidP="00A80151">
            <w:pPr>
              <w:rPr>
                <w:rFonts w:cs="Arial"/>
                <w:sz w:val="24"/>
                <w:szCs w:val="24"/>
              </w:rPr>
            </w:pPr>
          </w:p>
        </w:tc>
        <w:tc>
          <w:tcPr>
            <w:tcW w:w="5917" w:type="dxa"/>
            <w:shd w:val="clear" w:color="auto" w:fill="auto"/>
          </w:tcPr>
          <w:p w:rsidR="00100E12" w:rsidRPr="00C20F33" w:rsidRDefault="00100E12" w:rsidP="00A80151">
            <w:pPr>
              <w:rPr>
                <w:rFonts w:cs="Arial"/>
                <w:sz w:val="24"/>
                <w:szCs w:val="24"/>
              </w:rPr>
            </w:pPr>
            <w:r w:rsidRPr="00C20F33">
              <w:rPr>
                <w:rFonts w:cs="Arial"/>
                <w:sz w:val="24"/>
                <w:szCs w:val="24"/>
              </w:rPr>
              <w:t>In March 2020 the Monthly Cancer Waiting Times report, issued by the Scottish Government, reported performance of 86.0% (37/43) which is below the threshold of 95%. This remains the latest position.</w:t>
            </w:r>
          </w:p>
        </w:tc>
      </w:tr>
      <w:tr w:rsidR="00100E12" w:rsidRPr="00537E19" w:rsidTr="00A80151">
        <w:tc>
          <w:tcPr>
            <w:tcW w:w="2802" w:type="dxa"/>
          </w:tcPr>
          <w:p w:rsidR="00100E12" w:rsidRPr="00892161" w:rsidRDefault="00100E12" w:rsidP="00A80151">
            <w:pPr>
              <w:rPr>
                <w:rFonts w:cs="Arial"/>
                <w:color w:val="000000" w:themeColor="text1"/>
                <w:sz w:val="24"/>
                <w:szCs w:val="24"/>
                <w:highlight w:val="yellow"/>
              </w:rPr>
            </w:pPr>
            <w:r w:rsidRPr="00892161">
              <w:rPr>
                <w:rFonts w:cs="Arial"/>
                <w:color w:val="000000" w:themeColor="text1"/>
                <w:sz w:val="24"/>
                <w:szCs w:val="24"/>
              </w:rPr>
              <w:t>TTG: Number of patients who have breached the TTG</w:t>
            </w:r>
          </w:p>
        </w:tc>
        <w:tc>
          <w:tcPr>
            <w:tcW w:w="567" w:type="dxa"/>
            <w:shd w:val="clear" w:color="auto" w:fill="E5B8B7" w:themeFill="accent2" w:themeFillTint="66"/>
          </w:tcPr>
          <w:p w:rsidR="00100E12" w:rsidRPr="00892161" w:rsidRDefault="00100E12" w:rsidP="00A80151">
            <w:pPr>
              <w:rPr>
                <w:rFonts w:cs="Arial"/>
                <w:color w:val="000000" w:themeColor="text1"/>
                <w:sz w:val="24"/>
                <w:szCs w:val="24"/>
                <w:highlight w:val="yellow"/>
              </w:rPr>
            </w:pPr>
          </w:p>
        </w:tc>
        <w:tc>
          <w:tcPr>
            <w:tcW w:w="5917" w:type="dxa"/>
          </w:tcPr>
          <w:p w:rsidR="00100E12" w:rsidRPr="00892161" w:rsidRDefault="00100E12" w:rsidP="00A80151">
            <w:pPr>
              <w:rPr>
                <w:rFonts w:cs="Arial"/>
                <w:color w:val="000000" w:themeColor="text1"/>
                <w:sz w:val="24"/>
                <w:szCs w:val="24"/>
              </w:rPr>
            </w:pPr>
            <w:r w:rsidRPr="00892161">
              <w:rPr>
                <w:rFonts w:cs="Arial"/>
                <w:color w:val="000000" w:themeColor="text1"/>
                <w:sz w:val="24"/>
                <w:szCs w:val="24"/>
              </w:rPr>
              <w:t>In May 2020 there were 964 patients who exceeded their twelve week treatment time guarantee. This included 38 cardiac surgery patients, 13 thoracic surgery patients,36 coronary patients,46 electrophysiology patients,16 device patients,3 lead extraction patients,7 respiratory patients,306 orthopaedic patients,499 ophthalmology patients.</w:t>
            </w:r>
          </w:p>
        </w:tc>
      </w:tr>
      <w:tr w:rsidR="00100E12" w:rsidRPr="00537E19" w:rsidTr="00A80151">
        <w:tc>
          <w:tcPr>
            <w:tcW w:w="2802" w:type="dxa"/>
          </w:tcPr>
          <w:p w:rsidR="00100E12" w:rsidRPr="00892161" w:rsidRDefault="00100E12" w:rsidP="00A80151">
            <w:pPr>
              <w:rPr>
                <w:rFonts w:cs="Arial"/>
                <w:color w:val="000000" w:themeColor="text1"/>
                <w:sz w:val="24"/>
                <w:szCs w:val="24"/>
              </w:rPr>
            </w:pPr>
            <w:r w:rsidRPr="00892161">
              <w:rPr>
                <w:rFonts w:cs="Arial"/>
                <w:color w:val="000000" w:themeColor="text1"/>
                <w:sz w:val="24"/>
                <w:szCs w:val="24"/>
              </w:rPr>
              <w:t>TTG: Percentage of patients admitted within 12 weeks</w:t>
            </w:r>
          </w:p>
        </w:tc>
        <w:tc>
          <w:tcPr>
            <w:tcW w:w="567" w:type="dxa"/>
            <w:shd w:val="clear" w:color="auto" w:fill="E5B8B7" w:themeFill="accent2" w:themeFillTint="66"/>
          </w:tcPr>
          <w:p w:rsidR="00100E12" w:rsidRPr="00892161" w:rsidRDefault="00100E12" w:rsidP="00A80151">
            <w:pPr>
              <w:rPr>
                <w:rFonts w:cs="Arial"/>
                <w:color w:val="000000" w:themeColor="text1"/>
                <w:sz w:val="24"/>
                <w:szCs w:val="24"/>
              </w:rPr>
            </w:pPr>
          </w:p>
        </w:tc>
        <w:tc>
          <w:tcPr>
            <w:tcW w:w="5917" w:type="dxa"/>
            <w:shd w:val="clear" w:color="auto" w:fill="auto"/>
          </w:tcPr>
          <w:p w:rsidR="00100E12" w:rsidRPr="00892161" w:rsidRDefault="00100E12" w:rsidP="00A80151">
            <w:pPr>
              <w:rPr>
                <w:rFonts w:cs="Arial"/>
                <w:color w:val="000000" w:themeColor="text1"/>
                <w:sz w:val="24"/>
                <w:szCs w:val="24"/>
              </w:rPr>
            </w:pPr>
            <w:r w:rsidRPr="00892161">
              <w:rPr>
                <w:rFonts w:cs="Arial"/>
                <w:color w:val="000000" w:themeColor="text1"/>
                <w:sz w:val="24"/>
                <w:szCs w:val="24"/>
              </w:rPr>
              <w:t>The percentage of patients who were admitted within their twelve week treatment time guarantee decreased by 11.2% from 81.9% in April 2020 to 70.6% in May 2020. This reflects an increase in the number of patients admitted over twelve weeks (+22).</w:t>
            </w:r>
          </w:p>
        </w:tc>
      </w:tr>
      <w:tr w:rsidR="00100E12" w:rsidRPr="00537E19" w:rsidTr="00A80151">
        <w:tc>
          <w:tcPr>
            <w:tcW w:w="2802" w:type="dxa"/>
          </w:tcPr>
          <w:p w:rsidR="00100E12" w:rsidRPr="00503226" w:rsidRDefault="00100E12" w:rsidP="00A80151">
            <w:pPr>
              <w:rPr>
                <w:rFonts w:cs="Arial"/>
                <w:color w:val="000000" w:themeColor="text1"/>
                <w:sz w:val="24"/>
                <w:szCs w:val="24"/>
                <w:highlight w:val="yellow"/>
              </w:rPr>
            </w:pPr>
            <w:r w:rsidRPr="00503226">
              <w:rPr>
                <w:rFonts w:cs="Arial"/>
                <w:color w:val="000000" w:themeColor="text1"/>
                <w:sz w:val="24"/>
                <w:szCs w:val="24"/>
              </w:rPr>
              <w:t>Stage of Treatment Guarantee – Inpatient and DC cases (Heart &amp; Lung only)</w:t>
            </w:r>
          </w:p>
        </w:tc>
        <w:tc>
          <w:tcPr>
            <w:tcW w:w="567" w:type="dxa"/>
            <w:shd w:val="clear" w:color="auto" w:fill="E5B8B7" w:themeFill="accent2" w:themeFillTint="66"/>
          </w:tcPr>
          <w:p w:rsidR="00100E12" w:rsidRPr="00503226" w:rsidRDefault="00100E12" w:rsidP="00A80151">
            <w:pPr>
              <w:rPr>
                <w:rFonts w:cs="Arial"/>
                <w:color w:val="000000" w:themeColor="text1"/>
                <w:sz w:val="24"/>
                <w:szCs w:val="24"/>
                <w:highlight w:val="yellow"/>
              </w:rPr>
            </w:pPr>
          </w:p>
        </w:tc>
        <w:tc>
          <w:tcPr>
            <w:tcW w:w="5917" w:type="dxa"/>
          </w:tcPr>
          <w:p w:rsidR="00100E12" w:rsidRPr="00503226" w:rsidRDefault="00100E12" w:rsidP="00A80151">
            <w:pPr>
              <w:rPr>
                <w:rFonts w:cs="Arial"/>
                <w:color w:val="000000" w:themeColor="text1"/>
                <w:sz w:val="24"/>
                <w:szCs w:val="24"/>
                <w:highlight w:val="yellow"/>
              </w:rPr>
            </w:pPr>
            <w:r w:rsidRPr="00503226">
              <w:rPr>
                <w:rFonts w:cs="Arial"/>
                <w:color w:val="000000" w:themeColor="text1"/>
                <w:sz w:val="24"/>
                <w:szCs w:val="24"/>
              </w:rPr>
              <w:t xml:space="preserve">Position was </w:t>
            </w:r>
            <w:r>
              <w:rPr>
                <w:rFonts w:cs="Arial"/>
                <w:color w:val="000000" w:themeColor="text1"/>
                <w:sz w:val="24"/>
                <w:szCs w:val="24"/>
              </w:rPr>
              <w:t>81.8</w:t>
            </w:r>
            <w:r w:rsidRPr="00503226">
              <w:rPr>
                <w:rFonts w:cs="Arial"/>
                <w:color w:val="000000" w:themeColor="text1"/>
                <w:sz w:val="24"/>
                <w:szCs w:val="24"/>
              </w:rPr>
              <w:t>% in May 2020 however this represents minimal numbers of patients seen (</w:t>
            </w:r>
            <w:r>
              <w:rPr>
                <w:rFonts w:cs="Arial"/>
                <w:color w:val="000000" w:themeColor="text1"/>
                <w:sz w:val="24"/>
                <w:szCs w:val="24"/>
              </w:rPr>
              <w:t>234</w:t>
            </w:r>
            <w:r w:rsidRPr="00503226">
              <w:rPr>
                <w:rFonts w:cs="Arial"/>
                <w:color w:val="000000" w:themeColor="text1"/>
                <w:sz w:val="24"/>
                <w:szCs w:val="24"/>
              </w:rPr>
              <w:t>/</w:t>
            </w:r>
            <w:r>
              <w:rPr>
                <w:rFonts w:cs="Arial"/>
                <w:color w:val="000000" w:themeColor="text1"/>
                <w:sz w:val="24"/>
                <w:szCs w:val="24"/>
              </w:rPr>
              <w:t>286</w:t>
            </w:r>
            <w:r w:rsidRPr="00503226">
              <w:rPr>
                <w:rFonts w:cs="Arial"/>
                <w:color w:val="000000" w:themeColor="text1"/>
                <w:sz w:val="24"/>
                <w:szCs w:val="24"/>
              </w:rPr>
              <w:t>)</w:t>
            </w:r>
          </w:p>
        </w:tc>
      </w:tr>
      <w:tr w:rsidR="00100E12" w:rsidRPr="00537E19" w:rsidTr="00A80151">
        <w:tc>
          <w:tcPr>
            <w:tcW w:w="2802" w:type="dxa"/>
          </w:tcPr>
          <w:p w:rsidR="00100E12" w:rsidRPr="00E57CF2" w:rsidRDefault="00100E12" w:rsidP="00A80151">
            <w:pPr>
              <w:rPr>
                <w:rFonts w:cs="Arial"/>
                <w:color w:val="000000" w:themeColor="text1"/>
                <w:sz w:val="24"/>
                <w:szCs w:val="24"/>
                <w:highlight w:val="yellow"/>
              </w:rPr>
            </w:pPr>
            <w:r w:rsidRPr="00E57CF2">
              <w:rPr>
                <w:rFonts w:cs="Arial"/>
                <w:color w:val="000000" w:themeColor="text1"/>
                <w:sz w:val="24"/>
                <w:szCs w:val="24"/>
              </w:rPr>
              <w:t>DOSA rate: Cardiac Surgery</w:t>
            </w:r>
          </w:p>
        </w:tc>
        <w:tc>
          <w:tcPr>
            <w:tcW w:w="567" w:type="dxa"/>
            <w:shd w:val="clear" w:color="auto" w:fill="E5B8B7" w:themeFill="accent2" w:themeFillTint="66"/>
          </w:tcPr>
          <w:p w:rsidR="00100E12" w:rsidRPr="00E57CF2" w:rsidRDefault="00100E12" w:rsidP="00A80151">
            <w:pPr>
              <w:rPr>
                <w:rFonts w:cs="Arial"/>
                <w:color w:val="000000" w:themeColor="text1"/>
                <w:sz w:val="24"/>
                <w:szCs w:val="24"/>
                <w:highlight w:val="yellow"/>
              </w:rPr>
            </w:pPr>
          </w:p>
        </w:tc>
        <w:tc>
          <w:tcPr>
            <w:tcW w:w="5917" w:type="dxa"/>
          </w:tcPr>
          <w:p w:rsidR="00100E12" w:rsidRPr="00E57CF2" w:rsidRDefault="00100E12" w:rsidP="00A80151">
            <w:pPr>
              <w:rPr>
                <w:rFonts w:cs="Arial"/>
                <w:color w:val="000000" w:themeColor="text1"/>
                <w:sz w:val="24"/>
                <w:szCs w:val="24"/>
                <w:highlight w:val="yellow"/>
              </w:rPr>
            </w:pPr>
            <w:r w:rsidRPr="00E57CF2">
              <w:rPr>
                <w:rFonts w:cs="Arial"/>
                <w:color w:val="000000" w:themeColor="text1"/>
                <w:sz w:val="24"/>
                <w:szCs w:val="24"/>
              </w:rPr>
              <w:t xml:space="preserve">In May 2020 there were </w:t>
            </w:r>
            <w:r>
              <w:rPr>
                <w:rFonts w:cs="Arial"/>
                <w:color w:val="000000" w:themeColor="text1"/>
                <w:sz w:val="24"/>
                <w:szCs w:val="24"/>
              </w:rPr>
              <w:t>no</w:t>
            </w:r>
            <w:r w:rsidRPr="00E57CF2">
              <w:rPr>
                <w:rFonts w:cs="Arial"/>
                <w:color w:val="000000" w:themeColor="text1"/>
                <w:sz w:val="24"/>
                <w:szCs w:val="24"/>
              </w:rPr>
              <w:t xml:space="preserve"> DOSA cases with a minimal level of elective activity (27 cases). </w:t>
            </w:r>
          </w:p>
        </w:tc>
      </w:tr>
      <w:tr w:rsidR="00100E12" w:rsidRPr="00537E19" w:rsidTr="00A80151">
        <w:tc>
          <w:tcPr>
            <w:tcW w:w="2802" w:type="dxa"/>
          </w:tcPr>
          <w:p w:rsidR="00100E12" w:rsidRPr="00E57CF2" w:rsidRDefault="00100E12" w:rsidP="00A80151">
            <w:pPr>
              <w:rPr>
                <w:rFonts w:cs="Arial"/>
                <w:color w:val="000000" w:themeColor="text1"/>
                <w:sz w:val="24"/>
                <w:szCs w:val="24"/>
                <w:highlight w:val="yellow"/>
              </w:rPr>
            </w:pPr>
            <w:r w:rsidRPr="00E57CF2">
              <w:rPr>
                <w:rFonts w:cs="Arial"/>
                <w:color w:val="000000" w:themeColor="text1"/>
                <w:sz w:val="24"/>
                <w:szCs w:val="24"/>
              </w:rPr>
              <w:t>DOSA rate: Orthopaedics</w:t>
            </w:r>
          </w:p>
        </w:tc>
        <w:tc>
          <w:tcPr>
            <w:tcW w:w="567" w:type="dxa"/>
            <w:shd w:val="clear" w:color="auto" w:fill="FFFFFF" w:themeFill="background1"/>
          </w:tcPr>
          <w:p w:rsidR="00100E12" w:rsidRPr="00E57CF2" w:rsidRDefault="00100E12" w:rsidP="00A80151">
            <w:pPr>
              <w:rPr>
                <w:rFonts w:cs="Arial"/>
                <w:color w:val="000000" w:themeColor="text1"/>
                <w:sz w:val="24"/>
                <w:szCs w:val="24"/>
                <w:highlight w:val="yellow"/>
              </w:rPr>
            </w:pPr>
          </w:p>
        </w:tc>
        <w:tc>
          <w:tcPr>
            <w:tcW w:w="5917" w:type="dxa"/>
          </w:tcPr>
          <w:p w:rsidR="00100E12" w:rsidRPr="00E57CF2" w:rsidRDefault="00100E12" w:rsidP="00A80151">
            <w:pPr>
              <w:rPr>
                <w:rFonts w:cs="Arial"/>
                <w:color w:val="000000" w:themeColor="text1"/>
                <w:sz w:val="24"/>
                <w:szCs w:val="24"/>
              </w:rPr>
            </w:pPr>
            <w:r w:rsidRPr="00E57CF2">
              <w:rPr>
                <w:rFonts w:cs="Arial"/>
                <w:color w:val="000000" w:themeColor="text1"/>
                <w:sz w:val="24"/>
                <w:szCs w:val="24"/>
              </w:rPr>
              <w:t xml:space="preserve">Elective Orthopaedic cases were suspended in late March 2020. </w:t>
            </w:r>
          </w:p>
        </w:tc>
      </w:tr>
      <w:tr w:rsidR="00100E12" w:rsidRPr="00537E19" w:rsidTr="00A80151">
        <w:tc>
          <w:tcPr>
            <w:tcW w:w="2802" w:type="dxa"/>
          </w:tcPr>
          <w:p w:rsidR="00100E12" w:rsidRPr="00E57CF2" w:rsidRDefault="00100E12" w:rsidP="00A80151">
            <w:pPr>
              <w:rPr>
                <w:rFonts w:cs="Arial"/>
                <w:color w:val="000000" w:themeColor="text1"/>
                <w:sz w:val="24"/>
                <w:szCs w:val="24"/>
                <w:highlight w:val="yellow"/>
              </w:rPr>
            </w:pPr>
            <w:r w:rsidRPr="00E57CF2">
              <w:rPr>
                <w:rFonts w:cs="Arial"/>
                <w:color w:val="000000" w:themeColor="text1"/>
                <w:sz w:val="24"/>
                <w:szCs w:val="24"/>
              </w:rPr>
              <w:t>DOSA rate: Thoracic Surgery</w:t>
            </w:r>
          </w:p>
        </w:tc>
        <w:tc>
          <w:tcPr>
            <w:tcW w:w="567" w:type="dxa"/>
            <w:shd w:val="clear" w:color="auto" w:fill="E5B8B7" w:themeFill="accent2" w:themeFillTint="66"/>
          </w:tcPr>
          <w:p w:rsidR="00100E12" w:rsidRPr="00E57CF2" w:rsidRDefault="00100E12" w:rsidP="00A80151">
            <w:pPr>
              <w:rPr>
                <w:rFonts w:cs="Arial"/>
                <w:color w:val="000000" w:themeColor="text1"/>
                <w:sz w:val="24"/>
                <w:szCs w:val="24"/>
                <w:highlight w:val="yellow"/>
              </w:rPr>
            </w:pPr>
          </w:p>
        </w:tc>
        <w:tc>
          <w:tcPr>
            <w:tcW w:w="5917" w:type="dxa"/>
          </w:tcPr>
          <w:p w:rsidR="00100E12" w:rsidRPr="00E57CF2" w:rsidRDefault="00100E12" w:rsidP="00A80151">
            <w:pPr>
              <w:rPr>
                <w:rFonts w:cs="Arial"/>
                <w:color w:val="000000" w:themeColor="text1"/>
                <w:sz w:val="24"/>
                <w:szCs w:val="24"/>
                <w:highlight w:val="yellow"/>
              </w:rPr>
            </w:pPr>
            <w:r w:rsidRPr="00E57CF2">
              <w:rPr>
                <w:rFonts w:cs="Arial"/>
                <w:color w:val="000000" w:themeColor="text1"/>
                <w:sz w:val="24"/>
                <w:szCs w:val="24"/>
              </w:rPr>
              <w:t>In May 2020 there were no DOSA cases with an elective activity count of 67.</w:t>
            </w:r>
          </w:p>
        </w:tc>
      </w:tr>
      <w:tr w:rsidR="00100E12" w:rsidRPr="00537E19" w:rsidTr="00A80151">
        <w:tc>
          <w:tcPr>
            <w:tcW w:w="2802" w:type="dxa"/>
          </w:tcPr>
          <w:p w:rsidR="00100E12" w:rsidRPr="00E57CF2" w:rsidRDefault="00100E12" w:rsidP="00A80151">
            <w:pPr>
              <w:rPr>
                <w:rFonts w:cs="Arial"/>
                <w:color w:val="000000" w:themeColor="text1"/>
                <w:sz w:val="24"/>
                <w:szCs w:val="24"/>
                <w:highlight w:val="yellow"/>
              </w:rPr>
            </w:pPr>
            <w:r w:rsidRPr="00E57CF2">
              <w:rPr>
                <w:rFonts w:cs="Arial"/>
                <w:color w:val="000000" w:themeColor="text1"/>
                <w:sz w:val="24"/>
                <w:szCs w:val="24"/>
              </w:rPr>
              <w:t>Theatre Cancellation Rates</w:t>
            </w:r>
          </w:p>
        </w:tc>
        <w:tc>
          <w:tcPr>
            <w:tcW w:w="567" w:type="dxa"/>
            <w:shd w:val="clear" w:color="auto" w:fill="E5B8B7" w:themeFill="accent2" w:themeFillTint="66"/>
          </w:tcPr>
          <w:p w:rsidR="00100E12" w:rsidRPr="00E57CF2" w:rsidRDefault="00100E12" w:rsidP="00A80151">
            <w:pPr>
              <w:rPr>
                <w:rFonts w:cs="Arial"/>
                <w:color w:val="000000" w:themeColor="text1"/>
                <w:sz w:val="24"/>
                <w:szCs w:val="24"/>
                <w:highlight w:val="yellow"/>
              </w:rPr>
            </w:pPr>
          </w:p>
        </w:tc>
        <w:tc>
          <w:tcPr>
            <w:tcW w:w="5917" w:type="dxa"/>
          </w:tcPr>
          <w:p w:rsidR="00100E12" w:rsidRPr="00E57CF2" w:rsidRDefault="00100E12" w:rsidP="00A80151">
            <w:pPr>
              <w:rPr>
                <w:rFonts w:cs="Arial"/>
                <w:color w:val="000000" w:themeColor="text1"/>
                <w:sz w:val="24"/>
                <w:szCs w:val="24"/>
              </w:rPr>
            </w:pPr>
            <w:r w:rsidRPr="00E57CF2">
              <w:rPr>
                <w:rFonts w:cs="Arial"/>
                <w:color w:val="000000" w:themeColor="text1"/>
                <w:sz w:val="24"/>
                <w:szCs w:val="24"/>
              </w:rPr>
              <w:t>Both cancellations and overall activity remain greatly reduced in May 2020. There were 22 cancellations against 316 scheduled cases (6.96%)</w:t>
            </w:r>
          </w:p>
        </w:tc>
      </w:tr>
      <w:tr w:rsidR="00100E12" w:rsidRPr="00537E19" w:rsidTr="00A80151">
        <w:tc>
          <w:tcPr>
            <w:tcW w:w="2802" w:type="dxa"/>
          </w:tcPr>
          <w:p w:rsidR="00100E12" w:rsidRPr="00E57CF2" w:rsidRDefault="00100E12" w:rsidP="00A80151">
            <w:pPr>
              <w:rPr>
                <w:rFonts w:cs="Arial"/>
                <w:color w:val="000000" w:themeColor="text1"/>
                <w:sz w:val="24"/>
                <w:szCs w:val="24"/>
              </w:rPr>
            </w:pPr>
            <w:r w:rsidRPr="00E57CF2">
              <w:rPr>
                <w:rFonts w:cs="Arial"/>
                <w:color w:val="000000" w:themeColor="text1"/>
                <w:sz w:val="24"/>
                <w:szCs w:val="24"/>
              </w:rPr>
              <w:t>Hospital Bed Occupancy</w:t>
            </w:r>
          </w:p>
        </w:tc>
        <w:tc>
          <w:tcPr>
            <w:tcW w:w="567" w:type="dxa"/>
            <w:shd w:val="clear" w:color="auto" w:fill="B8CCE4" w:themeFill="accent1" w:themeFillTint="66"/>
          </w:tcPr>
          <w:p w:rsidR="00100E12" w:rsidRPr="00E57CF2" w:rsidRDefault="00100E12" w:rsidP="00A80151">
            <w:pPr>
              <w:rPr>
                <w:rFonts w:cs="Arial"/>
                <w:color w:val="000000" w:themeColor="text1"/>
                <w:sz w:val="24"/>
                <w:szCs w:val="24"/>
              </w:rPr>
            </w:pPr>
          </w:p>
        </w:tc>
        <w:tc>
          <w:tcPr>
            <w:tcW w:w="5917" w:type="dxa"/>
          </w:tcPr>
          <w:p w:rsidR="00100E12" w:rsidRPr="00E57CF2" w:rsidRDefault="00100E12" w:rsidP="00A80151">
            <w:pPr>
              <w:rPr>
                <w:rFonts w:cs="Arial"/>
                <w:color w:val="000000" w:themeColor="text1"/>
                <w:sz w:val="24"/>
                <w:szCs w:val="24"/>
              </w:rPr>
            </w:pPr>
            <w:r w:rsidRPr="00E57CF2">
              <w:rPr>
                <w:rFonts w:cs="Arial"/>
                <w:color w:val="000000" w:themeColor="text1"/>
                <w:sz w:val="24"/>
                <w:szCs w:val="24"/>
              </w:rPr>
              <w:t>Hospital wide bed occupancy was reported as 59.1% in May 2020, an increase from 53.7% in April 2020.</w:t>
            </w:r>
          </w:p>
        </w:tc>
      </w:tr>
      <w:tr w:rsidR="00100E12" w:rsidRPr="00537E19" w:rsidTr="00A80151">
        <w:tc>
          <w:tcPr>
            <w:tcW w:w="2802" w:type="dxa"/>
          </w:tcPr>
          <w:p w:rsidR="00100E12" w:rsidRPr="00E57CF2" w:rsidRDefault="00100E12" w:rsidP="00A80151">
            <w:pPr>
              <w:rPr>
                <w:rFonts w:cs="Arial"/>
                <w:color w:val="000000" w:themeColor="text1"/>
                <w:sz w:val="24"/>
                <w:szCs w:val="24"/>
              </w:rPr>
            </w:pPr>
            <w:r w:rsidRPr="00E57CF2">
              <w:rPr>
                <w:rFonts w:cs="Arial"/>
                <w:color w:val="000000" w:themeColor="text1"/>
                <w:sz w:val="24"/>
                <w:szCs w:val="24"/>
              </w:rPr>
              <w:t>Hotel KPIs</w:t>
            </w:r>
          </w:p>
        </w:tc>
        <w:tc>
          <w:tcPr>
            <w:tcW w:w="567" w:type="dxa"/>
            <w:shd w:val="clear" w:color="auto" w:fill="FFFFFF" w:themeFill="background1"/>
          </w:tcPr>
          <w:p w:rsidR="00100E12" w:rsidRPr="00E57CF2" w:rsidRDefault="00100E12" w:rsidP="00A80151">
            <w:pPr>
              <w:rPr>
                <w:rFonts w:cs="Arial"/>
                <w:color w:val="000000" w:themeColor="text1"/>
                <w:sz w:val="24"/>
                <w:szCs w:val="24"/>
              </w:rPr>
            </w:pPr>
          </w:p>
        </w:tc>
        <w:tc>
          <w:tcPr>
            <w:tcW w:w="5917" w:type="dxa"/>
          </w:tcPr>
          <w:p w:rsidR="00100E12" w:rsidRPr="00E57CF2" w:rsidRDefault="00100E12" w:rsidP="00A80151">
            <w:pPr>
              <w:rPr>
                <w:rFonts w:cs="Arial"/>
                <w:color w:val="000000" w:themeColor="text1"/>
                <w:sz w:val="24"/>
                <w:szCs w:val="24"/>
              </w:rPr>
            </w:pPr>
            <w:r w:rsidRPr="00E57CF2">
              <w:rPr>
                <w:rFonts w:cs="Arial"/>
                <w:color w:val="000000" w:themeColor="text1"/>
                <w:sz w:val="24"/>
                <w:szCs w:val="24"/>
              </w:rPr>
              <w:t>Hotel target thresholds for 2020/2021 are currently under review due to the Covid 19 emergency.</w:t>
            </w:r>
          </w:p>
        </w:tc>
      </w:tr>
      <w:tr w:rsidR="00100E12" w:rsidRPr="00537E19" w:rsidTr="00A80151">
        <w:tc>
          <w:tcPr>
            <w:tcW w:w="2802" w:type="dxa"/>
          </w:tcPr>
          <w:p w:rsidR="00100E12" w:rsidRPr="00E57CF2" w:rsidRDefault="00100E12" w:rsidP="00A80151">
            <w:pPr>
              <w:rPr>
                <w:rFonts w:cs="Arial"/>
                <w:color w:val="000000" w:themeColor="text1"/>
                <w:sz w:val="24"/>
                <w:szCs w:val="24"/>
              </w:rPr>
            </w:pPr>
            <w:r w:rsidRPr="00E57CF2">
              <w:rPr>
                <w:rFonts w:cs="Arial"/>
                <w:color w:val="000000" w:themeColor="text1"/>
                <w:sz w:val="24"/>
                <w:szCs w:val="24"/>
              </w:rPr>
              <w:t xml:space="preserve">Research and Innovation </w:t>
            </w:r>
          </w:p>
        </w:tc>
        <w:tc>
          <w:tcPr>
            <w:tcW w:w="567" w:type="dxa"/>
            <w:shd w:val="clear" w:color="auto" w:fill="FFFFFF" w:themeFill="background1"/>
          </w:tcPr>
          <w:p w:rsidR="00100E12" w:rsidRPr="00E57CF2" w:rsidRDefault="00100E12" w:rsidP="00A80151">
            <w:pPr>
              <w:rPr>
                <w:rFonts w:cs="Arial"/>
                <w:color w:val="000000" w:themeColor="text1"/>
                <w:sz w:val="24"/>
                <w:szCs w:val="24"/>
                <w:highlight w:val="yellow"/>
              </w:rPr>
            </w:pPr>
          </w:p>
        </w:tc>
        <w:tc>
          <w:tcPr>
            <w:tcW w:w="5917" w:type="dxa"/>
          </w:tcPr>
          <w:p w:rsidR="00100E12" w:rsidRPr="00E57CF2" w:rsidRDefault="00100E12" w:rsidP="00A80151">
            <w:pPr>
              <w:rPr>
                <w:rFonts w:cs="Arial"/>
                <w:color w:val="000000" w:themeColor="text1"/>
                <w:sz w:val="24"/>
                <w:szCs w:val="24"/>
              </w:rPr>
            </w:pPr>
            <w:r w:rsidRPr="00E57CF2">
              <w:rPr>
                <w:rFonts w:cs="Arial"/>
                <w:color w:val="000000" w:themeColor="text1"/>
                <w:sz w:val="24"/>
                <w:szCs w:val="24"/>
              </w:rPr>
              <w:t>Research indicators will next be updated in the July IPR</w:t>
            </w:r>
          </w:p>
        </w:tc>
      </w:tr>
      <w:tr w:rsidR="00100E12" w:rsidRPr="00537E19" w:rsidTr="00A80151">
        <w:trPr>
          <w:trHeight w:val="181"/>
        </w:trPr>
        <w:tc>
          <w:tcPr>
            <w:tcW w:w="9286" w:type="dxa"/>
            <w:gridSpan w:val="3"/>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100E12" w:rsidRPr="007A5CA2" w:rsidRDefault="00100E12" w:rsidP="00A80151">
            <w:pPr>
              <w:rPr>
                <w:rFonts w:cs="Arial"/>
                <w:sz w:val="24"/>
                <w:szCs w:val="24"/>
              </w:rPr>
            </w:pPr>
            <w:r w:rsidRPr="007A5CA2">
              <w:rPr>
                <w:rFonts w:cs="Arial"/>
                <w:sz w:val="24"/>
                <w:szCs w:val="24"/>
              </w:rPr>
              <w:t>National Comparison Table, Corporate Dashboard, Waiting list &amp; Productivity table</w:t>
            </w:r>
          </w:p>
        </w:tc>
      </w:tr>
      <w:tr w:rsidR="00100E12" w:rsidRPr="00537E19" w:rsidTr="00A80151">
        <w:tc>
          <w:tcPr>
            <w:tcW w:w="9286" w:type="dxa"/>
            <w:gridSpan w:val="3"/>
            <w:tcBorders>
              <w:top w:val="single" w:sz="4" w:space="0" w:color="auto"/>
            </w:tcBorders>
          </w:tcPr>
          <w:p w:rsidR="00100E12" w:rsidRPr="007A5CA2" w:rsidRDefault="00100E12" w:rsidP="00A80151">
            <w:pPr>
              <w:spacing w:after="180"/>
              <w:rPr>
                <w:rFonts w:cs="Arial"/>
                <w:sz w:val="24"/>
                <w:szCs w:val="24"/>
                <w:highlight w:val="yellow"/>
              </w:rPr>
            </w:pPr>
            <w:r w:rsidRPr="007A5CA2">
              <w:rPr>
                <w:rFonts w:cs="Arial"/>
                <w:sz w:val="24"/>
                <w:szCs w:val="24"/>
              </w:rPr>
              <w:t>The GJNH nationally reported elective cancellation rate increased from 13.4% in March 2020 to 20% in Apr 2020. This ranked GJNH as 13 out of 15. The Scotland rate was 13.4%. Analysis shows a large number of Ophthalmology cancellations were reported in error which were not corrected.</w:t>
            </w:r>
          </w:p>
        </w:tc>
      </w:tr>
      <w:tr w:rsidR="00100E12" w:rsidRPr="00537E19" w:rsidTr="00A80151">
        <w:tc>
          <w:tcPr>
            <w:tcW w:w="9286" w:type="dxa"/>
            <w:gridSpan w:val="3"/>
            <w:tcBorders>
              <w:top w:val="single" w:sz="4" w:space="0" w:color="auto"/>
            </w:tcBorders>
          </w:tcPr>
          <w:p w:rsidR="00100E12" w:rsidRPr="00C20F33" w:rsidRDefault="00100E12" w:rsidP="00A80151">
            <w:pPr>
              <w:spacing w:after="180"/>
              <w:rPr>
                <w:rFonts w:cs="Arial"/>
                <w:sz w:val="24"/>
                <w:szCs w:val="24"/>
                <w:highlight w:val="yellow"/>
              </w:rPr>
            </w:pPr>
            <w:r w:rsidRPr="00C20F33">
              <w:rPr>
                <w:rFonts w:cs="Arial"/>
                <w:sz w:val="24"/>
                <w:szCs w:val="24"/>
              </w:rPr>
              <w:t xml:space="preserve">Golden Jubilee comparative performance against the national 31 Day Cancer target is reported using the Information Services Division (ISD) nationally published position. For Quarter 4 2019 GJNH dropped to 6th at 96% (4 breaches). This </w:t>
            </w:r>
            <w:r w:rsidRPr="00C20F33">
              <w:rPr>
                <w:rFonts w:cs="Arial"/>
                <w:sz w:val="24"/>
                <w:szCs w:val="24"/>
              </w:rPr>
              <w:lastRenderedPageBreak/>
              <w:t xml:space="preserve">remains the latest position available. </w:t>
            </w:r>
          </w:p>
        </w:tc>
      </w:tr>
      <w:tr w:rsidR="00100E12" w:rsidRPr="00537E19" w:rsidTr="00A80151">
        <w:tc>
          <w:tcPr>
            <w:tcW w:w="9286" w:type="dxa"/>
            <w:gridSpan w:val="3"/>
          </w:tcPr>
          <w:p w:rsidR="00100E12" w:rsidRPr="00C20F33" w:rsidRDefault="00100E12" w:rsidP="00A80151">
            <w:pPr>
              <w:spacing w:after="180"/>
              <w:rPr>
                <w:rFonts w:cs="Arial"/>
                <w:sz w:val="24"/>
                <w:szCs w:val="24"/>
              </w:rPr>
            </w:pPr>
            <w:r w:rsidRPr="00C20F33">
              <w:rPr>
                <w:rFonts w:cs="Arial"/>
                <w:sz w:val="24"/>
                <w:szCs w:val="24"/>
              </w:rPr>
              <w:lastRenderedPageBreak/>
              <w:t>Health Protection Scotland published figures for Quarter 4 2019 report a GJNH incidence rate (per 100,000 total occupied bed days) of 8.6 for both SAB and CDiff incidence. The Scotland rates were 15.2 and 14.9 respectively. This remains the latest position available.</w:t>
            </w:r>
          </w:p>
        </w:tc>
      </w:tr>
      <w:tr w:rsidR="00100E12" w:rsidRPr="00841BB2" w:rsidTr="00A80151">
        <w:tc>
          <w:tcPr>
            <w:tcW w:w="9286" w:type="dxa"/>
            <w:gridSpan w:val="3"/>
          </w:tcPr>
          <w:p w:rsidR="00100E12" w:rsidRPr="00841BB2" w:rsidRDefault="00100E12" w:rsidP="00A80151">
            <w:pPr>
              <w:spacing w:after="180"/>
              <w:rPr>
                <w:rFonts w:cs="Arial"/>
                <w:color w:val="000000" w:themeColor="text1"/>
                <w:sz w:val="24"/>
                <w:szCs w:val="24"/>
                <w:highlight w:val="yellow"/>
              </w:rPr>
            </w:pPr>
            <w:r w:rsidRPr="00841BB2">
              <w:rPr>
                <w:rFonts w:cs="Arial"/>
                <w:color w:val="000000" w:themeColor="text1"/>
                <w:sz w:val="24"/>
                <w:szCs w:val="24"/>
              </w:rPr>
              <w:t>Corporate sickness rates deteriorated in May 2020 (+1.1% to 3.8%) The number of departments over the 4% threshold increased to: Performance and Planning, Research, Business Services, Housekeeping and Catering.</w:t>
            </w:r>
          </w:p>
        </w:tc>
      </w:tr>
      <w:tr w:rsidR="00100E12" w:rsidRPr="00537E19" w:rsidTr="00A80151">
        <w:tc>
          <w:tcPr>
            <w:tcW w:w="9286" w:type="dxa"/>
            <w:gridSpan w:val="3"/>
          </w:tcPr>
          <w:p w:rsidR="00100E12" w:rsidRPr="00BE701E" w:rsidRDefault="00100E12" w:rsidP="00A80151">
            <w:pPr>
              <w:spacing w:after="180"/>
              <w:rPr>
                <w:rFonts w:cs="Arial"/>
                <w:color w:val="000000" w:themeColor="text1"/>
                <w:sz w:val="24"/>
                <w:szCs w:val="24"/>
              </w:rPr>
            </w:pPr>
            <w:r w:rsidRPr="00BE701E">
              <w:rPr>
                <w:rFonts w:cs="Arial"/>
                <w:color w:val="000000" w:themeColor="text1"/>
                <w:sz w:val="24"/>
                <w:szCs w:val="24"/>
              </w:rPr>
              <w:t>The total inpatient waiting list month end position decreased by 7 from 4020 to 4013.</w:t>
            </w:r>
          </w:p>
          <w:p w:rsidR="00100E12" w:rsidRPr="00106E78" w:rsidRDefault="00100E12" w:rsidP="00A80151">
            <w:pPr>
              <w:spacing w:after="180"/>
              <w:rPr>
                <w:rFonts w:cs="Arial"/>
                <w:color w:val="FF0000"/>
                <w:sz w:val="24"/>
                <w:szCs w:val="24"/>
              </w:rPr>
            </w:pPr>
            <w:r w:rsidRPr="00BE701E">
              <w:rPr>
                <w:rFonts w:cs="Arial"/>
                <w:color w:val="000000" w:themeColor="text1"/>
                <w:sz w:val="24"/>
                <w:szCs w:val="24"/>
              </w:rPr>
              <w:t>The total outpatient waiting list decreased by 53 to 1734. This reflects the large drop in referrals received. For current waiters the number waiting between 12-26 increased significantly from 1045 to 11953 (+908) This is due to large increases in Orthopaedics and Ophthalmology for which elective activity is currently paused.</w:t>
            </w:r>
          </w:p>
        </w:tc>
      </w:tr>
    </w:tbl>
    <w:p w:rsidR="00100E12" w:rsidRPr="00537E19" w:rsidRDefault="00100E12" w:rsidP="00100E12">
      <w:pPr>
        <w:spacing w:after="200" w:line="276" w:lineRule="auto"/>
        <w:rPr>
          <w:rFonts w:cs="Arial"/>
          <w:b/>
          <w:bCs/>
          <w:noProof/>
          <w:color w:val="FF0000"/>
          <w:kern w:val="32"/>
          <w:sz w:val="28"/>
          <w:szCs w:val="28"/>
          <w:u w:val="single"/>
          <w:lang w:eastAsia="en-GB"/>
        </w:rPr>
      </w:pPr>
    </w:p>
    <w:p w:rsidR="00C8171B" w:rsidRDefault="00C8171B" w:rsidP="000F5444">
      <w:pPr>
        <w:pStyle w:val="NoSpacing"/>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Default="00C8171B" w:rsidP="007132BF">
      <w:pPr>
        <w:pStyle w:val="BodyText"/>
        <w:kinsoku w:val="0"/>
        <w:overflowPunct w:val="0"/>
        <w:spacing w:before="100" w:line="254" w:lineRule="auto"/>
        <w:ind w:left="1856" w:right="1639"/>
        <w:jc w:val="center"/>
        <w:rPr>
          <w:rFonts w:ascii="Arial" w:hAnsi="Arial" w:cs="Arial"/>
          <w:b/>
          <w:bCs/>
          <w:iCs/>
          <w:sz w:val="48"/>
          <w:szCs w:val="48"/>
        </w:rPr>
      </w:pPr>
    </w:p>
    <w:p w:rsidR="00C8171B" w:rsidRPr="003357BA" w:rsidRDefault="00C8171B" w:rsidP="007132BF">
      <w:pPr>
        <w:pStyle w:val="BodyText"/>
        <w:kinsoku w:val="0"/>
        <w:overflowPunct w:val="0"/>
        <w:spacing w:before="100" w:line="254" w:lineRule="auto"/>
        <w:ind w:left="1856" w:right="1639"/>
        <w:jc w:val="center"/>
        <w:rPr>
          <w:rFonts w:ascii="Arial" w:hAnsi="Arial" w:cs="Arial"/>
          <w:b/>
          <w:bCs/>
          <w:iCs/>
          <w:sz w:val="48"/>
          <w:szCs w:val="48"/>
        </w:rPr>
      </w:pPr>
      <w:r>
        <w:rPr>
          <w:rFonts w:ascii="Arial" w:hAnsi="Arial" w:cs="Arial"/>
          <w:b/>
          <w:bCs/>
          <w:iCs/>
          <w:sz w:val="48"/>
          <w:szCs w:val="48"/>
        </w:rPr>
        <w:lastRenderedPageBreak/>
        <w:t xml:space="preserve">NHS </w:t>
      </w:r>
      <w:r w:rsidRPr="003357BA">
        <w:rPr>
          <w:rFonts w:ascii="Arial" w:hAnsi="Arial" w:cs="Arial"/>
          <w:b/>
          <w:bCs/>
          <w:iCs/>
          <w:sz w:val="48"/>
          <w:szCs w:val="48"/>
        </w:rPr>
        <w:t>Golden Jubilee</w:t>
      </w:r>
    </w:p>
    <w:p w:rsidR="00C8171B" w:rsidRPr="003357BA" w:rsidRDefault="00C8171B" w:rsidP="001318A5">
      <w:pPr>
        <w:pStyle w:val="BodyText"/>
        <w:kinsoku w:val="0"/>
        <w:overflowPunct w:val="0"/>
        <w:spacing w:before="100" w:line="254" w:lineRule="auto"/>
        <w:ind w:left="1856" w:right="1639"/>
        <w:jc w:val="center"/>
        <w:rPr>
          <w:rFonts w:ascii="Arial" w:hAnsi="Arial" w:cs="Arial"/>
          <w:b/>
          <w:bCs/>
          <w:iCs/>
          <w:sz w:val="48"/>
          <w:szCs w:val="48"/>
        </w:rPr>
      </w:pPr>
      <w:r>
        <w:rPr>
          <w:rFonts w:ascii="Arial" w:hAnsi="Arial" w:cs="Arial"/>
          <w:b/>
          <w:bCs/>
          <w:iCs/>
          <w:sz w:val="48"/>
          <w:szCs w:val="48"/>
        </w:rPr>
        <w:t>Summary Finance Report</w:t>
      </w:r>
    </w:p>
    <w:p w:rsidR="00C8171B" w:rsidRDefault="00C8171B" w:rsidP="009A2C5F">
      <w:pPr>
        <w:pStyle w:val="BodyText"/>
        <w:kinsoku w:val="0"/>
        <w:overflowPunct w:val="0"/>
        <w:spacing w:before="100" w:line="254" w:lineRule="auto"/>
        <w:ind w:left="1560" w:right="1639"/>
        <w:jc w:val="center"/>
        <w:rPr>
          <w:rFonts w:ascii="Arial" w:hAnsi="Arial" w:cs="Arial"/>
          <w:b/>
          <w:bCs/>
          <w:iCs/>
          <w:sz w:val="44"/>
          <w:szCs w:val="44"/>
        </w:rPr>
      </w:pPr>
      <w:r w:rsidRPr="00034A8B">
        <w:rPr>
          <w:rFonts w:ascii="Arial" w:hAnsi="Arial" w:cs="Arial"/>
          <w:b/>
          <w:bCs/>
          <w:iCs/>
          <w:sz w:val="44"/>
          <w:szCs w:val="44"/>
        </w:rPr>
        <w:t>As at</w:t>
      </w:r>
      <w:r>
        <w:rPr>
          <w:rFonts w:ascii="Arial" w:hAnsi="Arial" w:cs="Arial"/>
          <w:b/>
          <w:bCs/>
          <w:iCs/>
          <w:sz w:val="44"/>
          <w:szCs w:val="44"/>
        </w:rPr>
        <w:t xml:space="preserve"> 31</w:t>
      </w:r>
      <w:r w:rsidRPr="00034A8B">
        <w:rPr>
          <w:rFonts w:ascii="Arial" w:hAnsi="Arial" w:cs="Arial"/>
          <w:b/>
          <w:bCs/>
          <w:iCs/>
          <w:sz w:val="44"/>
          <w:szCs w:val="44"/>
        </w:rPr>
        <w:t xml:space="preserve"> </w:t>
      </w:r>
      <w:r>
        <w:rPr>
          <w:rFonts w:ascii="Arial" w:hAnsi="Arial" w:cs="Arial"/>
          <w:b/>
          <w:bCs/>
          <w:iCs/>
          <w:sz w:val="44"/>
          <w:szCs w:val="44"/>
        </w:rPr>
        <w:t>May</w:t>
      </w:r>
      <w:r w:rsidRPr="00034A8B">
        <w:rPr>
          <w:rFonts w:ascii="Arial" w:hAnsi="Arial" w:cs="Arial"/>
          <w:b/>
          <w:bCs/>
          <w:iCs/>
          <w:sz w:val="44"/>
          <w:szCs w:val="44"/>
        </w:rPr>
        <w:t xml:space="preserve"> 2020 – Mon</w:t>
      </w:r>
      <w:r>
        <w:rPr>
          <w:rFonts w:ascii="Arial" w:hAnsi="Arial" w:cs="Arial"/>
          <w:b/>
          <w:bCs/>
          <w:iCs/>
          <w:sz w:val="44"/>
          <w:szCs w:val="44"/>
        </w:rPr>
        <w:t>th 2</w:t>
      </w:r>
    </w:p>
    <w:p w:rsidR="00C8171B" w:rsidRPr="00034A8B" w:rsidRDefault="00C8171B" w:rsidP="009A2C5F">
      <w:pPr>
        <w:pStyle w:val="BodyText"/>
        <w:kinsoku w:val="0"/>
        <w:overflowPunct w:val="0"/>
        <w:spacing w:before="100" w:line="254" w:lineRule="auto"/>
        <w:ind w:left="1560" w:right="1639"/>
        <w:jc w:val="center"/>
        <w:rPr>
          <w:rFonts w:ascii="Arial" w:hAnsi="Arial" w:cs="Arial"/>
          <w:b/>
          <w:bCs/>
          <w:iCs/>
          <w:sz w:val="44"/>
          <w:szCs w:val="44"/>
        </w:rPr>
      </w:pPr>
    </w:p>
    <w:p w:rsidR="00C8171B" w:rsidRDefault="00C8171B" w:rsidP="001318A5">
      <w:pPr>
        <w:pStyle w:val="BodyText"/>
        <w:kinsoku w:val="0"/>
        <w:overflowPunct w:val="0"/>
        <w:spacing w:before="1"/>
        <w:rPr>
          <w:rFonts w:ascii="Arial" w:hAnsi="Arial" w:cs="Arial"/>
          <w:b/>
          <w:bCs/>
          <w:iCs/>
          <w:color w:val="4F82BD"/>
          <w:sz w:val="48"/>
          <w:szCs w:val="48"/>
        </w:rPr>
      </w:pPr>
    </w:p>
    <w:p w:rsidR="00C8171B" w:rsidRDefault="00C8171B" w:rsidP="001318A5">
      <w:pPr>
        <w:pStyle w:val="BodyText"/>
        <w:kinsoku w:val="0"/>
        <w:overflowPunct w:val="0"/>
        <w:spacing w:before="1"/>
        <w:rPr>
          <w:rFonts w:ascii="Georgia-BoldItalic" w:hAnsi="Georgia-BoldItalic" w:cs="Georgia-BoldItalic"/>
          <w:b/>
          <w:bCs/>
          <w:i/>
          <w:iCs/>
          <w:sz w:val="29"/>
          <w:szCs w:val="29"/>
        </w:rPr>
      </w:pPr>
    </w:p>
    <w:p w:rsidR="00C8171B" w:rsidRDefault="00C8171B" w:rsidP="001318A5">
      <w:pPr>
        <w:pStyle w:val="BodyText"/>
        <w:kinsoku w:val="0"/>
        <w:overflowPunct w:val="0"/>
        <w:jc w:val="center"/>
        <w:rPr>
          <w:color w:val="898989"/>
        </w:rPr>
        <w:sectPr w:rsidR="00C8171B" w:rsidSect="00EC1F41">
          <w:headerReference w:type="even" r:id="rId15"/>
          <w:footerReference w:type="even" r:id="rId16"/>
          <w:pgSz w:w="11906" w:h="16838" w:code="9"/>
          <w:pgMar w:top="851" w:right="1418" w:bottom="1134" w:left="1418" w:header="709" w:footer="709" w:gutter="0"/>
          <w:cols w:space="708"/>
          <w:titlePg/>
          <w:docGrid w:linePitch="360"/>
        </w:sectPr>
      </w:pPr>
      <w:r>
        <w:rPr>
          <w:rFonts w:ascii="Georgia-BoldItalic" w:hAnsi="Georgia-BoldItalic" w:cs="Georgia-BoldItalic"/>
          <w:b/>
          <w:bCs/>
          <w:i/>
          <w:iCs/>
          <w:noProof/>
          <w:color w:val="4F82BD"/>
          <w:sz w:val="56"/>
          <w:szCs w:val="56"/>
          <w:lang w:eastAsia="en-GB"/>
        </w:rPr>
        <w:drawing>
          <wp:inline distT="0" distB="0" distL="0" distR="0" wp14:anchorId="2DD0B9AC" wp14:editId="3B6FC3DE">
            <wp:extent cx="6082812" cy="4055208"/>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tretch>
                      <a:fillRect/>
                    </a:stretch>
                  </pic:blipFill>
                  <pic:spPr bwMode="auto">
                    <a:xfrm>
                      <a:off x="0" y="0"/>
                      <a:ext cx="6095747" cy="4063831"/>
                    </a:xfrm>
                    <a:prstGeom prst="rect">
                      <a:avLst/>
                    </a:prstGeom>
                    <a:noFill/>
                    <a:ln>
                      <a:noFill/>
                    </a:ln>
                  </pic:spPr>
                </pic:pic>
              </a:graphicData>
            </a:graphic>
          </wp:inline>
        </w:drawing>
      </w:r>
    </w:p>
    <w:p w:rsidR="00C8171B" w:rsidRPr="00031DCE" w:rsidRDefault="00C8171B" w:rsidP="001318A5">
      <w:pPr>
        <w:pStyle w:val="BodyText"/>
        <w:kinsoku w:val="0"/>
        <w:overflowPunct w:val="0"/>
        <w:ind w:right="-613"/>
        <w:rPr>
          <w:rFonts w:ascii="Arial" w:hAnsi="Arial" w:cs="Arial"/>
          <w:b/>
          <w:bCs/>
          <w:iCs/>
          <w:color w:val="000000" w:themeColor="text1"/>
        </w:rPr>
      </w:pPr>
      <w:r w:rsidRPr="00031DCE">
        <w:rPr>
          <w:rFonts w:ascii="Arial" w:hAnsi="Arial" w:cs="Arial"/>
          <w:b/>
          <w:bCs/>
          <w:iCs/>
          <w:color w:val="000000" w:themeColor="text1"/>
        </w:rPr>
        <w:lastRenderedPageBreak/>
        <w:t>Financial Position as at 31 May 2020, Month 2</w:t>
      </w:r>
    </w:p>
    <w:p w:rsidR="00C8171B" w:rsidRDefault="00C8171B" w:rsidP="001318A5">
      <w:pPr>
        <w:pStyle w:val="BodyText"/>
        <w:kinsoku w:val="0"/>
        <w:overflowPunct w:val="0"/>
        <w:ind w:right="-613"/>
        <w:rPr>
          <w:rFonts w:ascii="Arial" w:hAnsi="Arial" w:cs="Arial"/>
          <w:bCs/>
          <w:iCs/>
          <w:color w:val="000000" w:themeColor="text1"/>
        </w:rPr>
      </w:pPr>
      <w:r w:rsidRPr="003A04F5">
        <w:rPr>
          <w:rFonts w:ascii="Arial" w:hAnsi="Arial" w:cs="Arial"/>
          <w:bCs/>
          <w:iCs/>
          <w:color w:val="000000" w:themeColor="text1"/>
        </w:rPr>
        <w:t>This</w:t>
      </w:r>
      <w:r>
        <w:rPr>
          <w:rFonts w:ascii="Arial" w:hAnsi="Arial" w:cs="Arial"/>
          <w:bCs/>
          <w:iCs/>
          <w:color w:val="000000" w:themeColor="text1"/>
        </w:rPr>
        <w:t xml:space="preserve"> summary</w:t>
      </w:r>
      <w:r w:rsidRPr="003A04F5">
        <w:rPr>
          <w:rFonts w:ascii="Arial" w:hAnsi="Arial" w:cs="Arial"/>
          <w:bCs/>
          <w:iCs/>
          <w:color w:val="000000" w:themeColor="text1"/>
        </w:rPr>
        <w:t xml:space="preserve"> finance report </w:t>
      </w:r>
      <w:r>
        <w:rPr>
          <w:rFonts w:ascii="Arial" w:hAnsi="Arial" w:cs="Arial"/>
          <w:bCs/>
          <w:iCs/>
          <w:color w:val="000000" w:themeColor="text1"/>
        </w:rPr>
        <w:t>provides a brief overview of the</w:t>
      </w:r>
      <w:r w:rsidRPr="003A04F5">
        <w:rPr>
          <w:rFonts w:ascii="Arial" w:hAnsi="Arial" w:cs="Arial"/>
          <w:bCs/>
          <w:iCs/>
          <w:color w:val="000000" w:themeColor="text1"/>
        </w:rPr>
        <w:t xml:space="preserve"> financial position</w:t>
      </w:r>
      <w:r>
        <w:rPr>
          <w:rFonts w:ascii="Arial" w:hAnsi="Arial" w:cs="Arial"/>
          <w:bCs/>
          <w:iCs/>
          <w:color w:val="000000" w:themeColor="text1"/>
        </w:rPr>
        <w:t xml:space="preserve"> as at Month 2, for the period ending 31 May 2020</w:t>
      </w:r>
      <w:r w:rsidRPr="003A04F5">
        <w:rPr>
          <w:rFonts w:ascii="Arial" w:hAnsi="Arial" w:cs="Arial"/>
          <w:bCs/>
          <w:iCs/>
          <w:color w:val="000000" w:themeColor="text1"/>
        </w:rPr>
        <w:t xml:space="preserve">. </w:t>
      </w:r>
    </w:p>
    <w:p w:rsidR="00C8171B" w:rsidRDefault="00C8171B" w:rsidP="001318A5">
      <w:pPr>
        <w:pStyle w:val="BodyText"/>
        <w:kinsoku w:val="0"/>
        <w:overflowPunct w:val="0"/>
        <w:ind w:right="-613"/>
        <w:rPr>
          <w:rFonts w:ascii="Arial" w:hAnsi="Arial" w:cs="Arial"/>
          <w:bCs/>
          <w:iCs/>
          <w:color w:val="000000" w:themeColor="text1"/>
        </w:rPr>
      </w:pPr>
    </w:p>
    <w:p w:rsidR="00C8171B" w:rsidRDefault="00C8171B" w:rsidP="001318A5">
      <w:pPr>
        <w:pStyle w:val="BodyText"/>
        <w:kinsoku w:val="0"/>
        <w:overflowPunct w:val="0"/>
        <w:ind w:right="-613"/>
        <w:rPr>
          <w:rFonts w:ascii="Arial" w:hAnsi="Arial" w:cs="Arial"/>
          <w:bCs/>
          <w:iCs/>
          <w:color w:val="000000" w:themeColor="text1"/>
        </w:rPr>
      </w:pPr>
      <w:r>
        <w:rPr>
          <w:rFonts w:ascii="Arial" w:hAnsi="Arial" w:cs="Arial"/>
          <w:bCs/>
          <w:iCs/>
          <w:color w:val="000000" w:themeColor="text1"/>
        </w:rPr>
        <w:t>Close dialogue with Scottish Government finance colleagues has been maintained on issues surrounding mobilisation plans and recovery plans, with key assumptions being made regarding Service Level Agreement (SLA) income, Other Health Boards income, inflation assumptions and Finance Plan assumptions associated with the Boards previous AOP. The landscape across NHS Scotland is in a similar position and given the significant level of change programmes, mobilisation plans and re-mobilisation / recovery plans, it has been indicated that the main allocations from Scottish Government (SG) are likely to follow the first quarter reporting where national co-ordination and validation can be completed. This in turn will allow a refresh of the Boards AOP and Finance Plan to capture these key aspects.</w:t>
      </w:r>
    </w:p>
    <w:p w:rsidR="00C8171B" w:rsidRDefault="00C8171B" w:rsidP="006D7D86">
      <w:pPr>
        <w:rPr>
          <w:rFonts w:cs="Arial"/>
          <w:sz w:val="24"/>
          <w:szCs w:val="24"/>
        </w:rPr>
      </w:pPr>
    </w:p>
    <w:p w:rsidR="00C8171B" w:rsidRDefault="00C8171B" w:rsidP="006D7D86">
      <w:pPr>
        <w:rPr>
          <w:rFonts w:cs="Arial"/>
          <w:sz w:val="24"/>
          <w:szCs w:val="24"/>
        </w:rPr>
      </w:pPr>
      <w:r>
        <w:rPr>
          <w:rFonts w:cs="Arial"/>
          <w:sz w:val="24"/>
          <w:szCs w:val="24"/>
        </w:rPr>
        <w:t>The table below represents an extract of the summary financial report in line with reporting to the Scottish Government Health and Social Care Directorate. It can be noted that formal Finance Performance Reporting (FPR) via the FPR templates to Scottish Government for month 2 was not required due to COVID-19 measures.</w:t>
      </w:r>
    </w:p>
    <w:p w:rsidR="00C8171B" w:rsidRDefault="00C8171B" w:rsidP="008E5C77">
      <w:pPr>
        <w:jc w:val="both"/>
        <w:rPr>
          <w:rFonts w:cs="Arial"/>
          <w:sz w:val="24"/>
          <w:szCs w:val="24"/>
        </w:rPr>
      </w:pPr>
      <w:r w:rsidRPr="00B70658">
        <w:rPr>
          <w:noProof/>
          <w:lang w:eastAsia="en-GB"/>
        </w:rPr>
        <w:drawing>
          <wp:inline distT="0" distB="0" distL="0" distR="0">
            <wp:extent cx="6263486" cy="403225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65083" cy="4033278"/>
                    </a:xfrm>
                    <a:prstGeom prst="rect">
                      <a:avLst/>
                    </a:prstGeom>
                    <a:noFill/>
                    <a:ln>
                      <a:noFill/>
                    </a:ln>
                  </pic:spPr>
                </pic:pic>
              </a:graphicData>
            </a:graphic>
          </wp:inline>
        </w:drawing>
      </w:r>
    </w:p>
    <w:p w:rsidR="00C8171B" w:rsidRPr="00437A23" w:rsidRDefault="00C8171B" w:rsidP="008E5C77">
      <w:pPr>
        <w:jc w:val="both"/>
        <w:rPr>
          <w:rFonts w:cs="Arial"/>
          <w:sz w:val="24"/>
          <w:szCs w:val="24"/>
        </w:rPr>
      </w:pPr>
    </w:p>
    <w:p w:rsidR="00C8171B" w:rsidRDefault="00C8171B" w:rsidP="008E5C77">
      <w:pPr>
        <w:jc w:val="both"/>
        <w:rPr>
          <w:rFonts w:cs="Arial"/>
          <w:b/>
          <w:sz w:val="24"/>
          <w:szCs w:val="24"/>
        </w:rPr>
      </w:pPr>
      <w:r>
        <w:rPr>
          <w:rFonts w:cs="Arial"/>
          <w:b/>
          <w:sz w:val="24"/>
          <w:szCs w:val="24"/>
        </w:rPr>
        <w:t>Summary Points</w:t>
      </w:r>
    </w:p>
    <w:p w:rsidR="00C8171B" w:rsidRDefault="00C8171B" w:rsidP="008E5C77">
      <w:pPr>
        <w:jc w:val="both"/>
        <w:rPr>
          <w:rFonts w:cs="Arial"/>
          <w:sz w:val="24"/>
          <w:szCs w:val="24"/>
        </w:rPr>
      </w:pPr>
      <w:r>
        <w:rPr>
          <w:rFonts w:cs="Arial"/>
          <w:sz w:val="24"/>
          <w:szCs w:val="24"/>
        </w:rPr>
        <w:t>Income (£1.486m) under-recovered – The current position reflects under-activity during the first 2 months of the financial year due to the direct impact of service provision as a consequence of Covid-19. Income assumptions will be subject to greater definition following the quarter 1 review across NHS Scotland.</w:t>
      </w:r>
    </w:p>
    <w:p w:rsidR="00C8171B" w:rsidRDefault="00C8171B" w:rsidP="008E5C77">
      <w:pPr>
        <w:jc w:val="both"/>
        <w:rPr>
          <w:rFonts w:cs="Arial"/>
          <w:sz w:val="24"/>
          <w:szCs w:val="24"/>
        </w:rPr>
      </w:pPr>
    </w:p>
    <w:p w:rsidR="00C8171B" w:rsidRPr="00B97D27" w:rsidRDefault="00C8171B" w:rsidP="008E5C77">
      <w:pPr>
        <w:jc w:val="both"/>
        <w:rPr>
          <w:rFonts w:cs="Arial"/>
          <w:sz w:val="24"/>
          <w:szCs w:val="24"/>
        </w:rPr>
      </w:pPr>
      <w:r>
        <w:rPr>
          <w:rFonts w:cs="Arial"/>
          <w:sz w:val="24"/>
          <w:szCs w:val="24"/>
        </w:rPr>
        <w:t xml:space="preserve">Expenditure £1.585m underspend – A core element within non-pay is a direct consequence of reduced activity and expenditure during the first 2 months of the </w:t>
      </w:r>
      <w:r>
        <w:rPr>
          <w:rFonts w:cs="Arial"/>
          <w:sz w:val="24"/>
          <w:szCs w:val="24"/>
        </w:rPr>
        <w:lastRenderedPageBreak/>
        <w:t>financial year. Within pays there have been reductions in supplementary spend for some specialties due to reduced service provision together with some historical vacancies which have active recruitment plans.</w:t>
      </w:r>
    </w:p>
    <w:p w:rsidR="00C8171B" w:rsidRPr="003A04F5" w:rsidRDefault="00C8171B" w:rsidP="00E62046">
      <w:pPr>
        <w:pStyle w:val="BodyText"/>
        <w:kinsoku w:val="0"/>
        <w:overflowPunct w:val="0"/>
        <w:ind w:right="-613"/>
        <w:rPr>
          <w:rFonts w:ascii="Arial" w:hAnsi="Arial" w:cs="Arial"/>
          <w:bCs/>
          <w:iCs/>
          <w:color w:val="000000" w:themeColor="text1"/>
        </w:rPr>
      </w:pPr>
    </w:p>
    <w:tbl>
      <w:tblPr>
        <w:tblStyle w:val="TableGrid"/>
        <w:tblW w:w="0" w:type="auto"/>
        <w:tblInd w:w="108" w:type="dxa"/>
        <w:tblLook w:val="04A0" w:firstRow="1" w:lastRow="0" w:firstColumn="1" w:lastColumn="0" w:noHBand="0" w:noVBand="1"/>
      </w:tblPr>
      <w:tblGrid>
        <w:gridCol w:w="9178"/>
      </w:tblGrid>
      <w:tr w:rsidR="00C8171B" w:rsidTr="00D50D30">
        <w:tc>
          <w:tcPr>
            <w:tcW w:w="9520" w:type="dxa"/>
          </w:tcPr>
          <w:p w:rsidR="00C8171B" w:rsidRPr="003A04F5" w:rsidRDefault="00C8171B" w:rsidP="00D50D30">
            <w:pPr>
              <w:pStyle w:val="BodyText"/>
              <w:kinsoku w:val="0"/>
              <w:overflowPunct w:val="0"/>
              <w:spacing w:before="2"/>
              <w:rPr>
                <w:rFonts w:ascii="Arial" w:hAnsi="Arial" w:cs="Arial"/>
                <w:b/>
                <w:bCs/>
                <w:iCs/>
                <w:color w:val="000000" w:themeColor="text1"/>
              </w:rPr>
            </w:pPr>
            <w:r w:rsidRPr="003A04F5">
              <w:rPr>
                <w:rFonts w:ascii="Arial" w:hAnsi="Arial" w:cs="Arial"/>
                <w:b/>
                <w:bCs/>
                <w:iCs/>
                <w:color w:val="000000" w:themeColor="text1"/>
              </w:rPr>
              <w:t xml:space="preserve">The Board are asked to </w:t>
            </w:r>
          </w:p>
          <w:p w:rsidR="00C8171B" w:rsidRDefault="00C8171B" w:rsidP="00C8171B">
            <w:pPr>
              <w:pStyle w:val="BodyText"/>
              <w:widowControl w:val="0"/>
              <w:numPr>
                <w:ilvl w:val="0"/>
                <w:numId w:val="16"/>
              </w:numPr>
              <w:kinsoku w:val="0"/>
              <w:overflowPunct w:val="0"/>
              <w:autoSpaceDE w:val="0"/>
              <w:autoSpaceDN w:val="0"/>
              <w:adjustRightInd w:val="0"/>
              <w:spacing w:before="2" w:after="0"/>
              <w:rPr>
                <w:rFonts w:ascii="Arial" w:hAnsi="Arial" w:cs="Arial"/>
                <w:bCs/>
                <w:iCs/>
                <w:color w:val="000000" w:themeColor="text1"/>
              </w:rPr>
            </w:pPr>
            <w:r w:rsidRPr="00254480">
              <w:rPr>
                <w:rFonts w:ascii="Arial" w:hAnsi="Arial" w:cs="Arial"/>
                <w:bCs/>
                <w:iCs/>
                <w:color w:val="000000" w:themeColor="text1"/>
              </w:rPr>
              <w:t>Note the financ</w:t>
            </w:r>
            <w:r>
              <w:rPr>
                <w:rFonts w:ascii="Arial" w:hAnsi="Arial" w:cs="Arial"/>
                <w:bCs/>
                <w:iCs/>
                <w:color w:val="000000" w:themeColor="text1"/>
              </w:rPr>
              <w:t>ial position for Month 2, as at 31 May 2020 for the financial year 2020/21</w:t>
            </w:r>
          </w:p>
          <w:p w:rsidR="00C8171B" w:rsidRPr="00254480" w:rsidRDefault="00C8171B" w:rsidP="00C8171B">
            <w:pPr>
              <w:pStyle w:val="BodyText"/>
              <w:widowControl w:val="0"/>
              <w:numPr>
                <w:ilvl w:val="0"/>
                <w:numId w:val="16"/>
              </w:numPr>
              <w:kinsoku w:val="0"/>
              <w:overflowPunct w:val="0"/>
              <w:autoSpaceDE w:val="0"/>
              <w:autoSpaceDN w:val="0"/>
              <w:adjustRightInd w:val="0"/>
              <w:spacing w:before="2" w:after="0"/>
              <w:rPr>
                <w:rFonts w:ascii="Arial" w:hAnsi="Arial" w:cs="Arial"/>
                <w:bCs/>
                <w:iCs/>
                <w:color w:val="000000" w:themeColor="text1"/>
              </w:rPr>
            </w:pPr>
            <w:r w:rsidRPr="00254480">
              <w:rPr>
                <w:rFonts w:ascii="Arial" w:hAnsi="Arial" w:cs="Arial"/>
                <w:bCs/>
                <w:iCs/>
                <w:color w:val="000000" w:themeColor="text1"/>
              </w:rPr>
              <w:t xml:space="preserve">Note the key messages as highlighted </w:t>
            </w:r>
            <w:r>
              <w:rPr>
                <w:rFonts w:ascii="Arial" w:hAnsi="Arial" w:cs="Arial"/>
                <w:bCs/>
                <w:iCs/>
                <w:color w:val="000000" w:themeColor="text1"/>
              </w:rPr>
              <w:t>below</w:t>
            </w:r>
          </w:p>
          <w:p w:rsidR="00C8171B" w:rsidRPr="00095306" w:rsidRDefault="00C8171B" w:rsidP="00E62046">
            <w:pPr>
              <w:pStyle w:val="BodyText"/>
              <w:kinsoku w:val="0"/>
              <w:overflowPunct w:val="0"/>
              <w:spacing w:before="2"/>
              <w:ind w:left="776"/>
              <w:rPr>
                <w:rFonts w:ascii="Arial" w:hAnsi="Arial" w:cs="Arial"/>
                <w:bCs/>
                <w:iCs/>
                <w:color w:val="000000" w:themeColor="text1"/>
              </w:rPr>
            </w:pPr>
          </w:p>
        </w:tc>
      </w:tr>
      <w:tr w:rsidR="00C8171B" w:rsidTr="00D50D30">
        <w:tc>
          <w:tcPr>
            <w:tcW w:w="9520" w:type="dxa"/>
          </w:tcPr>
          <w:p w:rsidR="00C8171B" w:rsidRDefault="00C8171B" w:rsidP="00D50D30">
            <w:pPr>
              <w:pStyle w:val="BodyText"/>
              <w:kinsoku w:val="0"/>
              <w:overflowPunct w:val="0"/>
              <w:spacing w:before="2"/>
              <w:rPr>
                <w:rFonts w:ascii="Arial" w:hAnsi="Arial" w:cs="Arial"/>
                <w:b/>
                <w:bCs/>
                <w:iCs/>
              </w:rPr>
            </w:pPr>
            <w:r w:rsidRPr="00AE641D">
              <w:rPr>
                <w:rFonts w:ascii="Arial" w:hAnsi="Arial" w:cs="Arial"/>
                <w:b/>
                <w:bCs/>
                <w:iCs/>
              </w:rPr>
              <w:t>Key Messages</w:t>
            </w:r>
          </w:p>
          <w:p w:rsidR="00C8171B" w:rsidRPr="00F31AB6" w:rsidRDefault="00C8171B" w:rsidP="00C8171B">
            <w:pPr>
              <w:pStyle w:val="BodyText"/>
              <w:widowControl w:val="0"/>
              <w:numPr>
                <w:ilvl w:val="0"/>
                <w:numId w:val="15"/>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 xml:space="preserve">Total surplus as at Month 2, </w:t>
            </w:r>
            <w:r>
              <w:rPr>
                <w:rFonts w:ascii="Arial" w:hAnsi="Arial" w:cs="Arial"/>
                <w:bCs/>
                <w:iCs/>
                <w:color w:val="000000" w:themeColor="text1"/>
              </w:rPr>
              <w:t xml:space="preserve">May </w:t>
            </w:r>
            <w:r>
              <w:rPr>
                <w:rFonts w:ascii="Arial" w:hAnsi="Arial" w:cs="Arial"/>
              </w:rPr>
              <w:t>2020 of £109k</w:t>
            </w:r>
            <w:r w:rsidRPr="00F31AB6">
              <w:rPr>
                <w:rFonts w:ascii="Arial" w:hAnsi="Arial" w:cs="Arial"/>
              </w:rPr>
              <w:t xml:space="preserve"> (includes core, non-core and income).</w:t>
            </w:r>
          </w:p>
          <w:p w:rsidR="00C8171B" w:rsidRPr="009B136E" w:rsidRDefault="00C8171B" w:rsidP="00C8171B">
            <w:pPr>
              <w:pStyle w:val="BodyText"/>
              <w:widowControl w:val="0"/>
              <w:numPr>
                <w:ilvl w:val="0"/>
                <w:numId w:val="15"/>
              </w:numPr>
              <w:kinsoku w:val="0"/>
              <w:overflowPunct w:val="0"/>
              <w:autoSpaceDE w:val="0"/>
              <w:autoSpaceDN w:val="0"/>
              <w:adjustRightInd w:val="0"/>
              <w:spacing w:before="114" w:after="0" w:line="254" w:lineRule="auto"/>
              <w:ind w:right="1043"/>
              <w:jc w:val="both"/>
              <w:rPr>
                <w:rFonts w:ascii="Arial" w:hAnsi="Arial" w:cs="Arial"/>
                <w:b/>
              </w:rPr>
            </w:pPr>
            <w:r>
              <w:rPr>
                <w:rFonts w:ascii="Arial" w:hAnsi="Arial" w:cs="Arial"/>
              </w:rPr>
              <w:t>As a result of the COVID-19 mobilisation and subsequent recovery planning in response to Scottish Government communication to all NHS Boards, the first Revenue Resource (RRL) Allocation to Boards will not be received until quarter 1 reporting i.e. due week commencing 6</w:t>
            </w:r>
            <w:r w:rsidRPr="009B136E">
              <w:rPr>
                <w:rFonts w:ascii="Arial" w:hAnsi="Arial" w:cs="Arial"/>
                <w:vertAlign w:val="superscript"/>
              </w:rPr>
              <w:t>th</w:t>
            </w:r>
            <w:r>
              <w:rPr>
                <w:rFonts w:ascii="Arial" w:hAnsi="Arial" w:cs="Arial"/>
              </w:rPr>
              <w:t xml:space="preserve"> July 2020.</w:t>
            </w:r>
          </w:p>
          <w:p w:rsidR="00C8171B" w:rsidRPr="009B136E" w:rsidRDefault="00C8171B" w:rsidP="00C8171B">
            <w:pPr>
              <w:pStyle w:val="BodyText"/>
              <w:widowControl w:val="0"/>
              <w:numPr>
                <w:ilvl w:val="0"/>
                <w:numId w:val="15"/>
              </w:numPr>
              <w:kinsoku w:val="0"/>
              <w:overflowPunct w:val="0"/>
              <w:autoSpaceDE w:val="0"/>
              <w:autoSpaceDN w:val="0"/>
              <w:adjustRightInd w:val="0"/>
              <w:spacing w:before="114" w:after="0" w:line="254" w:lineRule="auto"/>
              <w:ind w:right="1043"/>
              <w:jc w:val="both"/>
              <w:rPr>
                <w:rFonts w:ascii="Arial" w:hAnsi="Arial" w:cs="Arial"/>
                <w:b/>
              </w:rPr>
            </w:pPr>
            <w:r>
              <w:rPr>
                <w:rFonts w:ascii="Arial" w:hAnsi="Arial" w:cs="Arial"/>
              </w:rPr>
              <w:t>Therefore, the GJ financial reporting as at May 2020 takes into consideration planned funding allocations from the GJ Annual Operating Plan (AOP) submission, COVID-19 Local Mobilisation Plans (LMP) template and the Boards recently approved Recovery Plan submission.</w:t>
            </w:r>
          </w:p>
          <w:p w:rsidR="00C8171B" w:rsidRDefault="00C8171B" w:rsidP="00C8171B">
            <w:pPr>
              <w:pStyle w:val="BodyText"/>
              <w:widowControl w:val="0"/>
              <w:numPr>
                <w:ilvl w:val="0"/>
                <w:numId w:val="15"/>
              </w:numPr>
              <w:kinsoku w:val="0"/>
              <w:overflowPunct w:val="0"/>
              <w:autoSpaceDE w:val="0"/>
              <w:autoSpaceDN w:val="0"/>
              <w:adjustRightInd w:val="0"/>
              <w:spacing w:before="114" w:after="0" w:line="254" w:lineRule="auto"/>
              <w:ind w:right="1043"/>
              <w:jc w:val="both"/>
              <w:rPr>
                <w:rFonts w:ascii="Arial" w:hAnsi="Arial" w:cs="Arial"/>
              </w:rPr>
            </w:pPr>
            <w:r w:rsidRPr="009B136E">
              <w:rPr>
                <w:rFonts w:ascii="Arial" w:hAnsi="Arial" w:cs="Arial"/>
              </w:rPr>
              <w:t xml:space="preserve">Although formal RRL allocation letters will not be received until Quarter 1 reporting, discussions to date </w:t>
            </w:r>
            <w:r>
              <w:rPr>
                <w:rFonts w:ascii="Arial" w:hAnsi="Arial" w:cs="Arial"/>
              </w:rPr>
              <w:t>with Scottish Government have provided a level of financial assurance for the Board to be reporting the £98k core revenue surplus as at May 2020.</w:t>
            </w:r>
          </w:p>
          <w:p w:rsidR="00C8171B" w:rsidRPr="00402F4C" w:rsidRDefault="00C8171B" w:rsidP="00C8171B">
            <w:pPr>
              <w:pStyle w:val="BodyText"/>
              <w:widowControl w:val="0"/>
              <w:numPr>
                <w:ilvl w:val="0"/>
                <w:numId w:val="15"/>
              </w:numPr>
              <w:kinsoku w:val="0"/>
              <w:overflowPunct w:val="0"/>
              <w:autoSpaceDE w:val="0"/>
              <w:autoSpaceDN w:val="0"/>
              <w:adjustRightInd w:val="0"/>
              <w:spacing w:before="114" w:after="0" w:line="254" w:lineRule="auto"/>
              <w:ind w:right="1043"/>
              <w:jc w:val="both"/>
              <w:rPr>
                <w:rFonts w:ascii="Arial" w:hAnsi="Arial" w:cs="Arial"/>
              </w:rPr>
            </w:pPr>
            <w:r w:rsidRPr="00402F4C">
              <w:rPr>
                <w:rFonts w:ascii="Arial" w:hAnsi="Arial" w:cs="Arial"/>
              </w:rPr>
              <w:t>The information presented represents a reasonable financial platform for the beginning of the financial year 2020/21.</w:t>
            </w:r>
          </w:p>
          <w:p w:rsidR="00C8171B" w:rsidRPr="0065484A" w:rsidRDefault="00C8171B" w:rsidP="00E62046">
            <w:pPr>
              <w:pStyle w:val="BodyText"/>
              <w:kinsoku w:val="0"/>
              <w:overflowPunct w:val="0"/>
              <w:spacing w:before="114" w:line="254" w:lineRule="auto"/>
              <w:ind w:right="1043"/>
              <w:jc w:val="both"/>
              <w:rPr>
                <w:rFonts w:ascii="Arial" w:hAnsi="Arial" w:cs="Arial"/>
                <w:b/>
              </w:rPr>
            </w:pPr>
            <w:r w:rsidRPr="0065484A">
              <w:rPr>
                <w:rFonts w:ascii="Arial" w:hAnsi="Arial" w:cs="Arial"/>
                <w:b/>
              </w:rPr>
              <w:t>Additional Areas to Note</w:t>
            </w:r>
            <w:r>
              <w:rPr>
                <w:rFonts w:ascii="Arial" w:hAnsi="Arial" w:cs="Arial"/>
                <w:b/>
              </w:rPr>
              <w:t xml:space="preserve"> </w:t>
            </w:r>
          </w:p>
          <w:p w:rsidR="00C8171B" w:rsidRDefault="00C8171B" w:rsidP="00C8171B">
            <w:pPr>
              <w:pStyle w:val="BodyText"/>
              <w:widowControl w:val="0"/>
              <w:numPr>
                <w:ilvl w:val="0"/>
                <w:numId w:val="15"/>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Capital Resource Limit (CRL) allocation. Expenditure programmes associated with GJ CRL funding allocations are at early stages of planning and therefore it is intended to produce the first Capital financial report as at quarter 1 reporting. This will incorporate further funding agreements associated with the Boards recovery plan.</w:t>
            </w:r>
          </w:p>
          <w:p w:rsidR="00C8171B" w:rsidRDefault="00C8171B" w:rsidP="00C8171B">
            <w:pPr>
              <w:pStyle w:val="BodyText"/>
              <w:widowControl w:val="0"/>
              <w:numPr>
                <w:ilvl w:val="0"/>
                <w:numId w:val="15"/>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t xml:space="preserve">The focus on the </w:t>
            </w:r>
            <w:r w:rsidRPr="009B136E">
              <w:rPr>
                <w:rFonts w:ascii="Arial" w:hAnsi="Arial" w:cs="Arial"/>
              </w:rPr>
              <w:t xml:space="preserve">Efficiency Savings </w:t>
            </w:r>
            <w:r>
              <w:rPr>
                <w:rFonts w:ascii="Arial" w:hAnsi="Arial" w:cs="Arial"/>
              </w:rPr>
              <w:t>agenda has been preceded over the last 3-4 months by the Boards response to supporting the safety of staff and patients and realigning activity and services to meet the needs of the COVID-19 pandemic and the detailed planning required to implement and manage the re-start activity programme. The successful achievement of the £3.813</w:t>
            </w:r>
            <w:r w:rsidRPr="009B136E">
              <w:rPr>
                <w:rFonts w:ascii="Arial" w:hAnsi="Arial" w:cs="Arial"/>
              </w:rPr>
              <w:t xml:space="preserve">m </w:t>
            </w:r>
            <w:r>
              <w:rPr>
                <w:rFonts w:ascii="Arial" w:hAnsi="Arial" w:cs="Arial"/>
              </w:rPr>
              <w:t>AOP efficiency savings target is still a financial aim of the Board, however there is recognition of the additional challenge to attain this within the COVID-19 LMP template return to Scottish Government.</w:t>
            </w:r>
          </w:p>
          <w:p w:rsidR="00C8171B" w:rsidRPr="00F5097F" w:rsidRDefault="00C8171B" w:rsidP="00C8171B">
            <w:pPr>
              <w:pStyle w:val="BodyText"/>
              <w:widowControl w:val="0"/>
              <w:numPr>
                <w:ilvl w:val="0"/>
                <w:numId w:val="15"/>
              </w:numPr>
              <w:kinsoku w:val="0"/>
              <w:overflowPunct w:val="0"/>
              <w:autoSpaceDE w:val="0"/>
              <w:autoSpaceDN w:val="0"/>
              <w:adjustRightInd w:val="0"/>
              <w:spacing w:before="114" w:after="0" w:line="254" w:lineRule="auto"/>
              <w:ind w:right="1043"/>
              <w:jc w:val="both"/>
              <w:rPr>
                <w:rFonts w:ascii="Arial" w:hAnsi="Arial" w:cs="Arial"/>
              </w:rPr>
            </w:pPr>
            <w:r>
              <w:rPr>
                <w:rFonts w:ascii="Arial" w:hAnsi="Arial" w:cs="Arial"/>
              </w:rPr>
              <w:lastRenderedPageBreak/>
              <w:t>Formal Performance Review Groups (PRG’s) will be re-established to monitor performance both operationally and financially against our recovery plan ambitions and will also consider any efficiency savings opportunities.</w:t>
            </w:r>
          </w:p>
        </w:tc>
      </w:tr>
    </w:tbl>
    <w:p w:rsidR="00C8171B" w:rsidRDefault="00C8171B" w:rsidP="008E5C77">
      <w:pPr>
        <w:jc w:val="both"/>
        <w:rPr>
          <w:rFonts w:cs="Arial"/>
          <w:b/>
          <w:sz w:val="24"/>
          <w:szCs w:val="24"/>
        </w:rPr>
      </w:pPr>
    </w:p>
    <w:p w:rsidR="00C8171B" w:rsidRPr="00F06F4B" w:rsidRDefault="00C8171B" w:rsidP="008E5C77">
      <w:pPr>
        <w:jc w:val="both"/>
        <w:rPr>
          <w:rFonts w:cs="Arial"/>
          <w:b/>
          <w:sz w:val="24"/>
          <w:szCs w:val="24"/>
        </w:rPr>
      </w:pPr>
      <w:r w:rsidRPr="00F06F4B">
        <w:rPr>
          <w:rFonts w:cs="Arial"/>
          <w:b/>
          <w:sz w:val="24"/>
          <w:szCs w:val="24"/>
        </w:rPr>
        <w:t>Director of Finance</w:t>
      </w:r>
    </w:p>
    <w:p w:rsidR="00C8171B" w:rsidRPr="007D4EEF" w:rsidRDefault="00C8171B" w:rsidP="007D4EEF">
      <w:pPr>
        <w:jc w:val="both"/>
        <w:rPr>
          <w:rFonts w:cs="Arial"/>
          <w:b/>
          <w:sz w:val="24"/>
          <w:szCs w:val="24"/>
        </w:rPr>
      </w:pPr>
      <w:r>
        <w:rPr>
          <w:rFonts w:cs="Arial"/>
          <w:b/>
          <w:sz w:val="24"/>
          <w:szCs w:val="24"/>
        </w:rPr>
        <w:t>NHS Golden Jubilee</w:t>
      </w:r>
      <w:r w:rsidRPr="00527DCA">
        <w:rPr>
          <w:rFonts w:cs="Arial"/>
          <w:b/>
          <w:color w:val="1F497D" w:themeColor="text2"/>
          <w:sz w:val="18"/>
          <w:szCs w:val="18"/>
        </w:rPr>
        <w:t xml:space="preserve"> </w:t>
      </w:r>
    </w:p>
    <w:p w:rsidR="00100E12" w:rsidRDefault="00100E12" w:rsidP="00100E12"/>
    <w:p w:rsidR="00944058" w:rsidRDefault="00944058" w:rsidP="007F4702">
      <w:pPr>
        <w:rPr>
          <w:rFonts w:cs="Arial"/>
          <w:b/>
          <w:bCs/>
          <w:noProof/>
          <w:color w:val="FFFFFF" w:themeColor="background1"/>
          <w:kern w:val="32"/>
          <w:sz w:val="28"/>
          <w:szCs w:val="28"/>
          <w:u w:val="single"/>
          <w:lang w:eastAsia="en-GB"/>
        </w:rPr>
      </w:pPr>
    </w:p>
    <w:p w:rsidR="00944058" w:rsidRDefault="00944058" w:rsidP="007F4702">
      <w:pPr>
        <w:rPr>
          <w:rFonts w:cs="Arial"/>
          <w:b/>
          <w:bCs/>
          <w:noProof/>
          <w:color w:val="FFFFFF" w:themeColor="background1"/>
          <w:kern w:val="32"/>
          <w:sz w:val="28"/>
          <w:szCs w:val="28"/>
          <w:u w:val="single"/>
          <w:lang w:eastAsia="en-GB"/>
        </w:rPr>
      </w:pPr>
    </w:p>
    <w:p w:rsidR="00944058" w:rsidRDefault="00944058" w:rsidP="007F4702">
      <w:pPr>
        <w:rPr>
          <w:rFonts w:cs="Arial"/>
          <w:b/>
          <w:bCs/>
          <w:noProof/>
          <w:color w:val="FFFFFF" w:themeColor="background1"/>
          <w:kern w:val="32"/>
          <w:sz w:val="28"/>
          <w:szCs w:val="28"/>
          <w:u w:val="single"/>
          <w:lang w:eastAsia="en-GB"/>
        </w:rPr>
      </w:pPr>
    </w:p>
    <w:p w:rsidR="00276F50" w:rsidRDefault="00276F50">
      <w:pPr>
        <w:spacing w:after="200" w:line="276" w:lineRule="auto"/>
        <w:rPr>
          <w:rFonts w:cs="Arial"/>
          <w:b/>
          <w:sz w:val="24"/>
          <w:szCs w:val="24"/>
        </w:rPr>
      </w:pPr>
    </w:p>
    <w:p w:rsidR="0021543D" w:rsidRDefault="0021543D" w:rsidP="00CC5EB0">
      <w:pPr>
        <w:rPr>
          <w:rFonts w:cs="Arial"/>
          <w:b/>
        </w:rPr>
      </w:pPr>
    </w:p>
    <w:sectPr w:rsidR="0021543D" w:rsidSect="00E809DB">
      <w:pgSz w:w="11906" w:h="16838" w:code="9"/>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408" w:rsidRDefault="00916408" w:rsidP="005A1C4D">
      <w:r>
        <w:separator/>
      </w:r>
    </w:p>
  </w:endnote>
  <w:endnote w:type="continuationSeparator" w:id="0">
    <w:p w:rsidR="00916408" w:rsidRDefault="00916408" w:rsidP="005A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Stone Sans Semi Bold">
    <w:altName w:val="Calibri"/>
    <w:charset w:val="00"/>
    <w:family w:val="auto"/>
    <w:pitch w:val="variable"/>
    <w:sig w:usb0="00000001" w:usb1="00000000" w:usb2="00000000" w:usb3="00000000" w:csb0="00000009" w:csb1="00000000"/>
  </w:font>
  <w:font w:name="Georgia-Bol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63936"/>
      <w:docPartObj>
        <w:docPartGallery w:val="Page Numbers (Bottom of Page)"/>
        <w:docPartUnique/>
      </w:docPartObj>
    </w:sdtPr>
    <w:sdtEndPr/>
    <w:sdtContent>
      <w:p w:rsidR="009A4D4A" w:rsidRDefault="009A4D4A">
        <w:pPr>
          <w:pStyle w:val="Footer"/>
          <w:jc w:val="right"/>
        </w:pPr>
        <w:r>
          <w:rPr>
            <w:noProof/>
          </w:rPr>
          <w:fldChar w:fldCharType="begin"/>
        </w:r>
        <w:r>
          <w:rPr>
            <w:noProof/>
          </w:rPr>
          <w:instrText xml:space="preserve"> PAGE   \* MERGEFORMAT </w:instrText>
        </w:r>
        <w:r>
          <w:rPr>
            <w:noProof/>
          </w:rPr>
          <w:fldChar w:fldCharType="separate"/>
        </w:r>
        <w:r w:rsidR="00DD7A41">
          <w:rPr>
            <w:noProof/>
          </w:rPr>
          <w:t>2</w:t>
        </w:r>
        <w:r>
          <w:rPr>
            <w:noProof/>
          </w:rPr>
          <w:fldChar w:fldCharType="end"/>
        </w:r>
      </w:p>
    </w:sdtContent>
  </w:sdt>
  <w:p w:rsidR="009A4D4A" w:rsidRDefault="009A4D4A" w:rsidP="00A403AC">
    <w:pPr>
      <w:pStyle w:val="Footer"/>
      <w:tabs>
        <w:tab w:val="clear" w:pos="4320"/>
        <w:tab w:val="clear" w:pos="8640"/>
        <w:tab w:val="right" w:pos="9026"/>
      </w:tabs>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8500"/>
      <w:docPartObj>
        <w:docPartGallery w:val="Page Numbers (Bottom of Page)"/>
        <w:docPartUnique/>
      </w:docPartObj>
    </w:sdtPr>
    <w:sdtEndPr/>
    <w:sdtContent>
      <w:p w:rsidR="009A4D4A" w:rsidRDefault="009A4D4A">
        <w:pPr>
          <w:pStyle w:val="Footer"/>
          <w:jc w:val="right"/>
        </w:pPr>
        <w:r>
          <w:rPr>
            <w:noProof/>
          </w:rPr>
          <w:fldChar w:fldCharType="begin"/>
        </w:r>
        <w:r>
          <w:rPr>
            <w:noProof/>
          </w:rPr>
          <w:instrText xml:space="preserve"> PAGE   \* MERGEFORMAT </w:instrText>
        </w:r>
        <w:r>
          <w:rPr>
            <w:noProof/>
          </w:rPr>
          <w:fldChar w:fldCharType="separate"/>
        </w:r>
        <w:r w:rsidR="00DD7A41">
          <w:rPr>
            <w:noProof/>
          </w:rPr>
          <w:t>3</w:t>
        </w:r>
        <w:r>
          <w:rPr>
            <w:noProof/>
          </w:rPr>
          <w:fldChar w:fldCharType="end"/>
        </w:r>
      </w:p>
    </w:sdtContent>
  </w:sdt>
  <w:p w:rsidR="009A4D4A" w:rsidRPr="0000750A" w:rsidRDefault="009A4D4A" w:rsidP="0000750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71B" w:rsidRDefault="00C8171B">
    <w:pPr>
      <w:pStyle w:val="Footer"/>
      <w:jc w:val="center"/>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p w:rsidR="00C8171B" w:rsidRDefault="00C81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408" w:rsidRDefault="00916408" w:rsidP="005A1C4D">
      <w:r>
        <w:separator/>
      </w:r>
    </w:p>
  </w:footnote>
  <w:footnote w:type="continuationSeparator" w:id="0">
    <w:p w:rsidR="00916408" w:rsidRDefault="00916408" w:rsidP="005A1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71B" w:rsidRDefault="00C8171B" w:rsidP="00577564">
    <w:pPr>
      <w:pStyle w:val="BodyText"/>
      <w:kinsoku w:val="0"/>
      <w:overflowPunct w:val="0"/>
      <w:spacing w:before="19"/>
      <w:ind w:left="20"/>
    </w:pPr>
    <w:r>
      <w:tab/>
    </w:r>
  </w:p>
  <w:p w:rsidR="00C8171B" w:rsidRDefault="00C8171B" w:rsidP="00577564">
    <w:pPr>
      <w:pStyle w:val="BodyText"/>
      <w:kinsoku w:val="0"/>
      <w:overflowPunct w:val="0"/>
      <w:spacing w:before="19"/>
      <w:ind w:left="20"/>
      <w:rPr>
        <w:rFonts w:ascii="Georgia-BoldItalic" w:hAnsi="Georgia-BoldItalic" w:cs="Georgia-BoldItalic"/>
        <w:b/>
        <w:bCs/>
        <w:i/>
        <w:iCs/>
        <w:color w:val="0070C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4.25pt;height:14.25pt" o:bullet="t">
        <v:imagedata r:id="rId1" o:title=""/>
      </v:shape>
    </w:pict>
  </w:numPicBullet>
  <w:numPicBullet w:numPicBulletId="1">
    <w:pict>
      <v:shape id="_x0000_i1053" type="#_x0000_t75" style="width:14.25pt;height:14.25pt" o:bullet="t">
        <v:imagedata r:id="rId2" o:title="mso6BF8"/>
      </v:shape>
    </w:pict>
  </w:numPicBullet>
  <w:abstractNum w:abstractNumId="0" w15:restartNumberingAfterBreak="0">
    <w:nsid w:val="00E75A56"/>
    <w:multiLevelType w:val="hybridMultilevel"/>
    <w:tmpl w:val="61B0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66280"/>
    <w:multiLevelType w:val="hybridMultilevel"/>
    <w:tmpl w:val="2E361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E126B5"/>
    <w:multiLevelType w:val="multilevel"/>
    <w:tmpl w:val="6EE0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92927"/>
    <w:multiLevelType w:val="hybridMultilevel"/>
    <w:tmpl w:val="E73215A0"/>
    <w:lvl w:ilvl="0" w:tplc="04090005">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 w15:restartNumberingAfterBreak="0">
    <w:nsid w:val="24394D2A"/>
    <w:multiLevelType w:val="hybridMultilevel"/>
    <w:tmpl w:val="9162E286"/>
    <w:lvl w:ilvl="0" w:tplc="04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8633C"/>
    <w:multiLevelType w:val="hybridMultilevel"/>
    <w:tmpl w:val="30580648"/>
    <w:lvl w:ilvl="0" w:tplc="94949CB8">
      <w:start w:val="1"/>
      <w:numFmt w:val="bullet"/>
      <w:pStyle w:val="TableBullet2"/>
      <w:lvlText w:val=""/>
      <w:lvlJc w:val="left"/>
      <w:pPr>
        <w:tabs>
          <w:tab w:val="num" w:pos="681"/>
        </w:tabs>
        <w:ind w:left="681" w:hanging="284"/>
      </w:pPr>
      <w:rPr>
        <w:rFonts w:ascii="Symbol" w:hAnsi="Symbol" w:hint="default"/>
        <w:color w:val="auto"/>
      </w:rPr>
    </w:lvl>
    <w:lvl w:ilvl="1" w:tplc="04090019" w:tentative="1">
      <w:start w:val="1"/>
      <w:numFmt w:val="bullet"/>
      <w:lvlText w:val="o"/>
      <w:lvlJc w:val="left"/>
      <w:pPr>
        <w:tabs>
          <w:tab w:val="num" w:pos="1842"/>
        </w:tabs>
        <w:ind w:left="1842" w:hanging="360"/>
      </w:pPr>
      <w:rPr>
        <w:rFonts w:ascii="Courier New" w:hAnsi="Courier New" w:hint="default"/>
      </w:rPr>
    </w:lvl>
    <w:lvl w:ilvl="2" w:tplc="0409001B" w:tentative="1">
      <w:start w:val="1"/>
      <w:numFmt w:val="bullet"/>
      <w:lvlText w:val=""/>
      <w:lvlJc w:val="left"/>
      <w:pPr>
        <w:tabs>
          <w:tab w:val="num" w:pos="2562"/>
        </w:tabs>
        <w:ind w:left="2562" w:hanging="360"/>
      </w:pPr>
      <w:rPr>
        <w:rFonts w:ascii="Wingdings" w:hAnsi="Wingdings" w:hint="default"/>
      </w:rPr>
    </w:lvl>
    <w:lvl w:ilvl="3" w:tplc="0409000F" w:tentative="1">
      <w:start w:val="1"/>
      <w:numFmt w:val="bullet"/>
      <w:lvlText w:val=""/>
      <w:lvlJc w:val="left"/>
      <w:pPr>
        <w:tabs>
          <w:tab w:val="num" w:pos="3282"/>
        </w:tabs>
        <w:ind w:left="3282" w:hanging="360"/>
      </w:pPr>
      <w:rPr>
        <w:rFonts w:ascii="Symbol" w:hAnsi="Symbol" w:hint="default"/>
      </w:rPr>
    </w:lvl>
    <w:lvl w:ilvl="4" w:tplc="04090019" w:tentative="1">
      <w:start w:val="1"/>
      <w:numFmt w:val="bullet"/>
      <w:lvlText w:val="o"/>
      <w:lvlJc w:val="left"/>
      <w:pPr>
        <w:tabs>
          <w:tab w:val="num" w:pos="4002"/>
        </w:tabs>
        <w:ind w:left="4002" w:hanging="360"/>
      </w:pPr>
      <w:rPr>
        <w:rFonts w:ascii="Courier New" w:hAnsi="Courier New" w:hint="default"/>
      </w:rPr>
    </w:lvl>
    <w:lvl w:ilvl="5" w:tplc="0409001B" w:tentative="1">
      <w:start w:val="1"/>
      <w:numFmt w:val="bullet"/>
      <w:lvlText w:val=""/>
      <w:lvlJc w:val="left"/>
      <w:pPr>
        <w:tabs>
          <w:tab w:val="num" w:pos="4722"/>
        </w:tabs>
        <w:ind w:left="4722" w:hanging="360"/>
      </w:pPr>
      <w:rPr>
        <w:rFonts w:ascii="Wingdings" w:hAnsi="Wingdings" w:hint="default"/>
      </w:rPr>
    </w:lvl>
    <w:lvl w:ilvl="6" w:tplc="0409000F" w:tentative="1">
      <w:start w:val="1"/>
      <w:numFmt w:val="bullet"/>
      <w:lvlText w:val=""/>
      <w:lvlJc w:val="left"/>
      <w:pPr>
        <w:tabs>
          <w:tab w:val="num" w:pos="5442"/>
        </w:tabs>
        <w:ind w:left="5442" w:hanging="360"/>
      </w:pPr>
      <w:rPr>
        <w:rFonts w:ascii="Symbol" w:hAnsi="Symbol" w:hint="default"/>
      </w:rPr>
    </w:lvl>
    <w:lvl w:ilvl="7" w:tplc="04090019" w:tentative="1">
      <w:start w:val="1"/>
      <w:numFmt w:val="bullet"/>
      <w:lvlText w:val="o"/>
      <w:lvlJc w:val="left"/>
      <w:pPr>
        <w:tabs>
          <w:tab w:val="num" w:pos="6162"/>
        </w:tabs>
        <w:ind w:left="6162" w:hanging="360"/>
      </w:pPr>
      <w:rPr>
        <w:rFonts w:ascii="Courier New" w:hAnsi="Courier New" w:hint="default"/>
      </w:rPr>
    </w:lvl>
    <w:lvl w:ilvl="8" w:tplc="0409001B" w:tentative="1">
      <w:start w:val="1"/>
      <w:numFmt w:val="bullet"/>
      <w:lvlText w:val=""/>
      <w:lvlJc w:val="left"/>
      <w:pPr>
        <w:tabs>
          <w:tab w:val="num" w:pos="6882"/>
        </w:tabs>
        <w:ind w:left="6882" w:hanging="360"/>
      </w:pPr>
      <w:rPr>
        <w:rFonts w:ascii="Wingdings" w:hAnsi="Wingdings" w:hint="default"/>
      </w:rPr>
    </w:lvl>
  </w:abstractNum>
  <w:abstractNum w:abstractNumId="6" w15:restartNumberingAfterBreak="0">
    <w:nsid w:val="287B2C59"/>
    <w:multiLevelType w:val="hybridMultilevel"/>
    <w:tmpl w:val="5664D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91153"/>
    <w:multiLevelType w:val="hybridMultilevel"/>
    <w:tmpl w:val="4D0C375A"/>
    <w:lvl w:ilvl="0" w:tplc="6896B6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3018A"/>
    <w:multiLevelType w:val="hybridMultilevel"/>
    <w:tmpl w:val="69463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704CAA"/>
    <w:multiLevelType w:val="hybridMultilevel"/>
    <w:tmpl w:val="A0E85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3E4C21"/>
    <w:multiLevelType w:val="multilevel"/>
    <w:tmpl w:val="98C8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36A2C"/>
    <w:multiLevelType w:val="hybridMultilevel"/>
    <w:tmpl w:val="E43EBCBA"/>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20A69"/>
    <w:multiLevelType w:val="multilevel"/>
    <w:tmpl w:val="B664B4F2"/>
    <w:lvl w:ilvl="0">
      <w:start w:val="1"/>
      <w:numFmt w:val="none"/>
      <w:lvlText w:val=""/>
      <w:lvlJc w:val="left"/>
      <w:pPr>
        <w:ind w:left="432" w:hanging="432"/>
      </w:pPr>
      <w:rPr>
        <w:rFonts w:hint="default"/>
      </w:rPr>
    </w:lvl>
    <w:lvl w:ilvl="1">
      <w:start w:val="1"/>
      <w:numFmt w:val="decimal"/>
      <w:lvlRestart w:val="0"/>
      <w:pStyle w:val="Heading2"/>
      <w:lvlText w:val="%2%1"/>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51B55A9"/>
    <w:multiLevelType w:val="hybridMultilevel"/>
    <w:tmpl w:val="0792DCCE"/>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18337E"/>
    <w:multiLevelType w:val="hybridMultilevel"/>
    <w:tmpl w:val="561E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431BDF"/>
    <w:multiLevelType w:val="hybridMultilevel"/>
    <w:tmpl w:val="5D5AC7FA"/>
    <w:lvl w:ilvl="0" w:tplc="A56EEFE2">
      <w:start w:val="1"/>
      <w:numFmt w:val="bullet"/>
      <w:lvlText w:val=""/>
      <w:lvlJc w:val="left"/>
      <w:pPr>
        <w:ind w:left="1077" w:hanging="357"/>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1"/>
  </w:num>
  <w:num w:numId="5">
    <w:abstractNumId w:val="2"/>
  </w:num>
  <w:num w:numId="6">
    <w:abstractNumId w:val="10"/>
  </w:num>
  <w:num w:numId="7">
    <w:abstractNumId w:val="9"/>
  </w:num>
  <w:num w:numId="8">
    <w:abstractNumId w:val="8"/>
  </w:num>
  <w:num w:numId="9">
    <w:abstractNumId w:val="11"/>
  </w:num>
  <w:num w:numId="10">
    <w:abstractNumId w:val="4"/>
  </w:num>
  <w:num w:numId="11">
    <w:abstractNumId w:val="13"/>
  </w:num>
  <w:num w:numId="12">
    <w:abstractNumId w:val="6"/>
  </w:num>
  <w:num w:numId="13">
    <w:abstractNumId w:val="0"/>
  </w:num>
  <w:num w:numId="14">
    <w:abstractNumId w:val="14"/>
  </w:num>
  <w:num w:numId="15">
    <w:abstractNumId w:val="15"/>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drawingGridHorizontalSpacing w:val="110"/>
  <w:displayHorizontalDrawingGridEvery w:val="2"/>
  <w:characterSpacingControl w:val="doNotCompress"/>
  <w:hdrShapeDefaults>
    <o:shapedefaults v:ext="edit" spidmax="2049" style="mso-position-horizontal-relative:page;mso-position-vertical-relative:page;mso-width-percent:60;mso-height-percent:1000" o:allowincell="f" fillcolor="none [1303]" strokecolor="none [1303]">
      <v:fill color="none [1303]" color2="fill lighten(165)" rotate="t" method="linear sigma" focus="100%" type="gradient"/>
      <v:stroke color="none [1303]" weight="1pt"/>
      <v:imagedata embosscolor="shadow add(51)"/>
      <v:shadow type="perspective" color="none [2408]" origin=",.5" offset="0,-123pt" offset2=",-246pt" matrix=",,,-1"/>
      <o:extrusion v:ext="view" backdepth="0" color="none [1343]" rotationangle="25,25" viewpoint="0,0" viewpointorigin="0,0" skewangle="0" skewamt="0" lightposition="-50000,-50000" lightposition2="50000"/>
      <v:textbox inset="0,1in,1in,1in"/>
    </o:shapedefaults>
  </w:hdrShapeDefaults>
  <w:footnotePr>
    <w:footnote w:id="-1"/>
    <w:footnote w:id="0"/>
  </w:footnotePr>
  <w:endnotePr>
    <w:endnote w:id="-1"/>
    <w:endnote w:id="0"/>
  </w:endnotePr>
  <w:compat>
    <w:compatSetting w:name="compatibilityMode" w:uri="http://schemas.microsoft.com/office/word" w:val="12"/>
  </w:compat>
  <w:rsids>
    <w:rsidRoot w:val="00234ABE"/>
    <w:rsid w:val="00000344"/>
    <w:rsid w:val="00000522"/>
    <w:rsid w:val="0000063A"/>
    <w:rsid w:val="00000641"/>
    <w:rsid w:val="00000EF3"/>
    <w:rsid w:val="00001653"/>
    <w:rsid w:val="00001DD4"/>
    <w:rsid w:val="00001DDC"/>
    <w:rsid w:val="00001F33"/>
    <w:rsid w:val="00002A14"/>
    <w:rsid w:val="0000389C"/>
    <w:rsid w:val="00003FDF"/>
    <w:rsid w:val="00004163"/>
    <w:rsid w:val="00004A7E"/>
    <w:rsid w:val="0000552B"/>
    <w:rsid w:val="00005B93"/>
    <w:rsid w:val="00006715"/>
    <w:rsid w:val="0000750A"/>
    <w:rsid w:val="000077B8"/>
    <w:rsid w:val="00007A8F"/>
    <w:rsid w:val="000102D0"/>
    <w:rsid w:val="00010603"/>
    <w:rsid w:val="00010862"/>
    <w:rsid w:val="00010DAB"/>
    <w:rsid w:val="00011268"/>
    <w:rsid w:val="00011BD0"/>
    <w:rsid w:val="00012ADE"/>
    <w:rsid w:val="00012D8A"/>
    <w:rsid w:val="00013344"/>
    <w:rsid w:val="00013BAD"/>
    <w:rsid w:val="00015DEE"/>
    <w:rsid w:val="0001741C"/>
    <w:rsid w:val="000179EB"/>
    <w:rsid w:val="00022A8F"/>
    <w:rsid w:val="00022C08"/>
    <w:rsid w:val="00022EC3"/>
    <w:rsid w:val="00023BDC"/>
    <w:rsid w:val="00023C1D"/>
    <w:rsid w:val="00023F59"/>
    <w:rsid w:val="0002479D"/>
    <w:rsid w:val="00024F25"/>
    <w:rsid w:val="000252BF"/>
    <w:rsid w:val="000254F5"/>
    <w:rsid w:val="000255FB"/>
    <w:rsid w:val="00025608"/>
    <w:rsid w:val="00026AD3"/>
    <w:rsid w:val="0002776F"/>
    <w:rsid w:val="0002792E"/>
    <w:rsid w:val="00027F88"/>
    <w:rsid w:val="00030119"/>
    <w:rsid w:val="00030FD4"/>
    <w:rsid w:val="00031036"/>
    <w:rsid w:val="00031610"/>
    <w:rsid w:val="00031C47"/>
    <w:rsid w:val="00031CC0"/>
    <w:rsid w:val="000320E7"/>
    <w:rsid w:val="00032476"/>
    <w:rsid w:val="000325C5"/>
    <w:rsid w:val="00032EFB"/>
    <w:rsid w:val="00033537"/>
    <w:rsid w:val="00034CC9"/>
    <w:rsid w:val="000352C2"/>
    <w:rsid w:val="000354E8"/>
    <w:rsid w:val="000359CC"/>
    <w:rsid w:val="0003663A"/>
    <w:rsid w:val="0003678D"/>
    <w:rsid w:val="0003690B"/>
    <w:rsid w:val="00036AAC"/>
    <w:rsid w:val="00037409"/>
    <w:rsid w:val="000425C2"/>
    <w:rsid w:val="00043005"/>
    <w:rsid w:val="0004300E"/>
    <w:rsid w:val="000441AE"/>
    <w:rsid w:val="00044433"/>
    <w:rsid w:val="00045EEB"/>
    <w:rsid w:val="00045F20"/>
    <w:rsid w:val="000469A3"/>
    <w:rsid w:val="000477B7"/>
    <w:rsid w:val="000508AC"/>
    <w:rsid w:val="0005279E"/>
    <w:rsid w:val="00053EB2"/>
    <w:rsid w:val="0005542B"/>
    <w:rsid w:val="000556F0"/>
    <w:rsid w:val="0005676F"/>
    <w:rsid w:val="00057658"/>
    <w:rsid w:val="00057D18"/>
    <w:rsid w:val="0006009C"/>
    <w:rsid w:val="000605F7"/>
    <w:rsid w:val="00060807"/>
    <w:rsid w:val="00060D50"/>
    <w:rsid w:val="00060ED7"/>
    <w:rsid w:val="00063741"/>
    <w:rsid w:val="000637D1"/>
    <w:rsid w:val="00063CA5"/>
    <w:rsid w:val="00064152"/>
    <w:rsid w:val="00064A0C"/>
    <w:rsid w:val="00064EF8"/>
    <w:rsid w:val="00066620"/>
    <w:rsid w:val="00067F6C"/>
    <w:rsid w:val="00070FA2"/>
    <w:rsid w:val="000717ED"/>
    <w:rsid w:val="00072EAD"/>
    <w:rsid w:val="00073169"/>
    <w:rsid w:val="0007331A"/>
    <w:rsid w:val="00073418"/>
    <w:rsid w:val="0007351C"/>
    <w:rsid w:val="00073658"/>
    <w:rsid w:val="000744B6"/>
    <w:rsid w:val="00074632"/>
    <w:rsid w:val="00075929"/>
    <w:rsid w:val="00075F91"/>
    <w:rsid w:val="000777BF"/>
    <w:rsid w:val="0008052D"/>
    <w:rsid w:val="00080A82"/>
    <w:rsid w:val="00080FEB"/>
    <w:rsid w:val="00081403"/>
    <w:rsid w:val="00081C6A"/>
    <w:rsid w:val="0008456B"/>
    <w:rsid w:val="0008461C"/>
    <w:rsid w:val="00085A9C"/>
    <w:rsid w:val="00085CD3"/>
    <w:rsid w:val="00086167"/>
    <w:rsid w:val="00086388"/>
    <w:rsid w:val="000865FF"/>
    <w:rsid w:val="00087C06"/>
    <w:rsid w:val="00087C84"/>
    <w:rsid w:val="00087EF4"/>
    <w:rsid w:val="00091498"/>
    <w:rsid w:val="00091952"/>
    <w:rsid w:val="00092955"/>
    <w:rsid w:val="00093559"/>
    <w:rsid w:val="00093A56"/>
    <w:rsid w:val="00093B15"/>
    <w:rsid w:val="00094F31"/>
    <w:rsid w:val="000951FE"/>
    <w:rsid w:val="0009546E"/>
    <w:rsid w:val="00095479"/>
    <w:rsid w:val="00095904"/>
    <w:rsid w:val="00096022"/>
    <w:rsid w:val="00096B7B"/>
    <w:rsid w:val="00096E25"/>
    <w:rsid w:val="00097425"/>
    <w:rsid w:val="00097A2C"/>
    <w:rsid w:val="000A09BA"/>
    <w:rsid w:val="000A0E90"/>
    <w:rsid w:val="000A1EE7"/>
    <w:rsid w:val="000A49C0"/>
    <w:rsid w:val="000A4F39"/>
    <w:rsid w:val="000A4FD6"/>
    <w:rsid w:val="000A5272"/>
    <w:rsid w:val="000A6B2A"/>
    <w:rsid w:val="000A6BC0"/>
    <w:rsid w:val="000A7070"/>
    <w:rsid w:val="000A72F3"/>
    <w:rsid w:val="000A73CC"/>
    <w:rsid w:val="000A7A2F"/>
    <w:rsid w:val="000B00C3"/>
    <w:rsid w:val="000B0C4B"/>
    <w:rsid w:val="000B1464"/>
    <w:rsid w:val="000B19D9"/>
    <w:rsid w:val="000B2AE3"/>
    <w:rsid w:val="000B32C2"/>
    <w:rsid w:val="000B38A4"/>
    <w:rsid w:val="000B3D2C"/>
    <w:rsid w:val="000B41FE"/>
    <w:rsid w:val="000B4E79"/>
    <w:rsid w:val="000B5257"/>
    <w:rsid w:val="000B567C"/>
    <w:rsid w:val="000B6E0E"/>
    <w:rsid w:val="000B6F4A"/>
    <w:rsid w:val="000B764E"/>
    <w:rsid w:val="000C0299"/>
    <w:rsid w:val="000C293D"/>
    <w:rsid w:val="000C3735"/>
    <w:rsid w:val="000C38E4"/>
    <w:rsid w:val="000C40BD"/>
    <w:rsid w:val="000C46DB"/>
    <w:rsid w:val="000C4BED"/>
    <w:rsid w:val="000C55B5"/>
    <w:rsid w:val="000C77EF"/>
    <w:rsid w:val="000C78D2"/>
    <w:rsid w:val="000D02CB"/>
    <w:rsid w:val="000D0BB5"/>
    <w:rsid w:val="000D1107"/>
    <w:rsid w:val="000D1572"/>
    <w:rsid w:val="000D1BC6"/>
    <w:rsid w:val="000D262A"/>
    <w:rsid w:val="000D3B61"/>
    <w:rsid w:val="000D5DD0"/>
    <w:rsid w:val="000D6AA3"/>
    <w:rsid w:val="000D71EE"/>
    <w:rsid w:val="000E0520"/>
    <w:rsid w:val="000E0D85"/>
    <w:rsid w:val="000E0FA7"/>
    <w:rsid w:val="000E0FE5"/>
    <w:rsid w:val="000E1262"/>
    <w:rsid w:val="000E1402"/>
    <w:rsid w:val="000E15AA"/>
    <w:rsid w:val="000E1D6B"/>
    <w:rsid w:val="000E25EF"/>
    <w:rsid w:val="000E2718"/>
    <w:rsid w:val="000E2856"/>
    <w:rsid w:val="000E2BD8"/>
    <w:rsid w:val="000E2BF3"/>
    <w:rsid w:val="000E2CC3"/>
    <w:rsid w:val="000E3118"/>
    <w:rsid w:val="000E3BA6"/>
    <w:rsid w:val="000E45BE"/>
    <w:rsid w:val="000E5364"/>
    <w:rsid w:val="000E61C1"/>
    <w:rsid w:val="000E66BE"/>
    <w:rsid w:val="000E6A64"/>
    <w:rsid w:val="000E713E"/>
    <w:rsid w:val="000E7DD3"/>
    <w:rsid w:val="000E7F8A"/>
    <w:rsid w:val="000F0446"/>
    <w:rsid w:val="000F08D5"/>
    <w:rsid w:val="000F1B81"/>
    <w:rsid w:val="000F1DB5"/>
    <w:rsid w:val="000F1E91"/>
    <w:rsid w:val="000F2544"/>
    <w:rsid w:val="000F2BBC"/>
    <w:rsid w:val="000F36A2"/>
    <w:rsid w:val="000F3C26"/>
    <w:rsid w:val="000F3F5E"/>
    <w:rsid w:val="000F469D"/>
    <w:rsid w:val="000F4881"/>
    <w:rsid w:val="000F4E75"/>
    <w:rsid w:val="000F5356"/>
    <w:rsid w:val="000F53B0"/>
    <w:rsid w:val="000F5AB8"/>
    <w:rsid w:val="000F5CA5"/>
    <w:rsid w:val="000F62EC"/>
    <w:rsid w:val="000F6827"/>
    <w:rsid w:val="000F6BCA"/>
    <w:rsid w:val="000F6BDA"/>
    <w:rsid w:val="000F7C49"/>
    <w:rsid w:val="001000CB"/>
    <w:rsid w:val="001000F9"/>
    <w:rsid w:val="00100408"/>
    <w:rsid w:val="0010071A"/>
    <w:rsid w:val="00100E12"/>
    <w:rsid w:val="00101A8D"/>
    <w:rsid w:val="00102028"/>
    <w:rsid w:val="00102148"/>
    <w:rsid w:val="001022C4"/>
    <w:rsid w:val="0010268D"/>
    <w:rsid w:val="00103120"/>
    <w:rsid w:val="00103142"/>
    <w:rsid w:val="00104F89"/>
    <w:rsid w:val="00105869"/>
    <w:rsid w:val="00105BC1"/>
    <w:rsid w:val="00106CD5"/>
    <w:rsid w:val="00106E28"/>
    <w:rsid w:val="00106F79"/>
    <w:rsid w:val="00106FB8"/>
    <w:rsid w:val="0011005D"/>
    <w:rsid w:val="00110FA4"/>
    <w:rsid w:val="001117EA"/>
    <w:rsid w:val="00111BF9"/>
    <w:rsid w:val="00111FB0"/>
    <w:rsid w:val="001129D9"/>
    <w:rsid w:val="00113A09"/>
    <w:rsid w:val="00113AC1"/>
    <w:rsid w:val="00113FE0"/>
    <w:rsid w:val="001141FC"/>
    <w:rsid w:val="0011472A"/>
    <w:rsid w:val="00114FD9"/>
    <w:rsid w:val="001160BA"/>
    <w:rsid w:val="0011624F"/>
    <w:rsid w:val="00116353"/>
    <w:rsid w:val="00117396"/>
    <w:rsid w:val="001177E9"/>
    <w:rsid w:val="00120BD2"/>
    <w:rsid w:val="00120D98"/>
    <w:rsid w:val="00121D92"/>
    <w:rsid w:val="00122BCB"/>
    <w:rsid w:val="00122FBD"/>
    <w:rsid w:val="0012387E"/>
    <w:rsid w:val="00123A0A"/>
    <w:rsid w:val="001240AA"/>
    <w:rsid w:val="00124DC7"/>
    <w:rsid w:val="001250DB"/>
    <w:rsid w:val="00125394"/>
    <w:rsid w:val="001253E3"/>
    <w:rsid w:val="00125A90"/>
    <w:rsid w:val="0012677B"/>
    <w:rsid w:val="0012746A"/>
    <w:rsid w:val="00131605"/>
    <w:rsid w:val="00132043"/>
    <w:rsid w:val="001329FA"/>
    <w:rsid w:val="00132E37"/>
    <w:rsid w:val="00133250"/>
    <w:rsid w:val="00133897"/>
    <w:rsid w:val="001340CA"/>
    <w:rsid w:val="00135326"/>
    <w:rsid w:val="001357A8"/>
    <w:rsid w:val="00136B26"/>
    <w:rsid w:val="00136E0E"/>
    <w:rsid w:val="00137261"/>
    <w:rsid w:val="00140415"/>
    <w:rsid w:val="00140DF2"/>
    <w:rsid w:val="0014132A"/>
    <w:rsid w:val="00141381"/>
    <w:rsid w:val="00141C99"/>
    <w:rsid w:val="00141CD0"/>
    <w:rsid w:val="00142337"/>
    <w:rsid w:val="00142915"/>
    <w:rsid w:val="00142DDD"/>
    <w:rsid w:val="00143CB1"/>
    <w:rsid w:val="00143D74"/>
    <w:rsid w:val="001446DF"/>
    <w:rsid w:val="00144F29"/>
    <w:rsid w:val="00144F5D"/>
    <w:rsid w:val="00145273"/>
    <w:rsid w:val="00145918"/>
    <w:rsid w:val="00145BBE"/>
    <w:rsid w:val="00146367"/>
    <w:rsid w:val="001467D5"/>
    <w:rsid w:val="00146837"/>
    <w:rsid w:val="0014774B"/>
    <w:rsid w:val="00150F27"/>
    <w:rsid w:val="00150F63"/>
    <w:rsid w:val="00150FCB"/>
    <w:rsid w:val="001518BA"/>
    <w:rsid w:val="00151B73"/>
    <w:rsid w:val="00152017"/>
    <w:rsid w:val="0015483E"/>
    <w:rsid w:val="00155699"/>
    <w:rsid w:val="00155BBF"/>
    <w:rsid w:val="00155FE4"/>
    <w:rsid w:val="00156B4A"/>
    <w:rsid w:val="0015713C"/>
    <w:rsid w:val="00157B28"/>
    <w:rsid w:val="00157B40"/>
    <w:rsid w:val="00161C94"/>
    <w:rsid w:val="001621B0"/>
    <w:rsid w:val="00163137"/>
    <w:rsid w:val="00163894"/>
    <w:rsid w:val="00163DBE"/>
    <w:rsid w:val="00164571"/>
    <w:rsid w:val="001649C9"/>
    <w:rsid w:val="00164F3B"/>
    <w:rsid w:val="0016554C"/>
    <w:rsid w:val="00165783"/>
    <w:rsid w:val="001660DA"/>
    <w:rsid w:val="001666CA"/>
    <w:rsid w:val="00167237"/>
    <w:rsid w:val="00167F54"/>
    <w:rsid w:val="0017017F"/>
    <w:rsid w:val="00170B44"/>
    <w:rsid w:val="00171EDC"/>
    <w:rsid w:val="00172A9C"/>
    <w:rsid w:val="00172E1E"/>
    <w:rsid w:val="0017353A"/>
    <w:rsid w:val="0017393B"/>
    <w:rsid w:val="00173FA9"/>
    <w:rsid w:val="00174556"/>
    <w:rsid w:val="00174624"/>
    <w:rsid w:val="00174928"/>
    <w:rsid w:val="00174C9A"/>
    <w:rsid w:val="0017517C"/>
    <w:rsid w:val="00175424"/>
    <w:rsid w:val="00175C34"/>
    <w:rsid w:val="001765BE"/>
    <w:rsid w:val="0017676B"/>
    <w:rsid w:val="00176DBC"/>
    <w:rsid w:val="001773F8"/>
    <w:rsid w:val="001776B6"/>
    <w:rsid w:val="00180159"/>
    <w:rsid w:val="00180192"/>
    <w:rsid w:val="00180A85"/>
    <w:rsid w:val="00180BEC"/>
    <w:rsid w:val="00180D9C"/>
    <w:rsid w:val="001812DB"/>
    <w:rsid w:val="0018206C"/>
    <w:rsid w:val="001824BD"/>
    <w:rsid w:val="001827C6"/>
    <w:rsid w:val="00182FAE"/>
    <w:rsid w:val="001830DD"/>
    <w:rsid w:val="001836C4"/>
    <w:rsid w:val="00183CAA"/>
    <w:rsid w:val="0018413B"/>
    <w:rsid w:val="001848AC"/>
    <w:rsid w:val="00184A62"/>
    <w:rsid w:val="00185315"/>
    <w:rsid w:val="00185C84"/>
    <w:rsid w:val="00186147"/>
    <w:rsid w:val="00187098"/>
    <w:rsid w:val="00187E38"/>
    <w:rsid w:val="00190451"/>
    <w:rsid w:val="00190D2E"/>
    <w:rsid w:val="00191F09"/>
    <w:rsid w:val="001923F9"/>
    <w:rsid w:val="001927F1"/>
    <w:rsid w:val="00192C5C"/>
    <w:rsid w:val="0019334C"/>
    <w:rsid w:val="0019340F"/>
    <w:rsid w:val="0019353F"/>
    <w:rsid w:val="00195141"/>
    <w:rsid w:val="001955C3"/>
    <w:rsid w:val="00195895"/>
    <w:rsid w:val="00195FF5"/>
    <w:rsid w:val="00196EBF"/>
    <w:rsid w:val="00196FB9"/>
    <w:rsid w:val="0019774F"/>
    <w:rsid w:val="00197771"/>
    <w:rsid w:val="00197DBD"/>
    <w:rsid w:val="001A03D3"/>
    <w:rsid w:val="001A05F0"/>
    <w:rsid w:val="001A10DE"/>
    <w:rsid w:val="001A13E1"/>
    <w:rsid w:val="001A1E84"/>
    <w:rsid w:val="001A2A79"/>
    <w:rsid w:val="001A2DD6"/>
    <w:rsid w:val="001A30D9"/>
    <w:rsid w:val="001A34CC"/>
    <w:rsid w:val="001A3569"/>
    <w:rsid w:val="001A412A"/>
    <w:rsid w:val="001A6667"/>
    <w:rsid w:val="001A68D4"/>
    <w:rsid w:val="001A7851"/>
    <w:rsid w:val="001A7AAF"/>
    <w:rsid w:val="001B129E"/>
    <w:rsid w:val="001B14AB"/>
    <w:rsid w:val="001B16B5"/>
    <w:rsid w:val="001B2810"/>
    <w:rsid w:val="001B3127"/>
    <w:rsid w:val="001B320C"/>
    <w:rsid w:val="001B32A4"/>
    <w:rsid w:val="001B3BFA"/>
    <w:rsid w:val="001B3EC4"/>
    <w:rsid w:val="001B3FB1"/>
    <w:rsid w:val="001B4295"/>
    <w:rsid w:val="001B5804"/>
    <w:rsid w:val="001B638F"/>
    <w:rsid w:val="001B6FFF"/>
    <w:rsid w:val="001B744B"/>
    <w:rsid w:val="001C0AA5"/>
    <w:rsid w:val="001C1521"/>
    <w:rsid w:val="001C1545"/>
    <w:rsid w:val="001C1575"/>
    <w:rsid w:val="001C19F7"/>
    <w:rsid w:val="001C2B2B"/>
    <w:rsid w:val="001C2E56"/>
    <w:rsid w:val="001C307B"/>
    <w:rsid w:val="001C34D7"/>
    <w:rsid w:val="001C37A5"/>
    <w:rsid w:val="001C3BEF"/>
    <w:rsid w:val="001C3F7B"/>
    <w:rsid w:val="001C3FB9"/>
    <w:rsid w:val="001C46F4"/>
    <w:rsid w:val="001C49DE"/>
    <w:rsid w:val="001C5E73"/>
    <w:rsid w:val="001C71B6"/>
    <w:rsid w:val="001D110E"/>
    <w:rsid w:val="001D12D0"/>
    <w:rsid w:val="001D1D01"/>
    <w:rsid w:val="001D2993"/>
    <w:rsid w:val="001D2A5B"/>
    <w:rsid w:val="001D3516"/>
    <w:rsid w:val="001D3E37"/>
    <w:rsid w:val="001D3EDE"/>
    <w:rsid w:val="001D4138"/>
    <w:rsid w:val="001D59B6"/>
    <w:rsid w:val="001D5AF8"/>
    <w:rsid w:val="001D5BFE"/>
    <w:rsid w:val="001D5C0A"/>
    <w:rsid w:val="001E02C7"/>
    <w:rsid w:val="001E046B"/>
    <w:rsid w:val="001E0A78"/>
    <w:rsid w:val="001E1A66"/>
    <w:rsid w:val="001E1E9A"/>
    <w:rsid w:val="001E2345"/>
    <w:rsid w:val="001E30A8"/>
    <w:rsid w:val="001E32A8"/>
    <w:rsid w:val="001E37AA"/>
    <w:rsid w:val="001E3998"/>
    <w:rsid w:val="001E444D"/>
    <w:rsid w:val="001E476C"/>
    <w:rsid w:val="001E4E83"/>
    <w:rsid w:val="001E5ED6"/>
    <w:rsid w:val="001E663E"/>
    <w:rsid w:val="001E6AF0"/>
    <w:rsid w:val="001E6DDC"/>
    <w:rsid w:val="001E74AE"/>
    <w:rsid w:val="001F0000"/>
    <w:rsid w:val="001F080E"/>
    <w:rsid w:val="001F0C57"/>
    <w:rsid w:val="001F0EC5"/>
    <w:rsid w:val="001F10B6"/>
    <w:rsid w:val="001F2269"/>
    <w:rsid w:val="001F24B7"/>
    <w:rsid w:val="001F2587"/>
    <w:rsid w:val="001F3573"/>
    <w:rsid w:val="001F4D78"/>
    <w:rsid w:val="001F5BBA"/>
    <w:rsid w:val="001F5BFB"/>
    <w:rsid w:val="001F606C"/>
    <w:rsid w:val="001F6E98"/>
    <w:rsid w:val="001F7848"/>
    <w:rsid w:val="001F7852"/>
    <w:rsid w:val="001F78FE"/>
    <w:rsid w:val="001F7C45"/>
    <w:rsid w:val="002004F1"/>
    <w:rsid w:val="00201096"/>
    <w:rsid w:val="002013E5"/>
    <w:rsid w:val="00201F89"/>
    <w:rsid w:val="00203BEE"/>
    <w:rsid w:val="00204831"/>
    <w:rsid w:val="0020484B"/>
    <w:rsid w:val="0020643F"/>
    <w:rsid w:val="00206829"/>
    <w:rsid w:val="00206EB4"/>
    <w:rsid w:val="0020712A"/>
    <w:rsid w:val="00207B02"/>
    <w:rsid w:val="00211652"/>
    <w:rsid w:val="00211B48"/>
    <w:rsid w:val="00212AA1"/>
    <w:rsid w:val="00212C8A"/>
    <w:rsid w:val="002131E4"/>
    <w:rsid w:val="0021348A"/>
    <w:rsid w:val="002144B0"/>
    <w:rsid w:val="00214700"/>
    <w:rsid w:val="00214B73"/>
    <w:rsid w:val="0021543D"/>
    <w:rsid w:val="00215857"/>
    <w:rsid w:val="00215CFC"/>
    <w:rsid w:val="002161BD"/>
    <w:rsid w:val="00216216"/>
    <w:rsid w:val="0021662B"/>
    <w:rsid w:val="00216A04"/>
    <w:rsid w:val="00217413"/>
    <w:rsid w:val="002204A3"/>
    <w:rsid w:val="00220B47"/>
    <w:rsid w:val="00221742"/>
    <w:rsid w:val="0022379F"/>
    <w:rsid w:val="00224170"/>
    <w:rsid w:val="002244C4"/>
    <w:rsid w:val="00224529"/>
    <w:rsid w:val="00224629"/>
    <w:rsid w:val="00224A35"/>
    <w:rsid w:val="00226350"/>
    <w:rsid w:val="002264AF"/>
    <w:rsid w:val="0023158A"/>
    <w:rsid w:val="00233771"/>
    <w:rsid w:val="002341CE"/>
    <w:rsid w:val="00234943"/>
    <w:rsid w:val="00234ABE"/>
    <w:rsid w:val="00234CA7"/>
    <w:rsid w:val="00235575"/>
    <w:rsid w:val="0023572A"/>
    <w:rsid w:val="00235875"/>
    <w:rsid w:val="00235D42"/>
    <w:rsid w:val="00235FB3"/>
    <w:rsid w:val="00237D44"/>
    <w:rsid w:val="00241E35"/>
    <w:rsid w:val="002429E9"/>
    <w:rsid w:val="00242D83"/>
    <w:rsid w:val="00242DC2"/>
    <w:rsid w:val="00242E27"/>
    <w:rsid w:val="00243EE0"/>
    <w:rsid w:val="002461DD"/>
    <w:rsid w:val="002464F4"/>
    <w:rsid w:val="00247F73"/>
    <w:rsid w:val="00247FBC"/>
    <w:rsid w:val="00250BA5"/>
    <w:rsid w:val="0025158B"/>
    <w:rsid w:val="002517B9"/>
    <w:rsid w:val="002527E7"/>
    <w:rsid w:val="0025404E"/>
    <w:rsid w:val="00254600"/>
    <w:rsid w:val="00256C99"/>
    <w:rsid w:val="002579BA"/>
    <w:rsid w:val="00257E36"/>
    <w:rsid w:val="0026081E"/>
    <w:rsid w:val="00261229"/>
    <w:rsid w:val="002615A8"/>
    <w:rsid w:val="00261D8B"/>
    <w:rsid w:val="0026250E"/>
    <w:rsid w:val="0026392F"/>
    <w:rsid w:val="00263ABB"/>
    <w:rsid w:val="00264C63"/>
    <w:rsid w:val="00265087"/>
    <w:rsid w:val="002663CD"/>
    <w:rsid w:val="002668C8"/>
    <w:rsid w:val="002726E4"/>
    <w:rsid w:val="00272F98"/>
    <w:rsid w:val="002737D1"/>
    <w:rsid w:val="0027448C"/>
    <w:rsid w:val="002747FC"/>
    <w:rsid w:val="00276618"/>
    <w:rsid w:val="00276F50"/>
    <w:rsid w:val="00281962"/>
    <w:rsid w:val="00281B11"/>
    <w:rsid w:val="00281FAE"/>
    <w:rsid w:val="002824DF"/>
    <w:rsid w:val="00283028"/>
    <w:rsid w:val="002844AE"/>
    <w:rsid w:val="00286139"/>
    <w:rsid w:val="00286681"/>
    <w:rsid w:val="00286BCB"/>
    <w:rsid w:val="00286D0E"/>
    <w:rsid w:val="00287F16"/>
    <w:rsid w:val="00290A05"/>
    <w:rsid w:val="00291465"/>
    <w:rsid w:val="00292422"/>
    <w:rsid w:val="002928DC"/>
    <w:rsid w:val="002928E3"/>
    <w:rsid w:val="00292E05"/>
    <w:rsid w:val="00293B88"/>
    <w:rsid w:val="002944BF"/>
    <w:rsid w:val="0029476D"/>
    <w:rsid w:val="00294AD8"/>
    <w:rsid w:val="00294B9B"/>
    <w:rsid w:val="00295993"/>
    <w:rsid w:val="00296377"/>
    <w:rsid w:val="002964C3"/>
    <w:rsid w:val="00296B7A"/>
    <w:rsid w:val="002977D7"/>
    <w:rsid w:val="00297B14"/>
    <w:rsid w:val="002A0B22"/>
    <w:rsid w:val="002A0CD6"/>
    <w:rsid w:val="002A0FC0"/>
    <w:rsid w:val="002A1403"/>
    <w:rsid w:val="002A2000"/>
    <w:rsid w:val="002A30A7"/>
    <w:rsid w:val="002A316F"/>
    <w:rsid w:val="002A3A55"/>
    <w:rsid w:val="002A47AB"/>
    <w:rsid w:val="002A4EB1"/>
    <w:rsid w:val="002A5394"/>
    <w:rsid w:val="002A540D"/>
    <w:rsid w:val="002A63ED"/>
    <w:rsid w:val="002A7711"/>
    <w:rsid w:val="002B050F"/>
    <w:rsid w:val="002B05AE"/>
    <w:rsid w:val="002B187F"/>
    <w:rsid w:val="002B1D4E"/>
    <w:rsid w:val="002B1DC8"/>
    <w:rsid w:val="002B1F86"/>
    <w:rsid w:val="002B2200"/>
    <w:rsid w:val="002B2D13"/>
    <w:rsid w:val="002B3324"/>
    <w:rsid w:val="002B3E74"/>
    <w:rsid w:val="002B4927"/>
    <w:rsid w:val="002B4C35"/>
    <w:rsid w:val="002B5696"/>
    <w:rsid w:val="002B5D1B"/>
    <w:rsid w:val="002B697F"/>
    <w:rsid w:val="002B6B5A"/>
    <w:rsid w:val="002B79FE"/>
    <w:rsid w:val="002C0626"/>
    <w:rsid w:val="002C0870"/>
    <w:rsid w:val="002C1BB7"/>
    <w:rsid w:val="002C1D65"/>
    <w:rsid w:val="002C28A2"/>
    <w:rsid w:val="002C3896"/>
    <w:rsid w:val="002C3B18"/>
    <w:rsid w:val="002C4737"/>
    <w:rsid w:val="002C5831"/>
    <w:rsid w:val="002D06E1"/>
    <w:rsid w:val="002D0844"/>
    <w:rsid w:val="002D0880"/>
    <w:rsid w:val="002D0FB2"/>
    <w:rsid w:val="002D1A56"/>
    <w:rsid w:val="002D1A9B"/>
    <w:rsid w:val="002D1D50"/>
    <w:rsid w:val="002D30A9"/>
    <w:rsid w:val="002D34A2"/>
    <w:rsid w:val="002D36BB"/>
    <w:rsid w:val="002D3D35"/>
    <w:rsid w:val="002D73EA"/>
    <w:rsid w:val="002E006C"/>
    <w:rsid w:val="002E0E2B"/>
    <w:rsid w:val="002E1C24"/>
    <w:rsid w:val="002E230C"/>
    <w:rsid w:val="002E2570"/>
    <w:rsid w:val="002E2BEA"/>
    <w:rsid w:val="002E2E07"/>
    <w:rsid w:val="002E330D"/>
    <w:rsid w:val="002E3A2C"/>
    <w:rsid w:val="002E4131"/>
    <w:rsid w:val="002E70A1"/>
    <w:rsid w:val="002E760B"/>
    <w:rsid w:val="002E7B64"/>
    <w:rsid w:val="002F0639"/>
    <w:rsid w:val="002F0791"/>
    <w:rsid w:val="002F0CED"/>
    <w:rsid w:val="002F0FE5"/>
    <w:rsid w:val="002F1F73"/>
    <w:rsid w:val="002F271D"/>
    <w:rsid w:val="002F2978"/>
    <w:rsid w:val="002F37FA"/>
    <w:rsid w:val="002F3C4B"/>
    <w:rsid w:val="002F3CBF"/>
    <w:rsid w:val="002F408D"/>
    <w:rsid w:val="002F639A"/>
    <w:rsid w:val="002F6741"/>
    <w:rsid w:val="002F6B61"/>
    <w:rsid w:val="002F770A"/>
    <w:rsid w:val="002F7C37"/>
    <w:rsid w:val="003005F9"/>
    <w:rsid w:val="0030067F"/>
    <w:rsid w:val="00301475"/>
    <w:rsid w:val="0030150C"/>
    <w:rsid w:val="00302356"/>
    <w:rsid w:val="003026AA"/>
    <w:rsid w:val="00302A15"/>
    <w:rsid w:val="00302EAE"/>
    <w:rsid w:val="0030434E"/>
    <w:rsid w:val="003044CC"/>
    <w:rsid w:val="00304CA9"/>
    <w:rsid w:val="003053E3"/>
    <w:rsid w:val="00305B15"/>
    <w:rsid w:val="00305C21"/>
    <w:rsid w:val="003064FA"/>
    <w:rsid w:val="003065DC"/>
    <w:rsid w:val="003073AB"/>
    <w:rsid w:val="00307F85"/>
    <w:rsid w:val="00310844"/>
    <w:rsid w:val="003109E4"/>
    <w:rsid w:val="00310ACD"/>
    <w:rsid w:val="00311201"/>
    <w:rsid w:val="00311D23"/>
    <w:rsid w:val="003122C6"/>
    <w:rsid w:val="003126AC"/>
    <w:rsid w:val="0031290C"/>
    <w:rsid w:val="00312C58"/>
    <w:rsid w:val="00314350"/>
    <w:rsid w:val="00314E14"/>
    <w:rsid w:val="00315497"/>
    <w:rsid w:val="00315924"/>
    <w:rsid w:val="00315D24"/>
    <w:rsid w:val="003164A6"/>
    <w:rsid w:val="00317157"/>
    <w:rsid w:val="003175E4"/>
    <w:rsid w:val="00317D40"/>
    <w:rsid w:val="003209A9"/>
    <w:rsid w:val="003209B7"/>
    <w:rsid w:val="00321144"/>
    <w:rsid w:val="00321A3C"/>
    <w:rsid w:val="00322864"/>
    <w:rsid w:val="00322CBB"/>
    <w:rsid w:val="003232DD"/>
    <w:rsid w:val="0032508F"/>
    <w:rsid w:val="0032607A"/>
    <w:rsid w:val="0032694A"/>
    <w:rsid w:val="00326B95"/>
    <w:rsid w:val="0032725B"/>
    <w:rsid w:val="00327278"/>
    <w:rsid w:val="003273BC"/>
    <w:rsid w:val="00327DDF"/>
    <w:rsid w:val="00327F76"/>
    <w:rsid w:val="00330BA5"/>
    <w:rsid w:val="00331CC3"/>
    <w:rsid w:val="00332883"/>
    <w:rsid w:val="003329F1"/>
    <w:rsid w:val="003331B6"/>
    <w:rsid w:val="003335D3"/>
    <w:rsid w:val="00334284"/>
    <w:rsid w:val="003355F3"/>
    <w:rsid w:val="00335DF9"/>
    <w:rsid w:val="00336513"/>
    <w:rsid w:val="00340227"/>
    <w:rsid w:val="00340E5A"/>
    <w:rsid w:val="0034158B"/>
    <w:rsid w:val="0034172A"/>
    <w:rsid w:val="00341785"/>
    <w:rsid w:val="003427A0"/>
    <w:rsid w:val="003427E9"/>
    <w:rsid w:val="0034328E"/>
    <w:rsid w:val="00343460"/>
    <w:rsid w:val="00343601"/>
    <w:rsid w:val="0034374F"/>
    <w:rsid w:val="00343D13"/>
    <w:rsid w:val="003440C2"/>
    <w:rsid w:val="003448FD"/>
    <w:rsid w:val="003450AD"/>
    <w:rsid w:val="00345589"/>
    <w:rsid w:val="0034673C"/>
    <w:rsid w:val="00346ACF"/>
    <w:rsid w:val="00350D8E"/>
    <w:rsid w:val="003515ED"/>
    <w:rsid w:val="00351E7A"/>
    <w:rsid w:val="00352000"/>
    <w:rsid w:val="00352DA2"/>
    <w:rsid w:val="00353387"/>
    <w:rsid w:val="00353D17"/>
    <w:rsid w:val="00354CB9"/>
    <w:rsid w:val="00355295"/>
    <w:rsid w:val="0035583E"/>
    <w:rsid w:val="00355885"/>
    <w:rsid w:val="003567F0"/>
    <w:rsid w:val="00357438"/>
    <w:rsid w:val="0036191E"/>
    <w:rsid w:val="00362495"/>
    <w:rsid w:val="003626C1"/>
    <w:rsid w:val="00363170"/>
    <w:rsid w:val="0036420C"/>
    <w:rsid w:val="00364465"/>
    <w:rsid w:val="003646BA"/>
    <w:rsid w:val="003648BC"/>
    <w:rsid w:val="00364914"/>
    <w:rsid w:val="00365317"/>
    <w:rsid w:val="003655DC"/>
    <w:rsid w:val="00366594"/>
    <w:rsid w:val="00366731"/>
    <w:rsid w:val="0036740D"/>
    <w:rsid w:val="00370D43"/>
    <w:rsid w:val="00370FEE"/>
    <w:rsid w:val="0037115D"/>
    <w:rsid w:val="00372407"/>
    <w:rsid w:val="003740F2"/>
    <w:rsid w:val="0037502B"/>
    <w:rsid w:val="003768B3"/>
    <w:rsid w:val="0037693E"/>
    <w:rsid w:val="003773AB"/>
    <w:rsid w:val="0037748C"/>
    <w:rsid w:val="00377754"/>
    <w:rsid w:val="00380582"/>
    <w:rsid w:val="00380915"/>
    <w:rsid w:val="00380919"/>
    <w:rsid w:val="00381390"/>
    <w:rsid w:val="00381434"/>
    <w:rsid w:val="0038207E"/>
    <w:rsid w:val="00382092"/>
    <w:rsid w:val="00382C75"/>
    <w:rsid w:val="00383A7A"/>
    <w:rsid w:val="00383ED6"/>
    <w:rsid w:val="003849EB"/>
    <w:rsid w:val="00384A27"/>
    <w:rsid w:val="003858B8"/>
    <w:rsid w:val="00386CDD"/>
    <w:rsid w:val="00386FCC"/>
    <w:rsid w:val="00387081"/>
    <w:rsid w:val="0038787B"/>
    <w:rsid w:val="003903D3"/>
    <w:rsid w:val="00390954"/>
    <w:rsid w:val="00391196"/>
    <w:rsid w:val="003918F9"/>
    <w:rsid w:val="00392708"/>
    <w:rsid w:val="003929CD"/>
    <w:rsid w:val="00393126"/>
    <w:rsid w:val="003946A5"/>
    <w:rsid w:val="00394C7B"/>
    <w:rsid w:val="00396BEE"/>
    <w:rsid w:val="00397B6C"/>
    <w:rsid w:val="003A05D6"/>
    <w:rsid w:val="003A05F4"/>
    <w:rsid w:val="003A15D2"/>
    <w:rsid w:val="003A1CC2"/>
    <w:rsid w:val="003A2561"/>
    <w:rsid w:val="003A25A5"/>
    <w:rsid w:val="003A28F9"/>
    <w:rsid w:val="003A2B9E"/>
    <w:rsid w:val="003A3240"/>
    <w:rsid w:val="003A36A7"/>
    <w:rsid w:val="003A3929"/>
    <w:rsid w:val="003A4888"/>
    <w:rsid w:val="003A49D9"/>
    <w:rsid w:val="003A4D38"/>
    <w:rsid w:val="003A58CC"/>
    <w:rsid w:val="003A5C8F"/>
    <w:rsid w:val="003A6537"/>
    <w:rsid w:val="003A65A7"/>
    <w:rsid w:val="003A6985"/>
    <w:rsid w:val="003A6BCC"/>
    <w:rsid w:val="003A740C"/>
    <w:rsid w:val="003A7B79"/>
    <w:rsid w:val="003A7D98"/>
    <w:rsid w:val="003B1AC2"/>
    <w:rsid w:val="003B1CC4"/>
    <w:rsid w:val="003B21F6"/>
    <w:rsid w:val="003B2B8F"/>
    <w:rsid w:val="003B2BD5"/>
    <w:rsid w:val="003B3B34"/>
    <w:rsid w:val="003B3C29"/>
    <w:rsid w:val="003B4DED"/>
    <w:rsid w:val="003B50A1"/>
    <w:rsid w:val="003B5C7B"/>
    <w:rsid w:val="003B6749"/>
    <w:rsid w:val="003B79B2"/>
    <w:rsid w:val="003C0246"/>
    <w:rsid w:val="003C0C1A"/>
    <w:rsid w:val="003C2065"/>
    <w:rsid w:val="003C29EB"/>
    <w:rsid w:val="003C2C7E"/>
    <w:rsid w:val="003C3079"/>
    <w:rsid w:val="003C3973"/>
    <w:rsid w:val="003C3F1A"/>
    <w:rsid w:val="003C445A"/>
    <w:rsid w:val="003C486D"/>
    <w:rsid w:val="003C49FA"/>
    <w:rsid w:val="003C512F"/>
    <w:rsid w:val="003C63C3"/>
    <w:rsid w:val="003C7082"/>
    <w:rsid w:val="003C7D76"/>
    <w:rsid w:val="003D15C2"/>
    <w:rsid w:val="003D19C0"/>
    <w:rsid w:val="003D1E91"/>
    <w:rsid w:val="003D43DC"/>
    <w:rsid w:val="003D461B"/>
    <w:rsid w:val="003D46E5"/>
    <w:rsid w:val="003D4974"/>
    <w:rsid w:val="003D5B53"/>
    <w:rsid w:val="003D65B1"/>
    <w:rsid w:val="003D6AE9"/>
    <w:rsid w:val="003D6BDE"/>
    <w:rsid w:val="003D6C40"/>
    <w:rsid w:val="003E0BA8"/>
    <w:rsid w:val="003E1598"/>
    <w:rsid w:val="003E1BCA"/>
    <w:rsid w:val="003E1C57"/>
    <w:rsid w:val="003E1D43"/>
    <w:rsid w:val="003E2D21"/>
    <w:rsid w:val="003E3019"/>
    <w:rsid w:val="003E46B3"/>
    <w:rsid w:val="003E58CF"/>
    <w:rsid w:val="003E7AE7"/>
    <w:rsid w:val="003F215A"/>
    <w:rsid w:val="003F2914"/>
    <w:rsid w:val="003F345F"/>
    <w:rsid w:val="003F358E"/>
    <w:rsid w:val="003F368A"/>
    <w:rsid w:val="003F3831"/>
    <w:rsid w:val="003F4AA0"/>
    <w:rsid w:val="003F4F9C"/>
    <w:rsid w:val="003F5951"/>
    <w:rsid w:val="003F5966"/>
    <w:rsid w:val="003F6234"/>
    <w:rsid w:val="003F6AF7"/>
    <w:rsid w:val="003F6DB7"/>
    <w:rsid w:val="00400409"/>
    <w:rsid w:val="00400AD8"/>
    <w:rsid w:val="00400C0F"/>
    <w:rsid w:val="0040200E"/>
    <w:rsid w:val="00402215"/>
    <w:rsid w:val="00402616"/>
    <w:rsid w:val="00403316"/>
    <w:rsid w:val="00403382"/>
    <w:rsid w:val="00403387"/>
    <w:rsid w:val="0040339C"/>
    <w:rsid w:val="00403580"/>
    <w:rsid w:val="00403FF7"/>
    <w:rsid w:val="0040438D"/>
    <w:rsid w:val="0040736D"/>
    <w:rsid w:val="0040737F"/>
    <w:rsid w:val="00407E9A"/>
    <w:rsid w:val="00410251"/>
    <w:rsid w:val="00410A53"/>
    <w:rsid w:val="00410C8B"/>
    <w:rsid w:val="00410E26"/>
    <w:rsid w:val="00410F7E"/>
    <w:rsid w:val="00411532"/>
    <w:rsid w:val="00411A7E"/>
    <w:rsid w:val="00412200"/>
    <w:rsid w:val="0041267B"/>
    <w:rsid w:val="00412955"/>
    <w:rsid w:val="00412C4A"/>
    <w:rsid w:val="00412D51"/>
    <w:rsid w:val="00414672"/>
    <w:rsid w:val="00414A5A"/>
    <w:rsid w:val="00414D30"/>
    <w:rsid w:val="004168FC"/>
    <w:rsid w:val="004173B9"/>
    <w:rsid w:val="00417574"/>
    <w:rsid w:val="00420F0A"/>
    <w:rsid w:val="00421396"/>
    <w:rsid w:val="00421A0E"/>
    <w:rsid w:val="00421A14"/>
    <w:rsid w:val="00422027"/>
    <w:rsid w:val="00423760"/>
    <w:rsid w:val="00423928"/>
    <w:rsid w:val="00425131"/>
    <w:rsid w:val="0042778D"/>
    <w:rsid w:val="0043042E"/>
    <w:rsid w:val="00430B71"/>
    <w:rsid w:val="0043176D"/>
    <w:rsid w:val="00431DA3"/>
    <w:rsid w:val="004320AB"/>
    <w:rsid w:val="004321BA"/>
    <w:rsid w:val="004322EA"/>
    <w:rsid w:val="004328DA"/>
    <w:rsid w:val="00433749"/>
    <w:rsid w:val="004344DA"/>
    <w:rsid w:val="00435783"/>
    <w:rsid w:val="00435D20"/>
    <w:rsid w:val="00435D4B"/>
    <w:rsid w:val="00437155"/>
    <w:rsid w:val="004374A6"/>
    <w:rsid w:val="0044079B"/>
    <w:rsid w:val="00440839"/>
    <w:rsid w:val="00440A84"/>
    <w:rsid w:val="00441C99"/>
    <w:rsid w:val="00442A81"/>
    <w:rsid w:val="00443394"/>
    <w:rsid w:val="004436BE"/>
    <w:rsid w:val="00443954"/>
    <w:rsid w:val="00444970"/>
    <w:rsid w:val="00445059"/>
    <w:rsid w:val="004457D2"/>
    <w:rsid w:val="00446C7B"/>
    <w:rsid w:val="00447203"/>
    <w:rsid w:val="004473B4"/>
    <w:rsid w:val="00450525"/>
    <w:rsid w:val="00450A4B"/>
    <w:rsid w:val="00452EB5"/>
    <w:rsid w:val="00454CE2"/>
    <w:rsid w:val="004550AC"/>
    <w:rsid w:val="004552A4"/>
    <w:rsid w:val="0045664D"/>
    <w:rsid w:val="0045709B"/>
    <w:rsid w:val="00457EDE"/>
    <w:rsid w:val="00460243"/>
    <w:rsid w:val="0046119E"/>
    <w:rsid w:val="004611A2"/>
    <w:rsid w:val="00462716"/>
    <w:rsid w:val="0046393B"/>
    <w:rsid w:val="004646FC"/>
    <w:rsid w:val="00464FAB"/>
    <w:rsid w:val="00464FFF"/>
    <w:rsid w:val="0046655D"/>
    <w:rsid w:val="0046712F"/>
    <w:rsid w:val="00471647"/>
    <w:rsid w:val="00473EAD"/>
    <w:rsid w:val="00473F93"/>
    <w:rsid w:val="00474C88"/>
    <w:rsid w:val="00474E95"/>
    <w:rsid w:val="0047703C"/>
    <w:rsid w:val="00477AD1"/>
    <w:rsid w:val="00477EA3"/>
    <w:rsid w:val="00477F5C"/>
    <w:rsid w:val="004807ED"/>
    <w:rsid w:val="0048149B"/>
    <w:rsid w:val="00481C0C"/>
    <w:rsid w:val="00481EDF"/>
    <w:rsid w:val="00482D46"/>
    <w:rsid w:val="00482E13"/>
    <w:rsid w:val="0048516D"/>
    <w:rsid w:val="0048519A"/>
    <w:rsid w:val="00485E65"/>
    <w:rsid w:val="0049038F"/>
    <w:rsid w:val="0049054C"/>
    <w:rsid w:val="00490BDC"/>
    <w:rsid w:val="00491395"/>
    <w:rsid w:val="00491EB6"/>
    <w:rsid w:val="004922DA"/>
    <w:rsid w:val="004925EF"/>
    <w:rsid w:val="004928B4"/>
    <w:rsid w:val="004937F1"/>
    <w:rsid w:val="00493885"/>
    <w:rsid w:val="00493BED"/>
    <w:rsid w:val="00493E43"/>
    <w:rsid w:val="00493E7D"/>
    <w:rsid w:val="0049409D"/>
    <w:rsid w:val="004940BE"/>
    <w:rsid w:val="0049441F"/>
    <w:rsid w:val="0049476C"/>
    <w:rsid w:val="00495114"/>
    <w:rsid w:val="00495AF2"/>
    <w:rsid w:val="0049751A"/>
    <w:rsid w:val="004979C0"/>
    <w:rsid w:val="00497ABB"/>
    <w:rsid w:val="00497DB3"/>
    <w:rsid w:val="004A172B"/>
    <w:rsid w:val="004A213A"/>
    <w:rsid w:val="004A4836"/>
    <w:rsid w:val="004A7431"/>
    <w:rsid w:val="004A7683"/>
    <w:rsid w:val="004B0F3A"/>
    <w:rsid w:val="004B10F2"/>
    <w:rsid w:val="004B171D"/>
    <w:rsid w:val="004B18A9"/>
    <w:rsid w:val="004B2362"/>
    <w:rsid w:val="004B3989"/>
    <w:rsid w:val="004B3F10"/>
    <w:rsid w:val="004B4436"/>
    <w:rsid w:val="004B4940"/>
    <w:rsid w:val="004B4D96"/>
    <w:rsid w:val="004B68D4"/>
    <w:rsid w:val="004B6A4D"/>
    <w:rsid w:val="004B786A"/>
    <w:rsid w:val="004C0241"/>
    <w:rsid w:val="004C0D07"/>
    <w:rsid w:val="004C1112"/>
    <w:rsid w:val="004C11B4"/>
    <w:rsid w:val="004C2353"/>
    <w:rsid w:val="004C3C2C"/>
    <w:rsid w:val="004C408F"/>
    <w:rsid w:val="004C4277"/>
    <w:rsid w:val="004C42D3"/>
    <w:rsid w:val="004C4900"/>
    <w:rsid w:val="004C5274"/>
    <w:rsid w:val="004C53BA"/>
    <w:rsid w:val="004C53FF"/>
    <w:rsid w:val="004C5DE4"/>
    <w:rsid w:val="004C76D7"/>
    <w:rsid w:val="004D17D3"/>
    <w:rsid w:val="004D18D7"/>
    <w:rsid w:val="004D1AF8"/>
    <w:rsid w:val="004D2192"/>
    <w:rsid w:val="004D2FF5"/>
    <w:rsid w:val="004D34BD"/>
    <w:rsid w:val="004D354C"/>
    <w:rsid w:val="004D5F53"/>
    <w:rsid w:val="004D625B"/>
    <w:rsid w:val="004D71E9"/>
    <w:rsid w:val="004D7667"/>
    <w:rsid w:val="004E2AC5"/>
    <w:rsid w:val="004E31BC"/>
    <w:rsid w:val="004E3B21"/>
    <w:rsid w:val="004E624E"/>
    <w:rsid w:val="004E6632"/>
    <w:rsid w:val="004F01C5"/>
    <w:rsid w:val="004F0FD9"/>
    <w:rsid w:val="004F16A8"/>
    <w:rsid w:val="004F3387"/>
    <w:rsid w:val="004F3B3A"/>
    <w:rsid w:val="004F4524"/>
    <w:rsid w:val="004F4F75"/>
    <w:rsid w:val="004F52B4"/>
    <w:rsid w:val="004F618F"/>
    <w:rsid w:val="004F62F0"/>
    <w:rsid w:val="004F68FC"/>
    <w:rsid w:val="004F6E62"/>
    <w:rsid w:val="004F7341"/>
    <w:rsid w:val="004F7940"/>
    <w:rsid w:val="004F79F1"/>
    <w:rsid w:val="004F7E5B"/>
    <w:rsid w:val="00500DA5"/>
    <w:rsid w:val="005013FC"/>
    <w:rsid w:val="00501707"/>
    <w:rsid w:val="0050261B"/>
    <w:rsid w:val="0050324E"/>
    <w:rsid w:val="00504125"/>
    <w:rsid w:val="00504747"/>
    <w:rsid w:val="0050603D"/>
    <w:rsid w:val="005074B1"/>
    <w:rsid w:val="0051023B"/>
    <w:rsid w:val="00510410"/>
    <w:rsid w:val="00510706"/>
    <w:rsid w:val="005114B5"/>
    <w:rsid w:val="00511BED"/>
    <w:rsid w:val="0051339B"/>
    <w:rsid w:val="0051353A"/>
    <w:rsid w:val="00513650"/>
    <w:rsid w:val="00513C7F"/>
    <w:rsid w:val="0051445F"/>
    <w:rsid w:val="005148A3"/>
    <w:rsid w:val="00515A60"/>
    <w:rsid w:val="00516310"/>
    <w:rsid w:val="00516B46"/>
    <w:rsid w:val="00516CD8"/>
    <w:rsid w:val="00516E9B"/>
    <w:rsid w:val="00517A12"/>
    <w:rsid w:val="00517B39"/>
    <w:rsid w:val="00520080"/>
    <w:rsid w:val="00520205"/>
    <w:rsid w:val="005204F7"/>
    <w:rsid w:val="0052061C"/>
    <w:rsid w:val="00520E36"/>
    <w:rsid w:val="00521338"/>
    <w:rsid w:val="005217AF"/>
    <w:rsid w:val="00521E31"/>
    <w:rsid w:val="00521FC7"/>
    <w:rsid w:val="0052263D"/>
    <w:rsid w:val="00522A40"/>
    <w:rsid w:val="00522E0E"/>
    <w:rsid w:val="00523BB4"/>
    <w:rsid w:val="00523CB6"/>
    <w:rsid w:val="0052400A"/>
    <w:rsid w:val="00524DA6"/>
    <w:rsid w:val="00526104"/>
    <w:rsid w:val="0052625B"/>
    <w:rsid w:val="00530F3A"/>
    <w:rsid w:val="00531238"/>
    <w:rsid w:val="0053174E"/>
    <w:rsid w:val="0053189C"/>
    <w:rsid w:val="0053199F"/>
    <w:rsid w:val="00531B5C"/>
    <w:rsid w:val="00532D42"/>
    <w:rsid w:val="00532FF2"/>
    <w:rsid w:val="00533163"/>
    <w:rsid w:val="00533A9F"/>
    <w:rsid w:val="00534411"/>
    <w:rsid w:val="0053673A"/>
    <w:rsid w:val="005401CC"/>
    <w:rsid w:val="00540D81"/>
    <w:rsid w:val="005411C5"/>
    <w:rsid w:val="00541D96"/>
    <w:rsid w:val="0054200C"/>
    <w:rsid w:val="005421FA"/>
    <w:rsid w:val="005424A8"/>
    <w:rsid w:val="00543677"/>
    <w:rsid w:val="005437CC"/>
    <w:rsid w:val="00543C11"/>
    <w:rsid w:val="00543CCF"/>
    <w:rsid w:val="00544258"/>
    <w:rsid w:val="00544311"/>
    <w:rsid w:val="0054434A"/>
    <w:rsid w:val="00544A44"/>
    <w:rsid w:val="00544F06"/>
    <w:rsid w:val="0054508D"/>
    <w:rsid w:val="00545364"/>
    <w:rsid w:val="00545BB8"/>
    <w:rsid w:val="0054680D"/>
    <w:rsid w:val="00546DC2"/>
    <w:rsid w:val="00547557"/>
    <w:rsid w:val="0054758E"/>
    <w:rsid w:val="005518EA"/>
    <w:rsid w:val="00551C36"/>
    <w:rsid w:val="00551CBA"/>
    <w:rsid w:val="00552C8A"/>
    <w:rsid w:val="00552EC1"/>
    <w:rsid w:val="00553108"/>
    <w:rsid w:val="005539BB"/>
    <w:rsid w:val="00554201"/>
    <w:rsid w:val="00554568"/>
    <w:rsid w:val="005545CF"/>
    <w:rsid w:val="00554F53"/>
    <w:rsid w:val="00555CE3"/>
    <w:rsid w:val="00556DFA"/>
    <w:rsid w:val="00557896"/>
    <w:rsid w:val="00557D16"/>
    <w:rsid w:val="00560C00"/>
    <w:rsid w:val="00561127"/>
    <w:rsid w:val="0056128A"/>
    <w:rsid w:val="0056195C"/>
    <w:rsid w:val="00561BB7"/>
    <w:rsid w:val="00564263"/>
    <w:rsid w:val="0056487A"/>
    <w:rsid w:val="00564D1D"/>
    <w:rsid w:val="00565370"/>
    <w:rsid w:val="0056643A"/>
    <w:rsid w:val="00567A7D"/>
    <w:rsid w:val="00567B74"/>
    <w:rsid w:val="005700BA"/>
    <w:rsid w:val="005719D6"/>
    <w:rsid w:val="00571E3D"/>
    <w:rsid w:val="005722FA"/>
    <w:rsid w:val="00573399"/>
    <w:rsid w:val="00573EBD"/>
    <w:rsid w:val="00574992"/>
    <w:rsid w:val="00575FD1"/>
    <w:rsid w:val="0057697C"/>
    <w:rsid w:val="00576B28"/>
    <w:rsid w:val="00576CCE"/>
    <w:rsid w:val="00577714"/>
    <w:rsid w:val="00577A21"/>
    <w:rsid w:val="00577F12"/>
    <w:rsid w:val="00580777"/>
    <w:rsid w:val="00581400"/>
    <w:rsid w:val="0058159D"/>
    <w:rsid w:val="005831E0"/>
    <w:rsid w:val="00583AC7"/>
    <w:rsid w:val="00584DB6"/>
    <w:rsid w:val="0058569A"/>
    <w:rsid w:val="005862E4"/>
    <w:rsid w:val="00586FA4"/>
    <w:rsid w:val="005872E1"/>
    <w:rsid w:val="00587490"/>
    <w:rsid w:val="00587A7C"/>
    <w:rsid w:val="005900A5"/>
    <w:rsid w:val="00590223"/>
    <w:rsid w:val="005907D8"/>
    <w:rsid w:val="00590B77"/>
    <w:rsid w:val="00590E70"/>
    <w:rsid w:val="005915A9"/>
    <w:rsid w:val="00591F9E"/>
    <w:rsid w:val="005921CE"/>
    <w:rsid w:val="0059239A"/>
    <w:rsid w:val="005924E7"/>
    <w:rsid w:val="00592A26"/>
    <w:rsid w:val="00592A2C"/>
    <w:rsid w:val="005934A6"/>
    <w:rsid w:val="005938C6"/>
    <w:rsid w:val="00593B34"/>
    <w:rsid w:val="00593E64"/>
    <w:rsid w:val="00595050"/>
    <w:rsid w:val="00597B40"/>
    <w:rsid w:val="005A0119"/>
    <w:rsid w:val="005A0760"/>
    <w:rsid w:val="005A16E1"/>
    <w:rsid w:val="005A1C4D"/>
    <w:rsid w:val="005A4128"/>
    <w:rsid w:val="005A6013"/>
    <w:rsid w:val="005A6087"/>
    <w:rsid w:val="005A71E9"/>
    <w:rsid w:val="005A735A"/>
    <w:rsid w:val="005A7962"/>
    <w:rsid w:val="005B02FA"/>
    <w:rsid w:val="005B0EAB"/>
    <w:rsid w:val="005B1257"/>
    <w:rsid w:val="005B16BF"/>
    <w:rsid w:val="005B1951"/>
    <w:rsid w:val="005B264B"/>
    <w:rsid w:val="005B2FA1"/>
    <w:rsid w:val="005B5312"/>
    <w:rsid w:val="005B6206"/>
    <w:rsid w:val="005B6450"/>
    <w:rsid w:val="005B65AB"/>
    <w:rsid w:val="005B7F91"/>
    <w:rsid w:val="005C07C4"/>
    <w:rsid w:val="005C103F"/>
    <w:rsid w:val="005C12B0"/>
    <w:rsid w:val="005C346E"/>
    <w:rsid w:val="005C354F"/>
    <w:rsid w:val="005C4DB2"/>
    <w:rsid w:val="005C4DC1"/>
    <w:rsid w:val="005C4FC2"/>
    <w:rsid w:val="005C619C"/>
    <w:rsid w:val="005C76D3"/>
    <w:rsid w:val="005D00A3"/>
    <w:rsid w:val="005D04CA"/>
    <w:rsid w:val="005D1A77"/>
    <w:rsid w:val="005D3590"/>
    <w:rsid w:val="005D439E"/>
    <w:rsid w:val="005D4770"/>
    <w:rsid w:val="005D4EEB"/>
    <w:rsid w:val="005D52B8"/>
    <w:rsid w:val="005D5AA8"/>
    <w:rsid w:val="005D697F"/>
    <w:rsid w:val="005D6A6B"/>
    <w:rsid w:val="005D78BF"/>
    <w:rsid w:val="005E038A"/>
    <w:rsid w:val="005E18A9"/>
    <w:rsid w:val="005E1D11"/>
    <w:rsid w:val="005E2DB5"/>
    <w:rsid w:val="005E2E8E"/>
    <w:rsid w:val="005E4DC5"/>
    <w:rsid w:val="005E4DCA"/>
    <w:rsid w:val="005E4F05"/>
    <w:rsid w:val="005E4F8C"/>
    <w:rsid w:val="005E57BD"/>
    <w:rsid w:val="005E5B60"/>
    <w:rsid w:val="005E696F"/>
    <w:rsid w:val="005E7845"/>
    <w:rsid w:val="005E78C6"/>
    <w:rsid w:val="005E7A42"/>
    <w:rsid w:val="005E7AD8"/>
    <w:rsid w:val="005F1252"/>
    <w:rsid w:val="005F369D"/>
    <w:rsid w:val="005F3E75"/>
    <w:rsid w:val="005F5796"/>
    <w:rsid w:val="005F631A"/>
    <w:rsid w:val="005F6C20"/>
    <w:rsid w:val="005F71E6"/>
    <w:rsid w:val="0060013E"/>
    <w:rsid w:val="006002F4"/>
    <w:rsid w:val="00601600"/>
    <w:rsid w:val="00601629"/>
    <w:rsid w:val="006024CA"/>
    <w:rsid w:val="00602D0F"/>
    <w:rsid w:val="006037CD"/>
    <w:rsid w:val="00603FF6"/>
    <w:rsid w:val="006040D1"/>
    <w:rsid w:val="006048A1"/>
    <w:rsid w:val="00604D0E"/>
    <w:rsid w:val="006059A6"/>
    <w:rsid w:val="00605BD3"/>
    <w:rsid w:val="00606BF9"/>
    <w:rsid w:val="00607737"/>
    <w:rsid w:val="0061078B"/>
    <w:rsid w:val="006117B7"/>
    <w:rsid w:val="006121B3"/>
    <w:rsid w:val="0061424E"/>
    <w:rsid w:val="00614477"/>
    <w:rsid w:val="006144F0"/>
    <w:rsid w:val="00614C71"/>
    <w:rsid w:val="006155F5"/>
    <w:rsid w:val="00615C8D"/>
    <w:rsid w:val="0061616C"/>
    <w:rsid w:val="00617387"/>
    <w:rsid w:val="0061763D"/>
    <w:rsid w:val="00617C85"/>
    <w:rsid w:val="0062111C"/>
    <w:rsid w:val="00621998"/>
    <w:rsid w:val="00623013"/>
    <w:rsid w:val="00623A01"/>
    <w:rsid w:val="00624811"/>
    <w:rsid w:val="006252B1"/>
    <w:rsid w:val="0062576C"/>
    <w:rsid w:val="006258FF"/>
    <w:rsid w:val="00625B72"/>
    <w:rsid w:val="0062671D"/>
    <w:rsid w:val="00626B21"/>
    <w:rsid w:val="0062751B"/>
    <w:rsid w:val="00627CC2"/>
    <w:rsid w:val="00627EB9"/>
    <w:rsid w:val="00627F1E"/>
    <w:rsid w:val="00630284"/>
    <w:rsid w:val="0063057C"/>
    <w:rsid w:val="006309CE"/>
    <w:rsid w:val="00630E63"/>
    <w:rsid w:val="00630EEE"/>
    <w:rsid w:val="00631EEB"/>
    <w:rsid w:val="006320DD"/>
    <w:rsid w:val="0063285F"/>
    <w:rsid w:val="00632915"/>
    <w:rsid w:val="00633427"/>
    <w:rsid w:val="00634BCF"/>
    <w:rsid w:val="006359A4"/>
    <w:rsid w:val="00636525"/>
    <w:rsid w:val="00636673"/>
    <w:rsid w:val="00637421"/>
    <w:rsid w:val="0064180B"/>
    <w:rsid w:val="00641B88"/>
    <w:rsid w:val="00642A50"/>
    <w:rsid w:val="00644C72"/>
    <w:rsid w:val="00644CCC"/>
    <w:rsid w:val="00644FD0"/>
    <w:rsid w:val="00645447"/>
    <w:rsid w:val="00645B06"/>
    <w:rsid w:val="00645B54"/>
    <w:rsid w:val="00645FB9"/>
    <w:rsid w:val="00647A7D"/>
    <w:rsid w:val="00647AC4"/>
    <w:rsid w:val="00647EB9"/>
    <w:rsid w:val="00647EE1"/>
    <w:rsid w:val="0065011A"/>
    <w:rsid w:val="00650526"/>
    <w:rsid w:val="0065164B"/>
    <w:rsid w:val="00651D62"/>
    <w:rsid w:val="006520BD"/>
    <w:rsid w:val="00652A35"/>
    <w:rsid w:val="00655B5B"/>
    <w:rsid w:val="00656948"/>
    <w:rsid w:val="0066023F"/>
    <w:rsid w:val="00660BDA"/>
    <w:rsid w:val="0066292F"/>
    <w:rsid w:val="006629B8"/>
    <w:rsid w:val="00662D74"/>
    <w:rsid w:val="00663DA9"/>
    <w:rsid w:val="00664041"/>
    <w:rsid w:val="006647A2"/>
    <w:rsid w:val="0066608A"/>
    <w:rsid w:val="0067081A"/>
    <w:rsid w:val="00672CFD"/>
    <w:rsid w:val="006737F5"/>
    <w:rsid w:val="00673DF0"/>
    <w:rsid w:val="00673E45"/>
    <w:rsid w:val="00673F4E"/>
    <w:rsid w:val="00674DFF"/>
    <w:rsid w:val="00676C9D"/>
    <w:rsid w:val="00677C36"/>
    <w:rsid w:val="00677EA2"/>
    <w:rsid w:val="00680431"/>
    <w:rsid w:val="00680FF2"/>
    <w:rsid w:val="00682072"/>
    <w:rsid w:val="00682C39"/>
    <w:rsid w:val="00683067"/>
    <w:rsid w:val="00683584"/>
    <w:rsid w:val="00683C18"/>
    <w:rsid w:val="006854D9"/>
    <w:rsid w:val="00685EB7"/>
    <w:rsid w:val="00686381"/>
    <w:rsid w:val="006866D6"/>
    <w:rsid w:val="006866F0"/>
    <w:rsid w:val="00686A0D"/>
    <w:rsid w:val="00686F8D"/>
    <w:rsid w:val="00687F4B"/>
    <w:rsid w:val="00690476"/>
    <w:rsid w:val="006922EE"/>
    <w:rsid w:val="0069296D"/>
    <w:rsid w:val="00692CD8"/>
    <w:rsid w:val="006950AD"/>
    <w:rsid w:val="00695535"/>
    <w:rsid w:val="006965CD"/>
    <w:rsid w:val="00696DCA"/>
    <w:rsid w:val="0069772A"/>
    <w:rsid w:val="0069797D"/>
    <w:rsid w:val="00697BA5"/>
    <w:rsid w:val="006A0826"/>
    <w:rsid w:val="006A1149"/>
    <w:rsid w:val="006A1279"/>
    <w:rsid w:val="006A144C"/>
    <w:rsid w:val="006A1738"/>
    <w:rsid w:val="006A191D"/>
    <w:rsid w:val="006A1AD5"/>
    <w:rsid w:val="006A22D6"/>
    <w:rsid w:val="006A2ECC"/>
    <w:rsid w:val="006A3B0C"/>
    <w:rsid w:val="006A3B6A"/>
    <w:rsid w:val="006A3C15"/>
    <w:rsid w:val="006A3CF5"/>
    <w:rsid w:val="006A63E1"/>
    <w:rsid w:val="006A6D08"/>
    <w:rsid w:val="006A6F3A"/>
    <w:rsid w:val="006A7AF6"/>
    <w:rsid w:val="006A7B1D"/>
    <w:rsid w:val="006B092C"/>
    <w:rsid w:val="006B0B1F"/>
    <w:rsid w:val="006B1EE1"/>
    <w:rsid w:val="006B1FD0"/>
    <w:rsid w:val="006B3581"/>
    <w:rsid w:val="006B5AFE"/>
    <w:rsid w:val="006B5D3B"/>
    <w:rsid w:val="006B65E8"/>
    <w:rsid w:val="006B7DA1"/>
    <w:rsid w:val="006C04F0"/>
    <w:rsid w:val="006C13FF"/>
    <w:rsid w:val="006C1486"/>
    <w:rsid w:val="006C2258"/>
    <w:rsid w:val="006C5476"/>
    <w:rsid w:val="006C57CC"/>
    <w:rsid w:val="006C5AE1"/>
    <w:rsid w:val="006C6168"/>
    <w:rsid w:val="006C62BD"/>
    <w:rsid w:val="006C63F9"/>
    <w:rsid w:val="006C6459"/>
    <w:rsid w:val="006C7358"/>
    <w:rsid w:val="006D00A1"/>
    <w:rsid w:val="006D03C9"/>
    <w:rsid w:val="006D0616"/>
    <w:rsid w:val="006D069A"/>
    <w:rsid w:val="006D075E"/>
    <w:rsid w:val="006D15D3"/>
    <w:rsid w:val="006D28D4"/>
    <w:rsid w:val="006D2B4E"/>
    <w:rsid w:val="006D37F0"/>
    <w:rsid w:val="006D3B2E"/>
    <w:rsid w:val="006D3DAC"/>
    <w:rsid w:val="006D4172"/>
    <w:rsid w:val="006D4322"/>
    <w:rsid w:val="006D51F9"/>
    <w:rsid w:val="006D5271"/>
    <w:rsid w:val="006D5562"/>
    <w:rsid w:val="006D5C5C"/>
    <w:rsid w:val="006D65C2"/>
    <w:rsid w:val="006D6787"/>
    <w:rsid w:val="006D6D47"/>
    <w:rsid w:val="006D7999"/>
    <w:rsid w:val="006D7AB5"/>
    <w:rsid w:val="006D7ECA"/>
    <w:rsid w:val="006E026E"/>
    <w:rsid w:val="006E1644"/>
    <w:rsid w:val="006E2979"/>
    <w:rsid w:val="006E2EE9"/>
    <w:rsid w:val="006E2FCC"/>
    <w:rsid w:val="006E31E2"/>
    <w:rsid w:val="006E33FD"/>
    <w:rsid w:val="006E3712"/>
    <w:rsid w:val="006E3F7C"/>
    <w:rsid w:val="006E4658"/>
    <w:rsid w:val="006E4735"/>
    <w:rsid w:val="006E4D32"/>
    <w:rsid w:val="006E680E"/>
    <w:rsid w:val="006E7830"/>
    <w:rsid w:val="006F1B38"/>
    <w:rsid w:val="006F1DE3"/>
    <w:rsid w:val="006F3921"/>
    <w:rsid w:val="006F4282"/>
    <w:rsid w:val="006F5BE8"/>
    <w:rsid w:val="006F5BE9"/>
    <w:rsid w:val="006F5E93"/>
    <w:rsid w:val="006F6E9B"/>
    <w:rsid w:val="006F6FEA"/>
    <w:rsid w:val="006F7B9B"/>
    <w:rsid w:val="00700418"/>
    <w:rsid w:val="0070137B"/>
    <w:rsid w:val="007013F4"/>
    <w:rsid w:val="00701FF2"/>
    <w:rsid w:val="0070295F"/>
    <w:rsid w:val="0070320C"/>
    <w:rsid w:val="007033CC"/>
    <w:rsid w:val="00703C1A"/>
    <w:rsid w:val="007048C1"/>
    <w:rsid w:val="00704C54"/>
    <w:rsid w:val="00705744"/>
    <w:rsid w:val="0070692D"/>
    <w:rsid w:val="00706B72"/>
    <w:rsid w:val="007070DC"/>
    <w:rsid w:val="0071056E"/>
    <w:rsid w:val="00710B4E"/>
    <w:rsid w:val="007111BA"/>
    <w:rsid w:val="0071184D"/>
    <w:rsid w:val="00711889"/>
    <w:rsid w:val="00711D5D"/>
    <w:rsid w:val="00712070"/>
    <w:rsid w:val="007125C8"/>
    <w:rsid w:val="00713098"/>
    <w:rsid w:val="00713BB2"/>
    <w:rsid w:val="00713CB8"/>
    <w:rsid w:val="00713DDD"/>
    <w:rsid w:val="00713FB3"/>
    <w:rsid w:val="00714E78"/>
    <w:rsid w:val="00717383"/>
    <w:rsid w:val="0071745D"/>
    <w:rsid w:val="00722701"/>
    <w:rsid w:val="0072281A"/>
    <w:rsid w:val="007239A4"/>
    <w:rsid w:val="007241EB"/>
    <w:rsid w:val="00724A5A"/>
    <w:rsid w:val="00724F3A"/>
    <w:rsid w:val="00725D8F"/>
    <w:rsid w:val="00726142"/>
    <w:rsid w:val="007267B8"/>
    <w:rsid w:val="00727B12"/>
    <w:rsid w:val="007301E0"/>
    <w:rsid w:val="007318AD"/>
    <w:rsid w:val="00731968"/>
    <w:rsid w:val="00731F01"/>
    <w:rsid w:val="007326BB"/>
    <w:rsid w:val="00734412"/>
    <w:rsid w:val="0073487A"/>
    <w:rsid w:val="00734AED"/>
    <w:rsid w:val="00734EE7"/>
    <w:rsid w:val="007356D1"/>
    <w:rsid w:val="007360A2"/>
    <w:rsid w:val="0073626F"/>
    <w:rsid w:val="00736E9A"/>
    <w:rsid w:val="00737608"/>
    <w:rsid w:val="00741E24"/>
    <w:rsid w:val="00742762"/>
    <w:rsid w:val="007432D5"/>
    <w:rsid w:val="0074339A"/>
    <w:rsid w:val="00743927"/>
    <w:rsid w:val="0074394D"/>
    <w:rsid w:val="00743A88"/>
    <w:rsid w:val="00743D39"/>
    <w:rsid w:val="007463B8"/>
    <w:rsid w:val="00746BD5"/>
    <w:rsid w:val="007471F1"/>
    <w:rsid w:val="0074782D"/>
    <w:rsid w:val="00750564"/>
    <w:rsid w:val="0075057A"/>
    <w:rsid w:val="00750868"/>
    <w:rsid w:val="00752917"/>
    <w:rsid w:val="00752C18"/>
    <w:rsid w:val="00752D73"/>
    <w:rsid w:val="00753190"/>
    <w:rsid w:val="007534E0"/>
    <w:rsid w:val="007537F8"/>
    <w:rsid w:val="007543DE"/>
    <w:rsid w:val="007549FE"/>
    <w:rsid w:val="00755661"/>
    <w:rsid w:val="0075569A"/>
    <w:rsid w:val="007558C0"/>
    <w:rsid w:val="00755F56"/>
    <w:rsid w:val="00756349"/>
    <w:rsid w:val="007572DE"/>
    <w:rsid w:val="00757A1D"/>
    <w:rsid w:val="0076014F"/>
    <w:rsid w:val="00760DDE"/>
    <w:rsid w:val="00762E54"/>
    <w:rsid w:val="00762F53"/>
    <w:rsid w:val="007643B1"/>
    <w:rsid w:val="007650EC"/>
    <w:rsid w:val="00765184"/>
    <w:rsid w:val="00765276"/>
    <w:rsid w:val="00766D54"/>
    <w:rsid w:val="00771990"/>
    <w:rsid w:val="007722ED"/>
    <w:rsid w:val="00772438"/>
    <w:rsid w:val="0077268D"/>
    <w:rsid w:val="007730D0"/>
    <w:rsid w:val="00773638"/>
    <w:rsid w:val="00773A1B"/>
    <w:rsid w:val="00773B5F"/>
    <w:rsid w:val="0077457A"/>
    <w:rsid w:val="00775DE1"/>
    <w:rsid w:val="0077636D"/>
    <w:rsid w:val="00776876"/>
    <w:rsid w:val="00776D80"/>
    <w:rsid w:val="00777368"/>
    <w:rsid w:val="00777D3D"/>
    <w:rsid w:val="00780706"/>
    <w:rsid w:val="00783435"/>
    <w:rsid w:val="00783EC3"/>
    <w:rsid w:val="0078553F"/>
    <w:rsid w:val="00785DB9"/>
    <w:rsid w:val="00786A85"/>
    <w:rsid w:val="00786EFB"/>
    <w:rsid w:val="00786FB4"/>
    <w:rsid w:val="0078730F"/>
    <w:rsid w:val="007900BB"/>
    <w:rsid w:val="007900FC"/>
    <w:rsid w:val="00791B3F"/>
    <w:rsid w:val="00792373"/>
    <w:rsid w:val="00792FF6"/>
    <w:rsid w:val="00793383"/>
    <w:rsid w:val="00793E97"/>
    <w:rsid w:val="0079512C"/>
    <w:rsid w:val="007959AA"/>
    <w:rsid w:val="00797502"/>
    <w:rsid w:val="0079774E"/>
    <w:rsid w:val="00797B76"/>
    <w:rsid w:val="00797EAD"/>
    <w:rsid w:val="007A0CB7"/>
    <w:rsid w:val="007A1C85"/>
    <w:rsid w:val="007A2513"/>
    <w:rsid w:val="007A3298"/>
    <w:rsid w:val="007A3AD0"/>
    <w:rsid w:val="007A3E2E"/>
    <w:rsid w:val="007A4F27"/>
    <w:rsid w:val="007A562E"/>
    <w:rsid w:val="007A6375"/>
    <w:rsid w:val="007A64A0"/>
    <w:rsid w:val="007B0B17"/>
    <w:rsid w:val="007B0B68"/>
    <w:rsid w:val="007B1AC0"/>
    <w:rsid w:val="007B26FC"/>
    <w:rsid w:val="007B27AE"/>
    <w:rsid w:val="007B3705"/>
    <w:rsid w:val="007B3A6E"/>
    <w:rsid w:val="007B3B92"/>
    <w:rsid w:val="007B3E9E"/>
    <w:rsid w:val="007B57F4"/>
    <w:rsid w:val="007B5B76"/>
    <w:rsid w:val="007B78F6"/>
    <w:rsid w:val="007C00E5"/>
    <w:rsid w:val="007C0374"/>
    <w:rsid w:val="007C0911"/>
    <w:rsid w:val="007C0DCF"/>
    <w:rsid w:val="007C21B9"/>
    <w:rsid w:val="007C248D"/>
    <w:rsid w:val="007C36C9"/>
    <w:rsid w:val="007C37CA"/>
    <w:rsid w:val="007C45E8"/>
    <w:rsid w:val="007C460B"/>
    <w:rsid w:val="007C48E7"/>
    <w:rsid w:val="007C4BFF"/>
    <w:rsid w:val="007C55A1"/>
    <w:rsid w:val="007C61E7"/>
    <w:rsid w:val="007C654E"/>
    <w:rsid w:val="007C76BD"/>
    <w:rsid w:val="007C77CD"/>
    <w:rsid w:val="007C7931"/>
    <w:rsid w:val="007D110A"/>
    <w:rsid w:val="007D181B"/>
    <w:rsid w:val="007D18AA"/>
    <w:rsid w:val="007D1B5F"/>
    <w:rsid w:val="007D28D4"/>
    <w:rsid w:val="007D4293"/>
    <w:rsid w:val="007D4484"/>
    <w:rsid w:val="007D4779"/>
    <w:rsid w:val="007D4D62"/>
    <w:rsid w:val="007D5D90"/>
    <w:rsid w:val="007D5DCD"/>
    <w:rsid w:val="007D658B"/>
    <w:rsid w:val="007D68C2"/>
    <w:rsid w:val="007D6A8B"/>
    <w:rsid w:val="007D6B42"/>
    <w:rsid w:val="007D71E5"/>
    <w:rsid w:val="007D7826"/>
    <w:rsid w:val="007E11C8"/>
    <w:rsid w:val="007E1271"/>
    <w:rsid w:val="007E1A5A"/>
    <w:rsid w:val="007E1F4F"/>
    <w:rsid w:val="007E2019"/>
    <w:rsid w:val="007E2116"/>
    <w:rsid w:val="007E2177"/>
    <w:rsid w:val="007E2398"/>
    <w:rsid w:val="007E2DE0"/>
    <w:rsid w:val="007E3676"/>
    <w:rsid w:val="007E43D4"/>
    <w:rsid w:val="007E79F2"/>
    <w:rsid w:val="007F000D"/>
    <w:rsid w:val="007F0326"/>
    <w:rsid w:val="007F0372"/>
    <w:rsid w:val="007F19B2"/>
    <w:rsid w:val="007F284C"/>
    <w:rsid w:val="007F3431"/>
    <w:rsid w:val="007F41C5"/>
    <w:rsid w:val="007F439A"/>
    <w:rsid w:val="007F45B7"/>
    <w:rsid w:val="007F4702"/>
    <w:rsid w:val="007F4F61"/>
    <w:rsid w:val="007F58CA"/>
    <w:rsid w:val="007F6869"/>
    <w:rsid w:val="007F7C75"/>
    <w:rsid w:val="008001F6"/>
    <w:rsid w:val="00801BF5"/>
    <w:rsid w:val="00803067"/>
    <w:rsid w:val="0080323A"/>
    <w:rsid w:val="00803EA2"/>
    <w:rsid w:val="008040C3"/>
    <w:rsid w:val="008041A2"/>
    <w:rsid w:val="00807D50"/>
    <w:rsid w:val="00807D72"/>
    <w:rsid w:val="0081003D"/>
    <w:rsid w:val="00810EB0"/>
    <w:rsid w:val="0081264B"/>
    <w:rsid w:val="00812933"/>
    <w:rsid w:val="0081368F"/>
    <w:rsid w:val="00813D01"/>
    <w:rsid w:val="008144AD"/>
    <w:rsid w:val="00814A69"/>
    <w:rsid w:val="008151EE"/>
    <w:rsid w:val="00815636"/>
    <w:rsid w:val="00815E05"/>
    <w:rsid w:val="00815FB4"/>
    <w:rsid w:val="00820230"/>
    <w:rsid w:val="00821C26"/>
    <w:rsid w:val="00821FDE"/>
    <w:rsid w:val="00823E24"/>
    <w:rsid w:val="00824743"/>
    <w:rsid w:val="00824876"/>
    <w:rsid w:val="00824A29"/>
    <w:rsid w:val="00824A99"/>
    <w:rsid w:val="00826452"/>
    <w:rsid w:val="008266C6"/>
    <w:rsid w:val="00826B0C"/>
    <w:rsid w:val="00827618"/>
    <w:rsid w:val="00827CBD"/>
    <w:rsid w:val="008303CF"/>
    <w:rsid w:val="00830ED8"/>
    <w:rsid w:val="008310AC"/>
    <w:rsid w:val="00831590"/>
    <w:rsid w:val="00831B8D"/>
    <w:rsid w:val="00831D55"/>
    <w:rsid w:val="0083215B"/>
    <w:rsid w:val="00832389"/>
    <w:rsid w:val="00833686"/>
    <w:rsid w:val="00834162"/>
    <w:rsid w:val="0083425E"/>
    <w:rsid w:val="00834369"/>
    <w:rsid w:val="0083521A"/>
    <w:rsid w:val="0083559D"/>
    <w:rsid w:val="00835638"/>
    <w:rsid w:val="00836424"/>
    <w:rsid w:val="008366AE"/>
    <w:rsid w:val="00836F72"/>
    <w:rsid w:val="008405D6"/>
    <w:rsid w:val="0084109A"/>
    <w:rsid w:val="00843D8F"/>
    <w:rsid w:val="00845575"/>
    <w:rsid w:val="0084676C"/>
    <w:rsid w:val="00847DE0"/>
    <w:rsid w:val="0085033F"/>
    <w:rsid w:val="00853F3D"/>
    <w:rsid w:val="008544D2"/>
    <w:rsid w:val="0085494D"/>
    <w:rsid w:val="00854B35"/>
    <w:rsid w:val="00855035"/>
    <w:rsid w:val="00855756"/>
    <w:rsid w:val="00855FA1"/>
    <w:rsid w:val="00856027"/>
    <w:rsid w:val="00856A9D"/>
    <w:rsid w:val="0085725C"/>
    <w:rsid w:val="008574D3"/>
    <w:rsid w:val="00857B0C"/>
    <w:rsid w:val="00857C61"/>
    <w:rsid w:val="00860185"/>
    <w:rsid w:val="008605CE"/>
    <w:rsid w:val="008609D1"/>
    <w:rsid w:val="00860F1F"/>
    <w:rsid w:val="00861096"/>
    <w:rsid w:val="00861750"/>
    <w:rsid w:val="00861EBE"/>
    <w:rsid w:val="00863C9B"/>
    <w:rsid w:val="00863DAE"/>
    <w:rsid w:val="008652F5"/>
    <w:rsid w:val="008655BC"/>
    <w:rsid w:val="008659A8"/>
    <w:rsid w:val="00867BE8"/>
    <w:rsid w:val="00870110"/>
    <w:rsid w:val="0087016C"/>
    <w:rsid w:val="00871FFF"/>
    <w:rsid w:val="00873097"/>
    <w:rsid w:val="00873343"/>
    <w:rsid w:val="00873357"/>
    <w:rsid w:val="00873927"/>
    <w:rsid w:val="008748EB"/>
    <w:rsid w:val="00874BEE"/>
    <w:rsid w:val="00875E2D"/>
    <w:rsid w:val="00876117"/>
    <w:rsid w:val="00876AFC"/>
    <w:rsid w:val="00876CB0"/>
    <w:rsid w:val="00880719"/>
    <w:rsid w:val="0088141D"/>
    <w:rsid w:val="008815F7"/>
    <w:rsid w:val="00882B57"/>
    <w:rsid w:val="00882D9F"/>
    <w:rsid w:val="00884AA6"/>
    <w:rsid w:val="00885167"/>
    <w:rsid w:val="00885CD2"/>
    <w:rsid w:val="00885F8F"/>
    <w:rsid w:val="0088632D"/>
    <w:rsid w:val="008868BF"/>
    <w:rsid w:val="00887AC4"/>
    <w:rsid w:val="00887D80"/>
    <w:rsid w:val="00887DD3"/>
    <w:rsid w:val="00890674"/>
    <w:rsid w:val="00890B27"/>
    <w:rsid w:val="008910B2"/>
    <w:rsid w:val="00894CA6"/>
    <w:rsid w:val="00894FA1"/>
    <w:rsid w:val="00896779"/>
    <w:rsid w:val="00896E06"/>
    <w:rsid w:val="008A1B0F"/>
    <w:rsid w:val="008A1C61"/>
    <w:rsid w:val="008A1E76"/>
    <w:rsid w:val="008A2D1F"/>
    <w:rsid w:val="008A343D"/>
    <w:rsid w:val="008A3797"/>
    <w:rsid w:val="008A3ED2"/>
    <w:rsid w:val="008A6398"/>
    <w:rsid w:val="008A7FC9"/>
    <w:rsid w:val="008B0FFB"/>
    <w:rsid w:val="008B1080"/>
    <w:rsid w:val="008B14CF"/>
    <w:rsid w:val="008B17B8"/>
    <w:rsid w:val="008B1F95"/>
    <w:rsid w:val="008B2B8F"/>
    <w:rsid w:val="008B3A85"/>
    <w:rsid w:val="008B40AF"/>
    <w:rsid w:val="008B4898"/>
    <w:rsid w:val="008B4D45"/>
    <w:rsid w:val="008B65AC"/>
    <w:rsid w:val="008B720A"/>
    <w:rsid w:val="008B752D"/>
    <w:rsid w:val="008B7BC6"/>
    <w:rsid w:val="008C004C"/>
    <w:rsid w:val="008C0FEE"/>
    <w:rsid w:val="008C1714"/>
    <w:rsid w:val="008C1E9E"/>
    <w:rsid w:val="008C28F2"/>
    <w:rsid w:val="008C2F56"/>
    <w:rsid w:val="008C65D7"/>
    <w:rsid w:val="008C6D2C"/>
    <w:rsid w:val="008C6FD4"/>
    <w:rsid w:val="008C7F80"/>
    <w:rsid w:val="008C7FDF"/>
    <w:rsid w:val="008D0D37"/>
    <w:rsid w:val="008D13D3"/>
    <w:rsid w:val="008D13EB"/>
    <w:rsid w:val="008D16B5"/>
    <w:rsid w:val="008D1CF2"/>
    <w:rsid w:val="008D36D8"/>
    <w:rsid w:val="008D4AD0"/>
    <w:rsid w:val="008D4FC1"/>
    <w:rsid w:val="008D51BB"/>
    <w:rsid w:val="008D553D"/>
    <w:rsid w:val="008D6CC4"/>
    <w:rsid w:val="008D6F23"/>
    <w:rsid w:val="008D757E"/>
    <w:rsid w:val="008E0833"/>
    <w:rsid w:val="008E1086"/>
    <w:rsid w:val="008E1904"/>
    <w:rsid w:val="008E2821"/>
    <w:rsid w:val="008E2CC8"/>
    <w:rsid w:val="008E3626"/>
    <w:rsid w:val="008E5A69"/>
    <w:rsid w:val="008E6884"/>
    <w:rsid w:val="008E77AC"/>
    <w:rsid w:val="008F03CC"/>
    <w:rsid w:val="008F05FE"/>
    <w:rsid w:val="008F0998"/>
    <w:rsid w:val="008F0B93"/>
    <w:rsid w:val="008F0FE3"/>
    <w:rsid w:val="008F130F"/>
    <w:rsid w:val="008F27D9"/>
    <w:rsid w:val="008F29C6"/>
    <w:rsid w:val="008F45B2"/>
    <w:rsid w:val="008F5116"/>
    <w:rsid w:val="008F5476"/>
    <w:rsid w:val="008F69E9"/>
    <w:rsid w:val="008F754B"/>
    <w:rsid w:val="00900C6B"/>
    <w:rsid w:val="00901A5B"/>
    <w:rsid w:val="00902A1D"/>
    <w:rsid w:val="009044C4"/>
    <w:rsid w:val="00904739"/>
    <w:rsid w:val="0090634D"/>
    <w:rsid w:val="00906501"/>
    <w:rsid w:val="0090671F"/>
    <w:rsid w:val="009067CB"/>
    <w:rsid w:val="00906C42"/>
    <w:rsid w:val="00907DFC"/>
    <w:rsid w:val="00910511"/>
    <w:rsid w:val="0091051A"/>
    <w:rsid w:val="00910628"/>
    <w:rsid w:val="00910758"/>
    <w:rsid w:val="00911D16"/>
    <w:rsid w:val="0091314E"/>
    <w:rsid w:val="0091322B"/>
    <w:rsid w:val="0091323D"/>
    <w:rsid w:val="0091341A"/>
    <w:rsid w:val="00913B99"/>
    <w:rsid w:val="00915399"/>
    <w:rsid w:val="00915C39"/>
    <w:rsid w:val="00916408"/>
    <w:rsid w:val="0091642E"/>
    <w:rsid w:val="00917070"/>
    <w:rsid w:val="009174CF"/>
    <w:rsid w:val="00917B03"/>
    <w:rsid w:val="009206B3"/>
    <w:rsid w:val="009213A0"/>
    <w:rsid w:val="00922FD7"/>
    <w:rsid w:val="0092358A"/>
    <w:rsid w:val="00923CB2"/>
    <w:rsid w:val="00924114"/>
    <w:rsid w:val="00924350"/>
    <w:rsid w:val="00924562"/>
    <w:rsid w:val="009251E7"/>
    <w:rsid w:val="009258EE"/>
    <w:rsid w:val="00926036"/>
    <w:rsid w:val="00926C05"/>
    <w:rsid w:val="0092724C"/>
    <w:rsid w:val="00927B64"/>
    <w:rsid w:val="00927C97"/>
    <w:rsid w:val="009304C4"/>
    <w:rsid w:val="00930882"/>
    <w:rsid w:val="00931482"/>
    <w:rsid w:val="00931C79"/>
    <w:rsid w:val="009324A4"/>
    <w:rsid w:val="00932DA0"/>
    <w:rsid w:val="009346B6"/>
    <w:rsid w:val="0093508D"/>
    <w:rsid w:val="0093604B"/>
    <w:rsid w:val="00936AB9"/>
    <w:rsid w:val="00936D3B"/>
    <w:rsid w:val="00940CBD"/>
    <w:rsid w:val="00941FC4"/>
    <w:rsid w:val="009421B0"/>
    <w:rsid w:val="00942A8F"/>
    <w:rsid w:val="00942B09"/>
    <w:rsid w:val="00943049"/>
    <w:rsid w:val="0094382E"/>
    <w:rsid w:val="00943B03"/>
    <w:rsid w:val="00944058"/>
    <w:rsid w:val="00944A25"/>
    <w:rsid w:val="009456DD"/>
    <w:rsid w:val="0094579A"/>
    <w:rsid w:val="00946525"/>
    <w:rsid w:val="00946E2B"/>
    <w:rsid w:val="00947201"/>
    <w:rsid w:val="009500C4"/>
    <w:rsid w:val="009508B3"/>
    <w:rsid w:val="009519CE"/>
    <w:rsid w:val="0095208D"/>
    <w:rsid w:val="00952574"/>
    <w:rsid w:val="00953CF8"/>
    <w:rsid w:val="00953D8F"/>
    <w:rsid w:val="009550DC"/>
    <w:rsid w:val="0095515B"/>
    <w:rsid w:val="00955244"/>
    <w:rsid w:val="00955929"/>
    <w:rsid w:val="00955B91"/>
    <w:rsid w:val="00956001"/>
    <w:rsid w:val="00956597"/>
    <w:rsid w:val="009569D3"/>
    <w:rsid w:val="00956BAD"/>
    <w:rsid w:val="00957768"/>
    <w:rsid w:val="00957CA6"/>
    <w:rsid w:val="00960C07"/>
    <w:rsid w:val="00960D5A"/>
    <w:rsid w:val="00961DB1"/>
    <w:rsid w:val="0096391E"/>
    <w:rsid w:val="00964FEF"/>
    <w:rsid w:val="00965582"/>
    <w:rsid w:val="009661C8"/>
    <w:rsid w:val="009667DC"/>
    <w:rsid w:val="00966BC7"/>
    <w:rsid w:val="00967851"/>
    <w:rsid w:val="0096792A"/>
    <w:rsid w:val="00967FD1"/>
    <w:rsid w:val="009707F5"/>
    <w:rsid w:val="00971500"/>
    <w:rsid w:val="00972FE6"/>
    <w:rsid w:val="009731CE"/>
    <w:rsid w:val="00973962"/>
    <w:rsid w:val="0097529A"/>
    <w:rsid w:val="00975861"/>
    <w:rsid w:val="009766EB"/>
    <w:rsid w:val="00976AF6"/>
    <w:rsid w:val="009774DA"/>
    <w:rsid w:val="00977F7E"/>
    <w:rsid w:val="00980833"/>
    <w:rsid w:val="00981511"/>
    <w:rsid w:val="0098168A"/>
    <w:rsid w:val="009827E8"/>
    <w:rsid w:val="00982963"/>
    <w:rsid w:val="00982E00"/>
    <w:rsid w:val="0098328E"/>
    <w:rsid w:val="00983A2C"/>
    <w:rsid w:val="00984316"/>
    <w:rsid w:val="00984B17"/>
    <w:rsid w:val="00984E4F"/>
    <w:rsid w:val="00986DAD"/>
    <w:rsid w:val="00987F71"/>
    <w:rsid w:val="00991F19"/>
    <w:rsid w:val="009926E5"/>
    <w:rsid w:val="00992CA4"/>
    <w:rsid w:val="00992DC1"/>
    <w:rsid w:val="00993BC2"/>
    <w:rsid w:val="00993CE5"/>
    <w:rsid w:val="009951B6"/>
    <w:rsid w:val="00995C8F"/>
    <w:rsid w:val="009963EB"/>
    <w:rsid w:val="009965C5"/>
    <w:rsid w:val="00996924"/>
    <w:rsid w:val="009A0819"/>
    <w:rsid w:val="009A17D5"/>
    <w:rsid w:val="009A190D"/>
    <w:rsid w:val="009A2253"/>
    <w:rsid w:val="009A274A"/>
    <w:rsid w:val="009A2A76"/>
    <w:rsid w:val="009A4D4A"/>
    <w:rsid w:val="009A4F61"/>
    <w:rsid w:val="009A636D"/>
    <w:rsid w:val="009A6495"/>
    <w:rsid w:val="009A6725"/>
    <w:rsid w:val="009A76D5"/>
    <w:rsid w:val="009A790A"/>
    <w:rsid w:val="009A7E71"/>
    <w:rsid w:val="009B0246"/>
    <w:rsid w:val="009B0265"/>
    <w:rsid w:val="009B026F"/>
    <w:rsid w:val="009B119F"/>
    <w:rsid w:val="009B154A"/>
    <w:rsid w:val="009B2C01"/>
    <w:rsid w:val="009B3B22"/>
    <w:rsid w:val="009B4DB5"/>
    <w:rsid w:val="009B5C5B"/>
    <w:rsid w:val="009B613F"/>
    <w:rsid w:val="009B66B1"/>
    <w:rsid w:val="009B746F"/>
    <w:rsid w:val="009B78F5"/>
    <w:rsid w:val="009C05C8"/>
    <w:rsid w:val="009C157D"/>
    <w:rsid w:val="009C1DA9"/>
    <w:rsid w:val="009C1EC0"/>
    <w:rsid w:val="009C4606"/>
    <w:rsid w:val="009C5F98"/>
    <w:rsid w:val="009C7C75"/>
    <w:rsid w:val="009D1B5A"/>
    <w:rsid w:val="009D2534"/>
    <w:rsid w:val="009D2DCB"/>
    <w:rsid w:val="009D43F1"/>
    <w:rsid w:val="009D4615"/>
    <w:rsid w:val="009D5965"/>
    <w:rsid w:val="009D67DB"/>
    <w:rsid w:val="009D6808"/>
    <w:rsid w:val="009D6CC2"/>
    <w:rsid w:val="009D6D06"/>
    <w:rsid w:val="009D7BA5"/>
    <w:rsid w:val="009E00D6"/>
    <w:rsid w:val="009E06C2"/>
    <w:rsid w:val="009E098A"/>
    <w:rsid w:val="009E0B90"/>
    <w:rsid w:val="009E2488"/>
    <w:rsid w:val="009E40F5"/>
    <w:rsid w:val="009E4476"/>
    <w:rsid w:val="009E458A"/>
    <w:rsid w:val="009E45CD"/>
    <w:rsid w:val="009E47D9"/>
    <w:rsid w:val="009E6384"/>
    <w:rsid w:val="009E648E"/>
    <w:rsid w:val="009E7A8B"/>
    <w:rsid w:val="009E7D8E"/>
    <w:rsid w:val="009F01DC"/>
    <w:rsid w:val="009F1F3F"/>
    <w:rsid w:val="009F2724"/>
    <w:rsid w:val="009F3805"/>
    <w:rsid w:val="009F3A45"/>
    <w:rsid w:val="009F438A"/>
    <w:rsid w:val="009F43E1"/>
    <w:rsid w:val="009F481F"/>
    <w:rsid w:val="009F4937"/>
    <w:rsid w:val="009F5EC1"/>
    <w:rsid w:val="009F6270"/>
    <w:rsid w:val="009F65E6"/>
    <w:rsid w:val="009F683B"/>
    <w:rsid w:val="009F78C3"/>
    <w:rsid w:val="00A0086C"/>
    <w:rsid w:val="00A00A89"/>
    <w:rsid w:val="00A01C8D"/>
    <w:rsid w:val="00A023E9"/>
    <w:rsid w:val="00A02428"/>
    <w:rsid w:val="00A02E41"/>
    <w:rsid w:val="00A03CDA"/>
    <w:rsid w:val="00A0417A"/>
    <w:rsid w:val="00A044E9"/>
    <w:rsid w:val="00A052FD"/>
    <w:rsid w:val="00A0546D"/>
    <w:rsid w:val="00A058D6"/>
    <w:rsid w:val="00A0590B"/>
    <w:rsid w:val="00A063AA"/>
    <w:rsid w:val="00A0685A"/>
    <w:rsid w:val="00A107C4"/>
    <w:rsid w:val="00A108E5"/>
    <w:rsid w:val="00A10ECA"/>
    <w:rsid w:val="00A1195C"/>
    <w:rsid w:val="00A122DF"/>
    <w:rsid w:val="00A1255B"/>
    <w:rsid w:val="00A13E3A"/>
    <w:rsid w:val="00A1496B"/>
    <w:rsid w:val="00A14C06"/>
    <w:rsid w:val="00A15A9B"/>
    <w:rsid w:val="00A15DD4"/>
    <w:rsid w:val="00A166B2"/>
    <w:rsid w:val="00A16D6A"/>
    <w:rsid w:val="00A171E9"/>
    <w:rsid w:val="00A1781F"/>
    <w:rsid w:val="00A20660"/>
    <w:rsid w:val="00A23153"/>
    <w:rsid w:val="00A2447A"/>
    <w:rsid w:val="00A248ED"/>
    <w:rsid w:val="00A255BA"/>
    <w:rsid w:val="00A25FA1"/>
    <w:rsid w:val="00A2675C"/>
    <w:rsid w:val="00A27C6F"/>
    <w:rsid w:val="00A302B6"/>
    <w:rsid w:val="00A31117"/>
    <w:rsid w:val="00A31A77"/>
    <w:rsid w:val="00A32056"/>
    <w:rsid w:val="00A3212F"/>
    <w:rsid w:val="00A33736"/>
    <w:rsid w:val="00A33D5E"/>
    <w:rsid w:val="00A33DAD"/>
    <w:rsid w:val="00A3467A"/>
    <w:rsid w:val="00A347E3"/>
    <w:rsid w:val="00A34826"/>
    <w:rsid w:val="00A36415"/>
    <w:rsid w:val="00A40323"/>
    <w:rsid w:val="00A403AC"/>
    <w:rsid w:val="00A41A78"/>
    <w:rsid w:val="00A42DC1"/>
    <w:rsid w:val="00A443C0"/>
    <w:rsid w:val="00A468C5"/>
    <w:rsid w:val="00A4755C"/>
    <w:rsid w:val="00A47F50"/>
    <w:rsid w:val="00A502DC"/>
    <w:rsid w:val="00A504A2"/>
    <w:rsid w:val="00A50642"/>
    <w:rsid w:val="00A50AD5"/>
    <w:rsid w:val="00A513E0"/>
    <w:rsid w:val="00A52312"/>
    <w:rsid w:val="00A526F0"/>
    <w:rsid w:val="00A52CE7"/>
    <w:rsid w:val="00A5328D"/>
    <w:rsid w:val="00A534FC"/>
    <w:rsid w:val="00A53691"/>
    <w:rsid w:val="00A5374D"/>
    <w:rsid w:val="00A54E9F"/>
    <w:rsid w:val="00A55DFA"/>
    <w:rsid w:val="00A55EF3"/>
    <w:rsid w:val="00A56D85"/>
    <w:rsid w:val="00A62283"/>
    <w:rsid w:val="00A62F61"/>
    <w:rsid w:val="00A6406A"/>
    <w:rsid w:val="00A64C85"/>
    <w:rsid w:val="00A6577D"/>
    <w:rsid w:val="00A65D43"/>
    <w:rsid w:val="00A65E3B"/>
    <w:rsid w:val="00A665FF"/>
    <w:rsid w:val="00A674FE"/>
    <w:rsid w:val="00A67676"/>
    <w:rsid w:val="00A707FA"/>
    <w:rsid w:val="00A70DDA"/>
    <w:rsid w:val="00A7116F"/>
    <w:rsid w:val="00A71194"/>
    <w:rsid w:val="00A711A9"/>
    <w:rsid w:val="00A717DF"/>
    <w:rsid w:val="00A72688"/>
    <w:rsid w:val="00A72E33"/>
    <w:rsid w:val="00A73EE2"/>
    <w:rsid w:val="00A741F5"/>
    <w:rsid w:val="00A744CA"/>
    <w:rsid w:val="00A74FAE"/>
    <w:rsid w:val="00A753FE"/>
    <w:rsid w:val="00A758EB"/>
    <w:rsid w:val="00A75917"/>
    <w:rsid w:val="00A766D4"/>
    <w:rsid w:val="00A76822"/>
    <w:rsid w:val="00A76BCF"/>
    <w:rsid w:val="00A77925"/>
    <w:rsid w:val="00A808CE"/>
    <w:rsid w:val="00A80949"/>
    <w:rsid w:val="00A8103D"/>
    <w:rsid w:val="00A81B4C"/>
    <w:rsid w:val="00A82958"/>
    <w:rsid w:val="00A8362B"/>
    <w:rsid w:val="00A83990"/>
    <w:rsid w:val="00A83C18"/>
    <w:rsid w:val="00A84084"/>
    <w:rsid w:val="00A8573C"/>
    <w:rsid w:val="00A85A69"/>
    <w:rsid w:val="00A879BC"/>
    <w:rsid w:val="00A87D48"/>
    <w:rsid w:val="00A916B0"/>
    <w:rsid w:val="00A91DA0"/>
    <w:rsid w:val="00A924E3"/>
    <w:rsid w:val="00A92C19"/>
    <w:rsid w:val="00A92E6C"/>
    <w:rsid w:val="00A94377"/>
    <w:rsid w:val="00A9562D"/>
    <w:rsid w:val="00A95CD2"/>
    <w:rsid w:val="00A9678F"/>
    <w:rsid w:val="00A96A78"/>
    <w:rsid w:val="00A97B5E"/>
    <w:rsid w:val="00AA1592"/>
    <w:rsid w:val="00AA2B6E"/>
    <w:rsid w:val="00AA3A27"/>
    <w:rsid w:val="00AA5016"/>
    <w:rsid w:val="00AA5EDD"/>
    <w:rsid w:val="00AA7C0D"/>
    <w:rsid w:val="00AB2C28"/>
    <w:rsid w:val="00AB333F"/>
    <w:rsid w:val="00AB360C"/>
    <w:rsid w:val="00AB398A"/>
    <w:rsid w:val="00AB3F5E"/>
    <w:rsid w:val="00AB48C6"/>
    <w:rsid w:val="00AB529C"/>
    <w:rsid w:val="00AB5EF9"/>
    <w:rsid w:val="00AB6526"/>
    <w:rsid w:val="00AB7DD9"/>
    <w:rsid w:val="00AC06A5"/>
    <w:rsid w:val="00AC07A2"/>
    <w:rsid w:val="00AC15DC"/>
    <w:rsid w:val="00AC1976"/>
    <w:rsid w:val="00AC2411"/>
    <w:rsid w:val="00AC2ED7"/>
    <w:rsid w:val="00AC39D0"/>
    <w:rsid w:val="00AC4FC3"/>
    <w:rsid w:val="00AC751C"/>
    <w:rsid w:val="00AC7530"/>
    <w:rsid w:val="00AC7C51"/>
    <w:rsid w:val="00AC7F5C"/>
    <w:rsid w:val="00AD0BB9"/>
    <w:rsid w:val="00AD219B"/>
    <w:rsid w:val="00AD2F74"/>
    <w:rsid w:val="00AD30F8"/>
    <w:rsid w:val="00AD3879"/>
    <w:rsid w:val="00AD3F76"/>
    <w:rsid w:val="00AD4EAC"/>
    <w:rsid w:val="00AD4FEC"/>
    <w:rsid w:val="00AD5FCF"/>
    <w:rsid w:val="00AD66CB"/>
    <w:rsid w:val="00AD672E"/>
    <w:rsid w:val="00AD69BD"/>
    <w:rsid w:val="00AD723E"/>
    <w:rsid w:val="00AD7969"/>
    <w:rsid w:val="00AE0E3D"/>
    <w:rsid w:val="00AE0E9B"/>
    <w:rsid w:val="00AE0EC9"/>
    <w:rsid w:val="00AE1093"/>
    <w:rsid w:val="00AE1BEC"/>
    <w:rsid w:val="00AE1FC6"/>
    <w:rsid w:val="00AE2404"/>
    <w:rsid w:val="00AE2D2E"/>
    <w:rsid w:val="00AE3190"/>
    <w:rsid w:val="00AE5EFC"/>
    <w:rsid w:val="00AE6780"/>
    <w:rsid w:val="00AE6EE8"/>
    <w:rsid w:val="00AE70B4"/>
    <w:rsid w:val="00AE71D4"/>
    <w:rsid w:val="00AE745A"/>
    <w:rsid w:val="00AE7587"/>
    <w:rsid w:val="00AF21E8"/>
    <w:rsid w:val="00AF2CF8"/>
    <w:rsid w:val="00AF367B"/>
    <w:rsid w:val="00AF3E47"/>
    <w:rsid w:val="00AF3E93"/>
    <w:rsid w:val="00AF4269"/>
    <w:rsid w:val="00AF5859"/>
    <w:rsid w:val="00AF5914"/>
    <w:rsid w:val="00AF59A3"/>
    <w:rsid w:val="00AF5E7F"/>
    <w:rsid w:val="00AF6F8A"/>
    <w:rsid w:val="00AF7056"/>
    <w:rsid w:val="00AF7165"/>
    <w:rsid w:val="00AF75FB"/>
    <w:rsid w:val="00B0102F"/>
    <w:rsid w:val="00B01101"/>
    <w:rsid w:val="00B0189F"/>
    <w:rsid w:val="00B02A09"/>
    <w:rsid w:val="00B033C1"/>
    <w:rsid w:val="00B03960"/>
    <w:rsid w:val="00B04C25"/>
    <w:rsid w:val="00B0518D"/>
    <w:rsid w:val="00B052B9"/>
    <w:rsid w:val="00B05977"/>
    <w:rsid w:val="00B05D21"/>
    <w:rsid w:val="00B05F5F"/>
    <w:rsid w:val="00B06898"/>
    <w:rsid w:val="00B07D61"/>
    <w:rsid w:val="00B07ECC"/>
    <w:rsid w:val="00B10014"/>
    <w:rsid w:val="00B10B33"/>
    <w:rsid w:val="00B11192"/>
    <w:rsid w:val="00B111A3"/>
    <w:rsid w:val="00B114B7"/>
    <w:rsid w:val="00B11946"/>
    <w:rsid w:val="00B11AAC"/>
    <w:rsid w:val="00B11FB5"/>
    <w:rsid w:val="00B12FE5"/>
    <w:rsid w:val="00B130E7"/>
    <w:rsid w:val="00B13D7E"/>
    <w:rsid w:val="00B14C00"/>
    <w:rsid w:val="00B1686A"/>
    <w:rsid w:val="00B1696D"/>
    <w:rsid w:val="00B16F6B"/>
    <w:rsid w:val="00B171DF"/>
    <w:rsid w:val="00B21052"/>
    <w:rsid w:val="00B21D59"/>
    <w:rsid w:val="00B2236B"/>
    <w:rsid w:val="00B2295B"/>
    <w:rsid w:val="00B233A5"/>
    <w:rsid w:val="00B23647"/>
    <w:rsid w:val="00B23822"/>
    <w:rsid w:val="00B23C24"/>
    <w:rsid w:val="00B24735"/>
    <w:rsid w:val="00B249B0"/>
    <w:rsid w:val="00B2631D"/>
    <w:rsid w:val="00B27149"/>
    <w:rsid w:val="00B27178"/>
    <w:rsid w:val="00B2753F"/>
    <w:rsid w:val="00B27CA8"/>
    <w:rsid w:val="00B27E85"/>
    <w:rsid w:val="00B30109"/>
    <w:rsid w:val="00B32971"/>
    <w:rsid w:val="00B3374F"/>
    <w:rsid w:val="00B344DF"/>
    <w:rsid w:val="00B345DA"/>
    <w:rsid w:val="00B34B2D"/>
    <w:rsid w:val="00B35077"/>
    <w:rsid w:val="00B361A9"/>
    <w:rsid w:val="00B3662E"/>
    <w:rsid w:val="00B366A9"/>
    <w:rsid w:val="00B3739E"/>
    <w:rsid w:val="00B376C4"/>
    <w:rsid w:val="00B40994"/>
    <w:rsid w:val="00B4172A"/>
    <w:rsid w:val="00B419C9"/>
    <w:rsid w:val="00B41CB8"/>
    <w:rsid w:val="00B41DB4"/>
    <w:rsid w:val="00B42B0C"/>
    <w:rsid w:val="00B433F8"/>
    <w:rsid w:val="00B43F3D"/>
    <w:rsid w:val="00B449D5"/>
    <w:rsid w:val="00B44F9C"/>
    <w:rsid w:val="00B46261"/>
    <w:rsid w:val="00B46310"/>
    <w:rsid w:val="00B478B5"/>
    <w:rsid w:val="00B47F1D"/>
    <w:rsid w:val="00B51308"/>
    <w:rsid w:val="00B51626"/>
    <w:rsid w:val="00B51F95"/>
    <w:rsid w:val="00B526B5"/>
    <w:rsid w:val="00B534E6"/>
    <w:rsid w:val="00B54F93"/>
    <w:rsid w:val="00B550FD"/>
    <w:rsid w:val="00B56483"/>
    <w:rsid w:val="00B56A2F"/>
    <w:rsid w:val="00B5739A"/>
    <w:rsid w:val="00B57448"/>
    <w:rsid w:val="00B5790F"/>
    <w:rsid w:val="00B57DC8"/>
    <w:rsid w:val="00B57FC2"/>
    <w:rsid w:val="00B57FEA"/>
    <w:rsid w:val="00B620AB"/>
    <w:rsid w:val="00B6284E"/>
    <w:rsid w:val="00B62C69"/>
    <w:rsid w:val="00B63152"/>
    <w:rsid w:val="00B63803"/>
    <w:rsid w:val="00B639DF"/>
    <w:rsid w:val="00B655D9"/>
    <w:rsid w:val="00B65919"/>
    <w:rsid w:val="00B660E6"/>
    <w:rsid w:val="00B662F0"/>
    <w:rsid w:val="00B70078"/>
    <w:rsid w:val="00B70D4B"/>
    <w:rsid w:val="00B71815"/>
    <w:rsid w:val="00B71A7C"/>
    <w:rsid w:val="00B72178"/>
    <w:rsid w:val="00B72C8F"/>
    <w:rsid w:val="00B72D5F"/>
    <w:rsid w:val="00B733AA"/>
    <w:rsid w:val="00B736CB"/>
    <w:rsid w:val="00B73A61"/>
    <w:rsid w:val="00B75B1F"/>
    <w:rsid w:val="00B7606B"/>
    <w:rsid w:val="00B76942"/>
    <w:rsid w:val="00B77195"/>
    <w:rsid w:val="00B774DE"/>
    <w:rsid w:val="00B77BE0"/>
    <w:rsid w:val="00B77C53"/>
    <w:rsid w:val="00B80B6D"/>
    <w:rsid w:val="00B810F5"/>
    <w:rsid w:val="00B815CF"/>
    <w:rsid w:val="00B82118"/>
    <w:rsid w:val="00B828E3"/>
    <w:rsid w:val="00B8337F"/>
    <w:rsid w:val="00B835CB"/>
    <w:rsid w:val="00B83A20"/>
    <w:rsid w:val="00B841F0"/>
    <w:rsid w:val="00B84890"/>
    <w:rsid w:val="00B84DC6"/>
    <w:rsid w:val="00B86514"/>
    <w:rsid w:val="00B86A43"/>
    <w:rsid w:val="00B86AA2"/>
    <w:rsid w:val="00B871F7"/>
    <w:rsid w:val="00B87621"/>
    <w:rsid w:val="00B9096B"/>
    <w:rsid w:val="00B91501"/>
    <w:rsid w:val="00B91B77"/>
    <w:rsid w:val="00B923C8"/>
    <w:rsid w:val="00B92728"/>
    <w:rsid w:val="00B95672"/>
    <w:rsid w:val="00B958B3"/>
    <w:rsid w:val="00B95F68"/>
    <w:rsid w:val="00B96584"/>
    <w:rsid w:val="00B96C65"/>
    <w:rsid w:val="00B9754A"/>
    <w:rsid w:val="00B9761A"/>
    <w:rsid w:val="00BA1271"/>
    <w:rsid w:val="00BA13AB"/>
    <w:rsid w:val="00BA16E8"/>
    <w:rsid w:val="00BA1FB3"/>
    <w:rsid w:val="00BA2F40"/>
    <w:rsid w:val="00BA5EA4"/>
    <w:rsid w:val="00BA6440"/>
    <w:rsid w:val="00BA7592"/>
    <w:rsid w:val="00BA79D1"/>
    <w:rsid w:val="00BA7EF4"/>
    <w:rsid w:val="00BB159F"/>
    <w:rsid w:val="00BB1ED3"/>
    <w:rsid w:val="00BB21A2"/>
    <w:rsid w:val="00BB25AA"/>
    <w:rsid w:val="00BB267C"/>
    <w:rsid w:val="00BB2C7D"/>
    <w:rsid w:val="00BB40C3"/>
    <w:rsid w:val="00BB497C"/>
    <w:rsid w:val="00BB4F40"/>
    <w:rsid w:val="00BB57D3"/>
    <w:rsid w:val="00BB6995"/>
    <w:rsid w:val="00BB7215"/>
    <w:rsid w:val="00BB7F2C"/>
    <w:rsid w:val="00BC2DB3"/>
    <w:rsid w:val="00BC3C8F"/>
    <w:rsid w:val="00BC4EF2"/>
    <w:rsid w:val="00BC58AC"/>
    <w:rsid w:val="00BC6938"/>
    <w:rsid w:val="00BC706F"/>
    <w:rsid w:val="00BC74A8"/>
    <w:rsid w:val="00BC7D8D"/>
    <w:rsid w:val="00BD0755"/>
    <w:rsid w:val="00BD09E5"/>
    <w:rsid w:val="00BD185C"/>
    <w:rsid w:val="00BD1B46"/>
    <w:rsid w:val="00BD2535"/>
    <w:rsid w:val="00BD2A03"/>
    <w:rsid w:val="00BD339D"/>
    <w:rsid w:val="00BD474C"/>
    <w:rsid w:val="00BD485F"/>
    <w:rsid w:val="00BD49DF"/>
    <w:rsid w:val="00BD5E70"/>
    <w:rsid w:val="00BD611C"/>
    <w:rsid w:val="00BD6184"/>
    <w:rsid w:val="00BD6A28"/>
    <w:rsid w:val="00BD763F"/>
    <w:rsid w:val="00BE02CD"/>
    <w:rsid w:val="00BE0395"/>
    <w:rsid w:val="00BE0595"/>
    <w:rsid w:val="00BE0999"/>
    <w:rsid w:val="00BE17F7"/>
    <w:rsid w:val="00BE2029"/>
    <w:rsid w:val="00BE2D7B"/>
    <w:rsid w:val="00BE4515"/>
    <w:rsid w:val="00BE4C48"/>
    <w:rsid w:val="00BE4C60"/>
    <w:rsid w:val="00BE4D30"/>
    <w:rsid w:val="00BE6A3D"/>
    <w:rsid w:val="00BE6AF2"/>
    <w:rsid w:val="00BE6CD4"/>
    <w:rsid w:val="00BE711C"/>
    <w:rsid w:val="00BE71FA"/>
    <w:rsid w:val="00BE72F5"/>
    <w:rsid w:val="00BE7AF3"/>
    <w:rsid w:val="00BE7E52"/>
    <w:rsid w:val="00BF0F7D"/>
    <w:rsid w:val="00BF1582"/>
    <w:rsid w:val="00BF3440"/>
    <w:rsid w:val="00BF4C94"/>
    <w:rsid w:val="00BF4FD5"/>
    <w:rsid w:val="00BF5E40"/>
    <w:rsid w:val="00BF6D09"/>
    <w:rsid w:val="00BF7B45"/>
    <w:rsid w:val="00BF7EC8"/>
    <w:rsid w:val="00C003EB"/>
    <w:rsid w:val="00C00721"/>
    <w:rsid w:val="00C0140A"/>
    <w:rsid w:val="00C01724"/>
    <w:rsid w:val="00C01952"/>
    <w:rsid w:val="00C01CB6"/>
    <w:rsid w:val="00C02598"/>
    <w:rsid w:val="00C05546"/>
    <w:rsid w:val="00C05B17"/>
    <w:rsid w:val="00C0602A"/>
    <w:rsid w:val="00C06633"/>
    <w:rsid w:val="00C0676D"/>
    <w:rsid w:val="00C0699D"/>
    <w:rsid w:val="00C071C1"/>
    <w:rsid w:val="00C0783F"/>
    <w:rsid w:val="00C07D2B"/>
    <w:rsid w:val="00C07E88"/>
    <w:rsid w:val="00C103E7"/>
    <w:rsid w:val="00C10B9A"/>
    <w:rsid w:val="00C1105F"/>
    <w:rsid w:val="00C114C3"/>
    <w:rsid w:val="00C11797"/>
    <w:rsid w:val="00C117C2"/>
    <w:rsid w:val="00C120B8"/>
    <w:rsid w:val="00C12535"/>
    <w:rsid w:val="00C12C21"/>
    <w:rsid w:val="00C12F09"/>
    <w:rsid w:val="00C13047"/>
    <w:rsid w:val="00C13ADB"/>
    <w:rsid w:val="00C13B2A"/>
    <w:rsid w:val="00C13B65"/>
    <w:rsid w:val="00C1430C"/>
    <w:rsid w:val="00C15BD5"/>
    <w:rsid w:val="00C1641C"/>
    <w:rsid w:val="00C168EA"/>
    <w:rsid w:val="00C20299"/>
    <w:rsid w:val="00C20497"/>
    <w:rsid w:val="00C2112E"/>
    <w:rsid w:val="00C21F45"/>
    <w:rsid w:val="00C221DF"/>
    <w:rsid w:val="00C22619"/>
    <w:rsid w:val="00C22C31"/>
    <w:rsid w:val="00C22E24"/>
    <w:rsid w:val="00C23057"/>
    <w:rsid w:val="00C24C74"/>
    <w:rsid w:val="00C261E0"/>
    <w:rsid w:val="00C26864"/>
    <w:rsid w:val="00C276B3"/>
    <w:rsid w:val="00C307E2"/>
    <w:rsid w:val="00C30C58"/>
    <w:rsid w:val="00C30D4C"/>
    <w:rsid w:val="00C3145F"/>
    <w:rsid w:val="00C31DA5"/>
    <w:rsid w:val="00C32273"/>
    <w:rsid w:val="00C329E8"/>
    <w:rsid w:val="00C33B17"/>
    <w:rsid w:val="00C34932"/>
    <w:rsid w:val="00C355E6"/>
    <w:rsid w:val="00C35783"/>
    <w:rsid w:val="00C358F4"/>
    <w:rsid w:val="00C36CD4"/>
    <w:rsid w:val="00C36F6E"/>
    <w:rsid w:val="00C40068"/>
    <w:rsid w:val="00C40E38"/>
    <w:rsid w:val="00C40EC1"/>
    <w:rsid w:val="00C41168"/>
    <w:rsid w:val="00C42C69"/>
    <w:rsid w:val="00C43F08"/>
    <w:rsid w:val="00C441CB"/>
    <w:rsid w:val="00C44E01"/>
    <w:rsid w:val="00C44ECE"/>
    <w:rsid w:val="00C45660"/>
    <w:rsid w:val="00C45B62"/>
    <w:rsid w:val="00C46C93"/>
    <w:rsid w:val="00C46DCB"/>
    <w:rsid w:val="00C47963"/>
    <w:rsid w:val="00C50A69"/>
    <w:rsid w:val="00C51934"/>
    <w:rsid w:val="00C51B31"/>
    <w:rsid w:val="00C527A1"/>
    <w:rsid w:val="00C52B0D"/>
    <w:rsid w:val="00C53869"/>
    <w:rsid w:val="00C545DC"/>
    <w:rsid w:val="00C547C8"/>
    <w:rsid w:val="00C54B3C"/>
    <w:rsid w:val="00C54D1F"/>
    <w:rsid w:val="00C555DE"/>
    <w:rsid w:val="00C560BF"/>
    <w:rsid w:val="00C567CA"/>
    <w:rsid w:val="00C56B22"/>
    <w:rsid w:val="00C56E66"/>
    <w:rsid w:val="00C5713D"/>
    <w:rsid w:val="00C57627"/>
    <w:rsid w:val="00C6063B"/>
    <w:rsid w:val="00C60690"/>
    <w:rsid w:val="00C6077E"/>
    <w:rsid w:val="00C60A02"/>
    <w:rsid w:val="00C61B57"/>
    <w:rsid w:val="00C61C5C"/>
    <w:rsid w:val="00C61DF2"/>
    <w:rsid w:val="00C61F32"/>
    <w:rsid w:val="00C61FBE"/>
    <w:rsid w:val="00C62A51"/>
    <w:rsid w:val="00C62B5C"/>
    <w:rsid w:val="00C633D0"/>
    <w:rsid w:val="00C638EE"/>
    <w:rsid w:val="00C662C2"/>
    <w:rsid w:val="00C67049"/>
    <w:rsid w:val="00C67886"/>
    <w:rsid w:val="00C67C29"/>
    <w:rsid w:val="00C67C87"/>
    <w:rsid w:val="00C67CE8"/>
    <w:rsid w:val="00C70341"/>
    <w:rsid w:val="00C70468"/>
    <w:rsid w:val="00C70D6D"/>
    <w:rsid w:val="00C714C4"/>
    <w:rsid w:val="00C71FB1"/>
    <w:rsid w:val="00C72D06"/>
    <w:rsid w:val="00C7331A"/>
    <w:rsid w:val="00C73EC8"/>
    <w:rsid w:val="00C746B5"/>
    <w:rsid w:val="00C747A9"/>
    <w:rsid w:val="00C747C2"/>
    <w:rsid w:val="00C7506D"/>
    <w:rsid w:val="00C75E47"/>
    <w:rsid w:val="00C76151"/>
    <w:rsid w:val="00C76BE9"/>
    <w:rsid w:val="00C77AAA"/>
    <w:rsid w:val="00C77FBD"/>
    <w:rsid w:val="00C8048D"/>
    <w:rsid w:val="00C80E24"/>
    <w:rsid w:val="00C8171B"/>
    <w:rsid w:val="00C82503"/>
    <w:rsid w:val="00C82E9C"/>
    <w:rsid w:val="00C8352D"/>
    <w:rsid w:val="00C847BB"/>
    <w:rsid w:val="00C85119"/>
    <w:rsid w:val="00C85FD8"/>
    <w:rsid w:val="00C901DF"/>
    <w:rsid w:val="00C90BFB"/>
    <w:rsid w:val="00C91A6E"/>
    <w:rsid w:val="00C92032"/>
    <w:rsid w:val="00C92095"/>
    <w:rsid w:val="00C930CF"/>
    <w:rsid w:val="00C9342A"/>
    <w:rsid w:val="00C93CF0"/>
    <w:rsid w:val="00C93EDF"/>
    <w:rsid w:val="00C94878"/>
    <w:rsid w:val="00C948F5"/>
    <w:rsid w:val="00C963D5"/>
    <w:rsid w:val="00C96FF8"/>
    <w:rsid w:val="00C973D4"/>
    <w:rsid w:val="00C97DDC"/>
    <w:rsid w:val="00CA08A0"/>
    <w:rsid w:val="00CA1029"/>
    <w:rsid w:val="00CA1C66"/>
    <w:rsid w:val="00CA2166"/>
    <w:rsid w:val="00CA4A15"/>
    <w:rsid w:val="00CA7557"/>
    <w:rsid w:val="00CA7837"/>
    <w:rsid w:val="00CB02C3"/>
    <w:rsid w:val="00CB0A80"/>
    <w:rsid w:val="00CB1EA2"/>
    <w:rsid w:val="00CB2BFA"/>
    <w:rsid w:val="00CB35DF"/>
    <w:rsid w:val="00CB38BD"/>
    <w:rsid w:val="00CB39BF"/>
    <w:rsid w:val="00CB419A"/>
    <w:rsid w:val="00CB576C"/>
    <w:rsid w:val="00CB5825"/>
    <w:rsid w:val="00CB6810"/>
    <w:rsid w:val="00CB6DDC"/>
    <w:rsid w:val="00CB7A7E"/>
    <w:rsid w:val="00CB7FFB"/>
    <w:rsid w:val="00CC0D44"/>
    <w:rsid w:val="00CC176F"/>
    <w:rsid w:val="00CC2D68"/>
    <w:rsid w:val="00CC3738"/>
    <w:rsid w:val="00CC430E"/>
    <w:rsid w:val="00CC4351"/>
    <w:rsid w:val="00CC4BA9"/>
    <w:rsid w:val="00CC53FF"/>
    <w:rsid w:val="00CC5EB0"/>
    <w:rsid w:val="00CC5F6F"/>
    <w:rsid w:val="00CC6866"/>
    <w:rsid w:val="00CC6BD4"/>
    <w:rsid w:val="00CC78A7"/>
    <w:rsid w:val="00CD3543"/>
    <w:rsid w:val="00CD457F"/>
    <w:rsid w:val="00CD4F0A"/>
    <w:rsid w:val="00CD56A2"/>
    <w:rsid w:val="00CD58F8"/>
    <w:rsid w:val="00CD712D"/>
    <w:rsid w:val="00CD7E9C"/>
    <w:rsid w:val="00CE015C"/>
    <w:rsid w:val="00CE0CC2"/>
    <w:rsid w:val="00CE0D84"/>
    <w:rsid w:val="00CE266A"/>
    <w:rsid w:val="00CE3553"/>
    <w:rsid w:val="00CE36C2"/>
    <w:rsid w:val="00CE3D23"/>
    <w:rsid w:val="00CE3DEA"/>
    <w:rsid w:val="00CE41C9"/>
    <w:rsid w:val="00CE43A4"/>
    <w:rsid w:val="00CE50E8"/>
    <w:rsid w:val="00CE5105"/>
    <w:rsid w:val="00CE5975"/>
    <w:rsid w:val="00CE69E7"/>
    <w:rsid w:val="00CE6DA1"/>
    <w:rsid w:val="00CE6FCE"/>
    <w:rsid w:val="00CE7343"/>
    <w:rsid w:val="00CE748E"/>
    <w:rsid w:val="00CE752A"/>
    <w:rsid w:val="00CE7B80"/>
    <w:rsid w:val="00CF035B"/>
    <w:rsid w:val="00CF0FC7"/>
    <w:rsid w:val="00CF2754"/>
    <w:rsid w:val="00CF2DAA"/>
    <w:rsid w:val="00CF32F0"/>
    <w:rsid w:val="00CF4522"/>
    <w:rsid w:val="00CF587C"/>
    <w:rsid w:val="00CF6F93"/>
    <w:rsid w:val="00D00189"/>
    <w:rsid w:val="00D004D6"/>
    <w:rsid w:val="00D0076C"/>
    <w:rsid w:val="00D00EAE"/>
    <w:rsid w:val="00D01BCE"/>
    <w:rsid w:val="00D025C1"/>
    <w:rsid w:val="00D027EC"/>
    <w:rsid w:val="00D02F03"/>
    <w:rsid w:val="00D047B7"/>
    <w:rsid w:val="00D047DC"/>
    <w:rsid w:val="00D04B97"/>
    <w:rsid w:val="00D04BDB"/>
    <w:rsid w:val="00D04CAB"/>
    <w:rsid w:val="00D0635E"/>
    <w:rsid w:val="00D0660F"/>
    <w:rsid w:val="00D06A96"/>
    <w:rsid w:val="00D106A8"/>
    <w:rsid w:val="00D11E87"/>
    <w:rsid w:val="00D12134"/>
    <w:rsid w:val="00D121E5"/>
    <w:rsid w:val="00D12C93"/>
    <w:rsid w:val="00D12D90"/>
    <w:rsid w:val="00D1321E"/>
    <w:rsid w:val="00D1326C"/>
    <w:rsid w:val="00D13541"/>
    <w:rsid w:val="00D13B1B"/>
    <w:rsid w:val="00D13BDF"/>
    <w:rsid w:val="00D14A44"/>
    <w:rsid w:val="00D157B7"/>
    <w:rsid w:val="00D15B73"/>
    <w:rsid w:val="00D20B71"/>
    <w:rsid w:val="00D20EFB"/>
    <w:rsid w:val="00D21330"/>
    <w:rsid w:val="00D21A35"/>
    <w:rsid w:val="00D21AE2"/>
    <w:rsid w:val="00D21D05"/>
    <w:rsid w:val="00D22115"/>
    <w:rsid w:val="00D22475"/>
    <w:rsid w:val="00D23242"/>
    <w:rsid w:val="00D23DAE"/>
    <w:rsid w:val="00D23F9A"/>
    <w:rsid w:val="00D25205"/>
    <w:rsid w:val="00D25883"/>
    <w:rsid w:val="00D25A04"/>
    <w:rsid w:val="00D25D96"/>
    <w:rsid w:val="00D26D6B"/>
    <w:rsid w:val="00D279AE"/>
    <w:rsid w:val="00D27B20"/>
    <w:rsid w:val="00D31EE4"/>
    <w:rsid w:val="00D32266"/>
    <w:rsid w:val="00D32B5B"/>
    <w:rsid w:val="00D32D9E"/>
    <w:rsid w:val="00D33C8B"/>
    <w:rsid w:val="00D34A42"/>
    <w:rsid w:val="00D34BD5"/>
    <w:rsid w:val="00D34D29"/>
    <w:rsid w:val="00D357F7"/>
    <w:rsid w:val="00D3599E"/>
    <w:rsid w:val="00D362CE"/>
    <w:rsid w:val="00D36356"/>
    <w:rsid w:val="00D3727D"/>
    <w:rsid w:val="00D375E8"/>
    <w:rsid w:val="00D377C2"/>
    <w:rsid w:val="00D40088"/>
    <w:rsid w:val="00D40704"/>
    <w:rsid w:val="00D40E91"/>
    <w:rsid w:val="00D42BA3"/>
    <w:rsid w:val="00D43106"/>
    <w:rsid w:val="00D4324D"/>
    <w:rsid w:val="00D43541"/>
    <w:rsid w:val="00D4409A"/>
    <w:rsid w:val="00D44149"/>
    <w:rsid w:val="00D4455A"/>
    <w:rsid w:val="00D4527C"/>
    <w:rsid w:val="00D46748"/>
    <w:rsid w:val="00D46F15"/>
    <w:rsid w:val="00D47240"/>
    <w:rsid w:val="00D4735B"/>
    <w:rsid w:val="00D47BAB"/>
    <w:rsid w:val="00D47FE9"/>
    <w:rsid w:val="00D50860"/>
    <w:rsid w:val="00D51830"/>
    <w:rsid w:val="00D51D07"/>
    <w:rsid w:val="00D5200E"/>
    <w:rsid w:val="00D52094"/>
    <w:rsid w:val="00D5254E"/>
    <w:rsid w:val="00D526A9"/>
    <w:rsid w:val="00D53CBB"/>
    <w:rsid w:val="00D56167"/>
    <w:rsid w:val="00D5620F"/>
    <w:rsid w:val="00D57759"/>
    <w:rsid w:val="00D579C0"/>
    <w:rsid w:val="00D60359"/>
    <w:rsid w:val="00D60417"/>
    <w:rsid w:val="00D60691"/>
    <w:rsid w:val="00D613F3"/>
    <w:rsid w:val="00D634E5"/>
    <w:rsid w:val="00D6353A"/>
    <w:rsid w:val="00D63842"/>
    <w:rsid w:val="00D645E6"/>
    <w:rsid w:val="00D6498C"/>
    <w:rsid w:val="00D65417"/>
    <w:rsid w:val="00D659DF"/>
    <w:rsid w:val="00D65D30"/>
    <w:rsid w:val="00D660D2"/>
    <w:rsid w:val="00D66997"/>
    <w:rsid w:val="00D66EDF"/>
    <w:rsid w:val="00D671AD"/>
    <w:rsid w:val="00D6753B"/>
    <w:rsid w:val="00D70064"/>
    <w:rsid w:val="00D717A3"/>
    <w:rsid w:val="00D717CD"/>
    <w:rsid w:val="00D720CE"/>
    <w:rsid w:val="00D73177"/>
    <w:rsid w:val="00D73524"/>
    <w:rsid w:val="00D74BAB"/>
    <w:rsid w:val="00D75183"/>
    <w:rsid w:val="00D76BD3"/>
    <w:rsid w:val="00D76D1E"/>
    <w:rsid w:val="00D7743B"/>
    <w:rsid w:val="00D77D97"/>
    <w:rsid w:val="00D80C2E"/>
    <w:rsid w:val="00D81032"/>
    <w:rsid w:val="00D81274"/>
    <w:rsid w:val="00D81A07"/>
    <w:rsid w:val="00D8368B"/>
    <w:rsid w:val="00D83B85"/>
    <w:rsid w:val="00D84A66"/>
    <w:rsid w:val="00D84B3B"/>
    <w:rsid w:val="00D85459"/>
    <w:rsid w:val="00D85BCC"/>
    <w:rsid w:val="00D864E8"/>
    <w:rsid w:val="00D86FFF"/>
    <w:rsid w:val="00D8726F"/>
    <w:rsid w:val="00D872D7"/>
    <w:rsid w:val="00D8748C"/>
    <w:rsid w:val="00D8749C"/>
    <w:rsid w:val="00D902A4"/>
    <w:rsid w:val="00D907D9"/>
    <w:rsid w:val="00D912DA"/>
    <w:rsid w:val="00D91532"/>
    <w:rsid w:val="00D916ED"/>
    <w:rsid w:val="00D919E0"/>
    <w:rsid w:val="00D91F02"/>
    <w:rsid w:val="00D92114"/>
    <w:rsid w:val="00D9240D"/>
    <w:rsid w:val="00D929DA"/>
    <w:rsid w:val="00D92B54"/>
    <w:rsid w:val="00D92D4F"/>
    <w:rsid w:val="00D93327"/>
    <w:rsid w:val="00D9351D"/>
    <w:rsid w:val="00D94A33"/>
    <w:rsid w:val="00DA01DC"/>
    <w:rsid w:val="00DA08B9"/>
    <w:rsid w:val="00DA1340"/>
    <w:rsid w:val="00DA1500"/>
    <w:rsid w:val="00DA1CF6"/>
    <w:rsid w:val="00DA1DBD"/>
    <w:rsid w:val="00DA2DC9"/>
    <w:rsid w:val="00DA5134"/>
    <w:rsid w:val="00DA52DE"/>
    <w:rsid w:val="00DA542D"/>
    <w:rsid w:val="00DA5613"/>
    <w:rsid w:val="00DA56C2"/>
    <w:rsid w:val="00DA56FF"/>
    <w:rsid w:val="00DA57D3"/>
    <w:rsid w:val="00DA59D5"/>
    <w:rsid w:val="00DA5A77"/>
    <w:rsid w:val="00DA6320"/>
    <w:rsid w:val="00DA7515"/>
    <w:rsid w:val="00DA7E3E"/>
    <w:rsid w:val="00DB0736"/>
    <w:rsid w:val="00DB1B6B"/>
    <w:rsid w:val="00DB1E24"/>
    <w:rsid w:val="00DB2770"/>
    <w:rsid w:val="00DB3401"/>
    <w:rsid w:val="00DB3A81"/>
    <w:rsid w:val="00DB3DF6"/>
    <w:rsid w:val="00DB47DE"/>
    <w:rsid w:val="00DB4E18"/>
    <w:rsid w:val="00DB5F58"/>
    <w:rsid w:val="00DB65A5"/>
    <w:rsid w:val="00DB7794"/>
    <w:rsid w:val="00DC0DF3"/>
    <w:rsid w:val="00DC2036"/>
    <w:rsid w:val="00DC37B0"/>
    <w:rsid w:val="00DC3844"/>
    <w:rsid w:val="00DC4006"/>
    <w:rsid w:val="00DC431D"/>
    <w:rsid w:val="00DC4B40"/>
    <w:rsid w:val="00DC4EDD"/>
    <w:rsid w:val="00DC51EA"/>
    <w:rsid w:val="00DC5256"/>
    <w:rsid w:val="00DC5B41"/>
    <w:rsid w:val="00DC6AA1"/>
    <w:rsid w:val="00DD008F"/>
    <w:rsid w:val="00DD037C"/>
    <w:rsid w:val="00DD16AF"/>
    <w:rsid w:val="00DD1B6E"/>
    <w:rsid w:val="00DD1C11"/>
    <w:rsid w:val="00DD1D96"/>
    <w:rsid w:val="00DD203A"/>
    <w:rsid w:val="00DD2707"/>
    <w:rsid w:val="00DD28E4"/>
    <w:rsid w:val="00DD3665"/>
    <w:rsid w:val="00DD36A1"/>
    <w:rsid w:val="00DD374E"/>
    <w:rsid w:val="00DD44D3"/>
    <w:rsid w:val="00DD48CD"/>
    <w:rsid w:val="00DD6914"/>
    <w:rsid w:val="00DD7A41"/>
    <w:rsid w:val="00DD7A5E"/>
    <w:rsid w:val="00DE0402"/>
    <w:rsid w:val="00DE08DC"/>
    <w:rsid w:val="00DE0C26"/>
    <w:rsid w:val="00DE15E0"/>
    <w:rsid w:val="00DE1EF3"/>
    <w:rsid w:val="00DE2995"/>
    <w:rsid w:val="00DE2C60"/>
    <w:rsid w:val="00DE30DA"/>
    <w:rsid w:val="00DE33BD"/>
    <w:rsid w:val="00DE3C40"/>
    <w:rsid w:val="00DE4FA1"/>
    <w:rsid w:val="00DE5216"/>
    <w:rsid w:val="00DE5B9B"/>
    <w:rsid w:val="00DE6029"/>
    <w:rsid w:val="00DE6068"/>
    <w:rsid w:val="00DE619E"/>
    <w:rsid w:val="00DE6328"/>
    <w:rsid w:val="00DE65C0"/>
    <w:rsid w:val="00DE6D55"/>
    <w:rsid w:val="00DE7BB8"/>
    <w:rsid w:val="00DE7C12"/>
    <w:rsid w:val="00DE7E9B"/>
    <w:rsid w:val="00DF0197"/>
    <w:rsid w:val="00DF059D"/>
    <w:rsid w:val="00DF12A5"/>
    <w:rsid w:val="00DF14E4"/>
    <w:rsid w:val="00DF1B1C"/>
    <w:rsid w:val="00DF2DEE"/>
    <w:rsid w:val="00DF37D2"/>
    <w:rsid w:val="00DF3F9D"/>
    <w:rsid w:val="00DF42A9"/>
    <w:rsid w:val="00DF5BE2"/>
    <w:rsid w:val="00DF67B8"/>
    <w:rsid w:val="00DF7045"/>
    <w:rsid w:val="00DF7533"/>
    <w:rsid w:val="00DF765B"/>
    <w:rsid w:val="00E000D1"/>
    <w:rsid w:val="00E00175"/>
    <w:rsid w:val="00E00C12"/>
    <w:rsid w:val="00E00F00"/>
    <w:rsid w:val="00E017C0"/>
    <w:rsid w:val="00E02118"/>
    <w:rsid w:val="00E02BAE"/>
    <w:rsid w:val="00E0413C"/>
    <w:rsid w:val="00E06530"/>
    <w:rsid w:val="00E06B43"/>
    <w:rsid w:val="00E06C29"/>
    <w:rsid w:val="00E07B25"/>
    <w:rsid w:val="00E1025C"/>
    <w:rsid w:val="00E10565"/>
    <w:rsid w:val="00E1068A"/>
    <w:rsid w:val="00E10E19"/>
    <w:rsid w:val="00E11198"/>
    <w:rsid w:val="00E11866"/>
    <w:rsid w:val="00E12386"/>
    <w:rsid w:val="00E1263D"/>
    <w:rsid w:val="00E1270F"/>
    <w:rsid w:val="00E12D5A"/>
    <w:rsid w:val="00E135CA"/>
    <w:rsid w:val="00E15393"/>
    <w:rsid w:val="00E16111"/>
    <w:rsid w:val="00E1648E"/>
    <w:rsid w:val="00E166E2"/>
    <w:rsid w:val="00E167FE"/>
    <w:rsid w:val="00E16CB0"/>
    <w:rsid w:val="00E17718"/>
    <w:rsid w:val="00E17872"/>
    <w:rsid w:val="00E20694"/>
    <w:rsid w:val="00E20841"/>
    <w:rsid w:val="00E21042"/>
    <w:rsid w:val="00E214DC"/>
    <w:rsid w:val="00E21672"/>
    <w:rsid w:val="00E22111"/>
    <w:rsid w:val="00E22427"/>
    <w:rsid w:val="00E227DE"/>
    <w:rsid w:val="00E22999"/>
    <w:rsid w:val="00E22AE4"/>
    <w:rsid w:val="00E235C9"/>
    <w:rsid w:val="00E235D2"/>
    <w:rsid w:val="00E23E80"/>
    <w:rsid w:val="00E23E9A"/>
    <w:rsid w:val="00E2406B"/>
    <w:rsid w:val="00E24548"/>
    <w:rsid w:val="00E2461C"/>
    <w:rsid w:val="00E25017"/>
    <w:rsid w:val="00E25A95"/>
    <w:rsid w:val="00E26128"/>
    <w:rsid w:val="00E265C2"/>
    <w:rsid w:val="00E26E1B"/>
    <w:rsid w:val="00E2711D"/>
    <w:rsid w:val="00E2728F"/>
    <w:rsid w:val="00E30147"/>
    <w:rsid w:val="00E302F6"/>
    <w:rsid w:val="00E30A1D"/>
    <w:rsid w:val="00E32849"/>
    <w:rsid w:val="00E3285A"/>
    <w:rsid w:val="00E331EC"/>
    <w:rsid w:val="00E3359E"/>
    <w:rsid w:val="00E336BA"/>
    <w:rsid w:val="00E351F3"/>
    <w:rsid w:val="00E36437"/>
    <w:rsid w:val="00E3794A"/>
    <w:rsid w:val="00E404D2"/>
    <w:rsid w:val="00E412EC"/>
    <w:rsid w:val="00E41D05"/>
    <w:rsid w:val="00E4241D"/>
    <w:rsid w:val="00E42C2B"/>
    <w:rsid w:val="00E43459"/>
    <w:rsid w:val="00E435FA"/>
    <w:rsid w:val="00E442E0"/>
    <w:rsid w:val="00E44E51"/>
    <w:rsid w:val="00E457B1"/>
    <w:rsid w:val="00E4660A"/>
    <w:rsid w:val="00E4668A"/>
    <w:rsid w:val="00E47609"/>
    <w:rsid w:val="00E47791"/>
    <w:rsid w:val="00E47BB0"/>
    <w:rsid w:val="00E50512"/>
    <w:rsid w:val="00E50634"/>
    <w:rsid w:val="00E506C4"/>
    <w:rsid w:val="00E519FE"/>
    <w:rsid w:val="00E51F73"/>
    <w:rsid w:val="00E52CE2"/>
    <w:rsid w:val="00E5366E"/>
    <w:rsid w:val="00E53BFF"/>
    <w:rsid w:val="00E53C73"/>
    <w:rsid w:val="00E53CDB"/>
    <w:rsid w:val="00E55002"/>
    <w:rsid w:val="00E55087"/>
    <w:rsid w:val="00E55A09"/>
    <w:rsid w:val="00E55A4E"/>
    <w:rsid w:val="00E55A6E"/>
    <w:rsid w:val="00E5635E"/>
    <w:rsid w:val="00E57132"/>
    <w:rsid w:val="00E57281"/>
    <w:rsid w:val="00E6016A"/>
    <w:rsid w:val="00E608D2"/>
    <w:rsid w:val="00E609D2"/>
    <w:rsid w:val="00E616C9"/>
    <w:rsid w:val="00E6234A"/>
    <w:rsid w:val="00E649E8"/>
    <w:rsid w:val="00E64C65"/>
    <w:rsid w:val="00E65AC0"/>
    <w:rsid w:val="00E671FD"/>
    <w:rsid w:val="00E7008F"/>
    <w:rsid w:val="00E701D9"/>
    <w:rsid w:val="00E70A4F"/>
    <w:rsid w:val="00E70D72"/>
    <w:rsid w:val="00E717DF"/>
    <w:rsid w:val="00E723C4"/>
    <w:rsid w:val="00E72934"/>
    <w:rsid w:val="00E72A61"/>
    <w:rsid w:val="00E73A37"/>
    <w:rsid w:val="00E73D9E"/>
    <w:rsid w:val="00E741FD"/>
    <w:rsid w:val="00E745B2"/>
    <w:rsid w:val="00E7495C"/>
    <w:rsid w:val="00E7496D"/>
    <w:rsid w:val="00E7627F"/>
    <w:rsid w:val="00E80055"/>
    <w:rsid w:val="00E802FF"/>
    <w:rsid w:val="00E808EE"/>
    <w:rsid w:val="00E80964"/>
    <w:rsid w:val="00E809DB"/>
    <w:rsid w:val="00E80B82"/>
    <w:rsid w:val="00E81011"/>
    <w:rsid w:val="00E81085"/>
    <w:rsid w:val="00E81117"/>
    <w:rsid w:val="00E81216"/>
    <w:rsid w:val="00E81D40"/>
    <w:rsid w:val="00E81E61"/>
    <w:rsid w:val="00E82426"/>
    <w:rsid w:val="00E82487"/>
    <w:rsid w:val="00E82574"/>
    <w:rsid w:val="00E8282A"/>
    <w:rsid w:val="00E82F29"/>
    <w:rsid w:val="00E834CE"/>
    <w:rsid w:val="00E836DC"/>
    <w:rsid w:val="00E83739"/>
    <w:rsid w:val="00E83F4E"/>
    <w:rsid w:val="00E86940"/>
    <w:rsid w:val="00E86E2F"/>
    <w:rsid w:val="00E86E5D"/>
    <w:rsid w:val="00E907B2"/>
    <w:rsid w:val="00E92537"/>
    <w:rsid w:val="00E92A05"/>
    <w:rsid w:val="00E93191"/>
    <w:rsid w:val="00E931FA"/>
    <w:rsid w:val="00E941FF"/>
    <w:rsid w:val="00E943CC"/>
    <w:rsid w:val="00E9495D"/>
    <w:rsid w:val="00E96CEB"/>
    <w:rsid w:val="00E96F76"/>
    <w:rsid w:val="00EA06BE"/>
    <w:rsid w:val="00EA2324"/>
    <w:rsid w:val="00EA27D3"/>
    <w:rsid w:val="00EA2FFE"/>
    <w:rsid w:val="00EA395E"/>
    <w:rsid w:val="00EA3F0F"/>
    <w:rsid w:val="00EA4176"/>
    <w:rsid w:val="00EA6D01"/>
    <w:rsid w:val="00EA733C"/>
    <w:rsid w:val="00EB0302"/>
    <w:rsid w:val="00EB0975"/>
    <w:rsid w:val="00EB1804"/>
    <w:rsid w:val="00EB19B0"/>
    <w:rsid w:val="00EB4714"/>
    <w:rsid w:val="00EB4FF2"/>
    <w:rsid w:val="00EB5497"/>
    <w:rsid w:val="00EB67C5"/>
    <w:rsid w:val="00EB708F"/>
    <w:rsid w:val="00EB783C"/>
    <w:rsid w:val="00EB7F8E"/>
    <w:rsid w:val="00EC0176"/>
    <w:rsid w:val="00EC0F1C"/>
    <w:rsid w:val="00EC2DE2"/>
    <w:rsid w:val="00EC2EBA"/>
    <w:rsid w:val="00EC4A48"/>
    <w:rsid w:val="00EC4F7A"/>
    <w:rsid w:val="00EC584E"/>
    <w:rsid w:val="00EC5935"/>
    <w:rsid w:val="00EC64B7"/>
    <w:rsid w:val="00EC7506"/>
    <w:rsid w:val="00EC75D9"/>
    <w:rsid w:val="00ED00F5"/>
    <w:rsid w:val="00ED0A61"/>
    <w:rsid w:val="00ED0C67"/>
    <w:rsid w:val="00ED149F"/>
    <w:rsid w:val="00ED176D"/>
    <w:rsid w:val="00ED18AA"/>
    <w:rsid w:val="00ED1FFA"/>
    <w:rsid w:val="00ED2A78"/>
    <w:rsid w:val="00ED2EFA"/>
    <w:rsid w:val="00ED37C8"/>
    <w:rsid w:val="00ED3CC3"/>
    <w:rsid w:val="00ED4185"/>
    <w:rsid w:val="00ED4978"/>
    <w:rsid w:val="00ED5636"/>
    <w:rsid w:val="00ED69A2"/>
    <w:rsid w:val="00ED69E7"/>
    <w:rsid w:val="00ED6D9C"/>
    <w:rsid w:val="00ED6DE5"/>
    <w:rsid w:val="00ED7630"/>
    <w:rsid w:val="00EE023E"/>
    <w:rsid w:val="00EE0BD1"/>
    <w:rsid w:val="00EE271D"/>
    <w:rsid w:val="00EE2E4C"/>
    <w:rsid w:val="00EE32AE"/>
    <w:rsid w:val="00EE3C01"/>
    <w:rsid w:val="00EE40D1"/>
    <w:rsid w:val="00EE4351"/>
    <w:rsid w:val="00EE4E34"/>
    <w:rsid w:val="00EE4EE1"/>
    <w:rsid w:val="00EE620D"/>
    <w:rsid w:val="00EE6671"/>
    <w:rsid w:val="00EE67C0"/>
    <w:rsid w:val="00EE726A"/>
    <w:rsid w:val="00EE73EF"/>
    <w:rsid w:val="00EF0523"/>
    <w:rsid w:val="00EF0575"/>
    <w:rsid w:val="00EF16AA"/>
    <w:rsid w:val="00EF27DA"/>
    <w:rsid w:val="00EF3619"/>
    <w:rsid w:val="00EF3C0D"/>
    <w:rsid w:val="00EF5804"/>
    <w:rsid w:val="00EF6C85"/>
    <w:rsid w:val="00EF72CB"/>
    <w:rsid w:val="00EF7A04"/>
    <w:rsid w:val="00F02CDF"/>
    <w:rsid w:val="00F02FE6"/>
    <w:rsid w:val="00F03112"/>
    <w:rsid w:val="00F034CB"/>
    <w:rsid w:val="00F03574"/>
    <w:rsid w:val="00F046E0"/>
    <w:rsid w:val="00F0518E"/>
    <w:rsid w:val="00F05696"/>
    <w:rsid w:val="00F06C76"/>
    <w:rsid w:val="00F06EC1"/>
    <w:rsid w:val="00F0741A"/>
    <w:rsid w:val="00F10892"/>
    <w:rsid w:val="00F10DE2"/>
    <w:rsid w:val="00F114FC"/>
    <w:rsid w:val="00F11909"/>
    <w:rsid w:val="00F11EF3"/>
    <w:rsid w:val="00F11F11"/>
    <w:rsid w:val="00F12123"/>
    <w:rsid w:val="00F1247A"/>
    <w:rsid w:val="00F1249D"/>
    <w:rsid w:val="00F128E5"/>
    <w:rsid w:val="00F12B1F"/>
    <w:rsid w:val="00F1312B"/>
    <w:rsid w:val="00F1411A"/>
    <w:rsid w:val="00F1431D"/>
    <w:rsid w:val="00F15292"/>
    <w:rsid w:val="00F15462"/>
    <w:rsid w:val="00F1572C"/>
    <w:rsid w:val="00F159CD"/>
    <w:rsid w:val="00F15FE2"/>
    <w:rsid w:val="00F1625F"/>
    <w:rsid w:val="00F16741"/>
    <w:rsid w:val="00F1734E"/>
    <w:rsid w:val="00F21509"/>
    <w:rsid w:val="00F21D6C"/>
    <w:rsid w:val="00F21F93"/>
    <w:rsid w:val="00F2312B"/>
    <w:rsid w:val="00F234ED"/>
    <w:rsid w:val="00F24A25"/>
    <w:rsid w:val="00F24E38"/>
    <w:rsid w:val="00F25365"/>
    <w:rsid w:val="00F2574C"/>
    <w:rsid w:val="00F27A0B"/>
    <w:rsid w:val="00F27DE1"/>
    <w:rsid w:val="00F302BD"/>
    <w:rsid w:val="00F30E78"/>
    <w:rsid w:val="00F30F34"/>
    <w:rsid w:val="00F311DC"/>
    <w:rsid w:val="00F31B9C"/>
    <w:rsid w:val="00F32C11"/>
    <w:rsid w:val="00F33E35"/>
    <w:rsid w:val="00F35D60"/>
    <w:rsid w:val="00F35F1B"/>
    <w:rsid w:val="00F36277"/>
    <w:rsid w:val="00F3655E"/>
    <w:rsid w:val="00F374AB"/>
    <w:rsid w:val="00F3758A"/>
    <w:rsid w:val="00F3769B"/>
    <w:rsid w:val="00F37F59"/>
    <w:rsid w:val="00F40217"/>
    <w:rsid w:val="00F41042"/>
    <w:rsid w:val="00F417AF"/>
    <w:rsid w:val="00F42059"/>
    <w:rsid w:val="00F42918"/>
    <w:rsid w:val="00F42B10"/>
    <w:rsid w:val="00F43610"/>
    <w:rsid w:val="00F43989"/>
    <w:rsid w:val="00F44266"/>
    <w:rsid w:val="00F444B5"/>
    <w:rsid w:val="00F45073"/>
    <w:rsid w:val="00F46480"/>
    <w:rsid w:val="00F47308"/>
    <w:rsid w:val="00F47F7A"/>
    <w:rsid w:val="00F5016F"/>
    <w:rsid w:val="00F501C8"/>
    <w:rsid w:val="00F501EF"/>
    <w:rsid w:val="00F50B50"/>
    <w:rsid w:val="00F513D7"/>
    <w:rsid w:val="00F51B62"/>
    <w:rsid w:val="00F51C00"/>
    <w:rsid w:val="00F52923"/>
    <w:rsid w:val="00F52B16"/>
    <w:rsid w:val="00F53C7E"/>
    <w:rsid w:val="00F54201"/>
    <w:rsid w:val="00F54858"/>
    <w:rsid w:val="00F54F00"/>
    <w:rsid w:val="00F55820"/>
    <w:rsid w:val="00F55AD4"/>
    <w:rsid w:val="00F55E91"/>
    <w:rsid w:val="00F56B72"/>
    <w:rsid w:val="00F56C13"/>
    <w:rsid w:val="00F56F65"/>
    <w:rsid w:val="00F57B29"/>
    <w:rsid w:val="00F57F6D"/>
    <w:rsid w:val="00F6029A"/>
    <w:rsid w:val="00F607C5"/>
    <w:rsid w:val="00F61566"/>
    <w:rsid w:val="00F61CDB"/>
    <w:rsid w:val="00F62662"/>
    <w:rsid w:val="00F62ED7"/>
    <w:rsid w:val="00F63145"/>
    <w:rsid w:val="00F636A0"/>
    <w:rsid w:val="00F63F50"/>
    <w:rsid w:val="00F674D2"/>
    <w:rsid w:val="00F67A10"/>
    <w:rsid w:val="00F67AD1"/>
    <w:rsid w:val="00F70D2C"/>
    <w:rsid w:val="00F7139A"/>
    <w:rsid w:val="00F71DBE"/>
    <w:rsid w:val="00F72F2A"/>
    <w:rsid w:val="00F751EE"/>
    <w:rsid w:val="00F759BC"/>
    <w:rsid w:val="00F800BE"/>
    <w:rsid w:val="00F8028B"/>
    <w:rsid w:val="00F804DA"/>
    <w:rsid w:val="00F80DCD"/>
    <w:rsid w:val="00F80E8C"/>
    <w:rsid w:val="00F81C11"/>
    <w:rsid w:val="00F820B5"/>
    <w:rsid w:val="00F82A88"/>
    <w:rsid w:val="00F8338C"/>
    <w:rsid w:val="00F83D35"/>
    <w:rsid w:val="00F83FB3"/>
    <w:rsid w:val="00F8448C"/>
    <w:rsid w:val="00F8490E"/>
    <w:rsid w:val="00F8519A"/>
    <w:rsid w:val="00F8627B"/>
    <w:rsid w:val="00F86C3A"/>
    <w:rsid w:val="00F86D46"/>
    <w:rsid w:val="00F8771F"/>
    <w:rsid w:val="00F90190"/>
    <w:rsid w:val="00F919C0"/>
    <w:rsid w:val="00F920DD"/>
    <w:rsid w:val="00F922EF"/>
    <w:rsid w:val="00F93270"/>
    <w:rsid w:val="00F935AC"/>
    <w:rsid w:val="00F93A22"/>
    <w:rsid w:val="00F946E3"/>
    <w:rsid w:val="00F95A89"/>
    <w:rsid w:val="00F95D1A"/>
    <w:rsid w:val="00F96395"/>
    <w:rsid w:val="00F96CE1"/>
    <w:rsid w:val="00F97229"/>
    <w:rsid w:val="00F978F3"/>
    <w:rsid w:val="00FA0F74"/>
    <w:rsid w:val="00FA2158"/>
    <w:rsid w:val="00FA37DA"/>
    <w:rsid w:val="00FA5122"/>
    <w:rsid w:val="00FA5520"/>
    <w:rsid w:val="00FA6850"/>
    <w:rsid w:val="00FA6CE1"/>
    <w:rsid w:val="00FA7102"/>
    <w:rsid w:val="00FA764B"/>
    <w:rsid w:val="00FA7813"/>
    <w:rsid w:val="00FB01AE"/>
    <w:rsid w:val="00FB103F"/>
    <w:rsid w:val="00FB1BC3"/>
    <w:rsid w:val="00FB2045"/>
    <w:rsid w:val="00FB2691"/>
    <w:rsid w:val="00FB2AA7"/>
    <w:rsid w:val="00FB3002"/>
    <w:rsid w:val="00FB4569"/>
    <w:rsid w:val="00FB4FEE"/>
    <w:rsid w:val="00FB561A"/>
    <w:rsid w:val="00FB5E17"/>
    <w:rsid w:val="00FB65B4"/>
    <w:rsid w:val="00FB798D"/>
    <w:rsid w:val="00FC0634"/>
    <w:rsid w:val="00FC1F3B"/>
    <w:rsid w:val="00FC269C"/>
    <w:rsid w:val="00FC3230"/>
    <w:rsid w:val="00FC33D5"/>
    <w:rsid w:val="00FC48A2"/>
    <w:rsid w:val="00FC4975"/>
    <w:rsid w:val="00FC4E46"/>
    <w:rsid w:val="00FC62E6"/>
    <w:rsid w:val="00FC63C6"/>
    <w:rsid w:val="00FC69E0"/>
    <w:rsid w:val="00FC7328"/>
    <w:rsid w:val="00FC738F"/>
    <w:rsid w:val="00FD02A1"/>
    <w:rsid w:val="00FD0504"/>
    <w:rsid w:val="00FD0B93"/>
    <w:rsid w:val="00FD1474"/>
    <w:rsid w:val="00FD1AF0"/>
    <w:rsid w:val="00FD2A1C"/>
    <w:rsid w:val="00FD446B"/>
    <w:rsid w:val="00FD4636"/>
    <w:rsid w:val="00FD4E1A"/>
    <w:rsid w:val="00FD5541"/>
    <w:rsid w:val="00FD6A07"/>
    <w:rsid w:val="00FD6CEF"/>
    <w:rsid w:val="00FD6DDF"/>
    <w:rsid w:val="00FE03D4"/>
    <w:rsid w:val="00FE1498"/>
    <w:rsid w:val="00FE2328"/>
    <w:rsid w:val="00FE330A"/>
    <w:rsid w:val="00FE3422"/>
    <w:rsid w:val="00FE3AC1"/>
    <w:rsid w:val="00FE3CDB"/>
    <w:rsid w:val="00FE4D5B"/>
    <w:rsid w:val="00FE54E5"/>
    <w:rsid w:val="00FE74AD"/>
    <w:rsid w:val="00FE7714"/>
    <w:rsid w:val="00FF0305"/>
    <w:rsid w:val="00FF056A"/>
    <w:rsid w:val="00FF1550"/>
    <w:rsid w:val="00FF2070"/>
    <w:rsid w:val="00FF296C"/>
    <w:rsid w:val="00FF4746"/>
    <w:rsid w:val="00FF4D1F"/>
    <w:rsid w:val="00FF6E1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percent:60;mso-height-percent:1000" o:allowincell="f" fillcolor="none [1303]" strokecolor="none [1303]">
      <v:fill color="none [1303]" color2="fill lighten(165)" rotate="t" method="linear sigma" focus="100%" type="gradient"/>
      <v:stroke color="none [1303]" weight="1pt"/>
      <v:imagedata embosscolor="shadow add(51)"/>
      <v:shadow type="perspective" color="none [2408]" origin=",.5" offset="0,-123pt" offset2=",-246pt" matrix=",,,-1"/>
      <o:extrusion v:ext="view" backdepth="0" color="none [1343]" rotationangle="25,25" viewpoint="0,0" viewpointorigin="0,0" skewangle="0" skewamt="0" lightposition="-50000,-50000" lightposition2="50000"/>
      <v:textbox inset="0,1in,1in,1in"/>
    </o:shapedefaults>
    <o:shapelayout v:ext="edit">
      <o:idmap v:ext="edit" data="1"/>
    </o:shapelayout>
  </w:shapeDefaults>
  <w:decimalSymbol w:val="."/>
  <w:listSeparator w:val=","/>
  <w14:docId w14:val="146C2ECC"/>
  <w15:docId w15:val="{D5E4FBB0-CF3D-4EA3-87F9-E1F1D755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BE"/>
    <w:pPr>
      <w:spacing w:after="0" w:line="240" w:lineRule="auto"/>
    </w:pPr>
    <w:rPr>
      <w:rFonts w:ascii="Arial" w:eastAsia="Times New Roman" w:hAnsi="Arial" w:cs="Times New Roman"/>
      <w:szCs w:val="20"/>
    </w:rPr>
  </w:style>
  <w:style w:type="paragraph" w:styleId="Heading1">
    <w:name w:val="heading 1"/>
    <w:basedOn w:val="Normal"/>
    <w:next w:val="Normal"/>
    <w:link w:val="Heading1Char"/>
    <w:autoRedefine/>
    <w:uiPriority w:val="99"/>
    <w:qFormat/>
    <w:rsid w:val="00AA1592"/>
    <w:pPr>
      <w:keepNext/>
      <w:pBdr>
        <w:right w:val="single" w:sz="4" w:space="1" w:color="auto"/>
      </w:pBdr>
      <w:shd w:val="clear" w:color="auto" w:fill="365F91" w:themeFill="accent1" w:themeFillShade="BF"/>
      <w:spacing w:before="240" w:after="240" w:line="360" w:lineRule="auto"/>
      <w:outlineLvl w:val="0"/>
    </w:pPr>
    <w:rPr>
      <w:rFonts w:cs="Arial"/>
      <w:b/>
      <w:bCs/>
      <w:noProof/>
      <w:color w:val="FFFFFF" w:themeColor="background1"/>
      <w:kern w:val="32"/>
      <w:sz w:val="28"/>
      <w:szCs w:val="28"/>
      <w:lang w:eastAsia="en-GB"/>
    </w:rPr>
  </w:style>
  <w:style w:type="paragraph" w:styleId="Heading2">
    <w:name w:val="heading 2"/>
    <w:basedOn w:val="Normal"/>
    <w:next w:val="Normal"/>
    <w:link w:val="Heading2Char"/>
    <w:qFormat/>
    <w:rsid w:val="009F3805"/>
    <w:pPr>
      <w:keepNext/>
      <w:numPr>
        <w:ilvl w:val="1"/>
        <w:numId w:val="1"/>
      </w:numPr>
      <w:spacing w:before="120" w:after="60"/>
      <w:outlineLvl w:val="1"/>
    </w:pPr>
    <w:rPr>
      <w:rFonts w:cs="Arial"/>
      <w:b/>
      <w:bCs/>
      <w:iCs/>
      <w:color w:val="365F91" w:themeColor="accent1" w:themeShade="BF"/>
      <w:sz w:val="28"/>
      <w:szCs w:val="28"/>
    </w:rPr>
  </w:style>
  <w:style w:type="paragraph" w:styleId="Heading3">
    <w:name w:val="heading 3"/>
    <w:basedOn w:val="Normal"/>
    <w:next w:val="Normal"/>
    <w:link w:val="Heading3Char"/>
    <w:uiPriority w:val="9"/>
    <w:qFormat/>
    <w:rsid w:val="00234ABE"/>
    <w:pPr>
      <w:keepNext/>
      <w:numPr>
        <w:ilvl w:val="2"/>
        <w:numId w:val="1"/>
      </w:numPr>
      <w:spacing w:before="240" w:after="60"/>
      <w:outlineLvl w:val="2"/>
    </w:pPr>
    <w:rPr>
      <w:rFonts w:cs="Arial"/>
      <w:b/>
      <w:bCs/>
      <w:color w:val="365F91" w:themeColor="accent1" w:themeShade="BF"/>
      <w:sz w:val="26"/>
      <w:szCs w:val="26"/>
    </w:rPr>
  </w:style>
  <w:style w:type="paragraph" w:styleId="Heading4">
    <w:name w:val="heading 4"/>
    <w:aliases w:val="Sub-Minor,Oscar Faber 4,Te,Te1,Te2,Te3,Te4,Te5,Te6,Te7,Te8,Te9,Te10,Te11,Te91,Te12,Te21,Te31,Te41,Te51,Te61,Te71,Te81,Te92,Te101,Te111,Te911,Te13,Te22,Te32,Te42,Te52,Te62,Te72,Te82,Te93,Te102,Te112,Te912,Te14,Te23,Te33,Te43,Te53,Te63,Te73"/>
    <w:basedOn w:val="Normal"/>
    <w:next w:val="Normal"/>
    <w:link w:val="Heading4Char"/>
    <w:uiPriority w:val="99"/>
    <w:qFormat/>
    <w:rsid w:val="009F3805"/>
    <w:pPr>
      <w:keepNext/>
      <w:numPr>
        <w:ilvl w:val="3"/>
        <w:numId w:val="1"/>
      </w:numPr>
      <w:spacing w:before="120" w:after="60"/>
      <w:outlineLvl w:val="3"/>
    </w:pPr>
    <w:rPr>
      <w:b/>
      <w:bCs/>
      <w:color w:val="365F91" w:themeColor="accent1" w:themeShade="BF"/>
      <w:szCs w:val="28"/>
    </w:rPr>
  </w:style>
  <w:style w:type="paragraph" w:styleId="Heading5">
    <w:name w:val="heading 5"/>
    <w:basedOn w:val="Normal"/>
    <w:next w:val="Normal"/>
    <w:link w:val="Heading5Char"/>
    <w:uiPriority w:val="99"/>
    <w:qFormat/>
    <w:rsid w:val="00234AB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234ABE"/>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234AB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234AB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234ABE"/>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A1592"/>
    <w:rPr>
      <w:rFonts w:ascii="Arial" w:eastAsia="Times New Roman" w:hAnsi="Arial" w:cs="Arial"/>
      <w:b/>
      <w:bCs/>
      <w:noProof/>
      <w:color w:val="FFFFFF" w:themeColor="background1"/>
      <w:kern w:val="32"/>
      <w:sz w:val="28"/>
      <w:szCs w:val="28"/>
      <w:shd w:val="clear" w:color="auto" w:fill="365F91" w:themeFill="accent1" w:themeFillShade="BF"/>
      <w:lang w:eastAsia="en-GB"/>
    </w:rPr>
  </w:style>
  <w:style w:type="character" w:customStyle="1" w:styleId="Heading2Char">
    <w:name w:val="Heading 2 Char"/>
    <w:basedOn w:val="DefaultParagraphFont"/>
    <w:link w:val="Heading2"/>
    <w:rsid w:val="009F3805"/>
    <w:rPr>
      <w:rFonts w:ascii="Arial" w:eastAsia="Times New Roman" w:hAnsi="Arial" w:cs="Arial"/>
      <w:b/>
      <w:bCs/>
      <w:iCs/>
      <w:color w:val="365F91" w:themeColor="accent1" w:themeShade="BF"/>
      <w:sz w:val="28"/>
      <w:szCs w:val="28"/>
    </w:rPr>
  </w:style>
  <w:style w:type="character" w:customStyle="1" w:styleId="Heading3Char">
    <w:name w:val="Heading 3 Char"/>
    <w:basedOn w:val="DefaultParagraphFont"/>
    <w:link w:val="Heading3"/>
    <w:uiPriority w:val="9"/>
    <w:rsid w:val="00234ABE"/>
    <w:rPr>
      <w:rFonts w:ascii="Arial" w:eastAsia="Times New Roman" w:hAnsi="Arial" w:cs="Arial"/>
      <w:b/>
      <w:bCs/>
      <w:color w:val="365F91" w:themeColor="accent1" w:themeShade="BF"/>
      <w:sz w:val="26"/>
      <w:szCs w:val="26"/>
    </w:rPr>
  </w:style>
  <w:style w:type="character" w:customStyle="1" w:styleId="Heading4Char">
    <w:name w:val="Heading 4 Char"/>
    <w:aliases w:val="Sub-Minor Char,Oscar Faber 4 Char,Te Char,Te1 Char,Te2 Char,Te3 Char,Te4 Char,Te5 Char,Te6 Char,Te7 Char,Te8 Char,Te9 Char,Te10 Char,Te11 Char,Te91 Char,Te12 Char,Te21 Char,Te31 Char,Te41 Char,Te51 Char,Te61 Char,Te71 Char,Te81 Char"/>
    <w:basedOn w:val="DefaultParagraphFont"/>
    <w:link w:val="Heading4"/>
    <w:uiPriority w:val="99"/>
    <w:rsid w:val="009F3805"/>
    <w:rPr>
      <w:rFonts w:ascii="Arial" w:eastAsia="Times New Roman" w:hAnsi="Arial" w:cs="Times New Roman"/>
      <w:b/>
      <w:bCs/>
      <w:color w:val="365F91" w:themeColor="accent1" w:themeShade="BF"/>
      <w:szCs w:val="28"/>
    </w:rPr>
  </w:style>
  <w:style w:type="character" w:customStyle="1" w:styleId="Heading5Char">
    <w:name w:val="Heading 5 Char"/>
    <w:basedOn w:val="DefaultParagraphFont"/>
    <w:link w:val="Heading5"/>
    <w:uiPriority w:val="99"/>
    <w:rsid w:val="00234AB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234ABE"/>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234AB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234AB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234ABE"/>
    <w:rPr>
      <w:rFonts w:ascii="Arial" w:eastAsia="Times New Roman" w:hAnsi="Arial" w:cs="Arial"/>
    </w:rPr>
  </w:style>
  <w:style w:type="paragraph" w:styleId="Header">
    <w:name w:val="header"/>
    <w:basedOn w:val="Normal"/>
    <w:link w:val="HeaderChar"/>
    <w:uiPriority w:val="99"/>
    <w:rsid w:val="00234ABE"/>
    <w:pPr>
      <w:tabs>
        <w:tab w:val="center" w:pos="4320"/>
        <w:tab w:val="right" w:pos="8640"/>
      </w:tabs>
    </w:pPr>
  </w:style>
  <w:style w:type="character" w:customStyle="1" w:styleId="HeaderChar">
    <w:name w:val="Header Char"/>
    <w:basedOn w:val="DefaultParagraphFont"/>
    <w:link w:val="Header"/>
    <w:uiPriority w:val="99"/>
    <w:rsid w:val="00234ABE"/>
    <w:rPr>
      <w:rFonts w:ascii="Arial" w:eastAsia="Times New Roman" w:hAnsi="Arial" w:cs="Times New Roman"/>
      <w:szCs w:val="20"/>
      <w:lang w:val="en-US"/>
    </w:rPr>
  </w:style>
  <w:style w:type="paragraph" w:styleId="Footer">
    <w:name w:val="footer"/>
    <w:basedOn w:val="Normal"/>
    <w:link w:val="FooterChar"/>
    <w:uiPriority w:val="99"/>
    <w:rsid w:val="00234ABE"/>
    <w:pPr>
      <w:tabs>
        <w:tab w:val="center" w:pos="4320"/>
        <w:tab w:val="right" w:pos="8640"/>
      </w:tabs>
    </w:pPr>
  </w:style>
  <w:style w:type="character" w:customStyle="1" w:styleId="FooterChar">
    <w:name w:val="Footer Char"/>
    <w:basedOn w:val="DefaultParagraphFont"/>
    <w:link w:val="Footer"/>
    <w:uiPriority w:val="99"/>
    <w:rsid w:val="00234ABE"/>
    <w:rPr>
      <w:rFonts w:ascii="Arial" w:eastAsia="Times New Roman" w:hAnsi="Arial" w:cs="Times New Roman"/>
      <w:szCs w:val="20"/>
      <w:lang w:val="en-US"/>
    </w:rPr>
  </w:style>
  <w:style w:type="paragraph" w:styleId="ListParagraph">
    <w:name w:val="List Paragraph"/>
    <w:aliases w:val="F5 List Paragraph,List Paragraph2,MAIN CONTENT,List Paragraph12,Dot pt,List Paragraph1,Colorful List - Accent 11,List Paragraph Char Char Char,Indicator Text,Numbered Para 1,Bullet Points,Bullet 1,Normal numbered,OBC Bullet,L"/>
    <w:basedOn w:val="Normal"/>
    <w:link w:val="ListParagraphChar"/>
    <w:uiPriority w:val="34"/>
    <w:qFormat/>
    <w:rsid w:val="00234ABE"/>
    <w:pPr>
      <w:ind w:left="720"/>
    </w:pPr>
    <w:rPr>
      <w:sz w:val="24"/>
    </w:rPr>
  </w:style>
  <w:style w:type="character" w:styleId="Hyperlink">
    <w:name w:val="Hyperlink"/>
    <w:basedOn w:val="DefaultParagraphFont"/>
    <w:uiPriority w:val="99"/>
    <w:rsid w:val="00234ABE"/>
    <w:rPr>
      <w:color w:val="0000FF"/>
      <w:u w:val="single"/>
    </w:rPr>
  </w:style>
  <w:style w:type="paragraph" w:styleId="TOC1">
    <w:name w:val="toc 1"/>
    <w:basedOn w:val="Normal"/>
    <w:next w:val="Normal"/>
    <w:autoRedefine/>
    <w:uiPriority w:val="39"/>
    <w:rsid w:val="00234ABE"/>
    <w:pPr>
      <w:spacing w:after="100"/>
    </w:pPr>
  </w:style>
  <w:style w:type="paragraph" w:styleId="TOC2">
    <w:name w:val="toc 2"/>
    <w:basedOn w:val="Normal"/>
    <w:next w:val="Normal"/>
    <w:autoRedefine/>
    <w:uiPriority w:val="39"/>
    <w:rsid w:val="00234ABE"/>
    <w:pPr>
      <w:spacing w:after="100"/>
      <w:ind w:left="200"/>
    </w:pPr>
  </w:style>
  <w:style w:type="paragraph" w:styleId="Title">
    <w:name w:val="Title"/>
    <w:basedOn w:val="Normal"/>
    <w:next w:val="Normal"/>
    <w:link w:val="TitleChar"/>
    <w:uiPriority w:val="99"/>
    <w:qFormat/>
    <w:rsid w:val="00FE4D5B"/>
    <w:pPr>
      <w:pBdr>
        <w:bottom w:val="single" w:sz="8" w:space="4" w:color="4F81BD" w:themeColor="accent1"/>
      </w:pBdr>
      <w:spacing w:after="300"/>
      <w:contextualSpacing/>
    </w:pPr>
    <w:rPr>
      <w:rFonts w:eastAsiaTheme="majorEastAsia" w:cstheme="majorBidi"/>
      <w:b/>
      <w:color w:val="365F91" w:themeColor="accent1" w:themeShade="BF"/>
      <w:spacing w:val="5"/>
      <w:kern w:val="28"/>
      <w:sz w:val="40"/>
      <w:szCs w:val="52"/>
    </w:rPr>
  </w:style>
  <w:style w:type="character" w:customStyle="1" w:styleId="TitleChar">
    <w:name w:val="Title Char"/>
    <w:basedOn w:val="DefaultParagraphFont"/>
    <w:link w:val="Title"/>
    <w:uiPriority w:val="99"/>
    <w:rsid w:val="00FE4D5B"/>
    <w:rPr>
      <w:rFonts w:ascii="Arial" w:eastAsiaTheme="majorEastAsia" w:hAnsi="Arial" w:cstheme="majorBidi"/>
      <w:b/>
      <w:color w:val="365F91" w:themeColor="accent1" w:themeShade="BF"/>
      <w:spacing w:val="5"/>
      <w:kern w:val="28"/>
      <w:sz w:val="40"/>
      <w:szCs w:val="52"/>
      <w:lang w:val="en-US"/>
    </w:rPr>
  </w:style>
  <w:style w:type="paragraph" w:styleId="Subtitle">
    <w:name w:val="Subtitle"/>
    <w:basedOn w:val="Normal"/>
    <w:next w:val="Normal"/>
    <w:link w:val="SubtitleChar"/>
    <w:qFormat/>
    <w:rsid w:val="00234A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34ABE"/>
    <w:rPr>
      <w:rFonts w:asciiTheme="majorHAnsi" w:eastAsiaTheme="majorEastAsia" w:hAnsiTheme="majorHAnsi" w:cstheme="majorBidi"/>
      <w:i/>
      <w:iCs/>
      <w:color w:val="4F81BD" w:themeColor="accent1"/>
      <w:spacing w:val="15"/>
      <w:sz w:val="24"/>
      <w:szCs w:val="24"/>
      <w:lang w:val="en-US"/>
    </w:rPr>
  </w:style>
  <w:style w:type="character" w:styleId="Emphasis">
    <w:name w:val="Emphasis"/>
    <w:basedOn w:val="DefaultParagraphFont"/>
    <w:uiPriority w:val="20"/>
    <w:qFormat/>
    <w:rsid w:val="000E713E"/>
    <w:rPr>
      <w:rFonts w:ascii="Arial" w:hAnsi="Arial"/>
      <w:i/>
      <w:iCs/>
      <w:color w:val="365F91" w:themeColor="accent1" w:themeShade="BF"/>
      <w:sz w:val="22"/>
    </w:rPr>
  </w:style>
  <w:style w:type="character" w:styleId="BookTitle">
    <w:name w:val="Book Title"/>
    <w:basedOn w:val="DefaultParagraphFont"/>
    <w:uiPriority w:val="33"/>
    <w:qFormat/>
    <w:rsid w:val="00234ABE"/>
    <w:rPr>
      <w:b/>
      <w:bCs/>
      <w:smallCaps/>
      <w:spacing w:val="5"/>
    </w:rPr>
  </w:style>
  <w:style w:type="paragraph" w:styleId="BalloonText">
    <w:name w:val="Balloon Text"/>
    <w:basedOn w:val="Normal"/>
    <w:link w:val="BalloonTextChar"/>
    <w:uiPriority w:val="99"/>
    <w:unhideWhenUsed/>
    <w:rsid w:val="00234ABE"/>
    <w:rPr>
      <w:rFonts w:ascii="Tahoma" w:hAnsi="Tahoma" w:cs="Tahoma"/>
      <w:sz w:val="16"/>
      <w:szCs w:val="16"/>
    </w:rPr>
  </w:style>
  <w:style w:type="character" w:customStyle="1" w:styleId="BalloonTextChar">
    <w:name w:val="Balloon Text Char"/>
    <w:basedOn w:val="DefaultParagraphFont"/>
    <w:link w:val="BalloonText"/>
    <w:uiPriority w:val="99"/>
    <w:rsid w:val="00234ABE"/>
    <w:rPr>
      <w:rFonts w:ascii="Tahoma" w:eastAsia="Times New Roman" w:hAnsi="Tahoma" w:cs="Tahoma"/>
      <w:sz w:val="16"/>
      <w:szCs w:val="16"/>
      <w:lang w:val="en-US"/>
    </w:rPr>
  </w:style>
  <w:style w:type="paragraph" w:styleId="TOC3">
    <w:name w:val="toc 3"/>
    <w:basedOn w:val="Normal"/>
    <w:next w:val="Normal"/>
    <w:autoRedefine/>
    <w:uiPriority w:val="39"/>
    <w:unhideWhenUsed/>
    <w:rsid w:val="00234ABE"/>
    <w:pPr>
      <w:spacing w:after="100"/>
      <w:ind w:left="440"/>
    </w:pPr>
  </w:style>
  <w:style w:type="character" w:styleId="Strong">
    <w:name w:val="Strong"/>
    <w:basedOn w:val="DefaultParagraphFont"/>
    <w:uiPriority w:val="22"/>
    <w:qFormat/>
    <w:rsid w:val="000A09BA"/>
    <w:rPr>
      <w:b/>
      <w:bCs/>
    </w:rPr>
  </w:style>
  <w:style w:type="paragraph" w:styleId="NoSpacing">
    <w:name w:val="No Spacing"/>
    <w:uiPriority w:val="1"/>
    <w:qFormat/>
    <w:rsid w:val="0045709B"/>
    <w:pPr>
      <w:spacing w:after="0" w:line="240" w:lineRule="auto"/>
    </w:pPr>
    <w:rPr>
      <w:rFonts w:ascii="Arial" w:eastAsia="Times New Roman" w:hAnsi="Arial" w:cs="Times New Roman"/>
      <w:sz w:val="24"/>
      <w:szCs w:val="20"/>
    </w:rPr>
  </w:style>
  <w:style w:type="paragraph" w:customStyle="1" w:styleId="xl74">
    <w:name w:val="xl74"/>
    <w:basedOn w:val="Normal"/>
    <w:rsid w:val="00450A4B"/>
    <w:pPr>
      <w:spacing w:before="100" w:beforeAutospacing="1" w:after="100" w:afterAutospacing="1"/>
    </w:pPr>
    <w:rPr>
      <w:rFonts w:cs="Arial"/>
      <w:b/>
      <w:bCs/>
      <w:sz w:val="24"/>
      <w:szCs w:val="24"/>
      <w:lang w:eastAsia="en-GB"/>
    </w:rPr>
  </w:style>
  <w:style w:type="paragraph" w:customStyle="1" w:styleId="xl75">
    <w:name w:val="xl75"/>
    <w:basedOn w:val="Normal"/>
    <w:rsid w:val="00450A4B"/>
    <w:pPr>
      <w:spacing w:before="100" w:beforeAutospacing="1" w:after="100" w:afterAutospacing="1"/>
      <w:jc w:val="center"/>
    </w:pPr>
    <w:rPr>
      <w:rFonts w:cs="Arial"/>
      <w:b/>
      <w:bCs/>
      <w:sz w:val="24"/>
      <w:szCs w:val="24"/>
      <w:lang w:eastAsia="en-GB"/>
    </w:rPr>
  </w:style>
  <w:style w:type="paragraph" w:customStyle="1" w:styleId="xl76">
    <w:name w:val="xl76"/>
    <w:basedOn w:val="Normal"/>
    <w:rsid w:val="00450A4B"/>
    <w:pPr>
      <w:spacing w:before="100" w:beforeAutospacing="1" w:after="100" w:afterAutospacing="1"/>
    </w:pPr>
    <w:rPr>
      <w:rFonts w:cs="Arial"/>
      <w:sz w:val="24"/>
      <w:szCs w:val="24"/>
      <w:lang w:eastAsia="en-GB"/>
    </w:rPr>
  </w:style>
  <w:style w:type="paragraph" w:customStyle="1" w:styleId="xl77">
    <w:name w:val="xl77"/>
    <w:basedOn w:val="Normal"/>
    <w:rsid w:val="00450A4B"/>
    <w:pPr>
      <w:spacing w:before="100" w:beforeAutospacing="1" w:after="100" w:afterAutospacing="1"/>
    </w:pPr>
    <w:rPr>
      <w:rFonts w:cs="Arial"/>
      <w:sz w:val="24"/>
      <w:szCs w:val="24"/>
      <w:lang w:eastAsia="en-GB"/>
    </w:rPr>
  </w:style>
  <w:style w:type="paragraph" w:customStyle="1" w:styleId="xl78">
    <w:name w:val="xl78"/>
    <w:basedOn w:val="Normal"/>
    <w:rsid w:val="00450A4B"/>
    <w:pPr>
      <w:spacing w:before="100" w:beforeAutospacing="1" w:after="100" w:afterAutospacing="1"/>
      <w:jc w:val="center"/>
    </w:pPr>
    <w:rPr>
      <w:rFonts w:cs="Arial"/>
      <w:sz w:val="24"/>
      <w:szCs w:val="24"/>
      <w:lang w:eastAsia="en-GB"/>
    </w:rPr>
  </w:style>
  <w:style w:type="paragraph" w:customStyle="1" w:styleId="xl79">
    <w:name w:val="xl79"/>
    <w:basedOn w:val="Normal"/>
    <w:rsid w:val="00450A4B"/>
    <w:pPr>
      <w:pBdr>
        <w:top w:val="single" w:sz="4" w:space="0" w:color="auto"/>
        <w:left w:val="single" w:sz="4" w:space="0" w:color="auto"/>
      </w:pBdr>
      <w:spacing w:before="100" w:beforeAutospacing="1" w:after="100" w:afterAutospacing="1"/>
    </w:pPr>
    <w:rPr>
      <w:rFonts w:cs="Arial"/>
      <w:b/>
      <w:bCs/>
      <w:sz w:val="24"/>
      <w:szCs w:val="24"/>
      <w:lang w:eastAsia="en-GB"/>
    </w:rPr>
  </w:style>
  <w:style w:type="paragraph" w:customStyle="1" w:styleId="xl80">
    <w:name w:val="xl80"/>
    <w:basedOn w:val="Normal"/>
    <w:rsid w:val="00450A4B"/>
    <w:pPr>
      <w:pBdr>
        <w:top w:val="single" w:sz="4" w:space="0" w:color="auto"/>
        <w:left w:val="single" w:sz="4" w:space="0" w:color="auto"/>
      </w:pBdr>
      <w:spacing w:before="100" w:beforeAutospacing="1" w:after="100" w:afterAutospacing="1"/>
      <w:jc w:val="center"/>
    </w:pPr>
    <w:rPr>
      <w:rFonts w:cs="Arial"/>
      <w:b/>
      <w:bCs/>
      <w:sz w:val="24"/>
      <w:szCs w:val="24"/>
      <w:lang w:eastAsia="en-GB"/>
    </w:rPr>
  </w:style>
  <w:style w:type="paragraph" w:customStyle="1" w:styleId="xl81">
    <w:name w:val="xl81"/>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82">
    <w:name w:val="xl82"/>
    <w:basedOn w:val="Normal"/>
    <w:rsid w:val="00450A4B"/>
    <w:pPr>
      <w:pBdr>
        <w:top w:val="single" w:sz="4" w:space="0" w:color="auto"/>
      </w:pBdr>
      <w:spacing w:before="100" w:beforeAutospacing="1" w:after="100" w:afterAutospacing="1"/>
      <w:jc w:val="center"/>
    </w:pPr>
    <w:rPr>
      <w:rFonts w:cs="Arial"/>
      <w:b/>
      <w:bCs/>
      <w:sz w:val="24"/>
      <w:szCs w:val="24"/>
      <w:lang w:eastAsia="en-GB"/>
    </w:rPr>
  </w:style>
  <w:style w:type="paragraph" w:customStyle="1" w:styleId="xl83">
    <w:name w:val="xl83"/>
    <w:basedOn w:val="Normal"/>
    <w:rsid w:val="00450A4B"/>
    <w:pPr>
      <w:pBdr>
        <w:top w:val="single" w:sz="4" w:space="0" w:color="auto"/>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4">
    <w:name w:val="xl84"/>
    <w:basedOn w:val="Normal"/>
    <w:rsid w:val="00450A4B"/>
    <w:pPr>
      <w:pBdr>
        <w:top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5">
    <w:name w:val="xl85"/>
    <w:basedOn w:val="Normal"/>
    <w:rsid w:val="00450A4B"/>
    <w:pPr>
      <w:pBdr>
        <w:left w:val="single" w:sz="4" w:space="0" w:color="auto"/>
      </w:pBdr>
      <w:spacing w:before="100" w:beforeAutospacing="1" w:after="100" w:afterAutospacing="1"/>
    </w:pPr>
    <w:rPr>
      <w:rFonts w:cs="Arial"/>
      <w:b/>
      <w:bCs/>
      <w:sz w:val="24"/>
      <w:szCs w:val="24"/>
      <w:lang w:eastAsia="en-GB"/>
    </w:rPr>
  </w:style>
  <w:style w:type="paragraph" w:customStyle="1" w:styleId="xl86">
    <w:name w:val="xl86"/>
    <w:basedOn w:val="Normal"/>
    <w:rsid w:val="00450A4B"/>
    <w:pPr>
      <w:pBdr>
        <w:left w:val="single" w:sz="4" w:space="0" w:color="auto"/>
      </w:pBdr>
      <w:spacing w:before="100" w:beforeAutospacing="1" w:after="100" w:afterAutospacing="1"/>
      <w:jc w:val="center"/>
    </w:pPr>
    <w:rPr>
      <w:rFonts w:cs="Arial"/>
      <w:b/>
      <w:bCs/>
      <w:sz w:val="24"/>
      <w:szCs w:val="24"/>
      <w:lang w:eastAsia="en-GB"/>
    </w:rPr>
  </w:style>
  <w:style w:type="paragraph" w:customStyle="1" w:styleId="xl87">
    <w:name w:val="xl8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88">
    <w:name w:val="xl88"/>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9">
    <w:name w:val="xl89"/>
    <w:basedOn w:val="Normal"/>
    <w:rsid w:val="00450A4B"/>
    <w:pPr>
      <w:pBdr>
        <w:right w:val="single" w:sz="4" w:space="0" w:color="auto"/>
      </w:pBdr>
      <w:spacing w:before="100" w:beforeAutospacing="1" w:after="100" w:afterAutospacing="1"/>
      <w:jc w:val="center"/>
    </w:pPr>
    <w:rPr>
      <w:rFonts w:cs="Arial"/>
      <w:b/>
      <w:bCs/>
      <w:sz w:val="24"/>
      <w:szCs w:val="24"/>
      <w:lang w:eastAsia="en-GB"/>
    </w:rPr>
  </w:style>
  <w:style w:type="paragraph" w:customStyle="1" w:styleId="xl90">
    <w:name w:val="xl90"/>
    <w:basedOn w:val="Normal"/>
    <w:rsid w:val="00450A4B"/>
    <w:pPr>
      <w:pBdr>
        <w:left w:val="single" w:sz="4" w:space="0" w:color="auto"/>
        <w:bottom w:val="single" w:sz="4" w:space="0" w:color="auto"/>
      </w:pBdr>
      <w:spacing w:before="100" w:beforeAutospacing="1" w:after="100" w:afterAutospacing="1"/>
    </w:pPr>
    <w:rPr>
      <w:rFonts w:cs="Arial"/>
      <w:b/>
      <w:bCs/>
      <w:sz w:val="24"/>
      <w:szCs w:val="24"/>
      <w:lang w:eastAsia="en-GB"/>
    </w:rPr>
  </w:style>
  <w:style w:type="paragraph" w:customStyle="1" w:styleId="xl91">
    <w:name w:val="xl91"/>
    <w:basedOn w:val="Normal"/>
    <w:rsid w:val="00450A4B"/>
    <w:pPr>
      <w:pBdr>
        <w:left w:val="single" w:sz="4" w:space="0" w:color="auto"/>
        <w:bottom w:val="single" w:sz="4" w:space="0" w:color="auto"/>
      </w:pBdr>
      <w:spacing w:before="100" w:beforeAutospacing="1" w:after="100" w:afterAutospacing="1"/>
      <w:jc w:val="center"/>
    </w:pPr>
    <w:rPr>
      <w:rFonts w:cs="Arial"/>
      <w:b/>
      <w:bCs/>
      <w:sz w:val="24"/>
      <w:szCs w:val="24"/>
      <w:lang w:eastAsia="en-GB"/>
    </w:rPr>
  </w:style>
  <w:style w:type="paragraph" w:customStyle="1" w:styleId="xl92">
    <w:name w:val="xl92"/>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93">
    <w:name w:val="xl93"/>
    <w:basedOn w:val="Normal"/>
    <w:rsid w:val="00450A4B"/>
    <w:pPr>
      <w:pBdr>
        <w:bottom w:val="single" w:sz="4" w:space="0" w:color="auto"/>
      </w:pBdr>
      <w:spacing w:before="100" w:beforeAutospacing="1" w:after="100" w:afterAutospacing="1"/>
      <w:jc w:val="center"/>
    </w:pPr>
    <w:rPr>
      <w:rFonts w:cs="Arial"/>
      <w:b/>
      <w:bCs/>
      <w:sz w:val="24"/>
      <w:szCs w:val="24"/>
      <w:lang w:eastAsia="en-GB"/>
    </w:rPr>
  </w:style>
  <w:style w:type="paragraph" w:customStyle="1" w:styleId="xl94">
    <w:name w:val="xl94"/>
    <w:basedOn w:val="Normal"/>
    <w:rsid w:val="00450A4B"/>
    <w:pPr>
      <w:pBdr>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95">
    <w:name w:val="xl95"/>
    <w:basedOn w:val="Normal"/>
    <w:rsid w:val="00450A4B"/>
    <w:pPr>
      <w:pBdr>
        <w:bottom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96">
    <w:name w:val="xl96"/>
    <w:basedOn w:val="Normal"/>
    <w:rsid w:val="00450A4B"/>
    <w:pPr>
      <w:pBdr>
        <w:top w:val="single" w:sz="4" w:space="0" w:color="auto"/>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97">
    <w:name w:val="xl97"/>
    <w:basedOn w:val="Normal"/>
    <w:rsid w:val="00450A4B"/>
    <w:pPr>
      <w:pBdr>
        <w:top w:val="single" w:sz="4" w:space="0" w:color="auto"/>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98">
    <w:name w:val="xl98"/>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99">
    <w:name w:val="xl99"/>
    <w:basedOn w:val="Normal"/>
    <w:rsid w:val="00450A4B"/>
    <w:pPr>
      <w:pBdr>
        <w:left w:val="single" w:sz="4" w:space="0" w:color="auto"/>
        <w:right w:val="single" w:sz="4" w:space="0" w:color="auto"/>
      </w:pBdr>
      <w:spacing w:before="100" w:beforeAutospacing="1" w:after="100" w:afterAutospacing="1"/>
    </w:pPr>
    <w:rPr>
      <w:rFonts w:cs="Arial"/>
      <w:b/>
      <w:bCs/>
      <w:sz w:val="24"/>
      <w:szCs w:val="24"/>
      <w:u w:val="single"/>
      <w:lang w:eastAsia="en-GB"/>
    </w:rPr>
  </w:style>
  <w:style w:type="paragraph" w:customStyle="1" w:styleId="xl100">
    <w:name w:val="xl10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01">
    <w:name w:val="xl101"/>
    <w:basedOn w:val="Normal"/>
    <w:rsid w:val="00450A4B"/>
    <w:pPr>
      <w:pBdr>
        <w:right w:val="single" w:sz="4" w:space="0" w:color="auto"/>
      </w:pBdr>
      <w:spacing w:before="100" w:beforeAutospacing="1" w:after="100" w:afterAutospacing="1"/>
      <w:jc w:val="center"/>
    </w:pPr>
    <w:rPr>
      <w:rFonts w:cs="Arial"/>
      <w:sz w:val="24"/>
      <w:szCs w:val="24"/>
      <w:lang w:eastAsia="en-GB"/>
    </w:rPr>
  </w:style>
  <w:style w:type="paragraph" w:customStyle="1" w:styleId="xl102">
    <w:name w:val="xl102"/>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03">
    <w:name w:val="xl103"/>
    <w:basedOn w:val="Normal"/>
    <w:rsid w:val="00450A4B"/>
    <w:pPr>
      <w:spacing w:before="100" w:beforeAutospacing="1" w:after="100" w:afterAutospacing="1"/>
    </w:pPr>
    <w:rPr>
      <w:rFonts w:cs="Arial"/>
      <w:sz w:val="24"/>
      <w:szCs w:val="24"/>
      <w:lang w:eastAsia="en-GB"/>
    </w:rPr>
  </w:style>
  <w:style w:type="paragraph" w:customStyle="1" w:styleId="xl104">
    <w:name w:val="xl104"/>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05">
    <w:name w:val="xl105"/>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06">
    <w:name w:val="xl106"/>
    <w:basedOn w:val="Normal"/>
    <w:rsid w:val="00450A4B"/>
    <w:pPr>
      <w:pBdr>
        <w:right w:val="single" w:sz="4" w:space="0" w:color="auto"/>
      </w:pBdr>
      <w:spacing w:before="100" w:beforeAutospacing="1" w:after="100" w:afterAutospacing="1"/>
    </w:pPr>
    <w:rPr>
      <w:rFonts w:cs="Arial"/>
      <w:sz w:val="24"/>
      <w:szCs w:val="24"/>
      <w:lang w:eastAsia="en-GB"/>
    </w:rPr>
  </w:style>
  <w:style w:type="paragraph" w:customStyle="1" w:styleId="xl107">
    <w:name w:val="xl107"/>
    <w:basedOn w:val="Normal"/>
    <w:rsid w:val="00450A4B"/>
    <w:pPr>
      <w:pBdr>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08">
    <w:name w:val="xl108"/>
    <w:basedOn w:val="Normal"/>
    <w:rsid w:val="00450A4B"/>
    <w:pPr>
      <w:pBdr>
        <w:right w:val="single" w:sz="4" w:space="0" w:color="auto"/>
      </w:pBdr>
      <w:spacing w:before="100" w:beforeAutospacing="1" w:after="100" w:afterAutospacing="1"/>
    </w:pPr>
    <w:rPr>
      <w:rFonts w:cs="Arial"/>
      <w:b/>
      <w:bCs/>
      <w:sz w:val="24"/>
      <w:szCs w:val="24"/>
      <w:u w:val="single"/>
      <w:lang w:eastAsia="en-GB"/>
    </w:rPr>
  </w:style>
  <w:style w:type="paragraph" w:customStyle="1" w:styleId="xl109">
    <w:name w:val="xl109"/>
    <w:basedOn w:val="Normal"/>
    <w:rsid w:val="00450A4B"/>
    <w:pPr>
      <w:pBdr>
        <w:right w:val="single" w:sz="4" w:space="0" w:color="auto"/>
      </w:pBdr>
      <w:spacing w:before="100" w:beforeAutospacing="1" w:after="100" w:afterAutospacing="1"/>
      <w:jc w:val="center"/>
    </w:pPr>
    <w:rPr>
      <w:rFonts w:cs="Arial"/>
      <w:sz w:val="24"/>
      <w:szCs w:val="24"/>
      <w:lang w:eastAsia="en-GB"/>
    </w:rPr>
  </w:style>
  <w:style w:type="paragraph" w:customStyle="1" w:styleId="xl110">
    <w:name w:val="xl110"/>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11">
    <w:name w:val="xl111"/>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12">
    <w:name w:val="xl112"/>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13">
    <w:name w:val="xl113"/>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14">
    <w:name w:val="xl114"/>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5">
    <w:name w:val="xl115"/>
    <w:basedOn w:val="Normal"/>
    <w:rsid w:val="00450A4B"/>
    <w:pPr>
      <w:pBdr>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6">
    <w:name w:val="xl116"/>
    <w:basedOn w:val="Normal"/>
    <w:rsid w:val="00450A4B"/>
    <w:pPr>
      <w:pBdr>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7">
    <w:name w:val="xl117"/>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18">
    <w:name w:val="xl118"/>
    <w:basedOn w:val="Normal"/>
    <w:rsid w:val="00450A4B"/>
    <w:pPr>
      <w:pBdr>
        <w:left w:val="single" w:sz="4" w:space="0" w:color="auto"/>
        <w:right w:val="single" w:sz="4" w:space="0" w:color="auto"/>
      </w:pBdr>
      <w:spacing w:before="100" w:beforeAutospacing="1" w:after="100" w:afterAutospacing="1"/>
    </w:pPr>
    <w:rPr>
      <w:rFonts w:cs="Arial"/>
      <w:b/>
      <w:bCs/>
      <w:sz w:val="24"/>
      <w:szCs w:val="24"/>
      <w:u w:val="single"/>
      <w:lang w:eastAsia="en-GB"/>
    </w:rPr>
  </w:style>
  <w:style w:type="paragraph" w:customStyle="1" w:styleId="xl119">
    <w:name w:val="xl119"/>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u w:val="single"/>
      <w:lang w:eastAsia="en-GB"/>
    </w:rPr>
  </w:style>
  <w:style w:type="paragraph" w:customStyle="1" w:styleId="xl120">
    <w:name w:val="xl12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21">
    <w:name w:val="xl121"/>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22">
    <w:name w:val="xl122"/>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23">
    <w:name w:val="xl123"/>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24">
    <w:name w:val="xl124"/>
    <w:basedOn w:val="Normal"/>
    <w:rsid w:val="00450A4B"/>
    <w:pPr>
      <w:pBdr>
        <w:right w:val="single" w:sz="4" w:space="0" w:color="auto"/>
      </w:pBdr>
      <w:spacing w:before="100" w:beforeAutospacing="1" w:after="100" w:afterAutospacing="1"/>
      <w:jc w:val="center"/>
    </w:pPr>
    <w:rPr>
      <w:rFonts w:cs="Arial"/>
      <w:b/>
      <w:bCs/>
      <w:sz w:val="24"/>
      <w:szCs w:val="24"/>
      <w:lang w:eastAsia="en-GB"/>
    </w:rPr>
  </w:style>
  <w:style w:type="paragraph" w:customStyle="1" w:styleId="xl125">
    <w:name w:val="xl125"/>
    <w:basedOn w:val="Normal"/>
    <w:rsid w:val="00450A4B"/>
    <w:pPr>
      <w:spacing w:before="100" w:beforeAutospacing="1" w:after="100" w:afterAutospacing="1"/>
    </w:pPr>
    <w:rPr>
      <w:rFonts w:cs="Arial"/>
      <w:b/>
      <w:bCs/>
      <w:sz w:val="24"/>
      <w:szCs w:val="24"/>
      <w:lang w:eastAsia="en-GB"/>
    </w:rPr>
  </w:style>
  <w:style w:type="paragraph" w:customStyle="1" w:styleId="xl126">
    <w:name w:val="xl126"/>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27">
    <w:name w:val="xl127"/>
    <w:basedOn w:val="Normal"/>
    <w:rsid w:val="00450A4B"/>
    <w:pPr>
      <w:pBdr>
        <w:right w:val="single" w:sz="4" w:space="0" w:color="auto"/>
      </w:pBdr>
      <w:spacing w:before="100" w:beforeAutospacing="1" w:after="100" w:afterAutospacing="1"/>
    </w:pPr>
    <w:rPr>
      <w:rFonts w:cs="Arial"/>
      <w:sz w:val="24"/>
      <w:szCs w:val="24"/>
      <w:lang w:eastAsia="en-GB"/>
    </w:rPr>
  </w:style>
  <w:style w:type="paragraph" w:customStyle="1" w:styleId="xl128">
    <w:name w:val="xl128"/>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29">
    <w:name w:val="xl129"/>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0">
    <w:name w:val="xl130"/>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31">
    <w:name w:val="xl131"/>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2">
    <w:name w:val="xl132"/>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33">
    <w:name w:val="xl133"/>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34">
    <w:name w:val="xl134"/>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sz w:val="24"/>
      <w:szCs w:val="24"/>
      <w:lang w:eastAsia="en-GB"/>
    </w:rPr>
  </w:style>
  <w:style w:type="paragraph" w:customStyle="1" w:styleId="xl135">
    <w:name w:val="xl135"/>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6">
    <w:name w:val="xl136"/>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u w:val="single"/>
      <w:lang w:eastAsia="en-GB"/>
    </w:rPr>
  </w:style>
  <w:style w:type="paragraph" w:customStyle="1" w:styleId="xl137">
    <w:name w:val="xl13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38">
    <w:name w:val="xl138"/>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39">
    <w:name w:val="xl139"/>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40">
    <w:name w:val="xl14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41">
    <w:name w:val="xl141"/>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42">
    <w:name w:val="xl142"/>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43">
    <w:name w:val="xl143"/>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144">
    <w:name w:val="xl144"/>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45">
    <w:name w:val="xl145"/>
    <w:basedOn w:val="Normal"/>
    <w:rsid w:val="00450A4B"/>
    <w:pPr>
      <w:spacing w:before="100" w:beforeAutospacing="1" w:after="100" w:afterAutospacing="1"/>
      <w:jc w:val="center"/>
    </w:pPr>
    <w:rPr>
      <w:rFonts w:cs="Arial"/>
      <w:sz w:val="24"/>
      <w:szCs w:val="24"/>
      <w:lang w:eastAsia="en-GB"/>
    </w:rPr>
  </w:style>
  <w:style w:type="paragraph" w:customStyle="1" w:styleId="xl146">
    <w:name w:val="xl146"/>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47">
    <w:name w:val="xl14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48">
    <w:name w:val="xl148"/>
    <w:basedOn w:val="Normal"/>
    <w:rsid w:val="00450A4B"/>
    <w:pPr>
      <w:shd w:val="clear" w:color="000000" w:fill="FFFF00"/>
      <w:spacing w:before="100" w:beforeAutospacing="1" w:after="100" w:afterAutospacing="1"/>
      <w:jc w:val="center"/>
    </w:pPr>
    <w:rPr>
      <w:rFonts w:cs="Arial"/>
      <w:sz w:val="24"/>
      <w:szCs w:val="24"/>
      <w:lang w:eastAsia="en-GB"/>
    </w:rPr>
  </w:style>
  <w:style w:type="paragraph" w:customStyle="1" w:styleId="xl149">
    <w:name w:val="xl149"/>
    <w:basedOn w:val="Normal"/>
    <w:rsid w:val="00450A4B"/>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Default">
    <w:name w:val="Default"/>
    <w:link w:val="DefaultChar"/>
    <w:rsid w:val="0068306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ommentText">
    <w:name w:val="annotation text"/>
    <w:basedOn w:val="Normal"/>
    <w:link w:val="CommentTextChar"/>
    <w:uiPriority w:val="99"/>
    <w:unhideWhenUsed/>
    <w:rsid w:val="00224170"/>
    <w:rPr>
      <w:sz w:val="20"/>
    </w:rPr>
  </w:style>
  <w:style w:type="character" w:customStyle="1" w:styleId="CommentTextChar">
    <w:name w:val="Comment Text Char"/>
    <w:basedOn w:val="DefaultParagraphFont"/>
    <w:link w:val="CommentText"/>
    <w:uiPriority w:val="99"/>
    <w:rsid w:val="00224170"/>
    <w:rPr>
      <w:rFonts w:ascii="Arial" w:eastAsia="Times New Roman" w:hAnsi="Arial" w:cs="Times New Roman"/>
      <w:sz w:val="20"/>
      <w:szCs w:val="20"/>
      <w:lang w:val="en-US"/>
    </w:rPr>
  </w:style>
  <w:style w:type="character" w:customStyle="1" w:styleId="CommentSubjectChar">
    <w:name w:val="Comment Subject Char"/>
    <w:basedOn w:val="CommentTextChar"/>
    <w:link w:val="CommentSubject"/>
    <w:uiPriority w:val="99"/>
    <w:rsid w:val="00224170"/>
    <w:rPr>
      <w:rFonts w:ascii="Arial" w:eastAsia="Times New Roman" w:hAnsi="Arial" w:cs="Times New Roman"/>
      <w:b/>
      <w:bCs/>
      <w:sz w:val="20"/>
      <w:szCs w:val="20"/>
      <w:lang w:val="en-US"/>
    </w:rPr>
  </w:style>
  <w:style w:type="paragraph" w:styleId="CommentSubject">
    <w:name w:val="annotation subject"/>
    <w:basedOn w:val="CommentText"/>
    <w:next w:val="CommentText"/>
    <w:link w:val="CommentSubjectChar"/>
    <w:uiPriority w:val="99"/>
    <w:unhideWhenUsed/>
    <w:rsid w:val="00224170"/>
    <w:rPr>
      <w:b/>
      <w:bCs/>
    </w:rPr>
  </w:style>
  <w:style w:type="paragraph" w:styleId="Caption">
    <w:name w:val="caption"/>
    <w:basedOn w:val="Normal"/>
    <w:next w:val="Normal"/>
    <w:uiPriority w:val="35"/>
    <w:unhideWhenUsed/>
    <w:qFormat/>
    <w:rsid w:val="00834162"/>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99"/>
    <w:rsid w:val="000960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E1F4F"/>
    <w:rPr>
      <w:sz w:val="16"/>
      <w:szCs w:val="16"/>
    </w:rPr>
  </w:style>
  <w:style w:type="paragraph" w:styleId="NormalWeb">
    <w:name w:val="Normal (Web)"/>
    <w:basedOn w:val="Normal"/>
    <w:uiPriority w:val="99"/>
    <w:unhideWhenUsed/>
    <w:rsid w:val="00286139"/>
    <w:pPr>
      <w:spacing w:before="100" w:beforeAutospacing="1" w:after="100" w:afterAutospacing="1"/>
    </w:pPr>
    <w:rPr>
      <w:rFonts w:ascii="Times New Roman" w:hAnsi="Times New Roman"/>
      <w:sz w:val="24"/>
      <w:szCs w:val="24"/>
      <w:lang w:eastAsia="en-GB"/>
    </w:rPr>
  </w:style>
  <w:style w:type="paragraph" w:customStyle="1" w:styleId="NoSpacing1">
    <w:name w:val="No Spacing1"/>
    <w:link w:val="NoSpacingChar"/>
    <w:uiPriority w:val="1"/>
    <w:qFormat/>
    <w:rsid w:val="00024F25"/>
    <w:pPr>
      <w:spacing w:after="0" w:line="240" w:lineRule="auto"/>
    </w:pPr>
    <w:rPr>
      <w:rFonts w:ascii="Calibri" w:eastAsia="Calibri" w:hAnsi="Calibri" w:cs="Times New Roman"/>
    </w:rPr>
  </w:style>
  <w:style w:type="character" w:customStyle="1" w:styleId="NoSpacingChar">
    <w:name w:val="No Spacing Char"/>
    <w:link w:val="NoSpacing1"/>
    <w:uiPriority w:val="1"/>
    <w:rsid w:val="00024F25"/>
    <w:rPr>
      <w:rFonts w:ascii="Calibri" w:eastAsia="Calibri" w:hAnsi="Calibri" w:cs="Times New Roman"/>
    </w:rPr>
  </w:style>
  <w:style w:type="character" w:customStyle="1" w:styleId="ListParagraphChar">
    <w:name w:val="List Paragraph Char"/>
    <w:aliases w:val="F5 List Paragraph Char,List Paragraph2 Char,MAIN CONTENT Char,List Paragraph12 Char,Dot pt Char,List Paragraph1 Char,Colorful List - Accent 11 Char,List Paragraph Char Char Char Char,Indicator Text Char,Numbered Para 1 Char,L Char"/>
    <w:link w:val="ListParagraph"/>
    <w:uiPriority w:val="34"/>
    <w:qFormat/>
    <w:locked/>
    <w:rsid w:val="009206B3"/>
    <w:rPr>
      <w:rFonts w:ascii="Arial" w:eastAsia="Times New Roman" w:hAnsi="Arial" w:cs="Times New Roman"/>
      <w:sz w:val="24"/>
      <w:szCs w:val="20"/>
    </w:rPr>
  </w:style>
  <w:style w:type="paragraph" w:styleId="BodyTextIndent2">
    <w:name w:val="Body Text Indent 2"/>
    <w:basedOn w:val="Normal"/>
    <w:link w:val="BodyTextIndent2Char"/>
    <w:uiPriority w:val="99"/>
    <w:rsid w:val="00242DC2"/>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242DC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40704"/>
    <w:pPr>
      <w:spacing w:after="120"/>
      <w:ind w:left="283"/>
    </w:pPr>
  </w:style>
  <w:style w:type="character" w:customStyle="1" w:styleId="BodyTextIndentChar">
    <w:name w:val="Body Text Indent Char"/>
    <w:basedOn w:val="DefaultParagraphFont"/>
    <w:link w:val="BodyTextIndent"/>
    <w:uiPriority w:val="99"/>
    <w:rsid w:val="00D40704"/>
    <w:rPr>
      <w:rFonts w:ascii="Arial" w:eastAsia="Times New Roman" w:hAnsi="Arial" w:cs="Times New Roman"/>
      <w:szCs w:val="20"/>
    </w:rPr>
  </w:style>
  <w:style w:type="character" w:styleId="PageNumber">
    <w:name w:val="page number"/>
    <w:basedOn w:val="DefaultParagraphFont"/>
    <w:uiPriority w:val="99"/>
    <w:rsid w:val="00D40704"/>
  </w:style>
  <w:style w:type="paragraph" w:styleId="DocumentMap">
    <w:name w:val="Document Map"/>
    <w:basedOn w:val="Normal"/>
    <w:link w:val="DocumentMapChar"/>
    <w:uiPriority w:val="99"/>
    <w:semiHidden/>
    <w:rsid w:val="00D4070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40704"/>
    <w:rPr>
      <w:rFonts w:ascii="Tahoma" w:eastAsia="Times New Roman" w:hAnsi="Tahoma" w:cs="Tahoma"/>
      <w:sz w:val="20"/>
      <w:szCs w:val="20"/>
      <w:shd w:val="clear" w:color="auto" w:fill="000080"/>
    </w:rPr>
  </w:style>
  <w:style w:type="paragraph" w:styleId="BodyTextIndent3">
    <w:name w:val="Body Text Indent 3"/>
    <w:basedOn w:val="Normal"/>
    <w:link w:val="BodyTextIndent3Char"/>
    <w:rsid w:val="00D40704"/>
    <w:pPr>
      <w:spacing w:after="120"/>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D40704"/>
    <w:rPr>
      <w:rFonts w:ascii="Times New Roman" w:eastAsia="Times New Roman" w:hAnsi="Times New Roman" w:cs="Times New Roman"/>
      <w:sz w:val="16"/>
      <w:szCs w:val="16"/>
    </w:rPr>
  </w:style>
  <w:style w:type="paragraph" w:styleId="BodyText">
    <w:name w:val="Body Text"/>
    <w:basedOn w:val="Normal"/>
    <w:link w:val="BodyTextChar"/>
    <w:uiPriority w:val="1"/>
    <w:qFormat/>
    <w:rsid w:val="00D40704"/>
    <w:pPr>
      <w:spacing w:after="120"/>
    </w:pPr>
    <w:rPr>
      <w:rFonts w:ascii="Times New Roman" w:hAnsi="Times New Roman"/>
      <w:sz w:val="24"/>
      <w:szCs w:val="24"/>
    </w:rPr>
  </w:style>
  <w:style w:type="character" w:customStyle="1" w:styleId="BodyTextChar">
    <w:name w:val="Body Text Char"/>
    <w:basedOn w:val="DefaultParagraphFont"/>
    <w:link w:val="BodyText"/>
    <w:uiPriority w:val="1"/>
    <w:rsid w:val="00D40704"/>
    <w:rPr>
      <w:rFonts w:ascii="Times New Roman" w:eastAsia="Times New Roman" w:hAnsi="Times New Roman" w:cs="Times New Roman"/>
      <w:sz w:val="24"/>
      <w:szCs w:val="24"/>
    </w:rPr>
  </w:style>
  <w:style w:type="paragraph" w:styleId="BodyText2">
    <w:name w:val="Body Text 2"/>
    <w:basedOn w:val="Normal"/>
    <w:link w:val="BodyText2Char"/>
    <w:uiPriority w:val="99"/>
    <w:rsid w:val="00D40704"/>
    <w:pPr>
      <w:jc w:val="center"/>
    </w:pPr>
    <w:rPr>
      <w:rFonts w:cs="Arial"/>
      <w:b/>
      <w:bCs/>
      <w:sz w:val="24"/>
      <w:szCs w:val="24"/>
    </w:rPr>
  </w:style>
  <w:style w:type="character" w:customStyle="1" w:styleId="BodyText2Char">
    <w:name w:val="Body Text 2 Char"/>
    <w:basedOn w:val="DefaultParagraphFont"/>
    <w:link w:val="BodyText2"/>
    <w:uiPriority w:val="99"/>
    <w:rsid w:val="00D40704"/>
    <w:rPr>
      <w:rFonts w:ascii="Arial" w:eastAsia="Times New Roman" w:hAnsi="Arial" w:cs="Arial"/>
      <w:b/>
      <w:bCs/>
      <w:sz w:val="24"/>
      <w:szCs w:val="24"/>
    </w:rPr>
  </w:style>
  <w:style w:type="paragraph" w:customStyle="1" w:styleId="Pa3">
    <w:name w:val="Pa3"/>
    <w:basedOn w:val="Normal"/>
    <w:next w:val="Normal"/>
    <w:uiPriority w:val="99"/>
    <w:rsid w:val="00D40704"/>
    <w:pPr>
      <w:autoSpaceDE w:val="0"/>
      <w:autoSpaceDN w:val="0"/>
      <w:adjustRightInd w:val="0"/>
      <w:spacing w:after="220" w:line="201" w:lineRule="atLeast"/>
    </w:pPr>
    <w:rPr>
      <w:rFonts w:ascii="Univers" w:hAnsi="Univers"/>
      <w:sz w:val="24"/>
      <w:szCs w:val="24"/>
      <w:lang w:val="en-US"/>
    </w:rPr>
  </w:style>
  <w:style w:type="character" w:customStyle="1" w:styleId="CharChar4">
    <w:name w:val="Char Char4"/>
    <w:basedOn w:val="DefaultParagraphFont"/>
    <w:uiPriority w:val="99"/>
    <w:locked/>
    <w:rsid w:val="00D40704"/>
    <w:rPr>
      <w:rFonts w:cs="Times New Roman"/>
      <w:iCs/>
      <w:sz w:val="24"/>
      <w:szCs w:val="24"/>
      <w:lang w:eastAsia="en-US"/>
    </w:rPr>
  </w:style>
  <w:style w:type="character" w:customStyle="1" w:styleId="CharChar6">
    <w:name w:val="Char Char6"/>
    <w:basedOn w:val="DefaultParagraphFont"/>
    <w:uiPriority w:val="99"/>
    <w:locked/>
    <w:rsid w:val="00D40704"/>
    <w:rPr>
      <w:rFonts w:cs="Times New Roman"/>
      <w:iCs/>
      <w:sz w:val="24"/>
      <w:szCs w:val="24"/>
      <w:lang w:eastAsia="en-US"/>
    </w:rPr>
  </w:style>
  <w:style w:type="paragraph" w:customStyle="1" w:styleId="TableBullet2">
    <w:name w:val="Table Bullet 2"/>
    <w:basedOn w:val="Normal"/>
    <w:qFormat/>
    <w:rsid w:val="00D40704"/>
    <w:pPr>
      <w:numPr>
        <w:numId w:val="3"/>
      </w:numPr>
    </w:pPr>
    <w:rPr>
      <w:rFonts w:asciiTheme="minorHAnsi" w:hAnsiTheme="minorHAnsi"/>
      <w:sz w:val="18"/>
      <w:szCs w:val="18"/>
    </w:rPr>
  </w:style>
  <w:style w:type="table" w:customStyle="1" w:styleId="TableStyle1">
    <w:name w:val="Table Style1"/>
    <w:basedOn w:val="TableNormal"/>
    <w:rsid w:val="00F0741A"/>
    <w:pPr>
      <w:spacing w:after="0" w:line="240" w:lineRule="auto"/>
    </w:pPr>
    <w:rPr>
      <w:rFonts w:ascii="Times New Roman" w:eastAsia="Times New Roman" w:hAnsi="Times New Roman" w:cs="Times New Roman"/>
      <w:sz w:val="20"/>
      <w:szCs w:val="20"/>
      <w:lang w:eastAsia="en-GB"/>
    </w:rPr>
    <w:tblPr/>
  </w:style>
  <w:style w:type="table" w:styleId="TableList3">
    <w:name w:val="Table List 3"/>
    <w:basedOn w:val="TableNormal"/>
    <w:rsid w:val="00F0741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F0741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F0741A"/>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Style2">
    <w:name w:val="Table Style2"/>
    <w:basedOn w:val="TableGrid"/>
    <w:rsid w:val="00F0741A"/>
    <w:tblPr/>
  </w:style>
  <w:style w:type="character" w:customStyle="1" w:styleId="y0nh2b">
    <w:name w:val="y0nh2b"/>
    <w:basedOn w:val="DefaultParagraphFont"/>
    <w:rsid w:val="00936AB9"/>
  </w:style>
  <w:style w:type="paragraph" w:customStyle="1" w:styleId="BodyText1">
    <w:name w:val="Body Text1"/>
    <w:basedOn w:val="Normal"/>
    <w:rsid w:val="00632915"/>
    <w:rPr>
      <w:sz w:val="24"/>
      <w:lang w:eastAsia="en-GB"/>
    </w:rPr>
  </w:style>
  <w:style w:type="paragraph" w:customStyle="1" w:styleId="BodyText10">
    <w:name w:val="Body Text1"/>
    <w:basedOn w:val="Normal"/>
    <w:rsid w:val="00632915"/>
    <w:rPr>
      <w:sz w:val="24"/>
      <w:lang w:eastAsia="en-GB"/>
    </w:rPr>
  </w:style>
  <w:style w:type="paragraph" w:customStyle="1" w:styleId="BodyText20">
    <w:name w:val="Body Text2"/>
    <w:basedOn w:val="Normal"/>
    <w:rsid w:val="00830ED8"/>
    <w:rPr>
      <w:sz w:val="24"/>
      <w:lang w:eastAsia="en-GB"/>
    </w:rPr>
  </w:style>
  <w:style w:type="paragraph" w:styleId="Revision">
    <w:name w:val="Revision"/>
    <w:hidden/>
    <w:uiPriority w:val="99"/>
    <w:semiHidden/>
    <w:rsid w:val="002A4EB1"/>
    <w:pPr>
      <w:spacing w:after="0" w:line="240" w:lineRule="auto"/>
    </w:pPr>
    <w:rPr>
      <w:rFonts w:ascii="Arial" w:eastAsia="Times New Roman" w:hAnsi="Arial" w:cs="Times New Roman"/>
      <w:szCs w:val="20"/>
    </w:rPr>
  </w:style>
  <w:style w:type="character" w:styleId="FollowedHyperlink">
    <w:name w:val="FollowedHyperlink"/>
    <w:basedOn w:val="DefaultParagraphFont"/>
    <w:uiPriority w:val="99"/>
    <w:rsid w:val="00DE65C0"/>
    <w:rPr>
      <w:rFonts w:cs="Times New Roman"/>
      <w:color w:val="606420"/>
      <w:u w:val="single"/>
    </w:rPr>
  </w:style>
  <w:style w:type="character" w:customStyle="1" w:styleId="header3">
    <w:name w:val="header3"/>
    <w:basedOn w:val="DefaultParagraphFont"/>
    <w:uiPriority w:val="99"/>
    <w:rsid w:val="00DE65C0"/>
    <w:rPr>
      <w:rFonts w:cs="Times New Roman"/>
      <w:b/>
      <w:bCs/>
      <w:color w:val="05265C"/>
      <w:sz w:val="24"/>
      <w:szCs w:val="24"/>
    </w:rPr>
  </w:style>
  <w:style w:type="paragraph" w:styleId="FootnoteText">
    <w:name w:val="footnote text"/>
    <w:basedOn w:val="Normal"/>
    <w:link w:val="FootnoteTextChar"/>
    <w:uiPriority w:val="99"/>
    <w:semiHidden/>
    <w:rsid w:val="00DE65C0"/>
    <w:pPr>
      <w:tabs>
        <w:tab w:val="left" w:pos="720"/>
        <w:tab w:val="left" w:pos="1440"/>
        <w:tab w:val="left" w:pos="2160"/>
        <w:tab w:val="left" w:pos="2880"/>
        <w:tab w:val="left" w:pos="4680"/>
        <w:tab w:val="left" w:pos="5400"/>
        <w:tab w:val="right" w:pos="9000"/>
      </w:tabs>
      <w:spacing w:line="240" w:lineRule="atLeast"/>
      <w:jc w:val="both"/>
    </w:pPr>
    <w:rPr>
      <w:sz w:val="20"/>
      <w:lang w:eastAsia="en-GB"/>
    </w:rPr>
  </w:style>
  <w:style w:type="character" w:customStyle="1" w:styleId="FootnoteTextChar">
    <w:name w:val="Footnote Text Char"/>
    <w:basedOn w:val="DefaultParagraphFont"/>
    <w:link w:val="FootnoteText"/>
    <w:uiPriority w:val="99"/>
    <w:semiHidden/>
    <w:rsid w:val="00DE65C0"/>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DE65C0"/>
    <w:rPr>
      <w:rFonts w:cs="Times New Roman"/>
      <w:vertAlign w:val="superscript"/>
    </w:rPr>
  </w:style>
  <w:style w:type="table" w:customStyle="1" w:styleId="TableGrid1">
    <w:name w:val="Table Grid1"/>
    <w:uiPriority w:val="99"/>
    <w:rsid w:val="00DE65C0"/>
    <w:pPr>
      <w:spacing w:after="0" w:line="240" w:lineRule="auto"/>
    </w:pPr>
    <w:rPr>
      <w:rFonts w:ascii="Arial" w:eastAsia="Times New Roman" w:hAnsi="Arial" w:cs="Times New Roman"/>
      <w:sz w:val="24"/>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DE65C0"/>
    <w:pPr>
      <w:ind w:left="720"/>
    </w:pPr>
    <w:rPr>
      <w:rFonts w:ascii="Calibri" w:hAnsi="Calibri"/>
      <w:szCs w:val="22"/>
      <w:lang w:eastAsia="en-GB"/>
    </w:rPr>
  </w:style>
  <w:style w:type="character" w:styleId="HTMLCite">
    <w:name w:val="HTML Cite"/>
    <w:basedOn w:val="DefaultParagraphFont"/>
    <w:uiPriority w:val="99"/>
    <w:semiHidden/>
    <w:rsid w:val="00DE65C0"/>
    <w:rPr>
      <w:rFonts w:cs="Times New Roman"/>
      <w:i/>
      <w:iCs/>
    </w:rPr>
  </w:style>
  <w:style w:type="character" w:customStyle="1" w:styleId="DefaultChar">
    <w:name w:val="Default Char"/>
    <w:basedOn w:val="DefaultParagraphFont"/>
    <w:link w:val="Default"/>
    <w:locked/>
    <w:rsid w:val="00DE65C0"/>
    <w:rPr>
      <w:rFonts w:ascii="Arial" w:eastAsia="Times New Roman" w:hAnsi="Arial" w:cs="Arial"/>
      <w:color w:val="000000"/>
      <w:sz w:val="24"/>
      <w:szCs w:val="24"/>
      <w:lang w:eastAsia="en-GB"/>
    </w:rPr>
  </w:style>
  <w:style w:type="character" w:customStyle="1" w:styleId="EmailStyle42">
    <w:name w:val="EmailStyle42"/>
    <w:basedOn w:val="DefaultParagraphFont"/>
    <w:uiPriority w:val="99"/>
    <w:semiHidden/>
    <w:rsid w:val="00DE65C0"/>
    <w:rPr>
      <w:rFonts w:ascii="Arial" w:hAnsi="Arial" w:cs="Arial"/>
      <w:color w:val="000080"/>
      <w:sz w:val="20"/>
      <w:szCs w:val="20"/>
    </w:rPr>
  </w:style>
  <w:style w:type="character" w:customStyle="1" w:styleId="A3">
    <w:name w:val="A3"/>
    <w:uiPriority w:val="99"/>
    <w:rsid w:val="00DE65C0"/>
    <w:rPr>
      <w:color w:val="000000"/>
      <w:sz w:val="22"/>
    </w:rPr>
  </w:style>
  <w:style w:type="table" w:customStyle="1" w:styleId="TableGrid2">
    <w:name w:val="Table Grid2"/>
    <w:basedOn w:val="TableNormal"/>
    <w:next w:val="TableGrid"/>
    <w:uiPriority w:val="59"/>
    <w:rsid w:val="00FA0F7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8076">
      <w:bodyDiv w:val="1"/>
      <w:marLeft w:val="0"/>
      <w:marRight w:val="0"/>
      <w:marTop w:val="0"/>
      <w:marBottom w:val="0"/>
      <w:divBdr>
        <w:top w:val="none" w:sz="0" w:space="0" w:color="auto"/>
        <w:left w:val="none" w:sz="0" w:space="0" w:color="auto"/>
        <w:bottom w:val="none" w:sz="0" w:space="0" w:color="auto"/>
        <w:right w:val="none" w:sz="0" w:space="0" w:color="auto"/>
      </w:divBdr>
    </w:div>
    <w:div w:id="83578705">
      <w:bodyDiv w:val="1"/>
      <w:marLeft w:val="0"/>
      <w:marRight w:val="0"/>
      <w:marTop w:val="0"/>
      <w:marBottom w:val="0"/>
      <w:divBdr>
        <w:top w:val="none" w:sz="0" w:space="0" w:color="auto"/>
        <w:left w:val="none" w:sz="0" w:space="0" w:color="auto"/>
        <w:bottom w:val="none" w:sz="0" w:space="0" w:color="auto"/>
        <w:right w:val="none" w:sz="0" w:space="0" w:color="auto"/>
      </w:divBdr>
    </w:div>
    <w:div w:id="124156679">
      <w:bodyDiv w:val="1"/>
      <w:marLeft w:val="0"/>
      <w:marRight w:val="0"/>
      <w:marTop w:val="0"/>
      <w:marBottom w:val="0"/>
      <w:divBdr>
        <w:top w:val="none" w:sz="0" w:space="0" w:color="auto"/>
        <w:left w:val="none" w:sz="0" w:space="0" w:color="auto"/>
        <w:bottom w:val="none" w:sz="0" w:space="0" w:color="auto"/>
        <w:right w:val="none" w:sz="0" w:space="0" w:color="auto"/>
      </w:divBdr>
    </w:div>
    <w:div w:id="200896850">
      <w:bodyDiv w:val="1"/>
      <w:marLeft w:val="0"/>
      <w:marRight w:val="0"/>
      <w:marTop w:val="0"/>
      <w:marBottom w:val="0"/>
      <w:divBdr>
        <w:top w:val="none" w:sz="0" w:space="0" w:color="auto"/>
        <w:left w:val="none" w:sz="0" w:space="0" w:color="auto"/>
        <w:bottom w:val="none" w:sz="0" w:space="0" w:color="auto"/>
        <w:right w:val="none" w:sz="0" w:space="0" w:color="auto"/>
      </w:divBdr>
    </w:div>
    <w:div w:id="213002974">
      <w:bodyDiv w:val="1"/>
      <w:marLeft w:val="0"/>
      <w:marRight w:val="0"/>
      <w:marTop w:val="0"/>
      <w:marBottom w:val="0"/>
      <w:divBdr>
        <w:top w:val="none" w:sz="0" w:space="0" w:color="auto"/>
        <w:left w:val="none" w:sz="0" w:space="0" w:color="auto"/>
        <w:bottom w:val="none" w:sz="0" w:space="0" w:color="auto"/>
        <w:right w:val="none" w:sz="0" w:space="0" w:color="auto"/>
      </w:divBdr>
    </w:div>
    <w:div w:id="357237629">
      <w:bodyDiv w:val="1"/>
      <w:marLeft w:val="0"/>
      <w:marRight w:val="0"/>
      <w:marTop w:val="0"/>
      <w:marBottom w:val="0"/>
      <w:divBdr>
        <w:top w:val="none" w:sz="0" w:space="0" w:color="auto"/>
        <w:left w:val="none" w:sz="0" w:space="0" w:color="auto"/>
        <w:bottom w:val="none" w:sz="0" w:space="0" w:color="auto"/>
        <w:right w:val="none" w:sz="0" w:space="0" w:color="auto"/>
      </w:divBdr>
    </w:div>
    <w:div w:id="402022396">
      <w:bodyDiv w:val="1"/>
      <w:marLeft w:val="0"/>
      <w:marRight w:val="0"/>
      <w:marTop w:val="0"/>
      <w:marBottom w:val="0"/>
      <w:divBdr>
        <w:top w:val="none" w:sz="0" w:space="0" w:color="auto"/>
        <w:left w:val="none" w:sz="0" w:space="0" w:color="auto"/>
        <w:bottom w:val="none" w:sz="0" w:space="0" w:color="auto"/>
        <w:right w:val="none" w:sz="0" w:space="0" w:color="auto"/>
      </w:divBdr>
    </w:div>
    <w:div w:id="462231145">
      <w:bodyDiv w:val="1"/>
      <w:marLeft w:val="0"/>
      <w:marRight w:val="0"/>
      <w:marTop w:val="0"/>
      <w:marBottom w:val="0"/>
      <w:divBdr>
        <w:top w:val="none" w:sz="0" w:space="0" w:color="auto"/>
        <w:left w:val="none" w:sz="0" w:space="0" w:color="auto"/>
        <w:bottom w:val="none" w:sz="0" w:space="0" w:color="auto"/>
        <w:right w:val="none" w:sz="0" w:space="0" w:color="auto"/>
      </w:divBdr>
    </w:div>
    <w:div w:id="554201265">
      <w:bodyDiv w:val="1"/>
      <w:marLeft w:val="0"/>
      <w:marRight w:val="0"/>
      <w:marTop w:val="0"/>
      <w:marBottom w:val="0"/>
      <w:divBdr>
        <w:top w:val="none" w:sz="0" w:space="0" w:color="auto"/>
        <w:left w:val="none" w:sz="0" w:space="0" w:color="auto"/>
        <w:bottom w:val="none" w:sz="0" w:space="0" w:color="auto"/>
        <w:right w:val="none" w:sz="0" w:space="0" w:color="auto"/>
      </w:divBdr>
    </w:div>
    <w:div w:id="557522276">
      <w:bodyDiv w:val="1"/>
      <w:marLeft w:val="0"/>
      <w:marRight w:val="0"/>
      <w:marTop w:val="0"/>
      <w:marBottom w:val="0"/>
      <w:divBdr>
        <w:top w:val="none" w:sz="0" w:space="0" w:color="auto"/>
        <w:left w:val="none" w:sz="0" w:space="0" w:color="auto"/>
        <w:bottom w:val="none" w:sz="0" w:space="0" w:color="auto"/>
        <w:right w:val="none" w:sz="0" w:space="0" w:color="auto"/>
      </w:divBdr>
    </w:div>
    <w:div w:id="610162808">
      <w:bodyDiv w:val="1"/>
      <w:marLeft w:val="0"/>
      <w:marRight w:val="0"/>
      <w:marTop w:val="0"/>
      <w:marBottom w:val="0"/>
      <w:divBdr>
        <w:top w:val="none" w:sz="0" w:space="0" w:color="auto"/>
        <w:left w:val="none" w:sz="0" w:space="0" w:color="auto"/>
        <w:bottom w:val="none" w:sz="0" w:space="0" w:color="auto"/>
        <w:right w:val="none" w:sz="0" w:space="0" w:color="auto"/>
      </w:divBdr>
    </w:div>
    <w:div w:id="669674612">
      <w:bodyDiv w:val="1"/>
      <w:marLeft w:val="0"/>
      <w:marRight w:val="0"/>
      <w:marTop w:val="0"/>
      <w:marBottom w:val="0"/>
      <w:divBdr>
        <w:top w:val="none" w:sz="0" w:space="0" w:color="auto"/>
        <w:left w:val="none" w:sz="0" w:space="0" w:color="auto"/>
        <w:bottom w:val="none" w:sz="0" w:space="0" w:color="auto"/>
        <w:right w:val="none" w:sz="0" w:space="0" w:color="auto"/>
      </w:divBdr>
    </w:div>
    <w:div w:id="1018238346">
      <w:bodyDiv w:val="1"/>
      <w:marLeft w:val="0"/>
      <w:marRight w:val="0"/>
      <w:marTop w:val="0"/>
      <w:marBottom w:val="0"/>
      <w:divBdr>
        <w:top w:val="none" w:sz="0" w:space="0" w:color="auto"/>
        <w:left w:val="none" w:sz="0" w:space="0" w:color="auto"/>
        <w:bottom w:val="none" w:sz="0" w:space="0" w:color="auto"/>
        <w:right w:val="none" w:sz="0" w:space="0" w:color="auto"/>
      </w:divBdr>
    </w:div>
    <w:div w:id="1053849540">
      <w:bodyDiv w:val="1"/>
      <w:marLeft w:val="0"/>
      <w:marRight w:val="0"/>
      <w:marTop w:val="0"/>
      <w:marBottom w:val="0"/>
      <w:divBdr>
        <w:top w:val="none" w:sz="0" w:space="0" w:color="auto"/>
        <w:left w:val="none" w:sz="0" w:space="0" w:color="auto"/>
        <w:bottom w:val="none" w:sz="0" w:space="0" w:color="auto"/>
        <w:right w:val="none" w:sz="0" w:space="0" w:color="auto"/>
      </w:divBdr>
    </w:div>
    <w:div w:id="1072898336">
      <w:bodyDiv w:val="1"/>
      <w:marLeft w:val="0"/>
      <w:marRight w:val="0"/>
      <w:marTop w:val="0"/>
      <w:marBottom w:val="0"/>
      <w:divBdr>
        <w:top w:val="none" w:sz="0" w:space="0" w:color="auto"/>
        <w:left w:val="none" w:sz="0" w:space="0" w:color="auto"/>
        <w:bottom w:val="none" w:sz="0" w:space="0" w:color="auto"/>
        <w:right w:val="none" w:sz="0" w:space="0" w:color="auto"/>
      </w:divBdr>
    </w:div>
    <w:div w:id="1232083999">
      <w:bodyDiv w:val="1"/>
      <w:marLeft w:val="0"/>
      <w:marRight w:val="0"/>
      <w:marTop w:val="0"/>
      <w:marBottom w:val="0"/>
      <w:divBdr>
        <w:top w:val="none" w:sz="0" w:space="0" w:color="auto"/>
        <w:left w:val="none" w:sz="0" w:space="0" w:color="auto"/>
        <w:bottom w:val="none" w:sz="0" w:space="0" w:color="auto"/>
        <w:right w:val="none" w:sz="0" w:space="0" w:color="auto"/>
      </w:divBdr>
    </w:div>
    <w:div w:id="1285035547">
      <w:bodyDiv w:val="1"/>
      <w:marLeft w:val="0"/>
      <w:marRight w:val="0"/>
      <w:marTop w:val="0"/>
      <w:marBottom w:val="0"/>
      <w:divBdr>
        <w:top w:val="none" w:sz="0" w:space="0" w:color="auto"/>
        <w:left w:val="none" w:sz="0" w:space="0" w:color="auto"/>
        <w:bottom w:val="none" w:sz="0" w:space="0" w:color="auto"/>
        <w:right w:val="none" w:sz="0" w:space="0" w:color="auto"/>
      </w:divBdr>
    </w:div>
    <w:div w:id="1431658754">
      <w:bodyDiv w:val="1"/>
      <w:marLeft w:val="0"/>
      <w:marRight w:val="0"/>
      <w:marTop w:val="0"/>
      <w:marBottom w:val="0"/>
      <w:divBdr>
        <w:top w:val="none" w:sz="0" w:space="0" w:color="auto"/>
        <w:left w:val="none" w:sz="0" w:space="0" w:color="auto"/>
        <w:bottom w:val="none" w:sz="0" w:space="0" w:color="auto"/>
        <w:right w:val="none" w:sz="0" w:space="0" w:color="auto"/>
      </w:divBdr>
    </w:div>
    <w:div w:id="1452357359">
      <w:bodyDiv w:val="1"/>
      <w:marLeft w:val="0"/>
      <w:marRight w:val="0"/>
      <w:marTop w:val="0"/>
      <w:marBottom w:val="0"/>
      <w:divBdr>
        <w:top w:val="none" w:sz="0" w:space="0" w:color="auto"/>
        <w:left w:val="none" w:sz="0" w:space="0" w:color="auto"/>
        <w:bottom w:val="none" w:sz="0" w:space="0" w:color="auto"/>
        <w:right w:val="none" w:sz="0" w:space="0" w:color="auto"/>
      </w:divBdr>
    </w:div>
    <w:div w:id="1603108024">
      <w:bodyDiv w:val="1"/>
      <w:marLeft w:val="0"/>
      <w:marRight w:val="0"/>
      <w:marTop w:val="0"/>
      <w:marBottom w:val="0"/>
      <w:divBdr>
        <w:top w:val="none" w:sz="0" w:space="0" w:color="auto"/>
        <w:left w:val="none" w:sz="0" w:space="0" w:color="auto"/>
        <w:bottom w:val="none" w:sz="0" w:space="0" w:color="auto"/>
        <w:right w:val="none" w:sz="0" w:space="0" w:color="auto"/>
      </w:divBdr>
    </w:div>
    <w:div w:id="1667434509">
      <w:bodyDiv w:val="1"/>
      <w:marLeft w:val="0"/>
      <w:marRight w:val="0"/>
      <w:marTop w:val="0"/>
      <w:marBottom w:val="0"/>
      <w:divBdr>
        <w:top w:val="none" w:sz="0" w:space="0" w:color="auto"/>
        <w:left w:val="none" w:sz="0" w:space="0" w:color="auto"/>
        <w:bottom w:val="none" w:sz="0" w:space="0" w:color="auto"/>
        <w:right w:val="none" w:sz="0" w:space="0" w:color="auto"/>
      </w:divBdr>
    </w:div>
    <w:div w:id="1692681252">
      <w:bodyDiv w:val="1"/>
      <w:marLeft w:val="0"/>
      <w:marRight w:val="0"/>
      <w:marTop w:val="0"/>
      <w:marBottom w:val="0"/>
      <w:divBdr>
        <w:top w:val="none" w:sz="0" w:space="0" w:color="auto"/>
        <w:left w:val="none" w:sz="0" w:space="0" w:color="auto"/>
        <w:bottom w:val="none" w:sz="0" w:space="0" w:color="auto"/>
        <w:right w:val="none" w:sz="0" w:space="0" w:color="auto"/>
      </w:divBdr>
    </w:div>
    <w:div w:id="1705128640">
      <w:bodyDiv w:val="1"/>
      <w:marLeft w:val="0"/>
      <w:marRight w:val="0"/>
      <w:marTop w:val="0"/>
      <w:marBottom w:val="0"/>
      <w:divBdr>
        <w:top w:val="none" w:sz="0" w:space="0" w:color="auto"/>
        <w:left w:val="none" w:sz="0" w:space="0" w:color="auto"/>
        <w:bottom w:val="none" w:sz="0" w:space="0" w:color="auto"/>
        <w:right w:val="none" w:sz="0" w:space="0" w:color="auto"/>
      </w:divBdr>
    </w:div>
    <w:div w:id="1788424403">
      <w:bodyDiv w:val="1"/>
      <w:marLeft w:val="0"/>
      <w:marRight w:val="0"/>
      <w:marTop w:val="0"/>
      <w:marBottom w:val="0"/>
      <w:divBdr>
        <w:top w:val="none" w:sz="0" w:space="0" w:color="auto"/>
        <w:left w:val="none" w:sz="0" w:space="0" w:color="auto"/>
        <w:bottom w:val="none" w:sz="0" w:space="0" w:color="auto"/>
        <w:right w:val="none" w:sz="0" w:space="0" w:color="auto"/>
      </w:divBdr>
    </w:div>
    <w:div w:id="1790857033">
      <w:bodyDiv w:val="1"/>
      <w:marLeft w:val="0"/>
      <w:marRight w:val="0"/>
      <w:marTop w:val="0"/>
      <w:marBottom w:val="0"/>
      <w:divBdr>
        <w:top w:val="none" w:sz="0" w:space="0" w:color="auto"/>
        <w:left w:val="none" w:sz="0" w:space="0" w:color="auto"/>
        <w:bottom w:val="none" w:sz="0" w:space="0" w:color="auto"/>
        <w:right w:val="none" w:sz="0" w:space="0" w:color="auto"/>
      </w:divBdr>
    </w:div>
    <w:div w:id="1837577203">
      <w:bodyDiv w:val="1"/>
      <w:marLeft w:val="0"/>
      <w:marRight w:val="0"/>
      <w:marTop w:val="0"/>
      <w:marBottom w:val="0"/>
      <w:divBdr>
        <w:top w:val="none" w:sz="0" w:space="0" w:color="auto"/>
        <w:left w:val="none" w:sz="0" w:space="0" w:color="auto"/>
        <w:bottom w:val="none" w:sz="0" w:space="0" w:color="auto"/>
        <w:right w:val="none" w:sz="0" w:space="0" w:color="auto"/>
      </w:divBdr>
    </w:div>
    <w:div w:id="1962296308">
      <w:bodyDiv w:val="1"/>
      <w:marLeft w:val="0"/>
      <w:marRight w:val="0"/>
      <w:marTop w:val="0"/>
      <w:marBottom w:val="0"/>
      <w:divBdr>
        <w:top w:val="none" w:sz="0" w:space="0" w:color="auto"/>
        <w:left w:val="none" w:sz="0" w:space="0" w:color="auto"/>
        <w:bottom w:val="none" w:sz="0" w:space="0" w:color="auto"/>
        <w:right w:val="none" w:sz="0" w:space="0" w:color="auto"/>
      </w:divBdr>
    </w:div>
    <w:div w:id="2002269538">
      <w:bodyDiv w:val="1"/>
      <w:marLeft w:val="0"/>
      <w:marRight w:val="0"/>
      <w:marTop w:val="0"/>
      <w:marBottom w:val="0"/>
      <w:divBdr>
        <w:top w:val="none" w:sz="0" w:space="0" w:color="auto"/>
        <w:left w:val="none" w:sz="0" w:space="0" w:color="auto"/>
        <w:bottom w:val="none" w:sz="0" w:space="0" w:color="auto"/>
        <w:right w:val="none" w:sz="0" w:space="0" w:color="auto"/>
      </w:divBdr>
    </w:div>
    <w:div w:id="2017531423">
      <w:bodyDiv w:val="1"/>
      <w:marLeft w:val="0"/>
      <w:marRight w:val="0"/>
      <w:marTop w:val="0"/>
      <w:marBottom w:val="0"/>
      <w:divBdr>
        <w:top w:val="none" w:sz="0" w:space="0" w:color="auto"/>
        <w:left w:val="none" w:sz="0" w:space="0" w:color="auto"/>
        <w:bottom w:val="none" w:sz="0" w:space="0" w:color="auto"/>
        <w:right w:val="none" w:sz="0" w:space="0" w:color="auto"/>
      </w:divBdr>
    </w:div>
    <w:div w:id="21115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emf"/><Relationship Id="rId18" Type="http://schemas.openxmlformats.org/officeDocument/2006/relationships/image" Target="media/image9.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A894E-7E16-42BE-BFED-254E78BA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16</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cummingsl</dc:creator>
  <cp:lastModifiedBy>James Mackie</cp:lastModifiedBy>
  <cp:revision>34</cp:revision>
  <cp:lastPrinted>2020-05-22T09:34:00Z</cp:lastPrinted>
  <dcterms:created xsi:type="dcterms:W3CDTF">2019-11-14T16:32:00Z</dcterms:created>
  <dcterms:modified xsi:type="dcterms:W3CDTF">2020-07-16T09:56:00Z</dcterms:modified>
</cp:coreProperties>
</file>