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382A9A" w:rsidRPr="00B358DE" w:rsidTr="00B425B8">
        <w:trPr>
          <w:trHeight w:val="557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382A9A" w:rsidRPr="00B358DE" w:rsidRDefault="00C05EF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</w:t>
            </w:r>
            <w:r w:rsidR="00C70504" w:rsidRPr="00C70504">
              <w:rPr>
                <w:rFonts w:ascii="Arial" w:hAnsi="Arial" w:cs="Arial"/>
                <w:b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January 2021</w:t>
            </w:r>
          </w:p>
        </w:tc>
        <w:tc>
          <w:tcPr>
            <w:tcW w:w="1985" w:type="dxa"/>
            <w:vMerge w:val="restart"/>
          </w:tcPr>
          <w:p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-635</wp:posOffset>
                  </wp:positionV>
                  <wp:extent cx="1114425" cy="77152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2A9A" w:rsidRPr="00B358DE" w:rsidTr="00B425B8">
        <w:trPr>
          <w:trHeight w:val="917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382A9A" w:rsidRPr="00B358DE" w:rsidRDefault="0092354C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Staff Governance </w:t>
            </w:r>
            <w:r w:rsidR="00C05EF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Person Centred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:rsidTr="008E13CA">
        <w:trPr>
          <w:trHeight w:val="1441"/>
        </w:trPr>
        <w:tc>
          <w:tcPr>
            <w:tcW w:w="2557" w:type="dxa"/>
          </w:tcPr>
          <w:p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382A9A" w:rsidRPr="00A63F95" w:rsidRDefault="00382A9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  <w:r w:rsidRPr="00B358DE">
                    <w:t>X</w:t>
                  </w:r>
                </w:p>
              </w:tc>
            </w:tr>
            <w:tr w:rsidR="00382A9A" w:rsidRPr="00B358DE" w:rsidTr="00B425B8">
              <w:trPr>
                <w:trHeight w:val="280"/>
              </w:trPr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:rsidTr="00B425B8">
              <w:tc>
                <w:tcPr>
                  <w:tcW w:w="5694" w:type="dxa"/>
                </w:tcPr>
                <w:p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p w:rsidR="00382A9A" w:rsidRPr="00B358DE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B358DE">
        <w:rPr>
          <w:i w:val="0"/>
          <w:sz w:val="24"/>
          <w:szCs w:val="24"/>
        </w:rPr>
        <w:t>1</w:t>
      </w:r>
      <w:r w:rsidRPr="00B358DE">
        <w:rPr>
          <w:i w:val="0"/>
          <w:sz w:val="24"/>
          <w:szCs w:val="24"/>
        </w:rPr>
        <w:tab/>
        <w:t>Background</w:t>
      </w:r>
    </w:p>
    <w:p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382A9A">
        <w:rPr>
          <w:bCs/>
        </w:rPr>
        <w:t>Staff Governanc</w:t>
      </w:r>
      <w:r w:rsidR="00C05EFA">
        <w:rPr>
          <w:bCs/>
        </w:rPr>
        <w:t>e</w:t>
      </w:r>
      <w:r>
        <w:rPr>
          <w:bCs/>
        </w:rPr>
        <w:t xml:space="preserve"> Person Centred (</w:t>
      </w:r>
      <w:r w:rsidR="00C05EFA">
        <w:rPr>
          <w:bCs/>
        </w:rPr>
        <w:t>SG</w:t>
      </w:r>
      <w:r>
        <w:rPr>
          <w:bCs/>
        </w:rPr>
        <w:t>PC</w:t>
      </w:r>
      <w:r w:rsidR="00C05EFA">
        <w:rPr>
          <w:bCs/>
        </w:rPr>
        <w:t>) Committee was held on 13</w:t>
      </w:r>
      <w:r w:rsidR="00C70504" w:rsidRPr="00C70504">
        <w:rPr>
          <w:bCs/>
          <w:vertAlign w:val="superscript"/>
        </w:rPr>
        <w:t>th</w:t>
      </w:r>
      <w:r w:rsidR="00C05EFA">
        <w:rPr>
          <w:bCs/>
        </w:rPr>
        <w:t xml:space="preserve"> January 2021</w:t>
      </w:r>
      <w:r w:rsidR="00382A9A">
        <w:rPr>
          <w:bCs/>
        </w:rPr>
        <w:t xml:space="preserve">, the following key points were noted at the meeting.  </w:t>
      </w:r>
    </w:p>
    <w:p w:rsidR="008E13CA" w:rsidRDefault="008E13CA" w:rsidP="00382A9A">
      <w:pPr>
        <w:ind w:left="-6" w:right="183"/>
        <w:rPr>
          <w:bCs/>
        </w:rPr>
      </w:pPr>
    </w:p>
    <w:p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8602"/>
      </w:tblGrid>
      <w:tr w:rsidR="000B17DC" w:rsidRPr="00F06CCF" w:rsidTr="00382A9A">
        <w:trPr>
          <w:trHeight w:val="415"/>
        </w:trPr>
        <w:tc>
          <w:tcPr>
            <w:tcW w:w="1217" w:type="dxa"/>
            <w:shd w:val="clear" w:color="auto" w:fill="002060"/>
          </w:tcPr>
          <w:p w:rsidR="000B17DC" w:rsidRPr="00F06CCF" w:rsidRDefault="000B17DC" w:rsidP="00382A9A">
            <w:pPr>
              <w:spacing w:before="120" w:after="120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602" w:type="dxa"/>
            <w:shd w:val="clear" w:color="auto" w:fill="002060"/>
          </w:tcPr>
          <w:p w:rsidR="000B17DC" w:rsidRPr="00F06CCF" w:rsidRDefault="000B17DC" w:rsidP="00382A9A">
            <w:pPr>
              <w:spacing w:before="120" w:after="120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:rsidTr="00CA3F5B">
        <w:tc>
          <w:tcPr>
            <w:tcW w:w="1217" w:type="dxa"/>
          </w:tcPr>
          <w:p w:rsidR="006C1C0F" w:rsidRPr="00CA5EF8" w:rsidRDefault="006C1C0F" w:rsidP="00AC4CF7">
            <w:pPr>
              <w:rPr>
                <w:b/>
                <w:bCs/>
                <w:lang w:val="en-US"/>
              </w:rPr>
            </w:pPr>
          </w:p>
          <w:p w:rsidR="000B17DC" w:rsidRPr="00AE444B" w:rsidRDefault="000B17DC" w:rsidP="00AC4CF7">
            <w:pPr>
              <w:rPr>
                <w:b/>
                <w:bCs/>
                <w:lang w:val="en-US"/>
              </w:rPr>
            </w:pPr>
            <w:r w:rsidRPr="00CA5EF8">
              <w:rPr>
                <w:b/>
                <w:bCs/>
                <w:lang w:val="en-US"/>
              </w:rPr>
              <w:t>Person Centred</w:t>
            </w:r>
          </w:p>
          <w:p w:rsidR="000B17DC" w:rsidRPr="00CA5EF8" w:rsidRDefault="000B17DC" w:rsidP="00AC4CF7">
            <w:pPr>
              <w:rPr>
                <w:bCs/>
                <w:lang w:val="en-US"/>
              </w:rPr>
            </w:pPr>
          </w:p>
        </w:tc>
        <w:tc>
          <w:tcPr>
            <w:tcW w:w="8602" w:type="dxa"/>
          </w:tcPr>
          <w:p w:rsidR="008D0F0E" w:rsidRPr="00CA5EF8" w:rsidRDefault="008D0F0E" w:rsidP="00AC4CF7">
            <w:pPr>
              <w:rPr>
                <w:b/>
              </w:rPr>
            </w:pPr>
          </w:p>
          <w:p w:rsidR="001B1C74" w:rsidRDefault="00AE444B" w:rsidP="00AE444B">
            <w:pPr>
              <w:pStyle w:val="ListParagraph"/>
              <w:numPr>
                <w:ilvl w:val="0"/>
                <w:numId w:val="8"/>
              </w:numPr>
              <w:ind w:left="278" w:hanging="278"/>
              <w:contextualSpacing/>
            </w:pPr>
            <w:r>
              <w:t>The Committee noted the development and innovation of the Communications Team.</w:t>
            </w:r>
          </w:p>
          <w:p w:rsidR="00D23058" w:rsidRDefault="00D23058" w:rsidP="00AE444B">
            <w:pPr>
              <w:pStyle w:val="ListParagraph"/>
              <w:numPr>
                <w:ilvl w:val="0"/>
                <w:numId w:val="8"/>
              </w:numPr>
              <w:ind w:left="278" w:hanging="278"/>
              <w:contextualSpacing/>
            </w:pPr>
            <w:r>
              <w:t>The reviewed Health &amp; Safety structure was noted and the committee agreed to bi-monthly reports being provided.</w:t>
            </w:r>
          </w:p>
          <w:p w:rsidR="00D23058" w:rsidRPr="00CA5EF8" w:rsidRDefault="00D23058" w:rsidP="00AE444B">
            <w:pPr>
              <w:pStyle w:val="ListParagraph"/>
              <w:numPr>
                <w:ilvl w:val="0"/>
                <w:numId w:val="8"/>
              </w:numPr>
              <w:ind w:left="278" w:hanging="278"/>
              <w:contextualSpacing/>
            </w:pPr>
            <w:r>
              <w:t>The Committee thanked the Volunteer Service for the commitment and continued provision of a service throughout the Covid pandemic.</w:t>
            </w:r>
          </w:p>
        </w:tc>
      </w:tr>
      <w:tr w:rsidR="000B17DC" w:rsidRPr="00F06CCF" w:rsidTr="00CA3F5B">
        <w:tc>
          <w:tcPr>
            <w:tcW w:w="1217" w:type="dxa"/>
          </w:tcPr>
          <w:p w:rsidR="006C1C0F" w:rsidRDefault="006C1C0F" w:rsidP="00AC4CF7">
            <w:pPr>
              <w:rPr>
                <w:b/>
                <w:bCs/>
                <w:lang w:val="en-US"/>
              </w:rPr>
            </w:pPr>
          </w:p>
          <w:p w:rsidR="000B17DC" w:rsidRPr="00F06CCF" w:rsidRDefault="000B17DC" w:rsidP="00AC4CF7">
            <w:pPr>
              <w:rPr>
                <w:b/>
                <w:bCs/>
                <w:lang w:val="en-US"/>
              </w:rPr>
            </w:pPr>
            <w:r w:rsidRPr="00F06CCF">
              <w:rPr>
                <w:b/>
                <w:bCs/>
                <w:lang w:val="en-US"/>
              </w:rPr>
              <w:t>Safe</w:t>
            </w:r>
          </w:p>
          <w:p w:rsidR="000B17DC" w:rsidRDefault="000B17DC" w:rsidP="00AC4CF7"/>
          <w:p w:rsidR="000B17DC" w:rsidRDefault="000B17DC" w:rsidP="00AC4CF7"/>
          <w:p w:rsidR="000B17DC" w:rsidRDefault="000B17DC" w:rsidP="00AC4CF7"/>
          <w:p w:rsidR="000B17DC" w:rsidRPr="008A1D76" w:rsidRDefault="000B17DC" w:rsidP="00AC4CF7"/>
        </w:tc>
        <w:tc>
          <w:tcPr>
            <w:tcW w:w="8602" w:type="dxa"/>
          </w:tcPr>
          <w:p w:rsidR="00555942" w:rsidRDefault="00555942" w:rsidP="003B5563"/>
          <w:p w:rsidR="00AE444B" w:rsidRDefault="00AE444B" w:rsidP="00AE444B">
            <w:pPr>
              <w:pStyle w:val="ListParagraph"/>
              <w:numPr>
                <w:ilvl w:val="0"/>
                <w:numId w:val="8"/>
              </w:numPr>
              <w:ind w:left="278" w:hanging="284"/>
              <w:contextualSpacing/>
            </w:pPr>
            <w:r>
              <w:t>The Committee noted the work on absence management, particularly around diagnostics and the work to focus on hot spot areas.</w:t>
            </w:r>
          </w:p>
          <w:p w:rsidR="00D23058" w:rsidRDefault="00D23058" w:rsidP="00AE444B">
            <w:pPr>
              <w:pStyle w:val="ListParagraph"/>
              <w:numPr>
                <w:ilvl w:val="0"/>
                <w:numId w:val="8"/>
              </w:numPr>
              <w:ind w:left="278" w:hanging="284"/>
              <w:contextualSpacing/>
            </w:pPr>
            <w:r>
              <w:t>The Committee considered how the organisation meets its obligation to Agenda for Change appraisal and TURAS commitment going forward.</w:t>
            </w:r>
          </w:p>
          <w:p w:rsidR="001B1C74" w:rsidRDefault="00AE444B" w:rsidP="00AE444B">
            <w:pPr>
              <w:pStyle w:val="ListParagraph"/>
              <w:numPr>
                <w:ilvl w:val="0"/>
                <w:numId w:val="8"/>
              </w:numPr>
              <w:ind w:left="278" w:hanging="284"/>
              <w:contextualSpacing/>
            </w:pPr>
            <w:r>
              <w:t xml:space="preserve">The Committee discussed risks on workforce and Staff Governance and requested inclusion of eHealth stability, </w:t>
            </w:r>
            <w:r w:rsidR="00466BE7">
              <w:t xml:space="preserve">Values Based Reflective Practice </w:t>
            </w:r>
            <w:r>
              <w:t>and agile working where appropriate along with the current additional risk of cyber attacks.</w:t>
            </w:r>
          </w:p>
          <w:p w:rsidR="00AE444B" w:rsidRPr="00C8687A" w:rsidRDefault="00AE444B" w:rsidP="00031E0A">
            <w:pPr>
              <w:pStyle w:val="ListParagraph"/>
              <w:numPr>
                <w:ilvl w:val="0"/>
                <w:numId w:val="8"/>
              </w:numPr>
              <w:ind w:left="278" w:hanging="284"/>
              <w:contextualSpacing/>
            </w:pPr>
            <w:r>
              <w:t>The Committee noted the ongoing work to learn from complaints but took particular note of compliments received that reflect well the staff and values of the organisation.</w:t>
            </w:r>
          </w:p>
        </w:tc>
      </w:tr>
      <w:tr w:rsidR="000B17DC" w:rsidRPr="00F06CCF" w:rsidTr="008E13CA">
        <w:trPr>
          <w:trHeight w:val="2136"/>
        </w:trPr>
        <w:tc>
          <w:tcPr>
            <w:tcW w:w="1217" w:type="dxa"/>
          </w:tcPr>
          <w:p w:rsidR="006C1C0F" w:rsidRDefault="006C1C0F" w:rsidP="00AC4CF7">
            <w:pPr>
              <w:rPr>
                <w:b/>
                <w:lang w:val="en-US"/>
              </w:rPr>
            </w:pPr>
          </w:p>
          <w:p w:rsidR="000B17DC" w:rsidRPr="00F06CCF" w:rsidRDefault="000B17DC" w:rsidP="00AC4CF7">
            <w:pPr>
              <w:rPr>
                <w:b/>
                <w:lang w:val="en-US"/>
              </w:rPr>
            </w:pPr>
            <w:r w:rsidRPr="00F06CCF">
              <w:rPr>
                <w:b/>
                <w:lang w:val="en-US"/>
              </w:rPr>
              <w:t>Effective</w:t>
            </w:r>
          </w:p>
          <w:p w:rsidR="000B17DC" w:rsidRDefault="000B17DC" w:rsidP="00AC4CF7"/>
          <w:p w:rsidR="000B17DC" w:rsidRDefault="000B17DC" w:rsidP="00AC4CF7"/>
          <w:p w:rsidR="000B17DC" w:rsidRPr="00B40E70" w:rsidRDefault="000B17DC" w:rsidP="00AC4CF7"/>
        </w:tc>
        <w:tc>
          <w:tcPr>
            <w:tcW w:w="8602" w:type="dxa"/>
          </w:tcPr>
          <w:p w:rsidR="006C1C0F" w:rsidRDefault="006C1C0F" w:rsidP="006C1C0F">
            <w:pPr>
              <w:pStyle w:val="ListParagraph"/>
              <w:ind w:left="704"/>
            </w:pPr>
          </w:p>
          <w:p w:rsidR="008E13CA" w:rsidRDefault="00AE444B" w:rsidP="00AE444B">
            <w:pPr>
              <w:pStyle w:val="ListParagraph"/>
              <w:numPr>
                <w:ilvl w:val="0"/>
                <w:numId w:val="6"/>
              </w:numPr>
              <w:ind w:left="278" w:hanging="284"/>
            </w:pPr>
            <w:r>
              <w:t>Progress on medical job planning and progress with service planning and job planning despite current challenges and plans for the new financial year.</w:t>
            </w:r>
          </w:p>
          <w:p w:rsidR="00AE444B" w:rsidRDefault="00D23058" w:rsidP="00AE444B">
            <w:pPr>
              <w:pStyle w:val="ListParagraph"/>
              <w:numPr>
                <w:ilvl w:val="0"/>
                <w:numId w:val="6"/>
              </w:numPr>
              <w:ind w:left="278" w:hanging="284"/>
            </w:pPr>
            <w:r>
              <w:t xml:space="preserve">The Committee recognised the assurance to </w:t>
            </w:r>
            <w:r w:rsidR="00466BE7">
              <w:t>progress</w:t>
            </w:r>
            <w:r w:rsidR="001F7B50">
              <w:t xml:space="preserve"> </w:t>
            </w:r>
            <w:r>
              <w:t>medi</w:t>
            </w:r>
            <w:r w:rsidR="00466BE7">
              <w:t>c</w:t>
            </w:r>
            <w:r>
              <w:t>al appraisal, despite recent disruption.</w:t>
            </w:r>
          </w:p>
          <w:p w:rsidR="00D23058" w:rsidRDefault="00D23058" w:rsidP="00AE444B">
            <w:pPr>
              <w:pStyle w:val="ListParagraph"/>
              <w:numPr>
                <w:ilvl w:val="0"/>
                <w:numId w:val="6"/>
              </w:numPr>
              <w:ind w:left="278" w:hanging="284"/>
            </w:pPr>
            <w:r>
              <w:t>The reviewed discretionary points process from a diversity and inclusion perspective was noted.  This was in response to a request by the remuneration committee to ensure that the process is fair and equitable.</w:t>
            </w:r>
          </w:p>
          <w:p w:rsidR="00D23058" w:rsidRPr="006C1C0F" w:rsidRDefault="00D23058" w:rsidP="00AE444B">
            <w:pPr>
              <w:pStyle w:val="ListParagraph"/>
              <w:numPr>
                <w:ilvl w:val="0"/>
                <w:numId w:val="6"/>
              </w:numPr>
              <w:ind w:left="278" w:hanging="284"/>
            </w:pPr>
            <w:r>
              <w:t>The Committee thanked Jane Christie-Flight for progressing updates to local policies that were reported as overdue for review.</w:t>
            </w:r>
          </w:p>
        </w:tc>
      </w:tr>
    </w:tbl>
    <w:p w:rsidR="000B17DC" w:rsidRDefault="000B17DC" w:rsidP="000B17DC">
      <w:pPr>
        <w:rPr>
          <w:b/>
          <w:u w:val="single"/>
        </w:rPr>
      </w:pPr>
    </w:p>
    <w:p w:rsidR="000B17DC" w:rsidRDefault="000B17DC" w:rsidP="000B17DC">
      <w:pPr>
        <w:rPr>
          <w:bCs/>
        </w:rPr>
      </w:pPr>
      <w:r w:rsidRPr="00414A13">
        <w:rPr>
          <w:bCs/>
        </w:rPr>
        <w:lastRenderedPageBreak/>
        <w:t xml:space="preserve">The next meeting is scheduled for </w:t>
      </w:r>
      <w:r w:rsidR="0014267D">
        <w:rPr>
          <w:bCs/>
        </w:rPr>
        <w:t>3</w:t>
      </w:r>
      <w:r w:rsidR="0014267D" w:rsidRPr="0014267D">
        <w:rPr>
          <w:bCs/>
          <w:vertAlign w:val="superscript"/>
        </w:rPr>
        <w:t>rd</w:t>
      </w:r>
      <w:r w:rsidR="005B1946">
        <w:rPr>
          <w:bCs/>
          <w:vertAlign w:val="superscript"/>
        </w:rPr>
        <w:t xml:space="preserve"> </w:t>
      </w:r>
      <w:r w:rsidR="0014267D">
        <w:rPr>
          <w:bCs/>
        </w:rPr>
        <w:t>March 2021</w:t>
      </w:r>
      <w:r w:rsidR="00DE274F">
        <w:rPr>
          <w:bCs/>
        </w:rPr>
        <w:t>.</w:t>
      </w:r>
    </w:p>
    <w:p w:rsidR="006C1C0F" w:rsidRPr="00414A13" w:rsidRDefault="006C1C0F" w:rsidP="000B17DC">
      <w:pPr>
        <w:rPr>
          <w:bCs/>
        </w:rPr>
      </w:pPr>
    </w:p>
    <w:p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:rsidR="00382A9A" w:rsidRPr="00FE3CDB" w:rsidRDefault="00382A9A" w:rsidP="00382A9A">
      <w:r w:rsidRPr="00FE3CDB">
        <w:t xml:space="preserve">Board Members are asked to note the </w:t>
      </w:r>
      <w:r>
        <w:t>SG</w:t>
      </w:r>
      <w:r w:rsidR="0014267D">
        <w:t>PC</w:t>
      </w:r>
      <w:r>
        <w:t xml:space="preserve"> </w:t>
      </w:r>
      <w:r w:rsidRPr="00FE3CDB">
        <w:t>Committee Update.</w:t>
      </w:r>
    </w:p>
    <w:p w:rsidR="00382A9A" w:rsidRDefault="00382A9A" w:rsidP="00382A9A">
      <w:pPr>
        <w:ind w:right="183"/>
        <w:rPr>
          <w:bCs/>
        </w:rPr>
      </w:pPr>
    </w:p>
    <w:p w:rsidR="006C1C0F" w:rsidRPr="00FE3CDB" w:rsidRDefault="006C1C0F" w:rsidP="00382A9A">
      <w:pPr>
        <w:ind w:right="183"/>
        <w:rPr>
          <w:bCs/>
        </w:rPr>
      </w:pPr>
    </w:p>
    <w:p w:rsidR="000B17DC" w:rsidRDefault="0014267D" w:rsidP="000B17DC">
      <w:pPr>
        <w:rPr>
          <w:b/>
          <w:bCs/>
        </w:rPr>
      </w:pPr>
      <w:r>
        <w:rPr>
          <w:b/>
          <w:bCs/>
        </w:rPr>
        <w:t>Marcella Boyle</w:t>
      </w:r>
    </w:p>
    <w:p w:rsidR="000B17DC" w:rsidRDefault="0014267D" w:rsidP="000B17DC">
      <w:pPr>
        <w:rPr>
          <w:b/>
          <w:bCs/>
        </w:rPr>
      </w:pPr>
      <w:r>
        <w:rPr>
          <w:b/>
          <w:bCs/>
        </w:rPr>
        <w:t xml:space="preserve">Chair – </w:t>
      </w:r>
      <w:r w:rsidR="006C1C0F">
        <w:rPr>
          <w:b/>
          <w:bCs/>
        </w:rPr>
        <w:t xml:space="preserve">Staff Governance </w:t>
      </w:r>
      <w:r>
        <w:rPr>
          <w:b/>
          <w:bCs/>
        </w:rPr>
        <w:t xml:space="preserve">Person Centred </w:t>
      </w:r>
      <w:r w:rsidR="006C1C0F">
        <w:rPr>
          <w:b/>
          <w:bCs/>
        </w:rPr>
        <w:t>Committee</w:t>
      </w:r>
    </w:p>
    <w:p w:rsidR="000B17DC" w:rsidRDefault="000B17DC" w:rsidP="000B17DC">
      <w:pPr>
        <w:rPr>
          <w:b/>
          <w:bCs/>
        </w:rPr>
      </w:pPr>
    </w:p>
    <w:p w:rsidR="000B17DC" w:rsidRPr="00C92710" w:rsidRDefault="000B17DC" w:rsidP="000B17DC">
      <w:pPr>
        <w:rPr>
          <w:b/>
          <w:bCs/>
        </w:rPr>
      </w:pPr>
      <w:r>
        <w:rPr>
          <w:b/>
          <w:bCs/>
        </w:rPr>
        <w:t>Gareth Adkins</w:t>
      </w:r>
    </w:p>
    <w:p w:rsidR="00E03A8B" w:rsidRDefault="000B17DC">
      <w:pPr>
        <w:rPr>
          <w:b/>
          <w:bCs/>
        </w:rPr>
      </w:pPr>
      <w:r>
        <w:rPr>
          <w:b/>
          <w:bCs/>
        </w:rPr>
        <w:t>Director of Quality, Innovation &amp; People</w:t>
      </w:r>
      <w:bookmarkStart w:id="0" w:name="_GoBack"/>
      <w:bookmarkEnd w:id="0"/>
    </w:p>
    <w:p w:rsidR="00DE274F" w:rsidRDefault="00DE274F">
      <w:pPr>
        <w:rPr>
          <w:b/>
          <w:bCs/>
        </w:rPr>
      </w:pPr>
    </w:p>
    <w:sectPr w:rsidR="00DE274F" w:rsidSect="00A63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C3" w:rsidRDefault="001018C3">
      <w:r>
        <w:separator/>
      </w:r>
    </w:p>
  </w:endnote>
  <w:endnote w:type="continuationSeparator" w:id="0">
    <w:p w:rsidR="001018C3" w:rsidRDefault="001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1342" w:rsidRDefault="001F7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B50">
      <w:rPr>
        <w:rStyle w:val="PageNumber"/>
        <w:noProof/>
      </w:rPr>
      <w:t>1</w:t>
    </w:r>
    <w:r>
      <w:rPr>
        <w:rStyle w:val="PageNumber"/>
      </w:rPr>
      <w:fldChar w:fldCharType="end"/>
    </w:r>
  </w:p>
  <w:p w:rsidR="00E31342" w:rsidRDefault="001F7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C3" w:rsidRDefault="001018C3">
      <w:r>
        <w:separator/>
      </w:r>
    </w:p>
  </w:footnote>
  <w:footnote w:type="continuationSeparator" w:id="0">
    <w:p w:rsidR="001018C3" w:rsidRDefault="0010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Default="00761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Default="00761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9A" w:rsidRDefault="00761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7DC"/>
    <w:rsid w:val="00031E0A"/>
    <w:rsid w:val="000504F3"/>
    <w:rsid w:val="00053F84"/>
    <w:rsid w:val="000638D5"/>
    <w:rsid w:val="000876B7"/>
    <w:rsid w:val="00091313"/>
    <w:rsid w:val="000B17DC"/>
    <w:rsid w:val="000B24E6"/>
    <w:rsid w:val="000C2561"/>
    <w:rsid w:val="000C4F94"/>
    <w:rsid w:val="001018C3"/>
    <w:rsid w:val="0013046C"/>
    <w:rsid w:val="0014267D"/>
    <w:rsid w:val="001A6338"/>
    <w:rsid w:val="001B1C74"/>
    <w:rsid w:val="001F7B50"/>
    <w:rsid w:val="001F7F4D"/>
    <w:rsid w:val="00204AD7"/>
    <w:rsid w:val="0022323F"/>
    <w:rsid w:val="00252327"/>
    <w:rsid w:val="00254CCE"/>
    <w:rsid w:val="00255D40"/>
    <w:rsid w:val="00273178"/>
    <w:rsid w:val="002853D6"/>
    <w:rsid w:val="002857F7"/>
    <w:rsid w:val="00287779"/>
    <w:rsid w:val="002E13BF"/>
    <w:rsid w:val="002F4007"/>
    <w:rsid w:val="0030554F"/>
    <w:rsid w:val="00306C2E"/>
    <w:rsid w:val="00315701"/>
    <w:rsid w:val="00354A6B"/>
    <w:rsid w:val="00354BA9"/>
    <w:rsid w:val="003728C1"/>
    <w:rsid w:val="00374578"/>
    <w:rsid w:val="00382A9A"/>
    <w:rsid w:val="003A65B0"/>
    <w:rsid w:val="003B5563"/>
    <w:rsid w:val="003E2A5F"/>
    <w:rsid w:val="003E2B73"/>
    <w:rsid w:val="00407A8F"/>
    <w:rsid w:val="0046359D"/>
    <w:rsid w:val="00466BE7"/>
    <w:rsid w:val="004C0F08"/>
    <w:rsid w:val="004C48EE"/>
    <w:rsid w:val="004C5B2F"/>
    <w:rsid w:val="004D00E2"/>
    <w:rsid w:val="004E3D5E"/>
    <w:rsid w:val="004F06B2"/>
    <w:rsid w:val="005113D2"/>
    <w:rsid w:val="00555942"/>
    <w:rsid w:val="005B1946"/>
    <w:rsid w:val="00603AE6"/>
    <w:rsid w:val="00633282"/>
    <w:rsid w:val="006C1437"/>
    <w:rsid w:val="006C1C0F"/>
    <w:rsid w:val="007209D8"/>
    <w:rsid w:val="0076189A"/>
    <w:rsid w:val="007956ED"/>
    <w:rsid w:val="00843075"/>
    <w:rsid w:val="008962F3"/>
    <w:rsid w:val="008D0F0E"/>
    <w:rsid w:val="008E13CA"/>
    <w:rsid w:val="00900487"/>
    <w:rsid w:val="00922772"/>
    <w:rsid w:val="0092354C"/>
    <w:rsid w:val="00931F79"/>
    <w:rsid w:val="009663A9"/>
    <w:rsid w:val="00A2094E"/>
    <w:rsid w:val="00A63F95"/>
    <w:rsid w:val="00AA3B36"/>
    <w:rsid w:val="00AB3582"/>
    <w:rsid w:val="00AC23AC"/>
    <w:rsid w:val="00AC3CE8"/>
    <w:rsid w:val="00AE444B"/>
    <w:rsid w:val="00B02B57"/>
    <w:rsid w:val="00B33616"/>
    <w:rsid w:val="00B97A6E"/>
    <w:rsid w:val="00BA5BB3"/>
    <w:rsid w:val="00BC23DB"/>
    <w:rsid w:val="00BC5035"/>
    <w:rsid w:val="00BD03A4"/>
    <w:rsid w:val="00BE565B"/>
    <w:rsid w:val="00BF604C"/>
    <w:rsid w:val="00C007BF"/>
    <w:rsid w:val="00C05EFA"/>
    <w:rsid w:val="00C17A39"/>
    <w:rsid w:val="00C3773F"/>
    <w:rsid w:val="00C60A6D"/>
    <w:rsid w:val="00C70504"/>
    <w:rsid w:val="00C8687A"/>
    <w:rsid w:val="00C979E9"/>
    <w:rsid w:val="00CA3F5B"/>
    <w:rsid w:val="00CA5EF8"/>
    <w:rsid w:val="00CB0067"/>
    <w:rsid w:val="00D079FB"/>
    <w:rsid w:val="00D23058"/>
    <w:rsid w:val="00D520A2"/>
    <w:rsid w:val="00DA0688"/>
    <w:rsid w:val="00DA1EB4"/>
    <w:rsid w:val="00DE274F"/>
    <w:rsid w:val="00E03A8B"/>
    <w:rsid w:val="00E9272D"/>
    <w:rsid w:val="00EC6098"/>
    <w:rsid w:val="00F06B38"/>
    <w:rsid w:val="00F21661"/>
    <w:rsid w:val="00F53EE1"/>
    <w:rsid w:val="00F861F7"/>
    <w:rsid w:val="00F97953"/>
    <w:rsid w:val="00FC045D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C4BBAC4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EDEB6-1331-4A22-9BA0-EA3AFFAA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Christine Nelson (NHS GOLDEN JUBILEE)</cp:lastModifiedBy>
  <cp:revision>3</cp:revision>
  <cp:lastPrinted>2020-01-21T14:15:00Z</cp:lastPrinted>
  <dcterms:created xsi:type="dcterms:W3CDTF">2021-01-19T13:41:00Z</dcterms:created>
  <dcterms:modified xsi:type="dcterms:W3CDTF">2021-01-19T18:29:00Z</dcterms:modified>
</cp:coreProperties>
</file>