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ayout w:type="fixed"/>
        <w:tblLook w:val="04A0" w:firstRow="1" w:lastRow="0" w:firstColumn="1" w:lastColumn="0" w:noHBand="0" w:noVBand="1"/>
      </w:tblPr>
      <w:tblGrid>
        <w:gridCol w:w="2977"/>
        <w:gridCol w:w="4678"/>
        <w:gridCol w:w="2126"/>
      </w:tblGrid>
      <w:tr w:rsidR="00924D2F" w:rsidRPr="005B4BA8" w:rsidTr="00B953C2">
        <w:trPr>
          <w:trHeight w:val="557"/>
        </w:trPr>
        <w:tc>
          <w:tcPr>
            <w:tcW w:w="2977" w:type="dxa"/>
          </w:tcPr>
          <w:p w:rsidR="00924D2F" w:rsidRPr="005B4BA8" w:rsidRDefault="0009421D" w:rsidP="000C4A83">
            <w:pPr>
              <w:pStyle w:val="Heading1"/>
              <w:spacing w:before="60" w:after="60"/>
              <w:ind w:right="183"/>
              <w:contextualSpacing/>
              <w:rPr>
                <w:sz w:val="24"/>
              </w:rPr>
            </w:pPr>
            <w:r>
              <w:rPr>
                <w:sz w:val="24"/>
              </w:rPr>
              <w:t>Board Meeting</w:t>
            </w:r>
            <w:r w:rsidR="00924D2F" w:rsidRPr="005B4BA8">
              <w:rPr>
                <w:sz w:val="24"/>
              </w:rPr>
              <w:t>:</w:t>
            </w:r>
          </w:p>
        </w:tc>
        <w:tc>
          <w:tcPr>
            <w:tcW w:w="4678" w:type="dxa"/>
          </w:tcPr>
          <w:p w:rsidR="00924D2F" w:rsidRPr="005B4BA8" w:rsidRDefault="0009421D" w:rsidP="001413AD">
            <w:pPr>
              <w:pStyle w:val="Heading1"/>
              <w:spacing w:before="60" w:after="60"/>
              <w:ind w:right="183"/>
              <w:contextualSpacing/>
              <w:rPr>
                <w:b w:val="0"/>
                <w:sz w:val="24"/>
              </w:rPr>
            </w:pPr>
            <w:r>
              <w:rPr>
                <w:b w:val="0"/>
                <w:sz w:val="24"/>
              </w:rPr>
              <w:t>18 March 2021</w:t>
            </w:r>
          </w:p>
        </w:tc>
        <w:tc>
          <w:tcPr>
            <w:tcW w:w="2126" w:type="dxa"/>
            <w:vMerge w:val="restart"/>
          </w:tcPr>
          <w:p w:rsidR="00B953C2" w:rsidRDefault="00B953C2" w:rsidP="00B953C2">
            <w:pPr>
              <w:pStyle w:val="Heading1"/>
              <w:spacing w:before="60" w:after="60"/>
              <w:ind w:right="34"/>
              <w:contextualSpacing/>
              <w:jc w:val="center"/>
              <w:rPr>
                <w:sz w:val="24"/>
              </w:rPr>
            </w:pPr>
            <w:r>
              <w:rPr>
                <w:noProof/>
                <w:sz w:val="24"/>
                <w:lang w:eastAsia="en-GB"/>
              </w:rPr>
              <w:drawing>
                <wp:inline distT="0" distB="0" distL="0" distR="0" wp14:anchorId="174C92D1" wp14:editId="6FA92C52">
                  <wp:extent cx="1152525" cy="79790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52525" cy="797902"/>
                          </a:xfrm>
                          <a:prstGeom prst="rect">
                            <a:avLst/>
                          </a:prstGeom>
                          <a:noFill/>
                          <a:ln w="9525">
                            <a:noFill/>
                            <a:miter lim="800000"/>
                            <a:headEnd/>
                            <a:tailEnd/>
                          </a:ln>
                        </pic:spPr>
                      </pic:pic>
                    </a:graphicData>
                  </a:graphic>
                </wp:inline>
              </w:drawing>
            </w:r>
          </w:p>
          <w:p w:rsidR="00924D2F" w:rsidRPr="00B953C2" w:rsidRDefault="00924D2F" w:rsidP="00B953C2">
            <w:pPr>
              <w:jc w:val="center"/>
              <w:rPr>
                <w:lang w:val="en-GB"/>
              </w:rPr>
            </w:pPr>
          </w:p>
        </w:tc>
      </w:tr>
      <w:tr w:rsidR="00924D2F" w:rsidRPr="005B4BA8" w:rsidTr="00B953C2">
        <w:trPr>
          <w:trHeight w:val="1003"/>
        </w:trPr>
        <w:tc>
          <w:tcPr>
            <w:tcW w:w="2977" w:type="dxa"/>
          </w:tcPr>
          <w:p w:rsidR="00924D2F" w:rsidRPr="005B4BA8" w:rsidRDefault="00924D2F" w:rsidP="00935172">
            <w:pPr>
              <w:pStyle w:val="Heading1"/>
              <w:spacing w:before="60" w:after="60"/>
              <w:ind w:right="183"/>
              <w:contextualSpacing/>
              <w:rPr>
                <w:sz w:val="24"/>
              </w:rPr>
            </w:pPr>
            <w:r w:rsidRPr="005B4BA8">
              <w:rPr>
                <w:bCs w:val="0"/>
                <w:sz w:val="24"/>
              </w:rPr>
              <w:t>Subject:</w:t>
            </w:r>
          </w:p>
        </w:tc>
        <w:tc>
          <w:tcPr>
            <w:tcW w:w="4678" w:type="dxa"/>
          </w:tcPr>
          <w:p w:rsidR="00924D2F" w:rsidRPr="005B4BA8" w:rsidRDefault="00924D2F" w:rsidP="00935172">
            <w:pPr>
              <w:pStyle w:val="Heading1"/>
              <w:spacing w:before="60" w:after="60"/>
              <w:ind w:right="183"/>
              <w:contextualSpacing/>
              <w:rPr>
                <w:b w:val="0"/>
                <w:sz w:val="24"/>
              </w:rPr>
            </w:pPr>
            <w:r>
              <w:rPr>
                <w:b w:val="0"/>
                <w:sz w:val="24"/>
              </w:rPr>
              <w:t xml:space="preserve">Board Risk </w:t>
            </w:r>
            <w:r w:rsidR="00C646A5">
              <w:rPr>
                <w:b w:val="0"/>
                <w:sz w:val="24"/>
              </w:rPr>
              <w:t xml:space="preserve">Appetite and Risk </w:t>
            </w:r>
            <w:r>
              <w:rPr>
                <w:b w:val="0"/>
                <w:sz w:val="24"/>
              </w:rPr>
              <w:t xml:space="preserve">Register </w:t>
            </w:r>
          </w:p>
        </w:tc>
        <w:tc>
          <w:tcPr>
            <w:tcW w:w="2126" w:type="dxa"/>
            <w:vMerge/>
          </w:tcPr>
          <w:p w:rsidR="00924D2F" w:rsidRPr="005B4BA8" w:rsidRDefault="00924D2F" w:rsidP="00935172">
            <w:pPr>
              <w:pStyle w:val="Heading1"/>
              <w:spacing w:before="60" w:after="60"/>
              <w:ind w:right="183"/>
              <w:contextualSpacing/>
              <w:rPr>
                <w:noProof/>
                <w:sz w:val="24"/>
                <w:lang w:eastAsia="en-GB"/>
              </w:rPr>
            </w:pPr>
          </w:p>
        </w:tc>
      </w:tr>
      <w:tr w:rsidR="00924D2F" w:rsidRPr="005B4BA8" w:rsidTr="00B953C2">
        <w:trPr>
          <w:trHeight w:val="499"/>
        </w:trPr>
        <w:tc>
          <w:tcPr>
            <w:tcW w:w="2977" w:type="dxa"/>
          </w:tcPr>
          <w:p w:rsidR="00924D2F" w:rsidRDefault="00924D2F" w:rsidP="00935172">
            <w:pPr>
              <w:pStyle w:val="Heading1"/>
              <w:spacing w:before="120" w:after="60"/>
              <w:ind w:right="183"/>
              <w:contextualSpacing/>
              <w:rPr>
                <w:bCs w:val="0"/>
                <w:sz w:val="24"/>
              </w:rPr>
            </w:pPr>
            <w:r w:rsidRPr="005B4BA8">
              <w:rPr>
                <w:bCs w:val="0"/>
                <w:sz w:val="24"/>
              </w:rPr>
              <w:t>Recommendation:</w:t>
            </w:r>
            <w:r w:rsidRPr="005B4BA8">
              <w:rPr>
                <w:bCs w:val="0"/>
                <w:sz w:val="24"/>
              </w:rPr>
              <w:tab/>
            </w:r>
          </w:p>
          <w:p w:rsidR="00637331" w:rsidRDefault="00637331" w:rsidP="00637331">
            <w:pPr>
              <w:rPr>
                <w:lang w:val="en-GB"/>
              </w:rPr>
            </w:pPr>
          </w:p>
          <w:p w:rsidR="00637331" w:rsidRDefault="00637331" w:rsidP="00637331">
            <w:pPr>
              <w:rPr>
                <w:lang w:val="en-GB"/>
              </w:rPr>
            </w:pPr>
          </w:p>
          <w:p w:rsidR="00637331" w:rsidRDefault="00637331" w:rsidP="00637331">
            <w:pPr>
              <w:rPr>
                <w:lang w:val="en-GB"/>
              </w:rPr>
            </w:pPr>
          </w:p>
          <w:p w:rsidR="00637331" w:rsidRDefault="00637331" w:rsidP="00637331">
            <w:pPr>
              <w:rPr>
                <w:lang w:val="en-GB"/>
              </w:rPr>
            </w:pPr>
          </w:p>
          <w:p w:rsidR="00637331" w:rsidRPr="00637331" w:rsidRDefault="00637331" w:rsidP="00637331">
            <w:pPr>
              <w:rPr>
                <w:lang w:val="en-GB"/>
              </w:rPr>
            </w:pPr>
          </w:p>
        </w:tc>
        <w:tc>
          <w:tcPr>
            <w:tcW w:w="6804" w:type="dxa"/>
            <w:gridSpan w:val="2"/>
          </w:tcPr>
          <w:p w:rsidR="00B953C2" w:rsidRDefault="00B953C2" w:rsidP="00B953C2">
            <w:pPr>
              <w:pStyle w:val="Heading1"/>
              <w:ind w:right="183"/>
              <w:contextualSpacing/>
              <w:rPr>
                <w:b w:val="0"/>
                <w:sz w:val="24"/>
              </w:rPr>
            </w:pPr>
            <w:r>
              <w:rPr>
                <w:b w:val="0"/>
                <w:sz w:val="24"/>
              </w:rPr>
              <w:t>Board M</w:t>
            </w:r>
            <w:r w:rsidRPr="005B4BA8">
              <w:rPr>
                <w:b w:val="0"/>
                <w:sz w:val="24"/>
              </w:rPr>
              <w:t>embers are asked to:</w:t>
            </w:r>
          </w:p>
          <w:p w:rsidR="00B953C2" w:rsidRPr="005B4BA8" w:rsidRDefault="00B953C2" w:rsidP="00B953C2"/>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B953C2" w:rsidTr="00181A99">
              <w:tc>
                <w:tcPr>
                  <w:tcW w:w="5694" w:type="dxa"/>
                </w:tcPr>
                <w:p w:rsidR="00B953C2" w:rsidRPr="007D047D" w:rsidRDefault="00B953C2" w:rsidP="00B953C2">
                  <w:pPr>
                    <w:pStyle w:val="Heading1"/>
                    <w:ind w:right="183"/>
                    <w:contextualSpacing/>
                    <w:rPr>
                      <w:b w:val="0"/>
                      <w:sz w:val="24"/>
                    </w:rPr>
                  </w:pPr>
                  <w:r>
                    <w:rPr>
                      <w:b w:val="0"/>
                      <w:sz w:val="24"/>
                    </w:rPr>
                    <w:t>Discuss and Note</w:t>
                  </w:r>
                </w:p>
              </w:tc>
              <w:tc>
                <w:tcPr>
                  <w:tcW w:w="850" w:type="dxa"/>
                </w:tcPr>
                <w:p w:rsidR="00B953C2" w:rsidRDefault="00287D61" w:rsidP="00287D61">
                  <w:pPr>
                    <w:contextualSpacing/>
                    <w:jc w:val="center"/>
                  </w:pPr>
                  <w:r>
                    <w:rPr>
                      <w:rFonts w:ascii="Segoe UI Symbol" w:hAnsi="Segoe UI Symbol" w:cs="Segoe UI Symbol"/>
                      <w:color w:val="202124"/>
                      <w:sz w:val="21"/>
                      <w:szCs w:val="21"/>
                      <w:shd w:val="clear" w:color="auto" w:fill="FFFFFF"/>
                    </w:rPr>
                    <w:t>✔</w:t>
                  </w:r>
                </w:p>
              </w:tc>
            </w:tr>
            <w:tr w:rsidR="00B953C2" w:rsidTr="00181A99">
              <w:tc>
                <w:tcPr>
                  <w:tcW w:w="5694" w:type="dxa"/>
                </w:tcPr>
                <w:p w:rsidR="00B953C2" w:rsidRPr="007D047D" w:rsidRDefault="00B953C2" w:rsidP="00B953C2">
                  <w:pPr>
                    <w:pStyle w:val="Heading1"/>
                    <w:ind w:right="183"/>
                    <w:contextualSpacing/>
                    <w:rPr>
                      <w:b w:val="0"/>
                      <w:sz w:val="24"/>
                    </w:rPr>
                  </w:pPr>
                  <w:r>
                    <w:rPr>
                      <w:b w:val="0"/>
                      <w:sz w:val="24"/>
                    </w:rPr>
                    <w:t>Discuss and Approve</w:t>
                  </w:r>
                </w:p>
              </w:tc>
              <w:tc>
                <w:tcPr>
                  <w:tcW w:w="850" w:type="dxa"/>
                </w:tcPr>
                <w:p w:rsidR="00B953C2" w:rsidRDefault="00B953C2" w:rsidP="00B953C2">
                  <w:pPr>
                    <w:contextualSpacing/>
                  </w:pPr>
                </w:p>
              </w:tc>
            </w:tr>
            <w:tr w:rsidR="00B953C2" w:rsidTr="00181A99">
              <w:tc>
                <w:tcPr>
                  <w:tcW w:w="5694" w:type="dxa"/>
                </w:tcPr>
                <w:p w:rsidR="00B953C2" w:rsidRPr="007D047D" w:rsidRDefault="00B953C2" w:rsidP="00B953C2">
                  <w:pPr>
                    <w:pStyle w:val="Heading1"/>
                    <w:ind w:right="183"/>
                    <w:contextualSpacing/>
                    <w:rPr>
                      <w:b w:val="0"/>
                      <w:sz w:val="24"/>
                    </w:rPr>
                  </w:pPr>
                  <w:r>
                    <w:rPr>
                      <w:b w:val="0"/>
                      <w:sz w:val="24"/>
                    </w:rPr>
                    <w:t>Note for Information only</w:t>
                  </w:r>
                </w:p>
              </w:tc>
              <w:tc>
                <w:tcPr>
                  <w:tcW w:w="850" w:type="dxa"/>
                </w:tcPr>
                <w:p w:rsidR="00B953C2" w:rsidRDefault="00B953C2" w:rsidP="00B953C2">
                  <w:pPr>
                    <w:contextualSpacing/>
                  </w:pPr>
                </w:p>
              </w:tc>
            </w:tr>
          </w:tbl>
          <w:p w:rsidR="00924D2F" w:rsidRPr="0073139D" w:rsidRDefault="00924D2F" w:rsidP="00B953C2">
            <w:pPr>
              <w:spacing w:after="60"/>
              <w:contextualSpacing/>
            </w:pPr>
          </w:p>
        </w:tc>
      </w:tr>
    </w:tbl>
    <w:p w:rsidR="00E229E6" w:rsidRDefault="00E229E6">
      <w:pPr>
        <w:rPr>
          <w:rFonts w:ascii="Arial" w:hAnsi="Arial" w:cs="Arial"/>
          <w:b/>
          <w:sz w:val="20"/>
          <w:szCs w:val="20"/>
        </w:rPr>
      </w:pPr>
    </w:p>
    <w:p w:rsidR="00B953C2" w:rsidRPr="00B953C2" w:rsidRDefault="00B953C2" w:rsidP="00B953C2">
      <w:pPr>
        <w:pStyle w:val="Heading2"/>
        <w:keepLines w:val="0"/>
        <w:numPr>
          <w:ilvl w:val="0"/>
          <w:numId w:val="21"/>
        </w:numPr>
        <w:spacing w:before="0"/>
        <w:ind w:left="567" w:right="181" w:hanging="567"/>
        <w:rPr>
          <w:rFonts w:ascii="Arial" w:hAnsi="Arial" w:cs="Arial"/>
          <w:color w:val="000000" w:themeColor="text1"/>
          <w:sz w:val="24"/>
          <w:szCs w:val="24"/>
        </w:rPr>
      </w:pPr>
      <w:r w:rsidRPr="00B953C2">
        <w:rPr>
          <w:rFonts w:ascii="Arial" w:hAnsi="Arial" w:cs="Arial"/>
          <w:color w:val="000000" w:themeColor="text1"/>
          <w:sz w:val="24"/>
          <w:szCs w:val="24"/>
        </w:rPr>
        <w:t>Situation</w:t>
      </w:r>
    </w:p>
    <w:p w:rsidR="00B953C2" w:rsidRPr="00B953C2" w:rsidRDefault="00B953C2">
      <w:pPr>
        <w:rPr>
          <w:rFonts w:ascii="Arial" w:hAnsi="Arial" w:cs="Arial"/>
          <w:b/>
        </w:rPr>
      </w:pPr>
    </w:p>
    <w:p w:rsidR="00E92227" w:rsidRPr="00B953C2" w:rsidRDefault="000F6AEF">
      <w:pPr>
        <w:rPr>
          <w:rFonts w:ascii="Arial" w:hAnsi="Arial" w:cs="Arial"/>
        </w:rPr>
      </w:pPr>
      <w:r w:rsidRPr="00B953C2">
        <w:rPr>
          <w:rFonts w:ascii="Arial" w:hAnsi="Arial" w:cs="Arial"/>
        </w:rPr>
        <w:t xml:space="preserve">A Board </w:t>
      </w:r>
      <w:r w:rsidR="001413AD" w:rsidRPr="00B953C2">
        <w:rPr>
          <w:rFonts w:ascii="Arial" w:hAnsi="Arial" w:cs="Arial"/>
        </w:rPr>
        <w:t>seminar</w:t>
      </w:r>
      <w:r w:rsidRPr="00B953C2">
        <w:rPr>
          <w:rFonts w:ascii="Arial" w:hAnsi="Arial" w:cs="Arial"/>
        </w:rPr>
        <w:t xml:space="preserve"> was held to review the Risk Appetite for the Board and support </w:t>
      </w:r>
      <w:r w:rsidR="001413AD" w:rsidRPr="00B953C2">
        <w:rPr>
          <w:rFonts w:ascii="Arial" w:hAnsi="Arial" w:cs="Arial"/>
        </w:rPr>
        <w:t xml:space="preserve">detailed discussed and review of the risk register.  </w:t>
      </w:r>
      <w:r w:rsidRPr="00B953C2">
        <w:rPr>
          <w:rFonts w:ascii="Arial" w:hAnsi="Arial" w:cs="Arial"/>
        </w:rPr>
        <w:t xml:space="preserve">This paper presents the outputs from the workshop </w:t>
      </w:r>
      <w:r w:rsidR="00FC0797" w:rsidRPr="00B953C2">
        <w:rPr>
          <w:rFonts w:ascii="Arial" w:hAnsi="Arial" w:cs="Arial"/>
        </w:rPr>
        <w:t>which have bee</w:t>
      </w:r>
      <w:r w:rsidR="0009421D" w:rsidRPr="00B953C2">
        <w:rPr>
          <w:rFonts w:ascii="Arial" w:hAnsi="Arial" w:cs="Arial"/>
        </w:rPr>
        <w:t>n</w:t>
      </w:r>
      <w:r w:rsidR="00FC0797" w:rsidRPr="00B953C2">
        <w:rPr>
          <w:rFonts w:ascii="Arial" w:hAnsi="Arial" w:cs="Arial"/>
        </w:rPr>
        <w:t xml:space="preserve"> </w:t>
      </w:r>
      <w:r w:rsidR="00287D61">
        <w:rPr>
          <w:rFonts w:ascii="Arial" w:hAnsi="Arial" w:cs="Arial"/>
        </w:rPr>
        <w:t>endorsed</w:t>
      </w:r>
      <w:r w:rsidR="00FC0797" w:rsidRPr="00B953C2">
        <w:rPr>
          <w:rFonts w:ascii="Arial" w:hAnsi="Arial" w:cs="Arial"/>
        </w:rPr>
        <w:t xml:space="preserve"> by the Audit &amp; Risk Committee.  </w:t>
      </w:r>
    </w:p>
    <w:p w:rsidR="00E92227" w:rsidRPr="00B953C2" w:rsidRDefault="00E92227">
      <w:pPr>
        <w:rPr>
          <w:rFonts w:ascii="Arial" w:hAnsi="Arial" w:cs="Arial"/>
        </w:rPr>
      </w:pPr>
    </w:p>
    <w:p w:rsidR="00B953C2" w:rsidRPr="00B953C2" w:rsidRDefault="00B953C2" w:rsidP="00B953C2">
      <w:pPr>
        <w:pStyle w:val="Heading2"/>
        <w:keepLines w:val="0"/>
        <w:numPr>
          <w:ilvl w:val="0"/>
          <w:numId w:val="21"/>
        </w:numPr>
        <w:spacing w:before="0"/>
        <w:ind w:left="567" w:right="181" w:hanging="567"/>
        <w:rPr>
          <w:rFonts w:ascii="Arial" w:hAnsi="Arial" w:cs="Arial"/>
          <w:color w:val="000000" w:themeColor="text1"/>
          <w:sz w:val="24"/>
          <w:szCs w:val="24"/>
        </w:rPr>
      </w:pPr>
      <w:r w:rsidRPr="00B953C2">
        <w:rPr>
          <w:rFonts w:ascii="Arial" w:hAnsi="Arial" w:cs="Arial"/>
          <w:color w:val="000000" w:themeColor="text1"/>
          <w:sz w:val="24"/>
          <w:szCs w:val="24"/>
        </w:rPr>
        <w:t>Background</w:t>
      </w:r>
    </w:p>
    <w:p w:rsidR="009476AB" w:rsidRPr="00B953C2" w:rsidRDefault="009476AB" w:rsidP="009476AB">
      <w:pPr>
        <w:jc w:val="both"/>
        <w:outlineLvl w:val="0"/>
        <w:rPr>
          <w:rFonts w:ascii="Arial" w:hAnsi="Arial" w:cs="Arial"/>
          <w:b/>
        </w:rPr>
      </w:pPr>
    </w:p>
    <w:p w:rsidR="004951F1" w:rsidRPr="00B953C2" w:rsidRDefault="000F6AEF" w:rsidP="00225D9E">
      <w:pPr>
        <w:rPr>
          <w:rFonts w:ascii="Arial" w:hAnsi="Arial" w:cs="Arial"/>
        </w:rPr>
      </w:pPr>
      <w:r w:rsidRPr="00B953C2">
        <w:rPr>
          <w:rFonts w:ascii="Arial" w:hAnsi="Arial" w:cs="Arial"/>
        </w:rPr>
        <w:t xml:space="preserve">The risk appetite statement was last </w:t>
      </w:r>
      <w:r w:rsidR="001413AD" w:rsidRPr="00B953C2">
        <w:rPr>
          <w:rFonts w:ascii="Arial" w:hAnsi="Arial" w:cs="Arial"/>
        </w:rPr>
        <w:t>updated</w:t>
      </w:r>
      <w:r w:rsidRPr="00B953C2">
        <w:rPr>
          <w:rFonts w:ascii="Arial" w:hAnsi="Arial" w:cs="Arial"/>
        </w:rPr>
        <w:t xml:space="preserve"> in </w:t>
      </w:r>
      <w:r w:rsidR="001413AD" w:rsidRPr="00B953C2">
        <w:rPr>
          <w:rFonts w:ascii="Arial" w:hAnsi="Arial" w:cs="Arial"/>
        </w:rPr>
        <w:t>February</w:t>
      </w:r>
      <w:r w:rsidRPr="00B953C2">
        <w:rPr>
          <w:rFonts w:ascii="Arial" w:hAnsi="Arial" w:cs="Arial"/>
        </w:rPr>
        <w:t xml:space="preserve"> 20</w:t>
      </w:r>
      <w:r w:rsidR="001413AD" w:rsidRPr="00B953C2">
        <w:rPr>
          <w:rFonts w:ascii="Arial" w:hAnsi="Arial" w:cs="Arial"/>
        </w:rPr>
        <w:t>20 and the December seminar supported the annual refresh.  The last 12 months with th</w:t>
      </w:r>
      <w:r w:rsidR="00225D9E" w:rsidRPr="00B953C2">
        <w:rPr>
          <w:rFonts w:ascii="Arial" w:hAnsi="Arial" w:cs="Arial"/>
        </w:rPr>
        <w:t>e COVID pandemic were discussed with assurance that the governance and risk management arrangements throughout this were aligned to our risk appetite in supporting robust decision making and continued service delivery with safety as a priority</w:t>
      </w:r>
      <w:r w:rsidR="00637331" w:rsidRPr="00B953C2">
        <w:rPr>
          <w:rFonts w:ascii="Arial" w:hAnsi="Arial" w:cs="Arial"/>
        </w:rPr>
        <w:t xml:space="preserve">.  The Board standing committees had further opportunity to comment on the risks aligned to them at meetings in January 2021.  The Director of Finance, Executive Chair of Audit &amp; Risk Committee and Head of Risk &amp; Clinical Governance met in February 2021 to discuss the outputs of seminar and links to the Audit plan.  </w:t>
      </w:r>
      <w:r w:rsidR="004951F1" w:rsidRPr="00B953C2">
        <w:rPr>
          <w:rFonts w:ascii="Arial" w:hAnsi="Arial" w:cs="Arial"/>
        </w:rPr>
        <w:t xml:space="preserve">  </w:t>
      </w:r>
    </w:p>
    <w:p w:rsidR="00E569E7" w:rsidRPr="00B953C2" w:rsidRDefault="00E569E7" w:rsidP="001C2518">
      <w:pPr>
        <w:rPr>
          <w:rFonts w:ascii="Arial" w:hAnsi="Arial" w:cs="Arial"/>
          <w:b/>
        </w:rPr>
      </w:pPr>
    </w:p>
    <w:p w:rsidR="00B953C2" w:rsidRPr="00B953C2" w:rsidRDefault="00B953C2" w:rsidP="00B953C2">
      <w:pPr>
        <w:pStyle w:val="Heading2"/>
        <w:keepLines w:val="0"/>
        <w:numPr>
          <w:ilvl w:val="0"/>
          <w:numId w:val="21"/>
        </w:numPr>
        <w:spacing w:before="0"/>
        <w:ind w:left="567" w:right="181" w:hanging="567"/>
        <w:rPr>
          <w:rFonts w:ascii="Arial" w:hAnsi="Arial" w:cs="Arial"/>
          <w:color w:val="000000" w:themeColor="text1"/>
          <w:sz w:val="24"/>
          <w:szCs w:val="24"/>
        </w:rPr>
      </w:pPr>
      <w:r w:rsidRPr="00B953C2">
        <w:rPr>
          <w:rFonts w:ascii="Arial" w:hAnsi="Arial" w:cs="Arial"/>
          <w:color w:val="000000" w:themeColor="text1"/>
          <w:sz w:val="24"/>
          <w:szCs w:val="24"/>
        </w:rPr>
        <w:t>Assessment</w:t>
      </w:r>
    </w:p>
    <w:p w:rsidR="004951F1" w:rsidRPr="00B953C2" w:rsidRDefault="004951F1" w:rsidP="004951F1">
      <w:pPr>
        <w:rPr>
          <w:rFonts w:ascii="Arial" w:hAnsi="Arial" w:cs="Arial"/>
        </w:rPr>
      </w:pPr>
    </w:p>
    <w:p w:rsidR="004951F1" w:rsidRPr="00B953C2" w:rsidRDefault="004951F1" w:rsidP="004951F1">
      <w:pPr>
        <w:rPr>
          <w:rFonts w:ascii="Arial" w:hAnsi="Arial" w:cs="Arial"/>
        </w:rPr>
      </w:pPr>
      <w:r w:rsidRPr="00B953C2">
        <w:rPr>
          <w:rFonts w:ascii="Arial" w:hAnsi="Arial" w:cs="Arial"/>
        </w:rPr>
        <w:t xml:space="preserve">The Board Risk Appetite has been updated with a refreshed matrix and statement appended for discussion and </w:t>
      </w:r>
      <w:r w:rsidR="00C646A5" w:rsidRPr="00B953C2">
        <w:rPr>
          <w:rFonts w:ascii="Arial" w:hAnsi="Arial" w:cs="Arial"/>
        </w:rPr>
        <w:t>approval</w:t>
      </w:r>
      <w:r w:rsidRPr="00B953C2">
        <w:rPr>
          <w:rFonts w:ascii="Arial" w:hAnsi="Arial" w:cs="Arial"/>
        </w:rPr>
        <w:t xml:space="preserve"> (appendix A</w:t>
      </w:r>
      <w:r w:rsidR="00225D9E" w:rsidRPr="00B953C2">
        <w:rPr>
          <w:rFonts w:ascii="Arial" w:hAnsi="Arial" w:cs="Arial"/>
        </w:rPr>
        <w:t>).  It was proposed that we continue to develop the appetite.  In recogni</w:t>
      </w:r>
      <w:r w:rsidR="00B10198">
        <w:rPr>
          <w:rFonts w:ascii="Arial" w:hAnsi="Arial" w:cs="Arial"/>
        </w:rPr>
        <w:t>s</w:t>
      </w:r>
      <w:r w:rsidR="00225D9E" w:rsidRPr="00B953C2">
        <w:rPr>
          <w:rFonts w:ascii="Arial" w:hAnsi="Arial" w:cs="Arial"/>
        </w:rPr>
        <w:t xml:space="preserve">ing the differences across the core services of the hospital, hotel and research &amp; development we will continue to consider appetite across these.  In addition, in reflecting the changing profile of the Board we will consider the appetite across the key national and strategic work programmes including but not limited to the Academy and National Elective Centres.  This will be developed via the appropriate groups and committees and will report up to the newly formed Strategic Portfolio Committee and Audit &amp; Risk Committee.  </w:t>
      </w:r>
      <w:bookmarkStart w:id="0" w:name="_GoBack"/>
      <w:bookmarkEnd w:id="0"/>
    </w:p>
    <w:p w:rsidR="004951F1" w:rsidRPr="00B953C2" w:rsidRDefault="004951F1" w:rsidP="004951F1">
      <w:pPr>
        <w:rPr>
          <w:rFonts w:ascii="Arial" w:hAnsi="Arial" w:cs="Arial"/>
        </w:rPr>
      </w:pPr>
    </w:p>
    <w:p w:rsidR="00637331" w:rsidRPr="00B953C2" w:rsidRDefault="00225D9E" w:rsidP="004951F1">
      <w:pPr>
        <w:rPr>
          <w:rFonts w:ascii="Arial" w:hAnsi="Arial" w:cs="Arial"/>
        </w:rPr>
      </w:pPr>
      <w:r w:rsidRPr="00B953C2">
        <w:rPr>
          <w:rFonts w:ascii="Arial" w:hAnsi="Arial" w:cs="Arial"/>
        </w:rPr>
        <w:t xml:space="preserve">The Board high risks were discussed in detail at the seminar and an </w:t>
      </w:r>
      <w:r w:rsidR="00637331" w:rsidRPr="00B953C2">
        <w:rPr>
          <w:rFonts w:ascii="Arial" w:hAnsi="Arial" w:cs="Arial"/>
        </w:rPr>
        <w:t>overview of the</w:t>
      </w:r>
      <w:r w:rsidR="004951F1" w:rsidRPr="00B953C2">
        <w:rPr>
          <w:rFonts w:ascii="Arial" w:hAnsi="Arial" w:cs="Arial"/>
        </w:rPr>
        <w:t xml:space="preserve"> Board Risk Register </w:t>
      </w:r>
      <w:r w:rsidRPr="00B953C2">
        <w:rPr>
          <w:rFonts w:ascii="Arial" w:hAnsi="Arial" w:cs="Arial"/>
        </w:rPr>
        <w:t>is</w:t>
      </w:r>
      <w:r w:rsidR="004951F1" w:rsidRPr="00B953C2">
        <w:rPr>
          <w:rFonts w:ascii="Arial" w:hAnsi="Arial" w:cs="Arial"/>
        </w:rPr>
        <w:t xml:space="preserve"> provided in the appendix (appendix B).</w:t>
      </w:r>
      <w:r w:rsidR="00637331" w:rsidRPr="00B953C2">
        <w:rPr>
          <w:rFonts w:ascii="Arial" w:hAnsi="Arial" w:cs="Arial"/>
        </w:rPr>
        <w:t xml:space="preserve">  Mitigations for all risks have been updated and will continue to be regularly reviewed.  The overview</w:t>
      </w:r>
      <w:r w:rsidRPr="00B953C2">
        <w:rPr>
          <w:rFonts w:ascii="Arial" w:hAnsi="Arial" w:cs="Arial"/>
        </w:rPr>
        <w:t xml:space="preserve"> includes </w:t>
      </w:r>
      <w:r w:rsidRPr="00B953C2">
        <w:rPr>
          <w:rFonts w:ascii="Arial" w:hAnsi="Arial" w:cs="Arial"/>
        </w:rPr>
        <w:lastRenderedPageBreak/>
        <w:t xml:space="preserve">refresh of the Board committee that the risks are aligned to taking </w:t>
      </w:r>
      <w:r w:rsidR="00637331" w:rsidRPr="00B953C2">
        <w:rPr>
          <w:rFonts w:ascii="Arial" w:hAnsi="Arial" w:cs="Arial"/>
        </w:rPr>
        <w:t>cognis</w:t>
      </w:r>
      <w:r w:rsidRPr="00B953C2">
        <w:rPr>
          <w:rFonts w:ascii="Arial" w:hAnsi="Arial" w:cs="Arial"/>
        </w:rPr>
        <w:t xml:space="preserve">ance of the new </w:t>
      </w:r>
      <w:r w:rsidR="00637331" w:rsidRPr="00B953C2">
        <w:rPr>
          <w:rFonts w:ascii="Arial" w:hAnsi="Arial" w:cs="Arial"/>
        </w:rPr>
        <w:t>Strategic Portfolio Committee</w:t>
      </w:r>
      <w:r w:rsidRPr="00B953C2">
        <w:rPr>
          <w:rFonts w:ascii="Arial" w:hAnsi="Arial" w:cs="Arial"/>
        </w:rPr>
        <w:t xml:space="preserve">.  </w:t>
      </w:r>
      <w:r w:rsidR="00FC0797" w:rsidRPr="00B953C2">
        <w:rPr>
          <w:rFonts w:ascii="Arial" w:hAnsi="Arial" w:cs="Arial"/>
        </w:rPr>
        <w:t xml:space="preserve">The risks </w:t>
      </w:r>
      <w:r w:rsidR="00CE61C0" w:rsidRPr="00B953C2">
        <w:rPr>
          <w:rFonts w:ascii="Arial" w:hAnsi="Arial" w:cs="Arial"/>
        </w:rPr>
        <w:t>aligned</w:t>
      </w:r>
      <w:r w:rsidR="00FC0797" w:rsidRPr="00B953C2">
        <w:rPr>
          <w:rFonts w:ascii="Arial" w:hAnsi="Arial" w:cs="Arial"/>
        </w:rPr>
        <w:t xml:space="preserve"> to this committee </w:t>
      </w:r>
      <w:r w:rsidR="00CE61C0" w:rsidRPr="00B953C2">
        <w:rPr>
          <w:rFonts w:ascii="Arial" w:hAnsi="Arial" w:cs="Arial"/>
        </w:rPr>
        <w:t xml:space="preserve">are S6, S10 and shared overview of S20.  </w:t>
      </w:r>
    </w:p>
    <w:p w:rsidR="000C4A83" w:rsidRPr="00B953C2" w:rsidRDefault="000C4A83" w:rsidP="004951F1">
      <w:pPr>
        <w:rPr>
          <w:rFonts w:ascii="Arial" w:hAnsi="Arial" w:cs="Arial"/>
        </w:rPr>
      </w:pPr>
    </w:p>
    <w:p w:rsidR="00362831" w:rsidRPr="00B953C2" w:rsidRDefault="000C4A83" w:rsidP="004951F1">
      <w:pPr>
        <w:rPr>
          <w:rFonts w:ascii="Arial" w:hAnsi="Arial" w:cs="Arial"/>
        </w:rPr>
      </w:pPr>
      <w:r w:rsidRPr="00B953C2">
        <w:rPr>
          <w:rFonts w:ascii="Arial" w:hAnsi="Arial" w:cs="Arial"/>
        </w:rPr>
        <w:t xml:space="preserve">The Board seminar discussion included agreement to explore further the COP26 and UEFA events planned in 2021 and any potential impact of these.  National resilience meetings for these events have restarted with early stage planning discussions.  A formal update will be provided to the next meeting.  The importance of the embedding agile working was noted with acknowledgement this supports workforce risks and of the ehealth and operational aspects underpinning delivery of this.  The Strategic Portfolio Committee will consider this </w:t>
      </w:r>
      <w:r w:rsidR="00362831" w:rsidRPr="00B953C2">
        <w:rPr>
          <w:rFonts w:ascii="Arial" w:hAnsi="Arial" w:cs="Arial"/>
        </w:rPr>
        <w:t xml:space="preserve">with the Workplace for the Future programme to support benefits realisation.  The ongoing impact of COVID and changing regulations over the coming period was discussed noting the vaccination roll out and further lockdown (potential at time of discussions now in place).  There was agreement that the governance structures continue to support an agile response to emerging issues and guidance and the risks within the register will be updated regularly to remain live to current issues.  </w:t>
      </w:r>
    </w:p>
    <w:p w:rsidR="00362831" w:rsidRPr="00B953C2" w:rsidRDefault="00362831" w:rsidP="004951F1">
      <w:pPr>
        <w:rPr>
          <w:rFonts w:ascii="Arial" w:hAnsi="Arial" w:cs="Arial"/>
        </w:rPr>
      </w:pPr>
    </w:p>
    <w:p w:rsidR="000C4A83" w:rsidRPr="00B953C2" w:rsidRDefault="00362831" w:rsidP="004951F1">
      <w:pPr>
        <w:rPr>
          <w:rFonts w:ascii="Arial" w:hAnsi="Arial" w:cs="Arial"/>
        </w:rPr>
      </w:pPr>
      <w:r w:rsidRPr="00B953C2">
        <w:rPr>
          <w:rFonts w:ascii="Arial" w:hAnsi="Arial" w:cs="Arial"/>
        </w:rPr>
        <w:t xml:space="preserve">No additional risks were identified at this time for escalation or addition to the Board register.    </w:t>
      </w:r>
    </w:p>
    <w:p w:rsidR="004E1A40" w:rsidRPr="00B953C2" w:rsidRDefault="004E1A40" w:rsidP="00E5658D">
      <w:pPr>
        <w:outlineLvl w:val="0"/>
        <w:rPr>
          <w:rFonts w:ascii="Arial" w:hAnsi="Arial" w:cs="Arial"/>
        </w:rPr>
      </w:pPr>
    </w:p>
    <w:p w:rsidR="00B953C2" w:rsidRPr="00B953C2" w:rsidRDefault="00B953C2" w:rsidP="00B953C2">
      <w:pPr>
        <w:pStyle w:val="Heading2"/>
        <w:keepLines w:val="0"/>
        <w:numPr>
          <w:ilvl w:val="0"/>
          <w:numId w:val="21"/>
        </w:numPr>
        <w:spacing w:before="0"/>
        <w:ind w:left="567" w:right="181" w:hanging="567"/>
        <w:rPr>
          <w:rFonts w:ascii="Arial" w:hAnsi="Arial" w:cs="Arial"/>
          <w:color w:val="000000" w:themeColor="text1"/>
          <w:sz w:val="24"/>
          <w:szCs w:val="24"/>
        </w:rPr>
      </w:pPr>
      <w:r w:rsidRPr="00B953C2">
        <w:rPr>
          <w:rFonts w:ascii="Arial" w:hAnsi="Arial" w:cs="Arial"/>
          <w:color w:val="000000" w:themeColor="text1"/>
          <w:sz w:val="24"/>
          <w:szCs w:val="24"/>
        </w:rPr>
        <w:t>Recommendation</w:t>
      </w:r>
    </w:p>
    <w:p w:rsidR="00174EED" w:rsidRPr="00B953C2" w:rsidRDefault="00174EED" w:rsidP="00174EED">
      <w:pPr>
        <w:jc w:val="both"/>
        <w:rPr>
          <w:rFonts w:ascii="Arial" w:hAnsi="Arial" w:cs="Arial"/>
        </w:rPr>
      </w:pPr>
    </w:p>
    <w:p w:rsidR="00637331" w:rsidRPr="00B953C2" w:rsidRDefault="00B953C2" w:rsidP="00FC0797">
      <w:pPr>
        <w:rPr>
          <w:rFonts w:ascii="Arial" w:hAnsi="Arial" w:cs="Arial"/>
        </w:rPr>
      </w:pPr>
      <w:r w:rsidRPr="00B953C2">
        <w:rPr>
          <w:rFonts w:ascii="Arial" w:hAnsi="Arial" w:cs="Arial"/>
        </w:rPr>
        <w:t xml:space="preserve">Board </w:t>
      </w:r>
      <w:r w:rsidR="00FC0797" w:rsidRPr="00B953C2">
        <w:rPr>
          <w:rFonts w:ascii="Arial" w:hAnsi="Arial" w:cs="Arial"/>
        </w:rPr>
        <w:t>Members are asked to note this update</w:t>
      </w:r>
      <w:r w:rsidRPr="00B953C2">
        <w:rPr>
          <w:rFonts w:ascii="Arial" w:hAnsi="Arial" w:cs="Arial"/>
        </w:rPr>
        <w:t>.</w:t>
      </w:r>
    </w:p>
    <w:p w:rsidR="00FC0797" w:rsidRDefault="00FC0797" w:rsidP="00E5658D">
      <w:pPr>
        <w:rPr>
          <w:rFonts w:ascii="Arial" w:hAnsi="Arial" w:cs="Arial"/>
          <w:b/>
        </w:rPr>
      </w:pPr>
    </w:p>
    <w:p w:rsidR="00532688" w:rsidRDefault="00532688" w:rsidP="00E5658D">
      <w:pPr>
        <w:rPr>
          <w:rFonts w:ascii="Arial" w:hAnsi="Arial" w:cs="Arial"/>
          <w:b/>
        </w:rPr>
      </w:pPr>
    </w:p>
    <w:p w:rsidR="00532688" w:rsidRDefault="00532688" w:rsidP="00E5658D">
      <w:pPr>
        <w:rPr>
          <w:rFonts w:ascii="Arial" w:hAnsi="Arial" w:cs="Arial"/>
          <w:b/>
        </w:rPr>
      </w:pPr>
      <w:r>
        <w:rPr>
          <w:rFonts w:ascii="Arial" w:hAnsi="Arial" w:cs="Arial"/>
          <w:b/>
        </w:rPr>
        <w:t>Colin Neil</w:t>
      </w:r>
    </w:p>
    <w:p w:rsidR="00532688" w:rsidRDefault="00532688" w:rsidP="00E5658D">
      <w:pPr>
        <w:rPr>
          <w:rFonts w:ascii="Arial" w:hAnsi="Arial" w:cs="Arial"/>
          <w:b/>
        </w:rPr>
      </w:pPr>
      <w:r>
        <w:rPr>
          <w:rFonts w:ascii="Arial" w:hAnsi="Arial" w:cs="Arial"/>
          <w:b/>
        </w:rPr>
        <w:t>Director of Finance</w:t>
      </w:r>
    </w:p>
    <w:p w:rsidR="00532688" w:rsidRPr="00B953C2" w:rsidRDefault="00532688" w:rsidP="00E5658D">
      <w:pPr>
        <w:rPr>
          <w:rFonts w:ascii="Arial" w:hAnsi="Arial" w:cs="Arial"/>
          <w:b/>
        </w:rPr>
      </w:pPr>
      <w:r>
        <w:rPr>
          <w:rFonts w:ascii="Arial" w:hAnsi="Arial" w:cs="Arial"/>
          <w:b/>
        </w:rPr>
        <w:t>11 March 2021</w:t>
      </w:r>
    </w:p>
    <w:p w:rsidR="00621EB0" w:rsidRPr="00B953C2" w:rsidRDefault="00532688" w:rsidP="00E5658D">
      <w:pPr>
        <w:rPr>
          <w:rFonts w:ascii="Arial" w:hAnsi="Arial" w:cs="Arial"/>
          <w:b/>
        </w:rPr>
      </w:pPr>
      <w:r>
        <w:rPr>
          <w:rFonts w:ascii="Arial" w:hAnsi="Arial" w:cs="Arial"/>
          <w:b/>
        </w:rPr>
        <w:t xml:space="preserve">(Laura Langan, </w:t>
      </w:r>
      <w:r w:rsidR="00621EB0" w:rsidRPr="00B953C2">
        <w:rPr>
          <w:rFonts w:ascii="Arial" w:hAnsi="Arial" w:cs="Arial"/>
          <w:b/>
        </w:rPr>
        <w:t>Hea</w:t>
      </w:r>
      <w:r w:rsidR="00FC0797" w:rsidRPr="00B953C2">
        <w:rPr>
          <w:rFonts w:ascii="Arial" w:hAnsi="Arial" w:cs="Arial"/>
          <w:b/>
        </w:rPr>
        <w:t>d of Risk &amp; Clinical Governance</w:t>
      </w:r>
      <w:r>
        <w:rPr>
          <w:rFonts w:ascii="Arial" w:hAnsi="Arial" w:cs="Arial"/>
          <w:b/>
        </w:rPr>
        <w:t>)</w:t>
      </w:r>
    </w:p>
    <w:p w:rsidR="00621EB0" w:rsidRDefault="00621EB0" w:rsidP="00E5658D">
      <w:pPr>
        <w:rPr>
          <w:rFonts w:ascii="Arial" w:hAnsi="Arial" w:cs="Arial"/>
          <w:b/>
          <w:sz w:val="22"/>
          <w:szCs w:val="22"/>
        </w:rPr>
      </w:pPr>
    </w:p>
    <w:p w:rsidR="00621EB0" w:rsidRDefault="00621EB0" w:rsidP="00E5658D">
      <w:pPr>
        <w:rPr>
          <w:rFonts w:ascii="Arial" w:hAnsi="Arial" w:cs="Arial"/>
          <w:b/>
          <w:sz w:val="22"/>
          <w:szCs w:val="22"/>
        </w:rPr>
      </w:pPr>
    </w:p>
    <w:p w:rsidR="00126A74" w:rsidRDefault="00126A74" w:rsidP="00E5658D">
      <w:pPr>
        <w:rPr>
          <w:rFonts w:ascii="Arial" w:hAnsi="Arial" w:cs="Arial"/>
          <w:b/>
          <w:sz w:val="22"/>
          <w:szCs w:val="22"/>
        </w:rPr>
      </w:pPr>
    </w:p>
    <w:p w:rsidR="000C4A83" w:rsidRDefault="000C4A83">
      <w:pPr>
        <w:rPr>
          <w:rFonts w:ascii="Arial" w:hAnsi="Arial" w:cs="Arial"/>
          <w:b/>
          <w:sz w:val="22"/>
          <w:szCs w:val="22"/>
          <w:u w:val="single"/>
        </w:rPr>
      </w:pPr>
      <w:r>
        <w:rPr>
          <w:rFonts w:ascii="Arial" w:hAnsi="Arial" w:cs="Arial"/>
          <w:b/>
          <w:sz w:val="22"/>
          <w:szCs w:val="22"/>
          <w:u w:val="single"/>
        </w:rPr>
        <w:br w:type="page"/>
      </w:r>
    </w:p>
    <w:p w:rsidR="00621EB0" w:rsidRPr="00C646A5" w:rsidRDefault="00621EB0" w:rsidP="00E5658D">
      <w:pPr>
        <w:rPr>
          <w:rFonts w:ascii="Arial" w:hAnsi="Arial" w:cs="Arial"/>
          <w:b/>
          <w:sz w:val="22"/>
          <w:szCs w:val="22"/>
          <w:u w:val="single"/>
        </w:rPr>
      </w:pPr>
      <w:r w:rsidRPr="00C646A5">
        <w:rPr>
          <w:rFonts w:ascii="Arial" w:hAnsi="Arial" w:cs="Arial"/>
          <w:b/>
          <w:sz w:val="22"/>
          <w:szCs w:val="22"/>
          <w:u w:val="single"/>
        </w:rPr>
        <w:lastRenderedPageBreak/>
        <w:t>Appendix A – Refreshed Board Risk Appetite</w:t>
      </w:r>
    </w:p>
    <w:p w:rsidR="00872C61" w:rsidRPr="00765145" w:rsidRDefault="00872C61" w:rsidP="00872C61">
      <w:pPr>
        <w:rPr>
          <w:rFonts w:ascii="Arial" w:hAnsi="Arial" w:cs="Arial"/>
          <w:sz w:val="16"/>
          <w:szCs w:val="16"/>
        </w:rPr>
      </w:pPr>
    </w:p>
    <w:p w:rsidR="00872C61" w:rsidRPr="00765145" w:rsidRDefault="00872C61" w:rsidP="00872C61">
      <w:pPr>
        <w:jc w:val="cente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130"/>
        <w:gridCol w:w="1130"/>
        <w:gridCol w:w="1130"/>
      </w:tblGrid>
      <w:tr w:rsidR="00872C61" w:rsidRPr="0079522F" w:rsidTr="00C0440A">
        <w:trPr>
          <w:trHeight w:val="668"/>
          <w:jc w:val="center"/>
        </w:trPr>
        <w:tc>
          <w:tcPr>
            <w:tcW w:w="1838" w:type="dxa"/>
            <w:vAlign w:val="center"/>
          </w:tcPr>
          <w:p w:rsidR="00872C61" w:rsidRPr="0079522F" w:rsidRDefault="00872C61" w:rsidP="00C0440A">
            <w:pPr>
              <w:tabs>
                <w:tab w:val="center" w:pos="4320"/>
                <w:tab w:val="right" w:pos="8640"/>
              </w:tabs>
              <w:jc w:val="center"/>
              <w:rPr>
                <w:rFonts w:ascii="Arial Narrow" w:hAnsi="Arial Narrow" w:cs="Arial"/>
                <w:b/>
                <w:sz w:val="16"/>
                <w:szCs w:val="16"/>
              </w:rPr>
            </w:pPr>
            <w:r w:rsidRPr="0079522F">
              <w:rPr>
                <w:rFonts w:ascii="Arial Narrow" w:hAnsi="Arial Narrow" w:cs="Arial"/>
                <w:b/>
                <w:noProof/>
                <w:sz w:val="16"/>
                <w:szCs w:val="16"/>
                <w:lang w:val="en-GB" w:eastAsia="en-GB"/>
              </w:rPr>
              <w:drawing>
                <wp:inline distT="0" distB="0" distL="0" distR="0" wp14:anchorId="1C02B8B0" wp14:editId="2F740A83">
                  <wp:extent cx="414655" cy="340360"/>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5815" t="41689" r="76152" b="32146"/>
                          <a:stretch>
                            <a:fillRect/>
                          </a:stretch>
                        </pic:blipFill>
                        <pic:spPr bwMode="auto">
                          <a:xfrm>
                            <a:off x="0" y="0"/>
                            <a:ext cx="414655" cy="340360"/>
                          </a:xfrm>
                          <a:prstGeom prst="rect">
                            <a:avLst/>
                          </a:prstGeom>
                          <a:noFill/>
                          <a:ln>
                            <a:noFill/>
                          </a:ln>
                        </pic:spPr>
                      </pic:pic>
                    </a:graphicData>
                  </a:graphic>
                </wp:inline>
              </w:drawing>
            </w:r>
          </w:p>
        </w:tc>
        <w:tc>
          <w:tcPr>
            <w:tcW w:w="1130" w:type="dxa"/>
            <w:vAlign w:val="center"/>
          </w:tcPr>
          <w:p w:rsidR="00872C61" w:rsidRPr="0079522F" w:rsidRDefault="00872C61" w:rsidP="00C0440A">
            <w:pPr>
              <w:tabs>
                <w:tab w:val="center" w:pos="4320"/>
                <w:tab w:val="right" w:pos="8640"/>
              </w:tabs>
              <w:jc w:val="center"/>
              <w:rPr>
                <w:rFonts w:ascii="Arial Narrow" w:hAnsi="Arial Narrow" w:cs="Arial"/>
                <w:b/>
                <w:sz w:val="16"/>
                <w:szCs w:val="16"/>
              </w:rPr>
            </w:pPr>
            <w:r w:rsidRPr="0079522F">
              <w:rPr>
                <w:rFonts w:ascii="Arial Narrow" w:hAnsi="Arial Narrow" w:cs="Arial"/>
                <w:b/>
                <w:sz w:val="16"/>
                <w:szCs w:val="16"/>
              </w:rPr>
              <w:t>Hospital</w:t>
            </w:r>
          </w:p>
        </w:tc>
        <w:tc>
          <w:tcPr>
            <w:tcW w:w="1130" w:type="dxa"/>
            <w:vAlign w:val="center"/>
          </w:tcPr>
          <w:p w:rsidR="00872C61" w:rsidRPr="0079522F" w:rsidRDefault="00872C61" w:rsidP="00C0440A">
            <w:pPr>
              <w:tabs>
                <w:tab w:val="center" w:pos="4320"/>
                <w:tab w:val="right" w:pos="8640"/>
              </w:tabs>
              <w:jc w:val="center"/>
              <w:rPr>
                <w:rFonts w:ascii="Arial Narrow" w:hAnsi="Arial Narrow" w:cs="Arial"/>
                <w:b/>
                <w:sz w:val="16"/>
                <w:szCs w:val="16"/>
              </w:rPr>
            </w:pPr>
            <w:r w:rsidRPr="0079522F">
              <w:rPr>
                <w:rFonts w:ascii="Arial Narrow" w:hAnsi="Arial Narrow" w:cs="Arial"/>
                <w:b/>
                <w:sz w:val="16"/>
                <w:szCs w:val="16"/>
              </w:rPr>
              <w:t>Hotel</w:t>
            </w:r>
          </w:p>
        </w:tc>
        <w:tc>
          <w:tcPr>
            <w:tcW w:w="1130" w:type="dxa"/>
            <w:vAlign w:val="center"/>
          </w:tcPr>
          <w:p w:rsidR="00872C61" w:rsidRPr="0079522F" w:rsidRDefault="00872C61" w:rsidP="00C0440A">
            <w:pPr>
              <w:tabs>
                <w:tab w:val="center" w:pos="4320"/>
                <w:tab w:val="right" w:pos="8640"/>
              </w:tabs>
              <w:jc w:val="center"/>
              <w:rPr>
                <w:rFonts w:ascii="Arial Narrow" w:hAnsi="Arial Narrow" w:cs="Arial"/>
                <w:b/>
                <w:sz w:val="16"/>
                <w:szCs w:val="16"/>
              </w:rPr>
            </w:pPr>
            <w:r w:rsidRPr="0079522F">
              <w:rPr>
                <w:rFonts w:ascii="Arial Narrow" w:hAnsi="Arial Narrow" w:cs="Arial"/>
                <w:b/>
                <w:sz w:val="16"/>
                <w:szCs w:val="16"/>
              </w:rPr>
              <w:t>R&amp;D</w:t>
            </w:r>
          </w:p>
        </w:tc>
      </w:tr>
      <w:tr w:rsidR="00872C61" w:rsidRPr="0079522F" w:rsidTr="00C0440A">
        <w:trPr>
          <w:trHeight w:val="297"/>
          <w:jc w:val="center"/>
        </w:trPr>
        <w:tc>
          <w:tcPr>
            <w:tcW w:w="1838" w:type="dxa"/>
          </w:tcPr>
          <w:p w:rsidR="00872C61" w:rsidRPr="0079522F" w:rsidRDefault="00872C61" w:rsidP="00C0440A">
            <w:pPr>
              <w:tabs>
                <w:tab w:val="center" w:pos="4320"/>
                <w:tab w:val="right" w:pos="8640"/>
              </w:tabs>
              <w:rPr>
                <w:rFonts w:ascii="Arial Narrow" w:hAnsi="Arial Narrow" w:cs="Arial"/>
                <w:b/>
                <w:sz w:val="16"/>
                <w:szCs w:val="16"/>
              </w:rPr>
            </w:pPr>
            <w:r w:rsidRPr="0079522F">
              <w:rPr>
                <w:rFonts w:ascii="Arial Narrow" w:hAnsi="Arial Narrow" w:cs="Arial"/>
                <w:b/>
                <w:sz w:val="16"/>
                <w:szCs w:val="16"/>
              </w:rPr>
              <w:t xml:space="preserve">Strategic </w:t>
            </w:r>
          </w:p>
        </w:tc>
        <w:tc>
          <w:tcPr>
            <w:tcW w:w="1130" w:type="dxa"/>
            <w:shd w:val="clear" w:color="auto" w:fill="auto"/>
          </w:tcPr>
          <w:p w:rsidR="00872C61" w:rsidRPr="00D51429" w:rsidRDefault="00872C61" w:rsidP="00C0440A">
            <w:pPr>
              <w:tabs>
                <w:tab w:val="center" w:pos="4320"/>
                <w:tab w:val="right" w:pos="8640"/>
              </w:tabs>
              <w:jc w:val="center"/>
              <w:rPr>
                <w:rFonts w:ascii="Arial Narrow" w:hAnsi="Arial Narrow" w:cs="Arial"/>
                <w:b/>
                <w:sz w:val="16"/>
                <w:szCs w:val="16"/>
                <w:highlight w:val="yellow"/>
              </w:rPr>
            </w:pPr>
            <w:r w:rsidRPr="00880467">
              <w:rPr>
                <w:rFonts w:ascii="Arial Narrow" w:hAnsi="Arial Narrow" w:cs="Arial"/>
                <w:b/>
                <w:sz w:val="16"/>
                <w:szCs w:val="16"/>
              </w:rPr>
              <w:t xml:space="preserve">Willing </w:t>
            </w:r>
          </w:p>
        </w:tc>
        <w:tc>
          <w:tcPr>
            <w:tcW w:w="1130" w:type="dxa"/>
            <w:shd w:val="clear" w:color="auto" w:fill="FFFF00"/>
          </w:tcPr>
          <w:p w:rsidR="00872C61" w:rsidRPr="0079522F" w:rsidRDefault="00872C61" w:rsidP="00C0440A">
            <w:pPr>
              <w:tabs>
                <w:tab w:val="center" w:pos="4320"/>
                <w:tab w:val="right" w:pos="8640"/>
              </w:tabs>
              <w:jc w:val="center"/>
              <w:rPr>
                <w:rFonts w:ascii="Arial Narrow" w:hAnsi="Arial Narrow" w:cs="Arial"/>
                <w:b/>
                <w:sz w:val="16"/>
                <w:szCs w:val="16"/>
              </w:rPr>
            </w:pPr>
            <w:r w:rsidRPr="0079522F">
              <w:rPr>
                <w:rFonts w:ascii="Arial Narrow" w:hAnsi="Arial Narrow" w:cs="Arial"/>
                <w:b/>
                <w:sz w:val="16"/>
                <w:szCs w:val="16"/>
              </w:rPr>
              <w:t>Moderate</w:t>
            </w:r>
          </w:p>
        </w:tc>
        <w:tc>
          <w:tcPr>
            <w:tcW w:w="1130" w:type="dxa"/>
            <w:shd w:val="clear" w:color="auto" w:fill="00B050"/>
          </w:tcPr>
          <w:p w:rsidR="00872C61" w:rsidRPr="0079522F" w:rsidRDefault="00872C61" w:rsidP="00C0440A">
            <w:pPr>
              <w:tabs>
                <w:tab w:val="center" w:pos="4320"/>
                <w:tab w:val="right" w:pos="8640"/>
              </w:tabs>
              <w:jc w:val="center"/>
              <w:rPr>
                <w:rFonts w:ascii="Arial Narrow" w:hAnsi="Arial Narrow" w:cs="Arial"/>
                <w:b/>
                <w:sz w:val="16"/>
                <w:szCs w:val="16"/>
              </w:rPr>
            </w:pPr>
            <w:r w:rsidRPr="00005D06">
              <w:rPr>
                <w:rFonts w:ascii="Arial Narrow" w:hAnsi="Arial Narrow" w:cs="Arial"/>
                <w:b/>
                <w:sz w:val="16"/>
                <w:szCs w:val="16"/>
              </w:rPr>
              <w:t>Open</w:t>
            </w:r>
          </w:p>
        </w:tc>
      </w:tr>
      <w:tr w:rsidR="00872C61" w:rsidRPr="0079522F" w:rsidTr="00C0440A">
        <w:trPr>
          <w:jc w:val="center"/>
        </w:trPr>
        <w:tc>
          <w:tcPr>
            <w:tcW w:w="1838" w:type="dxa"/>
          </w:tcPr>
          <w:p w:rsidR="00872C61" w:rsidRPr="0079522F" w:rsidRDefault="00872C61" w:rsidP="00C0440A">
            <w:pPr>
              <w:tabs>
                <w:tab w:val="center" w:pos="4320"/>
                <w:tab w:val="right" w:pos="8640"/>
              </w:tabs>
              <w:rPr>
                <w:rFonts w:ascii="Arial Narrow" w:hAnsi="Arial Narrow" w:cs="Arial"/>
                <w:b/>
                <w:sz w:val="16"/>
                <w:szCs w:val="16"/>
              </w:rPr>
            </w:pPr>
            <w:r w:rsidRPr="0079522F">
              <w:rPr>
                <w:rFonts w:ascii="Arial Narrow" w:hAnsi="Arial Narrow" w:cs="Arial"/>
                <w:b/>
                <w:sz w:val="16"/>
                <w:szCs w:val="16"/>
              </w:rPr>
              <w:t>Safety/ Experience</w:t>
            </w:r>
          </w:p>
        </w:tc>
        <w:tc>
          <w:tcPr>
            <w:tcW w:w="1130" w:type="dxa"/>
            <w:shd w:val="clear" w:color="auto" w:fill="FFC000"/>
          </w:tcPr>
          <w:p w:rsidR="00872C61" w:rsidRPr="0079522F" w:rsidRDefault="00872C61" w:rsidP="00C0440A">
            <w:pPr>
              <w:tabs>
                <w:tab w:val="center" w:pos="4320"/>
                <w:tab w:val="right" w:pos="8640"/>
              </w:tabs>
              <w:jc w:val="center"/>
              <w:rPr>
                <w:rFonts w:ascii="Arial Narrow" w:hAnsi="Arial Narrow" w:cs="Arial"/>
                <w:b/>
                <w:sz w:val="16"/>
                <w:szCs w:val="16"/>
              </w:rPr>
            </w:pPr>
            <w:r w:rsidRPr="0079522F">
              <w:rPr>
                <w:rFonts w:ascii="Arial Narrow" w:hAnsi="Arial Narrow" w:cs="Arial"/>
                <w:b/>
                <w:sz w:val="16"/>
                <w:szCs w:val="16"/>
              </w:rPr>
              <w:t xml:space="preserve">Cautious </w:t>
            </w:r>
          </w:p>
        </w:tc>
        <w:tc>
          <w:tcPr>
            <w:tcW w:w="1130" w:type="dxa"/>
            <w:shd w:val="clear" w:color="auto" w:fill="FFC000"/>
          </w:tcPr>
          <w:p w:rsidR="00872C61" w:rsidRPr="0079522F" w:rsidRDefault="00872C61" w:rsidP="00C0440A">
            <w:pPr>
              <w:tabs>
                <w:tab w:val="center" w:pos="4320"/>
                <w:tab w:val="right" w:pos="8640"/>
              </w:tabs>
              <w:jc w:val="center"/>
              <w:rPr>
                <w:rFonts w:ascii="Arial Narrow" w:hAnsi="Arial Narrow" w:cs="Arial"/>
                <w:b/>
                <w:sz w:val="16"/>
                <w:szCs w:val="16"/>
              </w:rPr>
            </w:pPr>
            <w:r w:rsidRPr="0079522F">
              <w:rPr>
                <w:rFonts w:ascii="Arial Narrow" w:hAnsi="Arial Narrow" w:cs="Arial"/>
                <w:b/>
                <w:sz w:val="16"/>
                <w:szCs w:val="16"/>
              </w:rPr>
              <w:t>Cautious</w:t>
            </w:r>
          </w:p>
        </w:tc>
        <w:tc>
          <w:tcPr>
            <w:tcW w:w="1130" w:type="dxa"/>
            <w:shd w:val="clear" w:color="auto" w:fill="FFC000"/>
          </w:tcPr>
          <w:p w:rsidR="00872C61" w:rsidRPr="0079522F" w:rsidRDefault="00872C61" w:rsidP="00C0440A">
            <w:pPr>
              <w:tabs>
                <w:tab w:val="center" w:pos="4320"/>
                <w:tab w:val="right" w:pos="8640"/>
              </w:tabs>
              <w:jc w:val="center"/>
              <w:rPr>
                <w:rFonts w:ascii="Arial Narrow" w:hAnsi="Arial Narrow" w:cs="Arial"/>
                <w:b/>
                <w:sz w:val="16"/>
                <w:szCs w:val="16"/>
              </w:rPr>
            </w:pPr>
            <w:r w:rsidRPr="0079522F">
              <w:rPr>
                <w:rFonts w:ascii="Arial Narrow" w:hAnsi="Arial Narrow" w:cs="Arial"/>
                <w:b/>
                <w:sz w:val="16"/>
                <w:szCs w:val="16"/>
              </w:rPr>
              <w:t>Cautious</w:t>
            </w:r>
          </w:p>
        </w:tc>
      </w:tr>
      <w:tr w:rsidR="00872C61" w:rsidRPr="0079522F" w:rsidTr="00C0440A">
        <w:trPr>
          <w:jc w:val="center"/>
        </w:trPr>
        <w:tc>
          <w:tcPr>
            <w:tcW w:w="1838" w:type="dxa"/>
          </w:tcPr>
          <w:p w:rsidR="00872C61" w:rsidRPr="0079522F" w:rsidRDefault="00872C61" w:rsidP="00C0440A">
            <w:pPr>
              <w:tabs>
                <w:tab w:val="center" w:pos="4320"/>
                <w:tab w:val="right" w:pos="8640"/>
              </w:tabs>
              <w:rPr>
                <w:rFonts w:ascii="Arial Narrow" w:hAnsi="Arial Narrow" w:cs="Arial"/>
                <w:b/>
                <w:sz w:val="16"/>
                <w:szCs w:val="16"/>
              </w:rPr>
            </w:pPr>
            <w:r w:rsidRPr="0079522F">
              <w:rPr>
                <w:rFonts w:ascii="Arial Narrow" w:hAnsi="Arial Narrow" w:cs="Arial"/>
                <w:b/>
                <w:sz w:val="16"/>
                <w:szCs w:val="16"/>
              </w:rPr>
              <w:t>Reputation</w:t>
            </w:r>
          </w:p>
        </w:tc>
        <w:tc>
          <w:tcPr>
            <w:tcW w:w="1130" w:type="dxa"/>
            <w:shd w:val="clear" w:color="auto" w:fill="00B050"/>
          </w:tcPr>
          <w:p w:rsidR="00872C61" w:rsidRPr="0079522F" w:rsidRDefault="00872C61" w:rsidP="00C0440A">
            <w:pPr>
              <w:tabs>
                <w:tab w:val="center" w:pos="4320"/>
                <w:tab w:val="right" w:pos="8640"/>
              </w:tabs>
              <w:jc w:val="center"/>
              <w:rPr>
                <w:rFonts w:ascii="Arial Narrow" w:hAnsi="Arial Narrow" w:cs="Arial"/>
                <w:b/>
                <w:sz w:val="16"/>
                <w:szCs w:val="16"/>
              </w:rPr>
            </w:pPr>
            <w:r>
              <w:rPr>
                <w:rFonts w:ascii="Arial Narrow" w:hAnsi="Arial Narrow" w:cs="Arial"/>
                <w:b/>
                <w:sz w:val="16"/>
                <w:szCs w:val="16"/>
              </w:rPr>
              <w:t xml:space="preserve">Open </w:t>
            </w:r>
          </w:p>
        </w:tc>
        <w:tc>
          <w:tcPr>
            <w:tcW w:w="1130" w:type="dxa"/>
            <w:shd w:val="clear" w:color="auto" w:fill="FFFF00"/>
          </w:tcPr>
          <w:p w:rsidR="00872C61" w:rsidRPr="0079522F" w:rsidRDefault="00872C61" w:rsidP="00C0440A">
            <w:pPr>
              <w:tabs>
                <w:tab w:val="center" w:pos="4320"/>
                <w:tab w:val="right" w:pos="8640"/>
              </w:tabs>
              <w:jc w:val="center"/>
              <w:rPr>
                <w:rFonts w:ascii="Arial Narrow" w:hAnsi="Arial Narrow" w:cs="Arial"/>
                <w:b/>
                <w:sz w:val="16"/>
                <w:szCs w:val="16"/>
              </w:rPr>
            </w:pPr>
            <w:r w:rsidRPr="0079522F">
              <w:rPr>
                <w:rFonts w:ascii="Arial Narrow" w:hAnsi="Arial Narrow" w:cs="Arial"/>
                <w:b/>
                <w:sz w:val="16"/>
                <w:szCs w:val="16"/>
              </w:rPr>
              <w:t>Moderate</w:t>
            </w:r>
          </w:p>
        </w:tc>
        <w:tc>
          <w:tcPr>
            <w:tcW w:w="1130" w:type="dxa"/>
            <w:shd w:val="clear" w:color="auto" w:fill="FFFF00"/>
          </w:tcPr>
          <w:p w:rsidR="00872C61" w:rsidRPr="0079522F" w:rsidRDefault="00872C61" w:rsidP="00C0440A">
            <w:pPr>
              <w:tabs>
                <w:tab w:val="center" w:pos="4320"/>
                <w:tab w:val="right" w:pos="8640"/>
              </w:tabs>
              <w:jc w:val="center"/>
              <w:rPr>
                <w:rFonts w:ascii="Arial Narrow" w:hAnsi="Arial Narrow" w:cs="Arial"/>
                <w:b/>
                <w:sz w:val="16"/>
                <w:szCs w:val="16"/>
              </w:rPr>
            </w:pPr>
            <w:r w:rsidRPr="0079522F">
              <w:rPr>
                <w:rFonts w:ascii="Arial Narrow" w:hAnsi="Arial Narrow" w:cs="Arial"/>
                <w:b/>
                <w:sz w:val="16"/>
                <w:szCs w:val="16"/>
              </w:rPr>
              <w:t>Moderate</w:t>
            </w:r>
          </w:p>
        </w:tc>
      </w:tr>
      <w:tr w:rsidR="00872C61" w:rsidRPr="0079522F" w:rsidTr="00C0440A">
        <w:trPr>
          <w:jc w:val="center"/>
        </w:trPr>
        <w:tc>
          <w:tcPr>
            <w:tcW w:w="1838" w:type="dxa"/>
          </w:tcPr>
          <w:p w:rsidR="00872C61" w:rsidRPr="0079522F" w:rsidRDefault="00872C61" w:rsidP="00C0440A">
            <w:pPr>
              <w:tabs>
                <w:tab w:val="center" w:pos="4320"/>
                <w:tab w:val="right" w:pos="8640"/>
              </w:tabs>
              <w:rPr>
                <w:rFonts w:ascii="Arial Narrow" w:hAnsi="Arial Narrow" w:cs="Arial"/>
                <w:b/>
                <w:sz w:val="16"/>
                <w:szCs w:val="16"/>
              </w:rPr>
            </w:pPr>
            <w:r w:rsidRPr="0079522F">
              <w:rPr>
                <w:rFonts w:ascii="Arial Narrow" w:hAnsi="Arial Narrow" w:cs="Arial"/>
                <w:b/>
                <w:sz w:val="16"/>
                <w:szCs w:val="16"/>
              </w:rPr>
              <w:t>Financial</w:t>
            </w:r>
          </w:p>
        </w:tc>
        <w:tc>
          <w:tcPr>
            <w:tcW w:w="1130" w:type="dxa"/>
            <w:shd w:val="clear" w:color="auto" w:fill="FFFF00"/>
          </w:tcPr>
          <w:p w:rsidR="00872C61" w:rsidRPr="0079522F" w:rsidRDefault="00872C61" w:rsidP="00C0440A">
            <w:pPr>
              <w:tabs>
                <w:tab w:val="center" w:pos="4320"/>
                <w:tab w:val="right" w:pos="8640"/>
              </w:tabs>
              <w:jc w:val="center"/>
              <w:rPr>
                <w:rFonts w:ascii="Arial Narrow" w:hAnsi="Arial Narrow" w:cs="Arial"/>
                <w:b/>
                <w:sz w:val="16"/>
                <w:szCs w:val="16"/>
              </w:rPr>
            </w:pPr>
            <w:r w:rsidRPr="0079522F">
              <w:rPr>
                <w:rFonts w:ascii="Arial Narrow" w:hAnsi="Arial Narrow" w:cs="Arial"/>
                <w:b/>
                <w:sz w:val="16"/>
                <w:szCs w:val="16"/>
              </w:rPr>
              <w:t>Moderate</w:t>
            </w:r>
          </w:p>
        </w:tc>
        <w:tc>
          <w:tcPr>
            <w:tcW w:w="1130" w:type="dxa"/>
            <w:shd w:val="clear" w:color="auto" w:fill="auto"/>
          </w:tcPr>
          <w:p w:rsidR="00872C61" w:rsidRPr="0079522F" w:rsidRDefault="00872C61" w:rsidP="00C0440A">
            <w:pPr>
              <w:tabs>
                <w:tab w:val="center" w:pos="4320"/>
                <w:tab w:val="right" w:pos="8640"/>
              </w:tabs>
              <w:jc w:val="center"/>
              <w:rPr>
                <w:rFonts w:ascii="Arial Narrow" w:hAnsi="Arial Narrow" w:cs="Arial"/>
                <w:b/>
                <w:sz w:val="16"/>
                <w:szCs w:val="16"/>
              </w:rPr>
            </w:pPr>
            <w:r>
              <w:rPr>
                <w:rFonts w:ascii="Arial Narrow" w:hAnsi="Arial Narrow" w:cs="Arial"/>
                <w:b/>
                <w:sz w:val="16"/>
                <w:szCs w:val="16"/>
              </w:rPr>
              <w:t>Willing</w:t>
            </w:r>
          </w:p>
        </w:tc>
        <w:tc>
          <w:tcPr>
            <w:tcW w:w="1130" w:type="dxa"/>
            <w:shd w:val="clear" w:color="auto" w:fill="00B050"/>
          </w:tcPr>
          <w:p w:rsidR="00872C61" w:rsidRPr="00005D06" w:rsidRDefault="00872C61" w:rsidP="00C0440A">
            <w:pPr>
              <w:tabs>
                <w:tab w:val="center" w:pos="4320"/>
                <w:tab w:val="right" w:pos="8640"/>
              </w:tabs>
              <w:jc w:val="center"/>
              <w:rPr>
                <w:rFonts w:ascii="Arial Narrow" w:hAnsi="Arial Narrow" w:cs="Arial"/>
                <w:b/>
                <w:sz w:val="16"/>
                <w:szCs w:val="16"/>
              </w:rPr>
            </w:pPr>
            <w:r w:rsidRPr="00005D06">
              <w:rPr>
                <w:rFonts w:ascii="Arial Narrow" w:hAnsi="Arial Narrow" w:cs="Arial"/>
                <w:b/>
                <w:sz w:val="16"/>
                <w:szCs w:val="16"/>
              </w:rPr>
              <w:t>Open</w:t>
            </w:r>
          </w:p>
        </w:tc>
      </w:tr>
      <w:tr w:rsidR="00872C61" w:rsidRPr="0079522F" w:rsidTr="00C0440A">
        <w:trPr>
          <w:jc w:val="center"/>
        </w:trPr>
        <w:tc>
          <w:tcPr>
            <w:tcW w:w="1838" w:type="dxa"/>
          </w:tcPr>
          <w:p w:rsidR="00872C61" w:rsidRPr="0079522F" w:rsidRDefault="00872C61" w:rsidP="00C0440A">
            <w:pPr>
              <w:tabs>
                <w:tab w:val="center" w:pos="4320"/>
                <w:tab w:val="right" w:pos="8640"/>
              </w:tabs>
              <w:rPr>
                <w:rFonts w:ascii="Arial Narrow" w:hAnsi="Arial Narrow" w:cs="Arial"/>
                <w:b/>
                <w:sz w:val="16"/>
                <w:szCs w:val="16"/>
              </w:rPr>
            </w:pPr>
            <w:r w:rsidRPr="0079522F">
              <w:rPr>
                <w:rFonts w:ascii="Arial Narrow" w:hAnsi="Arial Narrow" w:cs="Arial"/>
                <w:b/>
                <w:sz w:val="16"/>
                <w:szCs w:val="16"/>
              </w:rPr>
              <w:t>Regulation</w:t>
            </w:r>
          </w:p>
        </w:tc>
        <w:tc>
          <w:tcPr>
            <w:tcW w:w="1130" w:type="dxa"/>
            <w:shd w:val="clear" w:color="auto" w:fill="FFC000"/>
          </w:tcPr>
          <w:p w:rsidR="00872C61" w:rsidRPr="0079522F" w:rsidRDefault="00872C61" w:rsidP="00C0440A">
            <w:pPr>
              <w:tabs>
                <w:tab w:val="center" w:pos="4320"/>
                <w:tab w:val="right" w:pos="8640"/>
              </w:tabs>
              <w:jc w:val="center"/>
              <w:rPr>
                <w:rFonts w:ascii="Arial Narrow" w:hAnsi="Arial Narrow" w:cs="Arial"/>
                <w:b/>
                <w:sz w:val="16"/>
                <w:szCs w:val="16"/>
              </w:rPr>
            </w:pPr>
            <w:r>
              <w:rPr>
                <w:rFonts w:ascii="Arial Narrow" w:hAnsi="Arial Narrow" w:cs="Arial"/>
                <w:b/>
                <w:sz w:val="16"/>
                <w:szCs w:val="16"/>
              </w:rPr>
              <w:t xml:space="preserve">Cautious </w:t>
            </w:r>
          </w:p>
        </w:tc>
        <w:tc>
          <w:tcPr>
            <w:tcW w:w="1130" w:type="dxa"/>
            <w:shd w:val="clear" w:color="auto" w:fill="FFFF00"/>
          </w:tcPr>
          <w:p w:rsidR="00872C61" w:rsidRPr="0079522F" w:rsidRDefault="00872C61" w:rsidP="00C0440A">
            <w:pPr>
              <w:tabs>
                <w:tab w:val="center" w:pos="4320"/>
                <w:tab w:val="right" w:pos="8640"/>
              </w:tabs>
              <w:jc w:val="center"/>
              <w:rPr>
                <w:rFonts w:ascii="Arial Narrow" w:hAnsi="Arial Narrow" w:cs="Arial"/>
                <w:b/>
                <w:sz w:val="16"/>
                <w:szCs w:val="16"/>
              </w:rPr>
            </w:pPr>
            <w:r w:rsidRPr="0079522F">
              <w:rPr>
                <w:rFonts w:ascii="Arial Narrow" w:hAnsi="Arial Narrow" w:cs="Arial"/>
                <w:b/>
                <w:sz w:val="16"/>
                <w:szCs w:val="16"/>
              </w:rPr>
              <w:t>Moderate</w:t>
            </w:r>
          </w:p>
        </w:tc>
        <w:tc>
          <w:tcPr>
            <w:tcW w:w="1130" w:type="dxa"/>
            <w:shd w:val="clear" w:color="auto" w:fill="FFC000"/>
          </w:tcPr>
          <w:p w:rsidR="00872C61" w:rsidRPr="0079522F" w:rsidRDefault="00872C61" w:rsidP="00C0440A">
            <w:pPr>
              <w:tabs>
                <w:tab w:val="center" w:pos="4320"/>
                <w:tab w:val="right" w:pos="8640"/>
              </w:tabs>
              <w:jc w:val="center"/>
              <w:rPr>
                <w:rFonts w:ascii="Arial Narrow" w:hAnsi="Arial Narrow" w:cs="Arial"/>
                <w:b/>
                <w:sz w:val="16"/>
                <w:szCs w:val="16"/>
              </w:rPr>
            </w:pPr>
            <w:r w:rsidRPr="0079522F">
              <w:rPr>
                <w:rFonts w:ascii="Arial Narrow" w:hAnsi="Arial Narrow" w:cs="Arial"/>
                <w:b/>
                <w:sz w:val="16"/>
                <w:szCs w:val="16"/>
              </w:rPr>
              <w:t>Cautious</w:t>
            </w:r>
          </w:p>
        </w:tc>
      </w:tr>
      <w:tr w:rsidR="00872C61" w:rsidRPr="0079522F" w:rsidTr="00C0440A">
        <w:trPr>
          <w:jc w:val="center"/>
        </w:trPr>
        <w:tc>
          <w:tcPr>
            <w:tcW w:w="1838" w:type="dxa"/>
          </w:tcPr>
          <w:p w:rsidR="00872C61" w:rsidRPr="0079522F" w:rsidRDefault="00872C61" w:rsidP="00C0440A">
            <w:pPr>
              <w:tabs>
                <w:tab w:val="center" w:pos="4320"/>
                <w:tab w:val="right" w:pos="8640"/>
              </w:tabs>
              <w:rPr>
                <w:rFonts w:ascii="Arial Narrow" w:hAnsi="Arial Narrow" w:cs="Arial"/>
                <w:b/>
                <w:sz w:val="16"/>
                <w:szCs w:val="16"/>
              </w:rPr>
            </w:pPr>
            <w:r w:rsidRPr="0079522F">
              <w:rPr>
                <w:rFonts w:ascii="Arial Narrow" w:hAnsi="Arial Narrow" w:cs="Arial"/>
                <w:b/>
                <w:sz w:val="16"/>
                <w:szCs w:val="16"/>
              </w:rPr>
              <w:t>Operational</w:t>
            </w:r>
          </w:p>
        </w:tc>
        <w:tc>
          <w:tcPr>
            <w:tcW w:w="1130" w:type="dxa"/>
            <w:shd w:val="clear" w:color="auto" w:fill="FFFF00"/>
          </w:tcPr>
          <w:p w:rsidR="00872C61" w:rsidRPr="0079522F" w:rsidRDefault="00872C61" w:rsidP="00C0440A">
            <w:pPr>
              <w:tabs>
                <w:tab w:val="center" w:pos="4320"/>
                <w:tab w:val="right" w:pos="8640"/>
              </w:tabs>
              <w:jc w:val="center"/>
              <w:rPr>
                <w:rFonts w:ascii="Arial Narrow" w:hAnsi="Arial Narrow" w:cs="Arial"/>
                <w:b/>
                <w:sz w:val="16"/>
                <w:szCs w:val="16"/>
              </w:rPr>
            </w:pPr>
            <w:r w:rsidRPr="0079522F">
              <w:rPr>
                <w:rFonts w:ascii="Arial Narrow" w:hAnsi="Arial Narrow" w:cs="Arial"/>
                <w:b/>
                <w:sz w:val="16"/>
                <w:szCs w:val="16"/>
              </w:rPr>
              <w:t>Moderate</w:t>
            </w:r>
          </w:p>
        </w:tc>
        <w:tc>
          <w:tcPr>
            <w:tcW w:w="1130" w:type="dxa"/>
            <w:shd w:val="clear" w:color="auto" w:fill="00B050"/>
          </w:tcPr>
          <w:p w:rsidR="00872C61" w:rsidRPr="0079522F" w:rsidRDefault="00872C61" w:rsidP="00C0440A">
            <w:pPr>
              <w:tabs>
                <w:tab w:val="center" w:pos="4320"/>
                <w:tab w:val="right" w:pos="8640"/>
              </w:tabs>
              <w:jc w:val="center"/>
              <w:rPr>
                <w:rFonts w:ascii="Arial Narrow" w:hAnsi="Arial Narrow" w:cs="Arial"/>
                <w:b/>
                <w:sz w:val="16"/>
                <w:szCs w:val="16"/>
              </w:rPr>
            </w:pPr>
            <w:r w:rsidRPr="0079522F">
              <w:rPr>
                <w:rFonts w:ascii="Arial Narrow" w:hAnsi="Arial Narrow" w:cs="Arial"/>
                <w:b/>
                <w:sz w:val="16"/>
                <w:szCs w:val="16"/>
              </w:rPr>
              <w:t>Open</w:t>
            </w:r>
          </w:p>
        </w:tc>
        <w:tc>
          <w:tcPr>
            <w:tcW w:w="1130" w:type="dxa"/>
            <w:shd w:val="clear" w:color="auto" w:fill="FFC000"/>
          </w:tcPr>
          <w:p w:rsidR="00872C61" w:rsidRPr="0079522F" w:rsidRDefault="00872C61" w:rsidP="00C0440A">
            <w:pPr>
              <w:tabs>
                <w:tab w:val="center" w:pos="4320"/>
                <w:tab w:val="right" w:pos="8640"/>
              </w:tabs>
              <w:jc w:val="center"/>
              <w:rPr>
                <w:rFonts w:ascii="Arial Narrow" w:hAnsi="Arial Narrow" w:cs="Arial"/>
                <w:b/>
                <w:sz w:val="16"/>
                <w:szCs w:val="16"/>
              </w:rPr>
            </w:pPr>
            <w:r>
              <w:rPr>
                <w:rFonts w:ascii="Arial Narrow" w:hAnsi="Arial Narrow" w:cs="Arial"/>
                <w:b/>
                <w:sz w:val="16"/>
                <w:szCs w:val="16"/>
              </w:rPr>
              <w:t xml:space="preserve">Cautious </w:t>
            </w:r>
          </w:p>
        </w:tc>
      </w:tr>
      <w:tr w:rsidR="00872C61" w:rsidRPr="0079522F" w:rsidTr="00C0440A">
        <w:trPr>
          <w:jc w:val="center"/>
        </w:trPr>
        <w:tc>
          <w:tcPr>
            <w:tcW w:w="1838" w:type="dxa"/>
          </w:tcPr>
          <w:p w:rsidR="00872C61" w:rsidRPr="0079522F" w:rsidRDefault="00872C61" w:rsidP="00C0440A">
            <w:pPr>
              <w:tabs>
                <w:tab w:val="center" w:pos="4320"/>
                <w:tab w:val="right" w:pos="8640"/>
              </w:tabs>
              <w:rPr>
                <w:rFonts w:ascii="Arial Narrow" w:hAnsi="Arial Narrow" w:cs="Arial"/>
                <w:b/>
                <w:sz w:val="16"/>
                <w:szCs w:val="16"/>
              </w:rPr>
            </w:pPr>
            <w:r w:rsidRPr="0079522F">
              <w:rPr>
                <w:rFonts w:ascii="Arial Narrow" w:hAnsi="Arial Narrow" w:cs="Arial"/>
                <w:b/>
                <w:sz w:val="16"/>
                <w:szCs w:val="16"/>
              </w:rPr>
              <w:t>Workforce</w:t>
            </w:r>
          </w:p>
        </w:tc>
        <w:tc>
          <w:tcPr>
            <w:tcW w:w="1130" w:type="dxa"/>
            <w:shd w:val="clear" w:color="auto" w:fill="FFFF00"/>
          </w:tcPr>
          <w:p w:rsidR="00872C61" w:rsidRPr="0079522F" w:rsidRDefault="00872C61" w:rsidP="00C0440A">
            <w:pPr>
              <w:tabs>
                <w:tab w:val="center" w:pos="4320"/>
                <w:tab w:val="right" w:pos="8640"/>
              </w:tabs>
              <w:jc w:val="center"/>
              <w:rPr>
                <w:rFonts w:ascii="Arial Narrow" w:hAnsi="Arial Narrow" w:cs="Arial"/>
                <w:b/>
                <w:sz w:val="16"/>
                <w:szCs w:val="16"/>
              </w:rPr>
            </w:pPr>
            <w:r>
              <w:rPr>
                <w:rFonts w:ascii="Arial Narrow" w:hAnsi="Arial Narrow" w:cs="Arial"/>
                <w:b/>
                <w:sz w:val="16"/>
                <w:szCs w:val="16"/>
              </w:rPr>
              <w:t>Moderate</w:t>
            </w:r>
          </w:p>
        </w:tc>
        <w:tc>
          <w:tcPr>
            <w:tcW w:w="1130" w:type="dxa"/>
            <w:shd w:val="clear" w:color="auto" w:fill="00B050"/>
          </w:tcPr>
          <w:p w:rsidR="00872C61" w:rsidRPr="0079522F" w:rsidRDefault="00872C61" w:rsidP="00C0440A">
            <w:pPr>
              <w:tabs>
                <w:tab w:val="center" w:pos="4320"/>
                <w:tab w:val="right" w:pos="8640"/>
              </w:tabs>
              <w:jc w:val="center"/>
              <w:rPr>
                <w:rFonts w:ascii="Arial Narrow" w:hAnsi="Arial Narrow" w:cs="Arial"/>
                <w:b/>
                <w:sz w:val="16"/>
                <w:szCs w:val="16"/>
              </w:rPr>
            </w:pPr>
            <w:r w:rsidRPr="0079522F">
              <w:rPr>
                <w:rFonts w:ascii="Arial Narrow" w:hAnsi="Arial Narrow" w:cs="Arial"/>
                <w:b/>
                <w:sz w:val="16"/>
                <w:szCs w:val="16"/>
              </w:rPr>
              <w:t>Open</w:t>
            </w:r>
          </w:p>
        </w:tc>
        <w:tc>
          <w:tcPr>
            <w:tcW w:w="1130" w:type="dxa"/>
            <w:shd w:val="clear" w:color="auto" w:fill="00B050"/>
          </w:tcPr>
          <w:p w:rsidR="00872C61" w:rsidRPr="0079522F" w:rsidRDefault="00872C61" w:rsidP="00C0440A">
            <w:pPr>
              <w:tabs>
                <w:tab w:val="center" w:pos="4320"/>
                <w:tab w:val="right" w:pos="8640"/>
              </w:tabs>
              <w:jc w:val="center"/>
              <w:rPr>
                <w:rFonts w:ascii="Arial Narrow" w:hAnsi="Arial Narrow" w:cs="Arial"/>
                <w:b/>
                <w:sz w:val="16"/>
                <w:szCs w:val="16"/>
              </w:rPr>
            </w:pPr>
            <w:r w:rsidRPr="0079522F">
              <w:rPr>
                <w:rFonts w:ascii="Arial Narrow" w:hAnsi="Arial Narrow" w:cs="Arial"/>
                <w:b/>
                <w:sz w:val="16"/>
                <w:szCs w:val="16"/>
              </w:rPr>
              <w:t>Open</w:t>
            </w:r>
          </w:p>
        </w:tc>
      </w:tr>
    </w:tbl>
    <w:p w:rsidR="00872C61" w:rsidRPr="00BF278A" w:rsidRDefault="00872C61" w:rsidP="00872C61">
      <w:pPr>
        <w:rPr>
          <w:vanish/>
        </w:rPr>
      </w:pPr>
    </w:p>
    <w:tbl>
      <w:tblPr>
        <w:tblpPr w:leftFromText="180" w:rightFromText="180" w:vertAnchor="text" w:horzAnchor="margin" w:tblpXSpec="center" w:tblpY="89"/>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2"/>
        <w:gridCol w:w="1559"/>
        <w:gridCol w:w="1985"/>
        <w:gridCol w:w="1843"/>
        <w:gridCol w:w="1418"/>
        <w:gridCol w:w="1843"/>
      </w:tblGrid>
      <w:tr w:rsidR="00872C61" w:rsidRPr="0060543E" w:rsidTr="00C0440A">
        <w:tc>
          <w:tcPr>
            <w:tcW w:w="1452" w:type="dxa"/>
            <w:shd w:val="clear" w:color="auto" w:fill="FFFFFF"/>
          </w:tcPr>
          <w:p w:rsidR="00872C61" w:rsidRDefault="00872C61" w:rsidP="00C0440A">
            <w:pPr>
              <w:pStyle w:val="BodyText2"/>
              <w:spacing w:after="0" w:line="240" w:lineRule="auto"/>
              <w:jc w:val="center"/>
              <w:rPr>
                <w:rFonts w:ascii="Arial" w:hAnsi="Arial" w:cs="Arial"/>
                <w:b/>
                <w:bCs/>
                <w:sz w:val="16"/>
                <w:szCs w:val="16"/>
              </w:rPr>
            </w:pPr>
          </w:p>
          <w:p w:rsidR="00872C61" w:rsidRPr="0060543E" w:rsidRDefault="00872C61" w:rsidP="00C0440A">
            <w:pPr>
              <w:pStyle w:val="BodyText2"/>
              <w:spacing w:after="0" w:line="240" w:lineRule="auto"/>
              <w:jc w:val="center"/>
              <w:rPr>
                <w:rFonts w:ascii="Arial" w:hAnsi="Arial" w:cs="Arial"/>
                <w:b/>
                <w:bCs/>
                <w:sz w:val="16"/>
                <w:szCs w:val="16"/>
              </w:rPr>
            </w:pPr>
            <w:r w:rsidRPr="0060543E">
              <w:rPr>
                <w:rFonts w:ascii="Arial" w:hAnsi="Arial" w:cs="Arial"/>
                <w:b/>
                <w:bCs/>
                <w:sz w:val="16"/>
                <w:szCs w:val="16"/>
              </w:rPr>
              <w:t>General Descriptor</w:t>
            </w:r>
            <w:r>
              <w:rPr>
                <w:rFonts w:ascii="Arial" w:hAnsi="Arial" w:cs="Arial"/>
                <w:b/>
                <w:bCs/>
                <w:sz w:val="16"/>
                <w:szCs w:val="16"/>
              </w:rPr>
              <w:t xml:space="preserve"> of risk &amp; benefits </w:t>
            </w:r>
          </w:p>
          <w:p w:rsidR="00872C61" w:rsidRPr="0060543E" w:rsidRDefault="00872C61" w:rsidP="00C0440A">
            <w:pPr>
              <w:pStyle w:val="BodyText2"/>
              <w:spacing w:after="0" w:line="240" w:lineRule="auto"/>
              <w:jc w:val="center"/>
              <w:rPr>
                <w:rFonts w:ascii="Arial" w:hAnsi="Arial" w:cs="Arial"/>
                <w:b/>
                <w:bCs/>
                <w:sz w:val="16"/>
                <w:szCs w:val="16"/>
              </w:rPr>
            </w:pPr>
          </w:p>
        </w:tc>
        <w:tc>
          <w:tcPr>
            <w:tcW w:w="1559" w:type="dxa"/>
            <w:shd w:val="clear" w:color="auto" w:fill="FF0000"/>
          </w:tcPr>
          <w:p w:rsidR="00872C61" w:rsidRPr="0060543E" w:rsidRDefault="00872C61" w:rsidP="00C0440A">
            <w:pPr>
              <w:pStyle w:val="BodyText2"/>
              <w:spacing w:after="0" w:line="240" w:lineRule="auto"/>
              <w:jc w:val="center"/>
              <w:rPr>
                <w:rFonts w:ascii="Arial" w:hAnsi="Arial" w:cs="Arial"/>
                <w:b/>
                <w:sz w:val="16"/>
                <w:szCs w:val="16"/>
              </w:rPr>
            </w:pPr>
            <w:r w:rsidRPr="0060543E">
              <w:rPr>
                <w:rFonts w:ascii="Arial" w:hAnsi="Arial" w:cs="Arial"/>
                <w:b/>
                <w:sz w:val="16"/>
                <w:szCs w:val="16"/>
              </w:rPr>
              <w:t>Averse</w:t>
            </w:r>
          </w:p>
          <w:p w:rsidR="00872C61" w:rsidRDefault="00872C61" w:rsidP="00C0440A">
            <w:pPr>
              <w:pStyle w:val="BodyText2"/>
              <w:spacing w:after="0" w:line="240" w:lineRule="auto"/>
              <w:jc w:val="center"/>
              <w:rPr>
                <w:rFonts w:ascii="Arial" w:hAnsi="Arial" w:cs="Arial"/>
                <w:b/>
                <w:sz w:val="16"/>
                <w:szCs w:val="16"/>
              </w:rPr>
            </w:pPr>
            <w:r w:rsidRPr="0060543E">
              <w:rPr>
                <w:rFonts w:ascii="Arial" w:hAnsi="Arial" w:cs="Arial"/>
                <w:b/>
                <w:sz w:val="16"/>
                <w:szCs w:val="16"/>
              </w:rPr>
              <w:t>Avoidance of risk and uncertainty</w:t>
            </w:r>
            <w:r>
              <w:rPr>
                <w:rFonts w:ascii="Arial" w:hAnsi="Arial" w:cs="Arial"/>
                <w:b/>
                <w:sz w:val="16"/>
                <w:szCs w:val="16"/>
              </w:rPr>
              <w:t xml:space="preserve">.  </w:t>
            </w:r>
          </w:p>
          <w:p w:rsidR="00872C61" w:rsidRPr="0060543E" w:rsidRDefault="00872C61" w:rsidP="00C0440A">
            <w:pPr>
              <w:pStyle w:val="BodyText2"/>
              <w:spacing w:after="0" w:line="240" w:lineRule="auto"/>
              <w:jc w:val="center"/>
              <w:rPr>
                <w:rFonts w:ascii="Arial" w:hAnsi="Arial" w:cs="Arial"/>
                <w:b/>
                <w:sz w:val="16"/>
                <w:szCs w:val="16"/>
              </w:rPr>
            </w:pPr>
            <w:r>
              <w:rPr>
                <w:rFonts w:ascii="Arial" w:hAnsi="Arial" w:cs="Arial"/>
                <w:b/>
                <w:sz w:val="16"/>
                <w:szCs w:val="16"/>
              </w:rPr>
              <w:t>Very low rewards from risk taking.</w:t>
            </w:r>
          </w:p>
        </w:tc>
        <w:tc>
          <w:tcPr>
            <w:tcW w:w="1985" w:type="dxa"/>
            <w:shd w:val="clear" w:color="auto" w:fill="FFC000"/>
          </w:tcPr>
          <w:p w:rsidR="00872C61" w:rsidRPr="0060543E" w:rsidRDefault="00872C61" w:rsidP="00C0440A">
            <w:pPr>
              <w:pStyle w:val="BodyText2"/>
              <w:spacing w:after="0" w:line="240" w:lineRule="auto"/>
              <w:jc w:val="center"/>
              <w:rPr>
                <w:rFonts w:ascii="Arial" w:hAnsi="Arial" w:cs="Arial"/>
                <w:b/>
                <w:sz w:val="16"/>
                <w:szCs w:val="16"/>
              </w:rPr>
            </w:pPr>
            <w:r w:rsidRPr="0060543E">
              <w:rPr>
                <w:rFonts w:ascii="Arial" w:hAnsi="Arial" w:cs="Arial"/>
                <w:b/>
                <w:sz w:val="16"/>
                <w:szCs w:val="16"/>
              </w:rPr>
              <w:t>Cautious</w:t>
            </w:r>
          </w:p>
          <w:p w:rsidR="00872C61" w:rsidRPr="0060543E" w:rsidRDefault="00872C61" w:rsidP="00C0440A">
            <w:pPr>
              <w:pStyle w:val="BodyText2"/>
              <w:spacing w:after="0" w:line="240" w:lineRule="auto"/>
              <w:jc w:val="center"/>
              <w:rPr>
                <w:rFonts w:ascii="Arial" w:hAnsi="Arial" w:cs="Arial"/>
                <w:b/>
                <w:sz w:val="16"/>
                <w:szCs w:val="16"/>
              </w:rPr>
            </w:pPr>
            <w:r w:rsidRPr="0060543E">
              <w:rPr>
                <w:rFonts w:ascii="Arial" w:hAnsi="Arial" w:cs="Arial"/>
                <w:b/>
                <w:sz w:val="16"/>
                <w:szCs w:val="16"/>
              </w:rPr>
              <w:t>Preference for ultra-safe delivery options that have a low degree of inherent risk and only for limited reward potential</w:t>
            </w:r>
            <w:r>
              <w:rPr>
                <w:rFonts w:ascii="Arial" w:hAnsi="Arial" w:cs="Arial"/>
                <w:b/>
                <w:sz w:val="16"/>
                <w:szCs w:val="16"/>
              </w:rPr>
              <w:t>.</w:t>
            </w:r>
          </w:p>
        </w:tc>
        <w:tc>
          <w:tcPr>
            <w:tcW w:w="1843" w:type="dxa"/>
            <w:shd w:val="clear" w:color="auto" w:fill="FFFF00"/>
          </w:tcPr>
          <w:p w:rsidR="00872C61" w:rsidRPr="0060543E" w:rsidRDefault="00872C61" w:rsidP="00C0440A">
            <w:pPr>
              <w:pStyle w:val="BodyText2"/>
              <w:spacing w:after="0" w:line="240" w:lineRule="auto"/>
              <w:jc w:val="center"/>
              <w:rPr>
                <w:rFonts w:ascii="Arial" w:hAnsi="Arial" w:cs="Arial"/>
                <w:b/>
                <w:sz w:val="16"/>
                <w:szCs w:val="16"/>
              </w:rPr>
            </w:pPr>
            <w:r w:rsidRPr="0060543E">
              <w:rPr>
                <w:rFonts w:ascii="Arial" w:hAnsi="Arial" w:cs="Arial"/>
                <w:b/>
                <w:sz w:val="16"/>
                <w:szCs w:val="16"/>
              </w:rPr>
              <w:t>Moderate</w:t>
            </w:r>
          </w:p>
          <w:p w:rsidR="00872C61" w:rsidRPr="0060543E" w:rsidRDefault="00872C61" w:rsidP="00C0440A">
            <w:pPr>
              <w:pStyle w:val="BodyText2"/>
              <w:spacing w:after="0" w:line="240" w:lineRule="auto"/>
              <w:jc w:val="center"/>
              <w:rPr>
                <w:rFonts w:ascii="Arial" w:hAnsi="Arial" w:cs="Arial"/>
                <w:b/>
                <w:sz w:val="16"/>
                <w:szCs w:val="16"/>
              </w:rPr>
            </w:pPr>
            <w:r w:rsidRPr="0060543E">
              <w:rPr>
                <w:rFonts w:ascii="Arial" w:hAnsi="Arial" w:cs="Arial"/>
                <w:b/>
                <w:sz w:val="16"/>
                <w:szCs w:val="16"/>
              </w:rPr>
              <w:t>Preference for safe delivery options that have a low degree of inherent risk and may only have limited potential for reward.</w:t>
            </w:r>
          </w:p>
        </w:tc>
        <w:tc>
          <w:tcPr>
            <w:tcW w:w="1418" w:type="dxa"/>
            <w:shd w:val="clear" w:color="auto" w:fill="00B050"/>
          </w:tcPr>
          <w:p w:rsidR="00872C61" w:rsidRPr="0060543E" w:rsidRDefault="00872C61" w:rsidP="00C0440A">
            <w:pPr>
              <w:pStyle w:val="BodyText2"/>
              <w:spacing w:after="0" w:line="240" w:lineRule="auto"/>
              <w:jc w:val="center"/>
              <w:rPr>
                <w:rFonts w:ascii="Arial" w:hAnsi="Arial" w:cs="Arial"/>
                <w:b/>
                <w:sz w:val="16"/>
                <w:szCs w:val="16"/>
              </w:rPr>
            </w:pPr>
            <w:r w:rsidRPr="0060543E">
              <w:rPr>
                <w:rFonts w:ascii="Arial" w:hAnsi="Arial" w:cs="Arial"/>
                <w:b/>
                <w:sz w:val="16"/>
                <w:szCs w:val="16"/>
              </w:rPr>
              <w:t>Open</w:t>
            </w:r>
          </w:p>
          <w:p w:rsidR="00872C61" w:rsidRPr="0060543E" w:rsidRDefault="00872C61" w:rsidP="00C0440A">
            <w:pPr>
              <w:pStyle w:val="BodyText2"/>
              <w:spacing w:after="0" w:line="240" w:lineRule="auto"/>
              <w:jc w:val="center"/>
              <w:rPr>
                <w:rFonts w:ascii="Arial" w:hAnsi="Arial" w:cs="Arial"/>
                <w:b/>
                <w:sz w:val="16"/>
                <w:szCs w:val="16"/>
              </w:rPr>
            </w:pPr>
            <w:r w:rsidRPr="0060543E">
              <w:rPr>
                <w:rFonts w:ascii="Arial" w:hAnsi="Arial" w:cs="Arial"/>
                <w:b/>
                <w:sz w:val="16"/>
                <w:szCs w:val="16"/>
              </w:rPr>
              <w:t>Willing to consider all potential delivery options and choose while also providing an acceptable level of reward (and VfM)</w:t>
            </w:r>
            <w:r>
              <w:rPr>
                <w:rFonts w:ascii="Arial" w:hAnsi="Arial" w:cs="Arial"/>
                <w:b/>
                <w:sz w:val="16"/>
                <w:szCs w:val="16"/>
              </w:rPr>
              <w:t xml:space="preserve"> </w:t>
            </w:r>
          </w:p>
        </w:tc>
        <w:tc>
          <w:tcPr>
            <w:tcW w:w="1843" w:type="dxa"/>
            <w:shd w:val="clear" w:color="auto" w:fill="FFFFFF"/>
          </w:tcPr>
          <w:p w:rsidR="00872C61" w:rsidRPr="0060543E" w:rsidRDefault="00872C61" w:rsidP="00C0440A">
            <w:pPr>
              <w:pStyle w:val="BodyText2"/>
              <w:spacing w:after="0" w:line="240" w:lineRule="auto"/>
              <w:jc w:val="center"/>
              <w:rPr>
                <w:rFonts w:ascii="Arial" w:hAnsi="Arial" w:cs="Arial"/>
                <w:b/>
                <w:sz w:val="16"/>
                <w:szCs w:val="16"/>
              </w:rPr>
            </w:pPr>
            <w:r w:rsidRPr="0060543E">
              <w:rPr>
                <w:rFonts w:ascii="Arial" w:hAnsi="Arial" w:cs="Arial"/>
                <w:b/>
                <w:sz w:val="16"/>
                <w:szCs w:val="16"/>
              </w:rPr>
              <w:t>Willing</w:t>
            </w:r>
          </w:p>
          <w:p w:rsidR="00872C61" w:rsidRPr="0060543E" w:rsidRDefault="00872C61" w:rsidP="00C0440A">
            <w:pPr>
              <w:pStyle w:val="BodyText2"/>
              <w:spacing w:after="0" w:line="240" w:lineRule="auto"/>
              <w:jc w:val="center"/>
              <w:rPr>
                <w:rFonts w:ascii="Arial" w:hAnsi="Arial" w:cs="Arial"/>
                <w:b/>
                <w:sz w:val="16"/>
                <w:szCs w:val="16"/>
              </w:rPr>
            </w:pPr>
            <w:r w:rsidRPr="0060543E">
              <w:rPr>
                <w:rFonts w:ascii="Arial" w:hAnsi="Arial" w:cs="Arial"/>
                <w:b/>
                <w:sz w:val="16"/>
                <w:szCs w:val="16"/>
              </w:rPr>
              <w:t>Eager to be innovative and to choose options offer</w:t>
            </w:r>
            <w:r>
              <w:rPr>
                <w:rFonts w:ascii="Arial" w:hAnsi="Arial" w:cs="Arial"/>
                <w:b/>
                <w:sz w:val="16"/>
                <w:szCs w:val="16"/>
              </w:rPr>
              <w:t xml:space="preserve">ing potentially higher rewards </w:t>
            </w:r>
            <w:r w:rsidRPr="0060543E">
              <w:rPr>
                <w:rFonts w:ascii="Arial" w:hAnsi="Arial" w:cs="Arial"/>
                <w:b/>
                <w:sz w:val="16"/>
                <w:szCs w:val="16"/>
              </w:rPr>
              <w:t xml:space="preserve">despite greater inherent risk with confidence </w:t>
            </w:r>
            <w:r>
              <w:rPr>
                <w:rFonts w:ascii="Arial" w:hAnsi="Arial" w:cs="Arial"/>
                <w:b/>
                <w:sz w:val="16"/>
                <w:szCs w:val="16"/>
              </w:rPr>
              <w:t>in risk controls and management</w:t>
            </w:r>
          </w:p>
        </w:tc>
      </w:tr>
    </w:tbl>
    <w:p w:rsidR="00872C61" w:rsidRDefault="00872C61" w:rsidP="00872C61"/>
    <w:p w:rsidR="00872C61" w:rsidRDefault="00872C61" w:rsidP="00872C61">
      <w:pPr>
        <w:shd w:val="clear" w:color="auto" w:fill="CCCCCC"/>
        <w:rPr>
          <w:rFonts w:ascii="Arial" w:hAnsi="Arial" w:cs="Arial"/>
        </w:rPr>
      </w:pPr>
      <w:r>
        <w:rPr>
          <w:rFonts w:ascii="Arial" w:hAnsi="Arial" w:cs="Arial"/>
        </w:rPr>
        <w:t>The Board</w:t>
      </w:r>
      <w:r w:rsidRPr="006E1057">
        <w:rPr>
          <w:rFonts w:ascii="Arial" w:hAnsi="Arial" w:cs="Arial"/>
        </w:rPr>
        <w:t xml:space="preserve"> aims to deliver world-class healthcare services that will be recognised both nationally and internationally</w:t>
      </w:r>
      <w:r>
        <w:rPr>
          <w:rFonts w:ascii="Arial" w:hAnsi="Arial" w:cs="Arial"/>
        </w:rPr>
        <w:t>, putting patients at the heart of progress.  As we work to support NHSScotland in the COVID remobilisation and continue to deliver our key core services, our appetite and approach to risk and governance is paramount</w:t>
      </w:r>
      <w:r w:rsidRPr="009F4691">
        <w:rPr>
          <w:rFonts w:ascii="Arial" w:hAnsi="Arial" w:cs="Arial"/>
        </w:rPr>
        <w:t xml:space="preserve"> </w:t>
      </w:r>
      <w:r>
        <w:rPr>
          <w:rFonts w:ascii="Arial" w:hAnsi="Arial" w:cs="Arial"/>
        </w:rPr>
        <w:t xml:space="preserve">in ensuring we are able to maximise our capacity and realise the strong benefits to the Board and the wider NHS Scotland.   </w:t>
      </w:r>
    </w:p>
    <w:p w:rsidR="00872C61" w:rsidRDefault="00872C61" w:rsidP="00872C61">
      <w:pPr>
        <w:shd w:val="clear" w:color="auto" w:fill="CCCCCC"/>
        <w:rPr>
          <w:rFonts w:ascii="Arial" w:hAnsi="Arial" w:cs="Arial"/>
        </w:rPr>
      </w:pPr>
    </w:p>
    <w:p w:rsidR="00872C61" w:rsidRDefault="00872C61" w:rsidP="00872C61">
      <w:pPr>
        <w:shd w:val="clear" w:color="auto" w:fill="CCCCCC"/>
        <w:rPr>
          <w:rFonts w:ascii="Arial" w:hAnsi="Arial" w:cs="Arial"/>
        </w:rPr>
      </w:pPr>
      <w:r w:rsidRPr="006E1057">
        <w:rPr>
          <w:rFonts w:ascii="Arial" w:hAnsi="Arial" w:cs="Arial"/>
        </w:rPr>
        <w:t>The acceptance of any risk is subject to ensuring the impact in benefits and risks of any decision are understood and managed through appropriate measures to mitigate risk and realise benefits.  The Board recognises that any appetite for risk will vary according to the issue and therefore different appetites and tolerances to risks will apply.</w:t>
      </w:r>
      <w:r>
        <w:rPr>
          <w:rFonts w:ascii="Arial" w:hAnsi="Arial" w:cs="Arial"/>
        </w:rPr>
        <w:t xml:space="preserve">  Delivery of clinical care is complex and challenging and in recognising this there is generally a more cautious approach to risk within the hospital setting.  </w:t>
      </w:r>
    </w:p>
    <w:p w:rsidR="00872C61" w:rsidRDefault="00872C61" w:rsidP="00872C61">
      <w:pPr>
        <w:shd w:val="clear" w:color="auto" w:fill="CCCCCC"/>
        <w:rPr>
          <w:rFonts w:ascii="Arial" w:hAnsi="Arial" w:cs="Arial"/>
        </w:rPr>
      </w:pPr>
    </w:p>
    <w:p w:rsidR="00872C61" w:rsidRDefault="00872C61" w:rsidP="00872C61">
      <w:pPr>
        <w:shd w:val="clear" w:color="auto" w:fill="CCCCCC"/>
        <w:rPr>
          <w:rFonts w:ascii="Arial" w:hAnsi="Arial" w:cs="Arial"/>
        </w:rPr>
      </w:pPr>
      <w:r>
        <w:rPr>
          <w:rFonts w:ascii="Arial" w:hAnsi="Arial" w:cs="Arial"/>
        </w:rPr>
        <w:t>Agile g</w:t>
      </w:r>
      <w:r w:rsidRPr="006E1057">
        <w:rPr>
          <w:rFonts w:ascii="Arial" w:hAnsi="Arial" w:cs="Arial"/>
        </w:rPr>
        <w:t xml:space="preserve">overnance structures and </w:t>
      </w:r>
      <w:r>
        <w:rPr>
          <w:rFonts w:ascii="Arial" w:hAnsi="Arial" w:cs="Arial"/>
        </w:rPr>
        <w:t>robust</w:t>
      </w:r>
      <w:r w:rsidRPr="006E1057">
        <w:rPr>
          <w:rFonts w:ascii="Arial" w:hAnsi="Arial" w:cs="Arial"/>
        </w:rPr>
        <w:t xml:space="preserve"> frameworks </w:t>
      </w:r>
      <w:r>
        <w:rPr>
          <w:rFonts w:ascii="Arial" w:hAnsi="Arial" w:cs="Arial"/>
        </w:rPr>
        <w:t xml:space="preserve">developed and revised during the COVID pandemic response, </w:t>
      </w:r>
      <w:r w:rsidRPr="006E1057">
        <w:rPr>
          <w:rFonts w:ascii="Arial" w:hAnsi="Arial" w:cs="Arial"/>
        </w:rPr>
        <w:t xml:space="preserve">supported with the embedding of the 'Values' across the </w:t>
      </w:r>
      <w:r>
        <w:rPr>
          <w:rFonts w:ascii="Arial" w:hAnsi="Arial" w:cs="Arial"/>
        </w:rPr>
        <w:t>Board,</w:t>
      </w:r>
      <w:r w:rsidRPr="006E1057">
        <w:rPr>
          <w:rFonts w:ascii="Arial" w:hAnsi="Arial" w:cs="Arial"/>
        </w:rPr>
        <w:t xml:space="preserve"> provide confidence </w:t>
      </w:r>
      <w:r>
        <w:rPr>
          <w:rFonts w:ascii="Arial" w:hAnsi="Arial" w:cs="Arial"/>
        </w:rPr>
        <w:t>in</w:t>
      </w:r>
      <w:r w:rsidRPr="006E1057">
        <w:rPr>
          <w:rFonts w:ascii="Arial" w:hAnsi="Arial" w:cs="Arial"/>
        </w:rPr>
        <w:t xml:space="preserve"> tak</w:t>
      </w:r>
      <w:r>
        <w:rPr>
          <w:rFonts w:ascii="Arial" w:hAnsi="Arial" w:cs="Arial"/>
        </w:rPr>
        <w:t>ing</w:t>
      </w:r>
      <w:r w:rsidRPr="006E1057">
        <w:rPr>
          <w:rFonts w:ascii="Arial" w:hAnsi="Arial" w:cs="Arial"/>
        </w:rPr>
        <w:t xml:space="preserve"> risks in the devel</w:t>
      </w:r>
      <w:r>
        <w:rPr>
          <w:rFonts w:ascii="Arial" w:hAnsi="Arial" w:cs="Arial"/>
        </w:rPr>
        <w:t xml:space="preserve">opment and execution of the remobilisation and wider board strategy.  </w:t>
      </w:r>
    </w:p>
    <w:p w:rsidR="00872C61" w:rsidRDefault="00872C61" w:rsidP="00872C61">
      <w:pPr>
        <w:shd w:val="clear" w:color="auto" w:fill="CCCCCC"/>
        <w:rPr>
          <w:rFonts w:ascii="Arial" w:hAnsi="Arial" w:cs="Arial"/>
        </w:rPr>
      </w:pPr>
    </w:p>
    <w:p w:rsidR="00872C61" w:rsidRDefault="00872C61" w:rsidP="00872C61">
      <w:pPr>
        <w:shd w:val="clear" w:color="auto" w:fill="CCCCCC"/>
        <w:rPr>
          <w:rFonts w:ascii="Arial" w:hAnsi="Arial" w:cs="Arial"/>
        </w:rPr>
      </w:pPr>
      <w:r w:rsidRPr="006E1057">
        <w:rPr>
          <w:rFonts w:ascii="Arial" w:hAnsi="Arial" w:cs="Arial"/>
        </w:rPr>
        <w:t>In delivering our vision</w:t>
      </w:r>
      <w:r>
        <w:rPr>
          <w:rFonts w:ascii="Arial" w:hAnsi="Arial" w:cs="Arial"/>
        </w:rPr>
        <w:t xml:space="preserve"> and objectives; </w:t>
      </w:r>
      <w:r w:rsidRPr="006E1057">
        <w:rPr>
          <w:rFonts w:ascii="Arial" w:hAnsi="Arial" w:cs="Arial"/>
        </w:rPr>
        <w:t xml:space="preserve">safety is at the forefront of what we do with a strong commitment to continually learn and improve.  Risk is inherent in </w:t>
      </w:r>
      <w:r>
        <w:rPr>
          <w:rFonts w:ascii="Arial" w:hAnsi="Arial" w:cs="Arial"/>
        </w:rPr>
        <w:t>all that we do</w:t>
      </w:r>
      <w:r w:rsidRPr="006E1057">
        <w:rPr>
          <w:rFonts w:ascii="Arial" w:hAnsi="Arial" w:cs="Arial"/>
        </w:rPr>
        <w:t xml:space="preserve"> and we will continue to ensure this is robustly managed</w:t>
      </w:r>
      <w:r>
        <w:rPr>
          <w:rFonts w:ascii="Arial" w:hAnsi="Arial" w:cs="Arial"/>
        </w:rPr>
        <w:t xml:space="preserve"> with a cautious approach to risks to patients, staff and guests.  We remain committed to supporting advancements in clinical care through innovative models of care and use of technology which will deliver improved clinical outcomes.  This will be balanced with careful consideration of risk and benefit and a sound evidence base alongside shared decision making ensuring our patients remain at the heart of our progress. </w:t>
      </w:r>
    </w:p>
    <w:p w:rsidR="00872C61" w:rsidRDefault="00872C61" w:rsidP="00872C61">
      <w:pPr>
        <w:shd w:val="clear" w:color="auto" w:fill="CCCCCC"/>
        <w:rPr>
          <w:rFonts w:ascii="Arial" w:hAnsi="Arial" w:cs="Arial"/>
        </w:rPr>
      </w:pPr>
      <w:r>
        <w:rPr>
          <w:rFonts w:ascii="Arial" w:hAnsi="Arial" w:cs="Arial"/>
        </w:rPr>
        <w:t xml:space="preserve">  </w:t>
      </w:r>
    </w:p>
    <w:p w:rsidR="00872C61" w:rsidRDefault="00872C61" w:rsidP="00872C61">
      <w:pPr>
        <w:shd w:val="clear" w:color="auto" w:fill="CCCCCC"/>
        <w:rPr>
          <w:rFonts w:ascii="Arial" w:hAnsi="Arial" w:cs="Arial"/>
        </w:rPr>
      </w:pPr>
      <w:r>
        <w:rPr>
          <w:rFonts w:ascii="Arial" w:hAnsi="Arial" w:cs="Arial"/>
        </w:rPr>
        <w:lastRenderedPageBreak/>
        <w:t xml:space="preserve">There is an </w:t>
      </w:r>
      <w:r w:rsidRPr="006E1057">
        <w:rPr>
          <w:rFonts w:ascii="Arial" w:hAnsi="Arial" w:cs="Arial"/>
        </w:rPr>
        <w:t xml:space="preserve">appetite for </w:t>
      </w:r>
      <w:r>
        <w:rPr>
          <w:rFonts w:ascii="Arial" w:hAnsi="Arial" w:cs="Arial"/>
        </w:rPr>
        <w:t>operational</w:t>
      </w:r>
      <w:r w:rsidRPr="006E1057">
        <w:rPr>
          <w:rFonts w:ascii="Arial" w:hAnsi="Arial" w:cs="Arial"/>
        </w:rPr>
        <w:t xml:space="preserve"> risk </w:t>
      </w:r>
      <w:r>
        <w:rPr>
          <w:rFonts w:ascii="Arial" w:hAnsi="Arial" w:cs="Arial"/>
        </w:rPr>
        <w:t xml:space="preserve">in pursuing innovative ways of delivering services that support improved outcomes, and value for money.  This will be supported by a sound evidence base and consideration of potential benefits.  In responding to workforce challenges the Board is open to explore innovative workforce models.  We will work in partnership to develop a workplace for the future that maximises the resources and capacity we have in delivery of services, whilst ensuring safety and wellbeing.  </w:t>
      </w:r>
    </w:p>
    <w:p w:rsidR="00872C61" w:rsidRDefault="00872C61" w:rsidP="00872C61">
      <w:pPr>
        <w:shd w:val="clear" w:color="auto" w:fill="CCCCCC"/>
        <w:rPr>
          <w:rFonts w:ascii="Arial" w:hAnsi="Arial" w:cs="Arial"/>
        </w:rPr>
      </w:pPr>
    </w:p>
    <w:p w:rsidR="00872C61" w:rsidRDefault="00872C61" w:rsidP="00872C61">
      <w:pPr>
        <w:shd w:val="clear" w:color="auto" w:fill="CCCCCC"/>
        <w:rPr>
          <w:rFonts w:ascii="Arial" w:hAnsi="Arial" w:cs="Arial"/>
        </w:rPr>
      </w:pPr>
      <w:r>
        <w:rPr>
          <w:rFonts w:ascii="Arial" w:hAnsi="Arial" w:cs="Arial"/>
        </w:rPr>
        <w:t xml:space="preserve">There are strong financial controls in place across the Board with different challenges faced across the sectors that bring a more cautious approach within the hospital. This reflects the challenges in supporting value for money as we continue to meet the requirements for transformational change.  </w:t>
      </w:r>
    </w:p>
    <w:p w:rsidR="00872C61" w:rsidRDefault="00872C61" w:rsidP="00872C61">
      <w:pPr>
        <w:shd w:val="clear" w:color="auto" w:fill="CCCCCC"/>
        <w:rPr>
          <w:rFonts w:ascii="Arial" w:hAnsi="Arial" w:cs="Arial"/>
        </w:rPr>
      </w:pPr>
    </w:p>
    <w:p w:rsidR="00872C61" w:rsidRDefault="00872C61" w:rsidP="00872C61">
      <w:pPr>
        <w:shd w:val="clear" w:color="auto" w:fill="CCCCCC"/>
        <w:rPr>
          <w:rFonts w:ascii="Arial" w:hAnsi="Arial" w:cs="Arial"/>
        </w:rPr>
      </w:pPr>
      <w:r>
        <w:rPr>
          <w:rFonts w:ascii="Arial" w:hAnsi="Arial" w:cs="Arial"/>
        </w:rPr>
        <w:t>The Board are focus</w:t>
      </w:r>
      <w:r w:rsidRPr="006E1057">
        <w:rPr>
          <w:rFonts w:ascii="Arial" w:hAnsi="Arial" w:cs="Arial"/>
        </w:rPr>
        <w:t xml:space="preserve">ed on maintaining </w:t>
      </w:r>
      <w:r>
        <w:rPr>
          <w:rFonts w:ascii="Arial" w:hAnsi="Arial" w:cs="Arial"/>
        </w:rPr>
        <w:t>its</w:t>
      </w:r>
      <w:r w:rsidRPr="006E1057">
        <w:rPr>
          <w:rFonts w:ascii="Arial" w:hAnsi="Arial" w:cs="Arial"/>
        </w:rPr>
        <w:t xml:space="preserve"> strong reputation </w:t>
      </w:r>
      <w:r>
        <w:rPr>
          <w:rFonts w:ascii="Arial" w:hAnsi="Arial" w:cs="Arial"/>
        </w:rPr>
        <w:t xml:space="preserve">and </w:t>
      </w:r>
      <w:r w:rsidRPr="006E1057">
        <w:rPr>
          <w:rFonts w:ascii="Arial" w:hAnsi="Arial" w:cs="Arial"/>
        </w:rPr>
        <w:t xml:space="preserve">enhancing </w:t>
      </w:r>
      <w:r>
        <w:rPr>
          <w:rFonts w:ascii="Arial" w:hAnsi="Arial" w:cs="Arial"/>
        </w:rPr>
        <w:t>this</w:t>
      </w:r>
      <w:r w:rsidRPr="006E1057">
        <w:rPr>
          <w:rFonts w:ascii="Arial" w:hAnsi="Arial" w:cs="Arial"/>
        </w:rPr>
        <w:t xml:space="preserve"> in new areas within the UK and internationally.    </w:t>
      </w:r>
    </w:p>
    <w:p w:rsidR="00872C61" w:rsidRDefault="00872C61" w:rsidP="00872C61">
      <w:pPr>
        <w:shd w:val="clear" w:color="auto" w:fill="CCCCCC"/>
        <w:rPr>
          <w:rFonts w:ascii="Arial" w:hAnsi="Arial" w:cs="Arial"/>
        </w:rPr>
      </w:pPr>
    </w:p>
    <w:p w:rsidR="00872C61" w:rsidRPr="006E1057" w:rsidRDefault="00872C61" w:rsidP="00872C61">
      <w:pPr>
        <w:shd w:val="clear" w:color="auto" w:fill="CCCCCC"/>
        <w:rPr>
          <w:rFonts w:ascii="Arial" w:hAnsi="Arial" w:cs="Arial"/>
        </w:rPr>
      </w:pPr>
      <w:r w:rsidRPr="006E1057">
        <w:rPr>
          <w:rFonts w:ascii="Arial" w:hAnsi="Arial" w:cs="Arial"/>
        </w:rPr>
        <w:t>The Board recognises the need to place high importance on regulation and compliance</w:t>
      </w:r>
      <w:r>
        <w:rPr>
          <w:rFonts w:ascii="Arial" w:hAnsi="Arial" w:cs="Arial"/>
        </w:rPr>
        <w:t xml:space="preserve"> but also be open to challenge where supported by evidence in pursuit of quality</w:t>
      </w:r>
      <w:r w:rsidRPr="006E1057">
        <w:rPr>
          <w:rFonts w:ascii="Arial" w:hAnsi="Arial" w:cs="Arial"/>
        </w:rPr>
        <w:t>.</w:t>
      </w:r>
      <w:r>
        <w:rPr>
          <w:rFonts w:ascii="Arial" w:hAnsi="Arial" w:cs="Arial"/>
        </w:rPr>
        <w:t xml:space="preserve">  </w:t>
      </w:r>
    </w:p>
    <w:p w:rsidR="00872C61" w:rsidRDefault="00872C61" w:rsidP="00872C61">
      <w:pPr>
        <w:shd w:val="clear" w:color="auto" w:fill="CCCCCC"/>
        <w:rPr>
          <w:rFonts w:ascii="Arial" w:hAnsi="Arial" w:cs="Arial"/>
        </w:rPr>
      </w:pPr>
    </w:p>
    <w:p w:rsidR="00872C61" w:rsidRDefault="00872C61" w:rsidP="00872C61">
      <w:pPr>
        <w:shd w:val="clear" w:color="auto" w:fill="CCCCCC"/>
        <w:rPr>
          <w:rFonts w:ascii="Arial" w:hAnsi="Arial" w:cs="Arial"/>
        </w:rPr>
      </w:pPr>
      <w:r>
        <w:rPr>
          <w:rFonts w:ascii="Arial" w:hAnsi="Arial" w:cs="Arial"/>
        </w:rPr>
        <w:t xml:space="preserve">Over the coming year, the Board will develop its risk appetite across the strategic portfolio, recognising the differing stages of key strategic programmes and the links to the overall Board strategy and objectives.  </w:t>
      </w:r>
    </w:p>
    <w:p w:rsidR="00621EB0" w:rsidRDefault="00621EB0" w:rsidP="00E5658D">
      <w:pPr>
        <w:rPr>
          <w:rFonts w:ascii="Arial" w:hAnsi="Arial" w:cs="Arial"/>
          <w:b/>
          <w:sz w:val="22"/>
          <w:szCs w:val="22"/>
        </w:rPr>
      </w:pPr>
    </w:p>
    <w:p w:rsidR="00621EB0" w:rsidRDefault="00621EB0" w:rsidP="00E5658D">
      <w:pPr>
        <w:rPr>
          <w:rFonts w:ascii="Arial" w:hAnsi="Arial" w:cs="Arial"/>
          <w:b/>
          <w:sz w:val="22"/>
          <w:szCs w:val="22"/>
        </w:rPr>
      </w:pPr>
    </w:p>
    <w:p w:rsidR="00EE170A" w:rsidRPr="00EE170A" w:rsidRDefault="00EE170A" w:rsidP="00E5658D">
      <w:pPr>
        <w:rPr>
          <w:rFonts w:ascii="Arial" w:hAnsi="Arial" w:cs="Arial"/>
          <w:b/>
          <w:sz w:val="22"/>
          <w:szCs w:val="22"/>
        </w:rPr>
        <w:sectPr w:rsidR="00EE170A" w:rsidRPr="00EE170A" w:rsidSect="00B953C2">
          <w:footerReference w:type="default" r:id="rId9"/>
          <w:pgSz w:w="12240" w:h="15840"/>
          <w:pgMar w:top="1440" w:right="1440" w:bottom="1440" w:left="1440" w:header="709" w:footer="352" w:gutter="0"/>
          <w:cols w:space="708"/>
          <w:docGrid w:linePitch="360"/>
        </w:sectPr>
      </w:pPr>
    </w:p>
    <w:p w:rsidR="00621EB0" w:rsidRDefault="00EA2EAD" w:rsidP="00855937">
      <w:pPr>
        <w:rPr>
          <w:rFonts w:ascii="Arial" w:hAnsi="Arial" w:cs="Arial"/>
          <w:b/>
          <w:sz w:val="22"/>
          <w:szCs w:val="22"/>
          <w:u w:val="single"/>
        </w:rPr>
      </w:pPr>
      <w:r w:rsidRPr="00C646A5">
        <w:rPr>
          <w:rFonts w:ascii="Arial" w:hAnsi="Arial" w:cs="Arial"/>
          <w:b/>
          <w:sz w:val="22"/>
          <w:szCs w:val="22"/>
          <w:u w:val="single"/>
        </w:rPr>
        <w:lastRenderedPageBreak/>
        <w:t xml:space="preserve">Appendix </w:t>
      </w:r>
      <w:r w:rsidR="00126A74" w:rsidRPr="00C646A5">
        <w:rPr>
          <w:rFonts w:ascii="Arial" w:hAnsi="Arial" w:cs="Arial"/>
          <w:b/>
          <w:sz w:val="22"/>
          <w:szCs w:val="22"/>
          <w:u w:val="single"/>
        </w:rPr>
        <w:t>B</w:t>
      </w:r>
      <w:r w:rsidRPr="00C646A5">
        <w:rPr>
          <w:rFonts w:ascii="Arial" w:hAnsi="Arial" w:cs="Arial"/>
          <w:b/>
          <w:sz w:val="22"/>
          <w:szCs w:val="22"/>
          <w:u w:val="single"/>
        </w:rPr>
        <w:t xml:space="preserve"> – Board Risk </w:t>
      </w:r>
      <w:r w:rsidR="00637331">
        <w:rPr>
          <w:rFonts w:ascii="Arial" w:hAnsi="Arial" w:cs="Arial"/>
          <w:b/>
          <w:sz w:val="22"/>
          <w:szCs w:val="22"/>
          <w:u w:val="single"/>
        </w:rPr>
        <w:t xml:space="preserve">Register Overview </w:t>
      </w:r>
      <w:r w:rsidR="00621EB0" w:rsidRPr="00C646A5">
        <w:rPr>
          <w:rFonts w:ascii="Arial" w:hAnsi="Arial" w:cs="Arial"/>
          <w:b/>
          <w:sz w:val="22"/>
          <w:szCs w:val="22"/>
          <w:u w:val="single"/>
        </w:rPr>
        <w:t xml:space="preserve"> </w:t>
      </w:r>
    </w:p>
    <w:p w:rsidR="00872C61" w:rsidRPr="00C646A5" w:rsidRDefault="00872C61" w:rsidP="00855937">
      <w:pPr>
        <w:rPr>
          <w:rFonts w:ascii="Arial" w:hAnsi="Arial" w:cs="Arial"/>
          <w:b/>
          <w:sz w:val="22"/>
          <w:szCs w:val="22"/>
          <w:u w:val="single"/>
        </w:rPr>
      </w:pPr>
    </w:p>
    <w:p w:rsidR="00BA78AF" w:rsidRPr="00EA2EAD" w:rsidRDefault="00EA2EAD" w:rsidP="00855937">
      <w:pPr>
        <w:rPr>
          <w:rFonts w:ascii="Arial" w:hAnsi="Arial" w:cs="Arial"/>
          <w:b/>
          <w:sz w:val="22"/>
          <w:szCs w:val="22"/>
        </w:rPr>
      </w:pPr>
      <w:r w:rsidRPr="00EA2EAD">
        <w:rPr>
          <w:rFonts w:ascii="Arial" w:hAnsi="Arial" w:cs="Arial"/>
          <w:b/>
          <w:sz w:val="22"/>
          <w:szCs w:val="22"/>
        </w:rPr>
        <w:t xml:space="preserve"> </w:t>
      </w:r>
    </w:p>
    <w:tbl>
      <w:tblPr>
        <w:tblStyle w:val="TableGrid"/>
        <w:tblW w:w="15118" w:type="dxa"/>
        <w:jc w:val="center"/>
        <w:tblLayout w:type="fixed"/>
        <w:tblLook w:val="04A0" w:firstRow="1" w:lastRow="0" w:firstColumn="1" w:lastColumn="0" w:noHBand="0" w:noVBand="1"/>
      </w:tblPr>
      <w:tblGrid>
        <w:gridCol w:w="765"/>
        <w:gridCol w:w="3733"/>
        <w:gridCol w:w="1134"/>
        <w:gridCol w:w="1134"/>
        <w:gridCol w:w="3987"/>
        <w:gridCol w:w="2522"/>
        <w:gridCol w:w="1843"/>
      </w:tblGrid>
      <w:tr w:rsidR="00126A74" w:rsidRPr="000C4A83" w:rsidTr="00C646A5">
        <w:trPr>
          <w:jc w:val="center"/>
        </w:trPr>
        <w:tc>
          <w:tcPr>
            <w:tcW w:w="765" w:type="dxa"/>
            <w:vMerge w:val="restart"/>
            <w:shd w:val="clear" w:color="auto" w:fill="D9D9D9" w:themeFill="background1" w:themeFillShade="D9"/>
            <w:vAlign w:val="center"/>
          </w:tcPr>
          <w:p w:rsidR="00126A74" w:rsidRPr="000C4A83" w:rsidRDefault="00126A74" w:rsidP="001413AD">
            <w:pPr>
              <w:jc w:val="center"/>
              <w:rPr>
                <w:rFonts w:ascii="Arial" w:hAnsi="Arial" w:cs="Arial"/>
                <w:b/>
              </w:rPr>
            </w:pPr>
            <w:r w:rsidRPr="000C4A83">
              <w:rPr>
                <w:rFonts w:ascii="Arial" w:hAnsi="Arial" w:cs="Arial"/>
                <w:b/>
              </w:rPr>
              <w:t>Ref</w:t>
            </w:r>
          </w:p>
        </w:tc>
        <w:tc>
          <w:tcPr>
            <w:tcW w:w="3733" w:type="dxa"/>
            <w:vMerge w:val="restart"/>
            <w:shd w:val="clear" w:color="auto" w:fill="D9D9D9" w:themeFill="background1" w:themeFillShade="D9"/>
            <w:vAlign w:val="center"/>
          </w:tcPr>
          <w:p w:rsidR="00126A74" w:rsidRPr="000C4A83" w:rsidRDefault="00126A74" w:rsidP="001413AD">
            <w:pPr>
              <w:jc w:val="center"/>
              <w:rPr>
                <w:rFonts w:ascii="Arial" w:hAnsi="Arial" w:cs="Arial"/>
                <w:b/>
              </w:rPr>
            </w:pPr>
            <w:r w:rsidRPr="000C4A83">
              <w:rPr>
                <w:rFonts w:ascii="Arial" w:hAnsi="Arial" w:cs="Arial"/>
                <w:b/>
              </w:rPr>
              <w:t>Title</w:t>
            </w:r>
          </w:p>
        </w:tc>
        <w:tc>
          <w:tcPr>
            <w:tcW w:w="2268" w:type="dxa"/>
            <w:gridSpan w:val="2"/>
            <w:shd w:val="clear" w:color="auto" w:fill="D9D9D9" w:themeFill="background1" w:themeFillShade="D9"/>
          </w:tcPr>
          <w:p w:rsidR="00126A74" w:rsidRPr="000C4A83" w:rsidRDefault="00126A74" w:rsidP="001413AD">
            <w:pPr>
              <w:jc w:val="center"/>
              <w:rPr>
                <w:rFonts w:ascii="Arial" w:hAnsi="Arial" w:cs="Arial"/>
                <w:b/>
              </w:rPr>
            </w:pPr>
            <w:r w:rsidRPr="000C4A83">
              <w:rPr>
                <w:rFonts w:ascii="Arial" w:hAnsi="Arial" w:cs="Arial"/>
                <w:b/>
              </w:rPr>
              <w:t xml:space="preserve">Grading’s </w:t>
            </w:r>
          </w:p>
        </w:tc>
        <w:tc>
          <w:tcPr>
            <w:tcW w:w="3987" w:type="dxa"/>
            <w:vMerge w:val="restart"/>
            <w:shd w:val="clear" w:color="auto" w:fill="D9D9D9" w:themeFill="background1" w:themeFillShade="D9"/>
          </w:tcPr>
          <w:p w:rsidR="00126A74" w:rsidRPr="000C4A83" w:rsidRDefault="00126A74" w:rsidP="001413AD">
            <w:pPr>
              <w:rPr>
                <w:rFonts w:ascii="Arial" w:hAnsi="Arial" w:cs="Arial"/>
                <w:b/>
              </w:rPr>
            </w:pPr>
            <w:r w:rsidRPr="000C4A83">
              <w:rPr>
                <w:rFonts w:ascii="Arial" w:hAnsi="Arial" w:cs="Arial"/>
                <w:b/>
              </w:rPr>
              <w:t>Workshop feedback and status</w:t>
            </w:r>
          </w:p>
        </w:tc>
        <w:tc>
          <w:tcPr>
            <w:tcW w:w="2522" w:type="dxa"/>
            <w:vMerge w:val="restart"/>
            <w:shd w:val="clear" w:color="auto" w:fill="D9D9D9" w:themeFill="background1" w:themeFillShade="D9"/>
          </w:tcPr>
          <w:p w:rsidR="00126A74" w:rsidRPr="000C4A83" w:rsidRDefault="00126A74" w:rsidP="001413AD">
            <w:pPr>
              <w:jc w:val="center"/>
              <w:rPr>
                <w:rFonts w:ascii="Arial" w:hAnsi="Arial" w:cs="Arial"/>
                <w:b/>
              </w:rPr>
            </w:pPr>
            <w:r w:rsidRPr="000C4A83">
              <w:rPr>
                <w:rFonts w:ascii="Arial" w:hAnsi="Arial" w:cs="Arial"/>
                <w:b/>
              </w:rPr>
              <w:t>Assurance/ KPIs</w:t>
            </w:r>
          </w:p>
        </w:tc>
        <w:tc>
          <w:tcPr>
            <w:tcW w:w="1843" w:type="dxa"/>
            <w:vMerge w:val="restart"/>
            <w:shd w:val="clear" w:color="auto" w:fill="D9D9D9" w:themeFill="background1" w:themeFillShade="D9"/>
          </w:tcPr>
          <w:p w:rsidR="00126A74" w:rsidRPr="000C4A83" w:rsidRDefault="00126A74" w:rsidP="001413AD">
            <w:pPr>
              <w:jc w:val="center"/>
              <w:rPr>
                <w:rFonts w:ascii="Arial" w:hAnsi="Arial" w:cs="Arial"/>
                <w:b/>
              </w:rPr>
            </w:pPr>
            <w:r w:rsidRPr="000C4A83">
              <w:rPr>
                <w:rFonts w:ascii="Arial" w:hAnsi="Arial" w:cs="Arial"/>
                <w:b/>
              </w:rPr>
              <w:t>Board Committee</w:t>
            </w:r>
          </w:p>
        </w:tc>
      </w:tr>
      <w:tr w:rsidR="00126A74" w:rsidRPr="000C4A83" w:rsidTr="00C646A5">
        <w:trPr>
          <w:trHeight w:val="548"/>
          <w:jc w:val="center"/>
        </w:trPr>
        <w:tc>
          <w:tcPr>
            <w:tcW w:w="765" w:type="dxa"/>
            <w:vMerge/>
            <w:tcBorders>
              <w:bottom w:val="single" w:sz="4" w:space="0" w:color="auto"/>
            </w:tcBorders>
            <w:vAlign w:val="center"/>
          </w:tcPr>
          <w:p w:rsidR="00126A74" w:rsidRPr="000C4A83" w:rsidRDefault="00126A74" w:rsidP="001413AD">
            <w:pPr>
              <w:jc w:val="center"/>
              <w:rPr>
                <w:rFonts w:ascii="Arial" w:hAnsi="Arial" w:cs="Arial"/>
              </w:rPr>
            </w:pPr>
          </w:p>
        </w:tc>
        <w:tc>
          <w:tcPr>
            <w:tcW w:w="3733" w:type="dxa"/>
            <w:vMerge/>
            <w:tcBorders>
              <w:bottom w:val="single" w:sz="4" w:space="0" w:color="auto"/>
            </w:tcBorders>
            <w:vAlign w:val="center"/>
          </w:tcPr>
          <w:p w:rsidR="00126A74" w:rsidRPr="000C4A83" w:rsidRDefault="00126A74" w:rsidP="001413AD">
            <w:pPr>
              <w:jc w:val="center"/>
              <w:rPr>
                <w:rFonts w:ascii="Arial" w:hAnsi="Arial" w:cs="Arial"/>
              </w:rPr>
            </w:pPr>
          </w:p>
        </w:tc>
        <w:tc>
          <w:tcPr>
            <w:tcW w:w="1134" w:type="dxa"/>
            <w:tcBorders>
              <w:bottom w:val="single" w:sz="4" w:space="0" w:color="auto"/>
            </w:tcBorders>
            <w:shd w:val="clear" w:color="auto" w:fill="D9D9D9" w:themeFill="background1" w:themeFillShade="D9"/>
            <w:vAlign w:val="center"/>
          </w:tcPr>
          <w:p w:rsidR="00126A74" w:rsidRPr="00362831" w:rsidRDefault="00126A74" w:rsidP="001413AD">
            <w:pPr>
              <w:jc w:val="center"/>
              <w:rPr>
                <w:rFonts w:ascii="Arial" w:hAnsi="Arial" w:cs="Arial"/>
                <w:b/>
                <w:sz w:val="22"/>
                <w:szCs w:val="22"/>
              </w:rPr>
            </w:pPr>
            <w:r w:rsidRPr="00362831">
              <w:rPr>
                <w:rFonts w:ascii="Arial" w:hAnsi="Arial" w:cs="Arial"/>
                <w:b/>
                <w:sz w:val="22"/>
                <w:szCs w:val="22"/>
              </w:rPr>
              <w:t>Current</w:t>
            </w:r>
          </w:p>
          <w:p w:rsidR="00126A74" w:rsidRPr="00362831" w:rsidRDefault="00126A74" w:rsidP="001413AD">
            <w:pPr>
              <w:jc w:val="center"/>
              <w:rPr>
                <w:rFonts w:ascii="Arial" w:hAnsi="Arial" w:cs="Arial"/>
                <w:b/>
                <w:sz w:val="22"/>
                <w:szCs w:val="22"/>
              </w:rPr>
            </w:pPr>
            <w:r w:rsidRPr="00362831">
              <w:rPr>
                <w:rFonts w:ascii="Arial" w:hAnsi="Arial" w:cs="Arial"/>
                <w:b/>
                <w:sz w:val="22"/>
                <w:szCs w:val="22"/>
              </w:rPr>
              <w:t>LxS=RR</w:t>
            </w:r>
          </w:p>
        </w:tc>
        <w:tc>
          <w:tcPr>
            <w:tcW w:w="1134" w:type="dxa"/>
            <w:tcBorders>
              <w:bottom w:val="single" w:sz="4" w:space="0" w:color="auto"/>
            </w:tcBorders>
            <w:shd w:val="clear" w:color="auto" w:fill="D9D9D9" w:themeFill="background1" w:themeFillShade="D9"/>
            <w:vAlign w:val="center"/>
          </w:tcPr>
          <w:p w:rsidR="00126A74" w:rsidRPr="00362831" w:rsidRDefault="00126A74" w:rsidP="001413AD">
            <w:pPr>
              <w:jc w:val="center"/>
              <w:rPr>
                <w:rFonts w:ascii="Arial" w:hAnsi="Arial" w:cs="Arial"/>
                <w:b/>
                <w:sz w:val="22"/>
                <w:szCs w:val="22"/>
              </w:rPr>
            </w:pPr>
            <w:r w:rsidRPr="00362831">
              <w:rPr>
                <w:rFonts w:ascii="Arial" w:hAnsi="Arial" w:cs="Arial"/>
                <w:b/>
                <w:sz w:val="22"/>
                <w:szCs w:val="22"/>
              </w:rPr>
              <w:t>Target</w:t>
            </w:r>
          </w:p>
          <w:p w:rsidR="00126A74" w:rsidRPr="00362831" w:rsidRDefault="00126A74" w:rsidP="001413AD">
            <w:pPr>
              <w:jc w:val="center"/>
              <w:rPr>
                <w:rFonts w:ascii="Arial" w:hAnsi="Arial" w:cs="Arial"/>
                <w:b/>
                <w:sz w:val="22"/>
                <w:szCs w:val="22"/>
              </w:rPr>
            </w:pPr>
            <w:r w:rsidRPr="00362831">
              <w:rPr>
                <w:rFonts w:ascii="Arial" w:hAnsi="Arial" w:cs="Arial"/>
                <w:b/>
                <w:sz w:val="22"/>
                <w:szCs w:val="22"/>
              </w:rPr>
              <w:t>LxS=RR</w:t>
            </w:r>
          </w:p>
        </w:tc>
        <w:tc>
          <w:tcPr>
            <w:tcW w:w="3987" w:type="dxa"/>
            <w:vMerge/>
            <w:tcBorders>
              <w:bottom w:val="single" w:sz="4" w:space="0" w:color="auto"/>
            </w:tcBorders>
            <w:shd w:val="clear" w:color="auto" w:fill="D9D9D9" w:themeFill="background1" w:themeFillShade="D9"/>
          </w:tcPr>
          <w:p w:rsidR="00126A74" w:rsidRPr="000C4A83" w:rsidRDefault="00126A74" w:rsidP="001413AD">
            <w:pPr>
              <w:rPr>
                <w:rFonts w:ascii="Arial" w:hAnsi="Arial" w:cs="Arial"/>
              </w:rPr>
            </w:pPr>
          </w:p>
        </w:tc>
        <w:tc>
          <w:tcPr>
            <w:tcW w:w="2522" w:type="dxa"/>
            <w:vMerge/>
            <w:tcBorders>
              <w:bottom w:val="single" w:sz="4" w:space="0" w:color="auto"/>
            </w:tcBorders>
            <w:shd w:val="clear" w:color="auto" w:fill="D9D9D9" w:themeFill="background1" w:themeFillShade="D9"/>
          </w:tcPr>
          <w:p w:rsidR="00126A74" w:rsidRPr="000C4A83" w:rsidRDefault="00126A74" w:rsidP="001413AD">
            <w:pPr>
              <w:rPr>
                <w:rFonts w:ascii="Arial" w:hAnsi="Arial" w:cs="Arial"/>
              </w:rPr>
            </w:pPr>
          </w:p>
        </w:tc>
        <w:tc>
          <w:tcPr>
            <w:tcW w:w="1843" w:type="dxa"/>
            <w:vMerge/>
            <w:tcBorders>
              <w:bottom w:val="single" w:sz="4" w:space="0" w:color="auto"/>
            </w:tcBorders>
            <w:shd w:val="clear" w:color="auto" w:fill="D9D9D9" w:themeFill="background1" w:themeFillShade="D9"/>
          </w:tcPr>
          <w:p w:rsidR="00126A74" w:rsidRPr="000C4A83" w:rsidRDefault="00126A74" w:rsidP="001413AD">
            <w:pPr>
              <w:jc w:val="center"/>
              <w:rPr>
                <w:rFonts w:ascii="Arial" w:hAnsi="Arial" w:cs="Arial"/>
              </w:rPr>
            </w:pPr>
          </w:p>
        </w:tc>
      </w:tr>
      <w:tr w:rsidR="00126A74" w:rsidRPr="000C4A83" w:rsidTr="00C646A5">
        <w:trPr>
          <w:jc w:val="center"/>
        </w:trPr>
        <w:tc>
          <w:tcPr>
            <w:tcW w:w="765" w:type="dxa"/>
          </w:tcPr>
          <w:p w:rsidR="00126A74" w:rsidRPr="000C4A83" w:rsidRDefault="00126A74" w:rsidP="001413AD">
            <w:pPr>
              <w:rPr>
                <w:rFonts w:ascii="Arial" w:hAnsi="Arial" w:cs="Arial"/>
              </w:rPr>
            </w:pPr>
            <w:r w:rsidRPr="000C4A83">
              <w:rPr>
                <w:rFonts w:ascii="Arial" w:hAnsi="Arial" w:cs="Arial"/>
              </w:rPr>
              <w:t>S3</w:t>
            </w:r>
          </w:p>
        </w:tc>
        <w:tc>
          <w:tcPr>
            <w:tcW w:w="3733" w:type="dxa"/>
          </w:tcPr>
          <w:p w:rsidR="00126A74" w:rsidRPr="000C4A83" w:rsidRDefault="00126A74" w:rsidP="001413AD">
            <w:pPr>
              <w:rPr>
                <w:rFonts w:ascii="Arial" w:hAnsi="Arial" w:cs="Arial"/>
              </w:rPr>
            </w:pPr>
            <w:r w:rsidRPr="000C4A83">
              <w:rPr>
                <w:rFonts w:ascii="Arial" w:hAnsi="Arial" w:cs="Arial"/>
              </w:rPr>
              <w:t xml:space="preserve">If we do not ensure a robust framework to support innovation at local, national and international level </w:t>
            </w:r>
          </w:p>
        </w:tc>
        <w:tc>
          <w:tcPr>
            <w:tcW w:w="1134" w:type="dxa"/>
            <w:shd w:val="clear" w:color="auto" w:fill="FFFF00"/>
          </w:tcPr>
          <w:p w:rsidR="00126A74" w:rsidRPr="000C4A83" w:rsidRDefault="00872C61" w:rsidP="00872C61">
            <w:pPr>
              <w:jc w:val="center"/>
              <w:rPr>
                <w:rFonts w:ascii="Arial" w:hAnsi="Arial" w:cs="Arial"/>
              </w:rPr>
            </w:pPr>
            <w:r w:rsidRPr="000C4A83">
              <w:rPr>
                <w:rFonts w:ascii="Arial" w:hAnsi="Arial" w:cs="Arial"/>
              </w:rPr>
              <w:t>2</w:t>
            </w:r>
            <w:r w:rsidR="00126A74" w:rsidRPr="000C4A83">
              <w:rPr>
                <w:rFonts w:ascii="Arial" w:hAnsi="Arial" w:cs="Arial"/>
              </w:rPr>
              <w:t>x</w:t>
            </w:r>
            <w:r w:rsidRPr="000C4A83">
              <w:rPr>
                <w:rFonts w:ascii="Arial" w:hAnsi="Arial" w:cs="Arial"/>
              </w:rPr>
              <w:t>2</w:t>
            </w:r>
            <w:r w:rsidR="00126A74" w:rsidRPr="000C4A83">
              <w:rPr>
                <w:rFonts w:ascii="Arial" w:hAnsi="Arial" w:cs="Arial"/>
              </w:rPr>
              <w:t>=</w:t>
            </w:r>
            <w:r w:rsidRPr="000C4A83">
              <w:rPr>
                <w:rFonts w:ascii="Arial" w:hAnsi="Arial" w:cs="Arial"/>
              </w:rPr>
              <w:t>4</w:t>
            </w:r>
          </w:p>
        </w:tc>
        <w:tc>
          <w:tcPr>
            <w:tcW w:w="1134" w:type="dxa"/>
            <w:shd w:val="clear" w:color="auto" w:fill="FFFF00"/>
          </w:tcPr>
          <w:p w:rsidR="00126A74" w:rsidRPr="000C4A83" w:rsidRDefault="00872C61" w:rsidP="00872C61">
            <w:pPr>
              <w:jc w:val="center"/>
              <w:rPr>
                <w:rFonts w:ascii="Arial" w:hAnsi="Arial" w:cs="Arial"/>
              </w:rPr>
            </w:pPr>
            <w:r w:rsidRPr="000C4A83">
              <w:rPr>
                <w:rFonts w:ascii="Arial" w:hAnsi="Arial" w:cs="Arial"/>
              </w:rPr>
              <w:t>2x2</w:t>
            </w:r>
            <w:r w:rsidR="00126A74" w:rsidRPr="000C4A83">
              <w:rPr>
                <w:rFonts w:ascii="Arial" w:hAnsi="Arial" w:cs="Arial"/>
              </w:rPr>
              <w:t>=</w:t>
            </w:r>
            <w:r w:rsidRPr="000C4A83">
              <w:rPr>
                <w:rFonts w:ascii="Arial" w:hAnsi="Arial" w:cs="Arial"/>
              </w:rPr>
              <w:t>4</w:t>
            </w:r>
          </w:p>
        </w:tc>
        <w:tc>
          <w:tcPr>
            <w:tcW w:w="3987" w:type="dxa"/>
            <w:shd w:val="clear" w:color="auto" w:fill="auto"/>
          </w:tcPr>
          <w:p w:rsidR="00126A74" w:rsidRPr="000C4A83" w:rsidRDefault="000C4A83" w:rsidP="001413AD">
            <w:pPr>
              <w:rPr>
                <w:rFonts w:ascii="Arial" w:hAnsi="Arial" w:cs="Arial"/>
              </w:rPr>
            </w:pPr>
            <w:r w:rsidRPr="000C4A83">
              <w:rPr>
                <w:rFonts w:ascii="Arial" w:hAnsi="Arial" w:cs="Arial"/>
              </w:rPr>
              <w:t xml:space="preserve">Agreed to keep risk as is.   </w:t>
            </w:r>
          </w:p>
        </w:tc>
        <w:tc>
          <w:tcPr>
            <w:tcW w:w="2522" w:type="dxa"/>
          </w:tcPr>
          <w:p w:rsidR="00126A74" w:rsidRPr="000C4A83" w:rsidRDefault="00804105" w:rsidP="00804105">
            <w:pPr>
              <w:rPr>
                <w:rFonts w:ascii="Arial" w:hAnsi="Arial" w:cs="Arial"/>
              </w:rPr>
            </w:pPr>
            <w:r w:rsidRPr="000C4A83">
              <w:rPr>
                <w:rFonts w:ascii="Arial" w:hAnsi="Arial" w:cs="Arial"/>
              </w:rPr>
              <w:t xml:space="preserve">Report on Strathclyde University partnership. </w:t>
            </w:r>
          </w:p>
        </w:tc>
        <w:tc>
          <w:tcPr>
            <w:tcW w:w="1843" w:type="dxa"/>
          </w:tcPr>
          <w:p w:rsidR="00126A74" w:rsidRPr="000C4A83" w:rsidRDefault="00126A74" w:rsidP="001413AD">
            <w:pPr>
              <w:pStyle w:val="ListParagraph"/>
              <w:rPr>
                <w:rFonts w:ascii="Arial" w:hAnsi="Arial" w:cs="Arial"/>
                <w:sz w:val="24"/>
                <w:szCs w:val="24"/>
              </w:rPr>
            </w:pPr>
            <w:r w:rsidRPr="000C4A83">
              <w:rPr>
                <w:rFonts w:ascii="Arial" w:hAnsi="Arial" w:cs="Arial"/>
                <w:sz w:val="24"/>
                <w:szCs w:val="24"/>
              </w:rPr>
              <w:t>ARC</w:t>
            </w:r>
          </w:p>
        </w:tc>
      </w:tr>
      <w:tr w:rsidR="00126A74" w:rsidRPr="000C4A83" w:rsidTr="00C646A5">
        <w:trPr>
          <w:jc w:val="center"/>
        </w:trPr>
        <w:tc>
          <w:tcPr>
            <w:tcW w:w="765" w:type="dxa"/>
          </w:tcPr>
          <w:p w:rsidR="00126A74" w:rsidRPr="000C4A83" w:rsidRDefault="00126A74" w:rsidP="001413AD">
            <w:pPr>
              <w:rPr>
                <w:rFonts w:ascii="Arial" w:hAnsi="Arial" w:cs="Arial"/>
              </w:rPr>
            </w:pPr>
            <w:r w:rsidRPr="000C4A83">
              <w:rPr>
                <w:rFonts w:ascii="Arial" w:hAnsi="Arial" w:cs="Arial"/>
              </w:rPr>
              <w:t>S6</w:t>
            </w:r>
          </w:p>
        </w:tc>
        <w:tc>
          <w:tcPr>
            <w:tcW w:w="3733" w:type="dxa"/>
          </w:tcPr>
          <w:p w:rsidR="00126A74" w:rsidRPr="000C4A83" w:rsidRDefault="00CC5B93" w:rsidP="001413AD">
            <w:pPr>
              <w:rPr>
                <w:rFonts w:ascii="Arial" w:eastAsia="Calibri" w:hAnsi="Arial" w:cs="Arial"/>
              </w:rPr>
            </w:pPr>
            <w:r w:rsidRPr="000C4A83">
              <w:rPr>
                <w:rFonts w:ascii="Arial" w:eastAsia="Calibri" w:hAnsi="Arial" w:cs="Arial"/>
              </w:rPr>
              <w:t xml:space="preserve">If we do not maintain adequate precautions we increase our susceptibility to Healthcare Associated Infection events, impacting delivery of corporate objectives </w:t>
            </w:r>
          </w:p>
        </w:tc>
        <w:tc>
          <w:tcPr>
            <w:tcW w:w="1134" w:type="dxa"/>
            <w:shd w:val="clear" w:color="auto" w:fill="FFFF00"/>
          </w:tcPr>
          <w:p w:rsidR="00126A74" w:rsidRPr="000C4A83" w:rsidRDefault="00126A74" w:rsidP="001413AD">
            <w:pPr>
              <w:jc w:val="center"/>
              <w:rPr>
                <w:rFonts w:ascii="Arial" w:hAnsi="Arial" w:cs="Arial"/>
              </w:rPr>
            </w:pPr>
            <w:r w:rsidRPr="000C4A83">
              <w:rPr>
                <w:rFonts w:ascii="Arial" w:hAnsi="Arial" w:cs="Arial"/>
              </w:rPr>
              <w:t>2x4=8</w:t>
            </w:r>
          </w:p>
        </w:tc>
        <w:tc>
          <w:tcPr>
            <w:tcW w:w="1134" w:type="dxa"/>
            <w:shd w:val="clear" w:color="auto" w:fill="FFFF00"/>
          </w:tcPr>
          <w:p w:rsidR="00126A74" w:rsidRPr="000C4A83" w:rsidRDefault="00126A74" w:rsidP="001413AD">
            <w:pPr>
              <w:jc w:val="center"/>
              <w:rPr>
                <w:rFonts w:ascii="Arial" w:hAnsi="Arial" w:cs="Arial"/>
              </w:rPr>
            </w:pPr>
            <w:r w:rsidRPr="000C4A83">
              <w:rPr>
                <w:rFonts w:ascii="Arial" w:hAnsi="Arial" w:cs="Arial"/>
              </w:rPr>
              <w:t>2x4=8</w:t>
            </w:r>
          </w:p>
        </w:tc>
        <w:tc>
          <w:tcPr>
            <w:tcW w:w="3987" w:type="dxa"/>
            <w:shd w:val="clear" w:color="auto" w:fill="auto"/>
          </w:tcPr>
          <w:p w:rsidR="00126A74" w:rsidRPr="000C4A83" w:rsidRDefault="00126A74" w:rsidP="001413AD">
            <w:pPr>
              <w:rPr>
                <w:rFonts w:ascii="Arial" w:hAnsi="Arial" w:cs="Arial"/>
              </w:rPr>
            </w:pPr>
            <w:r w:rsidRPr="000C4A83">
              <w:rPr>
                <w:rFonts w:ascii="Arial" w:hAnsi="Arial" w:cs="Arial"/>
              </w:rPr>
              <w:t xml:space="preserve">Agreed to keep risk as is.   </w:t>
            </w:r>
          </w:p>
        </w:tc>
        <w:tc>
          <w:tcPr>
            <w:tcW w:w="2522" w:type="dxa"/>
          </w:tcPr>
          <w:p w:rsidR="00126A74" w:rsidRPr="000C4A83" w:rsidRDefault="00126A74" w:rsidP="00804105">
            <w:pPr>
              <w:rPr>
                <w:rFonts w:ascii="Arial" w:hAnsi="Arial" w:cs="Arial"/>
              </w:rPr>
            </w:pPr>
            <w:r w:rsidRPr="000C4A83">
              <w:rPr>
                <w:rFonts w:ascii="Arial" w:hAnsi="Arial" w:cs="Arial"/>
              </w:rPr>
              <w:t>IPR indicators:</w:t>
            </w:r>
          </w:p>
          <w:p w:rsidR="00126A74" w:rsidRPr="000C4A83" w:rsidRDefault="00126A74" w:rsidP="00126A74">
            <w:pPr>
              <w:pStyle w:val="ListParagraph"/>
              <w:numPr>
                <w:ilvl w:val="0"/>
                <w:numId w:val="14"/>
              </w:numPr>
              <w:rPr>
                <w:rFonts w:ascii="Arial" w:hAnsi="Arial" w:cs="Arial"/>
                <w:sz w:val="24"/>
                <w:szCs w:val="24"/>
              </w:rPr>
            </w:pPr>
            <w:r w:rsidRPr="000C4A83">
              <w:rPr>
                <w:rFonts w:ascii="Arial" w:hAnsi="Arial" w:cs="Arial"/>
                <w:sz w:val="24"/>
                <w:szCs w:val="24"/>
              </w:rPr>
              <w:t xml:space="preserve">MRSA/ MSSA and CDI </w:t>
            </w:r>
          </w:p>
          <w:p w:rsidR="00126A74" w:rsidRPr="000C4A83" w:rsidRDefault="00126A74" w:rsidP="00126A74">
            <w:pPr>
              <w:pStyle w:val="ListParagraph"/>
              <w:numPr>
                <w:ilvl w:val="0"/>
                <w:numId w:val="14"/>
              </w:numPr>
              <w:rPr>
                <w:rFonts w:ascii="Arial" w:hAnsi="Arial" w:cs="Arial"/>
                <w:sz w:val="24"/>
                <w:szCs w:val="24"/>
              </w:rPr>
            </w:pPr>
            <w:r w:rsidRPr="000C4A83">
              <w:rPr>
                <w:rFonts w:ascii="Arial" w:hAnsi="Arial" w:cs="Arial"/>
                <w:sz w:val="24"/>
                <w:szCs w:val="24"/>
              </w:rPr>
              <w:t xml:space="preserve">HAIRT SAB and SSI </w:t>
            </w:r>
          </w:p>
        </w:tc>
        <w:tc>
          <w:tcPr>
            <w:tcW w:w="1843" w:type="dxa"/>
          </w:tcPr>
          <w:p w:rsidR="00126A74" w:rsidRPr="000C4A83" w:rsidRDefault="00126A74" w:rsidP="001413AD">
            <w:pPr>
              <w:pStyle w:val="ListParagraph"/>
              <w:rPr>
                <w:rFonts w:ascii="Arial" w:hAnsi="Arial" w:cs="Arial"/>
                <w:sz w:val="24"/>
                <w:szCs w:val="24"/>
              </w:rPr>
            </w:pPr>
            <w:r w:rsidRPr="000C4A83">
              <w:rPr>
                <w:rFonts w:ascii="Arial" w:hAnsi="Arial" w:cs="Arial"/>
                <w:sz w:val="24"/>
                <w:szCs w:val="24"/>
              </w:rPr>
              <w:t>CGC</w:t>
            </w:r>
          </w:p>
        </w:tc>
      </w:tr>
      <w:tr w:rsidR="00126A74" w:rsidRPr="000C4A83" w:rsidTr="00C646A5">
        <w:trPr>
          <w:jc w:val="center"/>
        </w:trPr>
        <w:tc>
          <w:tcPr>
            <w:tcW w:w="765" w:type="dxa"/>
          </w:tcPr>
          <w:p w:rsidR="00126A74" w:rsidRPr="000C4A83" w:rsidRDefault="00126A74" w:rsidP="001413AD">
            <w:pPr>
              <w:rPr>
                <w:rFonts w:ascii="Arial" w:hAnsi="Arial" w:cs="Arial"/>
              </w:rPr>
            </w:pPr>
            <w:r w:rsidRPr="000C4A83">
              <w:rPr>
                <w:rFonts w:ascii="Arial" w:hAnsi="Arial" w:cs="Arial"/>
              </w:rPr>
              <w:t>W7</w:t>
            </w:r>
          </w:p>
        </w:tc>
        <w:tc>
          <w:tcPr>
            <w:tcW w:w="3733" w:type="dxa"/>
          </w:tcPr>
          <w:p w:rsidR="00126A74" w:rsidRPr="000C4A83" w:rsidRDefault="00CC5B93" w:rsidP="001413AD">
            <w:pPr>
              <w:rPr>
                <w:rFonts w:ascii="Arial" w:eastAsia="Calibri" w:hAnsi="Arial" w:cs="Arial"/>
              </w:rPr>
            </w:pPr>
            <w:r w:rsidRPr="000C4A83">
              <w:rPr>
                <w:rFonts w:ascii="Arial" w:eastAsia="Calibri" w:hAnsi="Arial" w:cs="Arial"/>
              </w:rPr>
              <w:t xml:space="preserve">If we are unable to develop sufficient workforce capacity and capability to deliver strategic objectives </w:t>
            </w:r>
          </w:p>
        </w:tc>
        <w:tc>
          <w:tcPr>
            <w:tcW w:w="1134" w:type="dxa"/>
            <w:shd w:val="clear" w:color="auto" w:fill="FFC000"/>
          </w:tcPr>
          <w:p w:rsidR="00126A74" w:rsidRPr="000C4A83" w:rsidRDefault="00126A74" w:rsidP="001413AD">
            <w:pPr>
              <w:jc w:val="center"/>
              <w:rPr>
                <w:rFonts w:ascii="Arial" w:hAnsi="Arial" w:cs="Arial"/>
              </w:rPr>
            </w:pPr>
            <w:r w:rsidRPr="000C4A83">
              <w:rPr>
                <w:rFonts w:ascii="Arial" w:hAnsi="Arial" w:cs="Arial"/>
              </w:rPr>
              <w:t>3x4=12</w:t>
            </w:r>
          </w:p>
        </w:tc>
        <w:tc>
          <w:tcPr>
            <w:tcW w:w="1134" w:type="dxa"/>
            <w:shd w:val="clear" w:color="auto" w:fill="FFFF00"/>
          </w:tcPr>
          <w:p w:rsidR="00126A74" w:rsidRPr="000C4A83" w:rsidRDefault="00126A74" w:rsidP="001413AD">
            <w:pPr>
              <w:jc w:val="center"/>
              <w:rPr>
                <w:rFonts w:ascii="Arial" w:hAnsi="Arial" w:cs="Arial"/>
              </w:rPr>
            </w:pPr>
            <w:r w:rsidRPr="000C4A83">
              <w:rPr>
                <w:rFonts w:ascii="Arial" w:hAnsi="Arial" w:cs="Arial"/>
              </w:rPr>
              <w:t>2x4=8</w:t>
            </w:r>
          </w:p>
        </w:tc>
        <w:tc>
          <w:tcPr>
            <w:tcW w:w="3987" w:type="dxa"/>
            <w:shd w:val="clear" w:color="auto" w:fill="auto"/>
          </w:tcPr>
          <w:p w:rsidR="00126A74" w:rsidRPr="000C4A83" w:rsidRDefault="00804105" w:rsidP="001413AD">
            <w:pPr>
              <w:rPr>
                <w:rFonts w:ascii="Arial" w:hAnsi="Arial" w:cs="Arial"/>
              </w:rPr>
            </w:pPr>
            <w:r w:rsidRPr="000C4A83">
              <w:rPr>
                <w:rFonts w:ascii="Arial" w:hAnsi="Arial" w:cs="Arial"/>
              </w:rPr>
              <w:t xml:space="preserve">Agreed to remain at high level with mitigations updated.  Role of agile working within this risk acknowledged and specified within mitigations. </w:t>
            </w:r>
          </w:p>
        </w:tc>
        <w:tc>
          <w:tcPr>
            <w:tcW w:w="2522" w:type="dxa"/>
          </w:tcPr>
          <w:p w:rsidR="00126A74" w:rsidRPr="000C4A83" w:rsidRDefault="00804105" w:rsidP="00804105">
            <w:pPr>
              <w:pStyle w:val="ListParagraph"/>
              <w:numPr>
                <w:ilvl w:val="0"/>
                <w:numId w:val="20"/>
              </w:numPr>
              <w:rPr>
                <w:rFonts w:ascii="Arial" w:hAnsi="Arial" w:cs="Arial"/>
                <w:sz w:val="24"/>
                <w:szCs w:val="24"/>
              </w:rPr>
            </w:pPr>
            <w:r w:rsidRPr="000C4A83">
              <w:rPr>
                <w:rFonts w:ascii="Arial" w:hAnsi="Arial" w:cs="Arial"/>
                <w:sz w:val="24"/>
                <w:szCs w:val="24"/>
              </w:rPr>
              <w:t>Recruitment data monitored via WESG.</w:t>
            </w:r>
          </w:p>
        </w:tc>
        <w:tc>
          <w:tcPr>
            <w:tcW w:w="1843" w:type="dxa"/>
          </w:tcPr>
          <w:p w:rsidR="00126A74" w:rsidRPr="000C4A83" w:rsidRDefault="00126A74" w:rsidP="001413AD">
            <w:pPr>
              <w:pStyle w:val="ListParagraph"/>
              <w:rPr>
                <w:rFonts w:ascii="Arial" w:hAnsi="Arial" w:cs="Arial"/>
                <w:sz w:val="24"/>
                <w:szCs w:val="24"/>
              </w:rPr>
            </w:pPr>
            <w:r w:rsidRPr="000C4A83">
              <w:rPr>
                <w:rFonts w:ascii="Arial" w:hAnsi="Arial" w:cs="Arial"/>
                <w:sz w:val="24"/>
                <w:szCs w:val="24"/>
              </w:rPr>
              <w:t>PCC</w:t>
            </w:r>
          </w:p>
        </w:tc>
      </w:tr>
      <w:tr w:rsidR="00126A74" w:rsidRPr="000C4A83" w:rsidTr="00CC5B93">
        <w:trPr>
          <w:jc w:val="center"/>
        </w:trPr>
        <w:tc>
          <w:tcPr>
            <w:tcW w:w="765" w:type="dxa"/>
          </w:tcPr>
          <w:p w:rsidR="00126A74" w:rsidRPr="000C4A83" w:rsidRDefault="00126A74" w:rsidP="001413AD">
            <w:pPr>
              <w:rPr>
                <w:rFonts w:ascii="Arial" w:hAnsi="Arial" w:cs="Arial"/>
              </w:rPr>
            </w:pPr>
            <w:r w:rsidRPr="000C4A83">
              <w:rPr>
                <w:rFonts w:ascii="Arial" w:hAnsi="Arial" w:cs="Arial"/>
              </w:rPr>
              <w:t>F8</w:t>
            </w:r>
          </w:p>
        </w:tc>
        <w:tc>
          <w:tcPr>
            <w:tcW w:w="3733" w:type="dxa"/>
          </w:tcPr>
          <w:p w:rsidR="00CC5B93" w:rsidRPr="000C4A83" w:rsidRDefault="00CC5B93" w:rsidP="00CC5B93">
            <w:pPr>
              <w:rPr>
                <w:rFonts w:ascii="Arial" w:eastAsia="Calibri" w:hAnsi="Arial" w:cs="Arial"/>
              </w:rPr>
            </w:pPr>
            <w:r w:rsidRPr="000C4A83">
              <w:rPr>
                <w:rFonts w:ascii="Arial" w:eastAsia="Calibri" w:hAnsi="Arial" w:cs="Arial"/>
              </w:rPr>
              <w:t xml:space="preserve">If we fail to maximise effective use of the Boards resources and assets, then we will not deliver the financial plan </w:t>
            </w:r>
          </w:p>
          <w:p w:rsidR="00126A74" w:rsidRPr="000C4A83" w:rsidRDefault="00126A74" w:rsidP="001413AD">
            <w:pPr>
              <w:rPr>
                <w:rFonts w:ascii="Arial" w:hAnsi="Arial" w:cs="Arial"/>
              </w:rPr>
            </w:pPr>
          </w:p>
        </w:tc>
        <w:tc>
          <w:tcPr>
            <w:tcW w:w="1134" w:type="dxa"/>
            <w:shd w:val="clear" w:color="auto" w:fill="FFFF00"/>
          </w:tcPr>
          <w:p w:rsidR="00126A74" w:rsidRPr="000C4A83" w:rsidRDefault="00CC5B93" w:rsidP="00804105">
            <w:pPr>
              <w:jc w:val="center"/>
              <w:rPr>
                <w:rFonts w:ascii="Arial" w:hAnsi="Arial" w:cs="Arial"/>
              </w:rPr>
            </w:pPr>
            <w:r w:rsidRPr="000C4A83">
              <w:rPr>
                <w:rFonts w:ascii="Arial" w:hAnsi="Arial" w:cs="Arial"/>
              </w:rPr>
              <w:t>2x3=6</w:t>
            </w:r>
          </w:p>
        </w:tc>
        <w:tc>
          <w:tcPr>
            <w:tcW w:w="1134" w:type="dxa"/>
            <w:shd w:val="clear" w:color="auto" w:fill="FFFF00"/>
          </w:tcPr>
          <w:p w:rsidR="00126A74" w:rsidRPr="000C4A83" w:rsidRDefault="00126A74" w:rsidP="001413AD">
            <w:pPr>
              <w:jc w:val="center"/>
              <w:rPr>
                <w:rFonts w:ascii="Arial" w:hAnsi="Arial" w:cs="Arial"/>
              </w:rPr>
            </w:pPr>
            <w:r w:rsidRPr="000C4A83">
              <w:rPr>
                <w:rFonts w:ascii="Arial" w:hAnsi="Arial" w:cs="Arial"/>
              </w:rPr>
              <w:t>2x3=6</w:t>
            </w:r>
          </w:p>
        </w:tc>
        <w:tc>
          <w:tcPr>
            <w:tcW w:w="3987" w:type="dxa"/>
            <w:shd w:val="clear" w:color="auto" w:fill="auto"/>
          </w:tcPr>
          <w:p w:rsidR="00126A74" w:rsidRPr="000C4A83" w:rsidRDefault="00126A74" w:rsidP="001413AD">
            <w:pPr>
              <w:rPr>
                <w:rFonts w:ascii="Arial" w:hAnsi="Arial" w:cs="Arial"/>
              </w:rPr>
            </w:pPr>
            <w:r w:rsidRPr="000C4A83">
              <w:rPr>
                <w:rFonts w:ascii="Arial" w:hAnsi="Arial" w:cs="Arial"/>
              </w:rPr>
              <w:t xml:space="preserve">Agreed to keep risk as is.   </w:t>
            </w:r>
          </w:p>
        </w:tc>
        <w:tc>
          <w:tcPr>
            <w:tcW w:w="2522" w:type="dxa"/>
          </w:tcPr>
          <w:p w:rsidR="00126A74" w:rsidRPr="000C4A83" w:rsidRDefault="00126A74" w:rsidP="00804105">
            <w:pPr>
              <w:rPr>
                <w:rFonts w:ascii="Arial" w:hAnsi="Arial" w:cs="Arial"/>
              </w:rPr>
            </w:pPr>
            <w:r w:rsidRPr="000C4A83">
              <w:rPr>
                <w:rFonts w:ascii="Arial" w:hAnsi="Arial" w:cs="Arial"/>
              </w:rPr>
              <w:t>IPR indicators:</w:t>
            </w:r>
          </w:p>
          <w:p w:rsidR="00126A74" w:rsidRPr="000C4A83" w:rsidRDefault="00126A74" w:rsidP="00126A74">
            <w:pPr>
              <w:pStyle w:val="Default"/>
              <w:numPr>
                <w:ilvl w:val="0"/>
                <w:numId w:val="14"/>
              </w:numPr>
            </w:pPr>
            <w:r w:rsidRPr="000C4A83">
              <w:t xml:space="preserve">Manage within agreed forecast capital plan </w:t>
            </w:r>
          </w:p>
          <w:p w:rsidR="00126A74" w:rsidRPr="000C4A83" w:rsidRDefault="00126A74" w:rsidP="00126A74">
            <w:pPr>
              <w:pStyle w:val="Default"/>
              <w:numPr>
                <w:ilvl w:val="0"/>
                <w:numId w:val="14"/>
              </w:numPr>
            </w:pPr>
            <w:r w:rsidRPr="000C4A83">
              <w:t xml:space="preserve">Manage within annual budget limit </w:t>
            </w:r>
          </w:p>
          <w:p w:rsidR="00126A74" w:rsidRDefault="00126A74" w:rsidP="00126A74">
            <w:pPr>
              <w:pStyle w:val="Default"/>
              <w:numPr>
                <w:ilvl w:val="0"/>
                <w:numId w:val="14"/>
              </w:numPr>
            </w:pPr>
            <w:r w:rsidRPr="000C4A83">
              <w:t xml:space="preserve">Deliver Board efficiency target </w:t>
            </w:r>
          </w:p>
          <w:p w:rsidR="00362831" w:rsidRPr="000C4A83" w:rsidRDefault="00362831" w:rsidP="00126A74">
            <w:pPr>
              <w:pStyle w:val="Default"/>
              <w:numPr>
                <w:ilvl w:val="0"/>
                <w:numId w:val="14"/>
              </w:numPr>
            </w:pPr>
          </w:p>
          <w:p w:rsidR="00126A74" w:rsidRPr="000C4A83" w:rsidRDefault="00126A74" w:rsidP="001413AD">
            <w:pPr>
              <w:rPr>
                <w:rFonts w:ascii="Arial" w:hAnsi="Arial" w:cs="Arial"/>
              </w:rPr>
            </w:pPr>
          </w:p>
        </w:tc>
        <w:tc>
          <w:tcPr>
            <w:tcW w:w="1843" w:type="dxa"/>
          </w:tcPr>
          <w:p w:rsidR="00126A74" w:rsidRPr="000C4A83" w:rsidRDefault="00126A74" w:rsidP="001413AD">
            <w:pPr>
              <w:pStyle w:val="Default"/>
              <w:ind w:left="720"/>
            </w:pPr>
            <w:r w:rsidRPr="000C4A83">
              <w:t>FPP</w:t>
            </w:r>
          </w:p>
        </w:tc>
      </w:tr>
      <w:tr w:rsidR="00126A74" w:rsidRPr="000C4A83" w:rsidTr="00CC5B93">
        <w:trPr>
          <w:jc w:val="center"/>
        </w:trPr>
        <w:tc>
          <w:tcPr>
            <w:tcW w:w="765" w:type="dxa"/>
          </w:tcPr>
          <w:p w:rsidR="00126A74" w:rsidRPr="000C4A83" w:rsidRDefault="00126A74" w:rsidP="001413AD">
            <w:pPr>
              <w:rPr>
                <w:rFonts w:ascii="Arial" w:hAnsi="Arial" w:cs="Arial"/>
              </w:rPr>
            </w:pPr>
            <w:r w:rsidRPr="000C4A83">
              <w:rPr>
                <w:rFonts w:ascii="Arial" w:hAnsi="Arial" w:cs="Arial"/>
              </w:rPr>
              <w:lastRenderedPageBreak/>
              <w:t>O9</w:t>
            </w:r>
          </w:p>
        </w:tc>
        <w:tc>
          <w:tcPr>
            <w:tcW w:w="3733" w:type="dxa"/>
          </w:tcPr>
          <w:p w:rsidR="000C4A83" w:rsidRDefault="00CC5B93" w:rsidP="001413AD">
            <w:pPr>
              <w:rPr>
                <w:rFonts w:ascii="Arial" w:eastAsia="Calibri" w:hAnsi="Arial" w:cs="Arial"/>
              </w:rPr>
            </w:pPr>
            <w:r w:rsidRPr="000C4A83">
              <w:rPr>
                <w:rFonts w:ascii="Arial" w:eastAsia="Calibri" w:hAnsi="Arial" w:cs="Arial"/>
              </w:rPr>
              <w:t xml:space="preserve">If we do not effectively manage waiting times whilst delivering recovery plan targets, we will fail to meet TTG for patients </w:t>
            </w:r>
          </w:p>
          <w:p w:rsidR="00362831" w:rsidRPr="000C4A83" w:rsidRDefault="00362831" w:rsidP="001413AD">
            <w:pPr>
              <w:rPr>
                <w:rFonts w:ascii="Arial" w:eastAsia="Calibri" w:hAnsi="Arial" w:cs="Arial"/>
              </w:rPr>
            </w:pPr>
          </w:p>
        </w:tc>
        <w:tc>
          <w:tcPr>
            <w:tcW w:w="1134" w:type="dxa"/>
            <w:shd w:val="clear" w:color="auto" w:fill="FFC000"/>
          </w:tcPr>
          <w:p w:rsidR="00126A74" w:rsidRPr="000C4A83" w:rsidRDefault="00CC5B93" w:rsidP="00CC5B93">
            <w:pPr>
              <w:jc w:val="center"/>
              <w:rPr>
                <w:rFonts w:ascii="Arial" w:hAnsi="Arial" w:cs="Arial"/>
              </w:rPr>
            </w:pPr>
            <w:r w:rsidRPr="000C4A83">
              <w:rPr>
                <w:rFonts w:ascii="Arial" w:hAnsi="Arial" w:cs="Arial"/>
              </w:rPr>
              <w:t>4</w:t>
            </w:r>
            <w:r w:rsidR="00126A74" w:rsidRPr="000C4A83">
              <w:rPr>
                <w:rFonts w:ascii="Arial" w:hAnsi="Arial" w:cs="Arial"/>
              </w:rPr>
              <w:t>x3=</w:t>
            </w:r>
            <w:r w:rsidRPr="000C4A83">
              <w:rPr>
                <w:rFonts w:ascii="Arial" w:hAnsi="Arial" w:cs="Arial"/>
              </w:rPr>
              <w:t>12</w:t>
            </w:r>
          </w:p>
        </w:tc>
        <w:tc>
          <w:tcPr>
            <w:tcW w:w="1134" w:type="dxa"/>
            <w:shd w:val="clear" w:color="auto" w:fill="00B050"/>
          </w:tcPr>
          <w:p w:rsidR="00126A74" w:rsidRPr="000C4A83" w:rsidRDefault="00126A74" w:rsidP="001413AD">
            <w:pPr>
              <w:jc w:val="center"/>
              <w:rPr>
                <w:rFonts w:ascii="Arial" w:hAnsi="Arial" w:cs="Arial"/>
              </w:rPr>
            </w:pPr>
            <w:r w:rsidRPr="000C4A83">
              <w:rPr>
                <w:rFonts w:ascii="Arial" w:hAnsi="Arial" w:cs="Arial"/>
              </w:rPr>
              <w:t>1x3=3</w:t>
            </w:r>
          </w:p>
        </w:tc>
        <w:tc>
          <w:tcPr>
            <w:tcW w:w="3987" w:type="dxa"/>
            <w:shd w:val="clear" w:color="auto" w:fill="auto"/>
          </w:tcPr>
          <w:p w:rsidR="00126A74" w:rsidRPr="000C4A83" w:rsidRDefault="00637331" w:rsidP="00C646A5">
            <w:pPr>
              <w:rPr>
                <w:rFonts w:ascii="Arial" w:hAnsi="Arial" w:cs="Arial"/>
              </w:rPr>
            </w:pPr>
            <w:r w:rsidRPr="000C4A83">
              <w:rPr>
                <w:rFonts w:ascii="Arial" w:hAnsi="Arial" w:cs="Arial"/>
              </w:rPr>
              <w:t xml:space="preserve">Agreed to keep risk as is.  </w:t>
            </w:r>
            <w:r w:rsidR="00C646A5" w:rsidRPr="000C4A83">
              <w:rPr>
                <w:rFonts w:ascii="Arial" w:hAnsi="Arial" w:cs="Arial"/>
              </w:rPr>
              <w:t xml:space="preserve"> </w:t>
            </w:r>
            <w:r w:rsidR="00126A74" w:rsidRPr="000C4A83">
              <w:rPr>
                <w:rFonts w:ascii="Arial" w:hAnsi="Arial" w:cs="Arial"/>
              </w:rPr>
              <w:t xml:space="preserve"> </w:t>
            </w:r>
          </w:p>
        </w:tc>
        <w:tc>
          <w:tcPr>
            <w:tcW w:w="2522" w:type="dxa"/>
          </w:tcPr>
          <w:p w:rsidR="00126A74" w:rsidRPr="000C4A83" w:rsidRDefault="00CC5B93" w:rsidP="00CC5B93">
            <w:pPr>
              <w:rPr>
                <w:rFonts w:ascii="Arial" w:hAnsi="Arial" w:cs="Arial"/>
              </w:rPr>
            </w:pPr>
            <w:r w:rsidRPr="000C4A83">
              <w:rPr>
                <w:rFonts w:ascii="Arial" w:hAnsi="Arial" w:cs="Arial"/>
              </w:rPr>
              <w:t xml:space="preserve">Division PRG reviews </w:t>
            </w:r>
          </w:p>
        </w:tc>
        <w:tc>
          <w:tcPr>
            <w:tcW w:w="1843" w:type="dxa"/>
          </w:tcPr>
          <w:p w:rsidR="00126A74" w:rsidRPr="000C4A83" w:rsidRDefault="00126A74" w:rsidP="001413AD">
            <w:pPr>
              <w:jc w:val="center"/>
              <w:rPr>
                <w:rFonts w:ascii="Arial" w:hAnsi="Arial" w:cs="Arial"/>
              </w:rPr>
            </w:pPr>
            <w:r w:rsidRPr="000C4A83">
              <w:rPr>
                <w:rFonts w:ascii="Arial" w:hAnsi="Arial" w:cs="Arial"/>
              </w:rPr>
              <w:t>FPP</w:t>
            </w:r>
          </w:p>
        </w:tc>
      </w:tr>
      <w:tr w:rsidR="00126A74" w:rsidRPr="000C4A83" w:rsidTr="00C646A5">
        <w:trPr>
          <w:jc w:val="center"/>
        </w:trPr>
        <w:tc>
          <w:tcPr>
            <w:tcW w:w="765" w:type="dxa"/>
          </w:tcPr>
          <w:p w:rsidR="00126A74" w:rsidRPr="000C4A83" w:rsidRDefault="00126A74" w:rsidP="001413AD">
            <w:pPr>
              <w:rPr>
                <w:rFonts w:ascii="Arial" w:hAnsi="Arial" w:cs="Arial"/>
              </w:rPr>
            </w:pPr>
            <w:r w:rsidRPr="000C4A83">
              <w:rPr>
                <w:rFonts w:ascii="Arial" w:hAnsi="Arial" w:cs="Arial"/>
              </w:rPr>
              <w:t>S10</w:t>
            </w:r>
          </w:p>
        </w:tc>
        <w:tc>
          <w:tcPr>
            <w:tcW w:w="3733" w:type="dxa"/>
          </w:tcPr>
          <w:p w:rsidR="00413A5F" w:rsidRPr="000C4A83" w:rsidRDefault="00413A5F" w:rsidP="00413A5F">
            <w:pPr>
              <w:rPr>
                <w:rFonts w:ascii="Arial" w:eastAsia="Calibri" w:hAnsi="Arial" w:cs="Arial"/>
              </w:rPr>
            </w:pPr>
            <w:r w:rsidRPr="000C4A83">
              <w:rPr>
                <w:rFonts w:ascii="Arial" w:eastAsia="Calibri" w:hAnsi="Arial" w:cs="Arial"/>
              </w:rPr>
              <w:t xml:space="preserve">If we do not sustain our cyber resilience, then we are susceptible to cyber breaches and attacks </w:t>
            </w:r>
          </w:p>
          <w:p w:rsidR="00126A74" w:rsidRPr="000C4A83" w:rsidRDefault="00126A74" w:rsidP="001413AD">
            <w:pPr>
              <w:rPr>
                <w:rFonts w:ascii="Arial" w:hAnsi="Arial" w:cs="Arial"/>
              </w:rPr>
            </w:pPr>
          </w:p>
        </w:tc>
        <w:tc>
          <w:tcPr>
            <w:tcW w:w="1134" w:type="dxa"/>
            <w:shd w:val="clear" w:color="auto" w:fill="FFC000"/>
          </w:tcPr>
          <w:p w:rsidR="00126A74" w:rsidRPr="000C4A83" w:rsidRDefault="00413A5F" w:rsidP="00413A5F">
            <w:pPr>
              <w:jc w:val="center"/>
              <w:rPr>
                <w:rFonts w:ascii="Arial" w:hAnsi="Arial" w:cs="Arial"/>
              </w:rPr>
            </w:pPr>
            <w:r w:rsidRPr="000C4A83">
              <w:rPr>
                <w:rFonts w:ascii="Arial" w:hAnsi="Arial" w:cs="Arial"/>
              </w:rPr>
              <w:t>2</w:t>
            </w:r>
            <w:r w:rsidR="00126A74" w:rsidRPr="000C4A83">
              <w:rPr>
                <w:rFonts w:ascii="Arial" w:hAnsi="Arial" w:cs="Arial"/>
              </w:rPr>
              <w:t>x4=</w:t>
            </w:r>
            <w:r w:rsidRPr="000C4A83">
              <w:rPr>
                <w:rFonts w:ascii="Arial" w:hAnsi="Arial" w:cs="Arial"/>
              </w:rPr>
              <w:t>8</w:t>
            </w:r>
          </w:p>
        </w:tc>
        <w:tc>
          <w:tcPr>
            <w:tcW w:w="1134" w:type="dxa"/>
            <w:shd w:val="clear" w:color="auto" w:fill="FFFF00"/>
          </w:tcPr>
          <w:p w:rsidR="00126A74" w:rsidRPr="000C4A83" w:rsidRDefault="00413A5F" w:rsidP="00413A5F">
            <w:pPr>
              <w:jc w:val="center"/>
              <w:rPr>
                <w:rFonts w:ascii="Arial" w:hAnsi="Arial" w:cs="Arial"/>
              </w:rPr>
            </w:pPr>
            <w:r w:rsidRPr="000C4A83">
              <w:rPr>
                <w:rFonts w:ascii="Arial" w:hAnsi="Arial" w:cs="Arial"/>
              </w:rPr>
              <w:t>2</w:t>
            </w:r>
            <w:r w:rsidR="00126A74" w:rsidRPr="000C4A83">
              <w:rPr>
                <w:rFonts w:ascii="Arial" w:hAnsi="Arial" w:cs="Arial"/>
              </w:rPr>
              <w:t>x</w:t>
            </w:r>
            <w:r w:rsidRPr="000C4A83">
              <w:rPr>
                <w:rFonts w:ascii="Arial" w:hAnsi="Arial" w:cs="Arial"/>
              </w:rPr>
              <w:t>4</w:t>
            </w:r>
            <w:r w:rsidR="00126A74" w:rsidRPr="000C4A83">
              <w:rPr>
                <w:rFonts w:ascii="Arial" w:hAnsi="Arial" w:cs="Arial"/>
              </w:rPr>
              <w:t>=</w:t>
            </w:r>
            <w:r w:rsidRPr="000C4A83">
              <w:rPr>
                <w:rFonts w:ascii="Arial" w:hAnsi="Arial" w:cs="Arial"/>
              </w:rPr>
              <w:t>8</w:t>
            </w:r>
          </w:p>
        </w:tc>
        <w:tc>
          <w:tcPr>
            <w:tcW w:w="3987" w:type="dxa"/>
            <w:shd w:val="clear" w:color="auto" w:fill="auto"/>
          </w:tcPr>
          <w:p w:rsidR="00126A74" w:rsidRPr="000C4A83" w:rsidRDefault="00413A5F" w:rsidP="001413AD">
            <w:pPr>
              <w:rPr>
                <w:rFonts w:ascii="Arial" w:hAnsi="Arial" w:cs="Arial"/>
              </w:rPr>
            </w:pPr>
            <w:r w:rsidRPr="000C4A83">
              <w:rPr>
                <w:rFonts w:ascii="Arial" w:hAnsi="Arial" w:cs="Arial"/>
              </w:rPr>
              <w:t xml:space="preserve">Agreed to keep risk as is.  </w:t>
            </w:r>
          </w:p>
        </w:tc>
        <w:tc>
          <w:tcPr>
            <w:tcW w:w="2522" w:type="dxa"/>
          </w:tcPr>
          <w:p w:rsidR="00637331" w:rsidRPr="000C4A83" w:rsidRDefault="00126A74" w:rsidP="001413AD">
            <w:pPr>
              <w:rPr>
                <w:rFonts w:ascii="Arial" w:hAnsi="Arial" w:cs="Arial"/>
              </w:rPr>
            </w:pPr>
            <w:r w:rsidRPr="000C4A83">
              <w:rPr>
                <w:rFonts w:ascii="Arial" w:hAnsi="Arial" w:cs="Arial"/>
              </w:rPr>
              <w:t xml:space="preserve">Cyber Essentials Accreditation, renewed annually.  Action plan updates to IGG.  </w:t>
            </w:r>
          </w:p>
        </w:tc>
        <w:tc>
          <w:tcPr>
            <w:tcW w:w="1843" w:type="dxa"/>
          </w:tcPr>
          <w:p w:rsidR="00126A74" w:rsidRPr="000C4A83" w:rsidRDefault="00413A5F" w:rsidP="001413AD">
            <w:pPr>
              <w:jc w:val="center"/>
              <w:rPr>
                <w:rFonts w:ascii="Arial" w:hAnsi="Arial" w:cs="Arial"/>
              </w:rPr>
            </w:pPr>
            <w:r w:rsidRPr="000C4A83">
              <w:rPr>
                <w:rFonts w:ascii="Arial" w:hAnsi="Arial" w:cs="Arial"/>
              </w:rPr>
              <w:t xml:space="preserve">ARC/ </w:t>
            </w:r>
            <w:r w:rsidR="00126A74" w:rsidRPr="000C4A83">
              <w:rPr>
                <w:rFonts w:ascii="Arial" w:hAnsi="Arial" w:cs="Arial"/>
              </w:rPr>
              <w:t>CGC</w:t>
            </w:r>
          </w:p>
        </w:tc>
      </w:tr>
      <w:tr w:rsidR="00126A74" w:rsidRPr="000C4A83" w:rsidTr="00C646A5">
        <w:trPr>
          <w:jc w:val="center"/>
        </w:trPr>
        <w:tc>
          <w:tcPr>
            <w:tcW w:w="765" w:type="dxa"/>
          </w:tcPr>
          <w:p w:rsidR="00126A74" w:rsidRPr="000C4A83" w:rsidRDefault="00126A74" w:rsidP="001413AD">
            <w:pPr>
              <w:rPr>
                <w:rFonts w:ascii="Arial" w:hAnsi="Arial" w:cs="Arial"/>
              </w:rPr>
            </w:pPr>
            <w:r w:rsidRPr="000C4A83">
              <w:rPr>
                <w:rFonts w:ascii="Arial" w:hAnsi="Arial" w:cs="Arial"/>
              </w:rPr>
              <w:t>S11</w:t>
            </w:r>
          </w:p>
        </w:tc>
        <w:tc>
          <w:tcPr>
            <w:tcW w:w="3733" w:type="dxa"/>
          </w:tcPr>
          <w:p w:rsidR="00413A5F" w:rsidRPr="000C4A83" w:rsidRDefault="00413A5F" w:rsidP="00413A5F">
            <w:pPr>
              <w:rPr>
                <w:rFonts w:ascii="Arial" w:eastAsia="Calibri" w:hAnsi="Arial" w:cs="Arial"/>
              </w:rPr>
            </w:pPr>
            <w:r w:rsidRPr="000C4A83">
              <w:rPr>
                <w:rFonts w:ascii="Arial" w:eastAsia="Calibri" w:hAnsi="Arial" w:cs="Arial"/>
              </w:rPr>
              <w:t xml:space="preserve">If through programme delivery or operational issues, we fail to deliver the expansion programme  </w:t>
            </w:r>
          </w:p>
          <w:p w:rsidR="00126A74" w:rsidRPr="000C4A83" w:rsidRDefault="00126A74" w:rsidP="001413AD">
            <w:pPr>
              <w:rPr>
                <w:rFonts w:ascii="Arial" w:hAnsi="Arial" w:cs="Arial"/>
              </w:rPr>
            </w:pPr>
          </w:p>
        </w:tc>
        <w:tc>
          <w:tcPr>
            <w:tcW w:w="1134" w:type="dxa"/>
            <w:shd w:val="clear" w:color="auto" w:fill="FFFF00"/>
          </w:tcPr>
          <w:p w:rsidR="00126A74" w:rsidRPr="000C4A83" w:rsidRDefault="00413A5F" w:rsidP="00413A5F">
            <w:pPr>
              <w:jc w:val="center"/>
              <w:rPr>
                <w:rFonts w:ascii="Arial" w:hAnsi="Arial" w:cs="Arial"/>
              </w:rPr>
            </w:pPr>
            <w:r w:rsidRPr="000C4A83">
              <w:rPr>
                <w:rFonts w:ascii="Arial" w:hAnsi="Arial" w:cs="Arial"/>
              </w:rPr>
              <w:t>3x3</w:t>
            </w:r>
            <w:r w:rsidR="00126A74" w:rsidRPr="000C4A83">
              <w:rPr>
                <w:rFonts w:ascii="Arial" w:hAnsi="Arial" w:cs="Arial"/>
              </w:rPr>
              <w:t>=</w:t>
            </w:r>
            <w:r w:rsidRPr="000C4A83">
              <w:rPr>
                <w:rFonts w:ascii="Arial" w:hAnsi="Arial" w:cs="Arial"/>
              </w:rPr>
              <w:t>9</w:t>
            </w:r>
          </w:p>
        </w:tc>
        <w:tc>
          <w:tcPr>
            <w:tcW w:w="1134" w:type="dxa"/>
            <w:shd w:val="clear" w:color="auto" w:fill="FFFF00"/>
          </w:tcPr>
          <w:p w:rsidR="00126A74" w:rsidRPr="000C4A83" w:rsidRDefault="00126A74" w:rsidP="001413AD">
            <w:pPr>
              <w:jc w:val="center"/>
              <w:rPr>
                <w:rFonts w:ascii="Arial" w:hAnsi="Arial" w:cs="Arial"/>
              </w:rPr>
            </w:pPr>
            <w:r w:rsidRPr="000C4A83">
              <w:rPr>
                <w:rFonts w:ascii="Arial" w:hAnsi="Arial" w:cs="Arial"/>
              </w:rPr>
              <w:t>2x3=6</w:t>
            </w:r>
          </w:p>
        </w:tc>
        <w:tc>
          <w:tcPr>
            <w:tcW w:w="3987" w:type="dxa"/>
            <w:shd w:val="clear" w:color="auto" w:fill="auto"/>
          </w:tcPr>
          <w:p w:rsidR="00126A74" w:rsidRPr="000C4A83" w:rsidRDefault="00413A5F" w:rsidP="001413AD">
            <w:pPr>
              <w:rPr>
                <w:rFonts w:ascii="Arial" w:hAnsi="Arial" w:cs="Arial"/>
              </w:rPr>
            </w:pPr>
            <w:r w:rsidRPr="000C4A83">
              <w:rPr>
                <w:rFonts w:ascii="Arial" w:hAnsi="Arial" w:cs="Arial"/>
              </w:rPr>
              <w:t>Agreed to keep risk as is.</w:t>
            </w:r>
          </w:p>
        </w:tc>
        <w:tc>
          <w:tcPr>
            <w:tcW w:w="2522" w:type="dxa"/>
          </w:tcPr>
          <w:p w:rsidR="00126A74" w:rsidRPr="000C4A83" w:rsidRDefault="00126A74" w:rsidP="001413AD">
            <w:pPr>
              <w:rPr>
                <w:rFonts w:ascii="Arial" w:hAnsi="Arial" w:cs="Arial"/>
              </w:rPr>
            </w:pPr>
            <w:r w:rsidRPr="000C4A83">
              <w:rPr>
                <w:rFonts w:ascii="Arial" w:hAnsi="Arial" w:cs="Arial"/>
              </w:rPr>
              <w:t xml:space="preserve">Programme Reports – milestone and programme risk updates </w:t>
            </w:r>
          </w:p>
        </w:tc>
        <w:tc>
          <w:tcPr>
            <w:tcW w:w="1843" w:type="dxa"/>
          </w:tcPr>
          <w:p w:rsidR="00126A74" w:rsidRPr="000C4A83" w:rsidRDefault="00413A5F" w:rsidP="001413AD">
            <w:pPr>
              <w:jc w:val="center"/>
              <w:rPr>
                <w:rFonts w:ascii="Arial" w:hAnsi="Arial" w:cs="Arial"/>
              </w:rPr>
            </w:pPr>
            <w:r w:rsidRPr="000C4A83">
              <w:rPr>
                <w:rFonts w:ascii="Arial" w:hAnsi="Arial" w:cs="Arial"/>
              </w:rPr>
              <w:t>SPC</w:t>
            </w:r>
          </w:p>
        </w:tc>
      </w:tr>
      <w:tr w:rsidR="00126A74" w:rsidRPr="000C4A83" w:rsidTr="00413A5F">
        <w:trPr>
          <w:jc w:val="center"/>
        </w:trPr>
        <w:tc>
          <w:tcPr>
            <w:tcW w:w="765" w:type="dxa"/>
          </w:tcPr>
          <w:p w:rsidR="00126A74" w:rsidRPr="000C4A83" w:rsidRDefault="00126A74" w:rsidP="001413AD">
            <w:pPr>
              <w:rPr>
                <w:rFonts w:ascii="Arial" w:hAnsi="Arial" w:cs="Arial"/>
              </w:rPr>
            </w:pPr>
            <w:r w:rsidRPr="000C4A83">
              <w:rPr>
                <w:rFonts w:ascii="Arial" w:hAnsi="Arial" w:cs="Arial"/>
              </w:rPr>
              <w:t>S12</w:t>
            </w:r>
          </w:p>
        </w:tc>
        <w:tc>
          <w:tcPr>
            <w:tcW w:w="3733" w:type="dxa"/>
          </w:tcPr>
          <w:p w:rsidR="00126A74" w:rsidRPr="000C4A83" w:rsidRDefault="00413A5F" w:rsidP="001413AD">
            <w:pPr>
              <w:rPr>
                <w:rFonts w:ascii="Arial" w:hAnsi="Arial" w:cs="Arial"/>
              </w:rPr>
            </w:pPr>
            <w:r w:rsidRPr="000C4A83">
              <w:rPr>
                <w:rFonts w:ascii="Arial" w:hAnsi="Arial" w:cs="Arial"/>
              </w:rPr>
              <w:t xml:space="preserve">If we cannot adequately respond to the changes associated with the EU Withdrawal, it may impact on our ability to continue to deliver our core services </w:t>
            </w:r>
          </w:p>
        </w:tc>
        <w:tc>
          <w:tcPr>
            <w:tcW w:w="1134" w:type="dxa"/>
            <w:shd w:val="clear" w:color="auto" w:fill="FFFF00"/>
          </w:tcPr>
          <w:p w:rsidR="00126A74" w:rsidRPr="000C4A83" w:rsidRDefault="00413A5F" w:rsidP="001413AD">
            <w:pPr>
              <w:jc w:val="center"/>
              <w:rPr>
                <w:rFonts w:ascii="Arial" w:hAnsi="Arial" w:cs="Arial"/>
              </w:rPr>
            </w:pPr>
            <w:r w:rsidRPr="000C4A83">
              <w:rPr>
                <w:rFonts w:ascii="Arial" w:hAnsi="Arial" w:cs="Arial"/>
              </w:rPr>
              <w:t>2x2=4</w:t>
            </w:r>
          </w:p>
        </w:tc>
        <w:tc>
          <w:tcPr>
            <w:tcW w:w="1134" w:type="dxa"/>
            <w:shd w:val="clear" w:color="auto" w:fill="FFFF00"/>
          </w:tcPr>
          <w:p w:rsidR="00126A74" w:rsidRPr="000C4A83" w:rsidRDefault="00126A74" w:rsidP="001413AD">
            <w:pPr>
              <w:jc w:val="center"/>
              <w:rPr>
                <w:rFonts w:ascii="Arial" w:hAnsi="Arial" w:cs="Arial"/>
              </w:rPr>
            </w:pPr>
            <w:r w:rsidRPr="000C4A83">
              <w:rPr>
                <w:rFonts w:ascii="Arial" w:hAnsi="Arial" w:cs="Arial"/>
              </w:rPr>
              <w:t>2x2=4</w:t>
            </w:r>
          </w:p>
        </w:tc>
        <w:tc>
          <w:tcPr>
            <w:tcW w:w="3987" w:type="dxa"/>
            <w:shd w:val="clear" w:color="auto" w:fill="auto"/>
          </w:tcPr>
          <w:p w:rsidR="00126A74" w:rsidRPr="000C4A83" w:rsidRDefault="00413A5F" w:rsidP="001413AD">
            <w:pPr>
              <w:rPr>
                <w:rFonts w:ascii="Arial" w:hAnsi="Arial" w:cs="Arial"/>
              </w:rPr>
            </w:pPr>
            <w:r w:rsidRPr="000C4A83">
              <w:rPr>
                <w:rFonts w:ascii="Arial" w:hAnsi="Arial" w:cs="Arial"/>
              </w:rPr>
              <w:t>Agreed to keep risk as is.</w:t>
            </w:r>
          </w:p>
        </w:tc>
        <w:tc>
          <w:tcPr>
            <w:tcW w:w="2522" w:type="dxa"/>
          </w:tcPr>
          <w:p w:rsidR="00126A74" w:rsidRPr="000C4A83" w:rsidRDefault="00126A74" w:rsidP="001413AD">
            <w:pPr>
              <w:rPr>
                <w:rFonts w:ascii="Arial" w:hAnsi="Arial" w:cs="Arial"/>
              </w:rPr>
            </w:pPr>
            <w:r w:rsidRPr="000C4A83">
              <w:rPr>
                <w:rFonts w:ascii="Arial" w:hAnsi="Arial" w:cs="Arial"/>
              </w:rPr>
              <w:t xml:space="preserve">Regular review.  </w:t>
            </w:r>
          </w:p>
        </w:tc>
        <w:tc>
          <w:tcPr>
            <w:tcW w:w="1843" w:type="dxa"/>
          </w:tcPr>
          <w:p w:rsidR="00126A74" w:rsidRPr="000C4A83" w:rsidRDefault="00126A74" w:rsidP="001413AD">
            <w:pPr>
              <w:jc w:val="center"/>
              <w:rPr>
                <w:rFonts w:ascii="Arial" w:hAnsi="Arial" w:cs="Arial"/>
              </w:rPr>
            </w:pPr>
            <w:r w:rsidRPr="000C4A83">
              <w:rPr>
                <w:rFonts w:ascii="Arial" w:hAnsi="Arial" w:cs="Arial"/>
              </w:rPr>
              <w:t>ARC</w:t>
            </w:r>
          </w:p>
          <w:p w:rsidR="00126A74" w:rsidRPr="000C4A83" w:rsidRDefault="00126A74" w:rsidP="001413AD">
            <w:pPr>
              <w:jc w:val="center"/>
              <w:rPr>
                <w:rFonts w:ascii="Arial" w:hAnsi="Arial" w:cs="Arial"/>
              </w:rPr>
            </w:pPr>
          </w:p>
          <w:p w:rsidR="00126A74" w:rsidRPr="000C4A83" w:rsidRDefault="00126A74" w:rsidP="001413AD">
            <w:pPr>
              <w:jc w:val="center"/>
              <w:rPr>
                <w:rFonts w:ascii="Arial" w:hAnsi="Arial" w:cs="Arial"/>
              </w:rPr>
            </w:pPr>
          </w:p>
          <w:p w:rsidR="00126A74" w:rsidRPr="000C4A83" w:rsidRDefault="00126A74" w:rsidP="001413AD">
            <w:pPr>
              <w:jc w:val="center"/>
              <w:rPr>
                <w:rFonts w:ascii="Arial" w:hAnsi="Arial" w:cs="Arial"/>
              </w:rPr>
            </w:pPr>
          </w:p>
        </w:tc>
      </w:tr>
      <w:tr w:rsidR="00126A74" w:rsidRPr="000C4A83" w:rsidTr="00C646A5">
        <w:trPr>
          <w:jc w:val="center"/>
        </w:trPr>
        <w:tc>
          <w:tcPr>
            <w:tcW w:w="765" w:type="dxa"/>
          </w:tcPr>
          <w:p w:rsidR="00126A74" w:rsidRPr="000C4A83" w:rsidRDefault="00126A74" w:rsidP="001413AD">
            <w:pPr>
              <w:rPr>
                <w:rFonts w:ascii="Arial" w:hAnsi="Arial" w:cs="Arial"/>
              </w:rPr>
            </w:pPr>
            <w:r w:rsidRPr="000C4A83">
              <w:rPr>
                <w:rFonts w:ascii="Arial" w:hAnsi="Arial" w:cs="Arial"/>
              </w:rPr>
              <w:t>S13</w:t>
            </w:r>
          </w:p>
        </w:tc>
        <w:tc>
          <w:tcPr>
            <w:tcW w:w="3733" w:type="dxa"/>
          </w:tcPr>
          <w:p w:rsidR="00126A74" w:rsidRPr="000C4A83" w:rsidRDefault="00413A5F" w:rsidP="001413AD">
            <w:pPr>
              <w:rPr>
                <w:rFonts w:ascii="Arial" w:hAnsi="Arial" w:cs="Arial"/>
              </w:rPr>
            </w:pPr>
            <w:r w:rsidRPr="000C4A83">
              <w:rPr>
                <w:rFonts w:ascii="Arial" w:hAnsi="Arial" w:cs="Arial"/>
              </w:rPr>
              <w:t xml:space="preserve">Misalignment of the GJ Strategy with national and regional strategies </w:t>
            </w:r>
          </w:p>
        </w:tc>
        <w:tc>
          <w:tcPr>
            <w:tcW w:w="1134" w:type="dxa"/>
            <w:shd w:val="clear" w:color="auto" w:fill="FFFF00"/>
          </w:tcPr>
          <w:p w:rsidR="00126A74" w:rsidRPr="000C4A83" w:rsidRDefault="00126A74" w:rsidP="001413AD">
            <w:pPr>
              <w:jc w:val="center"/>
              <w:rPr>
                <w:rFonts w:ascii="Arial" w:hAnsi="Arial" w:cs="Arial"/>
              </w:rPr>
            </w:pPr>
            <w:r w:rsidRPr="000C4A83">
              <w:rPr>
                <w:rFonts w:ascii="Arial" w:hAnsi="Arial" w:cs="Arial"/>
              </w:rPr>
              <w:t>2x4=8</w:t>
            </w:r>
          </w:p>
        </w:tc>
        <w:tc>
          <w:tcPr>
            <w:tcW w:w="1134" w:type="dxa"/>
            <w:shd w:val="clear" w:color="auto" w:fill="FFFF00"/>
          </w:tcPr>
          <w:p w:rsidR="00126A74" w:rsidRPr="000C4A83" w:rsidRDefault="00126A74" w:rsidP="001413AD">
            <w:pPr>
              <w:jc w:val="center"/>
              <w:rPr>
                <w:rFonts w:ascii="Arial" w:hAnsi="Arial" w:cs="Arial"/>
              </w:rPr>
            </w:pPr>
            <w:r w:rsidRPr="000C4A83">
              <w:rPr>
                <w:rFonts w:ascii="Arial" w:hAnsi="Arial" w:cs="Arial"/>
              </w:rPr>
              <w:t>1x4=4</w:t>
            </w:r>
          </w:p>
        </w:tc>
        <w:tc>
          <w:tcPr>
            <w:tcW w:w="3987" w:type="dxa"/>
            <w:shd w:val="clear" w:color="auto" w:fill="auto"/>
          </w:tcPr>
          <w:p w:rsidR="00126A74" w:rsidRPr="000C4A83" w:rsidRDefault="00413A5F" w:rsidP="001413AD">
            <w:pPr>
              <w:rPr>
                <w:rFonts w:ascii="Arial" w:hAnsi="Arial" w:cs="Arial"/>
              </w:rPr>
            </w:pPr>
            <w:r w:rsidRPr="000C4A83">
              <w:rPr>
                <w:rFonts w:ascii="Arial" w:hAnsi="Arial" w:cs="Arial"/>
              </w:rPr>
              <w:t xml:space="preserve">Agreed to reduce risk to medium level with likelihood reduced to a 2.  </w:t>
            </w:r>
          </w:p>
        </w:tc>
        <w:tc>
          <w:tcPr>
            <w:tcW w:w="2522" w:type="dxa"/>
          </w:tcPr>
          <w:p w:rsidR="00126A74" w:rsidRPr="000C4A83" w:rsidRDefault="00126A74" w:rsidP="001413AD">
            <w:pPr>
              <w:rPr>
                <w:rFonts w:ascii="Arial" w:hAnsi="Arial" w:cs="Arial"/>
              </w:rPr>
            </w:pPr>
            <w:r w:rsidRPr="000C4A83">
              <w:rPr>
                <w:rFonts w:ascii="Arial" w:hAnsi="Arial" w:cs="Arial"/>
              </w:rPr>
              <w:t>Expansion delivery</w:t>
            </w:r>
          </w:p>
          <w:p w:rsidR="00126A74" w:rsidRPr="000C4A83" w:rsidRDefault="00126A74" w:rsidP="00413A5F">
            <w:pPr>
              <w:rPr>
                <w:rFonts w:ascii="Arial" w:hAnsi="Arial" w:cs="Arial"/>
              </w:rPr>
            </w:pPr>
            <w:r w:rsidRPr="000C4A83">
              <w:rPr>
                <w:rFonts w:ascii="Arial" w:hAnsi="Arial" w:cs="Arial"/>
              </w:rPr>
              <w:t xml:space="preserve">Cardiac and cardiology strategy implementation.    </w:t>
            </w:r>
          </w:p>
        </w:tc>
        <w:tc>
          <w:tcPr>
            <w:tcW w:w="1843" w:type="dxa"/>
          </w:tcPr>
          <w:p w:rsidR="00126A74" w:rsidRPr="000C4A83" w:rsidRDefault="00413A5F" w:rsidP="001413AD">
            <w:pPr>
              <w:jc w:val="center"/>
              <w:rPr>
                <w:rFonts w:ascii="Arial" w:hAnsi="Arial" w:cs="Arial"/>
              </w:rPr>
            </w:pPr>
            <w:r w:rsidRPr="000C4A83">
              <w:rPr>
                <w:rFonts w:ascii="Arial" w:hAnsi="Arial" w:cs="Arial"/>
              </w:rPr>
              <w:t>SPC</w:t>
            </w:r>
          </w:p>
        </w:tc>
      </w:tr>
      <w:tr w:rsidR="00413A5F" w:rsidRPr="000C4A83" w:rsidTr="00C646A5">
        <w:trPr>
          <w:jc w:val="center"/>
        </w:trPr>
        <w:tc>
          <w:tcPr>
            <w:tcW w:w="765" w:type="dxa"/>
          </w:tcPr>
          <w:p w:rsidR="00413A5F" w:rsidRPr="000C4A83" w:rsidRDefault="00413A5F" w:rsidP="001413AD">
            <w:pPr>
              <w:rPr>
                <w:rFonts w:ascii="Arial" w:hAnsi="Arial" w:cs="Arial"/>
              </w:rPr>
            </w:pPr>
            <w:r w:rsidRPr="000C4A83">
              <w:rPr>
                <w:rFonts w:ascii="Arial" w:hAnsi="Arial" w:cs="Arial"/>
              </w:rPr>
              <w:t>S17</w:t>
            </w:r>
          </w:p>
        </w:tc>
        <w:tc>
          <w:tcPr>
            <w:tcW w:w="3733" w:type="dxa"/>
          </w:tcPr>
          <w:p w:rsidR="00413A5F" w:rsidRPr="000C4A83" w:rsidRDefault="00413A5F" w:rsidP="00413A5F">
            <w:pPr>
              <w:rPr>
                <w:rFonts w:ascii="Arial" w:hAnsi="Arial" w:cs="Arial"/>
              </w:rPr>
            </w:pPr>
            <w:r w:rsidRPr="000C4A83">
              <w:rPr>
                <w:rFonts w:ascii="Arial" w:hAnsi="Arial" w:cs="Arial"/>
              </w:rPr>
              <w:t>If we don’t effectively implement the recovery plan, then we will fail to maximise the capacity available at GJNH</w:t>
            </w:r>
          </w:p>
          <w:p w:rsidR="00413A5F" w:rsidRDefault="00413A5F" w:rsidP="00413A5F">
            <w:pPr>
              <w:rPr>
                <w:rFonts w:ascii="Arial" w:hAnsi="Arial" w:cs="Arial"/>
              </w:rPr>
            </w:pPr>
          </w:p>
          <w:p w:rsidR="000C4A83" w:rsidRDefault="000C4A83" w:rsidP="00413A5F">
            <w:pPr>
              <w:rPr>
                <w:rFonts w:ascii="Arial" w:hAnsi="Arial" w:cs="Arial"/>
              </w:rPr>
            </w:pPr>
          </w:p>
          <w:p w:rsidR="000C4A83" w:rsidRDefault="000C4A83" w:rsidP="00413A5F">
            <w:pPr>
              <w:rPr>
                <w:rFonts w:ascii="Arial" w:hAnsi="Arial" w:cs="Arial"/>
              </w:rPr>
            </w:pPr>
          </w:p>
          <w:p w:rsidR="00362831" w:rsidRPr="000C4A83" w:rsidRDefault="00362831" w:rsidP="00413A5F">
            <w:pPr>
              <w:rPr>
                <w:rFonts w:ascii="Arial" w:hAnsi="Arial" w:cs="Arial"/>
              </w:rPr>
            </w:pPr>
          </w:p>
        </w:tc>
        <w:tc>
          <w:tcPr>
            <w:tcW w:w="1134" w:type="dxa"/>
            <w:shd w:val="clear" w:color="auto" w:fill="FFFF00"/>
          </w:tcPr>
          <w:p w:rsidR="00413A5F" w:rsidRPr="000C4A83" w:rsidRDefault="00413A5F" w:rsidP="001413AD">
            <w:pPr>
              <w:jc w:val="center"/>
              <w:rPr>
                <w:rFonts w:ascii="Arial" w:hAnsi="Arial" w:cs="Arial"/>
              </w:rPr>
            </w:pPr>
            <w:r w:rsidRPr="000C4A83">
              <w:rPr>
                <w:rFonts w:ascii="Arial" w:hAnsi="Arial" w:cs="Arial"/>
              </w:rPr>
              <w:t>3x3=9</w:t>
            </w:r>
          </w:p>
        </w:tc>
        <w:tc>
          <w:tcPr>
            <w:tcW w:w="1134" w:type="dxa"/>
            <w:shd w:val="clear" w:color="auto" w:fill="FFFF00"/>
          </w:tcPr>
          <w:p w:rsidR="00413A5F" w:rsidRPr="000C4A83" w:rsidRDefault="00413A5F" w:rsidP="001413AD">
            <w:pPr>
              <w:jc w:val="center"/>
              <w:rPr>
                <w:rFonts w:ascii="Arial" w:hAnsi="Arial" w:cs="Arial"/>
              </w:rPr>
            </w:pPr>
            <w:r w:rsidRPr="000C4A83">
              <w:rPr>
                <w:rFonts w:ascii="Arial" w:hAnsi="Arial" w:cs="Arial"/>
              </w:rPr>
              <w:t>2x3=6</w:t>
            </w:r>
          </w:p>
        </w:tc>
        <w:tc>
          <w:tcPr>
            <w:tcW w:w="3987" w:type="dxa"/>
            <w:shd w:val="clear" w:color="auto" w:fill="auto"/>
          </w:tcPr>
          <w:p w:rsidR="00413A5F" w:rsidRPr="000C4A83" w:rsidRDefault="00413A5F" w:rsidP="001413AD">
            <w:pPr>
              <w:rPr>
                <w:rFonts w:ascii="Arial" w:hAnsi="Arial" w:cs="Arial"/>
              </w:rPr>
            </w:pPr>
            <w:r w:rsidRPr="000C4A83">
              <w:rPr>
                <w:rFonts w:ascii="Arial" w:hAnsi="Arial" w:cs="Arial"/>
              </w:rPr>
              <w:t xml:space="preserve">Agreed to update mitigations and remain at medium level noting regular review.  </w:t>
            </w:r>
          </w:p>
        </w:tc>
        <w:tc>
          <w:tcPr>
            <w:tcW w:w="2522" w:type="dxa"/>
          </w:tcPr>
          <w:p w:rsidR="00413A5F" w:rsidRPr="000C4A83" w:rsidRDefault="00413A5F" w:rsidP="001413AD">
            <w:pPr>
              <w:rPr>
                <w:rFonts w:ascii="Arial" w:hAnsi="Arial" w:cs="Arial"/>
              </w:rPr>
            </w:pPr>
            <w:r w:rsidRPr="000C4A83">
              <w:rPr>
                <w:rFonts w:ascii="Arial" w:hAnsi="Arial" w:cs="Arial"/>
              </w:rPr>
              <w:t xml:space="preserve">Weekly performance reviews via command structure.  </w:t>
            </w:r>
          </w:p>
        </w:tc>
        <w:tc>
          <w:tcPr>
            <w:tcW w:w="1843" w:type="dxa"/>
          </w:tcPr>
          <w:p w:rsidR="00413A5F" w:rsidRPr="000C4A83" w:rsidRDefault="00413A5F" w:rsidP="001413AD">
            <w:pPr>
              <w:jc w:val="center"/>
              <w:rPr>
                <w:rFonts w:ascii="Arial" w:hAnsi="Arial" w:cs="Arial"/>
              </w:rPr>
            </w:pPr>
            <w:r w:rsidRPr="000C4A83">
              <w:rPr>
                <w:rFonts w:ascii="Arial" w:hAnsi="Arial" w:cs="Arial"/>
              </w:rPr>
              <w:t>FPP</w:t>
            </w:r>
          </w:p>
        </w:tc>
      </w:tr>
      <w:tr w:rsidR="00413A5F" w:rsidRPr="000C4A83" w:rsidTr="00413A5F">
        <w:trPr>
          <w:jc w:val="center"/>
        </w:trPr>
        <w:tc>
          <w:tcPr>
            <w:tcW w:w="765" w:type="dxa"/>
          </w:tcPr>
          <w:p w:rsidR="00413A5F" w:rsidRPr="000C4A83" w:rsidRDefault="00413A5F" w:rsidP="001413AD">
            <w:pPr>
              <w:rPr>
                <w:rFonts w:ascii="Arial" w:hAnsi="Arial" w:cs="Arial"/>
              </w:rPr>
            </w:pPr>
            <w:r w:rsidRPr="000C4A83">
              <w:rPr>
                <w:rFonts w:ascii="Arial" w:hAnsi="Arial" w:cs="Arial"/>
              </w:rPr>
              <w:lastRenderedPageBreak/>
              <w:t>W18</w:t>
            </w:r>
          </w:p>
        </w:tc>
        <w:tc>
          <w:tcPr>
            <w:tcW w:w="3733" w:type="dxa"/>
          </w:tcPr>
          <w:p w:rsidR="00413A5F" w:rsidRPr="000C4A83" w:rsidRDefault="00413A5F" w:rsidP="00413A5F">
            <w:pPr>
              <w:rPr>
                <w:rFonts w:ascii="Arial" w:hAnsi="Arial" w:cs="Arial"/>
              </w:rPr>
            </w:pPr>
            <w:r w:rsidRPr="000C4A83">
              <w:rPr>
                <w:rFonts w:ascii="Arial" w:hAnsi="Arial" w:cs="Arial"/>
              </w:rPr>
              <w:t>If we are unable to provide adequate support for our employees during COVID-19 then their health &amp; wellbeing may be negatively impacted</w:t>
            </w:r>
          </w:p>
          <w:p w:rsidR="00413A5F" w:rsidRPr="000C4A83" w:rsidRDefault="00413A5F" w:rsidP="00413A5F">
            <w:pPr>
              <w:rPr>
                <w:rFonts w:ascii="Arial" w:hAnsi="Arial" w:cs="Arial"/>
              </w:rPr>
            </w:pPr>
          </w:p>
        </w:tc>
        <w:tc>
          <w:tcPr>
            <w:tcW w:w="1134" w:type="dxa"/>
            <w:shd w:val="clear" w:color="auto" w:fill="FFFF00"/>
          </w:tcPr>
          <w:p w:rsidR="00413A5F" w:rsidRPr="000C4A83" w:rsidRDefault="00413A5F" w:rsidP="001413AD">
            <w:pPr>
              <w:jc w:val="center"/>
              <w:rPr>
                <w:rFonts w:ascii="Arial" w:hAnsi="Arial" w:cs="Arial"/>
              </w:rPr>
            </w:pPr>
            <w:r w:rsidRPr="000C4A83">
              <w:rPr>
                <w:rFonts w:ascii="Arial" w:hAnsi="Arial" w:cs="Arial"/>
              </w:rPr>
              <w:t>2x3=6</w:t>
            </w:r>
          </w:p>
        </w:tc>
        <w:tc>
          <w:tcPr>
            <w:tcW w:w="1134" w:type="dxa"/>
            <w:shd w:val="clear" w:color="auto" w:fill="00B050"/>
          </w:tcPr>
          <w:p w:rsidR="00413A5F" w:rsidRPr="000C4A83" w:rsidRDefault="00413A5F" w:rsidP="001413AD">
            <w:pPr>
              <w:jc w:val="center"/>
              <w:rPr>
                <w:rFonts w:ascii="Arial" w:hAnsi="Arial" w:cs="Arial"/>
              </w:rPr>
            </w:pPr>
            <w:r w:rsidRPr="000C4A83">
              <w:rPr>
                <w:rFonts w:ascii="Arial" w:hAnsi="Arial" w:cs="Arial"/>
              </w:rPr>
              <w:t>1x3=3</w:t>
            </w:r>
          </w:p>
        </w:tc>
        <w:tc>
          <w:tcPr>
            <w:tcW w:w="3987" w:type="dxa"/>
            <w:shd w:val="clear" w:color="auto" w:fill="auto"/>
          </w:tcPr>
          <w:p w:rsidR="00E00C61" w:rsidRPr="000C4A83" w:rsidRDefault="00413A5F" w:rsidP="001413AD">
            <w:pPr>
              <w:rPr>
                <w:rFonts w:ascii="Arial" w:hAnsi="Arial" w:cs="Arial"/>
              </w:rPr>
            </w:pPr>
            <w:r w:rsidRPr="000C4A83">
              <w:rPr>
                <w:rFonts w:ascii="Arial" w:hAnsi="Arial" w:cs="Arial"/>
              </w:rPr>
              <w:t>Agreed to keep risk as is.</w:t>
            </w:r>
          </w:p>
          <w:p w:rsidR="00E00C61" w:rsidRPr="000C4A83" w:rsidRDefault="00E00C61" w:rsidP="00E00C61">
            <w:pPr>
              <w:rPr>
                <w:rFonts w:ascii="Arial" w:hAnsi="Arial" w:cs="Arial"/>
              </w:rPr>
            </w:pPr>
          </w:p>
          <w:p w:rsidR="00E00C61" w:rsidRPr="000C4A83" w:rsidRDefault="00E00C61" w:rsidP="00E00C61">
            <w:pPr>
              <w:rPr>
                <w:rFonts w:ascii="Arial" w:hAnsi="Arial" w:cs="Arial"/>
              </w:rPr>
            </w:pPr>
          </w:p>
          <w:p w:rsidR="00413A5F" w:rsidRPr="000C4A83" w:rsidRDefault="00413A5F" w:rsidP="00E00C61">
            <w:pPr>
              <w:jc w:val="center"/>
              <w:rPr>
                <w:rFonts w:ascii="Arial" w:hAnsi="Arial" w:cs="Arial"/>
              </w:rPr>
            </w:pPr>
          </w:p>
        </w:tc>
        <w:tc>
          <w:tcPr>
            <w:tcW w:w="2522" w:type="dxa"/>
          </w:tcPr>
          <w:p w:rsidR="00413A5F" w:rsidRPr="000C4A83" w:rsidRDefault="00413A5F" w:rsidP="001413AD">
            <w:pPr>
              <w:rPr>
                <w:rFonts w:ascii="Arial" w:hAnsi="Arial" w:cs="Arial"/>
              </w:rPr>
            </w:pPr>
            <w:r w:rsidRPr="000C4A83">
              <w:rPr>
                <w:rFonts w:ascii="Arial" w:hAnsi="Arial" w:cs="Arial"/>
              </w:rPr>
              <w:t xml:space="preserve">Health &amp; Wellbeing Strategy implementation plan. </w:t>
            </w:r>
          </w:p>
        </w:tc>
        <w:tc>
          <w:tcPr>
            <w:tcW w:w="1843" w:type="dxa"/>
          </w:tcPr>
          <w:p w:rsidR="00413A5F" w:rsidRPr="000C4A83" w:rsidRDefault="00413A5F" w:rsidP="001413AD">
            <w:pPr>
              <w:jc w:val="center"/>
              <w:rPr>
                <w:rFonts w:ascii="Arial" w:hAnsi="Arial" w:cs="Arial"/>
              </w:rPr>
            </w:pPr>
            <w:r w:rsidRPr="000C4A83">
              <w:rPr>
                <w:rFonts w:ascii="Arial" w:hAnsi="Arial" w:cs="Arial"/>
              </w:rPr>
              <w:t>PCC</w:t>
            </w:r>
          </w:p>
        </w:tc>
      </w:tr>
      <w:tr w:rsidR="00413A5F" w:rsidRPr="000C4A83" w:rsidTr="00362831">
        <w:trPr>
          <w:jc w:val="center"/>
        </w:trPr>
        <w:tc>
          <w:tcPr>
            <w:tcW w:w="765" w:type="dxa"/>
          </w:tcPr>
          <w:p w:rsidR="00413A5F" w:rsidRPr="000C4A83" w:rsidRDefault="00413A5F" w:rsidP="001413AD">
            <w:pPr>
              <w:rPr>
                <w:rFonts w:ascii="Arial" w:hAnsi="Arial" w:cs="Arial"/>
              </w:rPr>
            </w:pPr>
            <w:r w:rsidRPr="000C4A83">
              <w:rPr>
                <w:rFonts w:ascii="Arial" w:hAnsi="Arial" w:cs="Arial"/>
              </w:rPr>
              <w:t>W19</w:t>
            </w:r>
          </w:p>
        </w:tc>
        <w:tc>
          <w:tcPr>
            <w:tcW w:w="3733" w:type="dxa"/>
          </w:tcPr>
          <w:p w:rsidR="00413A5F" w:rsidRPr="000C4A83" w:rsidRDefault="00413A5F" w:rsidP="00413A5F">
            <w:pPr>
              <w:rPr>
                <w:rFonts w:ascii="Arial" w:hAnsi="Arial" w:cs="Arial"/>
              </w:rPr>
            </w:pPr>
            <w:r w:rsidRPr="000C4A83">
              <w:rPr>
                <w:rFonts w:ascii="Arial" w:hAnsi="Arial" w:cs="Arial"/>
              </w:rPr>
              <w:t>If we are unable to ensure provision of PPE for our employees dealing with COVID-19 then their health &amp; wellbeing may be negatively impacted</w:t>
            </w:r>
          </w:p>
          <w:p w:rsidR="00413A5F" w:rsidRPr="000C4A83" w:rsidRDefault="00413A5F" w:rsidP="00413A5F">
            <w:pPr>
              <w:rPr>
                <w:rFonts w:ascii="Arial" w:hAnsi="Arial" w:cs="Arial"/>
              </w:rPr>
            </w:pPr>
          </w:p>
        </w:tc>
        <w:tc>
          <w:tcPr>
            <w:tcW w:w="1134" w:type="dxa"/>
            <w:shd w:val="clear" w:color="auto" w:fill="FFFF00"/>
          </w:tcPr>
          <w:p w:rsidR="00413A5F" w:rsidRPr="000C4A83" w:rsidRDefault="00413A5F" w:rsidP="001413AD">
            <w:pPr>
              <w:jc w:val="center"/>
              <w:rPr>
                <w:rFonts w:ascii="Arial" w:hAnsi="Arial" w:cs="Arial"/>
              </w:rPr>
            </w:pPr>
            <w:r w:rsidRPr="000C4A83">
              <w:rPr>
                <w:rFonts w:ascii="Arial" w:hAnsi="Arial" w:cs="Arial"/>
              </w:rPr>
              <w:t>1x4=4</w:t>
            </w:r>
          </w:p>
        </w:tc>
        <w:tc>
          <w:tcPr>
            <w:tcW w:w="1134" w:type="dxa"/>
            <w:shd w:val="clear" w:color="auto" w:fill="FFFF00"/>
          </w:tcPr>
          <w:p w:rsidR="00413A5F" w:rsidRPr="000C4A83" w:rsidRDefault="00413A5F" w:rsidP="001413AD">
            <w:pPr>
              <w:jc w:val="center"/>
              <w:rPr>
                <w:rFonts w:ascii="Arial" w:hAnsi="Arial" w:cs="Arial"/>
              </w:rPr>
            </w:pPr>
            <w:r w:rsidRPr="000C4A83">
              <w:rPr>
                <w:rFonts w:ascii="Arial" w:hAnsi="Arial" w:cs="Arial"/>
              </w:rPr>
              <w:t>1x4=4</w:t>
            </w:r>
          </w:p>
        </w:tc>
        <w:tc>
          <w:tcPr>
            <w:tcW w:w="3987" w:type="dxa"/>
            <w:shd w:val="clear" w:color="auto" w:fill="auto"/>
          </w:tcPr>
          <w:p w:rsidR="00413A5F" w:rsidRPr="000C4A83" w:rsidRDefault="00413A5F" w:rsidP="001413AD">
            <w:pPr>
              <w:rPr>
                <w:rFonts w:ascii="Arial" w:hAnsi="Arial" w:cs="Arial"/>
              </w:rPr>
            </w:pPr>
            <w:r w:rsidRPr="000C4A83">
              <w:rPr>
                <w:rFonts w:ascii="Arial" w:hAnsi="Arial" w:cs="Arial"/>
              </w:rPr>
              <w:t>Agreed to keep risk as is</w:t>
            </w:r>
            <w:r w:rsidR="00E00C61" w:rsidRPr="000C4A83">
              <w:rPr>
                <w:rFonts w:ascii="Arial" w:hAnsi="Arial" w:cs="Arial"/>
              </w:rPr>
              <w:t>.</w:t>
            </w:r>
          </w:p>
        </w:tc>
        <w:tc>
          <w:tcPr>
            <w:tcW w:w="2522" w:type="dxa"/>
          </w:tcPr>
          <w:p w:rsidR="00413A5F" w:rsidRPr="000C4A83" w:rsidRDefault="00413A5F" w:rsidP="001413AD">
            <w:pPr>
              <w:rPr>
                <w:rFonts w:ascii="Arial" w:hAnsi="Arial" w:cs="Arial"/>
              </w:rPr>
            </w:pPr>
            <w:r w:rsidRPr="000C4A83">
              <w:rPr>
                <w:rFonts w:ascii="Arial" w:hAnsi="Arial" w:cs="Arial"/>
              </w:rPr>
              <w:t xml:space="preserve">Updates at H&amp;S Committees. </w:t>
            </w:r>
          </w:p>
        </w:tc>
        <w:tc>
          <w:tcPr>
            <w:tcW w:w="1843" w:type="dxa"/>
          </w:tcPr>
          <w:p w:rsidR="00413A5F" w:rsidRPr="000C4A83" w:rsidRDefault="00413A5F" w:rsidP="001413AD">
            <w:pPr>
              <w:jc w:val="center"/>
              <w:rPr>
                <w:rFonts w:ascii="Arial" w:hAnsi="Arial" w:cs="Arial"/>
              </w:rPr>
            </w:pPr>
            <w:r w:rsidRPr="000C4A83">
              <w:rPr>
                <w:rFonts w:ascii="Arial" w:hAnsi="Arial" w:cs="Arial"/>
              </w:rPr>
              <w:t>PCC</w:t>
            </w:r>
          </w:p>
        </w:tc>
      </w:tr>
      <w:tr w:rsidR="00413A5F" w:rsidRPr="000C4A83" w:rsidTr="00E00C61">
        <w:trPr>
          <w:jc w:val="center"/>
        </w:trPr>
        <w:tc>
          <w:tcPr>
            <w:tcW w:w="765" w:type="dxa"/>
          </w:tcPr>
          <w:p w:rsidR="00413A5F" w:rsidRPr="000C4A83" w:rsidRDefault="00413A5F" w:rsidP="001413AD">
            <w:pPr>
              <w:rPr>
                <w:rFonts w:ascii="Arial" w:hAnsi="Arial" w:cs="Arial"/>
              </w:rPr>
            </w:pPr>
            <w:r w:rsidRPr="000C4A83">
              <w:rPr>
                <w:rFonts w:ascii="Arial" w:hAnsi="Arial" w:cs="Arial"/>
              </w:rPr>
              <w:t>S20</w:t>
            </w:r>
          </w:p>
        </w:tc>
        <w:tc>
          <w:tcPr>
            <w:tcW w:w="3733" w:type="dxa"/>
          </w:tcPr>
          <w:p w:rsidR="00413A5F" w:rsidRPr="000C4A83" w:rsidRDefault="00413A5F" w:rsidP="00413A5F">
            <w:pPr>
              <w:rPr>
                <w:rFonts w:ascii="Arial" w:hAnsi="Arial" w:cs="Arial"/>
                <w:bCs/>
                <w:iCs/>
              </w:rPr>
            </w:pPr>
            <w:r w:rsidRPr="000C4A83">
              <w:rPr>
                <w:rFonts w:ascii="Arial" w:hAnsi="Arial" w:cs="Arial"/>
              </w:rPr>
              <w:t xml:space="preserve">If we are unable to manage the ongoing impact of the COVID-19 pandemic, specifically relating to staff capacity and COVID precautions (4 national guidance and physical distancing SG guidance) for staff/ patients, we will be unable to support deliver our core activity  </w:t>
            </w:r>
          </w:p>
        </w:tc>
        <w:tc>
          <w:tcPr>
            <w:tcW w:w="1134" w:type="dxa"/>
            <w:shd w:val="clear" w:color="auto" w:fill="FFC000"/>
          </w:tcPr>
          <w:p w:rsidR="00413A5F" w:rsidRPr="000C4A83" w:rsidRDefault="00E00C61" w:rsidP="001413AD">
            <w:pPr>
              <w:jc w:val="center"/>
              <w:rPr>
                <w:rFonts w:ascii="Arial" w:hAnsi="Arial" w:cs="Arial"/>
              </w:rPr>
            </w:pPr>
            <w:r w:rsidRPr="000C4A83">
              <w:rPr>
                <w:rFonts w:ascii="Arial" w:hAnsi="Arial" w:cs="Arial"/>
              </w:rPr>
              <w:t>4x3=12</w:t>
            </w:r>
          </w:p>
        </w:tc>
        <w:tc>
          <w:tcPr>
            <w:tcW w:w="1134" w:type="dxa"/>
            <w:shd w:val="clear" w:color="auto" w:fill="FFFF00"/>
          </w:tcPr>
          <w:p w:rsidR="00413A5F" w:rsidRPr="000C4A83" w:rsidRDefault="00E00C61" w:rsidP="001413AD">
            <w:pPr>
              <w:jc w:val="center"/>
              <w:rPr>
                <w:rFonts w:ascii="Arial" w:hAnsi="Arial" w:cs="Arial"/>
              </w:rPr>
            </w:pPr>
            <w:r w:rsidRPr="000C4A83">
              <w:rPr>
                <w:rFonts w:ascii="Arial" w:hAnsi="Arial" w:cs="Arial"/>
              </w:rPr>
              <w:t>2x2=4</w:t>
            </w:r>
          </w:p>
        </w:tc>
        <w:tc>
          <w:tcPr>
            <w:tcW w:w="3987" w:type="dxa"/>
            <w:shd w:val="clear" w:color="auto" w:fill="auto"/>
          </w:tcPr>
          <w:p w:rsidR="00413A5F" w:rsidRPr="000C4A83" w:rsidRDefault="00E00C61" w:rsidP="001413AD">
            <w:pPr>
              <w:rPr>
                <w:rFonts w:ascii="Arial" w:hAnsi="Arial" w:cs="Arial"/>
              </w:rPr>
            </w:pPr>
            <w:r w:rsidRPr="000C4A83">
              <w:rPr>
                <w:rFonts w:ascii="Arial" w:hAnsi="Arial" w:cs="Arial"/>
              </w:rPr>
              <w:t>Agreed to keep risk as is.</w:t>
            </w:r>
          </w:p>
        </w:tc>
        <w:tc>
          <w:tcPr>
            <w:tcW w:w="2522" w:type="dxa"/>
          </w:tcPr>
          <w:p w:rsidR="00413A5F" w:rsidRPr="000C4A83" w:rsidRDefault="00E00C61" w:rsidP="001413AD">
            <w:pPr>
              <w:rPr>
                <w:rFonts w:ascii="Arial" w:hAnsi="Arial" w:cs="Arial"/>
              </w:rPr>
            </w:pPr>
            <w:r w:rsidRPr="000C4A83">
              <w:rPr>
                <w:rFonts w:ascii="Arial" w:hAnsi="Arial" w:cs="Arial"/>
              </w:rPr>
              <w:t xml:space="preserve">Weekly performance reports </w:t>
            </w:r>
          </w:p>
        </w:tc>
        <w:tc>
          <w:tcPr>
            <w:tcW w:w="1843" w:type="dxa"/>
          </w:tcPr>
          <w:p w:rsidR="00413A5F" w:rsidRPr="000C4A83" w:rsidRDefault="00E00C61" w:rsidP="001413AD">
            <w:pPr>
              <w:jc w:val="center"/>
              <w:rPr>
                <w:rFonts w:ascii="Arial" w:hAnsi="Arial" w:cs="Arial"/>
              </w:rPr>
            </w:pPr>
            <w:r w:rsidRPr="000C4A83">
              <w:rPr>
                <w:rFonts w:ascii="Arial" w:hAnsi="Arial" w:cs="Arial"/>
              </w:rPr>
              <w:t>FPP</w:t>
            </w:r>
            <w:r w:rsidR="00637331" w:rsidRPr="000C4A83">
              <w:rPr>
                <w:rFonts w:ascii="Arial" w:hAnsi="Arial" w:cs="Arial"/>
              </w:rPr>
              <w:t>/ CGC</w:t>
            </w:r>
          </w:p>
        </w:tc>
      </w:tr>
    </w:tbl>
    <w:p w:rsidR="00EA2EAD" w:rsidRDefault="00EA2EAD" w:rsidP="000C4A83">
      <w:pPr>
        <w:rPr>
          <w:rFonts w:ascii="Arial" w:hAnsi="Arial" w:cs="Arial"/>
          <w:sz w:val="22"/>
          <w:szCs w:val="22"/>
        </w:rPr>
      </w:pPr>
    </w:p>
    <w:sectPr w:rsidR="00EA2EAD" w:rsidSect="000C4A83">
      <w:pgSz w:w="16838" w:h="11906" w:orient="landscape"/>
      <w:pgMar w:top="1440" w:right="127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732" w:rsidRDefault="00332732">
      <w:r>
        <w:separator/>
      </w:r>
    </w:p>
  </w:endnote>
  <w:endnote w:type="continuationSeparator" w:id="0">
    <w:p w:rsidR="00332732" w:rsidRDefault="0033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3AD" w:rsidRPr="000F0CA5" w:rsidRDefault="001413AD" w:rsidP="000971B4">
    <w:pPr>
      <w:pStyle w:val="Footer"/>
      <w:pBdr>
        <w:top w:val="single" w:sz="4" w:space="0" w:color="auto"/>
      </w:pBdr>
      <w:rPr>
        <w:rFonts w:ascii="Arial" w:hAnsi="Arial" w:cs="Arial"/>
        <w:sz w:val="16"/>
        <w:szCs w:val="16"/>
      </w:rPr>
    </w:pPr>
    <w:r w:rsidRPr="000F0CA5">
      <w:rPr>
        <w:rFonts w:ascii="Arial" w:hAnsi="Arial" w:cs="Arial"/>
        <w:sz w:val="18"/>
        <w:szCs w:val="18"/>
      </w:rPr>
      <w:tab/>
    </w:r>
    <w:r w:rsidRPr="000F0CA5">
      <w:rPr>
        <w:rFonts w:ascii="Arial" w:hAnsi="Arial" w:cs="Arial"/>
        <w:sz w:val="18"/>
        <w:szCs w:val="18"/>
      </w:rPr>
      <w:tab/>
    </w:r>
    <w:r w:rsidRPr="000F0CA5">
      <w:rPr>
        <w:rFonts w:ascii="Arial" w:hAnsi="Arial" w:cs="Arial"/>
        <w:sz w:val="16"/>
        <w:szCs w:val="16"/>
      </w:rPr>
      <w:t xml:space="preserve">Page </w:t>
    </w:r>
    <w:r w:rsidRPr="000F0CA5">
      <w:rPr>
        <w:rStyle w:val="PageNumber"/>
        <w:rFonts w:ascii="Arial" w:hAnsi="Arial" w:cs="Arial"/>
        <w:sz w:val="16"/>
        <w:szCs w:val="16"/>
      </w:rPr>
      <w:fldChar w:fldCharType="begin"/>
    </w:r>
    <w:r w:rsidRPr="000F0CA5">
      <w:rPr>
        <w:rStyle w:val="PageNumber"/>
        <w:rFonts w:ascii="Arial" w:hAnsi="Arial" w:cs="Arial"/>
        <w:sz w:val="16"/>
        <w:szCs w:val="16"/>
      </w:rPr>
      <w:instrText xml:space="preserve"> PAGE </w:instrText>
    </w:r>
    <w:r w:rsidRPr="000F0CA5">
      <w:rPr>
        <w:rStyle w:val="PageNumber"/>
        <w:rFonts w:ascii="Arial" w:hAnsi="Arial" w:cs="Arial"/>
        <w:sz w:val="16"/>
        <w:szCs w:val="16"/>
      </w:rPr>
      <w:fldChar w:fldCharType="separate"/>
    </w:r>
    <w:r w:rsidR="00B10198">
      <w:rPr>
        <w:rStyle w:val="PageNumber"/>
        <w:rFonts w:ascii="Arial" w:hAnsi="Arial" w:cs="Arial"/>
        <w:noProof/>
        <w:sz w:val="16"/>
        <w:szCs w:val="16"/>
      </w:rPr>
      <w:t>1</w:t>
    </w:r>
    <w:r w:rsidRPr="000F0CA5">
      <w:rPr>
        <w:rStyle w:val="PageNumber"/>
        <w:rFonts w:ascii="Arial" w:hAnsi="Arial" w:cs="Arial"/>
        <w:sz w:val="16"/>
        <w:szCs w:val="16"/>
      </w:rPr>
      <w:fldChar w:fldCharType="end"/>
    </w:r>
    <w:r w:rsidRPr="000F0CA5">
      <w:rPr>
        <w:rStyle w:val="PageNumber"/>
        <w:rFonts w:ascii="Arial" w:hAnsi="Arial" w:cs="Arial"/>
        <w:sz w:val="16"/>
        <w:szCs w:val="16"/>
      </w:rPr>
      <w:t xml:space="preserve"> of </w:t>
    </w:r>
    <w:r w:rsidRPr="000F0CA5">
      <w:rPr>
        <w:rStyle w:val="PageNumber"/>
        <w:rFonts w:ascii="Arial" w:hAnsi="Arial" w:cs="Arial"/>
        <w:sz w:val="16"/>
        <w:szCs w:val="16"/>
      </w:rPr>
      <w:fldChar w:fldCharType="begin"/>
    </w:r>
    <w:r w:rsidRPr="000F0CA5">
      <w:rPr>
        <w:rStyle w:val="PageNumber"/>
        <w:rFonts w:ascii="Arial" w:hAnsi="Arial" w:cs="Arial"/>
        <w:sz w:val="16"/>
        <w:szCs w:val="16"/>
      </w:rPr>
      <w:instrText xml:space="preserve"> NUMPAGES </w:instrText>
    </w:r>
    <w:r w:rsidRPr="000F0CA5">
      <w:rPr>
        <w:rStyle w:val="PageNumber"/>
        <w:rFonts w:ascii="Arial" w:hAnsi="Arial" w:cs="Arial"/>
        <w:sz w:val="16"/>
        <w:szCs w:val="16"/>
      </w:rPr>
      <w:fldChar w:fldCharType="separate"/>
    </w:r>
    <w:r w:rsidR="00B10198">
      <w:rPr>
        <w:rStyle w:val="PageNumber"/>
        <w:rFonts w:ascii="Arial" w:hAnsi="Arial" w:cs="Arial"/>
        <w:noProof/>
        <w:sz w:val="16"/>
        <w:szCs w:val="16"/>
      </w:rPr>
      <w:t>7</w:t>
    </w:r>
    <w:r w:rsidRPr="000F0CA5">
      <w:rPr>
        <w:rStyle w:val="PageNumber"/>
        <w:rFonts w:ascii="Arial" w:hAnsi="Arial" w:cs="Arial"/>
        <w:sz w:val="16"/>
        <w:szCs w:val="16"/>
      </w:rPr>
      <w:fldChar w:fldCharType="end"/>
    </w:r>
  </w:p>
  <w:p w:rsidR="001413AD" w:rsidRPr="004634BF" w:rsidRDefault="001413AD" w:rsidP="000971B4">
    <w:pPr>
      <w:pStyle w:val="Footer"/>
      <w:pBdr>
        <w:top w:val="single" w:sz="4" w:space="0" w:color="auto"/>
      </w:pBdr>
      <w:rPr>
        <w:rFonts w:ascii="Arial" w:hAnsi="Arial" w:cs="Arial"/>
        <w:sz w:val="16"/>
        <w:szCs w:val="16"/>
        <w:lang w:val="en-GB"/>
      </w:rPr>
    </w:pPr>
    <w:r w:rsidRPr="004634BF">
      <w:rPr>
        <w:rFonts w:ascii="Arial" w:hAnsi="Arial" w:cs="Arial"/>
        <w:sz w:val="16"/>
        <w:szCs w:val="16"/>
        <w:lang w:val="en-GB"/>
      </w:rPr>
      <w:tab/>
    </w:r>
    <w:r w:rsidRPr="004634BF">
      <w:rPr>
        <w:rFonts w:ascii="Arial" w:hAnsi="Arial" w:cs="Arial"/>
        <w:sz w:val="16"/>
        <w:szCs w:val="16"/>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732" w:rsidRDefault="00332732">
      <w:r>
        <w:separator/>
      </w:r>
    </w:p>
  </w:footnote>
  <w:footnote w:type="continuationSeparator" w:id="0">
    <w:p w:rsidR="00332732" w:rsidRDefault="00332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0140"/>
    <w:multiLevelType w:val="hybridMultilevel"/>
    <w:tmpl w:val="653AB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F119B"/>
    <w:multiLevelType w:val="hybridMultilevel"/>
    <w:tmpl w:val="74D22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D1770"/>
    <w:multiLevelType w:val="hybridMultilevel"/>
    <w:tmpl w:val="A606B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F343B4"/>
    <w:multiLevelType w:val="hybridMultilevel"/>
    <w:tmpl w:val="3EEEA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DD74D0"/>
    <w:multiLevelType w:val="hybridMultilevel"/>
    <w:tmpl w:val="5BC03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C44444"/>
    <w:multiLevelType w:val="hybridMultilevel"/>
    <w:tmpl w:val="506CC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875920"/>
    <w:multiLevelType w:val="hybridMultilevel"/>
    <w:tmpl w:val="B0867CE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EC5341E"/>
    <w:multiLevelType w:val="hybridMultilevel"/>
    <w:tmpl w:val="1C1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55A39"/>
    <w:multiLevelType w:val="hybridMultilevel"/>
    <w:tmpl w:val="930C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93926"/>
    <w:multiLevelType w:val="hybridMultilevel"/>
    <w:tmpl w:val="D720A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4CF28E0"/>
    <w:multiLevelType w:val="hybridMultilevel"/>
    <w:tmpl w:val="C7906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1E711B"/>
    <w:multiLevelType w:val="hybridMultilevel"/>
    <w:tmpl w:val="DA8A9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EF2EB4"/>
    <w:multiLevelType w:val="hybridMultilevel"/>
    <w:tmpl w:val="E0B65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081FBF"/>
    <w:multiLevelType w:val="hybridMultilevel"/>
    <w:tmpl w:val="D8DAA1CE"/>
    <w:lvl w:ilvl="0" w:tplc="B08209A0">
      <w:start w:val="1"/>
      <w:numFmt w:val="bullet"/>
      <w:pStyle w:val="bodytextbullets"/>
      <w:lvlText w:val=""/>
      <w:lvlJc w:val="left"/>
      <w:pPr>
        <w:tabs>
          <w:tab w:val="num" w:pos="473"/>
        </w:tabs>
        <w:ind w:left="170" w:hanging="57"/>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843185"/>
    <w:multiLevelType w:val="hybridMultilevel"/>
    <w:tmpl w:val="160A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313E68"/>
    <w:multiLevelType w:val="hybridMultilevel"/>
    <w:tmpl w:val="DA0C8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7" w15:restartNumberingAfterBreak="0">
    <w:nsid w:val="665C2CCE"/>
    <w:multiLevelType w:val="hybridMultilevel"/>
    <w:tmpl w:val="09068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0D201E5"/>
    <w:multiLevelType w:val="hybridMultilevel"/>
    <w:tmpl w:val="50D0B2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DE2D3C"/>
    <w:multiLevelType w:val="hybridMultilevel"/>
    <w:tmpl w:val="3946C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6950388"/>
    <w:multiLevelType w:val="hybridMultilevel"/>
    <w:tmpl w:val="743CA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18"/>
  </w:num>
  <w:num w:numId="3">
    <w:abstractNumId w:val="7"/>
  </w:num>
  <w:num w:numId="4">
    <w:abstractNumId w:val="17"/>
  </w:num>
  <w:num w:numId="5">
    <w:abstractNumId w:val="8"/>
  </w:num>
  <w:num w:numId="6">
    <w:abstractNumId w:val="16"/>
  </w:num>
  <w:num w:numId="7">
    <w:abstractNumId w:val="5"/>
  </w:num>
  <w:num w:numId="8">
    <w:abstractNumId w:val="12"/>
  </w:num>
  <w:num w:numId="9">
    <w:abstractNumId w:val="0"/>
  </w:num>
  <w:num w:numId="10">
    <w:abstractNumId w:val="15"/>
  </w:num>
  <w:num w:numId="11">
    <w:abstractNumId w:val="6"/>
  </w:num>
  <w:num w:numId="12">
    <w:abstractNumId w:val="9"/>
  </w:num>
  <w:num w:numId="13">
    <w:abstractNumId w:val="19"/>
  </w:num>
  <w:num w:numId="14">
    <w:abstractNumId w:val="2"/>
  </w:num>
  <w:num w:numId="15">
    <w:abstractNumId w:val="20"/>
  </w:num>
  <w:num w:numId="16">
    <w:abstractNumId w:val="1"/>
  </w:num>
  <w:num w:numId="17">
    <w:abstractNumId w:val="3"/>
  </w:num>
  <w:num w:numId="18">
    <w:abstractNumId w:val="10"/>
  </w:num>
  <w:num w:numId="19">
    <w:abstractNumId w:val="11"/>
  </w:num>
  <w:num w:numId="20">
    <w:abstractNumId w:val="4"/>
  </w:num>
  <w:num w:numId="2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2D3D"/>
    <w:rsid w:val="00000B75"/>
    <w:rsid w:val="00001FB6"/>
    <w:rsid w:val="000029A0"/>
    <w:rsid w:val="0000577C"/>
    <w:rsid w:val="00005FEA"/>
    <w:rsid w:val="00007E0C"/>
    <w:rsid w:val="00024CB9"/>
    <w:rsid w:val="00026A69"/>
    <w:rsid w:val="00047748"/>
    <w:rsid w:val="000601FB"/>
    <w:rsid w:val="00062262"/>
    <w:rsid w:val="000623D4"/>
    <w:rsid w:val="00066893"/>
    <w:rsid w:val="000744F8"/>
    <w:rsid w:val="00084BBF"/>
    <w:rsid w:val="0009421D"/>
    <w:rsid w:val="000958CC"/>
    <w:rsid w:val="000971B4"/>
    <w:rsid w:val="000A0661"/>
    <w:rsid w:val="000A24D8"/>
    <w:rsid w:val="000C4A83"/>
    <w:rsid w:val="000D6575"/>
    <w:rsid w:val="000D76CB"/>
    <w:rsid w:val="000E15F2"/>
    <w:rsid w:val="000E3330"/>
    <w:rsid w:val="000F0CA5"/>
    <w:rsid w:val="000F2FC3"/>
    <w:rsid w:val="000F3A59"/>
    <w:rsid w:val="000F6AEF"/>
    <w:rsid w:val="001012EC"/>
    <w:rsid w:val="001059B1"/>
    <w:rsid w:val="00105ADC"/>
    <w:rsid w:val="00115839"/>
    <w:rsid w:val="001177CE"/>
    <w:rsid w:val="0012096E"/>
    <w:rsid w:val="00120E2D"/>
    <w:rsid w:val="00126A74"/>
    <w:rsid w:val="0012711F"/>
    <w:rsid w:val="00132670"/>
    <w:rsid w:val="00137F62"/>
    <w:rsid w:val="001413AD"/>
    <w:rsid w:val="00141AF8"/>
    <w:rsid w:val="00150DAF"/>
    <w:rsid w:val="001532A9"/>
    <w:rsid w:val="00164029"/>
    <w:rsid w:val="00174097"/>
    <w:rsid w:val="00174EED"/>
    <w:rsid w:val="001924B3"/>
    <w:rsid w:val="001A22CC"/>
    <w:rsid w:val="001B44D7"/>
    <w:rsid w:val="001C2518"/>
    <w:rsid w:val="001C7291"/>
    <w:rsid w:val="001D04AC"/>
    <w:rsid w:val="001D4F7E"/>
    <w:rsid w:val="001F237A"/>
    <w:rsid w:val="001F2D4D"/>
    <w:rsid w:val="00200FE6"/>
    <w:rsid w:val="00203967"/>
    <w:rsid w:val="0020524E"/>
    <w:rsid w:val="00220EA9"/>
    <w:rsid w:val="00225D9E"/>
    <w:rsid w:val="00235F79"/>
    <w:rsid w:val="002412CD"/>
    <w:rsid w:val="00246066"/>
    <w:rsid w:val="00246278"/>
    <w:rsid w:val="00253F0F"/>
    <w:rsid w:val="00264E21"/>
    <w:rsid w:val="00274DF1"/>
    <w:rsid w:val="00275143"/>
    <w:rsid w:val="002752E5"/>
    <w:rsid w:val="00277B25"/>
    <w:rsid w:val="002833C7"/>
    <w:rsid w:val="00287D61"/>
    <w:rsid w:val="00292512"/>
    <w:rsid w:val="00292D49"/>
    <w:rsid w:val="002937F1"/>
    <w:rsid w:val="00296BEF"/>
    <w:rsid w:val="002A31E1"/>
    <w:rsid w:val="002A589D"/>
    <w:rsid w:val="002A73B4"/>
    <w:rsid w:val="002B1B7B"/>
    <w:rsid w:val="002C2AEF"/>
    <w:rsid w:val="002F5287"/>
    <w:rsid w:val="002F5D33"/>
    <w:rsid w:val="002F6296"/>
    <w:rsid w:val="0030446D"/>
    <w:rsid w:val="00307243"/>
    <w:rsid w:val="00310356"/>
    <w:rsid w:val="003103EA"/>
    <w:rsid w:val="003132BE"/>
    <w:rsid w:val="00323649"/>
    <w:rsid w:val="00326959"/>
    <w:rsid w:val="00332732"/>
    <w:rsid w:val="0033518D"/>
    <w:rsid w:val="003505FD"/>
    <w:rsid w:val="00353F98"/>
    <w:rsid w:val="003544D4"/>
    <w:rsid w:val="0036014C"/>
    <w:rsid w:val="00361E0A"/>
    <w:rsid w:val="00362831"/>
    <w:rsid w:val="003647BF"/>
    <w:rsid w:val="003674D7"/>
    <w:rsid w:val="00372E96"/>
    <w:rsid w:val="00374C17"/>
    <w:rsid w:val="00386FB4"/>
    <w:rsid w:val="0038736E"/>
    <w:rsid w:val="003930FE"/>
    <w:rsid w:val="00393924"/>
    <w:rsid w:val="00396767"/>
    <w:rsid w:val="003A0F2A"/>
    <w:rsid w:val="003A72E3"/>
    <w:rsid w:val="003B5A21"/>
    <w:rsid w:val="003C202A"/>
    <w:rsid w:val="003C4297"/>
    <w:rsid w:val="003C6ECF"/>
    <w:rsid w:val="003D319E"/>
    <w:rsid w:val="003D5938"/>
    <w:rsid w:val="003D7945"/>
    <w:rsid w:val="003E151D"/>
    <w:rsid w:val="003E3E7E"/>
    <w:rsid w:val="003E4930"/>
    <w:rsid w:val="003E68FA"/>
    <w:rsid w:val="003F0D12"/>
    <w:rsid w:val="00413A5F"/>
    <w:rsid w:val="0041471A"/>
    <w:rsid w:val="004179A2"/>
    <w:rsid w:val="00424AAD"/>
    <w:rsid w:val="00424C82"/>
    <w:rsid w:val="004305A4"/>
    <w:rsid w:val="004306C8"/>
    <w:rsid w:val="00430BAA"/>
    <w:rsid w:val="004327E4"/>
    <w:rsid w:val="00433E6A"/>
    <w:rsid w:val="0043556F"/>
    <w:rsid w:val="00435AE9"/>
    <w:rsid w:val="00442EF7"/>
    <w:rsid w:val="004433E6"/>
    <w:rsid w:val="00444CBC"/>
    <w:rsid w:val="0045062F"/>
    <w:rsid w:val="00453695"/>
    <w:rsid w:val="00454986"/>
    <w:rsid w:val="00455E29"/>
    <w:rsid w:val="00457D65"/>
    <w:rsid w:val="004634BF"/>
    <w:rsid w:val="00466BD2"/>
    <w:rsid w:val="00482C08"/>
    <w:rsid w:val="004907C9"/>
    <w:rsid w:val="004951F1"/>
    <w:rsid w:val="004A41EC"/>
    <w:rsid w:val="004B44C8"/>
    <w:rsid w:val="004C414C"/>
    <w:rsid w:val="004D0E4E"/>
    <w:rsid w:val="004D13A2"/>
    <w:rsid w:val="004D19EA"/>
    <w:rsid w:val="004E1A40"/>
    <w:rsid w:val="004F6512"/>
    <w:rsid w:val="00502D3D"/>
    <w:rsid w:val="005038CD"/>
    <w:rsid w:val="00510498"/>
    <w:rsid w:val="00512842"/>
    <w:rsid w:val="00513D19"/>
    <w:rsid w:val="00516C86"/>
    <w:rsid w:val="00532688"/>
    <w:rsid w:val="00541625"/>
    <w:rsid w:val="0054207E"/>
    <w:rsid w:val="00551509"/>
    <w:rsid w:val="005611FA"/>
    <w:rsid w:val="005644D7"/>
    <w:rsid w:val="00571B5D"/>
    <w:rsid w:val="00572CBB"/>
    <w:rsid w:val="00577C4E"/>
    <w:rsid w:val="005805F6"/>
    <w:rsid w:val="005856B2"/>
    <w:rsid w:val="00592263"/>
    <w:rsid w:val="00595F05"/>
    <w:rsid w:val="005A062A"/>
    <w:rsid w:val="005A20B2"/>
    <w:rsid w:val="005A395E"/>
    <w:rsid w:val="005A5D20"/>
    <w:rsid w:val="005B65AE"/>
    <w:rsid w:val="005B7471"/>
    <w:rsid w:val="005C67DE"/>
    <w:rsid w:val="005F1EF7"/>
    <w:rsid w:val="00621EB0"/>
    <w:rsid w:val="00627964"/>
    <w:rsid w:val="00637331"/>
    <w:rsid w:val="00641AE1"/>
    <w:rsid w:val="00647418"/>
    <w:rsid w:val="00651A17"/>
    <w:rsid w:val="00656A0C"/>
    <w:rsid w:val="00663386"/>
    <w:rsid w:val="006760D9"/>
    <w:rsid w:val="00677599"/>
    <w:rsid w:val="00683FE1"/>
    <w:rsid w:val="00693B7B"/>
    <w:rsid w:val="006974E4"/>
    <w:rsid w:val="006B022A"/>
    <w:rsid w:val="006B1A26"/>
    <w:rsid w:val="006B2880"/>
    <w:rsid w:val="006B2942"/>
    <w:rsid w:val="006B46A5"/>
    <w:rsid w:val="006B5B6F"/>
    <w:rsid w:val="006B6E34"/>
    <w:rsid w:val="006C4611"/>
    <w:rsid w:val="006D6290"/>
    <w:rsid w:val="006E2336"/>
    <w:rsid w:val="006E5C2A"/>
    <w:rsid w:val="006E7D77"/>
    <w:rsid w:val="006F366F"/>
    <w:rsid w:val="00707F9F"/>
    <w:rsid w:val="00710864"/>
    <w:rsid w:val="00716EFC"/>
    <w:rsid w:val="00725207"/>
    <w:rsid w:val="0072766A"/>
    <w:rsid w:val="007361D7"/>
    <w:rsid w:val="00743165"/>
    <w:rsid w:val="007439A9"/>
    <w:rsid w:val="00747116"/>
    <w:rsid w:val="0075709D"/>
    <w:rsid w:val="0076124E"/>
    <w:rsid w:val="007728E2"/>
    <w:rsid w:val="00774133"/>
    <w:rsid w:val="00777E7A"/>
    <w:rsid w:val="00780B2A"/>
    <w:rsid w:val="007826BC"/>
    <w:rsid w:val="00784574"/>
    <w:rsid w:val="007A13E7"/>
    <w:rsid w:val="007A5D55"/>
    <w:rsid w:val="007C22C2"/>
    <w:rsid w:val="007C60D0"/>
    <w:rsid w:val="007D61C3"/>
    <w:rsid w:val="007E1436"/>
    <w:rsid w:val="007E7A86"/>
    <w:rsid w:val="00803A98"/>
    <w:rsid w:val="00804105"/>
    <w:rsid w:val="008067D3"/>
    <w:rsid w:val="00811EF7"/>
    <w:rsid w:val="00817102"/>
    <w:rsid w:val="008175D6"/>
    <w:rsid w:val="00821A9B"/>
    <w:rsid w:val="00835991"/>
    <w:rsid w:val="00836369"/>
    <w:rsid w:val="00850C62"/>
    <w:rsid w:val="00855937"/>
    <w:rsid w:val="00872C61"/>
    <w:rsid w:val="00873FA6"/>
    <w:rsid w:val="00875176"/>
    <w:rsid w:val="0089382D"/>
    <w:rsid w:val="008940E8"/>
    <w:rsid w:val="00894546"/>
    <w:rsid w:val="008B1386"/>
    <w:rsid w:val="008B5DC1"/>
    <w:rsid w:val="008B6E27"/>
    <w:rsid w:val="008C0FBE"/>
    <w:rsid w:val="008C5A6B"/>
    <w:rsid w:val="008D0B72"/>
    <w:rsid w:val="008D3B6C"/>
    <w:rsid w:val="008E3432"/>
    <w:rsid w:val="008F7A9F"/>
    <w:rsid w:val="009018D8"/>
    <w:rsid w:val="00901E84"/>
    <w:rsid w:val="00907383"/>
    <w:rsid w:val="00911D15"/>
    <w:rsid w:val="009234DE"/>
    <w:rsid w:val="00924D2F"/>
    <w:rsid w:val="00931D30"/>
    <w:rsid w:val="009337EE"/>
    <w:rsid w:val="00935172"/>
    <w:rsid w:val="009476AB"/>
    <w:rsid w:val="009513A7"/>
    <w:rsid w:val="00954BCB"/>
    <w:rsid w:val="0095736C"/>
    <w:rsid w:val="0096655F"/>
    <w:rsid w:val="00966A60"/>
    <w:rsid w:val="00970A49"/>
    <w:rsid w:val="00971A12"/>
    <w:rsid w:val="00990648"/>
    <w:rsid w:val="00995FF9"/>
    <w:rsid w:val="009A0F80"/>
    <w:rsid w:val="009A2449"/>
    <w:rsid w:val="009A5659"/>
    <w:rsid w:val="009A6BD1"/>
    <w:rsid w:val="009B3CD3"/>
    <w:rsid w:val="009D75C2"/>
    <w:rsid w:val="009D7A75"/>
    <w:rsid w:val="009E0F6F"/>
    <w:rsid w:val="009E55F2"/>
    <w:rsid w:val="009F11A1"/>
    <w:rsid w:val="009F654D"/>
    <w:rsid w:val="00A00EA2"/>
    <w:rsid w:val="00A21427"/>
    <w:rsid w:val="00A22D6F"/>
    <w:rsid w:val="00A25DD4"/>
    <w:rsid w:val="00A267A6"/>
    <w:rsid w:val="00A31FBA"/>
    <w:rsid w:val="00A37862"/>
    <w:rsid w:val="00A41A83"/>
    <w:rsid w:val="00A46D7C"/>
    <w:rsid w:val="00A5516F"/>
    <w:rsid w:val="00A55F76"/>
    <w:rsid w:val="00A562B6"/>
    <w:rsid w:val="00A6027E"/>
    <w:rsid w:val="00A750D7"/>
    <w:rsid w:val="00A75B88"/>
    <w:rsid w:val="00A76F44"/>
    <w:rsid w:val="00AA0213"/>
    <w:rsid w:val="00AA7350"/>
    <w:rsid w:val="00AB2F50"/>
    <w:rsid w:val="00AC41C1"/>
    <w:rsid w:val="00AD0564"/>
    <w:rsid w:val="00AD3BB4"/>
    <w:rsid w:val="00AD3D32"/>
    <w:rsid w:val="00AE0EEB"/>
    <w:rsid w:val="00AE6B1E"/>
    <w:rsid w:val="00AE6D6B"/>
    <w:rsid w:val="00B06639"/>
    <w:rsid w:val="00B10198"/>
    <w:rsid w:val="00B177BB"/>
    <w:rsid w:val="00B23245"/>
    <w:rsid w:val="00B24B3F"/>
    <w:rsid w:val="00B34F99"/>
    <w:rsid w:val="00B3731E"/>
    <w:rsid w:val="00B4118D"/>
    <w:rsid w:val="00B43723"/>
    <w:rsid w:val="00B5114C"/>
    <w:rsid w:val="00B541CF"/>
    <w:rsid w:val="00B61517"/>
    <w:rsid w:val="00B7398F"/>
    <w:rsid w:val="00B8060A"/>
    <w:rsid w:val="00B81B3B"/>
    <w:rsid w:val="00B82696"/>
    <w:rsid w:val="00B953C2"/>
    <w:rsid w:val="00B961CB"/>
    <w:rsid w:val="00BA61D2"/>
    <w:rsid w:val="00BA78AF"/>
    <w:rsid w:val="00BB4697"/>
    <w:rsid w:val="00BC2235"/>
    <w:rsid w:val="00BC2348"/>
    <w:rsid w:val="00BC7416"/>
    <w:rsid w:val="00BD29FE"/>
    <w:rsid w:val="00BD46C9"/>
    <w:rsid w:val="00BD5CCB"/>
    <w:rsid w:val="00BD79A1"/>
    <w:rsid w:val="00BD7FF5"/>
    <w:rsid w:val="00BE7684"/>
    <w:rsid w:val="00BF543C"/>
    <w:rsid w:val="00C02030"/>
    <w:rsid w:val="00C05739"/>
    <w:rsid w:val="00C247D9"/>
    <w:rsid w:val="00C306F9"/>
    <w:rsid w:val="00C3162C"/>
    <w:rsid w:val="00C3437C"/>
    <w:rsid w:val="00C35FA7"/>
    <w:rsid w:val="00C42C59"/>
    <w:rsid w:val="00C46116"/>
    <w:rsid w:val="00C505C1"/>
    <w:rsid w:val="00C56130"/>
    <w:rsid w:val="00C57782"/>
    <w:rsid w:val="00C616AB"/>
    <w:rsid w:val="00C637EB"/>
    <w:rsid w:val="00C646A5"/>
    <w:rsid w:val="00C70292"/>
    <w:rsid w:val="00C74725"/>
    <w:rsid w:val="00C765E0"/>
    <w:rsid w:val="00C80ABB"/>
    <w:rsid w:val="00C81158"/>
    <w:rsid w:val="00C85FE8"/>
    <w:rsid w:val="00C93ED7"/>
    <w:rsid w:val="00CA346A"/>
    <w:rsid w:val="00CA7FA9"/>
    <w:rsid w:val="00CB038F"/>
    <w:rsid w:val="00CB447E"/>
    <w:rsid w:val="00CC5B93"/>
    <w:rsid w:val="00CD2964"/>
    <w:rsid w:val="00CD329D"/>
    <w:rsid w:val="00CD65BB"/>
    <w:rsid w:val="00CE2C8A"/>
    <w:rsid w:val="00CE37D2"/>
    <w:rsid w:val="00CE3849"/>
    <w:rsid w:val="00CE4371"/>
    <w:rsid w:val="00CE61C0"/>
    <w:rsid w:val="00CF0A74"/>
    <w:rsid w:val="00CF13E0"/>
    <w:rsid w:val="00CF1449"/>
    <w:rsid w:val="00CF4110"/>
    <w:rsid w:val="00D12479"/>
    <w:rsid w:val="00D1789E"/>
    <w:rsid w:val="00D419AF"/>
    <w:rsid w:val="00D60CA6"/>
    <w:rsid w:val="00D62497"/>
    <w:rsid w:val="00D659F9"/>
    <w:rsid w:val="00D7095D"/>
    <w:rsid w:val="00D7238C"/>
    <w:rsid w:val="00DB3F33"/>
    <w:rsid w:val="00DB49AC"/>
    <w:rsid w:val="00DB6E02"/>
    <w:rsid w:val="00DD69DC"/>
    <w:rsid w:val="00DE6BB8"/>
    <w:rsid w:val="00DF11EB"/>
    <w:rsid w:val="00E00C61"/>
    <w:rsid w:val="00E21D5C"/>
    <w:rsid w:val="00E229E6"/>
    <w:rsid w:val="00E32C66"/>
    <w:rsid w:val="00E34628"/>
    <w:rsid w:val="00E45200"/>
    <w:rsid w:val="00E54006"/>
    <w:rsid w:val="00E56403"/>
    <w:rsid w:val="00E5658D"/>
    <w:rsid w:val="00E569E7"/>
    <w:rsid w:val="00E742D8"/>
    <w:rsid w:val="00E92227"/>
    <w:rsid w:val="00E94984"/>
    <w:rsid w:val="00EA10AC"/>
    <w:rsid w:val="00EA2602"/>
    <w:rsid w:val="00EA2EAD"/>
    <w:rsid w:val="00EA2F53"/>
    <w:rsid w:val="00EA4945"/>
    <w:rsid w:val="00EA4ADB"/>
    <w:rsid w:val="00EA5A4B"/>
    <w:rsid w:val="00EA670A"/>
    <w:rsid w:val="00EA7AAC"/>
    <w:rsid w:val="00EB26EA"/>
    <w:rsid w:val="00EB38CA"/>
    <w:rsid w:val="00EB53F6"/>
    <w:rsid w:val="00EE170A"/>
    <w:rsid w:val="00EE6460"/>
    <w:rsid w:val="00EE74E2"/>
    <w:rsid w:val="00F1218E"/>
    <w:rsid w:val="00F13C9A"/>
    <w:rsid w:val="00F17799"/>
    <w:rsid w:val="00F32F0B"/>
    <w:rsid w:val="00F32FBC"/>
    <w:rsid w:val="00F365D2"/>
    <w:rsid w:val="00F378E0"/>
    <w:rsid w:val="00F476F7"/>
    <w:rsid w:val="00F5090F"/>
    <w:rsid w:val="00F512D7"/>
    <w:rsid w:val="00F549CE"/>
    <w:rsid w:val="00F54D69"/>
    <w:rsid w:val="00F6383B"/>
    <w:rsid w:val="00F65A10"/>
    <w:rsid w:val="00F67176"/>
    <w:rsid w:val="00F76B3B"/>
    <w:rsid w:val="00FA4A85"/>
    <w:rsid w:val="00FA4AE5"/>
    <w:rsid w:val="00FB660D"/>
    <w:rsid w:val="00FB6A01"/>
    <w:rsid w:val="00FC0797"/>
    <w:rsid w:val="00FC2C02"/>
    <w:rsid w:val="00FD3E91"/>
    <w:rsid w:val="00FD459A"/>
    <w:rsid w:val="00FE5D20"/>
    <w:rsid w:val="00FF3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44AD2"/>
  <w15:docId w15:val="{BA4765E5-607B-476A-9590-84F9C462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748"/>
    <w:rPr>
      <w:sz w:val="24"/>
      <w:szCs w:val="24"/>
      <w:lang w:val="en-US" w:eastAsia="en-US"/>
    </w:rPr>
  </w:style>
  <w:style w:type="paragraph" w:styleId="Heading1">
    <w:name w:val="heading 1"/>
    <w:basedOn w:val="Normal"/>
    <w:next w:val="Normal"/>
    <w:link w:val="Heading1Char"/>
    <w:qFormat/>
    <w:rsid w:val="000958CC"/>
    <w:pPr>
      <w:keepNext/>
      <w:outlineLvl w:val="0"/>
    </w:pPr>
    <w:rPr>
      <w:rFonts w:ascii="Arial" w:hAnsi="Arial" w:cs="Arial"/>
      <w:b/>
      <w:bCs/>
      <w:sz w:val="28"/>
      <w:lang w:val="en-GB"/>
    </w:rPr>
  </w:style>
  <w:style w:type="paragraph" w:styleId="Heading2">
    <w:name w:val="heading 2"/>
    <w:basedOn w:val="Normal"/>
    <w:next w:val="Normal"/>
    <w:link w:val="Heading2Char"/>
    <w:semiHidden/>
    <w:unhideWhenUsed/>
    <w:qFormat/>
    <w:rsid w:val="0092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9E55F2"/>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E21D5C"/>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2D3D"/>
    <w:pPr>
      <w:tabs>
        <w:tab w:val="center" w:pos="4320"/>
        <w:tab w:val="right" w:pos="8640"/>
      </w:tabs>
    </w:pPr>
  </w:style>
  <w:style w:type="paragraph" w:styleId="Footer">
    <w:name w:val="footer"/>
    <w:basedOn w:val="Normal"/>
    <w:rsid w:val="00502D3D"/>
    <w:pPr>
      <w:tabs>
        <w:tab w:val="center" w:pos="4320"/>
        <w:tab w:val="right" w:pos="8640"/>
      </w:tabs>
    </w:pPr>
  </w:style>
  <w:style w:type="table" w:styleId="TableGrid">
    <w:name w:val="Table Grid"/>
    <w:basedOn w:val="TableNormal"/>
    <w:uiPriority w:val="59"/>
    <w:rsid w:val="00C30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634BF"/>
  </w:style>
  <w:style w:type="paragraph" w:customStyle="1" w:styleId="nhsbase">
    <w:name w:val="nhsbase"/>
    <w:basedOn w:val="Normal"/>
    <w:rsid w:val="00CF0A74"/>
    <w:rPr>
      <w:rFonts w:ascii="Arial" w:eastAsia="Arial Unicode MS" w:hAnsi="Arial" w:cs="Arial"/>
      <w:lang w:val="en-GB"/>
    </w:rPr>
  </w:style>
  <w:style w:type="paragraph" w:customStyle="1" w:styleId="nhsbase0">
    <w:name w:val="nhs_base"/>
    <w:basedOn w:val="Normal"/>
    <w:rsid w:val="0012096E"/>
    <w:rPr>
      <w:rFonts w:ascii="Arial" w:hAnsi="Arial"/>
      <w:kern w:val="16"/>
      <w:szCs w:val="20"/>
      <w:lang w:val="en-GB"/>
    </w:rPr>
  </w:style>
  <w:style w:type="paragraph" w:styleId="BodyText2">
    <w:name w:val="Body Text 2"/>
    <w:basedOn w:val="Normal"/>
    <w:rsid w:val="00353F98"/>
    <w:pPr>
      <w:spacing w:after="120" w:line="480" w:lineRule="auto"/>
    </w:pPr>
    <w:rPr>
      <w:sz w:val="20"/>
      <w:szCs w:val="20"/>
      <w:lang w:val="en-GB"/>
    </w:rPr>
  </w:style>
  <w:style w:type="paragraph" w:styleId="BalloonText">
    <w:name w:val="Balloon Text"/>
    <w:basedOn w:val="Normal"/>
    <w:semiHidden/>
    <w:rsid w:val="005611FA"/>
    <w:rPr>
      <w:rFonts w:ascii="Tahoma" w:hAnsi="Tahoma" w:cs="Tahoma"/>
      <w:sz w:val="16"/>
      <w:szCs w:val="16"/>
    </w:rPr>
  </w:style>
  <w:style w:type="paragraph" w:customStyle="1" w:styleId="nhsdept">
    <w:name w:val="nhs_dept"/>
    <w:basedOn w:val="Normal"/>
    <w:rsid w:val="000D6575"/>
    <w:rPr>
      <w:b/>
      <w:kern w:val="16"/>
      <w:sz w:val="28"/>
      <w:szCs w:val="20"/>
      <w:lang w:val="en-GB"/>
    </w:rPr>
  </w:style>
  <w:style w:type="character" w:styleId="Strong">
    <w:name w:val="Strong"/>
    <w:basedOn w:val="DefaultParagraphFont"/>
    <w:qFormat/>
    <w:rsid w:val="000623D4"/>
    <w:rPr>
      <w:b/>
      <w:bCs/>
    </w:rPr>
  </w:style>
  <w:style w:type="paragraph" w:styleId="BodyText">
    <w:name w:val="Body Text"/>
    <w:basedOn w:val="Normal"/>
    <w:rsid w:val="009E55F2"/>
    <w:pPr>
      <w:spacing w:after="120"/>
    </w:pPr>
  </w:style>
  <w:style w:type="character" w:styleId="Hyperlink">
    <w:name w:val="Hyperlink"/>
    <w:basedOn w:val="DefaultParagraphFont"/>
    <w:rsid w:val="009E55F2"/>
    <w:rPr>
      <w:color w:val="0000FF"/>
      <w:u w:val="single"/>
    </w:rPr>
  </w:style>
  <w:style w:type="paragraph" w:customStyle="1" w:styleId="bodytextbullets">
    <w:name w:val="bodytextbullets"/>
    <w:basedOn w:val="Normal"/>
    <w:rsid w:val="009E55F2"/>
    <w:pPr>
      <w:numPr>
        <w:numId w:val="1"/>
      </w:numPr>
      <w:spacing w:before="80"/>
      <w:ind w:left="0" w:firstLine="0"/>
    </w:pPr>
    <w:rPr>
      <w:rFonts w:ascii="Arial" w:hAnsi="Arial" w:cs="Arial"/>
    </w:rPr>
  </w:style>
  <w:style w:type="character" w:customStyle="1" w:styleId="samplebodytextchar">
    <w:name w:val="samplebodytextchar"/>
    <w:basedOn w:val="DefaultParagraphFont"/>
    <w:rsid w:val="009E55F2"/>
    <w:rPr>
      <w:rFonts w:ascii="Arial" w:hAnsi="Arial" w:cs="Arial" w:hint="default"/>
      <w:color w:val="0000FF"/>
    </w:rPr>
  </w:style>
  <w:style w:type="paragraph" w:customStyle="1" w:styleId="nhssignatue">
    <w:name w:val="nhssignatue"/>
    <w:basedOn w:val="Normal"/>
    <w:rsid w:val="009E55F2"/>
    <w:rPr>
      <w:rFonts w:ascii="Arial" w:hAnsi="Arial" w:cs="Arial"/>
      <w:b/>
      <w:bCs/>
    </w:rPr>
  </w:style>
  <w:style w:type="paragraph" w:styleId="DocumentMap">
    <w:name w:val="Document Map"/>
    <w:basedOn w:val="Normal"/>
    <w:semiHidden/>
    <w:rsid w:val="00510498"/>
    <w:pPr>
      <w:shd w:val="clear" w:color="auto" w:fill="000080"/>
    </w:pPr>
    <w:rPr>
      <w:rFonts w:ascii="Tahoma" w:hAnsi="Tahoma" w:cs="Tahoma"/>
      <w:sz w:val="20"/>
      <w:szCs w:val="20"/>
    </w:rPr>
  </w:style>
  <w:style w:type="paragraph" w:styleId="Subtitle">
    <w:name w:val="Subtitle"/>
    <w:basedOn w:val="Normal"/>
    <w:link w:val="SubtitleChar"/>
    <w:qFormat/>
    <w:rsid w:val="009A2449"/>
    <w:pPr>
      <w:jc w:val="center"/>
    </w:pPr>
    <w:rPr>
      <w:rFonts w:ascii="Arial" w:hAnsi="Arial" w:cs="Arial"/>
      <w:b/>
      <w:bCs/>
      <w:color w:val="FF0000"/>
      <w:lang w:val="en-GB"/>
    </w:rPr>
  </w:style>
  <w:style w:type="character" w:customStyle="1" w:styleId="SubtitleChar">
    <w:name w:val="Subtitle Char"/>
    <w:basedOn w:val="DefaultParagraphFont"/>
    <w:link w:val="Subtitle"/>
    <w:rsid w:val="009A2449"/>
    <w:rPr>
      <w:rFonts w:ascii="Arial" w:hAnsi="Arial" w:cs="Arial"/>
      <w:b/>
      <w:bCs/>
      <w:color w:val="FF0000"/>
      <w:sz w:val="24"/>
      <w:szCs w:val="24"/>
      <w:lang w:eastAsia="en-US"/>
    </w:rPr>
  </w:style>
  <w:style w:type="paragraph" w:styleId="ListParagraph">
    <w:name w:val="List Paragraph"/>
    <w:basedOn w:val="Normal"/>
    <w:uiPriority w:val="34"/>
    <w:qFormat/>
    <w:rsid w:val="005644D7"/>
    <w:pPr>
      <w:ind w:left="720"/>
      <w:contextualSpacing/>
    </w:pPr>
    <w:rPr>
      <w:rFonts w:ascii="Calibri" w:eastAsia="Calibri" w:hAnsi="Calibri" w:cs="Calibri"/>
      <w:sz w:val="22"/>
      <w:szCs w:val="22"/>
      <w:lang w:val="en-GB" w:eastAsia="en-GB"/>
    </w:rPr>
  </w:style>
  <w:style w:type="character" w:customStyle="1" w:styleId="Heading4Char">
    <w:name w:val="Heading 4 Char"/>
    <w:basedOn w:val="DefaultParagraphFont"/>
    <w:link w:val="Heading4"/>
    <w:semiHidden/>
    <w:rsid w:val="00E21D5C"/>
    <w:rPr>
      <w:rFonts w:asciiTheme="minorHAnsi" w:eastAsiaTheme="minorEastAsia" w:hAnsiTheme="minorHAnsi" w:cstheme="minorBidi"/>
      <w:b/>
      <w:bCs/>
      <w:sz w:val="28"/>
      <w:szCs w:val="28"/>
      <w:lang w:val="en-US" w:eastAsia="en-US"/>
    </w:rPr>
  </w:style>
  <w:style w:type="paragraph" w:styleId="TOAHeading">
    <w:name w:val="toa heading"/>
    <w:basedOn w:val="Normal"/>
    <w:next w:val="Normal"/>
    <w:rsid w:val="00E21D5C"/>
    <w:pPr>
      <w:spacing w:before="120"/>
    </w:pPr>
    <w:rPr>
      <w:rFonts w:ascii="Arial" w:hAnsi="Arial"/>
      <w:b/>
      <w:bCs/>
      <w:lang w:val="en-GB"/>
    </w:rPr>
  </w:style>
  <w:style w:type="table" w:customStyle="1" w:styleId="LightList-Accent11">
    <w:name w:val="Light List - Accent 11"/>
    <w:basedOn w:val="TableNormal"/>
    <w:uiPriority w:val="61"/>
    <w:rsid w:val="00BA78AF"/>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rsid w:val="00924D2F"/>
    <w:rPr>
      <w:rFonts w:ascii="Arial" w:hAnsi="Arial" w:cs="Arial"/>
      <w:b/>
      <w:bCs/>
      <w:sz w:val="28"/>
      <w:szCs w:val="24"/>
      <w:lang w:eastAsia="en-US"/>
    </w:rPr>
  </w:style>
  <w:style w:type="character" w:customStyle="1" w:styleId="Heading2Char">
    <w:name w:val="Heading 2 Char"/>
    <w:basedOn w:val="DefaultParagraphFont"/>
    <w:link w:val="Heading2"/>
    <w:semiHidden/>
    <w:rsid w:val="00924D2F"/>
    <w:rPr>
      <w:rFonts w:asciiTheme="majorHAnsi" w:eastAsiaTheme="majorEastAsia" w:hAnsiTheme="majorHAnsi" w:cstheme="majorBidi"/>
      <w:b/>
      <w:bCs/>
      <w:color w:val="4F81BD" w:themeColor="accent1"/>
      <w:sz w:val="26"/>
      <w:szCs w:val="26"/>
      <w:lang w:val="en-US" w:eastAsia="en-US"/>
    </w:rPr>
  </w:style>
  <w:style w:type="paragraph" w:styleId="Title">
    <w:name w:val="Title"/>
    <w:basedOn w:val="Normal"/>
    <w:link w:val="TitleChar"/>
    <w:qFormat/>
    <w:rsid w:val="00516C86"/>
    <w:pPr>
      <w:jc w:val="center"/>
    </w:pPr>
    <w:rPr>
      <w:b/>
      <w:szCs w:val="20"/>
      <w:lang w:val="en-GB"/>
    </w:rPr>
  </w:style>
  <w:style w:type="character" w:customStyle="1" w:styleId="TitleChar">
    <w:name w:val="Title Char"/>
    <w:basedOn w:val="DefaultParagraphFont"/>
    <w:link w:val="Title"/>
    <w:rsid w:val="00516C86"/>
    <w:rPr>
      <w:b/>
      <w:sz w:val="24"/>
      <w:lang w:eastAsia="en-US"/>
    </w:rPr>
  </w:style>
  <w:style w:type="paragraph" w:customStyle="1" w:styleId="Default">
    <w:name w:val="Default"/>
    <w:rsid w:val="00516C86"/>
    <w:pPr>
      <w:autoSpaceDE w:val="0"/>
      <w:autoSpaceDN w:val="0"/>
      <w:adjustRightInd w:val="0"/>
    </w:pPr>
    <w:rPr>
      <w:rFonts w:ascii="Arial" w:eastAsia="Calibri" w:hAnsi="Arial" w:cs="Arial"/>
      <w:color w:val="000000"/>
      <w:sz w:val="24"/>
      <w:szCs w:val="24"/>
    </w:rPr>
  </w:style>
  <w:style w:type="character" w:customStyle="1" w:styleId="HeaderChar">
    <w:name w:val="Header Char"/>
    <w:link w:val="Header"/>
    <w:rsid w:val="00126A7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9017">
      <w:bodyDiv w:val="1"/>
      <w:marLeft w:val="0"/>
      <w:marRight w:val="0"/>
      <w:marTop w:val="0"/>
      <w:marBottom w:val="0"/>
      <w:divBdr>
        <w:top w:val="none" w:sz="0" w:space="0" w:color="auto"/>
        <w:left w:val="none" w:sz="0" w:space="0" w:color="auto"/>
        <w:bottom w:val="none" w:sz="0" w:space="0" w:color="auto"/>
        <w:right w:val="none" w:sz="0" w:space="0" w:color="auto"/>
      </w:divBdr>
    </w:div>
    <w:div w:id="67702429">
      <w:bodyDiv w:val="1"/>
      <w:marLeft w:val="0"/>
      <w:marRight w:val="0"/>
      <w:marTop w:val="0"/>
      <w:marBottom w:val="0"/>
      <w:divBdr>
        <w:top w:val="none" w:sz="0" w:space="0" w:color="auto"/>
        <w:left w:val="none" w:sz="0" w:space="0" w:color="auto"/>
        <w:bottom w:val="none" w:sz="0" w:space="0" w:color="auto"/>
        <w:right w:val="none" w:sz="0" w:space="0" w:color="auto"/>
      </w:divBdr>
    </w:div>
    <w:div w:id="617492559">
      <w:bodyDiv w:val="1"/>
      <w:marLeft w:val="0"/>
      <w:marRight w:val="0"/>
      <w:marTop w:val="0"/>
      <w:marBottom w:val="0"/>
      <w:divBdr>
        <w:top w:val="none" w:sz="0" w:space="0" w:color="auto"/>
        <w:left w:val="none" w:sz="0" w:space="0" w:color="auto"/>
        <w:bottom w:val="none" w:sz="0" w:space="0" w:color="auto"/>
        <w:right w:val="none" w:sz="0" w:space="0" w:color="auto"/>
      </w:divBdr>
    </w:div>
    <w:div w:id="630862044">
      <w:bodyDiv w:val="1"/>
      <w:marLeft w:val="0"/>
      <w:marRight w:val="0"/>
      <w:marTop w:val="0"/>
      <w:marBottom w:val="0"/>
      <w:divBdr>
        <w:top w:val="none" w:sz="0" w:space="0" w:color="auto"/>
        <w:left w:val="none" w:sz="0" w:space="0" w:color="auto"/>
        <w:bottom w:val="none" w:sz="0" w:space="0" w:color="auto"/>
        <w:right w:val="none" w:sz="0" w:space="0" w:color="auto"/>
      </w:divBdr>
    </w:div>
    <w:div w:id="1008363030">
      <w:bodyDiv w:val="1"/>
      <w:marLeft w:val="0"/>
      <w:marRight w:val="0"/>
      <w:marTop w:val="0"/>
      <w:marBottom w:val="0"/>
      <w:divBdr>
        <w:top w:val="none" w:sz="0" w:space="0" w:color="auto"/>
        <w:left w:val="none" w:sz="0" w:space="0" w:color="auto"/>
        <w:bottom w:val="none" w:sz="0" w:space="0" w:color="auto"/>
        <w:right w:val="none" w:sz="0" w:space="0" w:color="auto"/>
      </w:divBdr>
    </w:div>
    <w:div w:id="105882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NHS Greater Glasgow and Clyde - Clinical Governance Support Unit</vt:lpstr>
    </vt:vector>
  </TitlesOfParts>
  <Company>GJNH</Company>
  <LinksUpToDate>false</LinksUpToDate>
  <CharactersWithSpaces>11337</CharactersWithSpaces>
  <SharedDoc>false</SharedDoc>
  <HLinks>
    <vt:vector size="6" baseType="variant">
      <vt:variant>
        <vt:i4>1769487</vt:i4>
      </vt:variant>
      <vt:variant>
        <vt:i4>-1</vt:i4>
      </vt:variant>
      <vt:variant>
        <vt:i4>1038</vt:i4>
      </vt:variant>
      <vt:variant>
        <vt:i4>1</vt:i4>
      </vt:variant>
      <vt:variant>
        <vt:lpwstr>http://nhsscotlandevent.com/sites/default/files/Exhibitor-39-golden-jubilee-national-hospital%26-nhs.jpg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Greater Glasgow and Clyde - Clinical Governance Support Unit</dc:title>
  <dc:creator>Laura Langan Riach</dc:creator>
  <cp:lastModifiedBy>Liane McGrath</cp:lastModifiedBy>
  <cp:revision>4</cp:revision>
  <cp:lastPrinted>2019-05-30T12:44:00Z</cp:lastPrinted>
  <dcterms:created xsi:type="dcterms:W3CDTF">2021-03-11T16:41:00Z</dcterms:created>
  <dcterms:modified xsi:type="dcterms:W3CDTF">2021-03-11T16:43:00Z</dcterms:modified>
</cp:coreProperties>
</file>