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79" w:rsidRDefault="003A16CA" w:rsidP="00995B7E">
      <w:pPr>
        <w:pStyle w:val="Heading1"/>
        <w:ind w:left="-426" w:right="183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BCB44BC" wp14:editId="2018B7BE">
            <wp:simplePos x="0" y="0"/>
            <wp:positionH relativeFrom="column">
              <wp:posOffset>4784651</wp:posOffset>
            </wp:positionH>
            <wp:positionV relativeFrom="paragraph">
              <wp:posOffset>-48659</wp:posOffset>
            </wp:positionV>
            <wp:extent cx="1123623" cy="7791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23" cy="77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64D">
        <w:rPr>
          <w:rFonts w:ascii="Arial" w:hAnsi="Arial" w:cs="Arial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0pt;margin-top:-24.6pt;width:73.25pt;height:29.15pt;z-index:251658240;visibility:visible;mso-wrap-distance-top:3.6pt;mso-wrap-distance-bottom:3.6pt;mso-position-horizontal-relative:text;mso-position-vertical-relative:text;mso-width-relative:margin;mso-height-relative:margin" stroked="f">
            <v:textbox style="mso-next-textbox:#Text Box 2">
              <w:txbxContent>
                <w:p w:rsidR="00E97A96" w:rsidRPr="00AB1FEA" w:rsidRDefault="00E97A96" w:rsidP="00E97A96">
                  <w:pPr>
                    <w:rPr>
                      <w:rFonts w:ascii="Arial" w:hAnsi="Arial" w:cs="Arial"/>
                      <w:b/>
                      <w:color w:val="5B9BD5"/>
                    </w:rPr>
                  </w:pPr>
                </w:p>
              </w:txbxContent>
            </v:textbox>
            <w10:wrap type="square"/>
          </v:shape>
        </w:pict>
      </w:r>
      <w:r w:rsidR="000B5466">
        <w:rPr>
          <w:rFonts w:ascii="Arial" w:hAnsi="Arial" w:cs="Arial"/>
          <w:sz w:val="24"/>
          <w:szCs w:val="24"/>
        </w:rPr>
        <w:t xml:space="preserve"> </w:t>
      </w:r>
    </w:p>
    <w:p w:rsidR="00144179" w:rsidRDefault="00144179" w:rsidP="00995B7E">
      <w:pPr>
        <w:pStyle w:val="Heading1"/>
        <w:ind w:left="-426" w:right="183"/>
        <w:rPr>
          <w:rFonts w:ascii="Arial" w:hAnsi="Arial" w:cs="Arial"/>
          <w:sz w:val="24"/>
          <w:szCs w:val="24"/>
        </w:rPr>
      </w:pPr>
    </w:p>
    <w:p w:rsidR="001175E5" w:rsidRPr="006421AD" w:rsidRDefault="00882F92" w:rsidP="00995B7E">
      <w:pPr>
        <w:pStyle w:val="Heading1"/>
        <w:ind w:left="-426" w:right="183"/>
        <w:rPr>
          <w:rFonts w:ascii="Arial" w:hAnsi="Arial" w:cs="Arial"/>
        </w:rPr>
      </w:pPr>
      <w:r w:rsidRPr="006421AD">
        <w:rPr>
          <w:rFonts w:ascii="Arial" w:hAnsi="Arial" w:cs="Arial"/>
          <w:sz w:val="24"/>
          <w:szCs w:val="24"/>
        </w:rPr>
        <w:t xml:space="preserve">Board </w:t>
      </w:r>
      <w:r w:rsidR="00513DB0" w:rsidRPr="006421AD">
        <w:rPr>
          <w:rFonts w:ascii="Arial" w:hAnsi="Arial" w:cs="Arial"/>
          <w:sz w:val="24"/>
          <w:szCs w:val="24"/>
        </w:rPr>
        <w:t>M</w:t>
      </w:r>
      <w:r w:rsidR="00A2577B" w:rsidRPr="006421AD">
        <w:rPr>
          <w:rFonts w:ascii="Arial" w:hAnsi="Arial" w:cs="Arial"/>
          <w:sz w:val="24"/>
          <w:szCs w:val="24"/>
        </w:rPr>
        <w:t>eeting</w:t>
      </w:r>
      <w:r w:rsidR="00A2577B" w:rsidRPr="006421AD">
        <w:rPr>
          <w:rFonts w:ascii="Arial" w:hAnsi="Arial" w:cs="Arial"/>
          <w:b w:val="0"/>
          <w:sz w:val="24"/>
          <w:szCs w:val="24"/>
        </w:rPr>
        <w:t>:</w:t>
      </w:r>
      <w:r w:rsidR="00A2577B" w:rsidRPr="006421AD">
        <w:rPr>
          <w:rFonts w:ascii="Arial" w:hAnsi="Arial" w:cs="Arial"/>
          <w:b w:val="0"/>
          <w:sz w:val="24"/>
          <w:szCs w:val="24"/>
        </w:rPr>
        <w:tab/>
      </w:r>
      <w:r w:rsidRPr="006421AD">
        <w:rPr>
          <w:rFonts w:ascii="Arial" w:hAnsi="Arial" w:cs="Arial"/>
          <w:b w:val="0"/>
          <w:sz w:val="24"/>
          <w:szCs w:val="24"/>
        </w:rPr>
        <w:tab/>
      </w:r>
      <w:r w:rsidR="00E47E7D">
        <w:rPr>
          <w:rFonts w:ascii="Arial" w:hAnsi="Arial" w:cs="Arial"/>
          <w:b w:val="0"/>
          <w:sz w:val="24"/>
          <w:szCs w:val="24"/>
        </w:rPr>
        <w:t>18 March 2021</w:t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196F0E">
        <w:rPr>
          <w:rFonts w:ascii="Arial" w:hAnsi="Arial" w:cs="Arial"/>
          <w:b w:val="0"/>
          <w:sz w:val="24"/>
          <w:szCs w:val="24"/>
        </w:rPr>
        <w:br/>
      </w:r>
    </w:p>
    <w:p w:rsidR="0045291B" w:rsidRDefault="00A2577B" w:rsidP="0045291B">
      <w:pPr>
        <w:ind w:left="2160" w:hanging="2586"/>
        <w:rPr>
          <w:rFonts w:ascii="Arial" w:hAnsi="Arial" w:cs="Arial"/>
          <w:bCs/>
        </w:rPr>
      </w:pPr>
      <w:r w:rsidRPr="006421AD">
        <w:rPr>
          <w:rFonts w:ascii="Arial" w:hAnsi="Arial" w:cs="Arial"/>
          <w:b/>
          <w:bCs/>
        </w:rPr>
        <w:t xml:space="preserve">Subject: </w:t>
      </w:r>
      <w:r w:rsidRPr="006421AD">
        <w:rPr>
          <w:rFonts w:ascii="Arial" w:hAnsi="Arial" w:cs="Arial"/>
          <w:b/>
          <w:bCs/>
        </w:rPr>
        <w:tab/>
      </w:r>
      <w:r w:rsidR="00271671" w:rsidRPr="00271671">
        <w:rPr>
          <w:rFonts w:ascii="Arial" w:hAnsi="Arial" w:cs="Arial"/>
          <w:bCs/>
        </w:rPr>
        <w:t>Audit and Risk</w:t>
      </w:r>
      <w:r w:rsidR="00271671">
        <w:rPr>
          <w:rFonts w:ascii="Arial" w:hAnsi="Arial" w:cs="Arial"/>
          <w:bCs/>
        </w:rPr>
        <w:t xml:space="preserve"> </w:t>
      </w:r>
      <w:r w:rsidR="00271671" w:rsidRPr="006D18C0">
        <w:rPr>
          <w:rFonts w:ascii="Arial" w:hAnsi="Arial" w:cs="Arial"/>
          <w:bCs/>
        </w:rPr>
        <w:t xml:space="preserve">Committee </w:t>
      </w:r>
      <w:r w:rsidR="006D18C0" w:rsidRPr="006D18C0">
        <w:rPr>
          <w:rFonts w:ascii="Arial" w:hAnsi="Arial" w:cs="Arial"/>
          <w:bCs/>
        </w:rPr>
        <w:t>U</w:t>
      </w:r>
      <w:r w:rsidR="006421AD" w:rsidRPr="006421AD">
        <w:rPr>
          <w:rFonts w:ascii="Arial" w:hAnsi="Arial" w:cs="Arial"/>
          <w:bCs/>
        </w:rPr>
        <w:t>pdate</w:t>
      </w:r>
      <w:r w:rsidR="006D18C0">
        <w:rPr>
          <w:rFonts w:ascii="Arial" w:hAnsi="Arial" w:cs="Arial"/>
          <w:bCs/>
        </w:rPr>
        <w:br/>
      </w:r>
      <w:r w:rsidR="00B1237E">
        <w:rPr>
          <w:rFonts w:ascii="Arial" w:hAnsi="Arial" w:cs="Arial"/>
          <w:bCs/>
        </w:rPr>
        <w:t>16 February 2021</w:t>
      </w:r>
      <w:r w:rsidR="0045291B">
        <w:rPr>
          <w:rFonts w:ascii="Arial" w:hAnsi="Arial" w:cs="Arial"/>
          <w:bCs/>
        </w:rPr>
        <w:br/>
      </w:r>
    </w:p>
    <w:tbl>
      <w:tblPr>
        <w:tblW w:w="161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799"/>
        <w:gridCol w:w="6799"/>
      </w:tblGrid>
      <w:tr w:rsidR="0045291B" w:rsidRPr="00B5719A" w:rsidTr="0045291B">
        <w:trPr>
          <w:trHeight w:val="499"/>
        </w:trPr>
        <w:tc>
          <w:tcPr>
            <w:tcW w:w="16155" w:type="dxa"/>
            <w:gridSpan w:val="3"/>
          </w:tcPr>
          <w:p w:rsidR="0045291B" w:rsidRPr="00B5719A" w:rsidRDefault="0045291B" w:rsidP="00CF00C8">
            <w:pPr>
              <w:ind w:hanging="111"/>
              <w:rPr>
                <w:rFonts w:ascii="Arial" w:hAnsi="Arial" w:cs="Arial"/>
              </w:rPr>
            </w:pPr>
            <w:r w:rsidRPr="0045291B">
              <w:rPr>
                <w:rFonts w:ascii="Arial" w:hAnsi="Arial" w:cs="Arial"/>
                <w:b/>
              </w:rPr>
              <w:t xml:space="preserve">Recommendation: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E47E7D">
              <w:rPr>
                <w:rFonts w:ascii="Arial" w:hAnsi="Arial" w:cs="Arial"/>
                <w:b/>
              </w:rPr>
              <w:t xml:space="preserve">  </w:t>
            </w:r>
            <w:r w:rsidR="00CF00C8" w:rsidRPr="00CF00C8">
              <w:rPr>
                <w:rFonts w:ascii="Arial" w:hAnsi="Arial" w:cs="Arial"/>
              </w:rPr>
              <w:t>Board Me</w:t>
            </w:r>
            <w:r w:rsidRPr="00CF00C8">
              <w:rPr>
                <w:rFonts w:ascii="Arial" w:hAnsi="Arial" w:cs="Arial"/>
              </w:rPr>
              <w:t>mbers are asked to:</w:t>
            </w:r>
          </w:p>
        </w:tc>
      </w:tr>
      <w:tr w:rsidR="0045291B" w:rsidRPr="00B5719A" w:rsidTr="0045291B">
        <w:trPr>
          <w:trHeight w:val="499"/>
        </w:trPr>
        <w:tc>
          <w:tcPr>
            <w:tcW w:w="2557" w:type="dxa"/>
          </w:tcPr>
          <w:p w:rsidR="0045291B" w:rsidRPr="00B5719A" w:rsidRDefault="0045291B" w:rsidP="00B10EDA">
            <w:pPr>
              <w:pStyle w:val="Heading1"/>
              <w:spacing w:before="120"/>
              <w:ind w:right="183" w:hanging="10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9" w:type="dxa"/>
          </w:tcPr>
          <w:tbl>
            <w:tblPr>
              <w:tblpPr w:leftFromText="180" w:rightFromText="180" w:vertAnchor="text" w:horzAnchor="margin" w:tblpY="88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534"/>
            </w:tblGrid>
            <w:tr w:rsidR="0045291B" w:rsidRPr="00B5719A" w:rsidTr="00E47E7D">
              <w:tc>
                <w:tcPr>
                  <w:tcW w:w="4990" w:type="dxa"/>
                </w:tcPr>
                <w:p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534" w:type="dxa"/>
                </w:tcPr>
                <w:p w:rsidR="0045291B" w:rsidRPr="00B5719A" w:rsidRDefault="00E47E7D" w:rsidP="0045291B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5291B" w:rsidRPr="00B5719A" w:rsidTr="00E47E7D">
              <w:tc>
                <w:tcPr>
                  <w:tcW w:w="4990" w:type="dxa"/>
                </w:tcPr>
                <w:p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534" w:type="dxa"/>
                </w:tcPr>
                <w:p w:rsidR="0045291B" w:rsidRPr="00B5719A" w:rsidRDefault="0045291B" w:rsidP="0045291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45291B" w:rsidRPr="00B5719A" w:rsidTr="00E47E7D">
              <w:tc>
                <w:tcPr>
                  <w:tcW w:w="4990" w:type="dxa"/>
                </w:tcPr>
                <w:p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534" w:type="dxa"/>
                </w:tcPr>
                <w:p w:rsidR="0045291B" w:rsidRPr="00B5719A" w:rsidRDefault="0045291B" w:rsidP="0045291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799" w:type="dxa"/>
          </w:tcPr>
          <w:p w:rsidR="0045291B" w:rsidRPr="00B5719A" w:rsidRDefault="0045291B" w:rsidP="00B10EDA">
            <w:pPr>
              <w:spacing w:before="120"/>
              <w:contextualSpacing/>
              <w:rPr>
                <w:rFonts w:ascii="Arial" w:hAnsi="Arial" w:cs="Arial"/>
              </w:rPr>
            </w:pPr>
          </w:p>
        </w:tc>
      </w:tr>
      <w:tr w:rsidR="0045291B" w:rsidRPr="00B5719A" w:rsidTr="0045291B">
        <w:trPr>
          <w:trHeight w:val="243"/>
        </w:trPr>
        <w:tc>
          <w:tcPr>
            <w:tcW w:w="2557" w:type="dxa"/>
            <w:tcBorders>
              <w:bottom w:val="single" w:sz="4" w:space="0" w:color="auto"/>
            </w:tcBorders>
          </w:tcPr>
          <w:p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1175E5" w:rsidRPr="00FB2DF4" w:rsidRDefault="001175E5" w:rsidP="00506517">
      <w:pPr>
        <w:pStyle w:val="Heading2"/>
        <w:ind w:left="-426" w:right="183"/>
        <w:rPr>
          <w:i w:val="0"/>
          <w:sz w:val="24"/>
          <w:szCs w:val="24"/>
        </w:rPr>
      </w:pPr>
      <w:r w:rsidRPr="00FB2DF4">
        <w:rPr>
          <w:i w:val="0"/>
          <w:sz w:val="24"/>
          <w:szCs w:val="24"/>
        </w:rPr>
        <w:t>1</w:t>
      </w:r>
      <w:r w:rsidRPr="00FB2DF4">
        <w:rPr>
          <w:i w:val="0"/>
          <w:sz w:val="24"/>
          <w:szCs w:val="24"/>
        </w:rPr>
        <w:tab/>
        <w:t>Background</w:t>
      </w:r>
    </w:p>
    <w:p w:rsidR="006D232B" w:rsidRPr="00FB2DF4" w:rsidRDefault="00E47E7D" w:rsidP="00B10EDA">
      <w:pPr>
        <w:ind w:left="-6" w:right="183"/>
        <w:rPr>
          <w:rFonts w:ascii="Arial" w:hAnsi="Arial" w:cs="Arial"/>
        </w:rPr>
      </w:pPr>
      <w:r w:rsidRPr="00FB2DF4">
        <w:rPr>
          <w:rFonts w:ascii="Arial" w:hAnsi="Arial" w:cs="Arial"/>
        </w:rPr>
        <w:t>The Audit and Risk Committee was held on 16 February 2021, t</w:t>
      </w:r>
      <w:r w:rsidR="006D232B" w:rsidRPr="00FB2DF4">
        <w:rPr>
          <w:rFonts w:ascii="Arial" w:hAnsi="Arial" w:cs="Arial"/>
        </w:rPr>
        <w:t>he following key points were agreed at the meeting.</w:t>
      </w:r>
    </w:p>
    <w:p w:rsidR="0026349B" w:rsidRPr="00E97EBD" w:rsidRDefault="0026349B" w:rsidP="006421A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E47E7D" w:rsidRPr="00E47E7D" w:rsidTr="00E47E7D">
        <w:tc>
          <w:tcPr>
            <w:tcW w:w="8720" w:type="dxa"/>
            <w:shd w:val="clear" w:color="auto" w:fill="002060"/>
          </w:tcPr>
          <w:p w:rsidR="00E47E7D" w:rsidRDefault="00E47E7D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:rsidR="0026349B" w:rsidRDefault="0026349B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47E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Effective</w:t>
            </w:r>
          </w:p>
          <w:p w:rsidR="00E47E7D" w:rsidRPr="00E47E7D" w:rsidRDefault="00E47E7D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31C57" w:rsidRPr="00E97EBD" w:rsidTr="00E51AB3">
        <w:trPr>
          <w:trHeight w:val="841"/>
        </w:trPr>
        <w:tc>
          <w:tcPr>
            <w:tcW w:w="8720" w:type="dxa"/>
            <w:shd w:val="clear" w:color="auto" w:fill="auto"/>
          </w:tcPr>
          <w:p w:rsidR="00E51AB3" w:rsidRPr="00E51AB3" w:rsidRDefault="00E51AB3" w:rsidP="00076961">
            <w:pPr>
              <w:numPr>
                <w:ilvl w:val="0"/>
                <w:numId w:val="25"/>
              </w:numPr>
              <w:spacing w:before="120" w:after="120"/>
              <w:ind w:left="426" w:hanging="426"/>
              <w:rPr>
                <w:rFonts w:ascii="Arial" w:hAnsi="Arial" w:cs="Arial"/>
                <w:color w:val="000000"/>
              </w:rPr>
            </w:pPr>
            <w:r w:rsidRPr="00E51AB3">
              <w:rPr>
                <w:rFonts w:ascii="Arial" w:hAnsi="Arial" w:cs="Arial"/>
                <w:color w:val="000000"/>
              </w:rPr>
              <w:t xml:space="preserve">Board Risk Register </w:t>
            </w:r>
            <w:r w:rsidR="00724280">
              <w:rPr>
                <w:rFonts w:ascii="Arial" w:hAnsi="Arial" w:cs="Arial"/>
                <w:color w:val="000000"/>
              </w:rPr>
              <w:t>was presented for approval</w:t>
            </w:r>
            <w:r w:rsidR="00DB6375">
              <w:rPr>
                <w:rFonts w:ascii="Arial" w:hAnsi="Arial" w:cs="Arial"/>
                <w:color w:val="000000"/>
              </w:rPr>
              <w:t xml:space="preserve"> which was updated </w:t>
            </w:r>
            <w:r w:rsidR="00724280">
              <w:rPr>
                <w:rFonts w:ascii="Arial" w:hAnsi="Arial" w:cs="Arial"/>
                <w:color w:val="000000"/>
              </w:rPr>
              <w:t xml:space="preserve">following outputs from the Board seminar. </w:t>
            </w:r>
            <w:r w:rsidR="00E47E7D">
              <w:rPr>
                <w:rFonts w:ascii="Arial" w:hAnsi="Arial" w:cs="Arial"/>
                <w:color w:val="000000"/>
              </w:rPr>
              <w:t xml:space="preserve"> Members approved the refreshed Risk Register and Risk A</w:t>
            </w:r>
            <w:r w:rsidR="00724280">
              <w:rPr>
                <w:rFonts w:ascii="Arial" w:hAnsi="Arial" w:cs="Arial"/>
                <w:color w:val="000000"/>
              </w:rPr>
              <w:t>ppetite.</w:t>
            </w:r>
          </w:p>
          <w:p w:rsidR="00816CE4" w:rsidRPr="00816CE4" w:rsidRDefault="00E51AB3" w:rsidP="00E51AB3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</w:tabs>
              <w:spacing w:before="120" w:after="120"/>
              <w:ind w:left="426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Accounting Policies</w:t>
            </w:r>
            <w:r w:rsidRPr="00E51AB3">
              <w:rPr>
                <w:bCs/>
              </w:rPr>
              <w:t xml:space="preserve"> </w:t>
            </w:r>
            <w:r w:rsidR="00816CE4">
              <w:rPr>
                <w:bCs/>
              </w:rPr>
              <w:t xml:space="preserve">to be used in preparation of </w:t>
            </w:r>
            <w:r w:rsidR="00E47E7D">
              <w:rPr>
                <w:bCs/>
              </w:rPr>
              <w:t>the Annual A</w:t>
            </w:r>
            <w:r w:rsidR="00816CE4">
              <w:rPr>
                <w:bCs/>
              </w:rPr>
              <w:t>ccounts were approved.</w:t>
            </w:r>
            <w:r w:rsidR="00E47E7D">
              <w:rPr>
                <w:bCs/>
              </w:rPr>
              <w:t xml:space="preserve"> </w:t>
            </w:r>
            <w:r w:rsidR="00842FD3">
              <w:rPr>
                <w:bCs/>
              </w:rPr>
              <w:t xml:space="preserve"> It was noted that due to restrictions the valuation and stock counts may have to be undertaken virtually. </w:t>
            </w:r>
          </w:p>
          <w:p w:rsidR="00E51AB3" w:rsidRPr="00816CE4" w:rsidRDefault="00816CE4" w:rsidP="0065405F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</w:tabs>
              <w:spacing w:before="120" w:after="120"/>
              <w:ind w:left="426" w:hanging="426"/>
              <w:rPr>
                <w:color w:val="000000" w:themeColor="text1"/>
              </w:rPr>
            </w:pPr>
            <w:r w:rsidRPr="00816CE4">
              <w:rPr>
                <w:color w:val="000000" w:themeColor="text1"/>
              </w:rPr>
              <w:t>T</w:t>
            </w:r>
            <w:r w:rsidR="00E47E7D">
              <w:t>he Co</w:t>
            </w:r>
            <w:r w:rsidR="00E51AB3" w:rsidRPr="00E51AB3">
              <w:t xml:space="preserve">mmittee were informed of the </w:t>
            </w:r>
            <w:r w:rsidR="00724280">
              <w:t xml:space="preserve">outcome of </w:t>
            </w:r>
            <w:r w:rsidR="00724280" w:rsidRPr="00724280">
              <w:t>the</w:t>
            </w:r>
            <w:r w:rsidR="00724280">
              <w:t xml:space="preserve"> </w:t>
            </w:r>
            <w:r w:rsidR="00E51AB3" w:rsidRPr="00724280">
              <w:t>National</w:t>
            </w:r>
            <w:r w:rsidR="00E51AB3" w:rsidRPr="00E51AB3">
              <w:t xml:space="preserve"> Fraud Initiative Exercise for 2020-21</w:t>
            </w:r>
            <w:r>
              <w:t>. Members noted the results</w:t>
            </w:r>
            <w:r w:rsidR="00842FD3">
              <w:t xml:space="preserve"> and were satisfied with </w:t>
            </w:r>
            <w:r w:rsidR="00DB6375">
              <w:t xml:space="preserve">the </w:t>
            </w:r>
            <w:r w:rsidR="00842FD3">
              <w:t>robust approach taken.</w:t>
            </w:r>
          </w:p>
          <w:p w:rsidR="00816CE4" w:rsidRDefault="00816CE4" w:rsidP="00327370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</w:tabs>
              <w:spacing w:before="120" w:after="120"/>
              <w:ind w:left="426" w:hanging="426"/>
              <w:rPr>
                <w:color w:val="000000" w:themeColor="text1"/>
              </w:rPr>
            </w:pPr>
            <w:r w:rsidRPr="00816CE4">
              <w:rPr>
                <w:color w:val="000000" w:themeColor="text1"/>
              </w:rPr>
              <w:t>An update was provided on the work of C</w:t>
            </w:r>
            <w:r w:rsidR="00E51AB3" w:rsidRPr="00816CE4">
              <w:rPr>
                <w:color w:val="000000" w:themeColor="text1"/>
              </w:rPr>
              <w:t>ounter Fraud Services</w:t>
            </w:r>
            <w:r w:rsidRPr="00816CE4">
              <w:rPr>
                <w:color w:val="000000" w:themeColor="text1"/>
              </w:rPr>
              <w:t xml:space="preserve"> and the committee were informed that there were no cases under investigation. </w:t>
            </w:r>
            <w:r w:rsidR="00DB6375">
              <w:rPr>
                <w:color w:val="000000" w:themeColor="text1"/>
              </w:rPr>
              <w:br/>
            </w:r>
            <w:r w:rsidRPr="00816CE4">
              <w:rPr>
                <w:color w:val="000000" w:themeColor="text1"/>
              </w:rPr>
              <w:t>It is intended to undertake an in</w:t>
            </w:r>
            <w:r w:rsidR="00FB2DF4">
              <w:rPr>
                <w:color w:val="000000" w:themeColor="text1"/>
              </w:rPr>
              <w:t>-</w:t>
            </w:r>
            <w:r w:rsidRPr="00816CE4">
              <w:rPr>
                <w:color w:val="000000" w:themeColor="text1"/>
              </w:rPr>
              <w:t>house audit of eHealth equipment</w:t>
            </w:r>
            <w:r w:rsidR="00DB6375">
              <w:rPr>
                <w:color w:val="000000" w:themeColor="text1"/>
              </w:rPr>
              <w:t>;</w:t>
            </w:r>
            <w:r w:rsidRPr="00816CE4">
              <w:rPr>
                <w:color w:val="000000" w:themeColor="text1"/>
              </w:rPr>
              <w:t xml:space="preserve"> the outcome of this a</w:t>
            </w:r>
            <w:r w:rsidR="00FB2DF4">
              <w:rPr>
                <w:color w:val="000000" w:themeColor="text1"/>
              </w:rPr>
              <w:t>udit will be made available to Internal and E</w:t>
            </w:r>
            <w:r w:rsidRPr="00816CE4">
              <w:rPr>
                <w:color w:val="000000" w:themeColor="text1"/>
              </w:rPr>
              <w:t xml:space="preserve">xternal </w:t>
            </w:r>
            <w:r w:rsidR="00FB2DF4">
              <w:rPr>
                <w:color w:val="000000" w:themeColor="text1"/>
              </w:rPr>
              <w:t>A</w:t>
            </w:r>
            <w:r w:rsidRPr="00816CE4">
              <w:rPr>
                <w:color w:val="000000" w:themeColor="text1"/>
              </w:rPr>
              <w:t xml:space="preserve">udit. </w:t>
            </w:r>
          </w:p>
          <w:p w:rsidR="004F33C3" w:rsidRPr="004F33C3" w:rsidRDefault="00816CE4" w:rsidP="002C39D4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</w:tabs>
              <w:spacing w:before="120" w:after="120"/>
              <w:ind w:left="426" w:hanging="426"/>
              <w:rPr>
                <w:color w:val="000000"/>
              </w:rPr>
            </w:pPr>
            <w:r w:rsidRPr="004F33C3">
              <w:rPr>
                <w:color w:val="000000" w:themeColor="text1"/>
              </w:rPr>
              <w:t>M</w:t>
            </w:r>
            <w:r w:rsidR="00E51AB3" w:rsidRPr="00E51AB3">
              <w:t>embers were provided with an update on the Hospital Expansion Project.</w:t>
            </w:r>
            <w:r w:rsidR="00623FB8">
              <w:br/>
            </w:r>
            <w:r w:rsidR="004F33C3">
              <w:t xml:space="preserve">Phase 1 will be finalised once </w:t>
            </w:r>
            <w:r w:rsidR="00FB2DF4">
              <w:t xml:space="preserve">the </w:t>
            </w:r>
            <w:r w:rsidR="004F33C3">
              <w:t>final account has been agreed.</w:t>
            </w:r>
            <w:r w:rsidR="004F33C3">
              <w:br/>
              <w:t>Phase 2 is progressing</w:t>
            </w:r>
            <w:r w:rsidR="00FB2DF4">
              <w:t xml:space="preserve">, the draft Assurance Review report is being checked for </w:t>
            </w:r>
            <w:r w:rsidR="004F33C3">
              <w:t xml:space="preserve">factual accuracy </w:t>
            </w:r>
            <w:r w:rsidR="00FB2DF4">
              <w:t xml:space="preserve">and </w:t>
            </w:r>
            <w:r w:rsidR="00642C9E">
              <w:t>i</w:t>
            </w:r>
            <w:bookmarkStart w:id="0" w:name="_GoBack"/>
            <w:bookmarkEnd w:id="0"/>
            <w:r w:rsidR="00FB2DF4">
              <w:t xml:space="preserve">s due to be </w:t>
            </w:r>
            <w:r w:rsidR="004F33C3">
              <w:t xml:space="preserve">finalised by end of </w:t>
            </w:r>
            <w:r w:rsidR="00FB2DF4">
              <w:t>February 2021</w:t>
            </w:r>
            <w:r w:rsidR="004F33C3">
              <w:t xml:space="preserve">. </w:t>
            </w:r>
          </w:p>
          <w:p w:rsidR="00E51AB3" w:rsidRPr="004F33C3" w:rsidRDefault="00E51AB3" w:rsidP="002C39D4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</w:tabs>
              <w:spacing w:before="120" w:after="120"/>
              <w:ind w:left="426" w:hanging="426"/>
              <w:rPr>
                <w:color w:val="000000"/>
              </w:rPr>
            </w:pPr>
            <w:r w:rsidRPr="004F33C3">
              <w:rPr>
                <w:color w:val="000000" w:themeColor="text1"/>
              </w:rPr>
              <w:t xml:space="preserve">Project Bank Account </w:t>
            </w:r>
            <w:r w:rsidR="004F33C3">
              <w:rPr>
                <w:color w:val="000000" w:themeColor="text1"/>
              </w:rPr>
              <w:t>is be</w:t>
            </w:r>
            <w:r w:rsidR="00FB2DF4">
              <w:rPr>
                <w:color w:val="000000" w:themeColor="text1"/>
              </w:rPr>
              <w:t>ing established for Phase 2 of H</w:t>
            </w:r>
            <w:r w:rsidR="004F33C3">
              <w:rPr>
                <w:color w:val="000000" w:themeColor="text1"/>
              </w:rPr>
              <w:t xml:space="preserve">ospital </w:t>
            </w:r>
            <w:r w:rsidR="00FB2DF4">
              <w:rPr>
                <w:color w:val="000000" w:themeColor="text1"/>
              </w:rPr>
              <w:t>E</w:t>
            </w:r>
            <w:r w:rsidR="004F33C3">
              <w:rPr>
                <w:color w:val="000000" w:themeColor="text1"/>
              </w:rPr>
              <w:t xml:space="preserve">xpansion in line with guidance from Scottish Government. This is now </w:t>
            </w:r>
            <w:r w:rsidR="00DB6375">
              <w:rPr>
                <w:color w:val="000000" w:themeColor="text1"/>
              </w:rPr>
              <w:t xml:space="preserve">a </w:t>
            </w:r>
            <w:r w:rsidR="004F33C3">
              <w:rPr>
                <w:color w:val="000000" w:themeColor="text1"/>
              </w:rPr>
              <w:t>mandatory condition of all capital projects.</w:t>
            </w:r>
            <w:r w:rsidR="00842FD3">
              <w:rPr>
                <w:color w:val="000000" w:themeColor="text1"/>
              </w:rPr>
              <w:t xml:space="preserve"> Members approved process and procedures for setting up a Project Bank Account and signing of Trust Deed.</w:t>
            </w:r>
          </w:p>
          <w:p w:rsidR="00E51AB3" w:rsidRPr="00E51AB3" w:rsidRDefault="004F33C3" w:rsidP="00E51AB3">
            <w:pPr>
              <w:numPr>
                <w:ilvl w:val="0"/>
                <w:numId w:val="25"/>
              </w:numPr>
              <w:spacing w:before="120" w:after="120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Committee approved use of</w:t>
            </w:r>
            <w:r w:rsidR="00E51AB3">
              <w:rPr>
                <w:rFonts w:ascii="Arial" w:hAnsi="Arial" w:cs="Arial"/>
                <w:color w:val="000000" w:themeColor="text1"/>
              </w:rPr>
              <w:t xml:space="preserve"> Credit Card </w:t>
            </w:r>
            <w:r>
              <w:rPr>
                <w:rFonts w:ascii="Arial" w:hAnsi="Arial" w:cs="Arial"/>
                <w:color w:val="000000" w:themeColor="text1"/>
              </w:rPr>
              <w:t xml:space="preserve">by the Communications Team </w:t>
            </w:r>
            <w:r w:rsidR="00842FD3">
              <w:rPr>
                <w:rFonts w:ascii="Arial" w:hAnsi="Arial" w:cs="Arial"/>
                <w:color w:val="000000" w:themeColor="text1"/>
              </w:rPr>
              <w:t>for specific purpose of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4A65F1">
              <w:rPr>
                <w:rFonts w:ascii="Arial" w:hAnsi="Arial" w:cs="Arial"/>
                <w:color w:val="000000" w:themeColor="text1"/>
              </w:rPr>
              <w:t>digital marketing and social media and recruitment needs.</w:t>
            </w:r>
            <w:r>
              <w:rPr>
                <w:rFonts w:ascii="Arial" w:hAnsi="Arial" w:cs="Arial"/>
                <w:color w:val="000000" w:themeColor="text1"/>
              </w:rPr>
              <w:t xml:space="preserve"> It was noted </w:t>
            </w:r>
            <w:r w:rsidR="00DB6375">
              <w:rPr>
                <w:rFonts w:ascii="Arial" w:hAnsi="Arial" w:cs="Arial"/>
                <w:color w:val="000000" w:themeColor="text1"/>
              </w:rPr>
              <w:t>strict</w:t>
            </w:r>
            <w:r>
              <w:rPr>
                <w:rFonts w:ascii="Arial" w:hAnsi="Arial" w:cs="Arial"/>
                <w:color w:val="000000" w:themeColor="text1"/>
              </w:rPr>
              <w:t xml:space="preserve"> processes are in place for credit card u</w:t>
            </w:r>
            <w:r w:rsidR="00E51AB3">
              <w:rPr>
                <w:rFonts w:ascii="Arial" w:hAnsi="Arial" w:cs="Arial"/>
                <w:color w:val="000000" w:themeColor="text1"/>
              </w:rPr>
              <w:t>se</w:t>
            </w:r>
            <w:r w:rsidR="004A65F1">
              <w:rPr>
                <w:rFonts w:ascii="Arial" w:hAnsi="Arial" w:cs="Arial"/>
                <w:color w:val="000000" w:themeColor="text1"/>
              </w:rPr>
              <w:t>.</w:t>
            </w:r>
            <w:r w:rsidR="000B5129">
              <w:rPr>
                <w:rFonts w:ascii="Arial" w:hAnsi="Arial" w:cs="Arial"/>
                <w:color w:val="000000" w:themeColor="text1"/>
              </w:rPr>
              <w:br/>
            </w:r>
            <w:r w:rsidR="000B5129">
              <w:rPr>
                <w:rFonts w:ascii="Arial" w:hAnsi="Arial" w:cs="Arial"/>
                <w:color w:val="000000" w:themeColor="text1"/>
              </w:rPr>
              <w:br/>
            </w:r>
          </w:p>
          <w:p w:rsidR="00E51AB3" w:rsidRDefault="00DB6375" w:rsidP="00E51AB3">
            <w:pPr>
              <w:numPr>
                <w:ilvl w:val="0"/>
                <w:numId w:val="25"/>
              </w:numPr>
              <w:spacing w:before="120" w:after="120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The </w:t>
            </w:r>
            <w:r w:rsidR="004A65F1">
              <w:rPr>
                <w:rFonts w:ascii="Arial" w:hAnsi="Arial" w:cs="Arial"/>
                <w:color w:val="000000" w:themeColor="text1"/>
              </w:rPr>
              <w:t xml:space="preserve">Committee were provided with information of the </w:t>
            </w:r>
            <w:r w:rsidR="00E51AB3">
              <w:rPr>
                <w:rFonts w:ascii="Arial" w:hAnsi="Arial" w:cs="Arial"/>
                <w:color w:val="000000" w:themeColor="text1"/>
              </w:rPr>
              <w:t>Provisions</w:t>
            </w:r>
            <w:r w:rsidR="004A65F1">
              <w:rPr>
                <w:rFonts w:ascii="Arial" w:hAnsi="Arial" w:cs="Arial"/>
                <w:color w:val="000000" w:themeColor="text1"/>
              </w:rPr>
              <w:t xml:space="preserve"> for </w:t>
            </w:r>
            <w:r w:rsidR="00E51AB3" w:rsidRPr="00352887">
              <w:rPr>
                <w:rFonts w:ascii="Arial" w:hAnsi="Arial" w:cs="Arial"/>
                <w:color w:val="000000"/>
              </w:rPr>
              <w:t>Clinical Negligence and Other Risks Indemnity Scheme</w:t>
            </w:r>
            <w:r>
              <w:rPr>
                <w:rFonts w:ascii="Arial" w:hAnsi="Arial" w:cs="Arial"/>
                <w:color w:val="000000"/>
              </w:rPr>
              <w:t xml:space="preserve"> as this will</w:t>
            </w:r>
            <w:r w:rsidR="004A65F1">
              <w:rPr>
                <w:rFonts w:ascii="Arial" w:hAnsi="Arial" w:cs="Arial"/>
                <w:color w:val="000000"/>
              </w:rPr>
              <w:t xml:space="preserve"> form part of the annual accounts</w:t>
            </w:r>
            <w:r>
              <w:rPr>
                <w:rFonts w:ascii="Arial" w:hAnsi="Arial" w:cs="Arial"/>
                <w:color w:val="000000"/>
              </w:rPr>
              <w:t>,</w:t>
            </w:r>
            <w:r w:rsidR="004A65F1">
              <w:rPr>
                <w:rFonts w:ascii="Arial" w:hAnsi="Arial" w:cs="Arial"/>
                <w:color w:val="000000"/>
              </w:rPr>
              <w:t xml:space="preserve"> members were assured that there are no implications to the Board.</w:t>
            </w:r>
          </w:p>
          <w:p w:rsidR="00E51AB3" w:rsidRPr="00E51AB3" w:rsidRDefault="00E51AB3" w:rsidP="00E51AB3">
            <w:pPr>
              <w:numPr>
                <w:ilvl w:val="0"/>
                <w:numId w:val="25"/>
              </w:numPr>
              <w:spacing w:before="120" w:after="120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Annual Accounts Timetable</w:t>
            </w:r>
            <w:r w:rsidRPr="00E51AB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A65F1">
              <w:rPr>
                <w:rFonts w:ascii="Arial" w:hAnsi="Arial" w:cs="Arial"/>
                <w:color w:val="000000" w:themeColor="text1"/>
              </w:rPr>
              <w:t>was presented with background detail to enable the accounts to be submitted in line with timescales for June 2021.</w:t>
            </w:r>
            <w:r w:rsidR="004A65F1">
              <w:rPr>
                <w:rFonts w:ascii="Arial" w:hAnsi="Arial" w:cs="Arial"/>
                <w:color w:val="000000" w:themeColor="text1"/>
              </w:rPr>
              <w:br/>
              <w:t xml:space="preserve">It was noted that all </w:t>
            </w:r>
            <w:r w:rsidR="00FB2DF4">
              <w:rPr>
                <w:rFonts w:ascii="Arial" w:hAnsi="Arial" w:cs="Arial"/>
                <w:color w:val="000000" w:themeColor="text1"/>
              </w:rPr>
              <w:t>Board Committee D</w:t>
            </w:r>
            <w:r w:rsidR="004A65F1">
              <w:rPr>
                <w:rFonts w:ascii="Arial" w:hAnsi="Arial" w:cs="Arial"/>
                <w:color w:val="000000" w:themeColor="text1"/>
              </w:rPr>
              <w:t xml:space="preserve">raft </w:t>
            </w:r>
            <w:r w:rsidR="00FB2DF4">
              <w:rPr>
                <w:rFonts w:ascii="Arial" w:hAnsi="Arial" w:cs="Arial"/>
                <w:color w:val="000000" w:themeColor="text1"/>
              </w:rPr>
              <w:t>A</w:t>
            </w:r>
            <w:r w:rsidR="004A65F1">
              <w:rPr>
                <w:rFonts w:ascii="Arial" w:hAnsi="Arial" w:cs="Arial"/>
                <w:color w:val="000000" w:themeColor="text1"/>
              </w:rPr>
              <w:t xml:space="preserve">nnual </w:t>
            </w:r>
            <w:r w:rsidR="00FB2DF4">
              <w:rPr>
                <w:rFonts w:ascii="Arial" w:hAnsi="Arial" w:cs="Arial"/>
                <w:color w:val="000000" w:themeColor="text1"/>
              </w:rPr>
              <w:t>R</w:t>
            </w:r>
            <w:r w:rsidR="004A65F1">
              <w:rPr>
                <w:rFonts w:ascii="Arial" w:hAnsi="Arial" w:cs="Arial"/>
                <w:color w:val="000000" w:themeColor="text1"/>
              </w:rPr>
              <w:t xml:space="preserve">eports must be submitted to </w:t>
            </w:r>
            <w:r w:rsidR="00DB6375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4A65F1">
              <w:rPr>
                <w:rFonts w:ascii="Arial" w:hAnsi="Arial" w:cs="Arial"/>
                <w:color w:val="000000" w:themeColor="text1"/>
              </w:rPr>
              <w:t xml:space="preserve">April </w:t>
            </w:r>
            <w:r w:rsidR="00FB2DF4">
              <w:rPr>
                <w:rFonts w:ascii="Arial" w:hAnsi="Arial" w:cs="Arial"/>
                <w:color w:val="000000" w:themeColor="text1"/>
              </w:rPr>
              <w:t>2021 Audit and Risk Committee</w:t>
            </w:r>
            <w:r w:rsidR="004A65F1">
              <w:rPr>
                <w:rFonts w:ascii="Arial" w:hAnsi="Arial" w:cs="Arial"/>
                <w:color w:val="000000" w:themeColor="text1"/>
              </w:rPr>
              <w:t>.</w:t>
            </w:r>
          </w:p>
          <w:p w:rsidR="00E51AB3" w:rsidRPr="00623FB8" w:rsidRDefault="00E51AB3" w:rsidP="00E51AB3">
            <w:pPr>
              <w:numPr>
                <w:ilvl w:val="0"/>
                <w:numId w:val="25"/>
              </w:numPr>
              <w:spacing w:before="120" w:after="120"/>
              <w:ind w:left="426" w:hanging="4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External Audit Annual Plan</w:t>
            </w:r>
            <w:r w:rsidRPr="00E51AB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A65F1">
              <w:rPr>
                <w:rFonts w:ascii="Arial" w:hAnsi="Arial" w:cs="Arial"/>
                <w:color w:val="000000" w:themeColor="text1"/>
              </w:rPr>
              <w:t>was presented noting that this year’s audit will be undertaken remotely as per previous year</w:t>
            </w:r>
            <w:r w:rsidR="00842FD3">
              <w:rPr>
                <w:rFonts w:ascii="Arial" w:hAnsi="Arial" w:cs="Arial"/>
                <w:color w:val="000000" w:themeColor="text1"/>
              </w:rPr>
              <w:t xml:space="preserve"> and original timescales of June 2021 will be adhered to.</w:t>
            </w:r>
          </w:p>
          <w:p w:rsidR="00E51AB3" w:rsidRDefault="00623FB8" w:rsidP="00623FB8">
            <w:pPr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  <w:color w:val="000000" w:themeColor="text1"/>
              </w:rPr>
            </w:pPr>
            <w:r w:rsidRPr="00623FB8">
              <w:rPr>
                <w:rFonts w:ascii="Arial" w:hAnsi="Arial" w:cs="Arial"/>
                <w:color w:val="000000" w:themeColor="text1"/>
              </w:rPr>
              <w:t>Internal</w:t>
            </w:r>
            <w:r w:rsidR="00E51AB3" w:rsidRPr="00623FB8">
              <w:rPr>
                <w:rFonts w:ascii="Arial" w:hAnsi="Arial" w:cs="Arial"/>
                <w:color w:val="000000" w:themeColor="text1"/>
              </w:rPr>
              <w:t xml:space="preserve"> Audit Progress Report</w:t>
            </w:r>
            <w:r w:rsidR="00FB2DF4">
              <w:rPr>
                <w:rFonts w:ascii="Arial" w:hAnsi="Arial" w:cs="Arial"/>
                <w:color w:val="000000" w:themeColor="text1"/>
              </w:rPr>
              <w:t xml:space="preserve"> was presented and M</w:t>
            </w:r>
            <w:r w:rsidR="004A65F1">
              <w:rPr>
                <w:rFonts w:ascii="Arial" w:hAnsi="Arial" w:cs="Arial"/>
                <w:color w:val="000000" w:themeColor="text1"/>
              </w:rPr>
              <w:t>embers were informed that work is progressing</w:t>
            </w:r>
            <w:r w:rsidR="00FB2DF4">
              <w:rPr>
                <w:rFonts w:ascii="Arial" w:hAnsi="Arial" w:cs="Arial"/>
                <w:color w:val="000000" w:themeColor="text1"/>
              </w:rPr>
              <w:t xml:space="preserve">.  Members noted that the </w:t>
            </w:r>
            <w:r w:rsidR="004A65F1">
              <w:rPr>
                <w:rFonts w:ascii="Arial" w:hAnsi="Arial" w:cs="Arial"/>
                <w:color w:val="000000" w:themeColor="text1"/>
              </w:rPr>
              <w:t>Workforce audit has been slightly delayed, the Director of Finance will progress this.</w:t>
            </w:r>
            <w:r w:rsidR="00842FD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B2DF4">
              <w:rPr>
                <w:rFonts w:ascii="Arial" w:hAnsi="Arial" w:cs="Arial"/>
                <w:color w:val="000000" w:themeColor="text1"/>
              </w:rPr>
              <w:t xml:space="preserve"> The </w:t>
            </w:r>
            <w:r w:rsidR="00DB6375">
              <w:rPr>
                <w:rFonts w:ascii="Arial" w:hAnsi="Arial" w:cs="Arial"/>
                <w:color w:val="000000" w:themeColor="text1"/>
              </w:rPr>
              <w:t>Auditor</w:t>
            </w:r>
            <w:r w:rsidR="00FB2DF4">
              <w:rPr>
                <w:rFonts w:ascii="Arial" w:hAnsi="Arial" w:cs="Arial"/>
                <w:color w:val="000000" w:themeColor="text1"/>
              </w:rPr>
              <w:t>s assured M</w:t>
            </w:r>
            <w:r w:rsidR="00DB6375">
              <w:rPr>
                <w:rFonts w:ascii="Arial" w:hAnsi="Arial" w:cs="Arial"/>
                <w:color w:val="000000" w:themeColor="text1"/>
              </w:rPr>
              <w:t xml:space="preserve">embers </w:t>
            </w:r>
            <w:r w:rsidR="00FB2DF4">
              <w:rPr>
                <w:rFonts w:ascii="Arial" w:hAnsi="Arial" w:cs="Arial"/>
                <w:color w:val="000000" w:themeColor="text1"/>
              </w:rPr>
              <w:t xml:space="preserve">of their focus on </w:t>
            </w:r>
            <w:r w:rsidR="00DB6375">
              <w:rPr>
                <w:rFonts w:ascii="Arial" w:hAnsi="Arial" w:cs="Arial"/>
                <w:color w:val="000000" w:themeColor="text1"/>
              </w:rPr>
              <w:t>the s</w:t>
            </w:r>
            <w:r w:rsidR="00842FD3">
              <w:rPr>
                <w:rFonts w:ascii="Arial" w:hAnsi="Arial" w:cs="Arial"/>
                <w:color w:val="000000" w:themeColor="text1"/>
              </w:rPr>
              <w:t>econd phase o</w:t>
            </w:r>
            <w:r w:rsidR="00DB6375">
              <w:rPr>
                <w:rFonts w:ascii="Arial" w:hAnsi="Arial" w:cs="Arial"/>
                <w:color w:val="000000" w:themeColor="text1"/>
              </w:rPr>
              <w:t xml:space="preserve">f </w:t>
            </w:r>
            <w:r w:rsidR="00FB2DF4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DB6375">
              <w:rPr>
                <w:rFonts w:ascii="Arial" w:hAnsi="Arial" w:cs="Arial"/>
                <w:color w:val="000000" w:themeColor="text1"/>
              </w:rPr>
              <w:t>Patient Pathway audit.</w:t>
            </w:r>
            <w:r w:rsidR="00842FD3">
              <w:rPr>
                <w:rFonts w:ascii="Arial" w:hAnsi="Arial" w:cs="Arial"/>
                <w:color w:val="000000" w:themeColor="text1"/>
              </w:rPr>
              <w:br/>
            </w:r>
          </w:p>
          <w:p w:rsidR="00E51AB3" w:rsidRDefault="004A65F1" w:rsidP="00067E1B">
            <w:pPr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  <w:color w:val="000000" w:themeColor="text1"/>
              </w:rPr>
            </w:pPr>
            <w:r w:rsidRPr="004A65F1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E51AB3" w:rsidRPr="004A65F1">
              <w:rPr>
                <w:rFonts w:ascii="Arial" w:hAnsi="Arial" w:cs="Arial"/>
                <w:color w:val="000000" w:themeColor="text1"/>
              </w:rPr>
              <w:t>Governance Review</w:t>
            </w:r>
            <w:r w:rsidR="00FB2DF4">
              <w:rPr>
                <w:rFonts w:ascii="Arial" w:hAnsi="Arial" w:cs="Arial"/>
                <w:color w:val="000000" w:themeColor="text1"/>
              </w:rPr>
              <w:t xml:space="preserve"> audit found th</w:t>
            </w:r>
            <w:r w:rsidR="000B5129">
              <w:rPr>
                <w:rFonts w:ascii="Arial" w:hAnsi="Arial" w:cs="Arial"/>
                <w:color w:val="000000" w:themeColor="text1"/>
              </w:rPr>
              <w:t>at</w:t>
            </w:r>
            <w:r w:rsidR="00FB2DF4">
              <w:rPr>
                <w:rFonts w:ascii="Arial" w:hAnsi="Arial" w:cs="Arial"/>
                <w:color w:val="000000" w:themeColor="text1"/>
              </w:rPr>
              <w:t xml:space="preserve"> robust and effective governance was in place </w:t>
            </w:r>
            <w:r w:rsidR="00DB6375">
              <w:rPr>
                <w:rFonts w:ascii="Arial" w:hAnsi="Arial" w:cs="Arial"/>
                <w:color w:val="000000" w:themeColor="text1"/>
              </w:rPr>
              <w:t xml:space="preserve">in response to </w:t>
            </w:r>
            <w:r w:rsidR="00FB2DF4">
              <w:rPr>
                <w:rFonts w:ascii="Arial" w:hAnsi="Arial" w:cs="Arial"/>
                <w:color w:val="000000" w:themeColor="text1"/>
              </w:rPr>
              <w:t>the COVID-</w:t>
            </w:r>
            <w:r w:rsidR="00DB6375">
              <w:rPr>
                <w:rFonts w:ascii="Arial" w:hAnsi="Arial" w:cs="Arial"/>
                <w:color w:val="000000" w:themeColor="text1"/>
              </w:rPr>
              <w:t>19</w:t>
            </w:r>
            <w:r w:rsidR="00FB2DF4">
              <w:rPr>
                <w:rFonts w:ascii="Arial" w:hAnsi="Arial" w:cs="Arial"/>
                <w:color w:val="000000" w:themeColor="text1"/>
              </w:rPr>
              <w:t xml:space="preserve"> pandemic</w:t>
            </w:r>
            <w:r w:rsidR="00DB6375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FB2DF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B6375">
              <w:rPr>
                <w:rFonts w:ascii="Arial" w:hAnsi="Arial" w:cs="Arial"/>
                <w:color w:val="000000" w:themeColor="text1"/>
              </w:rPr>
              <w:t xml:space="preserve">The report </w:t>
            </w:r>
            <w:r>
              <w:rPr>
                <w:rFonts w:ascii="Arial" w:hAnsi="Arial" w:cs="Arial"/>
                <w:color w:val="000000" w:themeColor="text1"/>
              </w:rPr>
              <w:t>indicated o</w:t>
            </w:r>
            <w:r w:rsidR="00FB2DF4">
              <w:rPr>
                <w:rFonts w:ascii="Arial" w:hAnsi="Arial" w:cs="Arial"/>
                <w:color w:val="000000" w:themeColor="text1"/>
              </w:rPr>
              <w:t>ne minor advisory note that would be considered going forward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="00842FD3">
              <w:rPr>
                <w:rFonts w:ascii="Arial" w:hAnsi="Arial" w:cs="Arial"/>
                <w:color w:val="000000" w:themeColor="text1"/>
              </w:rPr>
              <w:br/>
            </w:r>
          </w:p>
          <w:p w:rsidR="00CC5CDC" w:rsidRPr="00FB2DF4" w:rsidRDefault="004A65F1" w:rsidP="00FB2DF4">
            <w:pPr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65F1">
              <w:rPr>
                <w:rFonts w:ascii="Arial" w:hAnsi="Arial" w:cs="Arial"/>
                <w:color w:val="000000" w:themeColor="text1"/>
              </w:rPr>
              <w:t>F</w:t>
            </w:r>
            <w:r w:rsidR="00623FB8" w:rsidRPr="004A65F1">
              <w:rPr>
                <w:rFonts w:ascii="Arial" w:hAnsi="Arial" w:cs="Arial"/>
                <w:color w:val="000000" w:themeColor="text1"/>
              </w:rPr>
              <w:t>inancial Sustainability – Phase One</w:t>
            </w:r>
            <w:r w:rsidR="00842FD3">
              <w:rPr>
                <w:rFonts w:ascii="Arial" w:hAnsi="Arial" w:cs="Arial"/>
                <w:color w:val="000000" w:themeColor="text1"/>
              </w:rPr>
              <w:t xml:space="preserve"> audit demonstrated that there were good contr</w:t>
            </w:r>
            <w:r w:rsidR="00FB2DF4">
              <w:rPr>
                <w:rFonts w:ascii="Arial" w:hAnsi="Arial" w:cs="Arial"/>
                <w:color w:val="000000" w:themeColor="text1"/>
              </w:rPr>
              <w:t>ols in place in reporting COVID-</w:t>
            </w:r>
            <w:r w:rsidR="00842FD3">
              <w:rPr>
                <w:rFonts w:ascii="Arial" w:hAnsi="Arial" w:cs="Arial"/>
                <w:color w:val="000000" w:themeColor="text1"/>
              </w:rPr>
              <w:t xml:space="preserve">19 spend to Scottish Government. </w:t>
            </w:r>
            <w:r w:rsidR="00FB2DF4">
              <w:rPr>
                <w:rFonts w:ascii="Arial" w:hAnsi="Arial" w:cs="Arial"/>
                <w:color w:val="000000" w:themeColor="text1"/>
              </w:rPr>
              <w:t xml:space="preserve"> O</w:t>
            </w:r>
            <w:r w:rsidR="00842FD3">
              <w:rPr>
                <w:rFonts w:ascii="Arial" w:hAnsi="Arial" w:cs="Arial"/>
                <w:color w:val="000000" w:themeColor="text1"/>
              </w:rPr>
              <w:t xml:space="preserve">ne minor advisory </w:t>
            </w:r>
            <w:r w:rsidR="00FB2DF4">
              <w:rPr>
                <w:rFonts w:ascii="Arial" w:hAnsi="Arial" w:cs="Arial"/>
                <w:color w:val="000000" w:themeColor="text1"/>
              </w:rPr>
              <w:t xml:space="preserve">point </w:t>
            </w:r>
            <w:r w:rsidR="00842FD3">
              <w:rPr>
                <w:rFonts w:ascii="Arial" w:hAnsi="Arial" w:cs="Arial"/>
                <w:color w:val="000000" w:themeColor="text1"/>
              </w:rPr>
              <w:t xml:space="preserve">was noted. </w:t>
            </w:r>
          </w:p>
          <w:p w:rsidR="00FB2DF4" w:rsidRPr="00E97EBD" w:rsidRDefault="00FB2DF4" w:rsidP="00FB2DF4">
            <w:pPr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A7A26" w:rsidRPr="00E97EBD" w:rsidRDefault="001A7A26" w:rsidP="0026349B">
      <w:pPr>
        <w:rPr>
          <w:rFonts w:ascii="Arial" w:hAnsi="Arial" w:cs="Arial"/>
          <w:bCs/>
          <w:sz w:val="22"/>
          <w:szCs w:val="22"/>
        </w:rPr>
      </w:pPr>
    </w:p>
    <w:p w:rsidR="002D5AE1" w:rsidRPr="00CF00C8" w:rsidRDefault="0026349B" w:rsidP="0026349B">
      <w:pPr>
        <w:rPr>
          <w:rFonts w:ascii="Arial" w:hAnsi="Arial" w:cs="Arial"/>
          <w:bCs/>
        </w:rPr>
      </w:pPr>
      <w:r w:rsidRPr="00CF00C8">
        <w:rPr>
          <w:rFonts w:ascii="Arial" w:hAnsi="Arial" w:cs="Arial"/>
          <w:bCs/>
        </w:rPr>
        <w:t xml:space="preserve">The next meeting is scheduled for Tuesday </w:t>
      </w:r>
      <w:r w:rsidR="00CF00C8">
        <w:rPr>
          <w:rFonts w:ascii="Arial" w:hAnsi="Arial" w:cs="Arial"/>
          <w:bCs/>
        </w:rPr>
        <w:t>20 April 2021.</w:t>
      </w:r>
    </w:p>
    <w:p w:rsidR="00E47E7D" w:rsidRPr="00CF00C8" w:rsidRDefault="00E47E7D" w:rsidP="0026349B">
      <w:pPr>
        <w:rPr>
          <w:rFonts w:ascii="Arial" w:hAnsi="Arial" w:cs="Arial"/>
          <w:bCs/>
        </w:rPr>
      </w:pPr>
    </w:p>
    <w:p w:rsidR="00E47E7D" w:rsidRPr="00CF00C8" w:rsidRDefault="00E47E7D" w:rsidP="00E47E7D">
      <w:pPr>
        <w:pStyle w:val="Heading2"/>
        <w:ind w:left="-426" w:right="183"/>
        <w:rPr>
          <w:i w:val="0"/>
          <w:sz w:val="24"/>
          <w:szCs w:val="24"/>
        </w:rPr>
      </w:pPr>
      <w:r w:rsidRPr="00CF00C8">
        <w:rPr>
          <w:i w:val="0"/>
          <w:sz w:val="24"/>
          <w:szCs w:val="24"/>
        </w:rPr>
        <w:t xml:space="preserve">2 </w:t>
      </w:r>
      <w:r w:rsidRPr="00CF00C8">
        <w:rPr>
          <w:i w:val="0"/>
          <w:sz w:val="24"/>
          <w:szCs w:val="24"/>
        </w:rPr>
        <w:tab/>
        <w:t>Recommendation</w:t>
      </w:r>
    </w:p>
    <w:p w:rsidR="00E47E7D" w:rsidRPr="00CF00C8" w:rsidRDefault="00E47E7D" w:rsidP="00E47E7D">
      <w:pPr>
        <w:rPr>
          <w:rFonts w:ascii="Arial" w:hAnsi="Arial" w:cs="Arial"/>
        </w:rPr>
      </w:pPr>
      <w:r w:rsidRPr="00CF00C8">
        <w:rPr>
          <w:rFonts w:ascii="Arial" w:hAnsi="Arial" w:cs="Arial"/>
        </w:rPr>
        <w:t>Board Members are asked to note the Audit and Risk Committee Update.</w:t>
      </w:r>
    </w:p>
    <w:p w:rsidR="00E47E7D" w:rsidRPr="00CF00C8" w:rsidRDefault="00E47E7D" w:rsidP="0026349B">
      <w:pPr>
        <w:rPr>
          <w:rFonts w:ascii="Arial" w:hAnsi="Arial" w:cs="Arial"/>
          <w:bCs/>
        </w:rPr>
      </w:pPr>
    </w:p>
    <w:p w:rsidR="00E47E7D" w:rsidRPr="00CF00C8" w:rsidRDefault="00E47E7D" w:rsidP="0026349B">
      <w:pPr>
        <w:rPr>
          <w:rFonts w:ascii="Arial" w:hAnsi="Arial" w:cs="Arial"/>
          <w:bCs/>
        </w:rPr>
      </w:pPr>
    </w:p>
    <w:p w:rsidR="001F7606" w:rsidRPr="00CF00C8" w:rsidRDefault="001F7606" w:rsidP="0026349B">
      <w:pPr>
        <w:rPr>
          <w:rFonts w:ascii="Arial" w:hAnsi="Arial" w:cs="Arial"/>
          <w:bCs/>
        </w:rPr>
      </w:pPr>
    </w:p>
    <w:p w:rsidR="0026349B" w:rsidRPr="00CF00C8" w:rsidRDefault="00E51AB3" w:rsidP="0026349B">
      <w:pPr>
        <w:rPr>
          <w:rFonts w:ascii="Arial" w:hAnsi="Arial" w:cs="Arial"/>
          <w:b/>
          <w:bCs/>
        </w:rPr>
      </w:pPr>
      <w:r w:rsidRPr="00CF00C8">
        <w:rPr>
          <w:rFonts w:ascii="Arial" w:hAnsi="Arial" w:cs="Arial"/>
          <w:b/>
          <w:bCs/>
        </w:rPr>
        <w:t xml:space="preserve">Morag Brown Acting </w:t>
      </w:r>
      <w:r w:rsidR="0026349B" w:rsidRPr="00CF00C8">
        <w:rPr>
          <w:rFonts w:ascii="Arial" w:hAnsi="Arial" w:cs="Arial"/>
          <w:b/>
          <w:bCs/>
        </w:rPr>
        <w:t xml:space="preserve">Chair, </w:t>
      </w:r>
      <w:r w:rsidR="0063024D" w:rsidRPr="00CF00C8">
        <w:rPr>
          <w:rFonts w:ascii="Arial" w:hAnsi="Arial" w:cs="Arial"/>
          <w:b/>
          <w:bCs/>
        </w:rPr>
        <w:t xml:space="preserve">Audit and Risk </w:t>
      </w:r>
      <w:r w:rsidR="0026349B" w:rsidRPr="00CF00C8">
        <w:rPr>
          <w:rFonts w:ascii="Arial" w:hAnsi="Arial" w:cs="Arial"/>
          <w:b/>
          <w:bCs/>
        </w:rPr>
        <w:t>Committee</w:t>
      </w:r>
    </w:p>
    <w:p w:rsidR="00CF00C8" w:rsidRDefault="00E51AB3" w:rsidP="000D0D69">
      <w:pPr>
        <w:rPr>
          <w:rFonts w:ascii="Arial" w:hAnsi="Arial" w:cs="Arial"/>
          <w:b/>
        </w:rPr>
      </w:pPr>
      <w:r w:rsidRPr="00CF00C8">
        <w:rPr>
          <w:rFonts w:ascii="Arial" w:hAnsi="Arial" w:cs="Arial"/>
          <w:b/>
        </w:rPr>
        <w:t>16 February 2021</w:t>
      </w:r>
    </w:p>
    <w:p w:rsidR="000D0D69" w:rsidRPr="00CF00C8" w:rsidRDefault="000D0D69" w:rsidP="000D0D69">
      <w:pPr>
        <w:rPr>
          <w:rFonts w:ascii="Arial" w:hAnsi="Arial" w:cs="Arial"/>
          <w:b/>
          <w:bCs/>
        </w:rPr>
      </w:pPr>
      <w:r w:rsidRPr="00CF00C8">
        <w:rPr>
          <w:rFonts w:ascii="Arial" w:hAnsi="Arial" w:cs="Arial"/>
          <w:b/>
          <w:bCs/>
        </w:rPr>
        <w:t xml:space="preserve"> </w:t>
      </w:r>
    </w:p>
    <w:p w:rsidR="000D0D69" w:rsidRPr="00CF00C8" w:rsidRDefault="000D0D69" w:rsidP="000D0D69">
      <w:pPr>
        <w:rPr>
          <w:rFonts w:ascii="Arial" w:hAnsi="Arial" w:cs="Arial"/>
          <w:b/>
          <w:bCs/>
        </w:rPr>
      </w:pPr>
      <w:r w:rsidRPr="00CF00C8">
        <w:rPr>
          <w:rFonts w:ascii="Arial" w:hAnsi="Arial" w:cs="Arial"/>
          <w:b/>
          <w:bCs/>
        </w:rPr>
        <w:t>(</w:t>
      </w:r>
      <w:r w:rsidR="00DA3C78" w:rsidRPr="00CF00C8">
        <w:rPr>
          <w:rFonts w:ascii="Arial" w:hAnsi="Arial" w:cs="Arial"/>
          <w:b/>
          <w:bCs/>
        </w:rPr>
        <w:t>Colin Neil,</w:t>
      </w:r>
      <w:r w:rsidRPr="00CF00C8">
        <w:rPr>
          <w:rFonts w:ascii="Arial" w:hAnsi="Arial" w:cs="Arial"/>
          <w:b/>
          <w:bCs/>
        </w:rPr>
        <w:t xml:space="preserve"> Director of Finance)</w:t>
      </w:r>
      <w:r w:rsidR="00C71CC5" w:rsidRPr="00CF00C8">
        <w:rPr>
          <w:rFonts w:ascii="Arial" w:hAnsi="Arial" w:cs="Arial"/>
          <w:b/>
          <w:bCs/>
        </w:rPr>
        <w:br/>
      </w:r>
      <w:r w:rsidR="00C71CC5" w:rsidRPr="00CF00C8">
        <w:rPr>
          <w:rFonts w:ascii="Arial" w:hAnsi="Arial" w:cs="Arial"/>
          <w:b/>
          <w:bCs/>
        </w:rPr>
        <w:br/>
      </w:r>
      <w:r w:rsidR="00C71CC5" w:rsidRPr="00CF00C8">
        <w:rPr>
          <w:rFonts w:ascii="Arial" w:hAnsi="Arial" w:cs="Arial"/>
          <w:b/>
          <w:bCs/>
        </w:rPr>
        <w:br/>
      </w:r>
    </w:p>
    <w:sectPr w:rsidR="000D0D69" w:rsidRPr="00CF00C8" w:rsidSect="00E97E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1701" w:bottom="24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4D" w:rsidRDefault="00D6064D">
      <w:r>
        <w:separator/>
      </w:r>
    </w:p>
  </w:endnote>
  <w:endnote w:type="continuationSeparator" w:id="0">
    <w:p w:rsidR="00D6064D" w:rsidRDefault="00D6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DB0" w:rsidRDefault="006421AD" w:rsidP="006421AD">
    <w:pPr>
      <w:ind w:left="-540"/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F1531B" w:rsidRPr="00513DB0">
      <w:rPr>
        <w:rStyle w:val="PageNumber"/>
        <w:rFonts w:ascii="Arial" w:hAnsi="Arial" w:cs="Arial"/>
      </w:rPr>
      <w:fldChar w:fldCharType="begin"/>
    </w:r>
    <w:r w:rsidR="00513DB0" w:rsidRPr="00513DB0">
      <w:rPr>
        <w:rStyle w:val="PageNumber"/>
        <w:rFonts w:ascii="Arial" w:hAnsi="Arial" w:cs="Arial"/>
      </w:rPr>
      <w:instrText xml:space="preserve"> PAGE </w:instrText>
    </w:r>
    <w:r w:rsidR="00F1531B" w:rsidRPr="00513DB0">
      <w:rPr>
        <w:rStyle w:val="PageNumber"/>
        <w:rFonts w:ascii="Arial" w:hAnsi="Arial" w:cs="Arial"/>
      </w:rPr>
      <w:fldChar w:fldCharType="separate"/>
    </w:r>
    <w:r w:rsidR="00642C9E">
      <w:rPr>
        <w:rStyle w:val="PageNumber"/>
        <w:rFonts w:ascii="Arial" w:hAnsi="Arial" w:cs="Arial"/>
        <w:noProof/>
      </w:rPr>
      <w:t>2</w:t>
    </w:r>
    <w:r w:rsidR="00F1531B" w:rsidRPr="00513DB0">
      <w:rPr>
        <w:rStyle w:val="PageNumber"/>
        <w:rFonts w:ascii="Arial" w:hAnsi="Arial" w:cs="Arial"/>
      </w:rPr>
      <w:fldChar w:fldCharType="end"/>
    </w:r>
  </w:p>
  <w:p w:rsidR="00075AAA" w:rsidRPr="001A624A" w:rsidRDefault="00075AAA" w:rsidP="00463DB0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F05" w:rsidRDefault="000C3F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C9E">
      <w:rPr>
        <w:noProof/>
      </w:rPr>
      <w:t>1</w:t>
    </w:r>
    <w:r>
      <w:rPr>
        <w:noProof/>
      </w:rPr>
      <w:fldChar w:fldCharType="end"/>
    </w:r>
  </w:p>
  <w:p w:rsidR="006421AD" w:rsidRPr="000D0D69" w:rsidRDefault="006421AD" w:rsidP="000D0D69">
    <w:pPr>
      <w:pStyle w:val="Title"/>
      <w:ind w:left="-567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4D" w:rsidRDefault="00D6064D">
      <w:r>
        <w:separator/>
      </w:r>
    </w:p>
  </w:footnote>
  <w:footnote w:type="continuationSeparator" w:id="0">
    <w:p w:rsidR="00D6064D" w:rsidRDefault="00D60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AD" w:rsidRPr="006421AD" w:rsidRDefault="006421AD" w:rsidP="006421AD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AD" w:rsidRPr="00340EEE" w:rsidRDefault="006421AD" w:rsidP="006421AD">
    <w:pPr>
      <w:pStyle w:val="Header"/>
      <w:jc w:val="right"/>
      <w:rPr>
        <w:rFonts w:ascii="Arial" w:hAnsi="Arial"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E3D"/>
    <w:multiLevelType w:val="hybridMultilevel"/>
    <w:tmpl w:val="64BAD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C00E6"/>
    <w:multiLevelType w:val="hybridMultilevel"/>
    <w:tmpl w:val="51929EB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8097E0F"/>
    <w:multiLevelType w:val="hybridMultilevel"/>
    <w:tmpl w:val="01821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3C2BC5"/>
    <w:multiLevelType w:val="hybridMultilevel"/>
    <w:tmpl w:val="D70CA86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E6B500A"/>
    <w:multiLevelType w:val="hybridMultilevel"/>
    <w:tmpl w:val="937C9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0559"/>
    <w:multiLevelType w:val="hybridMultilevel"/>
    <w:tmpl w:val="8C588C34"/>
    <w:lvl w:ilvl="0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697BED"/>
    <w:multiLevelType w:val="hybridMultilevel"/>
    <w:tmpl w:val="F90E461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930FD7"/>
    <w:multiLevelType w:val="hybridMultilevel"/>
    <w:tmpl w:val="FC026B0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030AC3"/>
    <w:multiLevelType w:val="hybridMultilevel"/>
    <w:tmpl w:val="096E1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587C1A"/>
    <w:multiLevelType w:val="hybridMultilevel"/>
    <w:tmpl w:val="A1F6F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B5DE5"/>
    <w:multiLevelType w:val="hybridMultilevel"/>
    <w:tmpl w:val="C082F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EB2F30"/>
    <w:multiLevelType w:val="hybridMultilevel"/>
    <w:tmpl w:val="0CA8DB90"/>
    <w:lvl w:ilvl="0" w:tplc="08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4A22443C"/>
    <w:multiLevelType w:val="hybridMultilevel"/>
    <w:tmpl w:val="E09085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86224E"/>
    <w:multiLevelType w:val="hybridMultilevel"/>
    <w:tmpl w:val="66425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A4469D"/>
    <w:multiLevelType w:val="hybridMultilevel"/>
    <w:tmpl w:val="81C6F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53124"/>
    <w:multiLevelType w:val="hybridMultilevel"/>
    <w:tmpl w:val="C73E0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AB58DD"/>
    <w:multiLevelType w:val="hybridMultilevel"/>
    <w:tmpl w:val="CC08EA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6D45407"/>
    <w:multiLevelType w:val="hybridMultilevel"/>
    <w:tmpl w:val="95CC5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FB3502"/>
    <w:multiLevelType w:val="hybridMultilevel"/>
    <w:tmpl w:val="2C40FD7C"/>
    <w:lvl w:ilvl="0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5D72281A"/>
    <w:multiLevelType w:val="hybridMultilevel"/>
    <w:tmpl w:val="3D80B9FA"/>
    <w:lvl w:ilvl="0" w:tplc="4AF640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644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0B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6D4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21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32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255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03F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C0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F69FE"/>
    <w:multiLevelType w:val="hybridMultilevel"/>
    <w:tmpl w:val="1A80E4E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F24DA4"/>
    <w:multiLevelType w:val="hybridMultilevel"/>
    <w:tmpl w:val="9ABA6B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7A06B3"/>
    <w:multiLevelType w:val="hybridMultilevel"/>
    <w:tmpl w:val="0EEA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85FAA"/>
    <w:multiLevelType w:val="hybridMultilevel"/>
    <w:tmpl w:val="A4F4CD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4B4F1D"/>
    <w:multiLevelType w:val="hybridMultilevel"/>
    <w:tmpl w:val="95D23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A752C4"/>
    <w:multiLevelType w:val="hybridMultilevel"/>
    <w:tmpl w:val="E93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4116E"/>
    <w:multiLevelType w:val="hybridMultilevel"/>
    <w:tmpl w:val="B2BC7EF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2C1A15"/>
    <w:multiLevelType w:val="hybridMultilevel"/>
    <w:tmpl w:val="A1CECF24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7"/>
  </w:num>
  <w:num w:numId="3">
    <w:abstractNumId w:val="21"/>
  </w:num>
  <w:num w:numId="4">
    <w:abstractNumId w:val="3"/>
  </w:num>
  <w:num w:numId="5">
    <w:abstractNumId w:val="8"/>
  </w:num>
  <w:num w:numId="6">
    <w:abstractNumId w:val="34"/>
  </w:num>
  <w:num w:numId="7">
    <w:abstractNumId w:val="38"/>
  </w:num>
  <w:num w:numId="8">
    <w:abstractNumId w:val="5"/>
  </w:num>
  <w:num w:numId="9">
    <w:abstractNumId w:val="36"/>
  </w:num>
  <w:num w:numId="10">
    <w:abstractNumId w:val="28"/>
  </w:num>
  <w:num w:numId="11">
    <w:abstractNumId w:val="33"/>
  </w:num>
  <w:num w:numId="12">
    <w:abstractNumId w:val="16"/>
  </w:num>
  <w:num w:numId="13">
    <w:abstractNumId w:val="22"/>
  </w:num>
  <w:num w:numId="14">
    <w:abstractNumId w:val="13"/>
  </w:num>
  <w:num w:numId="15">
    <w:abstractNumId w:val="18"/>
  </w:num>
  <w:num w:numId="16">
    <w:abstractNumId w:val="30"/>
  </w:num>
  <w:num w:numId="17">
    <w:abstractNumId w:val="2"/>
  </w:num>
  <w:num w:numId="18">
    <w:abstractNumId w:val="0"/>
  </w:num>
  <w:num w:numId="19">
    <w:abstractNumId w:val="11"/>
  </w:num>
  <w:num w:numId="20">
    <w:abstractNumId w:val="20"/>
  </w:num>
  <w:num w:numId="21">
    <w:abstractNumId w:val="27"/>
  </w:num>
  <w:num w:numId="22">
    <w:abstractNumId w:val="35"/>
  </w:num>
  <w:num w:numId="23">
    <w:abstractNumId w:val="17"/>
  </w:num>
  <w:num w:numId="24">
    <w:abstractNumId w:val="6"/>
  </w:num>
  <w:num w:numId="25">
    <w:abstractNumId w:val="12"/>
  </w:num>
  <w:num w:numId="26">
    <w:abstractNumId w:val="24"/>
  </w:num>
  <w:num w:numId="27">
    <w:abstractNumId w:val="31"/>
  </w:num>
  <w:num w:numId="28">
    <w:abstractNumId w:val="10"/>
  </w:num>
  <w:num w:numId="29">
    <w:abstractNumId w:val="32"/>
  </w:num>
  <w:num w:numId="30">
    <w:abstractNumId w:val="1"/>
  </w:num>
  <w:num w:numId="31">
    <w:abstractNumId w:val="4"/>
  </w:num>
  <w:num w:numId="32">
    <w:abstractNumId w:val="9"/>
  </w:num>
  <w:num w:numId="33">
    <w:abstractNumId w:val="7"/>
  </w:num>
  <w:num w:numId="34">
    <w:abstractNumId w:val="23"/>
  </w:num>
  <w:num w:numId="35">
    <w:abstractNumId w:val="26"/>
  </w:num>
  <w:num w:numId="36">
    <w:abstractNumId w:val="15"/>
  </w:num>
  <w:num w:numId="37">
    <w:abstractNumId w:val="14"/>
  </w:num>
  <w:num w:numId="38">
    <w:abstractNumId w:val="19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113FF"/>
    <w:rsid w:val="000120BD"/>
    <w:rsid w:val="000149B5"/>
    <w:rsid w:val="000414E5"/>
    <w:rsid w:val="000432C0"/>
    <w:rsid w:val="00044396"/>
    <w:rsid w:val="000458AA"/>
    <w:rsid w:val="000461C8"/>
    <w:rsid w:val="00057E36"/>
    <w:rsid w:val="00064DB8"/>
    <w:rsid w:val="00067A80"/>
    <w:rsid w:val="00075AAA"/>
    <w:rsid w:val="00086244"/>
    <w:rsid w:val="000A0F2E"/>
    <w:rsid w:val="000A426F"/>
    <w:rsid w:val="000B046D"/>
    <w:rsid w:val="000B419E"/>
    <w:rsid w:val="000B5129"/>
    <w:rsid w:val="000B5466"/>
    <w:rsid w:val="000B5923"/>
    <w:rsid w:val="000C00EF"/>
    <w:rsid w:val="000C3F42"/>
    <w:rsid w:val="000D0D69"/>
    <w:rsid w:val="000D53E0"/>
    <w:rsid w:val="000E4F05"/>
    <w:rsid w:val="0010576F"/>
    <w:rsid w:val="001079DA"/>
    <w:rsid w:val="001175E5"/>
    <w:rsid w:val="00125B4C"/>
    <w:rsid w:val="0014213C"/>
    <w:rsid w:val="00144179"/>
    <w:rsid w:val="00153DAF"/>
    <w:rsid w:val="00162874"/>
    <w:rsid w:val="001849E6"/>
    <w:rsid w:val="00196F0E"/>
    <w:rsid w:val="001A2236"/>
    <w:rsid w:val="001A624A"/>
    <w:rsid w:val="001A7A26"/>
    <w:rsid w:val="001B3FD3"/>
    <w:rsid w:val="001C046B"/>
    <w:rsid w:val="001E5A54"/>
    <w:rsid w:val="001F7606"/>
    <w:rsid w:val="00200176"/>
    <w:rsid w:val="00217D28"/>
    <w:rsid w:val="0022588F"/>
    <w:rsid w:val="00232037"/>
    <w:rsid w:val="00233E6E"/>
    <w:rsid w:val="00235DA7"/>
    <w:rsid w:val="00250650"/>
    <w:rsid w:val="00252B78"/>
    <w:rsid w:val="00262E2F"/>
    <w:rsid w:val="0026349B"/>
    <w:rsid w:val="00266FA7"/>
    <w:rsid w:val="00271671"/>
    <w:rsid w:val="002741A5"/>
    <w:rsid w:val="00294F9A"/>
    <w:rsid w:val="002A3DC7"/>
    <w:rsid w:val="002B502F"/>
    <w:rsid w:val="002D4B40"/>
    <w:rsid w:val="002D5AE1"/>
    <w:rsid w:val="003173FB"/>
    <w:rsid w:val="003215DD"/>
    <w:rsid w:val="00340EEE"/>
    <w:rsid w:val="00340F97"/>
    <w:rsid w:val="003415B8"/>
    <w:rsid w:val="00344680"/>
    <w:rsid w:val="003479B7"/>
    <w:rsid w:val="00362A4C"/>
    <w:rsid w:val="00372FCE"/>
    <w:rsid w:val="00386186"/>
    <w:rsid w:val="0038621B"/>
    <w:rsid w:val="0038709A"/>
    <w:rsid w:val="003A16CA"/>
    <w:rsid w:val="003D7AD3"/>
    <w:rsid w:val="003E423D"/>
    <w:rsid w:val="003F19CA"/>
    <w:rsid w:val="0040486E"/>
    <w:rsid w:val="004435BD"/>
    <w:rsid w:val="004512CE"/>
    <w:rsid w:val="0045291B"/>
    <w:rsid w:val="00455FA3"/>
    <w:rsid w:val="00456465"/>
    <w:rsid w:val="0045726A"/>
    <w:rsid w:val="00463DB0"/>
    <w:rsid w:val="00466660"/>
    <w:rsid w:val="0046693E"/>
    <w:rsid w:val="00467A77"/>
    <w:rsid w:val="00490FB8"/>
    <w:rsid w:val="004A65F1"/>
    <w:rsid w:val="004B4753"/>
    <w:rsid w:val="004E123E"/>
    <w:rsid w:val="004E7D94"/>
    <w:rsid w:val="004F33C3"/>
    <w:rsid w:val="00506517"/>
    <w:rsid w:val="005068D3"/>
    <w:rsid w:val="00513DB0"/>
    <w:rsid w:val="00514CB5"/>
    <w:rsid w:val="005160EE"/>
    <w:rsid w:val="00517A5A"/>
    <w:rsid w:val="00520997"/>
    <w:rsid w:val="00532A7E"/>
    <w:rsid w:val="0053341A"/>
    <w:rsid w:val="00546675"/>
    <w:rsid w:val="00554F9A"/>
    <w:rsid w:val="0056181B"/>
    <w:rsid w:val="00583099"/>
    <w:rsid w:val="00590B0A"/>
    <w:rsid w:val="00593A6A"/>
    <w:rsid w:val="005A488D"/>
    <w:rsid w:val="005A5BBE"/>
    <w:rsid w:val="005C5849"/>
    <w:rsid w:val="005E1232"/>
    <w:rsid w:val="005F015F"/>
    <w:rsid w:val="00611634"/>
    <w:rsid w:val="00614C3A"/>
    <w:rsid w:val="00616707"/>
    <w:rsid w:val="00623FB8"/>
    <w:rsid w:val="006253CC"/>
    <w:rsid w:val="0063024D"/>
    <w:rsid w:val="006421AD"/>
    <w:rsid w:val="00642C9E"/>
    <w:rsid w:val="006549F5"/>
    <w:rsid w:val="00661528"/>
    <w:rsid w:val="00672945"/>
    <w:rsid w:val="00692DED"/>
    <w:rsid w:val="006A1357"/>
    <w:rsid w:val="006B3DD9"/>
    <w:rsid w:val="006C2B1E"/>
    <w:rsid w:val="006D18C0"/>
    <w:rsid w:val="006D232B"/>
    <w:rsid w:val="006E6535"/>
    <w:rsid w:val="006E67ED"/>
    <w:rsid w:val="006F0926"/>
    <w:rsid w:val="0071297A"/>
    <w:rsid w:val="00713C93"/>
    <w:rsid w:val="00720EB3"/>
    <w:rsid w:val="00722DBB"/>
    <w:rsid w:val="00724280"/>
    <w:rsid w:val="007261DF"/>
    <w:rsid w:val="00741AB2"/>
    <w:rsid w:val="00745A4B"/>
    <w:rsid w:val="00751235"/>
    <w:rsid w:val="00752702"/>
    <w:rsid w:val="00752CB2"/>
    <w:rsid w:val="00753164"/>
    <w:rsid w:val="0077058D"/>
    <w:rsid w:val="00792C50"/>
    <w:rsid w:val="00793223"/>
    <w:rsid w:val="00795EF8"/>
    <w:rsid w:val="007A61D7"/>
    <w:rsid w:val="007E356B"/>
    <w:rsid w:val="007E5551"/>
    <w:rsid w:val="007F1091"/>
    <w:rsid w:val="007F4058"/>
    <w:rsid w:val="007F6BBB"/>
    <w:rsid w:val="00815350"/>
    <w:rsid w:val="00816CE4"/>
    <w:rsid w:val="00842FD3"/>
    <w:rsid w:val="008553E2"/>
    <w:rsid w:val="0085723B"/>
    <w:rsid w:val="00867E1A"/>
    <w:rsid w:val="00882F92"/>
    <w:rsid w:val="008A6453"/>
    <w:rsid w:val="008B6046"/>
    <w:rsid w:val="008C26A2"/>
    <w:rsid w:val="008C39DA"/>
    <w:rsid w:val="008D0776"/>
    <w:rsid w:val="008D5423"/>
    <w:rsid w:val="008E76A4"/>
    <w:rsid w:val="008F381E"/>
    <w:rsid w:val="008F5655"/>
    <w:rsid w:val="008F6676"/>
    <w:rsid w:val="00904EAD"/>
    <w:rsid w:val="00917265"/>
    <w:rsid w:val="00925E54"/>
    <w:rsid w:val="00931838"/>
    <w:rsid w:val="00952AC2"/>
    <w:rsid w:val="00954B21"/>
    <w:rsid w:val="00976D67"/>
    <w:rsid w:val="00984A71"/>
    <w:rsid w:val="00992558"/>
    <w:rsid w:val="00995B7E"/>
    <w:rsid w:val="009C2D6A"/>
    <w:rsid w:val="00A2577B"/>
    <w:rsid w:val="00A31C57"/>
    <w:rsid w:val="00A5117B"/>
    <w:rsid w:val="00A63183"/>
    <w:rsid w:val="00AA2DD5"/>
    <w:rsid w:val="00AA44A3"/>
    <w:rsid w:val="00AB068F"/>
    <w:rsid w:val="00AB0F50"/>
    <w:rsid w:val="00AC7687"/>
    <w:rsid w:val="00AD46B4"/>
    <w:rsid w:val="00AE1BE9"/>
    <w:rsid w:val="00AF709D"/>
    <w:rsid w:val="00B01AF5"/>
    <w:rsid w:val="00B10EDA"/>
    <w:rsid w:val="00B1237E"/>
    <w:rsid w:val="00B25748"/>
    <w:rsid w:val="00B31C0C"/>
    <w:rsid w:val="00B53D30"/>
    <w:rsid w:val="00B60567"/>
    <w:rsid w:val="00B66AA2"/>
    <w:rsid w:val="00B77D7C"/>
    <w:rsid w:val="00B81026"/>
    <w:rsid w:val="00B8644A"/>
    <w:rsid w:val="00B86715"/>
    <w:rsid w:val="00B90E33"/>
    <w:rsid w:val="00BA509C"/>
    <w:rsid w:val="00BB173D"/>
    <w:rsid w:val="00BB3C07"/>
    <w:rsid w:val="00BD41A8"/>
    <w:rsid w:val="00BD44E2"/>
    <w:rsid w:val="00BD6DC2"/>
    <w:rsid w:val="00C150AF"/>
    <w:rsid w:val="00C22BDB"/>
    <w:rsid w:val="00C33D49"/>
    <w:rsid w:val="00C6035D"/>
    <w:rsid w:val="00C63607"/>
    <w:rsid w:val="00C71271"/>
    <w:rsid w:val="00C71CC5"/>
    <w:rsid w:val="00C902E9"/>
    <w:rsid w:val="00C92793"/>
    <w:rsid w:val="00C956E2"/>
    <w:rsid w:val="00C97E71"/>
    <w:rsid w:val="00CA19FD"/>
    <w:rsid w:val="00CB1281"/>
    <w:rsid w:val="00CC5CDC"/>
    <w:rsid w:val="00CE1E53"/>
    <w:rsid w:val="00CF00C8"/>
    <w:rsid w:val="00CF038B"/>
    <w:rsid w:val="00D070E2"/>
    <w:rsid w:val="00D2641F"/>
    <w:rsid w:val="00D346C3"/>
    <w:rsid w:val="00D53503"/>
    <w:rsid w:val="00D6064D"/>
    <w:rsid w:val="00D6204F"/>
    <w:rsid w:val="00D92AA6"/>
    <w:rsid w:val="00D93F2F"/>
    <w:rsid w:val="00D97CFA"/>
    <w:rsid w:val="00DA18FB"/>
    <w:rsid w:val="00DA3C78"/>
    <w:rsid w:val="00DB6375"/>
    <w:rsid w:val="00DB72E2"/>
    <w:rsid w:val="00DC67AA"/>
    <w:rsid w:val="00E410A2"/>
    <w:rsid w:val="00E47E7D"/>
    <w:rsid w:val="00E51AB3"/>
    <w:rsid w:val="00E557B8"/>
    <w:rsid w:val="00E575FA"/>
    <w:rsid w:val="00E72EB6"/>
    <w:rsid w:val="00E95856"/>
    <w:rsid w:val="00E96CA5"/>
    <w:rsid w:val="00E97A96"/>
    <w:rsid w:val="00E97EBD"/>
    <w:rsid w:val="00EB154B"/>
    <w:rsid w:val="00EB2FAC"/>
    <w:rsid w:val="00EB71D3"/>
    <w:rsid w:val="00EB7C07"/>
    <w:rsid w:val="00ED0B68"/>
    <w:rsid w:val="00ED3B2E"/>
    <w:rsid w:val="00ED75E2"/>
    <w:rsid w:val="00EE4BDB"/>
    <w:rsid w:val="00F1309D"/>
    <w:rsid w:val="00F1531B"/>
    <w:rsid w:val="00F170BF"/>
    <w:rsid w:val="00F17C8A"/>
    <w:rsid w:val="00F27DD4"/>
    <w:rsid w:val="00F31A5C"/>
    <w:rsid w:val="00F445E4"/>
    <w:rsid w:val="00F57489"/>
    <w:rsid w:val="00F609DD"/>
    <w:rsid w:val="00F6514B"/>
    <w:rsid w:val="00F65C4B"/>
    <w:rsid w:val="00F66C88"/>
    <w:rsid w:val="00F802D4"/>
    <w:rsid w:val="00F938C6"/>
    <w:rsid w:val="00F93FB6"/>
    <w:rsid w:val="00FB04A2"/>
    <w:rsid w:val="00FB2DF4"/>
    <w:rsid w:val="00FC2536"/>
    <w:rsid w:val="00FD0258"/>
    <w:rsid w:val="00FD2F05"/>
    <w:rsid w:val="00FD3EB9"/>
    <w:rsid w:val="00FD5E76"/>
    <w:rsid w:val="00FE12C4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B3FB4"/>
  <w15:docId w15:val="{5E1D42A2-CF55-4481-8E36-F5F825EE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0D0D69"/>
    <w:rPr>
      <w:b/>
      <w:bCs/>
      <w:sz w:val="32"/>
      <w:szCs w:val="32"/>
      <w:lang w:eastAsia="en-US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F57489"/>
    <w:rPr>
      <w:rFonts w:ascii="Arial" w:hAnsi="Arial" w:cs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2536"/>
    <w:pPr>
      <w:spacing w:after="120" w:line="480" w:lineRule="auto"/>
      <w:ind w:left="283"/>
    </w:pPr>
    <w:rPr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253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25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76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7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5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C84B-E2EC-438C-A8F7-CE46242E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Anne McQueen</cp:lastModifiedBy>
  <cp:revision>4</cp:revision>
  <cp:lastPrinted>2021-03-08T10:41:00Z</cp:lastPrinted>
  <dcterms:created xsi:type="dcterms:W3CDTF">2021-03-04T14:45:00Z</dcterms:created>
  <dcterms:modified xsi:type="dcterms:W3CDTF">2021-03-08T10:41:00Z</dcterms:modified>
</cp:coreProperties>
</file>