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3A6" w:rsidRDefault="000A03A6" w:rsidP="000A03A6">
      <w:pPr>
        <w:ind w:left="7920" w:firstLine="720"/>
        <w:rPr>
          <w:b/>
          <w:sz w:val="28"/>
          <w:szCs w:val="28"/>
        </w:rPr>
      </w:pPr>
    </w:p>
    <w:p w:rsidR="000A03A6" w:rsidRDefault="000A03A6" w:rsidP="000A03A6">
      <w:pPr>
        <w:ind w:left="7920" w:firstLine="720"/>
        <w:rPr>
          <w:b/>
          <w:sz w:val="28"/>
          <w:szCs w:val="28"/>
        </w:rPr>
      </w:pPr>
    </w:p>
    <w:p w:rsidR="00304565" w:rsidRDefault="00304565" w:rsidP="000A03A6">
      <w:pPr>
        <w:ind w:left="7920" w:firstLine="720"/>
        <w:rPr>
          <w:b/>
          <w:sz w:val="28"/>
          <w:szCs w:val="28"/>
        </w:rPr>
      </w:pPr>
    </w:p>
    <w:p w:rsidR="00264C5B" w:rsidRDefault="00264C5B">
      <w:pPr>
        <w:rPr>
          <w:b/>
          <w:sz w:val="72"/>
          <w:szCs w:val="72"/>
        </w:rPr>
      </w:pPr>
    </w:p>
    <w:p w:rsidR="000A03A6" w:rsidRDefault="00312779" w:rsidP="000A03A6">
      <w:pPr>
        <w:jc w:val="center"/>
        <w:rPr>
          <w:b/>
          <w:sz w:val="72"/>
          <w:szCs w:val="72"/>
        </w:rPr>
      </w:pPr>
      <w:r w:rsidRPr="00264C5B">
        <w:rPr>
          <w:b/>
          <w:sz w:val="72"/>
          <w:szCs w:val="72"/>
        </w:rPr>
        <w:t>Procurement Strategy</w:t>
      </w:r>
    </w:p>
    <w:p w:rsidR="0017605C" w:rsidRDefault="000A03A6" w:rsidP="000A03A6">
      <w:pPr>
        <w:jc w:val="center"/>
        <w:rPr>
          <w:b/>
          <w:sz w:val="72"/>
          <w:szCs w:val="72"/>
        </w:rPr>
      </w:pPr>
      <w:r>
        <w:rPr>
          <w:b/>
          <w:sz w:val="72"/>
          <w:szCs w:val="72"/>
        </w:rPr>
        <w:t>2021</w:t>
      </w:r>
      <w:r w:rsidR="00312779" w:rsidRPr="00264C5B">
        <w:rPr>
          <w:b/>
          <w:sz w:val="72"/>
          <w:szCs w:val="72"/>
        </w:rPr>
        <w:t xml:space="preserve"> –</w:t>
      </w:r>
      <w:r w:rsidR="00304565" w:rsidRPr="00264C5B">
        <w:rPr>
          <w:b/>
          <w:sz w:val="72"/>
          <w:szCs w:val="72"/>
        </w:rPr>
        <w:t>20</w:t>
      </w:r>
      <w:r>
        <w:rPr>
          <w:b/>
          <w:sz w:val="72"/>
          <w:szCs w:val="72"/>
        </w:rPr>
        <w:t>24</w:t>
      </w:r>
    </w:p>
    <w:p w:rsidR="00304565" w:rsidRDefault="00304565">
      <w:pPr>
        <w:rPr>
          <w:b/>
        </w:rPr>
      </w:pPr>
    </w:p>
    <w:p w:rsidR="00264C5B" w:rsidRDefault="00264C5B">
      <w:pPr>
        <w:rPr>
          <w:b/>
        </w:rPr>
      </w:pPr>
    </w:p>
    <w:p w:rsidR="00264C5B" w:rsidRDefault="00264C5B">
      <w:pPr>
        <w:rPr>
          <w:b/>
        </w:rPr>
      </w:pPr>
    </w:p>
    <w:p w:rsidR="00264C5B" w:rsidRDefault="00264C5B">
      <w:pPr>
        <w:rPr>
          <w:b/>
        </w:rPr>
      </w:pPr>
    </w:p>
    <w:p w:rsidR="00264C5B" w:rsidRDefault="00264C5B">
      <w:pPr>
        <w:rPr>
          <w:b/>
        </w:rPr>
      </w:pPr>
    </w:p>
    <w:p w:rsidR="00264C5B" w:rsidRDefault="00264C5B">
      <w:pPr>
        <w:rPr>
          <w:b/>
        </w:rPr>
      </w:pPr>
    </w:p>
    <w:p w:rsidR="00304565" w:rsidRDefault="00304565">
      <w:pPr>
        <w:rPr>
          <w:b/>
        </w:rPr>
      </w:pPr>
    </w:p>
    <w:p w:rsidR="00CC0495" w:rsidRDefault="00CC0495">
      <w:pPr>
        <w:rPr>
          <w:b/>
        </w:rPr>
      </w:pPr>
    </w:p>
    <w:p w:rsidR="000A03A6" w:rsidRDefault="000A03A6" w:rsidP="00CA1239"/>
    <w:p w:rsidR="000A03A6" w:rsidRPr="000A03A6" w:rsidRDefault="000A03A6" w:rsidP="000A03A6"/>
    <w:p w:rsidR="000A03A6" w:rsidRPr="000A03A6" w:rsidRDefault="000A03A6" w:rsidP="000A03A6"/>
    <w:p w:rsidR="000A03A6" w:rsidRPr="000A03A6" w:rsidRDefault="000A03A6" w:rsidP="000A03A6"/>
    <w:p w:rsidR="00CA1239" w:rsidRPr="00CA1239" w:rsidRDefault="00CA1239" w:rsidP="00CA1239">
      <w:pPr>
        <w:rPr>
          <w:rFonts w:cs="Arial"/>
        </w:rPr>
      </w:pPr>
      <w:r w:rsidRPr="00CA1239">
        <w:rPr>
          <w:rFonts w:cs="Arial"/>
        </w:rPr>
        <w:t>VERSION 0.</w:t>
      </w:r>
      <w:r w:rsidR="00515CBA">
        <w:rPr>
          <w:rFonts w:cs="Arial"/>
        </w:rPr>
        <w:t>0</w:t>
      </w:r>
      <w:r w:rsidR="0017605C">
        <w:rPr>
          <w:rFonts w:cs="Arial"/>
        </w:rPr>
        <w:t>1</w:t>
      </w:r>
    </w:p>
    <w:p w:rsidR="00CA1239" w:rsidRPr="00CA1239" w:rsidRDefault="00CA1239" w:rsidP="00CA1239">
      <w:pPr>
        <w:autoSpaceDE w:val="0"/>
        <w:autoSpaceDN w:val="0"/>
        <w:adjustRightInd w:val="0"/>
        <w:spacing w:after="0" w:line="240" w:lineRule="auto"/>
        <w:rPr>
          <w:rFonts w:cs="Arial"/>
          <w:b/>
          <w:bCs/>
        </w:rPr>
      </w:pPr>
      <w:r w:rsidRPr="00CA1239">
        <w:rPr>
          <w:rFonts w:cs="Arial"/>
          <w:b/>
          <w:bCs/>
        </w:rPr>
        <w:lastRenderedPageBreak/>
        <w:t>DOCUMENT CONTROL SHEET:</w:t>
      </w:r>
    </w:p>
    <w:p w:rsidR="00CA1239" w:rsidRPr="00CA1239" w:rsidRDefault="00CA1239" w:rsidP="00CA1239">
      <w:pPr>
        <w:autoSpaceDE w:val="0"/>
        <w:autoSpaceDN w:val="0"/>
        <w:adjustRightInd w:val="0"/>
        <w:spacing w:after="0" w:line="240" w:lineRule="auto"/>
        <w:rPr>
          <w:rFonts w:cs="Arial"/>
          <w:b/>
          <w:bCs/>
        </w:rPr>
      </w:pPr>
    </w:p>
    <w:p w:rsidR="00CA1239" w:rsidRPr="00CA1239" w:rsidRDefault="00CA1239" w:rsidP="00CA1239">
      <w:pPr>
        <w:autoSpaceDE w:val="0"/>
        <w:autoSpaceDN w:val="0"/>
        <w:adjustRightInd w:val="0"/>
        <w:spacing w:after="0" w:line="240" w:lineRule="auto"/>
        <w:rPr>
          <w:rFonts w:cs="Arial"/>
          <w:b/>
          <w:bCs/>
        </w:rPr>
      </w:pPr>
      <w:r w:rsidRPr="00CA1239">
        <w:rPr>
          <w:rFonts w:cs="Arial"/>
          <w:b/>
          <w:bCs/>
        </w:rPr>
        <w:t>Key Information:</w:t>
      </w:r>
    </w:p>
    <w:p w:rsidR="00CA1239" w:rsidRPr="00CA1239" w:rsidRDefault="00CA1239" w:rsidP="00CA1239">
      <w:pPr>
        <w:autoSpaceDE w:val="0"/>
        <w:autoSpaceDN w:val="0"/>
        <w:adjustRightInd w:val="0"/>
        <w:spacing w:after="0" w:line="240" w:lineRule="auto"/>
        <w:rPr>
          <w:rFonts w:cs="Arial"/>
          <w:b/>
          <w:bCs/>
        </w:rPr>
      </w:pPr>
    </w:p>
    <w:tbl>
      <w:tblPr>
        <w:tblStyle w:val="TableGrid"/>
        <w:tblW w:w="0" w:type="auto"/>
        <w:tblLook w:val="04A0" w:firstRow="1" w:lastRow="0" w:firstColumn="1" w:lastColumn="0" w:noHBand="0" w:noVBand="1"/>
      </w:tblPr>
      <w:tblGrid>
        <w:gridCol w:w="4621"/>
        <w:gridCol w:w="4621"/>
      </w:tblGrid>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Title:</w:t>
            </w:r>
          </w:p>
        </w:tc>
        <w:tc>
          <w:tcPr>
            <w:tcW w:w="4621" w:type="dxa"/>
          </w:tcPr>
          <w:p w:rsidR="00CA1239" w:rsidRPr="00CA1239" w:rsidRDefault="00CA1239" w:rsidP="001D423D">
            <w:pPr>
              <w:autoSpaceDE w:val="0"/>
              <w:autoSpaceDN w:val="0"/>
              <w:adjustRightInd w:val="0"/>
              <w:rPr>
                <w:rFonts w:cs="Arial"/>
                <w:bCs/>
              </w:rPr>
            </w:pPr>
            <w:r w:rsidRPr="00CA1239">
              <w:rPr>
                <w:rFonts w:cs="Arial"/>
                <w:bCs/>
              </w:rPr>
              <w:t xml:space="preserve"> Procurement Strategy </w:t>
            </w:r>
            <w:r w:rsidR="00D16296">
              <w:rPr>
                <w:rFonts w:cs="Arial"/>
                <w:bCs/>
              </w:rPr>
              <w:t>202</w:t>
            </w:r>
            <w:r w:rsidR="0082006C">
              <w:rPr>
                <w:rFonts w:cs="Arial"/>
                <w:bCs/>
              </w:rPr>
              <w:t>1</w:t>
            </w:r>
            <w:r w:rsidR="0017605C">
              <w:rPr>
                <w:rFonts w:cs="Arial"/>
                <w:bCs/>
              </w:rPr>
              <w:t>–</w:t>
            </w:r>
            <w:r w:rsidRPr="00CA1239">
              <w:rPr>
                <w:rFonts w:cs="Arial"/>
                <w:bCs/>
              </w:rPr>
              <w:t>20</w:t>
            </w:r>
            <w:r w:rsidR="00D16296">
              <w:rPr>
                <w:rFonts w:cs="Arial"/>
                <w:bCs/>
              </w:rPr>
              <w:t>24</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Date Published/Issued:</w:t>
            </w:r>
          </w:p>
        </w:tc>
        <w:tc>
          <w:tcPr>
            <w:tcW w:w="4621" w:type="dxa"/>
          </w:tcPr>
          <w:p w:rsidR="00CA1239" w:rsidRPr="00CA1239" w:rsidRDefault="00CA1239" w:rsidP="00CA1239">
            <w:pPr>
              <w:autoSpaceDE w:val="0"/>
              <w:autoSpaceDN w:val="0"/>
              <w:adjustRightInd w:val="0"/>
              <w:rPr>
                <w:rFonts w:cs="Arial"/>
                <w:bCs/>
              </w:rPr>
            </w:pP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Date Effective From:</w:t>
            </w:r>
          </w:p>
        </w:tc>
        <w:tc>
          <w:tcPr>
            <w:tcW w:w="4621" w:type="dxa"/>
          </w:tcPr>
          <w:p w:rsidR="00CA1239" w:rsidRPr="00CA1239" w:rsidRDefault="00CA1239" w:rsidP="00CA1239">
            <w:pPr>
              <w:autoSpaceDE w:val="0"/>
              <w:autoSpaceDN w:val="0"/>
              <w:adjustRightInd w:val="0"/>
              <w:rPr>
                <w:rFonts w:cs="Arial"/>
                <w:bCs/>
              </w:rPr>
            </w:pP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Version/Issue Number:</w:t>
            </w:r>
          </w:p>
        </w:tc>
        <w:tc>
          <w:tcPr>
            <w:tcW w:w="4621" w:type="dxa"/>
          </w:tcPr>
          <w:p w:rsidR="0017605C" w:rsidRPr="00CA1239" w:rsidRDefault="00CA1239" w:rsidP="00344FA6">
            <w:pPr>
              <w:autoSpaceDE w:val="0"/>
              <w:autoSpaceDN w:val="0"/>
              <w:adjustRightInd w:val="0"/>
              <w:rPr>
                <w:rFonts w:cs="Arial"/>
                <w:bCs/>
              </w:rPr>
            </w:pPr>
            <w:r w:rsidRPr="00CA1239">
              <w:rPr>
                <w:rFonts w:cs="Arial"/>
                <w:bCs/>
              </w:rPr>
              <w:t>0.</w:t>
            </w:r>
            <w:r>
              <w:rPr>
                <w:rFonts w:cs="Arial"/>
                <w:bCs/>
              </w:rPr>
              <w:t>0</w:t>
            </w:r>
            <w:r w:rsidR="0017605C">
              <w:rPr>
                <w:rFonts w:cs="Arial"/>
                <w:bCs/>
              </w:rPr>
              <w:t>1</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Document Type:</w:t>
            </w:r>
          </w:p>
        </w:tc>
        <w:tc>
          <w:tcPr>
            <w:tcW w:w="4621" w:type="dxa"/>
          </w:tcPr>
          <w:p w:rsidR="00CA1239" w:rsidRPr="00CA1239" w:rsidRDefault="00CA1239" w:rsidP="00CA1239">
            <w:pPr>
              <w:autoSpaceDE w:val="0"/>
              <w:autoSpaceDN w:val="0"/>
              <w:adjustRightInd w:val="0"/>
              <w:rPr>
                <w:rFonts w:cs="Arial"/>
                <w:bCs/>
              </w:rPr>
            </w:pPr>
            <w:r w:rsidRPr="00CA1239">
              <w:rPr>
                <w:rFonts w:cs="Arial"/>
                <w:bCs/>
              </w:rPr>
              <w:t>Strategy</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Document status:</w:t>
            </w:r>
          </w:p>
        </w:tc>
        <w:tc>
          <w:tcPr>
            <w:tcW w:w="4621" w:type="dxa"/>
          </w:tcPr>
          <w:p w:rsidR="00CA1239" w:rsidRPr="00CA1239" w:rsidRDefault="00D16296" w:rsidP="00CA1239">
            <w:pPr>
              <w:autoSpaceDE w:val="0"/>
              <w:autoSpaceDN w:val="0"/>
              <w:adjustRightInd w:val="0"/>
              <w:rPr>
                <w:rFonts w:cs="Arial"/>
                <w:bCs/>
              </w:rPr>
            </w:pPr>
            <w:r>
              <w:rPr>
                <w:rFonts w:cs="Arial"/>
                <w:bCs/>
              </w:rPr>
              <w:t>Draft</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Author:</w:t>
            </w:r>
          </w:p>
        </w:tc>
        <w:tc>
          <w:tcPr>
            <w:tcW w:w="4621" w:type="dxa"/>
          </w:tcPr>
          <w:p w:rsidR="00CA1239" w:rsidRPr="00CA1239" w:rsidRDefault="00D16296" w:rsidP="00CA1239">
            <w:pPr>
              <w:autoSpaceDE w:val="0"/>
              <w:autoSpaceDN w:val="0"/>
              <w:adjustRightInd w:val="0"/>
              <w:rPr>
                <w:rFonts w:cs="Arial"/>
                <w:bCs/>
              </w:rPr>
            </w:pPr>
            <w:r>
              <w:rPr>
                <w:rFonts w:cs="Arial"/>
                <w:bCs/>
              </w:rPr>
              <w:t>Angela Smith</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Owner:</w:t>
            </w:r>
          </w:p>
        </w:tc>
        <w:tc>
          <w:tcPr>
            <w:tcW w:w="4621" w:type="dxa"/>
          </w:tcPr>
          <w:p w:rsidR="00CA1239" w:rsidRPr="00CA1239" w:rsidRDefault="00CA1239" w:rsidP="00CA1239">
            <w:pPr>
              <w:autoSpaceDE w:val="0"/>
              <w:autoSpaceDN w:val="0"/>
              <w:adjustRightInd w:val="0"/>
              <w:rPr>
                <w:rFonts w:cs="Arial"/>
                <w:bCs/>
              </w:rPr>
            </w:pPr>
            <w:r w:rsidRPr="00CA1239">
              <w:rPr>
                <w:rFonts w:cs="Arial"/>
                <w:bCs/>
              </w:rPr>
              <w:t>Procurement</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Approver</w:t>
            </w:r>
            <w:r w:rsidR="00515CBA">
              <w:rPr>
                <w:rFonts w:cs="Arial"/>
                <w:b/>
                <w:bCs/>
              </w:rPr>
              <w:t>s</w:t>
            </w:r>
            <w:r w:rsidRPr="00CA1239">
              <w:rPr>
                <w:rFonts w:cs="Arial"/>
                <w:b/>
                <w:bCs/>
              </w:rPr>
              <w:t>:</w:t>
            </w:r>
          </w:p>
        </w:tc>
        <w:tc>
          <w:tcPr>
            <w:tcW w:w="4621" w:type="dxa"/>
          </w:tcPr>
          <w:p w:rsidR="00CA1239" w:rsidRPr="00CA1239" w:rsidRDefault="00D16296" w:rsidP="009442AE">
            <w:pPr>
              <w:autoSpaceDE w:val="0"/>
              <w:autoSpaceDN w:val="0"/>
              <w:adjustRightInd w:val="0"/>
              <w:rPr>
                <w:rFonts w:cs="Arial"/>
                <w:bCs/>
              </w:rPr>
            </w:pPr>
            <w:r>
              <w:rPr>
                <w:rFonts w:cs="Arial"/>
                <w:bCs/>
              </w:rPr>
              <w:t>NHS Golden Jubilee</w:t>
            </w:r>
            <w:r w:rsidR="00C13585">
              <w:rPr>
                <w:rFonts w:cs="Arial"/>
                <w:bCs/>
              </w:rPr>
              <w:t xml:space="preserve"> (Senior Leadership Group &amp; Audit/Risk Committee)</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Contact:</w:t>
            </w:r>
          </w:p>
        </w:tc>
        <w:tc>
          <w:tcPr>
            <w:tcW w:w="4621" w:type="dxa"/>
          </w:tcPr>
          <w:p w:rsidR="00CA1239" w:rsidRPr="00CA1239" w:rsidRDefault="00D16296" w:rsidP="00CA1239">
            <w:pPr>
              <w:autoSpaceDE w:val="0"/>
              <w:autoSpaceDN w:val="0"/>
              <w:adjustRightInd w:val="0"/>
              <w:rPr>
                <w:rFonts w:cs="Arial"/>
                <w:bCs/>
              </w:rPr>
            </w:pPr>
            <w:r>
              <w:rPr>
                <w:rFonts w:cs="Arial"/>
                <w:bCs/>
              </w:rPr>
              <w:t>Angela Smith</w:t>
            </w:r>
            <w:r w:rsidR="004E1D9B">
              <w:rPr>
                <w:rFonts w:cs="Arial"/>
                <w:bCs/>
              </w:rPr>
              <w:t xml:space="preserve"> (014</w:t>
            </w:r>
            <w:r w:rsidR="0097351C">
              <w:rPr>
                <w:rFonts w:cs="Arial"/>
                <w:bCs/>
              </w:rPr>
              <w:t>1 951 5062</w:t>
            </w:r>
            <w:r w:rsidR="00CA1239" w:rsidRPr="00CA1239">
              <w:rPr>
                <w:rFonts w:cs="Arial"/>
                <w:bCs/>
              </w:rPr>
              <w:t>)</w:t>
            </w:r>
          </w:p>
        </w:tc>
      </w:tr>
      <w:tr w:rsidR="00CA1239" w:rsidRPr="00CA1239" w:rsidTr="00CA1239">
        <w:tc>
          <w:tcPr>
            <w:tcW w:w="4621" w:type="dxa"/>
          </w:tcPr>
          <w:p w:rsidR="00CA1239" w:rsidRPr="00CA1239" w:rsidRDefault="00CA1239" w:rsidP="00CA1239">
            <w:pPr>
              <w:autoSpaceDE w:val="0"/>
              <w:autoSpaceDN w:val="0"/>
              <w:adjustRightInd w:val="0"/>
              <w:rPr>
                <w:rFonts w:cs="Arial"/>
                <w:b/>
                <w:bCs/>
              </w:rPr>
            </w:pPr>
            <w:r w:rsidRPr="00CA1239">
              <w:rPr>
                <w:rFonts w:cs="Arial"/>
                <w:b/>
                <w:bCs/>
              </w:rPr>
              <w:t>File Location:</w:t>
            </w:r>
          </w:p>
        </w:tc>
        <w:tc>
          <w:tcPr>
            <w:tcW w:w="4621" w:type="dxa"/>
          </w:tcPr>
          <w:p w:rsidR="00CA1239" w:rsidRPr="00CA1239" w:rsidRDefault="0097351C" w:rsidP="00CA1239">
            <w:pPr>
              <w:autoSpaceDE w:val="0"/>
              <w:autoSpaceDN w:val="0"/>
              <w:adjustRightInd w:val="0"/>
              <w:rPr>
                <w:rFonts w:cs="Arial"/>
                <w:bCs/>
              </w:rPr>
            </w:pPr>
            <w:r>
              <w:rPr>
                <w:rFonts w:cs="Arial"/>
                <w:bCs/>
              </w:rPr>
              <w:t xml:space="preserve">Materials </w:t>
            </w:r>
            <w:r w:rsidR="00CA1239" w:rsidRPr="00CA1239">
              <w:rPr>
                <w:rFonts w:cs="Arial"/>
                <w:bCs/>
              </w:rPr>
              <w:t>drive</w:t>
            </w:r>
          </w:p>
        </w:tc>
      </w:tr>
    </w:tbl>
    <w:p w:rsidR="00CA1239" w:rsidRPr="00CA1239" w:rsidRDefault="00CA1239" w:rsidP="00CA1239">
      <w:pPr>
        <w:autoSpaceDE w:val="0"/>
        <w:autoSpaceDN w:val="0"/>
        <w:adjustRightInd w:val="0"/>
        <w:spacing w:after="0" w:line="240" w:lineRule="auto"/>
        <w:rPr>
          <w:rFonts w:cs="Arial"/>
          <w:b/>
          <w:bCs/>
        </w:rPr>
      </w:pPr>
    </w:p>
    <w:p w:rsidR="00CA1239" w:rsidRPr="00CA1239" w:rsidRDefault="00CA1239" w:rsidP="00CA1239">
      <w:pPr>
        <w:autoSpaceDE w:val="0"/>
        <w:autoSpaceDN w:val="0"/>
        <w:adjustRightInd w:val="0"/>
        <w:spacing w:after="0" w:line="240" w:lineRule="auto"/>
        <w:rPr>
          <w:rFonts w:cs="Arial"/>
          <w:b/>
          <w:bCs/>
        </w:rPr>
      </w:pPr>
      <w:r w:rsidRPr="00CA1239">
        <w:rPr>
          <w:rFonts w:cs="Arial"/>
          <w:b/>
          <w:bCs/>
        </w:rPr>
        <w:t>Revision History:</w:t>
      </w:r>
    </w:p>
    <w:p w:rsidR="00CA1239" w:rsidRPr="00CA1239" w:rsidRDefault="00CA1239" w:rsidP="00CA1239">
      <w:pPr>
        <w:autoSpaceDE w:val="0"/>
        <w:autoSpaceDN w:val="0"/>
        <w:adjustRightInd w:val="0"/>
        <w:spacing w:after="0" w:line="240" w:lineRule="auto"/>
        <w:rPr>
          <w:rFonts w:cs="Arial"/>
          <w:b/>
          <w:bCs/>
        </w:rPr>
      </w:pPr>
    </w:p>
    <w:tbl>
      <w:tblPr>
        <w:tblStyle w:val="TableGrid"/>
        <w:tblW w:w="0" w:type="auto"/>
        <w:tblLook w:val="04A0" w:firstRow="1" w:lastRow="0" w:firstColumn="1" w:lastColumn="0" w:noHBand="0" w:noVBand="1"/>
      </w:tblPr>
      <w:tblGrid>
        <w:gridCol w:w="1383"/>
        <w:gridCol w:w="1278"/>
        <w:gridCol w:w="3543"/>
        <w:gridCol w:w="1417"/>
        <w:gridCol w:w="1621"/>
      </w:tblGrid>
      <w:tr w:rsidR="00CA1239" w:rsidRPr="00CA1239" w:rsidTr="00CA1239">
        <w:tc>
          <w:tcPr>
            <w:tcW w:w="1384" w:type="dxa"/>
          </w:tcPr>
          <w:p w:rsidR="00CA1239" w:rsidRPr="00CA1239" w:rsidRDefault="00CA1239" w:rsidP="00CA1239">
            <w:pPr>
              <w:autoSpaceDE w:val="0"/>
              <w:autoSpaceDN w:val="0"/>
              <w:adjustRightInd w:val="0"/>
              <w:rPr>
                <w:rFonts w:cs="Arial"/>
                <w:b/>
                <w:bCs/>
              </w:rPr>
            </w:pPr>
            <w:r w:rsidRPr="00CA1239">
              <w:rPr>
                <w:rFonts w:cs="Arial"/>
                <w:b/>
                <w:bCs/>
              </w:rPr>
              <w:t>Version:</w:t>
            </w:r>
          </w:p>
        </w:tc>
        <w:tc>
          <w:tcPr>
            <w:tcW w:w="1276" w:type="dxa"/>
          </w:tcPr>
          <w:p w:rsidR="00CA1239" w:rsidRPr="00CA1239" w:rsidRDefault="00CA1239" w:rsidP="00CA1239">
            <w:pPr>
              <w:autoSpaceDE w:val="0"/>
              <w:autoSpaceDN w:val="0"/>
              <w:adjustRightInd w:val="0"/>
              <w:rPr>
                <w:rFonts w:cs="Arial"/>
                <w:b/>
                <w:bCs/>
              </w:rPr>
            </w:pPr>
            <w:r w:rsidRPr="00CA1239">
              <w:rPr>
                <w:rFonts w:cs="Arial"/>
                <w:b/>
                <w:bCs/>
              </w:rPr>
              <w:t>Date:</w:t>
            </w:r>
          </w:p>
        </w:tc>
        <w:tc>
          <w:tcPr>
            <w:tcW w:w="3544" w:type="dxa"/>
          </w:tcPr>
          <w:p w:rsidR="00CA1239" w:rsidRPr="00CA1239" w:rsidRDefault="00CA1239" w:rsidP="00CA1239">
            <w:pPr>
              <w:autoSpaceDE w:val="0"/>
              <w:autoSpaceDN w:val="0"/>
              <w:adjustRightInd w:val="0"/>
              <w:rPr>
                <w:rFonts w:cs="Arial"/>
                <w:b/>
                <w:bCs/>
              </w:rPr>
            </w:pPr>
            <w:r w:rsidRPr="00CA1239">
              <w:rPr>
                <w:rFonts w:cs="Arial"/>
                <w:b/>
                <w:bCs/>
              </w:rPr>
              <w:t>Summary of Changes:</w:t>
            </w:r>
          </w:p>
        </w:tc>
        <w:tc>
          <w:tcPr>
            <w:tcW w:w="1417" w:type="dxa"/>
          </w:tcPr>
          <w:p w:rsidR="00CA1239" w:rsidRPr="00CA1239" w:rsidRDefault="00CA1239" w:rsidP="00CA1239">
            <w:pPr>
              <w:autoSpaceDE w:val="0"/>
              <w:autoSpaceDN w:val="0"/>
              <w:adjustRightInd w:val="0"/>
              <w:rPr>
                <w:rFonts w:cs="Arial"/>
                <w:b/>
                <w:bCs/>
              </w:rPr>
            </w:pPr>
            <w:r w:rsidRPr="00CA1239">
              <w:rPr>
                <w:rFonts w:cs="Arial"/>
                <w:b/>
                <w:bCs/>
              </w:rPr>
              <w:t>Name:</w:t>
            </w:r>
          </w:p>
        </w:tc>
        <w:tc>
          <w:tcPr>
            <w:tcW w:w="1621" w:type="dxa"/>
          </w:tcPr>
          <w:p w:rsidR="00CA1239" w:rsidRPr="00CA1239" w:rsidRDefault="00CA1239" w:rsidP="00CA1239">
            <w:pPr>
              <w:autoSpaceDE w:val="0"/>
              <w:autoSpaceDN w:val="0"/>
              <w:adjustRightInd w:val="0"/>
              <w:rPr>
                <w:rFonts w:cs="Arial"/>
                <w:b/>
                <w:bCs/>
              </w:rPr>
            </w:pPr>
            <w:r w:rsidRPr="00CA1239">
              <w:rPr>
                <w:rFonts w:cs="Arial"/>
                <w:b/>
                <w:bCs/>
              </w:rPr>
              <w:t>Changes</w:t>
            </w:r>
          </w:p>
          <w:p w:rsidR="00CA1239" w:rsidRPr="00CA1239" w:rsidRDefault="00CA1239" w:rsidP="00CA1239">
            <w:pPr>
              <w:autoSpaceDE w:val="0"/>
              <w:autoSpaceDN w:val="0"/>
              <w:adjustRightInd w:val="0"/>
              <w:rPr>
                <w:rFonts w:cs="Arial"/>
                <w:b/>
                <w:bCs/>
              </w:rPr>
            </w:pPr>
            <w:r w:rsidRPr="00CA1239">
              <w:rPr>
                <w:rFonts w:cs="Arial"/>
                <w:b/>
                <w:bCs/>
              </w:rPr>
              <w:t>Marked:</w:t>
            </w:r>
          </w:p>
          <w:p w:rsidR="00CA1239" w:rsidRPr="00CA1239" w:rsidRDefault="00CA1239" w:rsidP="00CA1239">
            <w:pPr>
              <w:autoSpaceDE w:val="0"/>
              <w:autoSpaceDN w:val="0"/>
              <w:adjustRightInd w:val="0"/>
              <w:rPr>
                <w:rFonts w:cs="Arial"/>
                <w:b/>
                <w:bCs/>
              </w:rPr>
            </w:pPr>
          </w:p>
        </w:tc>
      </w:tr>
      <w:tr w:rsidR="00CA1239" w:rsidRPr="00CA1239" w:rsidTr="00CA1239">
        <w:tc>
          <w:tcPr>
            <w:tcW w:w="1384" w:type="dxa"/>
          </w:tcPr>
          <w:p w:rsidR="00CA1239" w:rsidRPr="00CA1239" w:rsidRDefault="00CA1239" w:rsidP="00CA1239">
            <w:pPr>
              <w:autoSpaceDE w:val="0"/>
              <w:autoSpaceDN w:val="0"/>
              <w:adjustRightInd w:val="0"/>
              <w:rPr>
                <w:rFonts w:cs="Arial"/>
                <w:bCs/>
              </w:rPr>
            </w:pPr>
            <w:r w:rsidRPr="00CA1239">
              <w:rPr>
                <w:rFonts w:cs="Arial"/>
                <w:bCs/>
              </w:rPr>
              <w:t>0.01</w:t>
            </w:r>
          </w:p>
        </w:tc>
        <w:tc>
          <w:tcPr>
            <w:tcW w:w="1276" w:type="dxa"/>
          </w:tcPr>
          <w:p w:rsidR="00DD4BC6" w:rsidRDefault="00D16296" w:rsidP="00DD4BC6">
            <w:pPr>
              <w:autoSpaceDE w:val="0"/>
              <w:autoSpaceDN w:val="0"/>
              <w:adjustRightInd w:val="0"/>
              <w:rPr>
                <w:rFonts w:cs="Arial"/>
                <w:bCs/>
              </w:rPr>
            </w:pPr>
            <w:r>
              <w:rPr>
                <w:rFonts w:cs="Arial"/>
                <w:bCs/>
              </w:rPr>
              <w:t>29/10/2020</w:t>
            </w:r>
          </w:p>
        </w:tc>
        <w:tc>
          <w:tcPr>
            <w:tcW w:w="3544" w:type="dxa"/>
          </w:tcPr>
          <w:p w:rsidR="00CA1239" w:rsidRPr="00CA1239" w:rsidRDefault="00CA1239" w:rsidP="00CA1239">
            <w:pPr>
              <w:autoSpaceDE w:val="0"/>
              <w:autoSpaceDN w:val="0"/>
              <w:adjustRightInd w:val="0"/>
              <w:rPr>
                <w:rFonts w:cs="Arial"/>
                <w:bCs/>
              </w:rPr>
            </w:pPr>
            <w:r w:rsidRPr="00CA1239">
              <w:rPr>
                <w:rFonts w:cs="Arial"/>
                <w:bCs/>
              </w:rPr>
              <w:t>Initial draft</w:t>
            </w:r>
          </w:p>
        </w:tc>
        <w:tc>
          <w:tcPr>
            <w:tcW w:w="1417" w:type="dxa"/>
          </w:tcPr>
          <w:p w:rsidR="00CA1239" w:rsidRPr="00CA1239" w:rsidRDefault="00D16296" w:rsidP="00CA1239">
            <w:pPr>
              <w:autoSpaceDE w:val="0"/>
              <w:autoSpaceDN w:val="0"/>
              <w:adjustRightInd w:val="0"/>
              <w:rPr>
                <w:rFonts w:cs="Arial"/>
                <w:bCs/>
              </w:rPr>
            </w:pPr>
            <w:r>
              <w:rPr>
                <w:rFonts w:cs="Arial"/>
                <w:bCs/>
              </w:rPr>
              <w:t>AS</w:t>
            </w:r>
          </w:p>
        </w:tc>
        <w:tc>
          <w:tcPr>
            <w:tcW w:w="1621" w:type="dxa"/>
          </w:tcPr>
          <w:p w:rsidR="00CA1239" w:rsidRPr="00CA1239" w:rsidRDefault="00A306E0" w:rsidP="00CA1239">
            <w:pPr>
              <w:autoSpaceDE w:val="0"/>
              <w:autoSpaceDN w:val="0"/>
              <w:adjustRightInd w:val="0"/>
              <w:rPr>
                <w:rFonts w:cs="Arial"/>
                <w:bCs/>
              </w:rPr>
            </w:pPr>
            <w:r>
              <w:rPr>
                <w:rFonts w:cs="Arial"/>
                <w:bCs/>
              </w:rPr>
              <w:t>AS</w:t>
            </w:r>
          </w:p>
        </w:tc>
      </w:tr>
      <w:tr w:rsidR="00CA1239" w:rsidRPr="00CA1239" w:rsidTr="00CA1239">
        <w:tc>
          <w:tcPr>
            <w:tcW w:w="1384" w:type="dxa"/>
          </w:tcPr>
          <w:p w:rsidR="00CA1239" w:rsidRPr="00CA1239" w:rsidRDefault="00CA1239" w:rsidP="00CA1239">
            <w:pPr>
              <w:autoSpaceDE w:val="0"/>
              <w:autoSpaceDN w:val="0"/>
              <w:adjustRightInd w:val="0"/>
              <w:rPr>
                <w:rFonts w:cs="Arial"/>
                <w:bCs/>
              </w:rPr>
            </w:pPr>
          </w:p>
        </w:tc>
        <w:tc>
          <w:tcPr>
            <w:tcW w:w="1276" w:type="dxa"/>
          </w:tcPr>
          <w:p w:rsidR="00CA1239" w:rsidRPr="00CA1239" w:rsidRDefault="00CA1239" w:rsidP="0051240E">
            <w:pPr>
              <w:autoSpaceDE w:val="0"/>
              <w:autoSpaceDN w:val="0"/>
              <w:adjustRightInd w:val="0"/>
              <w:rPr>
                <w:rFonts w:cs="Arial"/>
                <w:bCs/>
              </w:rPr>
            </w:pPr>
          </w:p>
        </w:tc>
        <w:tc>
          <w:tcPr>
            <w:tcW w:w="3544" w:type="dxa"/>
          </w:tcPr>
          <w:p w:rsidR="00CA1239" w:rsidRPr="00CA1239" w:rsidRDefault="00CA1239" w:rsidP="00CA1239">
            <w:pPr>
              <w:autoSpaceDE w:val="0"/>
              <w:autoSpaceDN w:val="0"/>
              <w:adjustRightInd w:val="0"/>
              <w:rPr>
                <w:rFonts w:cs="Arial"/>
                <w:bCs/>
              </w:rPr>
            </w:pPr>
          </w:p>
        </w:tc>
        <w:tc>
          <w:tcPr>
            <w:tcW w:w="1417" w:type="dxa"/>
          </w:tcPr>
          <w:p w:rsidR="00CA1239" w:rsidRPr="00CA1239" w:rsidRDefault="00CA1239" w:rsidP="00CA1239">
            <w:pPr>
              <w:autoSpaceDE w:val="0"/>
              <w:autoSpaceDN w:val="0"/>
              <w:adjustRightInd w:val="0"/>
              <w:rPr>
                <w:rFonts w:cs="Arial"/>
                <w:bCs/>
              </w:rPr>
            </w:pPr>
          </w:p>
        </w:tc>
        <w:tc>
          <w:tcPr>
            <w:tcW w:w="1621" w:type="dxa"/>
          </w:tcPr>
          <w:p w:rsidR="00CA1239" w:rsidRPr="00CA1239" w:rsidRDefault="00CA1239" w:rsidP="00CA1239">
            <w:pPr>
              <w:autoSpaceDE w:val="0"/>
              <w:autoSpaceDN w:val="0"/>
              <w:adjustRightInd w:val="0"/>
              <w:rPr>
                <w:rFonts w:cs="Arial"/>
                <w:bCs/>
              </w:rPr>
            </w:pPr>
          </w:p>
        </w:tc>
      </w:tr>
      <w:tr w:rsidR="00CA1239" w:rsidRPr="00CA1239" w:rsidTr="00CA1239">
        <w:tc>
          <w:tcPr>
            <w:tcW w:w="1384" w:type="dxa"/>
          </w:tcPr>
          <w:p w:rsidR="00CA1239" w:rsidRPr="00CA1239" w:rsidRDefault="00CA1239" w:rsidP="00CA1239">
            <w:pPr>
              <w:autoSpaceDE w:val="0"/>
              <w:autoSpaceDN w:val="0"/>
              <w:adjustRightInd w:val="0"/>
              <w:rPr>
                <w:rFonts w:cs="Arial"/>
                <w:bCs/>
              </w:rPr>
            </w:pPr>
          </w:p>
        </w:tc>
        <w:tc>
          <w:tcPr>
            <w:tcW w:w="1276" w:type="dxa"/>
          </w:tcPr>
          <w:p w:rsidR="00CA1239" w:rsidRPr="00CA1239" w:rsidRDefault="00CA1239" w:rsidP="00CA1239">
            <w:pPr>
              <w:autoSpaceDE w:val="0"/>
              <w:autoSpaceDN w:val="0"/>
              <w:adjustRightInd w:val="0"/>
              <w:rPr>
                <w:rFonts w:cs="Arial"/>
                <w:bCs/>
              </w:rPr>
            </w:pPr>
          </w:p>
        </w:tc>
        <w:tc>
          <w:tcPr>
            <w:tcW w:w="3544" w:type="dxa"/>
          </w:tcPr>
          <w:p w:rsidR="00CA1239" w:rsidRPr="00CA1239" w:rsidRDefault="00CA1239" w:rsidP="00CA1239">
            <w:pPr>
              <w:autoSpaceDE w:val="0"/>
              <w:autoSpaceDN w:val="0"/>
              <w:adjustRightInd w:val="0"/>
              <w:rPr>
                <w:rFonts w:cs="Arial"/>
                <w:bCs/>
              </w:rPr>
            </w:pPr>
          </w:p>
        </w:tc>
        <w:tc>
          <w:tcPr>
            <w:tcW w:w="1417" w:type="dxa"/>
          </w:tcPr>
          <w:p w:rsidR="00CA1239" w:rsidRPr="00CA1239" w:rsidRDefault="00CA1239" w:rsidP="00CA1239">
            <w:pPr>
              <w:autoSpaceDE w:val="0"/>
              <w:autoSpaceDN w:val="0"/>
              <w:adjustRightInd w:val="0"/>
              <w:rPr>
                <w:rFonts w:cs="Arial"/>
                <w:bCs/>
              </w:rPr>
            </w:pPr>
          </w:p>
        </w:tc>
        <w:tc>
          <w:tcPr>
            <w:tcW w:w="1621" w:type="dxa"/>
          </w:tcPr>
          <w:p w:rsidR="00CA1239" w:rsidRPr="00CA1239" w:rsidRDefault="00CA1239" w:rsidP="00CA1239">
            <w:pPr>
              <w:autoSpaceDE w:val="0"/>
              <w:autoSpaceDN w:val="0"/>
              <w:adjustRightInd w:val="0"/>
              <w:rPr>
                <w:rFonts w:cs="Arial"/>
                <w:bCs/>
              </w:rPr>
            </w:pPr>
          </w:p>
        </w:tc>
      </w:tr>
      <w:tr w:rsidR="003D19A5" w:rsidRPr="00CA1239" w:rsidTr="00CA1239">
        <w:tc>
          <w:tcPr>
            <w:tcW w:w="1384" w:type="dxa"/>
          </w:tcPr>
          <w:p w:rsidR="003D19A5" w:rsidRDefault="003D19A5" w:rsidP="00CA1239">
            <w:pPr>
              <w:autoSpaceDE w:val="0"/>
              <w:autoSpaceDN w:val="0"/>
              <w:adjustRightInd w:val="0"/>
              <w:rPr>
                <w:rFonts w:cs="Arial"/>
                <w:bCs/>
              </w:rPr>
            </w:pPr>
          </w:p>
        </w:tc>
        <w:tc>
          <w:tcPr>
            <w:tcW w:w="1276" w:type="dxa"/>
          </w:tcPr>
          <w:p w:rsidR="003D19A5" w:rsidRDefault="003D19A5" w:rsidP="00CF6B62">
            <w:pPr>
              <w:autoSpaceDE w:val="0"/>
              <w:autoSpaceDN w:val="0"/>
              <w:adjustRightInd w:val="0"/>
              <w:rPr>
                <w:rFonts w:cs="Arial"/>
                <w:bCs/>
              </w:rPr>
            </w:pPr>
          </w:p>
        </w:tc>
        <w:tc>
          <w:tcPr>
            <w:tcW w:w="3544" w:type="dxa"/>
          </w:tcPr>
          <w:p w:rsidR="003D19A5" w:rsidRDefault="003D19A5" w:rsidP="00CA1239">
            <w:pPr>
              <w:autoSpaceDE w:val="0"/>
              <w:autoSpaceDN w:val="0"/>
              <w:adjustRightInd w:val="0"/>
              <w:rPr>
                <w:rFonts w:cs="Arial"/>
                <w:bCs/>
              </w:rPr>
            </w:pPr>
          </w:p>
        </w:tc>
        <w:tc>
          <w:tcPr>
            <w:tcW w:w="1417" w:type="dxa"/>
          </w:tcPr>
          <w:p w:rsidR="003D19A5" w:rsidRDefault="003D19A5" w:rsidP="00CA1239">
            <w:pPr>
              <w:autoSpaceDE w:val="0"/>
              <w:autoSpaceDN w:val="0"/>
              <w:adjustRightInd w:val="0"/>
              <w:rPr>
                <w:rFonts w:cs="Arial"/>
                <w:bCs/>
              </w:rPr>
            </w:pPr>
          </w:p>
        </w:tc>
        <w:tc>
          <w:tcPr>
            <w:tcW w:w="1621" w:type="dxa"/>
          </w:tcPr>
          <w:p w:rsidR="003D19A5" w:rsidRDefault="003D19A5" w:rsidP="00CA1239">
            <w:pPr>
              <w:autoSpaceDE w:val="0"/>
              <w:autoSpaceDN w:val="0"/>
              <w:adjustRightInd w:val="0"/>
              <w:rPr>
                <w:rFonts w:cs="Arial"/>
                <w:bCs/>
              </w:rPr>
            </w:pPr>
          </w:p>
        </w:tc>
      </w:tr>
      <w:tr w:rsidR="002D5E4B" w:rsidRPr="00CA1239" w:rsidTr="00CA1239">
        <w:tc>
          <w:tcPr>
            <w:tcW w:w="1384" w:type="dxa"/>
          </w:tcPr>
          <w:p w:rsidR="002D5E4B" w:rsidRDefault="002D5E4B" w:rsidP="00CA1239">
            <w:pPr>
              <w:autoSpaceDE w:val="0"/>
              <w:autoSpaceDN w:val="0"/>
              <w:adjustRightInd w:val="0"/>
              <w:rPr>
                <w:rFonts w:cs="Arial"/>
                <w:bCs/>
              </w:rPr>
            </w:pPr>
          </w:p>
        </w:tc>
        <w:tc>
          <w:tcPr>
            <w:tcW w:w="1276" w:type="dxa"/>
          </w:tcPr>
          <w:p w:rsidR="002D5E4B" w:rsidRDefault="002D5E4B" w:rsidP="00CF6B62">
            <w:pPr>
              <w:autoSpaceDE w:val="0"/>
              <w:autoSpaceDN w:val="0"/>
              <w:adjustRightInd w:val="0"/>
              <w:rPr>
                <w:rFonts w:cs="Arial"/>
                <w:bCs/>
              </w:rPr>
            </w:pPr>
          </w:p>
        </w:tc>
        <w:tc>
          <w:tcPr>
            <w:tcW w:w="3544" w:type="dxa"/>
          </w:tcPr>
          <w:p w:rsidR="002D5E4B" w:rsidRDefault="002D5E4B" w:rsidP="00CA1239">
            <w:pPr>
              <w:autoSpaceDE w:val="0"/>
              <w:autoSpaceDN w:val="0"/>
              <w:adjustRightInd w:val="0"/>
              <w:rPr>
                <w:rFonts w:cs="Arial"/>
                <w:bCs/>
              </w:rPr>
            </w:pPr>
          </w:p>
        </w:tc>
        <w:tc>
          <w:tcPr>
            <w:tcW w:w="1417" w:type="dxa"/>
          </w:tcPr>
          <w:p w:rsidR="002D5E4B" w:rsidRDefault="002D5E4B" w:rsidP="00CA1239">
            <w:pPr>
              <w:autoSpaceDE w:val="0"/>
              <w:autoSpaceDN w:val="0"/>
              <w:adjustRightInd w:val="0"/>
              <w:rPr>
                <w:rFonts w:cs="Arial"/>
                <w:bCs/>
              </w:rPr>
            </w:pPr>
          </w:p>
        </w:tc>
        <w:tc>
          <w:tcPr>
            <w:tcW w:w="1621" w:type="dxa"/>
          </w:tcPr>
          <w:p w:rsidR="002D5E4B" w:rsidRDefault="002D5E4B" w:rsidP="00CA1239">
            <w:pPr>
              <w:autoSpaceDE w:val="0"/>
              <w:autoSpaceDN w:val="0"/>
              <w:adjustRightInd w:val="0"/>
              <w:rPr>
                <w:rFonts w:cs="Arial"/>
                <w:bCs/>
              </w:rPr>
            </w:pPr>
          </w:p>
        </w:tc>
      </w:tr>
    </w:tbl>
    <w:p w:rsidR="00CA1239" w:rsidRPr="00CA1239" w:rsidRDefault="00CA1239" w:rsidP="00CA1239">
      <w:pPr>
        <w:autoSpaceDE w:val="0"/>
        <w:autoSpaceDN w:val="0"/>
        <w:adjustRightInd w:val="0"/>
        <w:spacing w:after="0" w:line="240" w:lineRule="auto"/>
        <w:rPr>
          <w:rFonts w:cs="Arial"/>
          <w:b/>
          <w:bCs/>
        </w:rPr>
      </w:pPr>
    </w:p>
    <w:p w:rsidR="00CA1239" w:rsidRPr="00CA1239" w:rsidRDefault="00CA1239" w:rsidP="00CA1239">
      <w:pPr>
        <w:rPr>
          <w:rFonts w:cs="Arial"/>
        </w:rPr>
      </w:pPr>
      <w:r w:rsidRPr="00CA1239">
        <w:rPr>
          <w:rFonts w:cs="Arial"/>
          <w:b/>
          <w:bCs/>
        </w:rPr>
        <w:t xml:space="preserve">Approvals: </w:t>
      </w:r>
      <w:r w:rsidRPr="00CA1239">
        <w:rPr>
          <w:rFonts w:cs="Arial"/>
        </w:rPr>
        <w:t>This document requires the following approvals.</w:t>
      </w:r>
    </w:p>
    <w:tbl>
      <w:tblPr>
        <w:tblStyle w:val="TableGrid"/>
        <w:tblW w:w="0" w:type="auto"/>
        <w:tblLook w:val="04A0" w:firstRow="1" w:lastRow="0" w:firstColumn="1" w:lastColumn="0" w:noHBand="0" w:noVBand="1"/>
      </w:tblPr>
      <w:tblGrid>
        <w:gridCol w:w="3080"/>
        <w:gridCol w:w="3081"/>
        <w:gridCol w:w="3081"/>
      </w:tblGrid>
      <w:tr w:rsidR="00CA1239" w:rsidRPr="00CA1239" w:rsidTr="00CA1239">
        <w:tc>
          <w:tcPr>
            <w:tcW w:w="3080" w:type="dxa"/>
          </w:tcPr>
          <w:p w:rsidR="00CA1239" w:rsidRPr="00CA1239" w:rsidRDefault="00CA1239" w:rsidP="00CA1239">
            <w:pPr>
              <w:autoSpaceDE w:val="0"/>
              <w:autoSpaceDN w:val="0"/>
              <w:adjustRightInd w:val="0"/>
              <w:rPr>
                <w:rFonts w:cs="Arial"/>
              </w:rPr>
            </w:pPr>
            <w:r w:rsidRPr="00CA1239">
              <w:rPr>
                <w:rFonts w:cs="Arial"/>
                <w:b/>
                <w:bCs/>
              </w:rPr>
              <w:t>Name:</w:t>
            </w:r>
          </w:p>
        </w:tc>
        <w:tc>
          <w:tcPr>
            <w:tcW w:w="3081" w:type="dxa"/>
          </w:tcPr>
          <w:p w:rsidR="00CA1239" w:rsidRPr="00CA1239" w:rsidRDefault="00CA1239" w:rsidP="00CA1239">
            <w:pPr>
              <w:autoSpaceDE w:val="0"/>
              <w:autoSpaceDN w:val="0"/>
              <w:adjustRightInd w:val="0"/>
              <w:rPr>
                <w:rFonts w:cs="Arial"/>
              </w:rPr>
            </w:pPr>
            <w:r w:rsidRPr="00CA1239">
              <w:rPr>
                <w:rFonts w:cs="Arial"/>
                <w:b/>
                <w:bCs/>
              </w:rPr>
              <w:t>Date Approved:</w:t>
            </w:r>
          </w:p>
        </w:tc>
        <w:tc>
          <w:tcPr>
            <w:tcW w:w="3081" w:type="dxa"/>
          </w:tcPr>
          <w:p w:rsidR="00CA1239" w:rsidRPr="00CA1239" w:rsidRDefault="00CA1239" w:rsidP="00CA1239">
            <w:pPr>
              <w:autoSpaceDE w:val="0"/>
              <w:autoSpaceDN w:val="0"/>
              <w:adjustRightInd w:val="0"/>
              <w:rPr>
                <w:rFonts w:cs="Arial"/>
              </w:rPr>
            </w:pPr>
            <w:r w:rsidRPr="00CA1239">
              <w:rPr>
                <w:rFonts w:cs="Arial"/>
                <w:b/>
                <w:bCs/>
              </w:rPr>
              <w:t>Version:</w:t>
            </w:r>
          </w:p>
        </w:tc>
      </w:tr>
      <w:tr w:rsidR="00CF6B62" w:rsidRPr="00CA1239" w:rsidTr="00CA1239">
        <w:tc>
          <w:tcPr>
            <w:tcW w:w="3080" w:type="dxa"/>
          </w:tcPr>
          <w:p w:rsidR="00CF6B62" w:rsidRPr="00CA1239" w:rsidRDefault="007F5CAA" w:rsidP="009B0830">
            <w:pPr>
              <w:autoSpaceDE w:val="0"/>
              <w:autoSpaceDN w:val="0"/>
              <w:adjustRightInd w:val="0"/>
              <w:rPr>
                <w:rFonts w:cs="Arial"/>
                <w:bCs/>
              </w:rPr>
            </w:pPr>
            <w:r>
              <w:rPr>
                <w:rFonts w:cs="Arial"/>
              </w:rPr>
              <w:t>Senior Leadership Group</w:t>
            </w:r>
          </w:p>
        </w:tc>
        <w:tc>
          <w:tcPr>
            <w:tcW w:w="3081" w:type="dxa"/>
          </w:tcPr>
          <w:p w:rsidR="00DD4BC6" w:rsidRDefault="00DD4BC6" w:rsidP="00DD4BC6">
            <w:pPr>
              <w:autoSpaceDE w:val="0"/>
              <w:autoSpaceDN w:val="0"/>
              <w:adjustRightInd w:val="0"/>
              <w:rPr>
                <w:rFonts w:cs="Arial"/>
              </w:rPr>
            </w:pPr>
          </w:p>
        </w:tc>
        <w:tc>
          <w:tcPr>
            <w:tcW w:w="3081" w:type="dxa"/>
          </w:tcPr>
          <w:p w:rsidR="00CF6B62" w:rsidRPr="00CA1239" w:rsidRDefault="00CF6B62" w:rsidP="00CA1239">
            <w:pPr>
              <w:autoSpaceDE w:val="0"/>
              <w:autoSpaceDN w:val="0"/>
              <w:adjustRightInd w:val="0"/>
              <w:rPr>
                <w:rFonts w:cs="Arial"/>
              </w:rPr>
            </w:pPr>
            <w:r>
              <w:rPr>
                <w:rFonts w:cs="Arial"/>
              </w:rPr>
              <w:t>0</w:t>
            </w:r>
          </w:p>
        </w:tc>
      </w:tr>
      <w:tr w:rsidR="007F5CAA" w:rsidRPr="00CA1239" w:rsidTr="00CA1239">
        <w:tc>
          <w:tcPr>
            <w:tcW w:w="3080" w:type="dxa"/>
          </w:tcPr>
          <w:p w:rsidR="007F5CAA" w:rsidRDefault="007F5CAA" w:rsidP="009B0830">
            <w:pPr>
              <w:autoSpaceDE w:val="0"/>
              <w:autoSpaceDN w:val="0"/>
              <w:adjustRightInd w:val="0"/>
              <w:rPr>
                <w:rFonts w:cs="Arial"/>
              </w:rPr>
            </w:pPr>
            <w:r>
              <w:rPr>
                <w:rFonts w:cs="Arial"/>
              </w:rPr>
              <w:t>Audit &amp; Risk Committee</w:t>
            </w:r>
          </w:p>
        </w:tc>
        <w:tc>
          <w:tcPr>
            <w:tcW w:w="3081" w:type="dxa"/>
          </w:tcPr>
          <w:p w:rsidR="007F5CAA" w:rsidRDefault="007F5CAA" w:rsidP="00DD4BC6">
            <w:pPr>
              <w:autoSpaceDE w:val="0"/>
              <w:autoSpaceDN w:val="0"/>
              <w:adjustRightInd w:val="0"/>
              <w:rPr>
                <w:rFonts w:cs="Arial"/>
              </w:rPr>
            </w:pPr>
            <w:r>
              <w:rPr>
                <w:rFonts w:cs="Arial"/>
              </w:rPr>
              <w:t>20/07/2021</w:t>
            </w:r>
          </w:p>
        </w:tc>
        <w:tc>
          <w:tcPr>
            <w:tcW w:w="3081" w:type="dxa"/>
          </w:tcPr>
          <w:p w:rsidR="007F5CAA" w:rsidRDefault="007F5CAA" w:rsidP="00CA1239">
            <w:pPr>
              <w:autoSpaceDE w:val="0"/>
              <w:autoSpaceDN w:val="0"/>
              <w:adjustRightInd w:val="0"/>
              <w:rPr>
                <w:rFonts w:cs="Arial"/>
              </w:rPr>
            </w:pPr>
          </w:p>
        </w:tc>
      </w:tr>
    </w:tbl>
    <w:p w:rsidR="002D5E4B" w:rsidRDefault="002D5E4B">
      <w:pPr>
        <w:rPr>
          <w:rFonts w:cs="Arial"/>
          <w:b/>
          <w:bCs/>
        </w:rPr>
      </w:pPr>
      <w:r>
        <w:rPr>
          <w:rFonts w:cs="Arial"/>
          <w:b/>
          <w:bCs/>
        </w:rPr>
        <w:br w:type="page"/>
      </w:r>
    </w:p>
    <w:p w:rsidR="00CA1239" w:rsidRPr="00CA1239" w:rsidRDefault="00CA1239" w:rsidP="00CA1239">
      <w:pPr>
        <w:autoSpaceDE w:val="0"/>
        <w:autoSpaceDN w:val="0"/>
        <w:adjustRightInd w:val="0"/>
        <w:spacing w:after="0" w:line="240" w:lineRule="auto"/>
        <w:rPr>
          <w:rFonts w:cs="Arial"/>
        </w:rPr>
      </w:pPr>
      <w:r w:rsidRPr="00CA1239">
        <w:rPr>
          <w:rFonts w:cs="Arial"/>
          <w:b/>
          <w:bCs/>
        </w:rPr>
        <w:lastRenderedPageBreak/>
        <w:t xml:space="preserve">Distribution: </w:t>
      </w:r>
      <w:r w:rsidRPr="00CA1239">
        <w:rPr>
          <w:rFonts w:cs="Arial"/>
        </w:rPr>
        <w:t>This document has been distributed to</w:t>
      </w:r>
    </w:p>
    <w:p w:rsidR="00CA1239" w:rsidRPr="00CA1239" w:rsidRDefault="00CA1239" w:rsidP="00CA1239">
      <w:pPr>
        <w:autoSpaceDE w:val="0"/>
        <w:autoSpaceDN w:val="0"/>
        <w:adjustRightInd w:val="0"/>
        <w:spacing w:after="0" w:line="240" w:lineRule="auto"/>
        <w:rPr>
          <w:rFonts w:cs="Arial"/>
        </w:rPr>
      </w:pPr>
    </w:p>
    <w:tbl>
      <w:tblPr>
        <w:tblStyle w:val="TableGrid"/>
        <w:tblW w:w="0" w:type="auto"/>
        <w:tblLook w:val="04A0" w:firstRow="1" w:lastRow="0" w:firstColumn="1" w:lastColumn="0" w:noHBand="0" w:noVBand="1"/>
      </w:tblPr>
      <w:tblGrid>
        <w:gridCol w:w="3080"/>
        <w:gridCol w:w="3081"/>
        <w:gridCol w:w="3081"/>
      </w:tblGrid>
      <w:tr w:rsidR="00CA1239" w:rsidRPr="00CA1239" w:rsidTr="00CA1239">
        <w:tc>
          <w:tcPr>
            <w:tcW w:w="3080" w:type="dxa"/>
          </w:tcPr>
          <w:p w:rsidR="00CA1239" w:rsidRPr="00CA1239" w:rsidRDefault="00CA1239" w:rsidP="00CA1239">
            <w:pPr>
              <w:autoSpaceDE w:val="0"/>
              <w:autoSpaceDN w:val="0"/>
              <w:adjustRightInd w:val="0"/>
              <w:rPr>
                <w:rFonts w:cs="Arial"/>
              </w:rPr>
            </w:pPr>
            <w:r w:rsidRPr="00CA1239">
              <w:rPr>
                <w:rFonts w:cs="Arial"/>
                <w:b/>
                <w:bCs/>
              </w:rPr>
              <w:t>Name:</w:t>
            </w:r>
          </w:p>
        </w:tc>
        <w:tc>
          <w:tcPr>
            <w:tcW w:w="3081" w:type="dxa"/>
          </w:tcPr>
          <w:p w:rsidR="00CA1239" w:rsidRPr="00CA1239" w:rsidRDefault="00CA1239" w:rsidP="00CA1239">
            <w:pPr>
              <w:autoSpaceDE w:val="0"/>
              <w:autoSpaceDN w:val="0"/>
              <w:adjustRightInd w:val="0"/>
              <w:rPr>
                <w:rFonts w:cs="Arial"/>
              </w:rPr>
            </w:pPr>
            <w:r w:rsidRPr="00CA1239">
              <w:rPr>
                <w:rFonts w:cs="Arial"/>
                <w:b/>
                <w:bCs/>
              </w:rPr>
              <w:t>Date of Issue:</w:t>
            </w:r>
          </w:p>
        </w:tc>
        <w:tc>
          <w:tcPr>
            <w:tcW w:w="3081" w:type="dxa"/>
          </w:tcPr>
          <w:p w:rsidR="00CA1239" w:rsidRPr="00CA1239" w:rsidRDefault="00CA1239" w:rsidP="00CA1239">
            <w:pPr>
              <w:autoSpaceDE w:val="0"/>
              <w:autoSpaceDN w:val="0"/>
              <w:adjustRightInd w:val="0"/>
              <w:rPr>
                <w:rFonts w:cs="Arial"/>
              </w:rPr>
            </w:pPr>
            <w:r w:rsidRPr="00CA1239">
              <w:rPr>
                <w:rFonts w:cs="Arial"/>
                <w:b/>
                <w:bCs/>
              </w:rPr>
              <w:t>Version:</w:t>
            </w:r>
          </w:p>
        </w:tc>
      </w:tr>
      <w:tr w:rsidR="00CA1239" w:rsidRPr="00CA1239" w:rsidTr="00CA1239">
        <w:tc>
          <w:tcPr>
            <w:tcW w:w="3080" w:type="dxa"/>
          </w:tcPr>
          <w:p w:rsidR="00CA1239" w:rsidRPr="00CA1239" w:rsidRDefault="00CA1239" w:rsidP="00CA1239">
            <w:pPr>
              <w:autoSpaceDE w:val="0"/>
              <w:autoSpaceDN w:val="0"/>
              <w:adjustRightInd w:val="0"/>
              <w:rPr>
                <w:rFonts w:cs="Arial"/>
              </w:rPr>
            </w:pPr>
            <w:r w:rsidRPr="00CA1239">
              <w:rPr>
                <w:rFonts w:cs="Arial"/>
              </w:rPr>
              <w:t xml:space="preserve">Senior </w:t>
            </w:r>
            <w:r>
              <w:rPr>
                <w:rFonts w:cs="Arial"/>
              </w:rPr>
              <w:t>shared procurement service stakeholders</w:t>
            </w:r>
          </w:p>
        </w:tc>
        <w:tc>
          <w:tcPr>
            <w:tcW w:w="3081" w:type="dxa"/>
          </w:tcPr>
          <w:p w:rsidR="00CA1239" w:rsidRPr="00CA1239" w:rsidRDefault="00E60DAE" w:rsidP="00CA1239">
            <w:pPr>
              <w:autoSpaceDE w:val="0"/>
              <w:autoSpaceDN w:val="0"/>
              <w:adjustRightInd w:val="0"/>
              <w:rPr>
                <w:rFonts w:cs="Arial"/>
              </w:rPr>
            </w:pPr>
            <w:r>
              <w:rPr>
                <w:rFonts w:cs="Arial"/>
              </w:rPr>
              <w:t>17/02/21</w:t>
            </w:r>
          </w:p>
        </w:tc>
        <w:tc>
          <w:tcPr>
            <w:tcW w:w="3081" w:type="dxa"/>
          </w:tcPr>
          <w:p w:rsidR="00CA1239" w:rsidRPr="00CA1239" w:rsidRDefault="00CA1239" w:rsidP="00CA1239">
            <w:pPr>
              <w:autoSpaceDE w:val="0"/>
              <w:autoSpaceDN w:val="0"/>
              <w:adjustRightInd w:val="0"/>
              <w:rPr>
                <w:rFonts w:cs="Arial"/>
              </w:rPr>
            </w:pPr>
            <w:r w:rsidRPr="00CA1239">
              <w:rPr>
                <w:rFonts w:cs="Arial"/>
              </w:rPr>
              <w:t>0.0</w:t>
            </w:r>
            <w:r>
              <w:rPr>
                <w:rFonts w:cs="Arial"/>
              </w:rPr>
              <w:t>1</w:t>
            </w:r>
          </w:p>
        </w:tc>
      </w:tr>
      <w:tr w:rsidR="007B0C33" w:rsidRPr="00CA1239" w:rsidTr="00CA1239">
        <w:tc>
          <w:tcPr>
            <w:tcW w:w="3080" w:type="dxa"/>
          </w:tcPr>
          <w:p w:rsidR="007B0C33" w:rsidRPr="00CA1239" w:rsidRDefault="007B0C33" w:rsidP="00CA1239">
            <w:pPr>
              <w:autoSpaceDE w:val="0"/>
              <w:autoSpaceDN w:val="0"/>
              <w:adjustRightInd w:val="0"/>
              <w:rPr>
                <w:rFonts w:cs="Arial"/>
              </w:rPr>
            </w:pPr>
            <w:r>
              <w:rPr>
                <w:rFonts w:cs="Arial"/>
              </w:rPr>
              <w:t>Procurement team</w:t>
            </w:r>
          </w:p>
        </w:tc>
        <w:tc>
          <w:tcPr>
            <w:tcW w:w="3081" w:type="dxa"/>
          </w:tcPr>
          <w:p w:rsidR="007B0C33" w:rsidRPr="00CA1239" w:rsidRDefault="00E60DAE" w:rsidP="00690FBA">
            <w:pPr>
              <w:autoSpaceDE w:val="0"/>
              <w:autoSpaceDN w:val="0"/>
              <w:adjustRightInd w:val="0"/>
              <w:rPr>
                <w:rFonts w:cs="Arial"/>
              </w:rPr>
            </w:pPr>
            <w:r>
              <w:rPr>
                <w:rFonts w:cs="Arial"/>
              </w:rPr>
              <w:t>17/02/21</w:t>
            </w:r>
          </w:p>
        </w:tc>
        <w:tc>
          <w:tcPr>
            <w:tcW w:w="3081" w:type="dxa"/>
          </w:tcPr>
          <w:p w:rsidR="007B0C33" w:rsidRPr="00CA1239" w:rsidRDefault="007B0C33" w:rsidP="00690FBA">
            <w:pPr>
              <w:autoSpaceDE w:val="0"/>
              <w:autoSpaceDN w:val="0"/>
              <w:adjustRightInd w:val="0"/>
              <w:rPr>
                <w:rFonts w:cs="Arial"/>
              </w:rPr>
            </w:pPr>
            <w:r w:rsidRPr="00CA1239">
              <w:rPr>
                <w:rFonts w:cs="Arial"/>
              </w:rPr>
              <w:t>0.0</w:t>
            </w:r>
            <w:r>
              <w:rPr>
                <w:rFonts w:cs="Arial"/>
              </w:rPr>
              <w:t>1</w:t>
            </w:r>
          </w:p>
        </w:tc>
      </w:tr>
      <w:tr w:rsidR="007B0C33" w:rsidRPr="00CA1239" w:rsidTr="00CA1239">
        <w:tc>
          <w:tcPr>
            <w:tcW w:w="3080" w:type="dxa"/>
          </w:tcPr>
          <w:p w:rsidR="007B0C33" w:rsidRDefault="007B0C33" w:rsidP="009B0830">
            <w:pPr>
              <w:autoSpaceDE w:val="0"/>
              <w:autoSpaceDN w:val="0"/>
              <w:adjustRightInd w:val="0"/>
              <w:rPr>
                <w:rFonts w:cs="Arial"/>
              </w:rPr>
            </w:pPr>
            <w:r w:rsidRPr="00CA1239">
              <w:rPr>
                <w:rFonts w:cs="Arial"/>
              </w:rPr>
              <w:t>Director of Finance</w:t>
            </w:r>
            <w:r>
              <w:rPr>
                <w:rFonts w:cs="Arial"/>
              </w:rPr>
              <w:t xml:space="preserve"> </w:t>
            </w:r>
          </w:p>
        </w:tc>
        <w:tc>
          <w:tcPr>
            <w:tcW w:w="3081" w:type="dxa"/>
          </w:tcPr>
          <w:p w:rsidR="007B0C33" w:rsidRPr="00CA1239" w:rsidRDefault="0020691E" w:rsidP="00CA1239">
            <w:pPr>
              <w:autoSpaceDE w:val="0"/>
              <w:autoSpaceDN w:val="0"/>
              <w:adjustRightInd w:val="0"/>
              <w:rPr>
                <w:rFonts w:cs="Arial"/>
              </w:rPr>
            </w:pPr>
            <w:r>
              <w:rPr>
                <w:rFonts w:cs="Arial"/>
              </w:rPr>
              <w:t>07/04</w:t>
            </w:r>
            <w:r w:rsidR="00E60DAE">
              <w:rPr>
                <w:rFonts w:cs="Arial"/>
              </w:rPr>
              <w:t>/21</w:t>
            </w:r>
          </w:p>
        </w:tc>
        <w:tc>
          <w:tcPr>
            <w:tcW w:w="3081" w:type="dxa"/>
          </w:tcPr>
          <w:p w:rsidR="007B0C33" w:rsidRPr="00CA1239" w:rsidRDefault="00690FBA" w:rsidP="00CA1239">
            <w:pPr>
              <w:autoSpaceDE w:val="0"/>
              <w:autoSpaceDN w:val="0"/>
              <w:adjustRightInd w:val="0"/>
              <w:rPr>
                <w:rFonts w:cs="Arial"/>
              </w:rPr>
            </w:pPr>
            <w:r>
              <w:rPr>
                <w:rFonts w:cs="Arial"/>
              </w:rPr>
              <w:t>0.0</w:t>
            </w:r>
            <w:r w:rsidR="0097351C">
              <w:rPr>
                <w:rFonts w:cs="Arial"/>
              </w:rPr>
              <w:t>1</w:t>
            </w:r>
          </w:p>
        </w:tc>
      </w:tr>
      <w:tr w:rsidR="009442AE" w:rsidRPr="00CA1239" w:rsidTr="00CA1239">
        <w:tc>
          <w:tcPr>
            <w:tcW w:w="3080" w:type="dxa"/>
          </w:tcPr>
          <w:p w:rsidR="009442AE" w:rsidRDefault="009B0830" w:rsidP="0097351C">
            <w:pPr>
              <w:autoSpaceDE w:val="0"/>
              <w:autoSpaceDN w:val="0"/>
              <w:adjustRightInd w:val="0"/>
              <w:rPr>
                <w:rFonts w:cs="Arial"/>
              </w:rPr>
            </w:pPr>
            <w:r>
              <w:rPr>
                <w:rFonts w:cs="Arial"/>
              </w:rPr>
              <w:t>Audit and Risk Committee (for review)</w:t>
            </w:r>
          </w:p>
        </w:tc>
        <w:tc>
          <w:tcPr>
            <w:tcW w:w="3081" w:type="dxa"/>
          </w:tcPr>
          <w:p w:rsidR="009442AE" w:rsidRDefault="005951B8" w:rsidP="00CA1239">
            <w:pPr>
              <w:autoSpaceDE w:val="0"/>
              <w:autoSpaceDN w:val="0"/>
              <w:adjustRightInd w:val="0"/>
              <w:rPr>
                <w:rFonts w:cs="Arial"/>
              </w:rPr>
            </w:pPr>
            <w:r>
              <w:rPr>
                <w:rFonts w:cs="Arial"/>
              </w:rPr>
              <w:t>20/07/21</w:t>
            </w:r>
          </w:p>
        </w:tc>
        <w:tc>
          <w:tcPr>
            <w:tcW w:w="3081" w:type="dxa"/>
          </w:tcPr>
          <w:p w:rsidR="009442AE" w:rsidRDefault="0097351C" w:rsidP="00CA1239">
            <w:pPr>
              <w:autoSpaceDE w:val="0"/>
              <w:autoSpaceDN w:val="0"/>
              <w:adjustRightInd w:val="0"/>
              <w:rPr>
                <w:rFonts w:cs="Arial"/>
              </w:rPr>
            </w:pPr>
            <w:r>
              <w:rPr>
                <w:rFonts w:cs="Arial"/>
              </w:rPr>
              <w:t>0.01</w:t>
            </w:r>
          </w:p>
        </w:tc>
      </w:tr>
      <w:tr w:rsidR="009B0830" w:rsidRPr="00CA1239" w:rsidTr="00CA1239">
        <w:tc>
          <w:tcPr>
            <w:tcW w:w="3080" w:type="dxa"/>
          </w:tcPr>
          <w:p w:rsidR="009B0830" w:rsidRDefault="009B0830" w:rsidP="005951B8">
            <w:pPr>
              <w:autoSpaceDE w:val="0"/>
              <w:autoSpaceDN w:val="0"/>
              <w:adjustRightInd w:val="0"/>
              <w:rPr>
                <w:rFonts w:cs="Arial"/>
              </w:rPr>
            </w:pPr>
            <w:r>
              <w:rPr>
                <w:rFonts w:cs="Arial"/>
              </w:rPr>
              <w:t xml:space="preserve">Senior </w:t>
            </w:r>
            <w:r w:rsidR="005951B8">
              <w:rPr>
                <w:rFonts w:cs="Arial"/>
              </w:rPr>
              <w:t>Leadership Group</w:t>
            </w:r>
            <w:r>
              <w:rPr>
                <w:rFonts w:cs="Arial"/>
              </w:rPr>
              <w:t xml:space="preserve"> </w:t>
            </w:r>
          </w:p>
        </w:tc>
        <w:tc>
          <w:tcPr>
            <w:tcW w:w="3081" w:type="dxa"/>
          </w:tcPr>
          <w:p w:rsidR="009B0830" w:rsidRDefault="00E07D56" w:rsidP="00CA1239">
            <w:pPr>
              <w:autoSpaceDE w:val="0"/>
              <w:autoSpaceDN w:val="0"/>
              <w:adjustRightInd w:val="0"/>
              <w:rPr>
                <w:rFonts w:cs="Arial"/>
              </w:rPr>
            </w:pPr>
            <w:r>
              <w:rPr>
                <w:rFonts w:cs="Arial"/>
              </w:rPr>
              <w:t>12/08/21</w:t>
            </w:r>
          </w:p>
        </w:tc>
        <w:tc>
          <w:tcPr>
            <w:tcW w:w="3081" w:type="dxa"/>
          </w:tcPr>
          <w:p w:rsidR="009B0830" w:rsidRDefault="00F939BC" w:rsidP="00CA1239">
            <w:pPr>
              <w:autoSpaceDE w:val="0"/>
              <w:autoSpaceDN w:val="0"/>
              <w:adjustRightInd w:val="0"/>
              <w:rPr>
                <w:rFonts w:cs="Arial"/>
              </w:rPr>
            </w:pPr>
            <w:r>
              <w:rPr>
                <w:rFonts w:cs="Arial"/>
              </w:rPr>
              <w:t>0.01</w:t>
            </w:r>
          </w:p>
        </w:tc>
      </w:tr>
    </w:tbl>
    <w:p w:rsidR="00CA1239" w:rsidRDefault="00CA1239" w:rsidP="00CA1239">
      <w:pPr>
        <w:autoSpaceDE w:val="0"/>
        <w:autoSpaceDN w:val="0"/>
        <w:adjustRightInd w:val="0"/>
        <w:spacing w:after="0" w:line="240" w:lineRule="auto"/>
        <w:rPr>
          <w:rFonts w:cs="Arial"/>
          <w:b/>
          <w:bCs/>
        </w:rPr>
      </w:pPr>
    </w:p>
    <w:p w:rsidR="00CA1239" w:rsidRPr="00CA1239" w:rsidRDefault="00CA1239" w:rsidP="00CA1239">
      <w:pPr>
        <w:autoSpaceDE w:val="0"/>
        <w:autoSpaceDN w:val="0"/>
        <w:adjustRightInd w:val="0"/>
        <w:spacing w:after="0" w:line="240" w:lineRule="auto"/>
        <w:rPr>
          <w:rFonts w:cs="Arial"/>
          <w:b/>
          <w:bCs/>
        </w:rPr>
      </w:pPr>
      <w:r w:rsidRPr="00CA1239">
        <w:rPr>
          <w:rFonts w:cs="Arial"/>
          <w:b/>
          <w:bCs/>
        </w:rPr>
        <w:t>Linked Documentation:</w:t>
      </w:r>
    </w:p>
    <w:p w:rsidR="00CA1239" w:rsidRPr="00CA1239" w:rsidRDefault="00CA1239" w:rsidP="00CA1239">
      <w:pPr>
        <w:autoSpaceDE w:val="0"/>
        <w:autoSpaceDN w:val="0"/>
        <w:adjustRightInd w:val="0"/>
        <w:spacing w:after="0" w:line="240" w:lineRule="auto"/>
        <w:rPr>
          <w:rFonts w:cs="Arial"/>
          <w:b/>
          <w:bCs/>
        </w:rPr>
      </w:pPr>
    </w:p>
    <w:tbl>
      <w:tblPr>
        <w:tblStyle w:val="TableGrid"/>
        <w:tblW w:w="0" w:type="auto"/>
        <w:tblLook w:val="04A0" w:firstRow="1" w:lastRow="0" w:firstColumn="1" w:lastColumn="0" w:noHBand="0" w:noVBand="1"/>
      </w:tblPr>
      <w:tblGrid>
        <w:gridCol w:w="9242"/>
      </w:tblGrid>
      <w:tr w:rsidR="00CA1239" w:rsidRPr="00CA1239" w:rsidTr="00CA1239">
        <w:tc>
          <w:tcPr>
            <w:tcW w:w="9242" w:type="dxa"/>
          </w:tcPr>
          <w:p w:rsidR="00CA1239" w:rsidRPr="00CA1239" w:rsidRDefault="00CA1239" w:rsidP="00CA1239">
            <w:pPr>
              <w:autoSpaceDE w:val="0"/>
              <w:autoSpaceDN w:val="0"/>
              <w:adjustRightInd w:val="0"/>
              <w:rPr>
                <w:rFonts w:cs="Arial"/>
                <w:b/>
                <w:bCs/>
              </w:rPr>
            </w:pPr>
            <w:r w:rsidRPr="00CA1239">
              <w:rPr>
                <w:rFonts w:cs="Arial"/>
                <w:b/>
                <w:bCs/>
              </w:rPr>
              <w:t>Document Title:</w:t>
            </w:r>
          </w:p>
        </w:tc>
      </w:tr>
      <w:tr w:rsidR="00CA1239" w:rsidRPr="00CA1239" w:rsidTr="00CA1239">
        <w:tc>
          <w:tcPr>
            <w:tcW w:w="9242" w:type="dxa"/>
          </w:tcPr>
          <w:p w:rsidR="00CA1239" w:rsidRPr="00CA1239" w:rsidRDefault="00CA1239" w:rsidP="00CA1239">
            <w:pPr>
              <w:autoSpaceDE w:val="0"/>
              <w:autoSpaceDN w:val="0"/>
              <w:adjustRightInd w:val="0"/>
              <w:rPr>
                <w:rFonts w:cs="Arial"/>
                <w:bCs/>
              </w:rPr>
            </w:pPr>
          </w:p>
          <w:p w:rsidR="00CA1239" w:rsidRPr="00CA1239" w:rsidRDefault="00CA1239" w:rsidP="00CA1239">
            <w:pPr>
              <w:autoSpaceDE w:val="0"/>
              <w:autoSpaceDN w:val="0"/>
              <w:adjustRightInd w:val="0"/>
              <w:rPr>
                <w:rFonts w:cs="Arial"/>
                <w:bCs/>
              </w:rPr>
            </w:pPr>
            <w:r w:rsidRPr="00CA1239">
              <w:rPr>
                <w:rFonts w:cs="Arial"/>
                <w:bCs/>
              </w:rPr>
              <w:t>None</w:t>
            </w:r>
          </w:p>
          <w:p w:rsidR="00CA1239" w:rsidRPr="00CA1239" w:rsidRDefault="00CA1239" w:rsidP="00CA1239">
            <w:pPr>
              <w:autoSpaceDE w:val="0"/>
              <w:autoSpaceDN w:val="0"/>
              <w:adjustRightInd w:val="0"/>
              <w:rPr>
                <w:rFonts w:cs="Arial"/>
                <w:bCs/>
              </w:rPr>
            </w:pPr>
          </w:p>
        </w:tc>
      </w:tr>
    </w:tbl>
    <w:p w:rsidR="00CA1239" w:rsidRPr="00CA1239" w:rsidRDefault="00CA1239" w:rsidP="00CA1239">
      <w:pPr>
        <w:autoSpaceDE w:val="0"/>
        <w:autoSpaceDN w:val="0"/>
        <w:adjustRightInd w:val="0"/>
        <w:spacing w:after="0" w:line="240" w:lineRule="auto"/>
        <w:rPr>
          <w:rFonts w:cs="Arial"/>
          <w:b/>
          <w:bCs/>
        </w:rPr>
      </w:pPr>
    </w:p>
    <w:p w:rsidR="00CA1239" w:rsidRPr="00CA1239" w:rsidRDefault="00CA1239" w:rsidP="00CA1239">
      <w:pPr>
        <w:spacing w:after="0"/>
        <w:rPr>
          <w:rFonts w:cs="Arial"/>
          <w:b/>
          <w:bCs/>
        </w:rPr>
      </w:pPr>
      <w:r w:rsidRPr="00CA1239">
        <w:rPr>
          <w:rFonts w:cs="Arial"/>
          <w:b/>
          <w:bCs/>
        </w:rPr>
        <w:t>Equality and Diversity Impact Assessment</w:t>
      </w:r>
    </w:p>
    <w:p w:rsidR="00CA1239" w:rsidRPr="00CA1239" w:rsidRDefault="00CA1239" w:rsidP="00CA1239">
      <w:pPr>
        <w:spacing w:after="0"/>
        <w:rPr>
          <w:rFonts w:cs="Arial"/>
          <w:b/>
          <w:bCs/>
        </w:rPr>
      </w:pPr>
    </w:p>
    <w:tbl>
      <w:tblPr>
        <w:tblStyle w:val="TableGrid"/>
        <w:tblW w:w="0" w:type="auto"/>
        <w:tblLook w:val="04A0" w:firstRow="1" w:lastRow="0" w:firstColumn="1" w:lastColumn="0" w:noHBand="0" w:noVBand="1"/>
      </w:tblPr>
      <w:tblGrid>
        <w:gridCol w:w="9242"/>
      </w:tblGrid>
      <w:tr w:rsidR="00CA1239" w:rsidRPr="00CA1239" w:rsidTr="00CA1239">
        <w:tc>
          <w:tcPr>
            <w:tcW w:w="9242" w:type="dxa"/>
          </w:tcPr>
          <w:p w:rsidR="00CA1239" w:rsidRPr="00CA1239" w:rsidRDefault="00CA1239" w:rsidP="00CA1239">
            <w:pPr>
              <w:rPr>
                <w:rFonts w:cs="Arial"/>
              </w:rPr>
            </w:pPr>
          </w:p>
          <w:p w:rsidR="00CA1239" w:rsidRPr="00E25F6A" w:rsidRDefault="004A00E2" w:rsidP="00CA1239">
            <w:pPr>
              <w:spacing w:after="200" w:line="276" w:lineRule="auto"/>
              <w:rPr>
                <w:rStyle w:val="Hyperlink"/>
                <w:rFonts w:cs="Arial"/>
                <w:color w:val="0070C0"/>
              </w:rPr>
            </w:pPr>
            <w:r w:rsidRPr="004D5D7B">
              <w:rPr>
                <w:rFonts w:cs="Arial"/>
              </w:rPr>
              <w:fldChar w:fldCharType="begin"/>
            </w:r>
            <w:r w:rsidR="00C13585">
              <w:rPr>
                <w:rFonts w:cs="Arial"/>
              </w:rPr>
              <w:instrText>HYPERLINK "W:\\MATERIAL\\Procurement National Regional Information\\Strategy\\2021-2024 Strategy\\NHS GJ EQIA Form_new Mar 21.docx"</w:instrText>
            </w:r>
            <w:r w:rsidR="00C13585" w:rsidRPr="004D5D7B">
              <w:rPr>
                <w:rFonts w:cs="Arial"/>
              </w:rPr>
            </w:r>
            <w:r w:rsidRPr="004D5D7B">
              <w:rPr>
                <w:rFonts w:cs="Arial"/>
              </w:rPr>
              <w:fldChar w:fldCharType="separate"/>
            </w:r>
            <w:r w:rsidR="00112EE6" w:rsidRPr="00E25F6A">
              <w:rPr>
                <w:rStyle w:val="Hyperlink"/>
                <w:rFonts w:cs="Arial"/>
                <w:color w:val="0070C0"/>
              </w:rPr>
              <w:t>E</w:t>
            </w:r>
            <w:r w:rsidR="00112EE6" w:rsidRPr="00E25F6A">
              <w:rPr>
                <w:rStyle w:val="Hyperlink"/>
                <w:rFonts w:cs="Arial"/>
                <w:color w:val="0070C0"/>
              </w:rPr>
              <w:t>Q</w:t>
            </w:r>
            <w:r w:rsidR="00112EE6" w:rsidRPr="00E25F6A">
              <w:rPr>
                <w:rStyle w:val="Hyperlink"/>
                <w:rFonts w:cs="Arial"/>
                <w:color w:val="0070C0"/>
              </w:rPr>
              <w:t>I</w:t>
            </w:r>
            <w:r w:rsidR="00112EE6" w:rsidRPr="00E25F6A">
              <w:rPr>
                <w:rStyle w:val="Hyperlink"/>
                <w:rFonts w:cs="Arial"/>
                <w:color w:val="0070C0"/>
              </w:rPr>
              <w:t>A</w:t>
            </w:r>
            <w:r w:rsidR="005E2179" w:rsidRPr="00E25F6A">
              <w:rPr>
                <w:rStyle w:val="Hyperlink"/>
                <w:rFonts w:cs="Arial"/>
                <w:color w:val="0070C0"/>
              </w:rPr>
              <w:t xml:space="preserve">  </w:t>
            </w:r>
          </w:p>
          <w:p w:rsidR="00CA1239" w:rsidRPr="00CA1239" w:rsidRDefault="004A00E2" w:rsidP="00E82734">
            <w:pPr>
              <w:rPr>
                <w:rFonts w:cs="Arial"/>
              </w:rPr>
            </w:pPr>
            <w:r w:rsidRPr="004D5D7B">
              <w:rPr>
                <w:rFonts w:cs="Arial"/>
              </w:rPr>
              <w:fldChar w:fldCharType="end"/>
            </w:r>
          </w:p>
        </w:tc>
      </w:tr>
    </w:tbl>
    <w:p w:rsidR="00CA1239" w:rsidRDefault="00CA1239" w:rsidP="00CA1239">
      <w:pPr>
        <w:spacing w:after="0"/>
      </w:pPr>
    </w:p>
    <w:p w:rsidR="00CA1239" w:rsidRDefault="00CA1239" w:rsidP="00CA1239">
      <w:pPr>
        <w:rPr>
          <w:rFonts w:ascii="Arial" w:hAnsi="Arial" w:cs="Arial"/>
          <w:b/>
          <w:sz w:val="28"/>
          <w:szCs w:val="28"/>
        </w:rPr>
      </w:pPr>
      <w:r>
        <w:rPr>
          <w:rFonts w:ascii="Arial" w:hAnsi="Arial" w:cs="Arial"/>
          <w:b/>
          <w:sz w:val="28"/>
          <w:szCs w:val="28"/>
        </w:rPr>
        <w:br w:type="page"/>
      </w:r>
      <w:bookmarkStart w:id="0" w:name="_GoBack"/>
      <w:bookmarkEnd w:id="0"/>
    </w:p>
    <w:sdt>
      <w:sdtPr>
        <w:rPr>
          <w:rFonts w:asciiTheme="minorHAnsi" w:eastAsiaTheme="minorHAnsi" w:hAnsiTheme="minorHAnsi" w:cstheme="minorBidi"/>
          <w:b w:val="0"/>
          <w:bCs w:val="0"/>
          <w:color w:val="auto"/>
          <w:sz w:val="22"/>
          <w:szCs w:val="22"/>
          <w:lang w:val="en-GB"/>
        </w:rPr>
        <w:id w:val="7224697"/>
        <w:docPartObj>
          <w:docPartGallery w:val="Table of Contents"/>
          <w:docPartUnique/>
        </w:docPartObj>
      </w:sdtPr>
      <w:sdtEndPr/>
      <w:sdtContent>
        <w:p w:rsidR="00AD5F6E" w:rsidRDefault="00AD5F6E">
          <w:pPr>
            <w:pStyle w:val="TOCHeading"/>
            <w:rPr>
              <w:rFonts w:asciiTheme="minorHAnsi" w:hAnsiTheme="minorHAnsi" w:cstheme="minorHAnsi"/>
              <w:color w:val="auto"/>
            </w:rPr>
          </w:pPr>
          <w:r w:rsidRPr="00AD5F6E">
            <w:rPr>
              <w:rFonts w:asciiTheme="minorHAnsi" w:hAnsiTheme="minorHAnsi" w:cstheme="minorHAnsi"/>
              <w:color w:val="auto"/>
            </w:rPr>
            <w:t>Contents</w:t>
          </w:r>
        </w:p>
        <w:p w:rsidR="00AD5F6E" w:rsidRPr="00AD5F6E" w:rsidRDefault="00AD5F6E" w:rsidP="00AD5F6E">
          <w:pPr>
            <w:rPr>
              <w:lang w:val="en-US"/>
            </w:rPr>
          </w:pPr>
        </w:p>
        <w:p w:rsidR="00AD5F6E" w:rsidRPr="00AD5F6E" w:rsidRDefault="00D22231">
          <w:pPr>
            <w:pStyle w:val="TOC1"/>
            <w:tabs>
              <w:tab w:val="left" w:pos="440"/>
              <w:tab w:val="right" w:leader="dot" w:pos="9016"/>
            </w:tabs>
            <w:rPr>
              <w:rFonts w:cstheme="minorHAnsi"/>
              <w:noProof/>
            </w:rPr>
          </w:pPr>
          <w:r w:rsidRPr="00AD5F6E">
            <w:rPr>
              <w:rFonts w:cstheme="minorHAnsi"/>
            </w:rPr>
            <w:fldChar w:fldCharType="begin"/>
          </w:r>
          <w:r w:rsidR="00AD5F6E" w:rsidRPr="00AD5F6E">
            <w:rPr>
              <w:rFonts w:cstheme="minorHAnsi"/>
            </w:rPr>
            <w:instrText xml:space="preserve"> TOC \o "1-3" \h \z \u </w:instrText>
          </w:r>
          <w:r w:rsidRPr="00AD5F6E">
            <w:rPr>
              <w:rFonts w:cstheme="minorHAnsi"/>
            </w:rPr>
            <w:fldChar w:fldCharType="separate"/>
          </w:r>
          <w:hyperlink w:anchor="_Toc344186" w:history="1">
            <w:r w:rsidR="00AD5F6E" w:rsidRPr="00AD5F6E">
              <w:rPr>
                <w:rStyle w:val="Hyperlink"/>
                <w:rFonts w:cstheme="minorHAnsi"/>
                <w:noProof/>
                <w:color w:val="auto"/>
              </w:rPr>
              <w:t>1.</w:t>
            </w:r>
            <w:r w:rsidR="00AD5F6E" w:rsidRPr="00AD5F6E">
              <w:rPr>
                <w:rFonts w:cstheme="minorHAnsi"/>
                <w:noProof/>
              </w:rPr>
              <w:tab/>
            </w:r>
            <w:r w:rsidR="00AD5F6E" w:rsidRPr="00AD5F6E">
              <w:rPr>
                <w:rStyle w:val="Hyperlink"/>
                <w:rFonts w:cstheme="minorHAnsi"/>
                <w:noProof/>
                <w:color w:val="auto"/>
              </w:rPr>
              <w:t>Introduction</w:t>
            </w:r>
            <w:r w:rsidR="00AD5F6E" w:rsidRPr="00AD5F6E">
              <w:rPr>
                <w:rFonts w:cstheme="minorHAnsi"/>
                <w:noProof/>
                <w:webHidden/>
              </w:rPr>
              <w:tab/>
            </w:r>
            <w:r w:rsidRPr="00AD5F6E">
              <w:rPr>
                <w:rFonts w:cstheme="minorHAnsi"/>
                <w:noProof/>
                <w:webHidden/>
              </w:rPr>
              <w:fldChar w:fldCharType="begin"/>
            </w:r>
            <w:r w:rsidR="00AD5F6E" w:rsidRPr="00AD5F6E">
              <w:rPr>
                <w:rFonts w:cstheme="minorHAnsi"/>
                <w:noProof/>
                <w:webHidden/>
              </w:rPr>
              <w:instrText xml:space="preserve"> PAGEREF _Toc344186 \h </w:instrText>
            </w:r>
            <w:r w:rsidRPr="00AD5F6E">
              <w:rPr>
                <w:rFonts w:cstheme="minorHAnsi"/>
                <w:noProof/>
                <w:webHidden/>
              </w:rPr>
            </w:r>
            <w:r w:rsidRPr="00AD5F6E">
              <w:rPr>
                <w:rFonts w:cstheme="minorHAnsi"/>
                <w:noProof/>
                <w:webHidden/>
              </w:rPr>
              <w:fldChar w:fldCharType="separate"/>
            </w:r>
            <w:r w:rsidR="00146B5D">
              <w:rPr>
                <w:rFonts w:cstheme="minorHAnsi"/>
                <w:noProof/>
                <w:webHidden/>
              </w:rPr>
              <w:t>1</w:t>
            </w:r>
            <w:r w:rsidRPr="00AD5F6E">
              <w:rPr>
                <w:rFonts w:cstheme="minorHAnsi"/>
                <w:noProof/>
                <w:webHidden/>
              </w:rPr>
              <w:fldChar w:fldCharType="end"/>
            </w:r>
          </w:hyperlink>
        </w:p>
        <w:p w:rsidR="00AD5F6E" w:rsidRPr="00AD5F6E" w:rsidRDefault="00C13585">
          <w:pPr>
            <w:pStyle w:val="TOC1"/>
            <w:tabs>
              <w:tab w:val="left" w:pos="440"/>
              <w:tab w:val="right" w:leader="dot" w:pos="9016"/>
            </w:tabs>
            <w:rPr>
              <w:rFonts w:cstheme="minorHAnsi"/>
              <w:noProof/>
            </w:rPr>
          </w:pPr>
          <w:hyperlink w:anchor="_Toc344187" w:history="1">
            <w:r w:rsidR="00AD5F6E" w:rsidRPr="00AD5F6E">
              <w:rPr>
                <w:rStyle w:val="Hyperlink"/>
                <w:rFonts w:cstheme="minorHAnsi"/>
                <w:noProof/>
                <w:color w:val="auto"/>
              </w:rPr>
              <w:t>2.</w:t>
            </w:r>
            <w:r w:rsidR="00AD5F6E" w:rsidRPr="00AD5F6E">
              <w:rPr>
                <w:rFonts w:cstheme="minorHAnsi"/>
                <w:noProof/>
              </w:rPr>
              <w:tab/>
            </w:r>
            <w:r w:rsidR="00AD5F6E" w:rsidRPr="00AD5F6E">
              <w:rPr>
                <w:rStyle w:val="Hyperlink"/>
                <w:rFonts w:cstheme="minorHAnsi"/>
                <w:noProof/>
                <w:color w:val="auto"/>
              </w:rPr>
              <w:t>Our vision, mission and role of the Procurement Service</w:t>
            </w:r>
            <w:r w:rsidR="00AD5F6E" w:rsidRPr="00AD5F6E">
              <w:rPr>
                <w:rFonts w:cstheme="minorHAnsi"/>
                <w:noProof/>
                <w:webHidden/>
              </w:rPr>
              <w:tab/>
            </w:r>
            <w:r w:rsidR="00D22231" w:rsidRPr="00AD5F6E">
              <w:rPr>
                <w:rFonts w:cstheme="minorHAnsi"/>
                <w:noProof/>
                <w:webHidden/>
              </w:rPr>
              <w:fldChar w:fldCharType="begin"/>
            </w:r>
            <w:r w:rsidR="00AD5F6E" w:rsidRPr="00AD5F6E">
              <w:rPr>
                <w:rFonts w:cstheme="minorHAnsi"/>
                <w:noProof/>
                <w:webHidden/>
              </w:rPr>
              <w:instrText xml:space="preserve"> PAGEREF _Toc344187 \h </w:instrText>
            </w:r>
            <w:r w:rsidR="00D22231" w:rsidRPr="00AD5F6E">
              <w:rPr>
                <w:rFonts w:cstheme="minorHAnsi"/>
                <w:noProof/>
                <w:webHidden/>
              </w:rPr>
            </w:r>
            <w:r w:rsidR="00D22231" w:rsidRPr="00AD5F6E">
              <w:rPr>
                <w:rFonts w:cstheme="minorHAnsi"/>
                <w:noProof/>
                <w:webHidden/>
              </w:rPr>
              <w:fldChar w:fldCharType="separate"/>
            </w:r>
            <w:r w:rsidR="00146B5D">
              <w:rPr>
                <w:rFonts w:cstheme="minorHAnsi"/>
                <w:noProof/>
                <w:webHidden/>
              </w:rPr>
              <w:t>2</w:t>
            </w:r>
            <w:r w:rsidR="00D22231" w:rsidRPr="00AD5F6E">
              <w:rPr>
                <w:rFonts w:cstheme="minorHAnsi"/>
                <w:noProof/>
                <w:webHidden/>
              </w:rPr>
              <w:fldChar w:fldCharType="end"/>
            </w:r>
          </w:hyperlink>
        </w:p>
        <w:p w:rsidR="00AD5F6E" w:rsidRPr="00AD5F6E" w:rsidRDefault="00C13585">
          <w:pPr>
            <w:pStyle w:val="TOC1"/>
            <w:tabs>
              <w:tab w:val="left" w:pos="440"/>
              <w:tab w:val="right" w:leader="dot" w:pos="9016"/>
            </w:tabs>
            <w:rPr>
              <w:rFonts w:cstheme="minorHAnsi"/>
              <w:noProof/>
            </w:rPr>
          </w:pPr>
          <w:hyperlink w:anchor="_Toc344188" w:history="1">
            <w:r w:rsidR="00AD5F6E" w:rsidRPr="00AD5F6E">
              <w:rPr>
                <w:rStyle w:val="Hyperlink"/>
                <w:rFonts w:cstheme="minorHAnsi"/>
                <w:noProof/>
                <w:color w:val="auto"/>
              </w:rPr>
              <w:t>3.</w:t>
            </w:r>
            <w:r w:rsidR="00AD5F6E" w:rsidRPr="00AD5F6E">
              <w:rPr>
                <w:rFonts w:cstheme="minorHAnsi"/>
                <w:noProof/>
              </w:rPr>
              <w:tab/>
            </w:r>
            <w:r w:rsidR="00AD5F6E" w:rsidRPr="00AD5F6E">
              <w:rPr>
                <w:rStyle w:val="Hyperlink"/>
                <w:rFonts w:cstheme="minorHAnsi"/>
                <w:noProof/>
                <w:color w:val="auto"/>
              </w:rPr>
              <w:t>Contracting activity</w:t>
            </w:r>
            <w:r w:rsidR="00AD5F6E" w:rsidRPr="00AD5F6E">
              <w:rPr>
                <w:rFonts w:cstheme="minorHAnsi"/>
                <w:noProof/>
                <w:webHidden/>
              </w:rPr>
              <w:tab/>
            </w:r>
            <w:r w:rsidR="00D22231" w:rsidRPr="00AD5F6E">
              <w:rPr>
                <w:rFonts w:cstheme="minorHAnsi"/>
                <w:noProof/>
                <w:webHidden/>
              </w:rPr>
              <w:fldChar w:fldCharType="begin"/>
            </w:r>
            <w:r w:rsidR="00AD5F6E" w:rsidRPr="00AD5F6E">
              <w:rPr>
                <w:rFonts w:cstheme="minorHAnsi"/>
                <w:noProof/>
                <w:webHidden/>
              </w:rPr>
              <w:instrText xml:space="preserve"> PAGEREF _Toc344188 \h </w:instrText>
            </w:r>
            <w:r w:rsidR="00D22231" w:rsidRPr="00AD5F6E">
              <w:rPr>
                <w:rFonts w:cstheme="minorHAnsi"/>
                <w:noProof/>
                <w:webHidden/>
              </w:rPr>
            </w:r>
            <w:r w:rsidR="00D22231" w:rsidRPr="00AD5F6E">
              <w:rPr>
                <w:rFonts w:cstheme="minorHAnsi"/>
                <w:noProof/>
                <w:webHidden/>
              </w:rPr>
              <w:fldChar w:fldCharType="separate"/>
            </w:r>
            <w:r w:rsidR="00146B5D">
              <w:rPr>
                <w:rFonts w:cstheme="minorHAnsi"/>
                <w:noProof/>
                <w:webHidden/>
              </w:rPr>
              <w:t>3</w:t>
            </w:r>
            <w:r w:rsidR="00D22231" w:rsidRPr="00AD5F6E">
              <w:rPr>
                <w:rFonts w:cstheme="minorHAnsi"/>
                <w:noProof/>
                <w:webHidden/>
              </w:rPr>
              <w:fldChar w:fldCharType="end"/>
            </w:r>
          </w:hyperlink>
        </w:p>
        <w:p w:rsidR="00AD5F6E" w:rsidRPr="00AD5F6E" w:rsidRDefault="00C13585">
          <w:pPr>
            <w:pStyle w:val="TOC1"/>
            <w:tabs>
              <w:tab w:val="left" w:pos="440"/>
              <w:tab w:val="right" w:leader="dot" w:pos="9016"/>
            </w:tabs>
            <w:rPr>
              <w:rFonts w:cstheme="minorHAnsi"/>
              <w:noProof/>
            </w:rPr>
          </w:pPr>
          <w:hyperlink w:anchor="_Toc344189" w:history="1">
            <w:r w:rsidR="00AD5F6E" w:rsidRPr="00AD5F6E">
              <w:rPr>
                <w:rStyle w:val="Hyperlink"/>
                <w:rFonts w:cstheme="minorHAnsi"/>
                <w:noProof/>
                <w:color w:val="auto"/>
              </w:rPr>
              <w:t>4.</w:t>
            </w:r>
            <w:r w:rsidR="00AD5F6E" w:rsidRPr="00AD5F6E">
              <w:rPr>
                <w:rFonts w:cstheme="minorHAnsi"/>
                <w:noProof/>
              </w:rPr>
              <w:tab/>
            </w:r>
            <w:r w:rsidR="00AD5F6E" w:rsidRPr="00AD5F6E">
              <w:rPr>
                <w:rStyle w:val="Hyperlink"/>
                <w:rFonts w:cstheme="minorHAnsi"/>
                <w:noProof/>
                <w:color w:val="auto"/>
              </w:rPr>
              <w:t>Key priorities</w:t>
            </w:r>
            <w:r w:rsidR="00AD5F6E" w:rsidRPr="00AD5F6E">
              <w:rPr>
                <w:rFonts w:cstheme="minorHAnsi"/>
                <w:noProof/>
                <w:webHidden/>
              </w:rPr>
              <w:tab/>
            </w:r>
            <w:r w:rsidR="00D22231" w:rsidRPr="00AD5F6E">
              <w:rPr>
                <w:rFonts w:cstheme="minorHAnsi"/>
                <w:noProof/>
                <w:webHidden/>
              </w:rPr>
              <w:fldChar w:fldCharType="begin"/>
            </w:r>
            <w:r w:rsidR="00AD5F6E" w:rsidRPr="00AD5F6E">
              <w:rPr>
                <w:rFonts w:cstheme="minorHAnsi"/>
                <w:noProof/>
                <w:webHidden/>
              </w:rPr>
              <w:instrText xml:space="preserve"> PAGEREF _Toc344189 \h </w:instrText>
            </w:r>
            <w:r w:rsidR="00D22231" w:rsidRPr="00AD5F6E">
              <w:rPr>
                <w:rFonts w:cstheme="minorHAnsi"/>
                <w:noProof/>
                <w:webHidden/>
              </w:rPr>
            </w:r>
            <w:r w:rsidR="00D22231" w:rsidRPr="00AD5F6E">
              <w:rPr>
                <w:rFonts w:cstheme="minorHAnsi"/>
                <w:noProof/>
                <w:webHidden/>
              </w:rPr>
              <w:fldChar w:fldCharType="separate"/>
            </w:r>
            <w:r w:rsidR="00146B5D">
              <w:rPr>
                <w:rFonts w:cstheme="minorHAnsi"/>
                <w:noProof/>
                <w:webHidden/>
              </w:rPr>
              <w:t>5</w:t>
            </w:r>
            <w:r w:rsidR="00D22231" w:rsidRPr="00AD5F6E">
              <w:rPr>
                <w:rFonts w:cstheme="minorHAnsi"/>
                <w:noProof/>
                <w:webHidden/>
              </w:rPr>
              <w:fldChar w:fldCharType="end"/>
            </w:r>
          </w:hyperlink>
        </w:p>
        <w:p w:rsidR="00AD5F6E" w:rsidRPr="00AD5F6E" w:rsidRDefault="00C13585">
          <w:pPr>
            <w:pStyle w:val="TOC1"/>
            <w:tabs>
              <w:tab w:val="left" w:pos="440"/>
              <w:tab w:val="right" w:leader="dot" w:pos="9016"/>
            </w:tabs>
            <w:rPr>
              <w:rFonts w:cstheme="minorHAnsi"/>
              <w:noProof/>
            </w:rPr>
          </w:pPr>
          <w:hyperlink w:anchor="_Toc344190" w:history="1">
            <w:r w:rsidR="00AD5F6E" w:rsidRPr="00AD5F6E">
              <w:rPr>
                <w:rStyle w:val="Hyperlink"/>
                <w:rFonts w:cstheme="minorHAnsi"/>
                <w:noProof/>
                <w:color w:val="auto"/>
              </w:rPr>
              <w:t>5.</w:t>
            </w:r>
            <w:r w:rsidR="00AD5F6E" w:rsidRPr="00AD5F6E">
              <w:rPr>
                <w:rFonts w:cstheme="minorHAnsi"/>
                <w:noProof/>
              </w:rPr>
              <w:tab/>
            </w:r>
            <w:r w:rsidR="00AD5F6E" w:rsidRPr="00AD5F6E">
              <w:rPr>
                <w:rStyle w:val="Hyperlink"/>
                <w:rFonts w:cstheme="minorHAnsi"/>
                <w:noProof/>
                <w:color w:val="auto"/>
              </w:rPr>
              <w:t>Policies</w:t>
            </w:r>
            <w:r w:rsidR="00AD5F6E" w:rsidRPr="00AD5F6E">
              <w:rPr>
                <w:rFonts w:cstheme="minorHAnsi"/>
                <w:noProof/>
                <w:webHidden/>
              </w:rPr>
              <w:tab/>
            </w:r>
            <w:r w:rsidR="00D22231" w:rsidRPr="00AD5F6E">
              <w:rPr>
                <w:rFonts w:cstheme="minorHAnsi"/>
                <w:noProof/>
                <w:webHidden/>
              </w:rPr>
              <w:fldChar w:fldCharType="begin"/>
            </w:r>
            <w:r w:rsidR="00AD5F6E" w:rsidRPr="00AD5F6E">
              <w:rPr>
                <w:rFonts w:cstheme="minorHAnsi"/>
                <w:noProof/>
                <w:webHidden/>
              </w:rPr>
              <w:instrText xml:space="preserve"> PAGEREF _Toc344190 \h </w:instrText>
            </w:r>
            <w:r w:rsidR="00D22231" w:rsidRPr="00AD5F6E">
              <w:rPr>
                <w:rFonts w:cstheme="minorHAnsi"/>
                <w:noProof/>
                <w:webHidden/>
              </w:rPr>
            </w:r>
            <w:r w:rsidR="00D22231" w:rsidRPr="00AD5F6E">
              <w:rPr>
                <w:rFonts w:cstheme="minorHAnsi"/>
                <w:noProof/>
                <w:webHidden/>
              </w:rPr>
              <w:fldChar w:fldCharType="separate"/>
            </w:r>
            <w:r w:rsidR="00146B5D">
              <w:rPr>
                <w:rFonts w:cstheme="minorHAnsi"/>
                <w:noProof/>
                <w:webHidden/>
              </w:rPr>
              <w:t>6</w:t>
            </w:r>
            <w:r w:rsidR="00D22231" w:rsidRPr="00AD5F6E">
              <w:rPr>
                <w:rFonts w:cstheme="minorHAnsi"/>
                <w:noProof/>
                <w:webHidden/>
              </w:rPr>
              <w:fldChar w:fldCharType="end"/>
            </w:r>
          </w:hyperlink>
        </w:p>
        <w:p w:rsidR="00AD5F6E" w:rsidRPr="00AD5F6E" w:rsidRDefault="00C13585">
          <w:pPr>
            <w:pStyle w:val="TOC1"/>
            <w:tabs>
              <w:tab w:val="left" w:pos="440"/>
              <w:tab w:val="right" w:leader="dot" w:pos="9016"/>
            </w:tabs>
            <w:rPr>
              <w:rFonts w:cstheme="minorHAnsi"/>
              <w:noProof/>
            </w:rPr>
          </w:pPr>
          <w:hyperlink w:anchor="_Toc344191" w:history="1">
            <w:r w:rsidR="00AD5F6E" w:rsidRPr="00AD5F6E">
              <w:rPr>
                <w:rStyle w:val="Hyperlink"/>
                <w:rFonts w:cstheme="minorHAnsi"/>
                <w:noProof/>
                <w:color w:val="auto"/>
              </w:rPr>
              <w:t>6.</w:t>
            </w:r>
            <w:r w:rsidR="00AD5F6E" w:rsidRPr="00AD5F6E">
              <w:rPr>
                <w:rFonts w:cstheme="minorHAnsi"/>
                <w:noProof/>
              </w:rPr>
              <w:tab/>
            </w:r>
            <w:r w:rsidR="00AD5F6E" w:rsidRPr="00AD5F6E">
              <w:rPr>
                <w:rStyle w:val="Hyperlink"/>
                <w:rFonts w:cstheme="minorHAnsi"/>
                <w:noProof/>
                <w:color w:val="auto"/>
              </w:rPr>
              <w:t>Annual Procurement Report</w:t>
            </w:r>
            <w:r w:rsidR="00AD5F6E" w:rsidRPr="00AD5F6E">
              <w:rPr>
                <w:rFonts w:cstheme="minorHAnsi"/>
                <w:noProof/>
                <w:webHidden/>
              </w:rPr>
              <w:tab/>
            </w:r>
            <w:r w:rsidR="00D22231" w:rsidRPr="00AD5F6E">
              <w:rPr>
                <w:rFonts w:cstheme="minorHAnsi"/>
                <w:noProof/>
                <w:webHidden/>
              </w:rPr>
              <w:fldChar w:fldCharType="begin"/>
            </w:r>
            <w:r w:rsidR="00AD5F6E" w:rsidRPr="00AD5F6E">
              <w:rPr>
                <w:rFonts w:cstheme="minorHAnsi"/>
                <w:noProof/>
                <w:webHidden/>
              </w:rPr>
              <w:instrText xml:space="preserve"> PAGEREF _Toc344191 \h </w:instrText>
            </w:r>
            <w:r w:rsidR="00D22231" w:rsidRPr="00AD5F6E">
              <w:rPr>
                <w:rFonts w:cstheme="minorHAnsi"/>
                <w:noProof/>
                <w:webHidden/>
              </w:rPr>
            </w:r>
            <w:r w:rsidR="00D22231" w:rsidRPr="00AD5F6E">
              <w:rPr>
                <w:rFonts w:cstheme="minorHAnsi"/>
                <w:noProof/>
                <w:webHidden/>
              </w:rPr>
              <w:fldChar w:fldCharType="separate"/>
            </w:r>
            <w:r w:rsidR="00146B5D">
              <w:rPr>
                <w:rFonts w:cstheme="minorHAnsi"/>
                <w:noProof/>
                <w:webHidden/>
              </w:rPr>
              <w:t>9</w:t>
            </w:r>
            <w:r w:rsidR="00D22231" w:rsidRPr="00AD5F6E">
              <w:rPr>
                <w:rFonts w:cstheme="minorHAnsi"/>
                <w:noProof/>
                <w:webHidden/>
              </w:rPr>
              <w:fldChar w:fldCharType="end"/>
            </w:r>
          </w:hyperlink>
        </w:p>
        <w:p w:rsidR="00AD5F6E" w:rsidRPr="00AD5F6E" w:rsidRDefault="00C13585">
          <w:pPr>
            <w:pStyle w:val="TOC1"/>
            <w:tabs>
              <w:tab w:val="left" w:pos="440"/>
              <w:tab w:val="right" w:leader="dot" w:pos="9016"/>
            </w:tabs>
            <w:rPr>
              <w:rFonts w:cstheme="minorHAnsi"/>
              <w:noProof/>
            </w:rPr>
          </w:pPr>
          <w:hyperlink w:anchor="_Toc344192" w:history="1">
            <w:r w:rsidR="00AD5F6E" w:rsidRPr="00AD5F6E">
              <w:rPr>
                <w:rStyle w:val="Hyperlink"/>
                <w:rFonts w:cstheme="minorHAnsi"/>
                <w:noProof/>
                <w:color w:val="auto"/>
              </w:rPr>
              <w:t>7.</w:t>
            </w:r>
            <w:r w:rsidR="00AD5F6E" w:rsidRPr="00AD5F6E">
              <w:rPr>
                <w:rFonts w:cstheme="minorHAnsi"/>
                <w:noProof/>
              </w:rPr>
              <w:tab/>
            </w:r>
            <w:r w:rsidR="00AD5F6E" w:rsidRPr="00AD5F6E">
              <w:rPr>
                <w:rStyle w:val="Hyperlink"/>
                <w:rFonts w:cstheme="minorHAnsi"/>
                <w:noProof/>
                <w:color w:val="auto"/>
              </w:rPr>
              <w:t>Strategy ownership and contact details</w:t>
            </w:r>
            <w:r w:rsidR="00AD5F6E" w:rsidRPr="00AD5F6E">
              <w:rPr>
                <w:rFonts w:cstheme="minorHAnsi"/>
                <w:noProof/>
                <w:webHidden/>
              </w:rPr>
              <w:tab/>
            </w:r>
            <w:r w:rsidR="00D22231" w:rsidRPr="00AD5F6E">
              <w:rPr>
                <w:rFonts w:cstheme="minorHAnsi"/>
                <w:noProof/>
                <w:webHidden/>
              </w:rPr>
              <w:fldChar w:fldCharType="begin"/>
            </w:r>
            <w:r w:rsidR="00AD5F6E" w:rsidRPr="00AD5F6E">
              <w:rPr>
                <w:rFonts w:cstheme="minorHAnsi"/>
                <w:noProof/>
                <w:webHidden/>
              </w:rPr>
              <w:instrText xml:space="preserve"> PAGEREF _Toc344192 \h </w:instrText>
            </w:r>
            <w:r w:rsidR="00D22231" w:rsidRPr="00AD5F6E">
              <w:rPr>
                <w:rFonts w:cstheme="minorHAnsi"/>
                <w:noProof/>
                <w:webHidden/>
              </w:rPr>
            </w:r>
            <w:r w:rsidR="00D22231" w:rsidRPr="00AD5F6E">
              <w:rPr>
                <w:rFonts w:cstheme="minorHAnsi"/>
                <w:noProof/>
                <w:webHidden/>
              </w:rPr>
              <w:fldChar w:fldCharType="separate"/>
            </w:r>
            <w:r w:rsidR="00146B5D">
              <w:rPr>
                <w:rFonts w:cstheme="minorHAnsi"/>
                <w:noProof/>
                <w:webHidden/>
              </w:rPr>
              <w:t>10</w:t>
            </w:r>
            <w:r w:rsidR="00D22231" w:rsidRPr="00AD5F6E">
              <w:rPr>
                <w:rFonts w:cstheme="minorHAnsi"/>
                <w:noProof/>
                <w:webHidden/>
              </w:rPr>
              <w:fldChar w:fldCharType="end"/>
            </w:r>
          </w:hyperlink>
        </w:p>
        <w:p w:rsidR="00AD5F6E" w:rsidRDefault="00D22231">
          <w:r w:rsidRPr="00AD5F6E">
            <w:rPr>
              <w:rFonts w:cstheme="minorHAnsi"/>
            </w:rPr>
            <w:fldChar w:fldCharType="end"/>
          </w:r>
        </w:p>
      </w:sdtContent>
    </w:sdt>
    <w:p w:rsidR="00304565" w:rsidRDefault="00304565"/>
    <w:p w:rsidR="00304565" w:rsidRDefault="00304565">
      <w:r>
        <w:br w:type="page"/>
      </w:r>
    </w:p>
    <w:p w:rsidR="00AD5F6E" w:rsidRDefault="00AD5F6E" w:rsidP="00C60307">
      <w:pPr>
        <w:pStyle w:val="Heading1"/>
        <w:sectPr w:rsidR="00AD5F6E" w:rsidSect="006A0FAB">
          <w:headerReference w:type="default" r:id="rId8"/>
          <w:footerReference w:type="default" r:id="rId9"/>
          <w:pgSz w:w="11906" w:h="16838"/>
          <w:pgMar w:top="1440" w:right="1440" w:bottom="1440" w:left="1440" w:header="709" w:footer="709" w:gutter="0"/>
          <w:cols w:space="708"/>
          <w:docGrid w:linePitch="360"/>
        </w:sectPr>
      </w:pPr>
    </w:p>
    <w:p w:rsidR="00304565" w:rsidRPr="00C60307" w:rsidRDefault="009B178B" w:rsidP="00C60307">
      <w:pPr>
        <w:pStyle w:val="Heading1"/>
      </w:pPr>
      <w:bookmarkStart w:id="1" w:name="_Toc344186"/>
      <w:r w:rsidRPr="00C60307">
        <w:lastRenderedPageBreak/>
        <w:t>1.</w:t>
      </w:r>
      <w:r w:rsidRPr="00C60307">
        <w:tab/>
      </w:r>
      <w:r w:rsidR="00304565" w:rsidRPr="00C60307">
        <w:t>Introduction</w:t>
      </w:r>
      <w:bookmarkEnd w:id="1"/>
    </w:p>
    <w:p w:rsidR="00CE2F0F" w:rsidRDefault="00304565">
      <w:r>
        <w:t>T</w:t>
      </w:r>
      <w:r w:rsidR="00E35F5F">
        <w:t>his document sets out the</w:t>
      </w:r>
      <w:r>
        <w:t xml:space="preserve"> Procurement Strategy</w:t>
      </w:r>
      <w:r w:rsidR="008D6E9D">
        <w:t xml:space="preserve"> (2021-2024)</w:t>
      </w:r>
      <w:r>
        <w:t xml:space="preserve"> to support </w:t>
      </w:r>
      <w:r w:rsidR="00C076FE">
        <w:t xml:space="preserve">NHS Golden Jubilee </w:t>
      </w:r>
      <w:r w:rsidR="008D5098">
        <w:t>in the</w:t>
      </w:r>
      <w:r>
        <w:t xml:space="preserve"> deliver</w:t>
      </w:r>
      <w:r w:rsidR="008D5098">
        <w:t>y of</w:t>
      </w:r>
      <w:r>
        <w:t xml:space="preserve"> their corporate objectives in line with public procurement legislation</w:t>
      </w:r>
      <w:r w:rsidR="009B178B">
        <w:t>, the Scottish Model of Procurement</w:t>
      </w:r>
      <w:r>
        <w:t xml:space="preserve"> and Scottish Government policy.</w:t>
      </w:r>
      <w:r w:rsidR="00C444DF">
        <w:t xml:space="preserve"> </w:t>
      </w:r>
      <w:r w:rsidR="00CE2F0F">
        <w:t>The p</w:t>
      </w:r>
      <w:r w:rsidR="00C444DF">
        <w:t xml:space="preserve">ublic procurement </w:t>
      </w:r>
      <w:r w:rsidR="00CE2F0F">
        <w:t>landscape in Scotland has continued to develop since the previo</w:t>
      </w:r>
      <w:r w:rsidR="004D68E2">
        <w:t>us strategy was produced in November 201</w:t>
      </w:r>
      <w:r w:rsidR="00C076FE">
        <w:t>8</w:t>
      </w:r>
      <w:r w:rsidR="00CE2F0F">
        <w:t>, with both policy development and legislative change</w:t>
      </w:r>
      <w:r w:rsidR="00CC0495">
        <w:t>.</w:t>
      </w:r>
      <w:r w:rsidR="00C076FE">
        <w:t xml:space="preserve">  The legislative context will be changing </w:t>
      </w:r>
      <w:r w:rsidR="00225FCB">
        <w:t xml:space="preserve">as Britain </w:t>
      </w:r>
      <w:r w:rsidR="0082006C">
        <w:t xml:space="preserve">has left </w:t>
      </w:r>
      <w:r w:rsidR="00225FCB">
        <w:t>the EU and EU Directives are no longer applicable.</w:t>
      </w:r>
      <w:r w:rsidR="007A0AEB">
        <w:t xml:space="preserve"> Procurement regulations from all f</w:t>
      </w:r>
      <w:r w:rsidR="00BB5058">
        <w:t>our nations are currently under review</w:t>
      </w:r>
      <w:r w:rsidR="007A0AEB">
        <w:t xml:space="preserve"> and</w:t>
      </w:r>
      <w:r w:rsidR="0020691E">
        <w:t xml:space="preserve"> </w:t>
      </w:r>
      <w:r w:rsidR="007A0AEB">
        <w:t>t</w:t>
      </w:r>
      <w:r w:rsidR="00225FCB">
        <w:t>he Procurement Service will continue to monitor and update policies as changes are implemented.</w:t>
      </w:r>
      <w:r w:rsidR="00C076FE">
        <w:t xml:space="preserve"> </w:t>
      </w:r>
      <w:r w:rsidR="008D6E9D">
        <w:t>This Strategy will be refreshed annually.</w:t>
      </w:r>
    </w:p>
    <w:p w:rsidR="00BF618D" w:rsidRDefault="00D12866">
      <w:r>
        <w:t>As a result of the Covid-19 Pandemic t</w:t>
      </w:r>
      <w:r w:rsidR="0015478F">
        <w:t xml:space="preserve">he Procurement Service </w:t>
      </w:r>
      <w:r w:rsidR="00CC2913">
        <w:t>was called upon to provide additional support t</w:t>
      </w:r>
      <w:r w:rsidR="0015478F">
        <w:t>o ensure service contin</w:t>
      </w:r>
      <w:r>
        <w:t>uity whilst working collaboratively</w:t>
      </w:r>
      <w:r w:rsidR="0015478F">
        <w:t xml:space="preserve"> with colleagues at National Service Sco</w:t>
      </w:r>
      <w:r>
        <w:t xml:space="preserve">tland to secure appropriate PPE.  </w:t>
      </w:r>
      <w:r w:rsidR="00AD69F0">
        <w:t xml:space="preserve"> </w:t>
      </w:r>
      <w:r w:rsidR="00CC2913">
        <w:t>We will continue to extend this support to</w:t>
      </w:r>
      <w:r>
        <w:t xml:space="preserve"> new services </w:t>
      </w:r>
      <w:r w:rsidR="000D4765">
        <w:t xml:space="preserve">as required </w:t>
      </w:r>
      <w:r w:rsidR="00CC2913">
        <w:t xml:space="preserve">to assist </w:t>
      </w:r>
      <w:r>
        <w:t>our remobilisation &amp;</w:t>
      </w:r>
      <w:r w:rsidR="00CC2913">
        <w:t xml:space="preserve"> recovery plan.</w:t>
      </w:r>
    </w:p>
    <w:p w:rsidR="00D12866" w:rsidRDefault="00146F28">
      <w:r>
        <w:t>The Scottish Government’s policy drivers for public procurement are predominantly centred around</w:t>
      </w:r>
      <w:r w:rsidR="00206015">
        <w:t xml:space="preserve"> </w:t>
      </w:r>
      <w:r w:rsidR="00F07BE0" w:rsidRPr="00F07BE0">
        <w:rPr>
          <w:b/>
        </w:rPr>
        <w:t>sustainability, economic development and tackling inequality</w:t>
      </w:r>
      <w:r w:rsidR="000D4765">
        <w:rPr>
          <w:b/>
        </w:rPr>
        <w:t>.</w:t>
      </w:r>
      <w:r w:rsidR="00306F2C">
        <w:t xml:space="preserve"> </w:t>
      </w:r>
      <w:r>
        <w:t xml:space="preserve"> The key priorities of the Procurement Service</w:t>
      </w:r>
      <w:r w:rsidR="00CE2F0F">
        <w:t xml:space="preserve">’s Procurement Strategy </w:t>
      </w:r>
      <w:r>
        <w:t>are outlined in Section 4</w:t>
      </w:r>
      <w:r w:rsidR="00CE2F0F">
        <w:t xml:space="preserve"> of this document</w:t>
      </w:r>
      <w:r w:rsidR="00306F2C">
        <w:t xml:space="preserve"> </w:t>
      </w:r>
      <w:r w:rsidR="00D12866">
        <w:t>and correspond to national outcomes as detailed in the National Performance Framework</w:t>
      </w:r>
      <w:r w:rsidR="000D4765">
        <w:t>.</w:t>
      </w:r>
      <w:r w:rsidR="00690FBA">
        <w:t xml:space="preserve"> </w:t>
      </w:r>
    </w:p>
    <w:p w:rsidR="00A306E0" w:rsidRDefault="00851241">
      <w:r>
        <w:t>Whilst i</w:t>
      </w:r>
      <w:r w:rsidR="009442AE">
        <w:t>t is not necessary to</w:t>
      </w:r>
      <w:r w:rsidR="00690FBA">
        <w:t xml:space="preserve"> detail the legislative and policy background that governs public sector procurement</w:t>
      </w:r>
      <w:r w:rsidR="003D19A5">
        <w:t xml:space="preserve"> in this document</w:t>
      </w:r>
      <w:r w:rsidR="00690FBA">
        <w:t xml:space="preserve">, </w:t>
      </w:r>
      <w:r w:rsidR="004D68E2">
        <w:t xml:space="preserve">we will ensure that the </w:t>
      </w:r>
      <w:r w:rsidR="00690FBA">
        <w:t xml:space="preserve">Procurement Service complies with </w:t>
      </w:r>
      <w:r w:rsidR="003D19A5">
        <w:t xml:space="preserve">the legislative </w:t>
      </w:r>
      <w:r w:rsidR="00690FBA">
        <w:t>frame</w:t>
      </w:r>
      <w:r w:rsidR="004D68E2">
        <w:t>work</w:t>
      </w:r>
      <w:r w:rsidR="00146B5D">
        <w:t>,</w:t>
      </w:r>
      <w:r w:rsidR="003D19A5">
        <w:t xml:space="preserve"> policy drivers </w:t>
      </w:r>
      <w:r w:rsidR="00690FBA">
        <w:t>and developments</w:t>
      </w:r>
      <w:r w:rsidR="00146B5D">
        <w:t>,</w:t>
      </w:r>
      <w:r w:rsidR="00690FBA">
        <w:t xml:space="preserve"> </w:t>
      </w:r>
      <w:r w:rsidR="00146B5D">
        <w:t xml:space="preserve">which </w:t>
      </w:r>
      <w:r w:rsidR="00690FBA">
        <w:t>will be addressed through the annual work</w:t>
      </w:r>
      <w:r w:rsidR="004D68E2">
        <w:t xml:space="preserve"> </w:t>
      </w:r>
      <w:r w:rsidR="00690FBA">
        <w:t xml:space="preserve">plans. </w:t>
      </w:r>
    </w:p>
    <w:p w:rsidR="00146F28" w:rsidRDefault="00146F28">
      <w:r>
        <w:t>This Strategy has been developed in consultation wi</w:t>
      </w:r>
      <w:r w:rsidR="004D68E2">
        <w:t xml:space="preserve">th stakeholders within </w:t>
      </w:r>
      <w:r w:rsidR="00225FCB">
        <w:t>NHS Golden Jubilee</w:t>
      </w:r>
      <w:r w:rsidR="004D68E2">
        <w:t xml:space="preserve"> </w:t>
      </w:r>
      <w:r>
        <w:t xml:space="preserve">and will be signed off by the </w:t>
      </w:r>
      <w:r w:rsidR="00BF5911">
        <w:t xml:space="preserve">Senior </w:t>
      </w:r>
      <w:r w:rsidR="00690B57">
        <w:t>Leadership Group and</w:t>
      </w:r>
      <w:r w:rsidR="00BF5911">
        <w:t xml:space="preserve"> the Audit and Risk Committee </w:t>
      </w:r>
      <w:r w:rsidR="00690B57">
        <w:t>on behalf of</w:t>
      </w:r>
      <w:r w:rsidR="00BF5911">
        <w:t xml:space="preserve"> the </w:t>
      </w:r>
      <w:r w:rsidR="00DF65BD">
        <w:t>Board.</w:t>
      </w:r>
      <w:r w:rsidR="00A306E0">
        <w:t xml:space="preserve"> </w:t>
      </w:r>
      <w:r w:rsidR="00C444DF" w:rsidRPr="0040429A">
        <w:t>It is based on the guidance for procurement strategies produced by the Scottish Government</w:t>
      </w:r>
      <w:r w:rsidR="004D68E2" w:rsidRPr="0040429A">
        <w:t xml:space="preserve"> (SG)</w:t>
      </w:r>
      <w:r w:rsidR="00C444DF" w:rsidRPr="0040429A">
        <w:t>.</w:t>
      </w:r>
      <w:r w:rsidR="00C444DF">
        <w:t xml:space="preserve"> Compliance with</w:t>
      </w:r>
      <w:r w:rsidR="00CC0495">
        <w:t xml:space="preserve"> NHS Golden Jubilee Standing Financial Instructions and</w:t>
      </w:r>
      <w:r w:rsidR="00C444DF">
        <w:t xml:space="preserve"> legislation pertaining to public procurement is the minimum standard</w:t>
      </w:r>
      <w:r w:rsidR="00CE2F0F">
        <w:t>. Th</w:t>
      </w:r>
      <w:r w:rsidR="004D68E2">
        <w:t xml:space="preserve">e </w:t>
      </w:r>
      <w:r w:rsidR="00CE2F0F">
        <w:t xml:space="preserve">Procurement Service will aim to function beyond that level and </w:t>
      </w:r>
      <w:r w:rsidR="003D19A5">
        <w:t>align</w:t>
      </w:r>
      <w:r w:rsidR="00CE2F0F">
        <w:t xml:space="preserve"> with best practice. </w:t>
      </w:r>
      <w:r w:rsidR="00C444DF">
        <w:t xml:space="preserve"> </w:t>
      </w:r>
      <w:r w:rsidR="00A306E0">
        <w:t>Provision of Procurement Services to NHS24 ceased with effect from 1</w:t>
      </w:r>
      <w:r w:rsidR="00A306E0" w:rsidRPr="0082006C">
        <w:rPr>
          <w:vertAlign w:val="superscript"/>
        </w:rPr>
        <w:t>st</w:t>
      </w:r>
      <w:r w:rsidR="00A306E0">
        <w:t xml:space="preserve"> June 2020 and this document relates wholly to NHS Golden Jubilee.</w:t>
      </w:r>
    </w:p>
    <w:p w:rsidR="00CC2913" w:rsidRDefault="00CC2913"/>
    <w:p w:rsidR="00690B57" w:rsidRDefault="00690B57"/>
    <w:p w:rsidR="00CC2913" w:rsidRDefault="00CC2913"/>
    <w:p w:rsidR="00CC2913" w:rsidRDefault="00CC2913"/>
    <w:p w:rsidR="00EA1346" w:rsidRDefault="009B178B" w:rsidP="00EA1346">
      <w:pPr>
        <w:pStyle w:val="Heading1"/>
      </w:pPr>
      <w:bookmarkStart w:id="2" w:name="_Toc344187"/>
      <w:r w:rsidRPr="00C60307">
        <w:lastRenderedPageBreak/>
        <w:t>2.</w:t>
      </w:r>
      <w:r w:rsidRPr="00C60307">
        <w:tab/>
      </w:r>
      <w:r w:rsidR="00316AA1" w:rsidRPr="00C60307">
        <w:t>Our vision, mission and r</w:t>
      </w:r>
      <w:r w:rsidRPr="00C60307">
        <w:t>ole of the Procurement Service</w:t>
      </w:r>
      <w:bookmarkEnd w:id="2"/>
    </w:p>
    <w:p w:rsidR="00EA1346" w:rsidRPr="00EA1346" w:rsidRDefault="00EA1346" w:rsidP="00EA1346"/>
    <w:p w:rsidR="00316AA1" w:rsidRPr="00FD17D1" w:rsidRDefault="00316AA1">
      <w:pPr>
        <w:rPr>
          <w:b/>
        </w:rPr>
      </w:pPr>
      <w:r w:rsidRPr="00FD17D1">
        <w:rPr>
          <w:b/>
          <w:u w:val="single"/>
        </w:rPr>
        <w:t>Vision</w:t>
      </w:r>
      <w:r w:rsidRPr="00FD17D1">
        <w:rPr>
          <w:b/>
        </w:rPr>
        <w:t xml:space="preserve"> </w:t>
      </w:r>
    </w:p>
    <w:p w:rsidR="00316AA1" w:rsidRDefault="00EA1346">
      <w:r>
        <w:t>T</w:t>
      </w:r>
      <w:r w:rsidR="00BF618D">
        <w:t>o develop</w:t>
      </w:r>
      <w:r w:rsidR="00C9729E">
        <w:t>,</w:t>
      </w:r>
      <w:r w:rsidR="00BF618D">
        <w:t xml:space="preserve"> through a process of continuous improvement</w:t>
      </w:r>
      <w:r w:rsidR="00C9729E">
        <w:t>,</w:t>
      </w:r>
      <w:r w:rsidR="00BF618D">
        <w:t xml:space="preserve"> to be</w:t>
      </w:r>
      <w:r w:rsidR="006F3004">
        <w:t xml:space="preserve"> a high performing team that delivers </w:t>
      </w:r>
      <w:r w:rsidR="008B0DEE">
        <w:t>sustainable</w:t>
      </w:r>
      <w:r w:rsidR="000D4765">
        <w:t xml:space="preserve">, </w:t>
      </w:r>
      <w:r w:rsidR="008A0930">
        <w:t>innovative</w:t>
      </w:r>
      <w:r w:rsidR="005743CA">
        <w:t>, ethical</w:t>
      </w:r>
      <w:r w:rsidR="00C9729E">
        <w:t xml:space="preserve"> and high quality</w:t>
      </w:r>
      <w:r w:rsidR="008B0DEE">
        <w:t xml:space="preserve"> procurement</w:t>
      </w:r>
      <w:r w:rsidR="008A0930">
        <w:t xml:space="preserve"> solutions</w:t>
      </w:r>
      <w:r w:rsidR="000D4765">
        <w:t>, taking account of best value for money and service requirements</w:t>
      </w:r>
      <w:r w:rsidR="005743CA">
        <w:t>.</w:t>
      </w:r>
    </w:p>
    <w:p w:rsidR="00E25F6A" w:rsidRDefault="00E25F6A"/>
    <w:p w:rsidR="00316AA1" w:rsidRPr="00FD17D1" w:rsidRDefault="00316AA1">
      <w:pPr>
        <w:rPr>
          <w:b/>
          <w:u w:val="single"/>
        </w:rPr>
      </w:pPr>
      <w:r w:rsidRPr="00FD17D1">
        <w:rPr>
          <w:b/>
          <w:u w:val="single"/>
        </w:rPr>
        <w:t xml:space="preserve">Mission </w:t>
      </w:r>
    </w:p>
    <w:p w:rsidR="008A0930" w:rsidRDefault="00E23780">
      <w:r>
        <w:t>To</w:t>
      </w:r>
      <w:r w:rsidR="00316AA1">
        <w:t xml:space="preserve"> </w:t>
      </w:r>
      <w:r w:rsidR="006F3004">
        <w:t xml:space="preserve">provide </w:t>
      </w:r>
      <w:r w:rsidR="00F963C6">
        <w:t xml:space="preserve">a high quality, </w:t>
      </w:r>
      <w:r w:rsidR="008A0930">
        <w:t xml:space="preserve">efficient </w:t>
      </w:r>
      <w:r w:rsidR="006F3004">
        <w:t>and legally compliant procurement service</w:t>
      </w:r>
      <w:r w:rsidR="00CE2F0F">
        <w:t xml:space="preserve"> that meets the needs and expectations of</w:t>
      </w:r>
      <w:r w:rsidR="004D68E2">
        <w:t xml:space="preserve"> all </w:t>
      </w:r>
      <w:r w:rsidR="006F3004">
        <w:t>service partners</w:t>
      </w:r>
      <w:r w:rsidR="00F81CF7">
        <w:t xml:space="preserve"> </w:t>
      </w:r>
      <w:r w:rsidR="00F963C6">
        <w:t>to</w:t>
      </w:r>
      <w:r w:rsidR="00F81CF7">
        <w:t xml:space="preserve"> support</w:t>
      </w:r>
      <w:r w:rsidR="0020691E">
        <w:t xml:space="preserve"> </w:t>
      </w:r>
      <w:r w:rsidR="00F81CF7">
        <w:t>corporate objectives</w:t>
      </w:r>
      <w:r w:rsidR="00D1780A">
        <w:t xml:space="preserve">. </w:t>
      </w:r>
      <w:r w:rsidR="00EA1346">
        <w:t>P</w:t>
      </w:r>
      <w:r w:rsidR="00F963C6">
        <w:t xml:space="preserve">rovide </w:t>
      </w:r>
      <w:r w:rsidR="008A0930">
        <w:t>add</w:t>
      </w:r>
      <w:r w:rsidR="00F963C6">
        <w:t>ed</w:t>
      </w:r>
      <w:r w:rsidR="008A0930">
        <w:t xml:space="preserve"> value</w:t>
      </w:r>
      <w:r w:rsidR="00D1780A">
        <w:t xml:space="preserve"> through e</w:t>
      </w:r>
      <w:r w:rsidR="0083652D">
        <w:t xml:space="preserve">mbracing </w:t>
      </w:r>
      <w:r w:rsidR="004D5D7B">
        <w:t>innovative and digital</w:t>
      </w:r>
      <w:r w:rsidR="0083652D">
        <w:t xml:space="preserve"> technologies, sustainable solutions, </w:t>
      </w:r>
      <w:r w:rsidR="004D5D7B">
        <w:t xml:space="preserve">attaining </w:t>
      </w:r>
      <w:r w:rsidR="0083652D">
        <w:t xml:space="preserve">value for money </w:t>
      </w:r>
      <w:r w:rsidR="004D5D7B">
        <w:t>and</w:t>
      </w:r>
      <w:r w:rsidR="0083652D">
        <w:t xml:space="preserve"> recognising environmental</w:t>
      </w:r>
      <w:r w:rsidR="004D5D7B">
        <w:t xml:space="preserve"> benefit</w:t>
      </w:r>
      <w:r w:rsidR="00D1780A">
        <w:t>s</w:t>
      </w:r>
      <w:r w:rsidR="004D5D7B">
        <w:t>,</w:t>
      </w:r>
      <w:r w:rsidR="0083652D">
        <w:t xml:space="preserve"> social benefits</w:t>
      </w:r>
      <w:r w:rsidR="004D5D7B">
        <w:t xml:space="preserve"> and key priorities</w:t>
      </w:r>
      <w:r w:rsidR="00EA1346">
        <w:t xml:space="preserve">, </w:t>
      </w:r>
      <w:r w:rsidR="004D5D7B">
        <w:t>detailed below.</w:t>
      </w:r>
    </w:p>
    <w:p w:rsidR="00AD5F6E" w:rsidRDefault="00AD5F6E">
      <w:pPr>
        <w:rPr>
          <w:b/>
          <w:u w:val="single"/>
        </w:rPr>
      </w:pPr>
    </w:p>
    <w:p w:rsidR="006F3004" w:rsidRPr="00FD17D1" w:rsidRDefault="006F3004">
      <w:pPr>
        <w:rPr>
          <w:b/>
          <w:u w:val="single"/>
        </w:rPr>
      </w:pPr>
      <w:r w:rsidRPr="00FD17D1">
        <w:rPr>
          <w:b/>
          <w:u w:val="single"/>
        </w:rPr>
        <w:t>Role</w:t>
      </w:r>
    </w:p>
    <w:p w:rsidR="009B178B" w:rsidRDefault="009B178B">
      <w:r>
        <w:t>Our work focuses on:</w:t>
      </w:r>
    </w:p>
    <w:p w:rsidR="00C71645" w:rsidRDefault="009B178B" w:rsidP="009B178B">
      <w:pPr>
        <w:pStyle w:val="ListParagraph"/>
        <w:numPr>
          <w:ilvl w:val="0"/>
          <w:numId w:val="2"/>
        </w:numPr>
      </w:pPr>
      <w:r>
        <w:t xml:space="preserve">Delivering </w:t>
      </w:r>
      <w:r w:rsidR="00C71645">
        <w:t>effective local, national and specialist services which enable and support improvements in the he</w:t>
      </w:r>
      <w:r w:rsidR="00057BDE">
        <w:t xml:space="preserve">alth and </w:t>
      </w:r>
      <w:r w:rsidR="009D5120">
        <w:t>well</w:t>
      </w:r>
      <w:r w:rsidR="0083652D">
        <w:t>-</w:t>
      </w:r>
      <w:r w:rsidR="009D5120">
        <w:t>being of all our customers.</w:t>
      </w:r>
    </w:p>
    <w:p w:rsidR="009B178B" w:rsidRDefault="00C71645" w:rsidP="009B178B">
      <w:pPr>
        <w:pStyle w:val="ListParagraph"/>
        <w:numPr>
          <w:ilvl w:val="0"/>
          <w:numId w:val="2"/>
        </w:numPr>
      </w:pPr>
      <w:r>
        <w:t xml:space="preserve">Providing an efficient and effective service which delivers sustainable value for money and improved care experiences, supports </w:t>
      </w:r>
      <w:r w:rsidR="00A306E0">
        <w:t>continuous improvement to the delivery of ser</w:t>
      </w:r>
      <w:r w:rsidR="00BE7555">
        <w:t xml:space="preserve">vices to NHS Golden Jubilee </w:t>
      </w:r>
      <w:r>
        <w:t xml:space="preserve">customers and </w:t>
      </w:r>
      <w:r w:rsidR="0027318C">
        <w:t xml:space="preserve">fosters </w:t>
      </w:r>
      <w:r w:rsidR="006F3004">
        <w:t>s</w:t>
      </w:r>
      <w:r w:rsidR="008B0DEE">
        <w:t>ustainable procurement</w:t>
      </w:r>
      <w:r w:rsidR="009B178B">
        <w:t xml:space="preserve"> through </w:t>
      </w:r>
      <w:r w:rsidR="008B0DEE">
        <w:t>contracting</w:t>
      </w:r>
      <w:r w:rsidR="009B178B">
        <w:t xml:space="preserve"> </w:t>
      </w:r>
      <w:r w:rsidR="006F3004">
        <w:t>activity</w:t>
      </w:r>
      <w:r w:rsidR="009B178B">
        <w:t>.</w:t>
      </w:r>
    </w:p>
    <w:p w:rsidR="009B178B" w:rsidRDefault="00057BDE" w:rsidP="009B178B">
      <w:pPr>
        <w:pStyle w:val="ListParagraph"/>
        <w:numPr>
          <w:ilvl w:val="0"/>
          <w:numId w:val="2"/>
        </w:numPr>
      </w:pPr>
      <w:r>
        <w:t xml:space="preserve">Increasing the visibility of procurement, reviewing and refreshing engagement with stakeholders throughout NHS Golden Jubilee to </w:t>
      </w:r>
      <w:r w:rsidR="0083652D">
        <w:t>p</w:t>
      </w:r>
      <w:r w:rsidR="009B178B">
        <w:t>rovid</w:t>
      </w:r>
      <w:r>
        <w:t>e</w:t>
      </w:r>
      <w:r w:rsidR="009B178B">
        <w:t xml:space="preserve"> advice </w:t>
      </w:r>
      <w:r w:rsidR="00A306E0">
        <w:t xml:space="preserve">and support </w:t>
      </w:r>
      <w:r w:rsidR="009B178B">
        <w:t xml:space="preserve">on public procurement </w:t>
      </w:r>
      <w:r w:rsidR="00A306E0">
        <w:t xml:space="preserve">activities </w:t>
      </w:r>
      <w:r w:rsidR="00E7680A">
        <w:t>whilst maintaining effective governance and identifying areas of best practice.</w:t>
      </w:r>
    </w:p>
    <w:p w:rsidR="00E7680A" w:rsidRDefault="00EB5849" w:rsidP="007A0AEB">
      <w:pPr>
        <w:pStyle w:val="ListParagraph"/>
        <w:numPr>
          <w:ilvl w:val="0"/>
          <w:numId w:val="2"/>
        </w:numPr>
      </w:pPr>
      <w:r>
        <w:t xml:space="preserve"> Continuing to develop </w:t>
      </w:r>
      <w:r w:rsidR="009B178B">
        <w:t xml:space="preserve">the skills and expertise of our team to deliver </w:t>
      </w:r>
      <w:r w:rsidR="006F3004">
        <w:t>a</w:t>
      </w:r>
      <w:r w:rsidR="00F81CF7">
        <w:t xml:space="preserve"> high quality</w:t>
      </w:r>
      <w:r w:rsidR="006F3004">
        <w:t xml:space="preserve"> </w:t>
      </w:r>
      <w:r w:rsidR="009B178B">
        <w:t>service to our stakeholders</w:t>
      </w:r>
      <w:r w:rsidR="008A0930">
        <w:t xml:space="preserve"> and working together to shape decisions and solutions</w:t>
      </w:r>
      <w:r w:rsidR="0020691E">
        <w:t xml:space="preserve"> whilst maximising</w:t>
      </w:r>
      <w:r w:rsidR="00E7680A">
        <w:t xml:space="preserve"> the use of digital technology to </w:t>
      </w:r>
      <w:r w:rsidR="00BF618D">
        <w:t>improve and future proof our service.</w:t>
      </w:r>
    </w:p>
    <w:p w:rsidR="00E25F6A" w:rsidRDefault="00E25F6A" w:rsidP="00E25F6A">
      <w:pPr>
        <w:pStyle w:val="ListParagraph"/>
      </w:pPr>
    </w:p>
    <w:p w:rsidR="00EA1346" w:rsidRDefault="00EA1346" w:rsidP="00E25F6A">
      <w:pPr>
        <w:pStyle w:val="ListParagraph"/>
      </w:pPr>
    </w:p>
    <w:p w:rsidR="00EA1346" w:rsidRDefault="00EA1346" w:rsidP="00E25F6A">
      <w:pPr>
        <w:pStyle w:val="ListParagraph"/>
      </w:pPr>
    </w:p>
    <w:p w:rsidR="009B178B" w:rsidRPr="00C60307" w:rsidRDefault="002E38DA" w:rsidP="00C60307">
      <w:pPr>
        <w:pStyle w:val="Heading1"/>
      </w:pPr>
      <w:bookmarkStart w:id="3" w:name="_Toc344188"/>
      <w:r w:rsidRPr="00C60307">
        <w:lastRenderedPageBreak/>
        <w:t>3.</w:t>
      </w:r>
      <w:r w:rsidRPr="00C60307">
        <w:tab/>
        <w:t>Contracting activity</w:t>
      </w:r>
      <w:bookmarkEnd w:id="3"/>
    </w:p>
    <w:p w:rsidR="002E38DA" w:rsidRDefault="002E38DA">
      <w:r>
        <w:t>Our approach to</w:t>
      </w:r>
      <w:r w:rsidR="003D19A5">
        <w:t xml:space="preserve"> buying goods, </w:t>
      </w:r>
      <w:r>
        <w:t>services and works reflects the Scottish Model of Procurement</w:t>
      </w:r>
      <w:r w:rsidR="00F81CF7">
        <w:t>,</w:t>
      </w:r>
      <w:r>
        <w:t xml:space="preserve"> in order to deliver an appropriate service that supports the objecti</w:t>
      </w:r>
      <w:r w:rsidR="004D68E2">
        <w:t xml:space="preserve">ves of </w:t>
      </w:r>
      <w:r w:rsidR="009044EB">
        <w:t>NHS Golden Jubilee</w:t>
      </w:r>
      <w:r>
        <w:t>.</w:t>
      </w:r>
      <w:r w:rsidR="0041532A">
        <w:t xml:space="preserve"> We aim to achieve </w:t>
      </w:r>
      <w:r w:rsidR="00CC0495">
        <w:t>best value</w:t>
      </w:r>
      <w:r w:rsidR="0041532A">
        <w:t xml:space="preserve"> by working closely with our stakeholders to understand their requirements</w:t>
      </w:r>
      <w:r w:rsidR="00690FBA">
        <w:t>,</w:t>
      </w:r>
      <w:r w:rsidR="0041532A">
        <w:t xml:space="preserve"> and </w:t>
      </w:r>
      <w:r w:rsidR="00690FBA">
        <w:t xml:space="preserve">with suppliers to understand </w:t>
      </w:r>
      <w:r w:rsidR="0041532A">
        <w:t xml:space="preserve">the relevant market sectors. </w:t>
      </w:r>
      <w:r w:rsidR="004E06BC">
        <w:t xml:space="preserve">Procurement processes are based on </w:t>
      </w:r>
      <w:r w:rsidR="0041532A">
        <w:t xml:space="preserve">fair, open and transparent competition which is proportionate </w:t>
      </w:r>
      <w:r w:rsidR="00690FBA">
        <w:t xml:space="preserve">to the scale and purpose of the contract, </w:t>
      </w:r>
      <w:r w:rsidR="0041532A">
        <w:t xml:space="preserve">and meets our legal obligations. </w:t>
      </w:r>
      <w:r w:rsidR="004E06BC">
        <w:t xml:space="preserve">Contracts </w:t>
      </w:r>
      <w:r w:rsidR="0041532A">
        <w:t xml:space="preserve">are awarded </w:t>
      </w:r>
      <w:r w:rsidR="004E06BC">
        <w:t>using a mix of criteria appropriate to the subject matter of the contract.</w:t>
      </w:r>
    </w:p>
    <w:p w:rsidR="00020DE5" w:rsidRDefault="00EB5849">
      <w:r>
        <w:t>The Head of Procurement is responsible for development of</w:t>
      </w:r>
      <w:r w:rsidR="00802D02">
        <w:t xml:space="preserve"> procurement guidelines, principles, operating procedures and work instructions.  In particular,</w:t>
      </w:r>
      <w:r>
        <w:t xml:space="preserve"> this reflects fully the content of </w:t>
      </w:r>
      <w:r w:rsidR="00802D02">
        <w:t>Scottish Government Department of Health and Finance CEL (212</w:t>
      </w:r>
      <w:r w:rsidR="00225FCB">
        <w:t xml:space="preserve">) 05 Key Procurement Principles. </w:t>
      </w:r>
      <w:hyperlink r:id="rId10" w:history="1">
        <w:r w:rsidR="00020DE5" w:rsidRPr="00B05AE1">
          <w:rPr>
            <w:rStyle w:val="Hyperlink"/>
          </w:rPr>
          <w:t>https://www.sehd.scot.nhs.uk/mels/CEL2012_05.pdf</w:t>
        </w:r>
      </w:hyperlink>
    </w:p>
    <w:p w:rsidR="00020DE5" w:rsidRDefault="00020DE5">
      <w:r>
        <w:t>This CEL states that:</w:t>
      </w:r>
    </w:p>
    <w:p w:rsidR="00B05AE1" w:rsidRDefault="00B05AE1"/>
    <w:p w:rsidR="00020DE5" w:rsidRDefault="00020DE5">
      <w:r>
        <w:t xml:space="preserve">“Where national, regional or local contracts exist (including framework arrangements) the overriding principle is that use of these contracts is mandatory.  Only in exceptional circumstances and only with the authority of the Board’s lead Procurement Manager or the Director of Finance, based on existing schemes of delegation, shall goods or </w:t>
      </w:r>
      <w:r w:rsidR="00225FCB">
        <w:t>services be ordered out-with such contracts.  Procurement leads will work with National Procurement and other national contracting organisations to ensure best value decisions are made, and that a record of exceptions is maintained for review”</w:t>
      </w:r>
    </w:p>
    <w:p w:rsidR="00802D02" w:rsidRDefault="00802D02"/>
    <w:p w:rsidR="002E38DA" w:rsidRDefault="00514CC1">
      <w:r>
        <w:rPr>
          <w:noProof/>
          <w:lang w:eastAsia="en-GB"/>
        </w:rPr>
        <w:lastRenderedPageBreak/>
        <w:drawing>
          <wp:inline distT="0" distB="0" distL="0" distR="0">
            <wp:extent cx="4867275" cy="3762375"/>
            <wp:effectExtent l="19050" t="0" r="9525" b="0"/>
            <wp:docPr id="2" name="Picture 1" descr="Scottish Model of Procur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ish Model of Procurement.jpg"/>
                    <pic:cNvPicPr/>
                  </pic:nvPicPr>
                  <pic:blipFill>
                    <a:blip r:embed="rId11" cstate="print"/>
                    <a:stretch>
                      <a:fillRect/>
                    </a:stretch>
                  </pic:blipFill>
                  <pic:spPr>
                    <a:xfrm>
                      <a:off x="0" y="0"/>
                      <a:ext cx="4867275" cy="3762375"/>
                    </a:xfrm>
                    <a:prstGeom prst="rect">
                      <a:avLst/>
                    </a:prstGeom>
                  </pic:spPr>
                </pic:pic>
              </a:graphicData>
            </a:graphic>
          </wp:inline>
        </w:drawing>
      </w:r>
    </w:p>
    <w:p w:rsidR="007A0AEB" w:rsidRDefault="002E38DA">
      <w:r>
        <w:t>For each procurement project that exceeds £50,000 (‘regulated procurement’)</w:t>
      </w:r>
      <w:r w:rsidR="00514CC1">
        <w:t xml:space="preserve"> we </w:t>
      </w:r>
      <w:r w:rsidR="00F81CF7">
        <w:t xml:space="preserve">will </w:t>
      </w:r>
      <w:r w:rsidR="00514CC1">
        <w:t>develop a sourcing strategy. These strategies are based on tools provided in the Scottish Government’s Procurement Journey</w:t>
      </w:r>
      <w:r w:rsidR="007A0AEB">
        <w:t xml:space="preserve">   </w:t>
      </w:r>
      <w:hyperlink r:id="rId12" w:history="1">
        <w:r w:rsidR="007A0AEB" w:rsidRPr="00B05AE1">
          <w:rPr>
            <w:rStyle w:val="Hyperlink"/>
          </w:rPr>
          <w:t xml:space="preserve">The </w:t>
        </w:r>
        <w:r w:rsidR="00B05AE1" w:rsidRPr="00B05AE1">
          <w:rPr>
            <w:rStyle w:val="Hyperlink"/>
          </w:rPr>
          <w:t xml:space="preserve"> Procurement Journey </w:t>
        </w:r>
      </w:hyperlink>
      <w:r w:rsidR="00B05AE1">
        <w:t xml:space="preserve"> </w:t>
      </w:r>
      <w:r w:rsidR="007A0AEB">
        <w:t xml:space="preserve">is a structured system of processes, managed by Scottish Government, which illustrates each step from identification of need to contract management.   The Procurement Journey is intended to support all procurement activities and help manage expectations of stakeholders, customers and suppliers alike and facilitates best practice and consistency across the Scottish public sector. </w:t>
      </w:r>
    </w:p>
    <w:p w:rsidR="002E38DA" w:rsidRDefault="007A0AEB">
      <w:r>
        <w:t>NHS Golden Jubilee will use the Procurement Journey process and documentation for all regulated procurements.</w:t>
      </w:r>
    </w:p>
    <w:p w:rsidR="002916CE" w:rsidRDefault="00EB5849">
      <w:r>
        <w:t xml:space="preserve">The Board are required to publish annually </w:t>
      </w:r>
      <w:r w:rsidR="005E2179">
        <w:t>within</w:t>
      </w:r>
      <w:r>
        <w:t xml:space="preserve"> the Procurement Annual Report, a list of Contracts that have been awarded within the previous financial yea</w:t>
      </w:r>
      <w:r w:rsidR="0020691E">
        <w:t>r.</w:t>
      </w:r>
    </w:p>
    <w:p w:rsidR="00CC2913" w:rsidRDefault="00CC2913"/>
    <w:p w:rsidR="00CC2913" w:rsidRDefault="00CC2913"/>
    <w:p w:rsidR="00225FCB" w:rsidRDefault="00225FCB"/>
    <w:p w:rsidR="00312779" w:rsidRPr="00CF6B62" w:rsidRDefault="00E23780" w:rsidP="00C60307">
      <w:pPr>
        <w:pStyle w:val="Heading1"/>
      </w:pPr>
      <w:bookmarkStart w:id="4" w:name="_Toc344189"/>
      <w:r w:rsidRPr="00CF6B62">
        <w:lastRenderedPageBreak/>
        <w:t>4.</w:t>
      </w:r>
      <w:r w:rsidRPr="00CF6B62">
        <w:tab/>
        <w:t>Key priorities</w:t>
      </w:r>
      <w:bookmarkEnd w:id="4"/>
    </w:p>
    <w:p w:rsidR="00FB7227" w:rsidRPr="00FB7227" w:rsidRDefault="00395870">
      <w:r>
        <w:t>The purpose of this Strategy is to set out the str</w:t>
      </w:r>
      <w:r w:rsidR="00FB7227">
        <w:t xml:space="preserve">ategic direction for the </w:t>
      </w:r>
      <w:r>
        <w:t xml:space="preserve">Procurement Service for the next 3 years. </w:t>
      </w:r>
      <w:r w:rsidR="00057BDE">
        <w:t xml:space="preserve"> (2021-2024)</w:t>
      </w:r>
      <w:r>
        <w:t xml:space="preserve"> </w:t>
      </w:r>
    </w:p>
    <w:p w:rsidR="00EF587C" w:rsidRDefault="00FB7227">
      <w:r>
        <w:t xml:space="preserve">The key priorities of the </w:t>
      </w:r>
      <w:r w:rsidR="00CE2F0F">
        <w:t>Procurement Service</w:t>
      </w:r>
      <w:r w:rsidR="004073B7">
        <w:t xml:space="preserve">’s Procurement Strategy </w:t>
      </w:r>
      <w:r w:rsidR="00CE2F0F">
        <w:t>are:</w:t>
      </w:r>
    </w:p>
    <w:p w:rsidR="00CE2F0F" w:rsidRDefault="006F69DA" w:rsidP="006F69DA">
      <w:pPr>
        <w:pStyle w:val="ListParagraph"/>
        <w:numPr>
          <w:ilvl w:val="0"/>
          <w:numId w:val="9"/>
        </w:numPr>
        <w:ind w:left="397"/>
      </w:pPr>
      <w:r>
        <w:t xml:space="preserve"> </w:t>
      </w:r>
      <w:r>
        <w:tab/>
      </w:r>
      <w:r w:rsidR="004073B7">
        <w:t xml:space="preserve">Continue the quest for best value </w:t>
      </w:r>
    </w:p>
    <w:p w:rsidR="004073B7" w:rsidRDefault="004073B7" w:rsidP="004073B7">
      <w:r>
        <w:t xml:space="preserve">We will engage with stakeholders and suppliers to </w:t>
      </w:r>
      <w:r w:rsidR="00F81CF7">
        <w:t>identify</w:t>
      </w:r>
      <w:r>
        <w:t xml:space="preserve"> new ways to achieve best value</w:t>
      </w:r>
      <w:r w:rsidR="00F81CF7">
        <w:t xml:space="preserve"> through supportive challenge of specifications and service levels, </w:t>
      </w:r>
      <w:r w:rsidR="00874F1F">
        <w:t>the use of innovative solutions</w:t>
      </w:r>
      <w:r w:rsidR="00F81CF7">
        <w:t xml:space="preserve"> where appropriate, and ongoing engagement with key suppliers</w:t>
      </w:r>
      <w:r w:rsidR="00874F1F">
        <w:t xml:space="preserve"> </w:t>
      </w:r>
      <w:r w:rsidR="00F81CF7">
        <w:t xml:space="preserve">and stakeholders through the </w:t>
      </w:r>
      <w:r w:rsidR="00874F1F">
        <w:t>contract management</w:t>
      </w:r>
      <w:r w:rsidR="00F81CF7">
        <w:t xml:space="preserve"> process post-award. </w:t>
      </w:r>
      <w:r w:rsidR="00B079B9">
        <w:t xml:space="preserve">We will embrace quality improvement with a view to ensuring that our processes are as efficient as they can be for the benefit of our stakeholders, our suppliers and ourselves. </w:t>
      </w:r>
    </w:p>
    <w:p w:rsidR="00CC2913" w:rsidRDefault="00CC2913" w:rsidP="004073B7"/>
    <w:p w:rsidR="006F69DA" w:rsidRDefault="006F69DA" w:rsidP="006F69DA">
      <w:pPr>
        <w:ind w:left="37"/>
      </w:pPr>
      <w:r>
        <w:t>(b)</w:t>
      </w:r>
      <w:r>
        <w:tab/>
        <w:t>Sustainable procurement</w:t>
      </w:r>
    </w:p>
    <w:p w:rsidR="00484D7D" w:rsidRDefault="00484D7D" w:rsidP="006F69DA">
      <w:r>
        <w:t>Sustainable procurement can be defined as “A process whereby organisations meet their needs for goods, services, works and utilities in a way that achieves value for money on a whole life basis and generates benefits not only to the organisation, but also to society, the economy and the environment”.</w:t>
      </w:r>
    </w:p>
    <w:p w:rsidR="004A67A8" w:rsidRDefault="006F69DA" w:rsidP="006F69DA">
      <w:r>
        <w:t>We will continue to develop our practice with respect to sustainable procurement</w:t>
      </w:r>
      <w:r w:rsidR="00B02020">
        <w:t xml:space="preserve"> duty, outlined in Procurement Reform (Scotland) Act 2014 </w:t>
      </w:r>
      <w:r w:rsidR="005C26D7">
        <w:t>-</w:t>
      </w:r>
      <w:r w:rsidR="00B02020">
        <w:t xml:space="preserve"> The susta</w:t>
      </w:r>
      <w:r w:rsidR="00CF0FEF">
        <w:t>inable procurement duty dictates</w:t>
      </w:r>
      <w:r w:rsidR="0020691E">
        <w:t xml:space="preserve"> that before </w:t>
      </w:r>
      <w:r w:rsidR="00CF0FEF">
        <w:t xml:space="preserve">any purchase is made, a contracting authority </w:t>
      </w:r>
      <w:r w:rsidR="00B02020">
        <w:t>must think about how it can improve the social, environmental and economic wellbeing of the area in which it operates with a view to</w:t>
      </w:r>
      <w:r w:rsidR="00FE764E">
        <w:t xml:space="preserve"> reducing inequality.  It also requires the contracting authority to consider how it’</w:t>
      </w:r>
      <w:r w:rsidR="00E9305F">
        <w:t>s procureme</w:t>
      </w:r>
      <w:r w:rsidR="00FE764E">
        <w:t>nt processes can</w:t>
      </w:r>
      <w:r>
        <w:t xml:space="preserve"> broaden access to contracts for Small and Medium Sized Enterprises (SMEs), the third sector and supported businesses</w:t>
      </w:r>
      <w:r w:rsidR="00CF0FEF">
        <w:t xml:space="preserve">. </w:t>
      </w:r>
      <w:r w:rsidR="004A67A8">
        <w:t xml:space="preserve"> There is an expectation that there will be a positive social impact from procurement activity in Scotland.   </w:t>
      </w:r>
    </w:p>
    <w:p w:rsidR="002D7D2E" w:rsidRDefault="004A67A8" w:rsidP="00EB36D9">
      <w:r>
        <w:t>We will continue, at every</w:t>
      </w:r>
      <w:r w:rsidR="0020691E">
        <w:t xml:space="preserve"> opportunity, to </w:t>
      </w:r>
      <w:r w:rsidR="00E9305F">
        <w:t>promote</w:t>
      </w:r>
      <w:r w:rsidR="006F69DA">
        <w:t xml:space="preserve"> innovation and harness more sustainable technologies</w:t>
      </w:r>
      <w:r w:rsidR="00E9305F">
        <w:t xml:space="preserve"> whilst</w:t>
      </w:r>
      <w:r w:rsidR="0020691E">
        <w:t xml:space="preserve"> encouraging </w:t>
      </w:r>
      <w:r w:rsidR="006F69DA">
        <w:t>suppliers to provide more sustainable goods and services</w:t>
      </w:r>
      <w:r w:rsidR="00A86328">
        <w:t xml:space="preserve">.  Scottish Government’s Sustainable Procurement Tools are used to complete each purchasing strategy to provide guidance and indicators for consideration and action for climate change considerations. </w:t>
      </w:r>
      <w:r w:rsidR="00484D7D">
        <w:t>We recognise that Sustainable Procurement is a fundamental principle of all Procurements.</w:t>
      </w:r>
    </w:p>
    <w:p w:rsidR="00CC2913" w:rsidRDefault="00CC2913" w:rsidP="00EB36D9"/>
    <w:p w:rsidR="00EB36D9" w:rsidRDefault="00EB36D9" w:rsidP="00EB36D9">
      <w:r>
        <w:t xml:space="preserve">(c)        </w:t>
      </w:r>
      <w:r w:rsidR="004A67A8">
        <w:t>Promoting Equality and</w:t>
      </w:r>
      <w:r w:rsidR="0020691E">
        <w:t xml:space="preserve"> </w:t>
      </w:r>
      <w:r>
        <w:t>Tack</w:t>
      </w:r>
      <w:r w:rsidR="00E150F1">
        <w:t>l</w:t>
      </w:r>
      <w:r>
        <w:t>ing inequalities</w:t>
      </w:r>
    </w:p>
    <w:p w:rsidR="00EB36D9" w:rsidRDefault="00EB36D9" w:rsidP="006F69DA">
      <w:pPr>
        <w:rPr>
          <w:rFonts w:cs="Arial"/>
        </w:rPr>
      </w:pPr>
      <w:r>
        <w:t xml:space="preserve">We will continue to </w:t>
      </w:r>
      <w:r w:rsidR="00E9305F">
        <w:t>comply with</w:t>
      </w:r>
      <w:r w:rsidR="00CD610A">
        <w:t xml:space="preserve"> the</w:t>
      </w:r>
      <w:r>
        <w:t xml:space="preserve"> </w:t>
      </w:r>
      <w:r>
        <w:rPr>
          <w:rFonts w:cs="Arial"/>
        </w:rPr>
        <w:t xml:space="preserve">legal requirements of the Equality Act 2010 which specifies that procurement should pay due regard to the award criteria (economic viability and performance) and </w:t>
      </w:r>
      <w:r>
        <w:rPr>
          <w:rFonts w:cs="Arial"/>
        </w:rPr>
        <w:lastRenderedPageBreak/>
        <w:t xml:space="preserve">equality considerations.  </w:t>
      </w:r>
      <w:r w:rsidR="00CD610A">
        <w:rPr>
          <w:rFonts w:cs="Arial"/>
        </w:rPr>
        <w:t xml:space="preserve">The Procurement Service has the responsibility for ensuring all procurement meets the requirements of Equality &amp; Diversity Legislation and make </w:t>
      </w:r>
      <w:r>
        <w:rPr>
          <w:rFonts w:cs="Arial"/>
        </w:rPr>
        <w:t>suppliers</w:t>
      </w:r>
      <w:r w:rsidR="00CD610A">
        <w:rPr>
          <w:rFonts w:cs="Arial"/>
        </w:rPr>
        <w:t xml:space="preserve"> aware of the requirement of the Equality Act 2010.  </w:t>
      </w:r>
      <w:r>
        <w:rPr>
          <w:rFonts w:cs="Arial"/>
        </w:rPr>
        <w:t xml:space="preserve"> </w:t>
      </w:r>
      <w:r w:rsidR="00BB5058">
        <w:rPr>
          <w:rFonts w:cs="Arial"/>
        </w:rPr>
        <w:t xml:space="preserve">This is embedded in </w:t>
      </w:r>
      <w:hyperlink r:id="rId13" w:history="1">
        <w:r w:rsidR="00BB5058" w:rsidRPr="00034F01">
          <w:rPr>
            <w:rStyle w:val="Hyperlink"/>
            <w:rFonts w:cs="Arial"/>
          </w:rPr>
          <w:t xml:space="preserve">our </w:t>
        </w:r>
        <w:r w:rsidR="00034F01" w:rsidRPr="00034F01">
          <w:rPr>
            <w:rStyle w:val="Hyperlink"/>
            <w:rFonts w:cs="Arial"/>
          </w:rPr>
          <w:t>Invitation to Tender Documents</w:t>
        </w:r>
      </w:hyperlink>
      <w:r w:rsidR="00BB5058">
        <w:rPr>
          <w:rFonts w:cs="Arial"/>
        </w:rPr>
        <w:t xml:space="preserve"> where suppliers are asked to provide information on Company Policy and Practice to enable us to log market compliance with equality legislation and best practice.</w:t>
      </w:r>
    </w:p>
    <w:p w:rsidR="00CC2913" w:rsidRPr="00FD17D1" w:rsidRDefault="00CC2913" w:rsidP="006F69DA">
      <w:pPr>
        <w:rPr>
          <w:rFonts w:cs="Arial"/>
        </w:rPr>
      </w:pPr>
    </w:p>
    <w:p w:rsidR="004073B7" w:rsidRDefault="006F69DA" w:rsidP="006F69DA">
      <w:pPr>
        <w:ind w:left="37"/>
      </w:pPr>
      <w:r w:rsidRPr="005E2179">
        <w:t>(</w:t>
      </w:r>
      <w:r w:rsidR="00FD17D1" w:rsidRPr="005E2179">
        <w:t>d</w:t>
      </w:r>
      <w:r w:rsidRPr="005E2179">
        <w:t>)</w:t>
      </w:r>
      <w:r w:rsidRPr="005E2179">
        <w:tab/>
      </w:r>
      <w:r w:rsidR="005E2179" w:rsidRPr="0082006C">
        <w:t>C</w:t>
      </w:r>
      <w:r w:rsidR="004073B7" w:rsidRPr="005E2179">
        <w:t>ollaborative working</w:t>
      </w:r>
    </w:p>
    <w:p w:rsidR="005E2179" w:rsidRDefault="004073B7" w:rsidP="004073B7">
      <w:r>
        <w:t xml:space="preserve">We will continue to </w:t>
      </w:r>
      <w:r w:rsidR="005E2179">
        <w:t xml:space="preserve">engage with </w:t>
      </w:r>
      <w:r w:rsidR="0049594E">
        <w:t>NHS national boards</w:t>
      </w:r>
      <w:r w:rsidR="00CF6B62">
        <w:t>’</w:t>
      </w:r>
      <w:r w:rsidR="0049594E">
        <w:t xml:space="preserve"> </w:t>
      </w:r>
      <w:r>
        <w:t>in order to use our resources as efficiently as possible</w:t>
      </w:r>
      <w:r w:rsidR="00B079B9">
        <w:t xml:space="preserve">. We </w:t>
      </w:r>
      <w:r>
        <w:t xml:space="preserve">will seek collaborative opportunities </w:t>
      </w:r>
      <w:r w:rsidR="00B079B9">
        <w:t xml:space="preserve">within the NHS and </w:t>
      </w:r>
      <w:r w:rsidR="00EF3461">
        <w:t xml:space="preserve">beyond </w:t>
      </w:r>
      <w:r>
        <w:t xml:space="preserve">wherever these </w:t>
      </w:r>
      <w:r w:rsidR="00CF0FEF">
        <w:t>have the potential to</w:t>
      </w:r>
      <w:r w:rsidR="005E2179">
        <w:t xml:space="preserve"> </w:t>
      </w:r>
      <w:r w:rsidR="00CF0FEF">
        <w:t>deliver</w:t>
      </w:r>
      <w:r w:rsidR="00F81CF7">
        <w:t xml:space="preserve"> value</w:t>
      </w:r>
      <w:r w:rsidR="00FB7227">
        <w:t xml:space="preserve"> to our Board</w:t>
      </w:r>
      <w:r w:rsidR="00BF5911">
        <w:t>. We will continue to work with the West of Scotland Board</w:t>
      </w:r>
      <w:r w:rsidR="00DF65BD">
        <w:t>s</w:t>
      </w:r>
      <w:r w:rsidR="00BF5911">
        <w:t xml:space="preserve"> </w:t>
      </w:r>
      <w:r w:rsidR="00DF65BD">
        <w:t xml:space="preserve">whilst exploring any opportunities </w:t>
      </w:r>
      <w:r w:rsidR="00895AD4">
        <w:t>Scotland wide</w:t>
      </w:r>
      <w:r w:rsidR="00DF65BD">
        <w:t xml:space="preserve"> </w:t>
      </w:r>
      <w:r w:rsidR="00BF5911">
        <w:t xml:space="preserve">and in particular Lothian Health Board in </w:t>
      </w:r>
      <w:r w:rsidR="00CF0FEF">
        <w:t xml:space="preserve">further </w:t>
      </w:r>
      <w:r w:rsidR="00BF5911">
        <w:t xml:space="preserve">maximising </w:t>
      </w:r>
      <w:r w:rsidR="00DF65BD">
        <w:t xml:space="preserve">both </w:t>
      </w:r>
      <w:r w:rsidR="00BF5911">
        <w:t>joint</w:t>
      </w:r>
      <w:r w:rsidR="00DF65BD">
        <w:t xml:space="preserve"> and cardiac </w:t>
      </w:r>
      <w:r w:rsidR="00895AD4">
        <w:t>device procurements</w:t>
      </w:r>
      <w:r w:rsidR="00BF5911">
        <w:t>.</w:t>
      </w:r>
    </w:p>
    <w:p w:rsidR="00CD610A" w:rsidRPr="00EF587C" w:rsidRDefault="009044EB" w:rsidP="004073B7">
      <w:r w:rsidDel="009044EB">
        <w:t xml:space="preserve"> </w:t>
      </w:r>
    </w:p>
    <w:p w:rsidR="006F69DA" w:rsidRDefault="00FD17D1" w:rsidP="006F69DA">
      <w:r>
        <w:t>(</w:t>
      </w:r>
      <w:r w:rsidR="00537270">
        <w:t>e</w:t>
      </w:r>
      <w:r w:rsidR="006F69DA">
        <w:t>)</w:t>
      </w:r>
      <w:r w:rsidR="006F69DA">
        <w:tab/>
        <w:t>Team development</w:t>
      </w:r>
    </w:p>
    <w:p w:rsidR="006F69DA" w:rsidRDefault="006F69DA" w:rsidP="006F69DA">
      <w:r>
        <w:t xml:space="preserve">In order to achieve the key </w:t>
      </w:r>
      <w:r w:rsidR="004D5D7B">
        <w:t>priorities,</w:t>
      </w:r>
      <w:r>
        <w:t xml:space="preserve"> set out above, we </w:t>
      </w:r>
      <w:r w:rsidR="00CF0FEF">
        <w:t xml:space="preserve">will </w:t>
      </w:r>
      <w:r>
        <w:t xml:space="preserve">continue to develop the skills of </w:t>
      </w:r>
      <w:r w:rsidR="00CF0FEF">
        <w:t xml:space="preserve">procurement </w:t>
      </w:r>
      <w:r>
        <w:t xml:space="preserve">team members </w:t>
      </w:r>
      <w:r w:rsidR="00CD610A">
        <w:t>to ensure</w:t>
      </w:r>
      <w:r>
        <w:t xml:space="preserve"> they </w:t>
      </w:r>
      <w:r w:rsidR="00CF0FEF">
        <w:t>remain capable of delivering a high quality, legally compliant service.</w:t>
      </w:r>
      <w:r>
        <w:t xml:space="preserve">  </w:t>
      </w:r>
      <w:r w:rsidR="00BF5911">
        <w:t xml:space="preserve"> </w:t>
      </w:r>
      <w:r w:rsidR="00FC7ECC">
        <w:t>We will continuously seek innovative ways to recruit and develop new and existing m</w:t>
      </w:r>
      <w:r w:rsidR="005E2179">
        <w:t xml:space="preserve">embers of the team in </w:t>
      </w:r>
      <w:r w:rsidR="00FC7ECC">
        <w:t xml:space="preserve">recognition of the current gap in these skill across the procurement community including the NHS in Scotland.  </w:t>
      </w:r>
      <w:r w:rsidR="00BF5911">
        <w:t>We will work closely with other public sector bodies and further education institutions to maximise these opportunities.</w:t>
      </w:r>
    </w:p>
    <w:p w:rsidR="00395870" w:rsidRPr="00CF6B62" w:rsidRDefault="00395870" w:rsidP="00C60307">
      <w:pPr>
        <w:pStyle w:val="Heading1"/>
      </w:pPr>
      <w:bookmarkStart w:id="5" w:name="_Toc344190"/>
      <w:r w:rsidRPr="00CF6B62">
        <w:t>5.</w:t>
      </w:r>
      <w:r w:rsidRPr="00CF6B62">
        <w:tab/>
        <w:t>Policies</w:t>
      </w:r>
      <w:bookmarkEnd w:id="5"/>
    </w:p>
    <w:p w:rsidR="00B079B9" w:rsidRDefault="00B62E29" w:rsidP="00395870">
      <w:r>
        <w:t xml:space="preserve">In this section, we set out our general policies on a number of key areas, together with a statement on how </w:t>
      </w:r>
      <w:r w:rsidR="006F69DA">
        <w:t xml:space="preserve">we </w:t>
      </w:r>
      <w:r>
        <w:t>will monitor these over the period of the strategy.</w:t>
      </w:r>
    </w:p>
    <w:p w:rsidR="00B62E29" w:rsidRPr="00B62E29" w:rsidRDefault="0020691E" w:rsidP="00B62E29">
      <w:pPr>
        <w:rPr>
          <w:b/>
        </w:rPr>
      </w:pPr>
      <w:r>
        <w:rPr>
          <w:b/>
        </w:rPr>
        <w:t xml:space="preserve">5.1 </w:t>
      </w:r>
      <w:r w:rsidR="001D60A7">
        <w:rPr>
          <w:b/>
        </w:rPr>
        <w:t>P</w:t>
      </w:r>
      <w:r w:rsidR="00B62E29" w:rsidRPr="00B62E29">
        <w:rPr>
          <w:b/>
        </w:rPr>
        <w:t>olicy on the use of community benefits</w:t>
      </w:r>
      <w:r w:rsidR="00B62E29">
        <w:rPr>
          <w:b/>
        </w:rPr>
        <w:t xml:space="preserve"> in our contracts</w:t>
      </w:r>
    </w:p>
    <w:p w:rsidR="00264C5B" w:rsidRPr="00264C5B" w:rsidRDefault="0041367F" w:rsidP="00264C5B">
      <w:pPr>
        <w:spacing w:before="150" w:after="150" w:line="300" w:lineRule="atLeast"/>
        <w:rPr>
          <w:rFonts w:eastAsia="Times New Roman" w:cs="Arial"/>
          <w:color w:val="333333"/>
          <w:lang w:val="en-US" w:eastAsia="en-GB"/>
        </w:rPr>
      </w:pPr>
      <w:r>
        <w:rPr>
          <w:rFonts w:eastAsia="Times New Roman" w:cs="Arial"/>
          <w:color w:val="333333"/>
          <w:lang w:val="en-US" w:eastAsia="en-GB"/>
        </w:rPr>
        <w:t xml:space="preserve">In support of our commitment to the Sustainable Procurement Duty, we </w:t>
      </w:r>
      <w:r w:rsidR="009044EB">
        <w:rPr>
          <w:rFonts w:eastAsia="Times New Roman" w:cs="Arial"/>
          <w:color w:val="333333"/>
          <w:lang w:val="en-US" w:eastAsia="en-GB"/>
        </w:rPr>
        <w:t xml:space="preserve">commit to maximizing Community Benefits from procurement activities.  </w:t>
      </w:r>
      <w:r w:rsidR="00264C5B" w:rsidRPr="00264C5B">
        <w:rPr>
          <w:rFonts w:eastAsia="Times New Roman" w:cs="Arial"/>
          <w:color w:val="333333"/>
          <w:lang w:val="en-US" w:eastAsia="en-GB"/>
        </w:rPr>
        <w:t xml:space="preserve">Community Benefit Clauses are contractual clauses which can be used to build a range of economic, social or environmental conditions into the delivery of public contracts. </w:t>
      </w:r>
      <w:r w:rsidR="00264C5B">
        <w:rPr>
          <w:rFonts w:eastAsia="Times New Roman" w:cs="Arial"/>
          <w:color w:val="333333"/>
          <w:lang w:val="en-US" w:eastAsia="en-GB"/>
        </w:rPr>
        <w:t>They</w:t>
      </w:r>
      <w:r w:rsidR="00264C5B" w:rsidRPr="00264C5B">
        <w:rPr>
          <w:rFonts w:eastAsia="Times New Roman" w:cs="Arial"/>
          <w:color w:val="333333"/>
          <w:lang w:val="en-US" w:eastAsia="en-GB"/>
        </w:rPr>
        <w:t xml:space="preserve"> can contribut</w:t>
      </w:r>
      <w:r w:rsidR="00264C5B">
        <w:rPr>
          <w:rFonts w:eastAsia="Times New Roman" w:cs="Arial"/>
          <w:color w:val="333333"/>
          <w:lang w:val="en-US" w:eastAsia="en-GB"/>
        </w:rPr>
        <w:t xml:space="preserve">e to </w:t>
      </w:r>
      <w:r w:rsidR="00264C5B" w:rsidRPr="00264C5B">
        <w:rPr>
          <w:rFonts w:eastAsia="Times New Roman" w:cs="Arial"/>
          <w:color w:val="333333"/>
          <w:lang w:val="en-US" w:eastAsia="en-GB"/>
        </w:rPr>
        <w:t xml:space="preserve">sustainable procurement </w:t>
      </w:r>
      <w:r w:rsidR="00264C5B">
        <w:rPr>
          <w:rFonts w:eastAsia="Times New Roman" w:cs="Arial"/>
          <w:color w:val="333333"/>
          <w:lang w:val="en-US" w:eastAsia="en-GB"/>
        </w:rPr>
        <w:t>and enable</w:t>
      </w:r>
      <w:r w:rsidR="00264C5B" w:rsidRPr="004D5D7B">
        <w:rPr>
          <w:rFonts w:eastAsia="Times New Roman" w:cs="Arial"/>
          <w:color w:val="333333"/>
          <w:lang w:eastAsia="en-GB"/>
        </w:rPr>
        <w:t xml:space="preserve"> </w:t>
      </w:r>
      <w:r w:rsidR="0040429A" w:rsidRPr="004D5D7B">
        <w:rPr>
          <w:rFonts w:eastAsia="Times New Roman" w:cs="Arial"/>
          <w:color w:val="333333"/>
          <w:lang w:eastAsia="en-GB"/>
        </w:rPr>
        <w:t>o</w:t>
      </w:r>
      <w:r w:rsidR="00264C5B" w:rsidRPr="004D5D7B">
        <w:rPr>
          <w:rFonts w:eastAsia="Times New Roman" w:cs="Arial"/>
          <w:color w:val="333333"/>
          <w:lang w:eastAsia="en-GB"/>
        </w:rPr>
        <w:t>rganisations</w:t>
      </w:r>
      <w:r w:rsidR="00264C5B" w:rsidRPr="00264C5B">
        <w:rPr>
          <w:rFonts w:eastAsia="Times New Roman" w:cs="Arial"/>
          <w:color w:val="333333"/>
          <w:lang w:val="en-US" w:eastAsia="en-GB"/>
        </w:rPr>
        <w:t xml:space="preserve"> to contribute to the achievement of outcomes which deliver social benefit</w:t>
      </w:r>
      <w:r w:rsidR="00264C5B">
        <w:rPr>
          <w:rFonts w:eastAsia="Times New Roman" w:cs="Arial"/>
          <w:color w:val="333333"/>
          <w:lang w:val="en-US" w:eastAsia="en-GB"/>
        </w:rPr>
        <w:t>s</w:t>
      </w:r>
      <w:r w:rsidR="00264C5B" w:rsidRPr="00264C5B">
        <w:rPr>
          <w:rFonts w:eastAsia="Times New Roman" w:cs="Arial"/>
          <w:color w:val="333333"/>
          <w:lang w:val="en-US" w:eastAsia="en-GB"/>
        </w:rPr>
        <w:t>.</w:t>
      </w:r>
    </w:p>
    <w:p w:rsidR="00264C5B" w:rsidRDefault="00264C5B" w:rsidP="00264C5B">
      <w:pPr>
        <w:spacing w:before="150" w:after="150" w:line="300" w:lineRule="atLeast"/>
        <w:rPr>
          <w:rFonts w:eastAsia="Times New Roman" w:cs="Arial"/>
          <w:color w:val="333333"/>
          <w:lang w:val="en-US" w:eastAsia="en-GB"/>
        </w:rPr>
      </w:pPr>
      <w:r>
        <w:rPr>
          <w:rFonts w:eastAsia="Times New Roman" w:cs="Arial"/>
          <w:color w:val="333333"/>
          <w:lang w:val="en-US" w:eastAsia="en-GB"/>
        </w:rPr>
        <w:t xml:space="preserve">These </w:t>
      </w:r>
      <w:r w:rsidR="00EB36D9">
        <w:rPr>
          <w:rFonts w:eastAsia="Times New Roman" w:cs="Arial"/>
          <w:color w:val="333333"/>
          <w:lang w:val="en-US" w:eastAsia="en-GB"/>
        </w:rPr>
        <w:t xml:space="preserve">will </w:t>
      </w:r>
      <w:r>
        <w:rPr>
          <w:rFonts w:eastAsia="Times New Roman" w:cs="Arial"/>
          <w:color w:val="333333"/>
          <w:lang w:val="en-US" w:eastAsia="en-GB"/>
        </w:rPr>
        <w:t>include:</w:t>
      </w:r>
    </w:p>
    <w:p w:rsidR="00264C5B" w:rsidRDefault="00264C5B" w:rsidP="00264C5B">
      <w:pPr>
        <w:pStyle w:val="ListParagraph"/>
        <w:numPr>
          <w:ilvl w:val="0"/>
          <w:numId w:val="1"/>
        </w:numPr>
        <w:spacing w:before="150" w:after="150" w:line="300" w:lineRule="atLeast"/>
        <w:rPr>
          <w:rFonts w:eastAsia="Times New Roman" w:cs="Arial"/>
          <w:color w:val="333333"/>
          <w:lang w:val="en-US" w:eastAsia="en-GB"/>
        </w:rPr>
      </w:pPr>
      <w:r>
        <w:rPr>
          <w:rFonts w:eastAsia="Times New Roman" w:cs="Arial"/>
          <w:color w:val="333333"/>
          <w:lang w:val="en-US" w:eastAsia="en-GB"/>
        </w:rPr>
        <w:t>Creating opportunities</w:t>
      </w:r>
      <w:r w:rsidR="00974E4B">
        <w:rPr>
          <w:rFonts w:eastAsia="Times New Roman" w:cs="Arial"/>
          <w:color w:val="333333"/>
          <w:lang w:val="en-US" w:eastAsia="en-GB"/>
        </w:rPr>
        <w:t xml:space="preserve"> for supported businesses and third sector</w:t>
      </w:r>
      <w:r w:rsidR="00974E4B" w:rsidRPr="004D5D7B">
        <w:rPr>
          <w:rFonts w:eastAsia="Times New Roman" w:cs="Arial"/>
          <w:color w:val="333333"/>
          <w:lang w:eastAsia="en-GB"/>
        </w:rPr>
        <w:t xml:space="preserve"> organisations</w:t>
      </w:r>
      <w:r w:rsidR="00974E4B">
        <w:rPr>
          <w:rFonts w:eastAsia="Times New Roman" w:cs="Arial"/>
          <w:color w:val="333333"/>
          <w:lang w:val="en-US" w:eastAsia="en-GB"/>
        </w:rPr>
        <w:t xml:space="preserve"> to deliver public services</w:t>
      </w:r>
    </w:p>
    <w:p w:rsidR="00974E4B" w:rsidRDefault="00974E4B" w:rsidP="00264C5B">
      <w:pPr>
        <w:pStyle w:val="ListParagraph"/>
        <w:numPr>
          <w:ilvl w:val="0"/>
          <w:numId w:val="1"/>
        </w:numPr>
        <w:spacing w:before="150" w:after="150" w:line="300" w:lineRule="atLeast"/>
        <w:rPr>
          <w:rFonts w:eastAsia="Times New Roman" w:cs="Arial"/>
          <w:color w:val="333333"/>
          <w:lang w:val="en-US" w:eastAsia="en-GB"/>
        </w:rPr>
      </w:pPr>
      <w:r>
        <w:rPr>
          <w:rFonts w:eastAsia="Times New Roman" w:cs="Arial"/>
          <w:color w:val="333333"/>
          <w:lang w:val="en-US" w:eastAsia="en-GB"/>
        </w:rPr>
        <w:t>Employment and training opportunities for the long term unemployed and disadvantaged individuals</w:t>
      </w:r>
    </w:p>
    <w:p w:rsidR="00974E4B" w:rsidRDefault="00974E4B" w:rsidP="00264C5B">
      <w:pPr>
        <w:pStyle w:val="ListParagraph"/>
        <w:numPr>
          <w:ilvl w:val="0"/>
          <w:numId w:val="1"/>
        </w:numPr>
        <w:spacing w:before="150" w:after="150" w:line="300" w:lineRule="atLeast"/>
        <w:rPr>
          <w:rFonts w:eastAsia="Times New Roman" w:cs="Arial"/>
          <w:color w:val="333333"/>
          <w:lang w:val="en-US" w:eastAsia="en-GB"/>
        </w:rPr>
      </w:pPr>
      <w:r>
        <w:rPr>
          <w:rFonts w:eastAsia="Times New Roman" w:cs="Arial"/>
          <w:color w:val="333333"/>
          <w:lang w:val="en-US" w:eastAsia="en-GB"/>
        </w:rPr>
        <w:lastRenderedPageBreak/>
        <w:t>Creating opportunities for SMEs to deliver public services</w:t>
      </w:r>
    </w:p>
    <w:p w:rsidR="00974E4B" w:rsidRDefault="00974E4B" w:rsidP="00264C5B">
      <w:pPr>
        <w:pStyle w:val="ListParagraph"/>
        <w:numPr>
          <w:ilvl w:val="0"/>
          <w:numId w:val="1"/>
        </w:numPr>
        <w:spacing w:before="150" w:after="150" w:line="300" w:lineRule="atLeast"/>
        <w:rPr>
          <w:rFonts w:eastAsia="Times New Roman" w:cs="Arial"/>
          <w:color w:val="333333"/>
          <w:lang w:val="en-US" w:eastAsia="en-GB"/>
        </w:rPr>
      </w:pPr>
      <w:r>
        <w:rPr>
          <w:rFonts w:eastAsia="Times New Roman" w:cs="Arial"/>
          <w:color w:val="333333"/>
          <w:lang w:val="en-US" w:eastAsia="en-GB"/>
        </w:rPr>
        <w:t>Environmental activities</w:t>
      </w:r>
    </w:p>
    <w:p w:rsidR="00974E4B" w:rsidRPr="00264C5B" w:rsidRDefault="00974E4B" w:rsidP="00264C5B">
      <w:pPr>
        <w:pStyle w:val="ListParagraph"/>
        <w:numPr>
          <w:ilvl w:val="0"/>
          <w:numId w:val="1"/>
        </w:numPr>
        <w:spacing w:before="150" w:after="150" w:line="300" w:lineRule="atLeast"/>
        <w:rPr>
          <w:rFonts w:eastAsia="Times New Roman" w:cs="Arial"/>
          <w:color w:val="333333"/>
          <w:lang w:val="en-US" w:eastAsia="en-GB"/>
        </w:rPr>
      </w:pPr>
      <w:r>
        <w:rPr>
          <w:rFonts w:eastAsia="Times New Roman" w:cs="Arial"/>
          <w:color w:val="333333"/>
          <w:lang w:val="en-US" w:eastAsia="en-GB"/>
        </w:rPr>
        <w:t>Support for community initiatives</w:t>
      </w:r>
    </w:p>
    <w:p w:rsidR="00802D02" w:rsidRDefault="009044EB" w:rsidP="007F55E4">
      <w:r>
        <w:t>The Public Contracts (Scotland) Regulations 2015 enables public bodies to include Community Benefits in the process</w:t>
      </w:r>
      <w:r w:rsidR="00802D02">
        <w:t xml:space="preserve"> and we will </w:t>
      </w:r>
      <w:r w:rsidR="00FC7ECC">
        <w:t xml:space="preserve">continue to </w:t>
      </w:r>
      <w:r w:rsidR="00802D02">
        <w:t>assess all regulated procurements for inclusion of Community Benefit Clauses.</w:t>
      </w:r>
    </w:p>
    <w:p w:rsidR="007F55E4" w:rsidRPr="00B62E29" w:rsidRDefault="007F55E4" w:rsidP="007F55E4">
      <w:r>
        <w:t xml:space="preserve">We will monitor the community benefits achieved and report </w:t>
      </w:r>
      <w:r w:rsidR="00415F37">
        <w:t>this i</w:t>
      </w:r>
      <w:r w:rsidR="00DA23DD">
        <w:t>n</w:t>
      </w:r>
      <w:r w:rsidR="00790385">
        <w:t xml:space="preserve"> The</w:t>
      </w:r>
      <w:r w:rsidR="00415F37">
        <w:t xml:space="preserve"> Annual </w:t>
      </w:r>
      <w:r w:rsidR="00790385">
        <w:t xml:space="preserve">Procurement </w:t>
      </w:r>
      <w:r w:rsidR="00415F37">
        <w:t>Report</w:t>
      </w:r>
      <w:r w:rsidR="00974E4B">
        <w:t>.</w:t>
      </w:r>
    </w:p>
    <w:p w:rsidR="00DF6B9E" w:rsidRDefault="00DF6B9E" w:rsidP="007F55E4">
      <w:pPr>
        <w:rPr>
          <w:b/>
        </w:rPr>
      </w:pPr>
    </w:p>
    <w:p w:rsidR="007F55E4" w:rsidRPr="00B62E29" w:rsidRDefault="007F55E4" w:rsidP="007F55E4">
      <w:pPr>
        <w:rPr>
          <w:b/>
        </w:rPr>
      </w:pPr>
      <w:r>
        <w:rPr>
          <w:b/>
        </w:rPr>
        <w:t>5.2</w:t>
      </w:r>
      <w:r w:rsidR="00815FA2">
        <w:rPr>
          <w:b/>
        </w:rPr>
        <w:t xml:space="preserve">      </w:t>
      </w:r>
      <w:r w:rsidR="001D60A7">
        <w:rPr>
          <w:b/>
        </w:rPr>
        <w:t>P</w:t>
      </w:r>
      <w:r w:rsidRPr="00B62E29">
        <w:rPr>
          <w:b/>
        </w:rPr>
        <w:t xml:space="preserve">olicy on consulting and engaging with those affected by </w:t>
      </w:r>
      <w:r>
        <w:rPr>
          <w:b/>
        </w:rPr>
        <w:t>our</w:t>
      </w:r>
      <w:r w:rsidRPr="00B62E29">
        <w:rPr>
          <w:b/>
        </w:rPr>
        <w:t xml:space="preserve"> procurements</w:t>
      </w:r>
    </w:p>
    <w:p w:rsidR="007F55E4" w:rsidRPr="00DA23DD" w:rsidRDefault="00DA23DD" w:rsidP="007F55E4">
      <w:r w:rsidRPr="00DA23DD">
        <w:t>The</w:t>
      </w:r>
      <w:r>
        <w:t xml:space="preserve"> Procurement Service works with </w:t>
      </w:r>
      <w:r w:rsidR="00802D02">
        <w:t>Technical User Groups (TUGs) for key projects. TUG members</w:t>
      </w:r>
      <w:r w:rsidR="00E420F7">
        <w:t xml:space="preserve"> may include </w:t>
      </w:r>
      <w:r w:rsidR="00974E4B">
        <w:t>users of the goods or services, budget holders, senior management</w:t>
      </w:r>
      <w:r w:rsidR="00E420F7">
        <w:t>,</w:t>
      </w:r>
      <w:r w:rsidR="00974E4B">
        <w:t xml:space="preserve"> subject matter experts</w:t>
      </w:r>
      <w:r w:rsidR="00E420F7">
        <w:t xml:space="preserve"> </w:t>
      </w:r>
      <w:r w:rsidR="00790385">
        <w:t xml:space="preserve">and </w:t>
      </w:r>
      <w:r w:rsidR="00E420F7">
        <w:t>staff representatives</w:t>
      </w:r>
      <w:r w:rsidR="00790385">
        <w:t xml:space="preserve"> when appropriate</w:t>
      </w:r>
      <w:r w:rsidR="00974E4B">
        <w:t>.</w:t>
      </w:r>
      <w:r w:rsidR="00790385">
        <w:t xml:space="preserve">  Each TUG will have delegated authority for decision making and product/service selection</w:t>
      </w:r>
      <w:r w:rsidR="00802D02">
        <w:t xml:space="preserve"> for local contracts and will represent NHS Golden Jubilee at National Commodity Advisory Group Panels (CAP) for national contracting activity.</w:t>
      </w:r>
    </w:p>
    <w:p w:rsidR="00B62E29" w:rsidRPr="00B62E29" w:rsidRDefault="00DA23DD" w:rsidP="00B62E29">
      <w:r>
        <w:t xml:space="preserve">We will record any complaints about failure to consult and report this in </w:t>
      </w:r>
      <w:r w:rsidR="00790385">
        <w:t>The</w:t>
      </w:r>
      <w:r w:rsidR="005E2179">
        <w:t xml:space="preserve"> </w:t>
      </w:r>
      <w:r>
        <w:t>Annual</w:t>
      </w:r>
      <w:r w:rsidR="00790385">
        <w:t xml:space="preserve"> Procurement</w:t>
      </w:r>
      <w:r>
        <w:t xml:space="preserve"> Report.</w:t>
      </w:r>
    </w:p>
    <w:p w:rsidR="00B62E29" w:rsidRPr="00B62E29" w:rsidRDefault="00432A1B" w:rsidP="00B62E29">
      <w:pPr>
        <w:ind w:left="720" w:hanging="720"/>
        <w:rPr>
          <w:b/>
        </w:rPr>
      </w:pPr>
      <w:r>
        <w:rPr>
          <w:b/>
        </w:rPr>
        <w:t>5.</w:t>
      </w:r>
      <w:r w:rsidR="00B62E29" w:rsidRPr="00B62E29">
        <w:rPr>
          <w:b/>
        </w:rPr>
        <w:t>3</w:t>
      </w:r>
      <w:r w:rsidR="00B62E29" w:rsidRPr="00B62E29">
        <w:rPr>
          <w:b/>
        </w:rPr>
        <w:tab/>
      </w:r>
      <w:r w:rsidR="00B62E29" w:rsidRPr="0040429A">
        <w:rPr>
          <w:b/>
        </w:rPr>
        <w:t>Policy on the payment of a living wage to persons involved in producing, providing or constructing the subject matter of regulated procurements</w:t>
      </w:r>
    </w:p>
    <w:p w:rsidR="00120100" w:rsidRDefault="0040429A" w:rsidP="00B62E29">
      <w:r>
        <w:t>NHS Golden Jubilee understand that public procurement is a key driver of policy development and service delivery which supports sustainable economic growth and, as such,</w:t>
      </w:r>
      <w:r w:rsidR="00B62E29" w:rsidRPr="00B62E29">
        <w:t xml:space="preserve"> supports the right of employees to earn a</w:t>
      </w:r>
      <w:r w:rsidR="005128BE">
        <w:t xml:space="preserve"> fair wage. The Board </w:t>
      </w:r>
      <w:r w:rsidR="00B62E29" w:rsidRPr="00B62E29">
        <w:t>is not permitted to</w:t>
      </w:r>
      <w:r w:rsidR="00E420F7">
        <w:t xml:space="preserve"> mandate</w:t>
      </w:r>
      <w:r w:rsidR="00B62E29" w:rsidRPr="00B62E29">
        <w:t xml:space="preserve"> the application of the Living Wage within its supplier community. However, </w:t>
      </w:r>
      <w:r w:rsidR="006F69DA">
        <w:t>we</w:t>
      </w:r>
      <w:r w:rsidR="00B62E29" w:rsidRPr="00B62E29">
        <w:t xml:space="preserve"> will work with suppliers through contract and supplier management, and through addressing fair work practices in procurement processes to encourage suppliers to pay the Living Wage within their staff structures. </w:t>
      </w:r>
      <w:r w:rsidR="00B22D98">
        <w:t xml:space="preserve">We will </w:t>
      </w:r>
      <w:hyperlink r:id="rId14" w:history="1">
        <w:r w:rsidR="00B22D98" w:rsidRPr="00034F01">
          <w:rPr>
            <w:rStyle w:val="Hyperlink"/>
          </w:rPr>
          <w:t xml:space="preserve">apply </w:t>
        </w:r>
        <w:r w:rsidR="00C87E27" w:rsidRPr="00034F01">
          <w:rPr>
            <w:rStyle w:val="Hyperlink"/>
          </w:rPr>
          <w:t xml:space="preserve"> Fair Work First criteria</w:t>
        </w:r>
      </w:hyperlink>
      <w:r w:rsidR="00B22D98">
        <w:t xml:space="preserve"> ,including fair pay for workers,</w:t>
      </w:r>
      <w:r w:rsidR="00C87E27">
        <w:t xml:space="preserve"> in in any regulated procurement process where relevant and proportionate to do so.</w:t>
      </w:r>
      <w:r w:rsidR="00B62E29" w:rsidRPr="00B62E29">
        <w:t xml:space="preserve"> </w:t>
      </w:r>
      <w:r w:rsidR="00790385">
        <w:t>The compliance of k</w:t>
      </w:r>
      <w:r w:rsidR="00120100">
        <w:t xml:space="preserve">ey suppliers </w:t>
      </w:r>
      <w:r w:rsidR="00E420F7">
        <w:t>will be monitored through the contract management process.</w:t>
      </w:r>
    </w:p>
    <w:p w:rsidR="00CC2913" w:rsidRDefault="00CC2913" w:rsidP="00B62E29"/>
    <w:p w:rsidR="00CC2913" w:rsidRDefault="00CC2913" w:rsidP="00B62E29"/>
    <w:p w:rsidR="00B62E29" w:rsidRPr="00B62E29" w:rsidRDefault="00432A1B" w:rsidP="00B62E29">
      <w:pPr>
        <w:ind w:left="720" w:hanging="720"/>
        <w:rPr>
          <w:b/>
        </w:rPr>
      </w:pPr>
      <w:r>
        <w:rPr>
          <w:b/>
        </w:rPr>
        <w:t>5.</w:t>
      </w:r>
      <w:r w:rsidR="00CF6B62">
        <w:rPr>
          <w:b/>
        </w:rPr>
        <w:t>4</w:t>
      </w:r>
      <w:r w:rsidR="00B62E29" w:rsidRPr="00B62E29">
        <w:rPr>
          <w:b/>
        </w:rPr>
        <w:tab/>
        <w:t>Policy on promoting compliance by contractors and sub-contractors with the Health and Safety at Work etc</w:t>
      </w:r>
      <w:r w:rsidR="0020691E">
        <w:rPr>
          <w:b/>
        </w:rPr>
        <w:t>.</w:t>
      </w:r>
      <w:r w:rsidR="00B62E29" w:rsidRPr="00B62E29">
        <w:rPr>
          <w:b/>
        </w:rPr>
        <w:t xml:space="preserve"> Act 1974 and any provision made under that Act</w:t>
      </w:r>
    </w:p>
    <w:p w:rsidR="00120100" w:rsidRDefault="00790385" w:rsidP="00E420F7">
      <w:r>
        <w:t>NHS Golden Jubilee</w:t>
      </w:r>
      <w:r w:rsidR="00B62E29" w:rsidRPr="00B62E29">
        <w:t xml:space="preserve"> has a policy for the Management of Contractors which is aimed at promoting compliance with the Health and Safety at Work etc</w:t>
      </w:r>
      <w:r w:rsidR="0020691E">
        <w:t>.</w:t>
      </w:r>
      <w:r w:rsidR="00B62E29" w:rsidRPr="00B62E29">
        <w:t xml:space="preserve"> Act 1974, and a broad range of other health and </w:t>
      </w:r>
      <w:r w:rsidR="00B62E29" w:rsidRPr="00B62E29">
        <w:lastRenderedPageBreak/>
        <w:t>safety legislation. This policy is provided to contractors and they are required to comply with it. In addition, the Service uses standard NHS terms and conditions of contract which require contractors to comply with health and safety legislation, and provide remedies for any failure to comply with this.</w:t>
      </w:r>
      <w:r w:rsidR="00E420F7">
        <w:t xml:space="preserve"> </w:t>
      </w:r>
      <w:r w:rsidR="007B247E">
        <w:t xml:space="preserve">Key suppliers </w:t>
      </w:r>
      <w:r w:rsidR="00E420F7">
        <w:t xml:space="preserve">will be monitored through the contract management process. </w:t>
      </w:r>
    </w:p>
    <w:p w:rsidR="00B62E29" w:rsidRPr="00B62E29" w:rsidRDefault="00432A1B" w:rsidP="00B62E29">
      <w:pPr>
        <w:rPr>
          <w:b/>
        </w:rPr>
      </w:pPr>
      <w:r>
        <w:rPr>
          <w:b/>
        </w:rPr>
        <w:t>5.</w:t>
      </w:r>
      <w:r w:rsidR="00CF6B62">
        <w:rPr>
          <w:b/>
        </w:rPr>
        <w:t>5</w:t>
      </w:r>
      <w:r w:rsidR="00B62E29" w:rsidRPr="00B62E29">
        <w:rPr>
          <w:b/>
        </w:rPr>
        <w:tab/>
        <w:t>Policy on the procurement of fairly and ethically traded goods and services</w:t>
      </w:r>
    </w:p>
    <w:p w:rsidR="00E150F1" w:rsidRDefault="00790385" w:rsidP="00B62E29">
      <w:r>
        <w:t>NHS Golden Jubilee</w:t>
      </w:r>
      <w:r w:rsidR="00B62E29" w:rsidRPr="00B62E29">
        <w:t xml:space="preserve"> will consider the requirement for specifying fairly traded and ethically traded goods and services in relevant procurements on a case by case basis, as set out in its sustainable procurement policy. </w:t>
      </w:r>
      <w:r w:rsidR="00514663">
        <w:t xml:space="preserve"> </w:t>
      </w:r>
      <w:r w:rsidR="00E150F1">
        <w:t xml:space="preserve">The Board will adopt the guidance from both, the Scottish Government, and the Chartered Institute of Purchasing and Supply with the aim to eliminate Modern Slavery and Human Trafficking from within its supply chain.     </w:t>
      </w:r>
    </w:p>
    <w:p w:rsidR="00DF6B9E" w:rsidRDefault="00790385" w:rsidP="00B62E29">
      <w:r>
        <w:t>NHS Golden Jubilee currently procure only</w:t>
      </w:r>
      <w:r w:rsidR="00514663">
        <w:t xml:space="preserve"> minimal amounts of goods and services that </w:t>
      </w:r>
      <w:r w:rsidR="003D19A5">
        <w:t>c</w:t>
      </w:r>
      <w:r w:rsidR="00514663">
        <w:t>ould have a fair trade or ethical trade implication</w:t>
      </w:r>
      <w:r w:rsidR="00120100">
        <w:t>s</w:t>
      </w:r>
      <w:r w:rsidR="00514663">
        <w:t xml:space="preserve">, and most of these commodity areas would be covered by National Procurement framework contracts e.g. staff uniforms (cotton content), </w:t>
      </w:r>
      <w:r w:rsidR="00DF6B9E">
        <w:t>foodstuff</w:t>
      </w:r>
    </w:p>
    <w:p w:rsidR="00DF6B9E" w:rsidRDefault="00DF6B9E" w:rsidP="00B62E29"/>
    <w:p w:rsidR="00B62E29" w:rsidRPr="00B62E29" w:rsidRDefault="00432A1B" w:rsidP="00B62E29">
      <w:pPr>
        <w:rPr>
          <w:rFonts w:cs="Arial"/>
          <w:b/>
        </w:rPr>
      </w:pPr>
      <w:r>
        <w:rPr>
          <w:rFonts w:cs="Arial"/>
          <w:b/>
        </w:rPr>
        <w:t>5.</w:t>
      </w:r>
      <w:r w:rsidR="00CF6B62">
        <w:rPr>
          <w:rFonts w:cs="Arial"/>
          <w:b/>
        </w:rPr>
        <w:t>6</w:t>
      </w:r>
      <w:r w:rsidR="00B62E29" w:rsidRPr="00B62E29">
        <w:rPr>
          <w:rFonts w:cs="Arial"/>
          <w:b/>
        </w:rPr>
        <w:tab/>
        <w:t>Policy on how it intends its approach to regulated procurements involving food to:</w:t>
      </w:r>
    </w:p>
    <w:p w:rsidR="00B62E29" w:rsidRPr="00B62E29" w:rsidRDefault="00B62E29" w:rsidP="00B62E29">
      <w:pPr>
        <w:pStyle w:val="ListParagraph"/>
        <w:numPr>
          <w:ilvl w:val="0"/>
          <w:numId w:val="5"/>
        </w:numPr>
        <w:rPr>
          <w:rFonts w:cs="Arial"/>
          <w:b/>
        </w:rPr>
      </w:pPr>
      <w:r w:rsidRPr="00B62E29">
        <w:rPr>
          <w:rFonts w:cs="Arial"/>
          <w:b/>
        </w:rPr>
        <w:t>improve the health, wellbeing and education of communities in the authority’s area</w:t>
      </w:r>
    </w:p>
    <w:p w:rsidR="00B62E29" w:rsidRDefault="00B62E29" w:rsidP="00036610">
      <w:pPr>
        <w:pStyle w:val="ListParagraph"/>
        <w:numPr>
          <w:ilvl w:val="0"/>
          <w:numId w:val="5"/>
        </w:numPr>
        <w:rPr>
          <w:rFonts w:cs="Arial"/>
          <w:b/>
        </w:rPr>
      </w:pPr>
      <w:r w:rsidRPr="00B62E29">
        <w:rPr>
          <w:rFonts w:cs="Arial"/>
          <w:b/>
        </w:rPr>
        <w:t>promote the highest standards of animal welfare</w:t>
      </w:r>
      <w:r w:rsidR="00036610">
        <w:rPr>
          <w:rFonts w:cs="Arial"/>
          <w:b/>
        </w:rPr>
        <w:t>.</w:t>
      </w:r>
    </w:p>
    <w:p w:rsidR="00036610" w:rsidRDefault="00036610" w:rsidP="00036610">
      <w:pPr>
        <w:pStyle w:val="ListParagraph"/>
        <w:ind w:hanging="720"/>
        <w:rPr>
          <w:rFonts w:cs="Arial"/>
          <w:b/>
        </w:rPr>
      </w:pPr>
    </w:p>
    <w:p w:rsidR="00B62E29" w:rsidRPr="00B62E29" w:rsidRDefault="00790385" w:rsidP="00B62E29">
      <w:pPr>
        <w:pStyle w:val="ListParagraph"/>
        <w:ind w:left="0"/>
        <w:rPr>
          <w:rFonts w:cs="Arial"/>
        </w:rPr>
      </w:pPr>
      <w:r>
        <w:rPr>
          <w:rFonts w:cs="Arial"/>
        </w:rPr>
        <w:t xml:space="preserve">NHS Golden Jubilee </w:t>
      </w:r>
      <w:r w:rsidR="00036610">
        <w:rPr>
          <w:rFonts w:cs="Arial"/>
        </w:rPr>
        <w:t>promot</w:t>
      </w:r>
      <w:r w:rsidR="00885EE4">
        <w:rPr>
          <w:rFonts w:cs="Arial"/>
        </w:rPr>
        <w:t xml:space="preserve">es the use of National Framework Contracts to procure all food required for both patients and staff and therefore the requirement to undertake regulated procurements in respect of food and related provisions is rare.  Any regulated procurement required in respect of food will reflect the requirements noted above. </w:t>
      </w:r>
    </w:p>
    <w:p w:rsidR="00B62E29" w:rsidRPr="00B62E29" w:rsidRDefault="00432A1B" w:rsidP="00B62E29">
      <w:pPr>
        <w:rPr>
          <w:rFonts w:cs="Arial"/>
          <w:b/>
        </w:rPr>
      </w:pPr>
      <w:r>
        <w:rPr>
          <w:rFonts w:cs="Arial"/>
          <w:b/>
        </w:rPr>
        <w:t>5.</w:t>
      </w:r>
      <w:r w:rsidR="00CF6B62">
        <w:rPr>
          <w:rFonts w:cs="Arial"/>
          <w:b/>
        </w:rPr>
        <w:t>7</w:t>
      </w:r>
      <w:r w:rsidR="00B62E29" w:rsidRPr="00B62E29">
        <w:rPr>
          <w:rFonts w:cs="Arial"/>
          <w:b/>
        </w:rPr>
        <w:tab/>
      </w:r>
      <w:r w:rsidR="00B62E29" w:rsidRPr="0040429A">
        <w:rPr>
          <w:rFonts w:cs="Arial"/>
          <w:b/>
        </w:rPr>
        <w:t>Payment processes</w:t>
      </w:r>
    </w:p>
    <w:p w:rsidR="0040429A" w:rsidRPr="0082006C" w:rsidRDefault="0040429A" w:rsidP="0040429A">
      <w:pPr>
        <w:rPr>
          <w:rFonts w:cs="Arial"/>
          <w:b/>
        </w:rPr>
      </w:pPr>
      <w:r w:rsidRPr="0082006C">
        <w:rPr>
          <w:rFonts w:cs="Arial"/>
          <w:b/>
        </w:rPr>
        <w:t>Scottish Government legislation requires all public bodies to pay invoices within 30 days.</w:t>
      </w:r>
    </w:p>
    <w:p w:rsidR="00B62E29" w:rsidRPr="00B62E29" w:rsidRDefault="001E378A" w:rsidP="0040429A">
      <w:r>
        <w:t>NHS Golden Jubilee</w:t>
      </w:r>
      <w:r w:rsidR="005128BE">
        <w:t xml:space="preserve"> has</w:t>
      </w:r>
      <w:r w:rsidR="00120100">
        <w:t xml:space="preserve"> </w:t>
      </w:r>
      <w:r w:rsidR="00B62E29" w:rsidRPr="00B62E29">
        <w:t>polic</w:t>
      </w:r>
      <w:r w:rsidR="00120100">
        <w:t xml:space="preserve">ies on </w:t>
      </w:r>
      <w:r w:rsidR="00B62E29" w:rsidRPr="00B62E29">
        <w:t>the Prompt Payment of Suppliers. Th</w:t>
      </w:r>
      <w:r w:rsidR="0049594E">
        <w:t xml:space="preserve">ese </w:t>
      </w:r>
      <w:r w:rsidR="00B62E29" w:rsidRPr="00B62E29">
        <w:t>polic</w:t>
      </w:r>
      <w:r w:rsidR="0049594E">
        <w:t>ies</w:t>
      </w:r>
      <w:r w:rsidR="00B62E29" w:rsidRPr="00B62E29">
        <w:t xml:space="preserve"> state that approved invoices will be paid within 30 days, although the</w:t>
      </w:r>
      <w:r w:rsidR="005128BE">
        <w:t xml:space="preserve"> </w:t>
      </w:r>
      <w:r w:rsidR="00B62E29" w:rsidRPr="00B62E29">
        <w:t>Finance Department aim to achieve payment within 10 days.</w:t>
      </w:r>
      <w:r w:rsidR="0055402A">
        <w:t xml:space="preserve">  The procurement service will</w:t>
      </w:r>
      <w:r w:rsidR="005E2179">
        <w:t xml:space="preserve"> continue to ensure that all goo</w:t>
      </w:r>
      <w:r w:rsidR="0055402A">
        <w:t>ds &amp; services are receipted to allow payment as soon as possible after a successful delivery or provision of service.</w:t>
      </w:r>
    </w:p>
    <w:p w:rsidR="00B62E29" w:rsidRPr="00B62E29" w:rsidRDefault="00B62E29" w:rsidP="00B62E29">
      <w:r w:rsidRPr="00B62E29">
        <w:t xml:space="preserve">In addition, the </w:t>
      </w:r>
      <w:r w:rsidR="0049594E">
        <w:t xml:space="preserve">Procurement </w:t>
      </w:r>
      <w:r w:rsidRPr="00B62E29">
        <w:t>Service uses standard NHS terms and conditions of contract which require contractors to pay their sub-contractors within 30 days. If this does not occur, s</w:t>
      </w:r>
      <w:r w:rsidR="000C24EA">
        <w:t>ub-contractors may apply to our Board</w:t>
      </w:r>
      <w:r w:rsidR="0049594E">
        <w:t xml:space="preserve"> </w:t>
      </w:r>
      <w:r w:rsidRPr="00B62E29">
        <w:t xml:space="preserve">for support to resolve the matter. </w:t>
      </w:r>
    </w:p>
    <w:p w:rsidR="00EB36D9" w:rsidRDefault="0055402A" w:rsidP="00B62E29">
      <w:r>
        <w:t>NHS Golden Jubilee</w:t>
      </w:r>
      <w:r w:rsidR="000C24EA">
        <w:t xml:space="preserve"> </w:t>
      </w:r>
      <w:r>
        <w:t>complies with the</w:t>
      </w:r>
      <w:r w:rsidR="00B62E29" w:rsidRPr="00B62E29">
        <w:t xml:space="preserve"> NHS policy on ‘No PO no pay’ (i.e. invoices must quote purchase order numbers). </w:t>
      </w:r>
      <w:r w:rsidR="000C24EA">
        <w:t>Any Invoice</w:t>
      </w:r>
      <w:r w:rsidR="00B62E29" w:rsidRPr="00B62E29">
        <w:t xml:space="preserve"> without a</w:t>
      </w:r>
      <w:r w:rsidR="000C24EA">
        <w:t xml:space="preserve"> valid purchase order number is</w:t>
      </w:r>
      <w:r w:rsidR="00B62E29" w:rsidRPr="00B62E29">
        <w:t xml:space="preserve"> returned to </w:t>
      </w:r>
      <w:r w:rsidR="000C24EA">
        <w:t xml:space="preserve">the </w:t>
      </w:r>
      <w:r w:rsidR="000C24EA">
        <w:lastRenderedPageBreak/>
        <w:t>supplier</w:t>
      </w:r>
      <w:r w:rsidR="00B62E29" w:rsidRPr="00B62E29">
        <w:t xml:space="preserve">. The requirement for invoices to show order numbers is made clear in the </w:t>
      </w:r>
      <w:r w:rsidR="0049594E">
        <w:t>NHS</w:t>
      </w:r>
      <w:r w:rsidR="00B62E29" w:rsidRPr="00B62E29">
        <w:t xml:space="preserve"> terms and conditions of contract</w:t>
      </w:r>
      <w:r w:rsidR="0049594E">
        <w:t>.</w:t>
      </w:r>
    </w:p>
    <w:p w:rsidR="00C10D18" w:rsidRPr="0020691E" w:rsidRDefault="00C10D18" w:rsidP="00B62E29">
      <w:r w:rsidRPr="0020691E">
        <w:t>5.8</w:t>
      </w:r>
      <w:r w:rsidRPr="0020691E">
        <w:tab/>
      </w:r>
      <w:r w:rsidRPr="0020691E">
        <w:rPr>
          <w:b/>
        </w:rPr>
        <w:t>National Whistleblowing Standards</w:t>
      </w:r>
    </w:p>
    <w:p w:rsidR="00C10D18" w:rsidRPr="0020691E" w:rsidRDefault="00C10D18" w:rsidP="00B62E29">
      <w:r w:rsidRPr="0020691E">
        <w:t>NHS Golden Jubilee has implemented systems to ensure compliance with the National Whistleblowing Standards</w:t>
      </w:r>
      <w:r w:rsidR="007C4523" w:rsidRPr="0020691E">
        <w:t xml:space="preserve">. As a requirement </w:t>
      </w:r>
      <w:r w:rsidRPr="0020691E">
        <w:t xml:space="preserve">of the Standards, </w:t>
      </w:r>
      <w:r w:rsidR="007C4523" w:rsidRPr="0020691E">
        <w:t>NHS Golden Jubilee will ensure that contactors are aware of their responsibilities and the requirements of Standards.</w:t>
      </w:r>
    </w:p>
    <w:p w:rsidR="00432A1B" w:rsidRPr="00CF6B62" w:rsidRDefault="00432A1B" w:rsidP="001A5114">
      <w:pPr>
        <w:pStyle w:val="Heading1"/>
      </w:pPr>
      <w:bookmarkStart w:id="6" w:name="_Toc344191"/>
      <w:r w:rsidRPr="00CF6B62">
        <w:t>6.</w:t>
      </w:r>
      <w:r w:rsidRPr="00CF6B62">
        <w:tab/>
        <w:t>Annual Procurement Report</w:t>
      </w:r>
      <w:bookmarkEnd w:id="6"/>
    </w:p>
    <w:p w:rsidR="00B62E29" w:rsidRPr="00B62E29" w:rsidRDefault="0055402A" w:rsidP="00B62E29">
      <w:r>
        <w:t>The implementation</w:t>
      </w:r>
      <w:r w:rsidR="00C569CB">
        <w:t xml:space="preserve"> of the procurement strategy is underpinned by the implementation of annual work plans.  Thes</w:t>
      </w:r>
      <w:r w:rsidR="005E2179">
        <w:t>e</w:t>
      </w:r>
      <w:r w:rsidR="00C569CB">
        <w:t xml:space="preserve"> plans are subject to continuous review by the Head of Procurement and reported to key stakeholders within the board on a quarterly basis.</w:t>
      </w:r>
    </w:p>
    <w:p w:rsidR="00C569CB" w:rsidRDefault="00144B8C" w:rsidP="00432A1B">
      <w:r>
        <w:t>T</w:t>
      </w:r>
      <w:r w:rsidRPr="00B62E29">
        <w:t>he Procurement Reform (Scotland) Act 2014</w:t>
      </w:r>
      <w:r>
        <w:t xml:space="preserve"> required the Board </w:t>
      </w:r>
      <w:r w:rsidR="00C569CB">
        <w:t xml:space="preserve">Commence publication of an annual report </w:t>
      </w:r>
      <w:r w:rsidR="00E07D56">
        <w:t>for each financial year within 5</w:t>
      </w:r>
      <w:r w:rsidR="00C569CB">
        <w:t xml:space="preserve"> months of the end of the previous financial year.  The annual report for financial year 2019/20 was published </w:t>
      </w:r>
      <w:r w:rsidR="00F803FB">
        <w:t>28</w:t>
      </w:r>
      <w:r w:rsidR="00F803FB" w:rsidRPr="0020691E">
        <w:rPr>
          <w:vertAlign w:val="superscript"/>
        </w:rPr>
        <w:t>th</w:t>
      </w:r>
      <w:r w:rsidR="00F803FB">
        <w:t xml:space="preserve"> August 2020</w:t>
      </w:r>
      <w:r w:rsidR="00C569CB">
        <w:t xml:space="preserve"> and the report for 2020/21 is on target to be published within the required timeframe.</w:t>
      </w:r>
    </w:p>
    <w:p w:rsidR="00C569CB" w:rsidRDefault="00C569CB" w:rsidP="00432A1B"/>
    <w:p w:rsidR="00432A1B" w:rsidRPr="00B62E29" w:rsidRDefault="00144B8C" w:rsidP="00432A1B">
      <w:r>
        <w:t xml:space="preserve">The </w:t>
      </w:r>
      <w:r w:rsidR="0049594E">
        <w:t>A</w:t>
      </w:r>
      <w:r w:rsidR="00432A1B" w:rsidRPr="00B62E29">
        <w:t xml:space="preserve">nnual </w:t>
      </w:r>
      <w:r w:rsidR="0049594E">
        <w:t>Procurement R</w:t>
      </w:r>
      <w:r>
        <w:t xml:space="preserve">eport was signed off </w:t>
      </w:r>
      <w:r w:rsidR="002916CE">
        <w:t xml:space="preserve">at Silver Command on </w:t>
      </w:r>
      <w:r w:rsidR="001F01D2">
        <w:t>25</w:t>
      </w:r>
      <w:r w:rsidR="001F01D2" w:rsidRPr="001F01D2">
        <w:rPr>
          <w:vertAlign w:val="superscript"/>
        </w:rPr>
        <w:t>th</w:t>
      </w:r>
      <w:r w:rsidR="001F01D2">
        <w:t xml:space="preserve"> August 2020 </w:t>
      </w:r>
      <w:r w:rsidR="00036610">
        <w:t>and comprised the following information as required by the Procurement Reform (Scotland) Act 2014:</w:t>
      </w:r>
    </w:p>
    <w:p w:rsidR="00432A1B" w:rsidRPr="00B62E29" w:rsidRDefault="00432A1B" w:rsidP="00432A1B">
      <w:pPr>
        <w:pStyle w:val="ListParagraph"/>
        <w:numPr>
          <w:ilvl w:val="0"/>
          <w:numId w:val="4"/>
        </w:numPr>
        <w:rPr>
          <w:rFonts w:cs="Arial"/>
        </w:rPr>
      </w:pPr>
      <w:r w:rsidRPr="00B62E29">
        <w:rPr>
          <w:rFonts w:cs="Arial"/>
        </w:rPr>
        <w:t>A summary of the regulated procurements that have been completed during the period covered by the report.</w:t>
      </w:r>
    </w:p>
    <w:p w:rsidR="00432A1B" w:rsidRPr="00B62E29" w:rsidRDefault="00432A1B" w:rsidP="00432A1B">
      <w:pPr>
        <w:pStyle w:val="ListParagraph"/>
        <w:numPr>
          <w:ilvl w:val="0"/>
          <w:numId w:val="4"/>
        </w:numPr>
        <w:rPr>
          <w:rFonts w:cs="Arial"/>
        </w:rPr>
      </w:pPr>
      <w:r w:rsidRPr="00B62E29">
        <w:rPr>
          <w:rFonts w:cs="Arial"/>
        </w:rPr>
        <w:t>A review of whether those procurements complied with this strategy for regulated procurements.</w:t>
      </w:r>
    </w:p>
    <w:p w:rsidR="00432A1B" w:rsidRPr="00B62E29" w:rsidRDefault="00432A1B" w:rsidP="00432A1B">
      <w:pPr>
        <w:pStyle w:val="ListParagraph"/>
        <w:numPr>
          <w:ilvl w:val="0"/>
          <w:numId w:val="4"/>
        </w:numPr>
        <w:rPr>
          <w:rFonts w:cs="Arial"/>
        </w:rPr>
      </w:pPr>
      <w:r w:rsidRPr="00B62E29">
        <w:rPr>
          <w:rFonts w:cs="Arial"/>
        </w:rPr>
        <w:t>If any regulated procurements did not comply with this strategy for regulated procurements, a statement of how the Service intends to ensure that future regulated procurements do comply.</w:t>
      </w:r>
    </w:p>
    <w:p w:rsidR="00432A1B" w:rsidRPr="00B62E29" w:rsidRDefault="00432A1B" w:rsidP="00432A1B">
      <w:pPr>
        <w:pStyle w:val="ListParagraph"/>
        <w:numPr>
          <w:ilvl w:val="0"/>
          <w:numId w:val="4"/>
        </w:numPr>
        <w:rPr>
          <w:rFonts w:cs="Arial"/>
        </w:rPr>
      </w:pPr>
      <w:r w:rsidRPr="00B62E29">
        <w:rPr>
          <w:rFonts w:cs="Arial"/>
        </w:rPr>
        <w:t>A summary of any community benefit requirements imposed as part of a regulated procurement that were fulfilled during the period covered by the report.</w:t>
      </w:r>
    </w:p>
    <w:p w:rsidR="00432A1B" w:rsidRPr="00B62E29" w:rsidRDefault="00432A1B" w:rsidP="00432A1B">
      <w:pPr>
        <w:pStyle w:val="ListParagraph"/>
        <w:numPr>
          <w:ilvl w:val="0"/>
          <w:numId w:val="4"/>
        </w:numPr>
        <w:rPr>
          <w:rFonts w:cs="Arial"/>
        </w:rPr>
      </w:pPr>
      <w:r w:rsidRPr="00B62E29">
        <w:rPr>
          <w:rFonts w:cs="Arial"/>
        </w:rPr>
        <w:t>A summary of any steps taken to facilitate the involvement of supported businesses in regulated procurements during the period covered by the report.</w:t>
      </w:r>
    </w:p>
    <w:p w:rsidR="00432A1B" w:rsidRDefault="00432A1B" w:rsidP="00C95498">
      <w:pPr>
        <w:pStyle w:val="ListParagraph"/>
        <w:numPr>
          <w:ilvl w:val="0"/>
          <w:numId w:val="4"/>
        </w:numPr>
        <w:rPr>
          <w:rFonts w:cs="Arial"/>
        </w:rPr>
      </w:pPr>
      <w:r w:rsidRPr="00B62E29">
        <w:rPr>
          <w:rFonts w:cs="Arial"/>
        </w:rPr>
        <w:t>A summary of the regulated procurements that the Service expects to commence in the next two financial years.</w:t>
      </w:r>
      <w:r w:rsidRPr="00C95498">
        <w:rPr>
          <w:rFonts w:cs="Arial"/>
        </w:rPr>
        <w:t xml:space="preserve"> </w:t>
      </w:r>
    </w:p>
    <w:p w:rsidR="00EB36D9" w:rsidRPr="00B62E29" w:rsidRDefault="00EB36D9" w:rsidP="00EB36D9">
      <w:pPr>
        <w:pStyle w:val="ListParagraph"/>
        <w:numPr>
          <w:ilvl w:val="0"/>
          <w:numId w:val="4"/>
        </w:numPr>
        <w:rPr>
          <w:rFonts w:cs="Arial"/>
        </w:rPr>
      </w:pPr>
      <w:r>
        <w:rPr>
          <w:rFonts w:cs="Arial"/>
        </w:rPr>
        <w:t>Details on how the procurement service pays due regard to equality and achieve the equality objectives in line with the Equality and Human Rights Commission guidance</w:t>
      </w:r>
    </w:p>
    <w:p w:rsidR="00EB36D9" w:rsidRPr="00C95498" w:rsidRDefault="00EB36D9" w:rsidP="00895AD4">
      <w:pPr>
        <w:pStyle w:val="ListParagraph"/>
        <w:ind w:left="750"/>
        <w:rPr>
          <w:rFonts w:cs="Arial"/>
        </w:rPr>
      </w:pPr>
    </w:p>
    <w:p w:rsidR="00395870" w:rsidRPr="00CF6B62" w:rsidRDefault="00395870" w:rsidP="001A5114">
      <w:pPr>
        <w:pStyle w:val="Heading1"/>
      </w:pPr>
      <w:bookmarkStart w:id="7" w:name="_Toc344192"/>
      <w:r w:rsidRPr="00CF6B62">
        <w:lastRenderedPageBreak/>
        <w:t>7.</w:t>
      </w:r>
      <w:r w:rsidRPr="00CF6B62">
        <w:tab/>
        <w:t>Strategy ownership and contact details</w:t>
      </w:r>
      <w:bookmarkEnd w:id="7"/>
    </w:p>
    <w:p w:rsidR="00B449D8" w:rsidRDefault="00432A1B" w:rsidP="00F31DA2">
      <w:r>
        <w:t>The owner of this Strategy on behalf o</w:t>
      </w:r>
      <w:r w:rsidR="00036610">
        <w:t>f the Golden Jubilee Foundation</w:t>
      </w:r>
      <w:r>
        <w:t xml:space="preserve"> </w:t>
      </w:r>
      <w:r w:rsidR="00B449D8">
        <w:t xml:space="preserve">is </w:t>
      </w:r>
      <w:r w:rsidR="003D19A5">
        <w:t xml:space="preserve">the </w:t>
      </w:r>
      <w:r w:rsidR="00B449D8">
        <w:t>Head of Procurement. The Strategy covers the period 1</w:t>
      </w:r>
      <w:r w:rsidR="00B449D8" w:rsidRPr="00B449D8">
        <w:rPr>
          <w:vertAlign w:val="superscript"/>
        </w:rPr>
        <w:t>st</w:t>
      </w:r>
      <w:r w:rsidR="00E07D56">
        <w:t xml:space="preserve"> September</w:t>
      </w:r>
      <w:r w:rsidR="00AD7D39">
        <w:t xml:space="preserve"> 2021</w:t>
      </w:r>
      <w:r w:rsidR="00B449D8">
        <w:t xml:space="preserve"> – 31</w:t>
      </w:r>
      <w:r w:rsidR="00B449D8" w:rsidRPr="00B449D8">
        <w:rPr>
          <w:vertAlign w:val="superscript"/>
        </w:rPr>
        <w:t>st</w:t>
      </w:r>
      <w:r w:rsidR="00AD7D39">
        <w:t xml:space="preserve"> March 2024</w:t>
      </w:r>
      <w:r w:rsidR="00B449D8">
        <w:t xml:space="preserve"> and will be reviewed at least once a year. </w:t>
      </w:r>
    </w:p>
    <w:p w:rsidR="00FD46E9" w:rsidRDefault="00B449D8" w:rsidP="00F31DA2">
      <w:r>
        <w:t xml:space="preserve">The Strategy will </w:t>
      </w:r>
      <w:r w:rsidR="00036610">
        <w:t xml:space="preserve">be published on the Golden Jubilee Foundation’s website. </w:t>
      </w:r>
      <w:r>
        <w:t xml:space="preserve">Any amendments to this Strategy will be similarly published. </w:t>
      </w:r>
    </w:p>
    <w:p w:rsidR="00B449D8" w:rsidRDefault="00B449D8" w:rsidP="00B449D8">
      <w:pPr>
        <w:spacing w:after="0"/>
      </w:pPr>
      <w:r>
        <w:t xml:space="preserve">Head of Procurement </w:t>
      </w:r>
    </w:p>
    <w:p w:rsidR="00B449D8" w:rsidRDefault="00036610" w:rsidP="00B449D8">
      <w:pPr>
        <w:spacing w:after="0"/>
      </w:pPr>
      <w:r>
        <w:t>The Golden Jubilee Foundation</w:t>
      </w:r>
    </w:p>
    <w:p w:rsidR="00B449D8" w:rsidRDefault="00036610" w:rsidP="00B449D8">
      <w:pPr>
        <w:spacing w:after="0"/>
      </w:pPr>
      <w:r>
        <w:t>Agamemnon St</w:t>
      </w:r>
    </w:p>
    <w:p w:rsidR="00B449D8" w:rsidRDefault="00036610" w:rsidP="00B449D8">
      <w:pPr>
        <w:spacing w:after="0"/>
      </w:pPr>
      <w:r>
        <w:t>Clydebank</w:t>
      </w:r>
    </w:p>
    <w:p w:rsidR="00036610" w:rsidRDefault="00036610" w:rsidP="00B449D8">
      <w:pPr>
        <w:spacing w:after="0"/>
      </w:pPr>
      <w:r>
        <w:t>West Dunbartonshire</w:t>
      </w:r>
    </w:p>
    <w:p w:rsidR="00B449D8" w:rsidRDefault="00036610" w:rsidP="00B449D8">
      <w:pPr>
        <w:spacing w:after="0"/>
      </w:pPr>
      <w:r>
        <w:t>G81 4DY</w:t>
      </w:r>
    </w:p>
    <w:p w:rsidR="00B449D8" w:rsidRDefault="00B449D8" w:rsidP="00B449D8">
      <w:pPr>
        <w:spacing w:after="0"/>
      </w:pPr>
    </w:p>
    <w:p w:rsidR="00036610" w:rsidRDefault="00B449D8" w:rsidP="00895AD4">
      <w:pPr>
        <w:spacing w:after="0"/>
      </w:pPr>
      <w:r>
        <w:t>Email:</w:t>
      </w:r>
      <w:r w:rsidR="00236046">
        <w:t xml:space="preserve"> </w:t>
      </w:r>
      <w:hyperlink r:id="rId15" w:history="1">
        <w:r w:rsidR="00236046" w:rsidRPr="00DF06BC">
          <w:rPr>
            <w:rStyle w:val="Hyperlink"/>
          </w:rPr>
          <w:t>angela.smith@gjnh.scot.nhs.uk</w:t>
        </w:r>
      </w:hyperlink>
    </w:p>
    <w:p w:rsidR="00236046" w:rsidRPr="00312779" w:rsidRDefault="00236046" w:rsidP="00895AD4">
      <w:pPr>
        <w:spacing w:after="0"/>
      </w:pPr>
    </w:p>
    <w:sectPr w:rsidR="00236046" w:rsidRPr="00312779" w:rsidSect="00AD5F6E">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07E" w:rsidRDefault="0003507E" w:rsidP="0017605C">
      <w:pPr>
        <w:spacing w:after="0" w:line="240" w:lineRule="auto"/>
      </w:pPr>
      <w:r>
        <w:separator/>
      </w:r>
    </w:p>
  </w:endnote>
  <w:endnote w:type="continuationSeparator" w:id="0">
    <w:p w:rsidR="0003507E" w:rsidRDefault="0003507E" w:rsidP="00176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3A6" w:rsidRPr="002D401A" w:rsidRDefault="000A03A6" w:rsidP="000A03A6">
    <w:pPr>
      <w:pStyle w:val="Footer"/>
      <w:jc w:val="right"/>
      <w:rPr>
        <w:sz w:val="20"/>
        <w:szCs w:val="20"/>
      </w:rPr>
    </w:pPr>
    <w:r>
      <w:rPr>
        <w:sz w:val="20"/>
        <w:szCs w:val="20"/>
      </w:rPr>
      <w:t>Document No 2021PS</w:t>
    </w:r>
    <w:r w:rsidRPr="002D401A">
      <w:rPr>
        <w:sz w:val="20"/>
        <w:szCs w:val="20"/>
      </w:rPr>
      <w:t xml:space="preserve">001       </w:t>
    </w:r>
  </w:p>
  <w:p w:rsidR="000A03A6" w:rsidRPr="002D401A" w:rsidRDefault="000A03A6" w:rsidP="000A03A6">
    <w:pPr>
      <w:pStyle w:val="Footer"/>
      <w:jc w:val="right"/>
      <w:rPr>
        <w:sz w:val="20"/>
        <w:szCs w:val="20"/>
      </w:rPr>
    </w:pPr>
    <w:r>
      <w:rPr>
        <w:sz w:val="20"/>
        <w:szCs w:val="20"/>
      </w:rPr>
      <w:t>Revision</w:t>
    </w:r>
    <w:r w:rsidRPr="002D401A">
      <w:rPr>
        <w:sz w:val="20"/>
        <w:szCs w:val="20"/>
      </w:rPr>
      <w:t xml:space="preserve"> </w:t>
    </w:r>
    <w:r w:rsidR="000D4765">
      <w:rPr>
        <w:sz w:val="20"/>
        <w:szCs w:val="20"/>
      </w:rPr>
      <w:t>2</w:t>
    </w:r>
    <w:r w:rsidRPr="002D401A">
      <w:rPr>
        <w:sz w:val="20"/>
        <w:szCs w:val="20"/>
      </w:rPr>
      <w:t>.0</w:t>
    </w:r>
  </w:p>
  <w:p w:rsidR="000A03A6" w:rsidRDefault="00D16296" w:rsidP="000A03A6">
    <w:pPr>
      <w:pStyle w:val="Footer"/>
      <w:jc w:val="right"/>
      <w:rPr>
        <w:sz w:val="20"/>
        <w:szCs w:val="20"/>
      </w:rPr>
    </w:pPr>
    <w:r>
      <w:rPr>
        <w:sz w:val="20"/>
        <w:szCs w:val="20"/>
      </w:rPr>
      <w:t xml:space="preserve">Issued </w:t>
    </w:r>
    <w:r w:rsidR="000D4765">
      <w:rPr>
        <w:sz w:val="20"/>
        <w:szCs w:val="20"/>
      </w:rPr>
      <w:t xml:space="preserve">June </w:t>
    </w:r>
    <w:r w:rsidR="000A03A6">
      <w:rPr>
        <w:sz w:val="20"/>
        <w:szCs w:val="20"/>
      </w:rPr>
      <w:t>2021</w:t>
    </w:r>
  </w:p>
  <w:p w:rsidR="007F5A0A" w:rsidRPr="002D401A" w:rsidRDefault="007F5A0A" w:rsidP="000A03A6">
    <w:pPr>
      <w:pStyle w:val="Footer"/>
      <w:jc w:val="right"/>
      <w:rPr>
        <w:sz w:val="20"/>
        <w:szCs w:val="20"/>
      </w:rPr>
    </w:pPr>
  </w:p>
  <w:p w:rsidR="000A03A6" w:rsidRDefault="007F5A0A">
    <w:pPr>
      <w:pStyle w:val="Footer"/>
    </w:pPr>
    <w:r>
      <w:t>NHS Golden Jubilee is the brand name for NHS National Waiting Times Centre Board</w:t>
    </w:r>
  </w:p>
  <w:p w:rsidR="00E150F1" w:rsidRDefault="00E15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4695"/>
      <w:docPartObj>
        <w:docPartGallery w:val="Page Numbers (Bottom of Page)"/>
        <w:docPartUnique/>
      </w:docPartObj>
    </w:sdtPr>
    <w:sdtEndPr/>
    <w:sdtContent>
      <w:p w:rsidR="00E150F1" w:rsidRDefault="00112EE6">
        <w:pPr>
          <w:pStyle w:val="Footer"/>
          <w:jc w:val="center"/>
        </w:pPr>
        <w:r>
          <w:rPr>
            <w:noProof/>
          </w:rPr>
          <w:fldChar w:fldCharType="begin"/>
        </w:r>
        <w:r>
          <w:rPr>
            <w:noProof/>
          </w:rPr>
          <w:instrText xml:space="preserve"> PAGE   \* MERGEFORMAT </w:instrText>
        </w:r>
        <w:r>
          <w:rPr>
            <w:noProof/>
          </w:rPr>
          <w:fldChar w:fldCharType="separate"/>
        </w:r>
        <w:r w:rsidR="00C13585">
          <w:rPr>
            <w:noProof/>
          </w:rPr>
          <w:t>10</w:t>
        </w:r>
        <w:r>
          <w:rPr>
            <w:noProof/>
          </w:rPr>
          <w:fldChar w:fldCharType="end"/>
        </w:r>
      </w:p>
    </w:sdtContent>
  </w:sdt>
  <w:p w:rsidR="00E150F1" w:rsidRDefault="00E15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07E" w:rsidRDefault="0003507E" w:rsidP="0017605C">
      <w:pPr>
        <w:spacing w:after="0" w:line="240" w:lineRule="auto"/>
      </w:pPr>
      <w:r>
        <w:separator/>
      </w:r>
    </w:p>
  </w:footnote>
  <w:footnote w:type="continuationSeparator" w:id="0">
    <w:p w:rsidR="0003507E" w:rsidRDefault="0003507E" w:rsidP="00176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3A6" w:rsidRDefault="00C13585" w:rsidP="0017605C">
    <w:pPr>
      <w:pStyle w:val="Footer"/>
      <w:tabs>
        <w:tab w:val="left" w:pos="5280"/>
      </w:tabs>
    </w:pPr>
    <w:sdt>
      <w:sdtPr>
        <w:id w:val="1280376678"/>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150F1">
      <w:t xml:space="preserve">   </w:t>
    </w:r>
    <w:r w:rsidR="00E150F1">
      <w:tab/>
    </w:r>
    <w:r w:rsidR="000A03A6">
      <w:tab/>
    </w:r>
    <w:r w:rsidR="000A03A6">
      <w:tab/>
    </w:r>
  </w:p>
  <w:p w:rsidR="000A03A6" w:rsidRDefault="000A03A6" w:rsidP="0017605C">
    <w:pPr>
      <w:pStyle w:val="Footer"/>
      <w:tabs>
        <w:tab w:val="left" w:pos="5280"/>
      </w:tabs>
    </w:pPr>
  </w:p>
  <w:p w:rsidR="00E150F1" w:rsidRDefault="000A03A6" w:rsidP="0017605C">
    <w:pPr>
      <w:pStyle w:val="Footer"/>
      <w:tabs>
        <w:tab w:val="left" w:pos="5280"/>
      </w:tabs>
    </w:pPr>
    <w:r>
      <w:tab/>
    </w:r>
    <w:r>
      <w:tab/>
    </w:r>
    <w:r>
      <w:tab/>
    </w:r>
    <w:r>
      <w:rPr>
        <w:noProof/>
        <w:lang w:eastAsia="en-GB"/>
      </w:rPr>
      <w:drawing>
        <wp:inline distT="0" distB="0" distL="0" distR="0">
          <wp:extent cx="908050" cy="628650"/>
          <wp:effectExtent l="0" t="0" r="0" b="0"/>
          <wp:docPr id="4" name="Picture 4" descr="http://jubileestaffnet/files/5315/7467/3008/GJ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ubileestaffnet/files/5315/7467/3008/GJ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382" cy="636495"/>
                  </a:xfrm>
                  <a:prstGeom prst="rect">
                    <a:avLst/>
                  </a:prstGeom>
                  <a:noFill/>
                  <a:ln>
                    <a:noFill/>
                  </a:ln>
                </pic:spPr>
              </pic:pic>
            </a:graphicData>
          </a:graphic>
        </wp:inline>
      </w:drawing>
    </w:r>
    <w:r w:rsidR="00E150F1">
      <w:tab/>
    </w:r>
    <w:r w:rsidR="00E150F1">
      <w:tab/>
    </w:r>
  </w:p>
  <w:p w:rsidR="00E150F1" w:rsidRDefault="000A03A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519A5"/>
    <w:multiLevelType w:val="hybridMultilevel"/>
    <w:tmpl w:val="B60A1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393423"/>
    <w:multiLevelType w:val="hybridMultilevel"/>
    <w:tmpl w:val="AD3A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A2253"/>
    <w:multiLevelType w:val="hybridMultilevel"/>
    <w:tmpl w:val="DF02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F0EA7"/>
    <w:multiLevelType w:val="multilevel"/>
    <w:tmpl w:val="B96E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05280"/>
    <w:multiLevelType w:val="hybridMultilevel"/>
    <w:tmpl w:val="4C50F1F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5" w15:restartNumberingAfterBreak="0">
    <w:nsid w:val="4AFE3733"/>
    <w:multiLevelType w:val="hybridMultilevel"/>
    <w:tmpl w:val="B30A03C4"/>
    <w:lvl w:ilvl="0" w:tplc="08090005">
      <w:start w:val="1"/>
      <w:numFmt w:val="bullet"/>
      <w:lvlText w:val=""/>
      <w:lvlJc w:val="left"/>
      <w:pPr>
        <w:ind w:left="2190" w:hanging="360"/>
      </w:pPr>
      <w:rPr>
        <w:rFonts w:ascii="Wingdings" w:hAnsi="Wingdings" w:hint="default"/>
      </w:rPr>
    </w:lvl>
    <w:lvl w:ilvl="1" w:tplc="08090003" w:tentative="1">
      <w:start w:val="1"/>
      <w:numFmt w:val="bullet"/>
      <w:lvlText w:val="o"/>
      <w:lvlJc w:val="left"/>
      <w:pPr>
        <w:ind w:left="2910" w:hanging="360"/>
      </w:pPr>
      <w:rPr>
        <w:rFonts w:ascii="Courier New" w:hAnsi="Courier New" w:cs="Courier New" w:hint="default"/>
      </w:rPr>
    </w:lvl>
    <w:lvl w:ilvl="2" w:tplc="08090005" w:tentative="1">
      <w:start w:val="1"/>
      <w:numFmt w:val="bullet"/>
      <w:lvlText w:val=""/>
      <w:lvlJc w:val="left"/>
      <w:pPr>
        <w:ind w:left="3630" w:hanging="360"/>
      </w:pPr>
      <w:rPr>
        <w:rFonts w:ascii="Wingdings" w:hAnsi="Wingdings" w:hint="default"/>
      </w:rPr>
    </w:lvl>
    <w:lvl w:ilvl="3" w:tplc="08090001" w:tentative="1">
      <w:start w:val="1"/>
      <w:numFmt w:val="bullet"/>
      <w:lvlText w:val=""/>
      <w:lvlJc w:val="left"/>
      <w:pPr>
        <w:ind w:left="4350" w:hanging="360"/>
      </w:pPr>
      <w:rPr>
        <w:rFonts w:ascii="Symbol" w:hAnsi="Symbol" w:hint="default"/>
      </w:rPr>
    </w:lvl>
    <w:lvl w:ilvl="4" w:tplc="08090003" w:tentative="1">
      <w:start w:val="1"/>
      <w:numFmt w:val="bullet"/>
      <w:lvlText w:val="o"/>
      <w:lvlJc w:val="left"/>
      <w:pPr>
        <w:ind w:left="5070" w:hanging="360"/>
      </w:pPr>
      <w:rPr>
        <w:rFonts w:ascii="Courier New" w:hAnsi="Courier New" w:cs="Courier New" w:hint="default"/>
      </w:rPr>
    </w:lvl>
    <w:lvl w:ilvl="5" w:tplc="08090005" w:tentative="1">
      <w:start w:val="1"/>
      <w:numFmt w:val="bullet"/>
      <w:lvlText w:val=""/>
      <w:lvlJc w:val="left"/>
      <w:pPr>
        <w:ind w:left="5790" w:hanging="360"/>
      </w:pPr>
      <w:rPr>
        <w:rFonts w:ascii="Wingdings" w:hAnsi="Wingdings" w:hint="default"/>
      </w:rPr>
    </w:lvl>
    <w:lvl w:ilvl="6" w:tplc="08090001" w:tentative="1">
      <w:start w:val="1"/>
      <w:numFmt w:val="bullet"/>
      <w:lvlText w:val=""/>
      <w:lvlJc w:val="left"/>
      <w:pPr>
        <w:ind w:left="6510" w:hanging="360"/>
      </w:pPr>
      <w:rPr>
        <w:rFonts w:ascii="Symbol" w:hAnsi="Symbol" w:hint="default"/>
      </w:rPr>
    </w:lvl>
    <w:lvl w:ilvl="7" w:tplc="08090003" w:tentative="1">
      <w:start w:val="1"/>
      <w:numFmt w:val="bullet"/>
      <w:lvlText w:val="o"/>
      <w:lvlJc w:val="left"/>
      <w:pPr>
        <w:ind w:left="7230" w:hanging="360"/>
      </w:pPr>
      <w:rPr>
        <w:rFonts w:ascii="Courier New" w:hAnsi="Courier New" w:cs="Courier New" w:hint="default"/>
      </w:rPr>
    </w:lvl>
    <w:lvl w:ilvl="8" w:tplc="08090005" w:tentative="1">
      <w:start w:val="1"/>
      <w:numFmt w:val="bullet"/>
      <w:lvlText w:val=""/>
      <w:lvlJc w:val="left"/>
      <w:pPr>
        <w:ind w:left="7950" w:hanging="360"/>
      </w:pPr>
      <w:rPr>
        <w:rFonts w:ascii="Wingdings" w:hAnsi="Wingdings" w:hint="default"/>
      </w:rPr>
    </w:lvl>
  </w:abstractNum>
  <w:abstractNum w:abstractNumId="6" w15:restartNumberingAfterBreak="0">
    <w:nsid w:val="4E334B92"/>
    <w:multiLevelType w:val="hybridMultilevel"/>
    <w:tmpl w:val="7D269EC2"/>
    <w:lvl w:ilvl="0" w:tplc="CE726656">
      <w:start w:val="1"/>
      <w:numFmt w:val="lowerLetter"/>
      <w:lvlText w:val="(%1)"/>
      <w:lvlJc w:val="left"/>
      <w:pPr>
        <w:ind w:left="2446" w:hanging="360"/>
      </w:pPr>
      <w:rPr>
        <w:rFonts w:hint="default"/>
      </w:rPr>
    </w:lvl>
    <w:lvl w:ilvl="1" w:tplc="08090019" w:tentative="1">
      <w:start w:val="1"/>
      <w:numFmt w:val="lowerLetter"/>
      <w:lvlText w:val="%2."/>
      <w:lvlJc w:val="left"/>
      <w:pPr>
        <w:ind w:left="3166" w:hanging="360"/>
      </w:pPr>
    </w:lvl>
    <w:lvl w:ilvl="2" w:tplc="0809001B" w:tentative="1">
      <w:start w:val="1"/>
      <w:numFmt w:val="lowerRoman"/>
      <w:lvlText w:val="%3."/>
      <w:lvlJc w:val="right"/>
      <w:pPr>
        <w:ind w:left="3886" w:hanging="180"/>
      </w:pPr>
    </w:lvl>
    <w:lvl w:ilvl="3" w:tplc="0809000F" w:tentative="1">
      <w:start w:val="1"/>
      <w:numFmt w:val="decimal"/>
      <w:lvlText w:val="%4."/>
      <w:lvlJc w:val="left"/>
      <w:pPr>
        <w:ind w:left="4606" w:hanging="360"/>
      </w:pPr>
    </w:lvl>
    <w:lvl w:ilvl="4" w:tplc="08090019" w:tentative="1">
      <w:start w:val="1"/>
      <w:numFmt w:val="lowerLetter"/>
      <w:lvlText w:val="%5."/>
      <w:lvlJc w:val="left"/>
      <w:pPr>
        <w:ind w:left="5326" w:hanging="360"/>
      </w:pPr>
    </w:lvl>
    <w:lvl w:ilvl="5" w:tplc="0809001B" w:tentative="1">
      <w:start w:val="1"/>
      <w:numFmt w:val="lowerRoman"/>
      <w:lvlText w:val="%6."/>
      <w:lvlJc w:val="right"/>
      <w:pPr>
        <w:ind w:left="6046" w:hanging="180"/>
      </w:pPr>
    </w:lvl>
    <w:lvl w:ilvl="6" w:tplc="0809000F" w:tentative="1">
      <w:start w:val="1"/>
      <w:numFmt w:val="decimal"/>
      <w:lvlText w:val="%7."/>
      <w:lvlJc w:val="left"/>
      <w:pPr>
        <w:ind w:left="6766" w:hanging="360"/>
      </w:pPr>
    </w:lvl>
    <w:lvl w:ilvl="7" w:tplc="08090019" w:tentative="1">
      <w:start w:val="1"/>
      <w:numFmt w:val="lowerLetter"/>
      <w:lvlText w:val="%8."/>
      <w:lvlJc w:val="left"/>
      <w:pPr>
        <w:ind w:left="7486" w:hanging="360"/>
      </w:pPr>
    </w:lvl>
    <w:lvl w:ilvl="8" w:tplc="0809001B" w:tentative="1">
      <w:start w:val="1"/>
      <w:numFmt w:val="lowerRoman"/>
      <w:lvlText w:val="%9."/>
      <w:lvlJc w:val="right"/>
      <w:pPr>
        <w:ind w:left="8206" w:hanging="180"/>
      </w:pPr>
    </w:lvl>
  </w:abstractNum>
  <w:abstractNum w:abstractNumId="7" w15:restartNumberingAfterBreak="0">
    <w:nsid w:val="51FA3315"/>
    <w:multiLevelType w:val="hybridMultilevel"/>
    <w:tmpl w:val="C046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E07BD5"/>
    <w:multiLevelType w:val="hybridMultilevel"/>
    <w:tmpl w:val="7814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4"/>
  </w:num>
  <w:num w:numId="5">
    <w:abstractNumId w:val="8"/>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12779"/>
    <w:rsid w:val="00020DE5"/>
    <w:rsid w:val="00025036"/>
    <w:rsid w:val="00034F01"/>
    <w:rsid w:val="0003507E"/>
    <w:rsid w:val="00036610"/>
    <w:rsid w:val="000425C2"/>
    <w:rsid w:val="00046D94"/>
    <w:rsid w:val="00057BDE"/>
    <w:rsid w:val="00086AFE"/>
    <w:rsid w:val="000A03A6"/>
    <w:rsid w:val="000C24EA"/>
    <w:rsid w:val="000D4765"/>
    <w:rsid w:val="00112EE6"/>
    <w:rsid w:val="00120100"/>
    <w:rsid w:val="00144B8C"/>
    <w:rsid w:val="00146B5D"/>
    <w:rsid w:val="00146F28"/>
    <w:rsid w:val="0015478F"/>
    <w:rsid w:val="0017605C"/>
    <w:rsid w:val="00195B99"/>
    <w:rsid w:val="0019600B"/>
    <w:rsid w:val="001A5114"/>
    <w:rsid w:val="001D423D"/>
    <w:rsid w:val="001D60A7"/>
    <w:rsid w:val="001E378A"/>
    <w:rsid w:val="001F01D2"/>
    <w:rsid w:val="00206015"/>
    <w:rsid w:val="0020691E"/>
    <w:rsid w:val="002135E6"/>
    <w:rsid w:val="00225FCB"/>
    <w:rsid w:val="00234F6F"/>
    <w:rsid w:val="00236046"/>
    <w:rsid w:val="00256BC9"/>
    <w:rsid w:val="00264C5B"/>
    <w:rsid w:val="0027318C"/>
    <w:rsid w:val="00275B9E"/>
    <w:rsid w:val="002916CE"/>
    <w:rsid w:val="002B6506"/>
    <w:rsid w:val="002D5E4B"/>
    <w:rsid w:val="002D7D2E"/>
    <w:rsid w:val="002E38DA"/>
    <w:rsid w:val="002F5017"/>
    <w:rsid w:val="002F744D"/>
    <w:rsid w:val="00304565"/>
    <w:rsid w:val="00306F2C"/>
    <w:rsid w:val="00312779"/>
    <w:rsid w:val="00316AA1"/>
    <w:rsid w:val="00326C10"/>
    <w:rsid w:val="00344FA6"/>
    <w:rsid w:val="00351689"/>
    <w:rsid w:val="00395870"/>
    <w:rsid w:val="003A3577"/>
    <w:rsid w:val="003D19A5"/>
    <w:rsid w:val="003E022C"/>
    <w:rsid w:val="003E74D7"/>
    <w:rsid w:val="0040429A"/>
    <w:rsid w:val="004073B7"/>
    <w:rsid w:val="0041367F"/>
    <w:rsid w:val="004151F2"/>
    <w:rsid w:val="0041532A"/>
    <w:rsid w:val="00415F37"/>
    <w:rsid w:val="00421786"/>
    <w:rsid w:val="00432A1B"/>
    <w:rsid w:val="0043532D"/>
    <w:rsid w:val="00451960"/>
    <w:rsid w:val="004617EC"/>
    <w:rsid w:val="00473B54"/>
    <w:rsid w:val="00482ACE"/>
    <w:rsid w:val="004831DF"/>
    <w:rsid w:val="00484D7D"/>
    <w:rsid w:val="00491B41"/>
    <w:rsid w:val="0049594E"/>
    <w:rsid w:val="004A00E2"/>
    <w:rsid w:val="004A67A8"/>
    <w:rsid w:val="004D5D7B"/>
    <w:rsid w:val="004D660B"/>
    <w:rsid w:val="004D68E2"/>
    <w:rsid w:val="004E06BC"/>
    <w:rsid w:val="004E1D9B"/>
    <w:rsid w:val="004E5A48"/>
    <w:rsid w:val="00500F1A"/>
    <w:rsid w:val="0051240E"/>
    <w:rsid w:val="005128BE"/>
    <w:rsid w:val="00514663"/>
    <w:rsid w:val="00514CC1"/>
    <w:rsid w:val="00515CBA"/>
    <w:rsid w:val="00537270"/>
    <w:rsid w:val="0055402A"/>
    <w:rsid w:val="005743CA"/>
    <w:rsid w:val="0058219B"/>
    <w:rsid w:val="00585481"/>
    <w:rsid w:val="005951B8"/>
    <w:rsid w:val="00596A3A"/>
    <w:rsid w:val="005C26D7"/>
    <w:rsid w:val="005D423F"/>
    <w:rsid w:val="005E2179"/>
    <w:rsid w:val="005E7872"/>
    <w:rsid w:val="0060219B"/>
    <w:rsid w:val="006540BA"/>
    <w:rsid w:val="0065419D"/>
    <w:rsid w:val="006766F3"/>
    <w:rsid w:val="00690B57"/>
    <w:rsid w:val="00690FBA"/>
    <w:rsid w:val="0069713A"/>
    <w:rsid w:val="006A0FAB"/>
    <w:rsid w:val="006E1574"/>
    <w:rsid w:val="006F001C"/>
    <w:rsid w:val="006F3004"/>
    <w:rsid w:val="006F69DA"/>
    <w:rsid w:val="0072574A"/>
    <w:rsid w:val="007860A9"/>
    <w:rsid w:val="00790385"/>
    <w:rsid w:val="00793A2F"/>
    <w:rsid w:val="007A0AEB"/>
    <w:rsid w:val="007B0C33"/>
    <w:rsid w:val="007B247E"/>
    <w:rsid w:val="007C4523"/>
    <w:rsid w:val="007E099B"/>
    <w:rsid w:val="007E4709"/>
    <w:rsid w:val="007F55E4"/>
    <w:rsid w:val="007F5A0A"/>
    <w:rsid w:val="007F5CAA"/>
    <w:rsid w:val="00802D02"/>
    <w:rsid w:val="00815FA2"/>
    <w:rsid w:val="0082006C"/>
    <w:rsid w:val="008319D0"/>
    <w:rsid w:val="0083652D"/>
    <w:rsid w:val="00851241"/>
    <w:rsid w:val="00857A87"/>
    <w:rsid w:val="00874F1F"/>
    <w:rsid w:val="00885EE4"/>
    <w:rsid w:val="00887BC0"/>
    <w:rsid w:val="00895AD4"/>
    <w:rsid w:val="008A0930"/>
    <w:rsid w:val="008B0DEE"/>
    <w:rsid w:val="008B0FCB"/>
    <w:rsid w:val="008D5098"/>
    <w:rsid w:val="008D5348"/>
    <w:rsid w:val="008D6E9D"/>
    <w:rsid w:val="00902DE4"/>
    <w:rsid w:val="009044EB"/>
    <w:rsid w:val="009337E0"/>
    <w:rsid w:val="009403BE"/>
    <w:rsid w:val="00943CC7"/>
    <w:rsid w:val="009442AE"/>
    <w:rsid w:val="0097351C"/>
    <w:rsid w:val="00974E4B"/>
    <w:rsid w:val="00977FF5"/>
    <w:rsid w:val="009B0830"/>
    <w:rsid w:val="009B178B"/>
    <w:rsid w:val="009C0203"/>
    <w:rsid w:val="009C604D"/>
    <w:rsid w:val="009D5120"/>
    <w:rsid w:val="00A306E0"/>
    <w:rsid w:val="00A86328"/>
    <w:rsid w:val="00A93FAB"/>
    <w:rsid w:val="00AA1DFE"/>
    <w:rsid w:val="00AB1ECF"/>
    <w:rsid w:val="00AD0B5A"/>
    <w:rsid w:val="00AD5F6E"/>
    <w:rsid w:val="00AD69F0"/>
    <w:rsid w:val="00AD7D39"/>
    <w:rsid w:val="00B02020"/>
    <w:rsid w:val="00B03625"/>
    <w:rsid w:val="00B042C4"/>
    <w:rsid w:val="00B05AE1"/>
    <w:rsid w:val="00B079B9"/>
    <w:rsid w:val="00B179EB"/>
    <w:rsid w:val="00B22D98"/>
    <w:rsid w:val="00B436D4"/>
    <w:rsid w:val="00B449D8"/>
    <w:rsid w:val="00B44F3F"/>
    <w:rsid w:val="00B62E29"/>
    <w:rsid w:val="00B75D51"/>
    <w:rsid w:val="00B906F4"/>
    <w:rsid w:val="00BA0937"/>
    <w:rsid w:val="00BB5058"/>
    <w:rsid w:val="00BE7555"/>
    <w:rsid w:val="00BF4CC2"/>
    <w:rsid w:val="00BF5911"/>
    <w:rsid w:val="00BF618D"/>
    <w:rsid w:val="00C076FE"/>
    <w:rsid w:val="00C10D18"/>
    <w:rsid w:val="00C13585"/>
    <w:rsid w:val="00C444DF"/>
    <w:rsid w:val="00C45CDF"/>
    <w:rsid w:val="00C569CB"/>
    <w:rsid w:val="00C60307"/>
    <w:rsid w:val="00C71645"/>
    <w:rsid w:val="00C742D6"/>
    <w:rsid w:val="00C74334"/>
    <w:rsid w:val="00C80D4D"/>
    <w:rsid w:val="00C87E27"/>
    <w:rsid w:val="00C95498"/>
    <w:rsid w:val="00C9729E"/>
    <w:rsid w:val="00CA1239"/>
    <w:rsid w:val="00CC0495"/>
    <w:rsid w:val="00CC2913"/>
    <w:rsid w:val="00CD610A"/>
    <w:rsid w:val="00CD61AE"/>
    <w:rsid w:val="00CE2F0F"/>
    <w:rsid w:val="00CE490F"/>
    <w:rsid w:val="00CF0FEF"/>
    <w:rsid w:val="00CF571C"/>
    <w:rsid w:val="00CF6B62"/>
    <w:rsid w:val="00D12866"/>
    <w:rsid w:val="00D16296"/>
    <w:rsid w:val="00D1780A"/>
    <w:rsid w:val="00D22231"/>
    <w:rsid w:val="00D228E6"/>
    <w:rsid w:val="00D4606E"/>
    <w:rsid w:val="00DA23DD"/>
    <w:rsid w:val="00DD4BC6"/>
    <w:rsid w:val="00DF65BD"/>
    <w:rsid w:val="00DF6B9E"/>
    <w:rsid w:val="00DF70EB"/>
    <w:rsid w:val="00E07D56"/>
    <w:rsid w:val="00E1132F"/>
    <w:rsid w:val="00E150F1"/>
    <w:rsid w:val="00E23780"/>
    <w:rsid w:val="00E25F6A"/>
    <w:rsid w:val="00E35F5F"/>
    <w:rsid w:val="00E420F7"/>
    <w:rsid w:val="00E44ECC"/>
    <w:rsid w:val="00E60647"/>
    <w:rsid w:val="00E60DAE"/>
    <w:rsid w:val="00E7680A"/>
    <w:rsid w:val="00E82734"/>
    <w:rsid w:val="00E9305F"/>
    <w:rsid w:val="00E94A10"/>
    <w:rsid w:val="00EA1346"/>
    <w:rsid w:val="00EB36D9"/>
    <w:rsid w:val="00EB5849"/>
    <w:rsid w:val="00EB5F5F"/>
    <w:rsid w:val="00ED7168"/>
    <w:rsid w:val="00EF3461"/>
    <w:rsid w:val="00EF587C"/>
    <w:rsid w:val="00F03F7E"/>
    <w:rsid w:val="00F07BE0"/>
    <w:rsid w:val="00F21D0C"/>
    <w:rsid w:val="00F31DA2"/>
    <w:rsid w:val="00F4096C"/>
    <w:rsid w:val="00F75F21"/>
    <w:rsid w:val="00F803FB"/>
    <w:rsid w:val="00F81CF7"/>
    <w:rsid w:val="00F939BC"/>
    <w:rsid w:val="00F963C6"/>
    <w:rsid w:val="00FB2F8E"/>
    <w:rsid w:val="00FB7227"/>
    <w:rsid w:val="00FC7ECC"/>
    <w:rsid w:val="00FD17D1"/>
    <w:rsid w:val="00FD46E9"/>
    <w:rsid w:val="00FE764E"/>
    <w:rsid w:val="00FF5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2B55C3"/>
  <w15:docId w15:val="{745AA246-D967-4953-B701-8E260B42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960"/>
  </w:style>
  <w:style w:type="paragraph" w:styleId="Heading1">
    <w:name w:val="heading 1"/>
    <w:basedOn w:val="Normal"/>
    <w:next w:val="Normal"/>
    <w:link w:val="Heading1Char"/>
    <w:uiPriority w:val="9"/>
    <w:qFormat/>
    <w:rsid w:val="00C60307"/>
    <w:pPr>
      <w:keepNext/>
      <w:keepLines/>
      <w:spacing w:before="480" w:after="0"/>
      <w:outlineLvl w:val="0"/>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779"/>
    <w:pPr>
      <w:ind w:left="720"/>
      <w:contextualSpacing/>
    </w:pPr>
  </w:style>
  <w:style w:type="paragraph" w:styleId="BalloonText">
    <w:name w:val="Balloon Text"/>
    <w:basedOn w:val="Normal"/>
    <w:link w:val="BalloonTextChar"/>
    <w:uiPriority w:val="99"/>
    <w:semiHidden/>
    <w:unhideWhenUsed/>
    <w:rsid w:val="00304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565"/>
    <w:rPr>
      <w:rFonts w:ascii="Tahoma" w:hAnsi="Tahoma" w:cs="Tahoma"/>
      <w:sz w:val="16"/>
      <w:szCs w:val="16"/>
    </w:rPr>
  </w:style>
  <w:style w:type="table" w:styleId="TableGrid">
    <w:name w:val="Table Grid"/>
    <w:basedOn w:val="TableNormal"/>
    <w:uiPriority w:val="59"/>
    <w:rsid w:val="00CA1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06F4"/>
    <w:rPr>
      <w:color w:val="0000FF"/>
      <w:u w:val="single"/>
    </w:rPr>
  </w:style>
  <w:style w:type="character" w:styleId="CommentReference">
    <w:name w:val="annotation reference"/>
    <w:basedOn w:val="DefaultParagraphFont"/>
    <w:uiPriority w:val="99"/>
    <w:semiHidden/>
    <w:unhideWhenUsed/>
    <w:rsid w:val="002F5017"/>
    <w:rPr>
      <w:sz w:val="16"/>
      <w:szCs w:val="16"/>
    </w:rPr>
  </w:style>
  <w:style w:type="paragraph" w:styleId="CommentText">
    <w:name w:val="annotation text"/>
    <w:basedOn w:val="Normal"/>
    <w:link w:val="CommentTextChar"/>
    <w:uiPriority w:val="99"/>
    <w:semiHidden/>
    <w:unhideWhenUsed/>
    <w:rsid w:val="002F5017"/>
    <w:pPr>
      <w:spacing w:line="240" w:lineRule="auto"/>
    </w:pPr>
    <w:rPr>
      <w:sz w:val="20"/>
      <w:szCs w:val="20"/>
    </w:rPr>
  </w:style>
  <w:style w:type="character" w:customStyle="1" w:styleId="CommentTextChar">
    <w:name w:val="Comment Text Char"/>
    <w:basedOn w:val="DefaultParagraphFont"/>
    <w:link w:val="CommentText"/>
    <w:uiPriority w:val="99"/>
    <w:semiHidden/>
    <w:rsid w:val="002F5017"/>
    <w:rPr>
      <w:sz w:val="20"/>
      <w:szCs w:val="20"/>
    </w:rPr>
  </w:style>
  <w:style w:type="paragraph" w:styleId="CommentSubject">
    <w:name w:val="annotation subject"/>
    <w:basedOn w:val="CommentText"/>
    <w:next w:val="CommentText"/>
    <w:link w:val="CommentSubjectChar"/>
    <w:uiPriority w:val="99"/>
    <w:semiHidden/>
    <w:unhideWhenUsed/>
    <w:rsid w:val="002F5017"/>
    <w:rPr>
      <w:b/>
      <w:bCs/>
    </w:rPr>
  </w:style>
  <w:style w:type="character" w:customStyle="1" w:styleId="CommentSubjectChar">
    <w:name w:val="Comment Subject Char"/>
    <w:basedOn w:val="CommentTextChar"/>
    <w:link w:val="CommentSubject"/>
    <w:uiPriority w:val="99"/>
    <w:semiHidden/>
    <w:rsid w:val="002F5017"/>
    <w:rPr>
      <w:b/>
      <w:bCs/>
      <w:sz w:val="20"/>
      <w:szCs w:val="20"/>
    </w:rPr>
  </w:style>
  <w:style w:type="paragraph" w:styleId="Header">
    <w:name w:val="header"/>
    <w:basedOn w:val="Normal"/>
    <w:link w:val="HeaderChar"/>
    <w:uiPriority w:val="99"/>
    <w:unhideWhenUsed/>
    <w:rsid w:val="001760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05C"/>
  </w:style>
  <w:style w:type="paragraph" w:styleId="Footer">
    <w:name w:val="footer"/>
    <w:basedOn w:val="Normal"/>
    <w:link w:val="FooterChar"/>
    <w:uiPriority w:val="99"/>
    <w:unhideWhenUsed/>
    <w:rsid w:val="001760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05C"/>
  </w:style>
  <w:style w:type="character" w:customStyle="1" w:styleId="Heading1Char">
    <w:name w:val="Heading 1 Char"/>
    <w:basedOn w:val="DefaultParagraphFont"/>
    <w:link w:val="Heading1"/>
    <w:uiPriority w:val="9"/>
    <w:rsid w:val="00C60307"/>
    <w:rPr>
      <w:rFonts w:eastAsiaTheme="majorEastAsia" w:cstheme="minorHAnsi"/>
      <w:b/>
      <w:bCs/>
      <w:sz w:val="28"/>
      <w:szCs w:val="28"/>
    </w:rPr>
  </w:style>
  <w:style w:type="paragraph" w:styleId="TOCHeading">
    <w:name w:val="TOC Heading"/>
    <w:basedOn w:val="Heading1"/>
    <w:next w:val="Normal"/>
    <w:uiPriority w:val="39"/>
    <w:semiHidden/>
    <w:unhideWhenUsed/>
    <w:qFormat/>
    <w:rsid w:val="00AD5F6E"/>
    <w:pPr>
      <w:outlineLvl w:val="9"/>
    </w:pPr>
    <w:rPr>
      <w:rFonts w:asciiTheme="majorHAnsi" w:hAnsiTheme="majorHAnsi" w:cstheme="majorBidi"/>
      <w:color w:val="365F91" w:themeColor="accent1" w:themeShade="BF"/>
      <w:lang w:val="en-US"/>
    </w:rPr>
  </w:style>
  <w:style w:type="paragraph" w:styleId="TOC1">
    <w:name w:val="toc 1"/>
    <w:basedOn w:val="Normal"/>
    <w:next w:val="Normal"/>
    <w:autoRedefine/>
    <w:uiPriority w:val="39"/>
    <w:unhideWhenUsed/>
    <w:rsid w:val="00AD5F6E"/>
    <w:pPr>
      <w:spacing w:after="100"/>
    </w:pPr>
  </w:style>
  <w:style w:type="character" w:styleId="FollowedHyperlink">
    <w:name w:val="FollowedHyperlink"/>
    <w:basedOn w:val="DefaultParagraphFont"/>
    <w:uiPriority w:val="99"/>
    <w:semiHidden/>
    <w:unhideWhenUsed/>
    <w:rsid w:val="00112EE6"/>
    <w:rPr>
      <w:color w:val="800080" w:themeColor="followedHyperlink"/>
      <w:u w:val="single"/>
    </w:rPr>
  </w:style>
  <w:style w:type="paragraph" w:styleId="Revision">
    <w:name w:val="Revision"/>
    <w:hidden/>
    <w:uiPriority w:val="99"/>
    <w:semiHidden/>
    <w:rsid w:val="005E21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066732">
      <w:bodyDiv w:val="1"/>
      <w:marLeft w:val="0"/>
      <w:marRight w:val="0"/>
      <w:marTop w:val="0"/>
      <w:marBottom w:val="0"/>
      <w:divBdr>
        <w:top w:val="none" w:sz="0" w:space="0" w:color="auto"/>
        <w:left w:val="none" w:sz="0" w:space="0" w:color="auto"/>
        <w:bottom w:val="none" w:sz="0" w:space="0" w:color="auto"/>
        <w:right w:val="none" w:sz="0" w:space="0" w:color="auto"/>
      </w:divBdr>
      <w:divsChild>
        <w:div w:id="1203863055">
          <w:marLeft w:val="0"/>
          <w:marRight w:val="0"/>
          <w:marTop w:val="0"/>
          <w:marBottom w:val="0"/>
          <w:divBdr>
            <w:top w:val="none" w:sz="0" w:space="0" w:color="auto"/>
            <w:left w:val="none" w:sz="0" w:space="0" w:color="auto"/>
            <w:bottom w:val="none" w:sz="0" w:space="0" w:color="auto"/>
            <w:right w:val="none" w:sz="0" w:space="0" w:color="auto"/>
          </w:divBdr>
          <w:divsChild>
            <w:div w:id="1887791487">
              <w:marLeft w:val="0"/>
              <w:marRight w:val="0"/>
              <w:marTop w:val="0"/>
              <w:marBottom w:val="0"/>
              <w:divBdr>
                <w:top w:val="none" w:sz="0" w:space="0" w:color="auto"/>
                <w:left w:val="none" w:sz="0" w:space="0" w:color="auto"/>
                <w:bottom w:val="none" w:sz="0" w:space="0" w:color="auto"/>
                <w:right w:val="none" w:sz="0" w:space="0" w:color="auto"/>
              </w:divBdr>
              <w:divsChild>
                <w:div w:id="476842571">
                  <w:marLeft w:val="0"/>
                  <w:marRight w:val="0"/>
                  <w:marTop w:val="0"/>
                  <w:marBottom w:val="0"/>
                  <w:divBdr>
                    <w:top w:val="none" w:sz="0" w:space="0" w:color="auto"/>
                    <w:left w:val="none" w:sz="0" w:space="0" w:color="auto"/>
                    <w:bottom w:val="none" w:sz="0" w:space="0" w:color="auto"/>
                    <w:right w:val="none" w:sz="0" w:space="0" w:color="auto"/>
                  </w:divBdr>
                  <w:divsChild>
                    <w:div w:id="1511524090">
                      <w:marLeft w:val="0"/>
                      <w:marRight w:val="0"/>
                      <w:marTop w:val="0"/>
                      <w:marBottom w:val="450"/>
                      <w:divBdr>
                        <w:top w:val="none" w:sz="0" w:space="0" w:color="auto"/>
                        <w:left w:val="none" w:sz="0" w:space="0" w:color="auto"/>
                        <w:bottom w:val="none" w:sz="0" w:space="0" w:color="auto"/>
                        <w:right w:val="none" w:sz="0" w:space="0" w:color="auto"/>
                      </w:divBdr>
                      <w:divsChild>
                        <w:div w:id="6026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W:\MATERIAL\Tenders%20and%20Quick%20Quotes\3.%20TENDER%20DOCUMENTS\1.%20Tender%20%20Documents\4.%20Invitation%20to%20Tender%20Documents\1.%20Invitation%20to%20Tender%20Document\1.%20Tender\Open%20Procedure\Tender%20Master%20Docs%201-14.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ocurementjourney.sco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angela.smith@gjnh.scot.nhs.uk" TargetMode="External"/><Relationship Id="rId10" Type="http://schemas.openxmlformats.org/officeDocument/2006/relationships/hyperlink" Target="https://www.sehd.scot.nhs.uk/mels/CEL2012_05.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logs.gov.scot/public-procurement/2021/03/15/implementation-of-fair-work-first-in-scottish-public-procurement-sppn-3-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2B209B-DE72-4C9E-ADFA-5918CA6A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3278</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E0025364</dc:creator>
  <cp:lastModifiedBy>Angela Smith (NHS GOLDEN JUBILEE)</cp:lastModifiedBy>
  <cp:revision>4</cp:revision>
  <cp:lastPrinted>2021-06-28T14:36:00Z</cp:lastPrinted>
  <dcterms:created xsi:type="dcterms:W3CDTF">2021-08-06T11:30:00Z</dcterms:created>
  <dcterms:modified xsi:type="dcterms:W3CDTF">2021-08-06T11:34:00Z</dcterms:modified>
</cp:coreProperties>
</file>