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93"/>
        <w:tblW w:w="9356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4D0368" w:rsidRPr="00B358DE" w:rsidTr="004D0368">
        <w:trPr>
          <w:trHeight w:val="557"/>
        </w:trPr>
        <w:tc>
          <w:tcPr>
            <w:tcW w:w="2557" w:type="dxa"/>
          </w:tcPr>
          <w:p w:rsidR="004D0368" w:rsidRPr="00B358DE" w:rsidRDefault="004D0368" w:rsidP="004D036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4D0368" w:rsidRPr="00B358DE" w:rsidRDefault="004D0368" w:rsidP="004D036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 July 2021</w:t>
            </w:r>
          </w:p>
        </w:tc>
        <w:tc>
          <w:tcPr>
            <w:tcW w:w="1985" w:type="dxa"/>
            <w:vMerge w:val="restart"/>
          </w:tcPr>
          <w:p w:rsidR="004D0368" w:rsidRPr="00B358DE" w:rsidRDefault="004D0368" w:rsidP="004D036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368" w:rsidRPr="00B358DE" w:rsidTr="004D0368">
        <w:trPr>
          <w:trHeight w:val="733"/>
        </w:trPr>
        <w:tc>
          <w:tcPr>
            <w:tcW w:w="2557" w:type="dxa"/>
          </w:tcPr>
          <w:p w:rsidR="004D0368" w:rsidRPr="00B358DE" w:rsidRDefault="004D0368" w:rsidP="004D036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4D0368" w:rsidRPr="00B358DE" w:rsidRDefault="004D0368" w:rsidP="004D036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Strategic Portfolio Governance </w:t>
            </w:r>
            <w:r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4D0368" w:rsidRPr="00B358DE" w:rsidRDefault="004D0368" w:rsidP="004D036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D0368" w:rsidRPr="00B358DE" w:rsidTr="004D0368">
        <w:trPr>
          <w:trHeight w:val="1218"/>
        </w:trPr>
        <w:tc>
          <w:tcPr>
            <w:tcW w:w="2557" w:type="dxa"/>
          </w:tcPr>
          <w:p w:rsidR="004D0368" w:rsidRPr="00B358DE" w:rsidRDefault="004D0368" w:rsidP="004D036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4D0368" w:rsidRDefault="00B33664" w:rsidP="004D036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4D0368" w:rsidRPr="00B358DE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B33664" w:rsidRPr="00B33664" w:rsidRDefault="00B33664" w:rsidP="00B33664">
            <w:bookmarkStart w:id="0" w:name="_GoBack"/>
            <w:bookmarkEnd w:id="0"/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4D0368" w:rsidRPr="00B358DE" w:rsidTr="00753C10">
              <w:tc>
                <w:tcPr>
                  <w:tcW w:w="5694" w:type="dxa"/>
                </w:tcPr>
                <w:p w:rsidR="004D0368" w:rsidRPr="00B358DE" w:rsidRDefault="004D0368" w:rsidP="00B33664">
                  <w:pPr>
                    <w:pStyle w:val="Heading1"/>
                    <w:framePr w:hSpace="180" w:wrap="around" w:vAnchor="text" w:hAnchor="margin" w:xAlign="center" w:y="393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4D0368" w:rsidRPr="00B358DE" w:rsidRDefault="004D0368" w:rsidP="00B33664">
                  <w:pPr>
                    <w:framePr w:hSpace="180" w:wrap="around" w:vAnchor="text" w:hAnchor="margin" w:xAlign="center" w:y="393"/>
                    <w:contextualSpacing/>
                  </w:pPr>
                  <w:r w:rsidRPr="00B358DE">
                    <w:t>X</w:t>
                  </w:r>
                </w:p>
              </w:tc>
            </w:tr>
            <w:tr w:rsidR="004D0368" w:rsidRPr="00B358DE" w:rsidTr="00753C10">
              <w:trPr>
                <w:trHeight w:val="280"/>
              </w:trPr>
              <w:tc>
                <w:tcPr>
                  <w:tcW w:w="5694" w:type="dxa"/>
                </w:tcPr>
                <w:p w:rsidR="004D0368" w:rsidRPr="00B358DE" w:rsidRDefault="004D0368" w:rsidP="00B33664">
                  <w:pPr>
                    <w:pStyle w:val="Heading1"/>
                    <w:framePr w:hSpace="180" w:wrap="around" w:vAnchor="text" w:hAnchor="margin" w:xAlign="center" w:y="393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4D0368" w:rsidRPr="00B358DE" w:rsidRDefault="004D0368" w:rsidP="00B33664">
                  <w:pPr>
                    <w:framePr w:hSpace="180" w:wrap="around" w:vAnchor="text" w:hAnchor="margin" w:xAlign="center" w:y="393"/>
                    <w:contextualSpacing/>
                  </w:pPr>
                </w:p>
              </w:tc>
            </w:tr>
            <w:tr w:rsidR="004D0368" w:rsidRPr="00B358DE" w:rsidTr="00753C10">
              <w:tc>
                <w:tcPr>
                  <w:tcW w:w="5694" w:type="dxa"/>
                </w:tcPr>
                <w:p w:rsidR="004D0368" w:rsidRPr="00B358DE" w:rsidRDefault="004D0368" w:rsidP="00B33664">
                  <w:pPr>
                    <w:pStyle w:val="Heading1"/>
                    <w:framePr w:hSpace="180" w:wrap="around" w:vAnchor="text" w:hAnchor="margin" w:xAlign="center" w:y="393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4D0368" w:rsidRPr="00B358DE" w:rsidRDefault="004D0368" w:rsidP="00B33664">
                  <w:pPr>
                    <w:framePr w:hSpace="180" w:wrap="around" w:vAnchor="text" w:hAnchor="margin" w:xAlign="center" w:y="393"/>
                    <w:contextualSpacing/>
                  </w:pPr>
                </w:p>
              </w:tc>
            </w:tr>
          </w:tbl>
          <w:p w:rsidR="004D0368" w:rsidRPr="00B358DE" w:rsidRDefault="004D0368" w:rsidP="004D0368">
            <w:pPr>
              <w:spacing w:before="120" w:after="60"/>
              <w:contextualSpacing/>
            </w:pPr>
          </w:p>
        </w:tc>
      </w:tr>
    </w:tbl>
    <w:p w:rsidR="00382A9A" w:rsidRDefault="001C3214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4993375</wp:posOffset>
            </wp:positionH>
            <wp:positionV relativeFrom="margin">
              <wp:posOffset>72902</wp:posOffset>
            </wp:positionV>
            <wp:extent cx="876935" cy="6070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AE52CD">
        <w:rPr>
          <w:bCs/>
        </w:rPr>
        <w:t>Strategic Portfolio Governance</w:t>
      </w:r>
      <w:r w:rsidR="00DB5465">
        <w:rPr>
          <w:bCs/>
        </w:rPr>
        <w:t xml:space="preserve"> Committee</w:t>
      </w:r>
      <w:r w:rsidR="00DD4902">
        <w:rPr>
          <w:bCs/>
        </w:rPr>
        <w:t xml:space="preserve"> (SPGC) was held on 1 July</w:t>
      </w:r>
      <w:r w:rsidR="00AE52CD">
        <w:rPr>
          <w:bCs/>
        </w:rPr>
        <w:t xml:space="preserve"> </w:t>
      </w:r>
      <w:r w:rsidR="00C05EFA">
        <w:rPr>
          <w:bCs/>
        </w:rPr>
        <w:t>2021</w:t>
      </w:r>
      <w:r w:rsidR="008D629A">
        <w:rPr>
          <w:bCs/>
        </w:rPr>
        <w:t xml:space="preserve"> and</w:t>
      </w:r>
      <w:r w:rsidR="00382A9A">
        <w:rPr>
          <w:bCs/>
        </w:rPr>
        <w:t xml:space="preserve">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C09BC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835499">
        <w:trPr>
          <w:trHeight w:val="1264"/>
        </w:trPr>
        <w:tc>
          <w:tcPr>
            <w:tcW w:w="1217" w:type="dxa"/>
          </w:tcPr>
          <w:p w:rsidR="004D0368" w:rsidRDefault="004D0368" w:rsidP="00CF56EF">
            <w:pPr>
              <w:rPr>
                <w:b/>
                <w:bCs/>
                <w:lang w:val="en-US"/>
              </w:rPr>
            </w:pPr>
          </w:p>
          <w:p w:rsidR="000B17DC" w:rsidRPr="00AE444B" w:rsidRDefault="003C09BC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3C09BC" w:rsidRDefault="003C09BC" w:rsidP="009310B1">
            <w:pPr>
              <w:contextualSpacing/>
            </w:pPr>
          </w:p>
          <w:p w:rsidR="003C09BC" w:rsidRDefault="00853DA9" w:rsidP="00A622E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were provided with an overview of the elements of the NHS GJ portfolio discussed at the</w:t>
            </w:r>
            <w:r w:rsidR="003C09BC">
              <w:t xml:space="preserve"> last Strategic Programme Board</w:t>
            </w:r>
            <w:r w:rsidR="00835499">
              <w:t xml:space="preserve"> meeting</w:t>
            </w:r>
            <w:r w:rsidR="003C09BC">
              <w:t>.</w:t>
            </w:r>
          </w:p>
          <w:p w:rsidR="003C09BC" w:rsidRDefault="003C09BC" w:rsidP="00A622EF">
            <w:pPr>
              <w:pStyle w:val="ListParagraph"/>
              <w:ind w:left="562" w:hanging="425"/>
              <w:contextualSpacing/>
            </w:pPr>
          </w:p>
          <w:p w:rsidR="003C09BC" w:rsidRDefault="008D629A" w:rsidP="00A622EF">
            <w:pPr>
              <w:pStyle w:val="ListParagraph"/>
              <w:ind w:left="562"/>
              <w:contextualSpacing/>
            </w:pPr>
            <w:r>
              <w:t xml:space="preserve">The Committee </w:t>
            </w:r>
            <w:r w:rsidR="003C09BC">
              <w:t xml:space="preserve">welcomed the plan </w:t>
            </w:r>
            <w:r w:rsidR="00835499">
              <w:t>to provide a matrix plan for future meetings which will outline delivery milestones, RAG status against the milestones and an overarching plan with portfolio progress.</w:t>
            </w:r>
          </w:p>
          <w:p w:rsidR="00835499" w:rsidRDefault="00835499" w:rsidP="00A622EF">
            <w:pPr>
              <w:pStyle w:val="ListParagraph"/>
              <w:ind w:left="562" w:hanging="425"/>
              <w:contextualSpacing/>
            </w:pPr>
          </w:p>
          <w:p w:rsidR="00835499" w:rsidRDefault="008D629A" w:rsidP="00A622E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were</w:t>
            </w:r>
            <w:r w:rsidR="00835499">
              <w:t xml:space="preserve"> updated on </w:t>
            </w:r>
            <w:r>
              <w:t xml:space="preserve">the </w:t>
            </w:r>
            <w:r w:rsidR="00835499">
              <w:t>progress of the National Elective Centre build including changes to plans for the endoscopy suite, breakthrough into the existing building and workforce plans.</w:t>
            </w:r>
          </w:p>
          <w:p w:rsidR="003C09BC" w:rsidRDefault="003C09BC" w:rsidP="00A622EF">
            <w:pPr>
              <w:ind w:left="562" w:hanging="425"/>
              <w:contextualSpacing/>
            </w:pPr>
          </w:p>
          <w:p w:rsidR="003C09BC" w:rsidRDefault="008D629A" w:rsidP="00A622E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 xml:space="preserve">The Committee </w:t>
            </w:r>
            <w:r w:rsidR="007D7DEB">
              <w:t>welcomed a presentation</w:t>
            </w:r>
            <w:r w:rsidR="003C09BC">
              <w:t xml:space="preserve"> on NHS Scotland Academy</w:t>
            </w:r>
            <w:r>
              <w:t xml:space="preserve"> progress,</w:t>
            </w:r>
            <w:r w:rsidR="003C09BC">
              <w:t xml:space="preserve"> </w:t>
            </w:r>
            <w:r w:rsidR="00835499">
              <w:t xml:space="preserve">highlighting the current status of </w:t>
            </w:r>
            <w:r>
              <w:t xml:space="preserve">the </w:t>
            </w:r>
            <w:r w:rsidR="00835499">
              <w:t>8 key projects and key partnerships within this work.</w:t>
            </w:r>
          </w:p>
          <w:p w:rsidR="00835499" w:rsidRDefault="00835499" w:rsidP="007D7DEB">
            <w:pPr>
              <w:contextualSpacing/>
            </w:pPr>
          </w:p>
          <w:p w:rsidR="00835499" w:rsidRDefault="00A622EF" w:rsidP="00A622E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</w:t>
            </w:r>
            <w:r w:rsidR="008D629A">
              <w:t xml:space="preserve">entre </w:t>
            </w:r>
            <w:r>
              <w:t>f</w:t>
            </w:r>
            <w:r w:rsidR="008D629A">
              <w:t xml:space="preserve">or </w:t>
            </w:r>
            <w:r>
              <w:t>S</w:t>
            </w:r>
            <w:r w:rsidR="008D629A">
              <w:t xml:space="preserve">ustainable </w:t>
            </w:r>
            <w:r>
              <w:t>D</w:t>
            </w:r>
            <w:r w:rsidR="008D629A">
              <w:t>elivery</w:t>
            </w:r>
            <w:r>
              <w:t xml:space="preserve"> team provided an update on the workplan and prog</w:t>
            </w:r>
            <w:r w:rsidR="005A49B0">
              <w:t>r</w:t>
            </w:r>
            <w:r>
              <w:t>amme including key achievements from each area, progress on Board engagement to date and an overview of pipeline projects.</w:t>
            </w:r>
          </w:p>
          <w:p w:rsidR="00A622EF" w:rsidRDefault="00A622EF" w:rsidP="00A622EF">
            <w:pPr>
              <w:ind w:left="562" w:hanging="425"/>
              <w:contextualSpacing/>
            </w:pPr>
          </w:p>
          <w:p w:rsidR="007D7DEB" w:rsidRPr="00CA5EF8" w:rsidRDefault="00A622EF" w:rsidP="007D7DEB">
            <w:pPr>
              <w:ind w:left="562"/>
              <w:contextualSpacing/>
            </w:pPr>
            <w:r>
              <w:t>The Committee acknowledged the work being undertaken by CfSD and thanked the team for the amount of work completed to date.</w:t>
            </w:r>
            <w:r w:rsidR="00D6071C">
              <w:t xml:space="preserve">  The Committee ask that an Assurance Statement be presented to the Board and this is attached to this update. </w:t>
            </w:r>
          </w:p>
        </w:tc>
      </w:tr>
    </w:tbl>
    <w:p w:rsidR="00AE52CD" w:rsidRDefault="00AE52CD" w:rsidP="000B17DC">
      <w:pPr>
        <w:rPr>
          <w:bCs/>
        </w:rPr>
      </w:pPr>
    </w:p>
    <w:p w:rsidR="003C09BC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DD4902">
        <w:rPr>
          <w:bCs/>
        </w:rPr>
        <w:t>next meeting is scheduled for 2 September</w:t>
      </w:r>
      <w:r w:rsidR="0014267D">
        <w:rPr>
          <w:bCs/>
        </w:rPr>
        <w:t xml:space="preserve"> 2021</w:t>
      </w:r>
      <w:r w:rsidR="00DE274F">
        <w:rPr>
          <w:bCs/>
        </w:rPr>
        <w:t>.</w:t>
      </w: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382A9A" w:rsidRDefault="00382A9A" w:rsidP="00382A9A">
      <w:r w:rsidRPr="00FE3CDB">
        <w:t xml:space="preserve">Board Members are asked to note the </w:t>
      </w:r>
      <w:r>
        <w:t>SG</w:t>
      </w:r>
      <w:r w:rsidR="0014267D">
        <w:t>PC</w:t>
      </w:r>
      <w:r>
        <w:t xml:space="preserve"> </w:t>
      </w:r>
      <w:r w:rsidRPr="00FE3CDB">
        <w:t>Committee Update</w:t>
      </w:r>
      <w:r w:rsidR="00D6071C">
        <w:t xml:space="preserve"> and Assurance Statement</w:t>
      </w:r>
      <w:r w:rsidRPr="00FE3CDB">
        <w:t>.</w:t>
      </w:r>
    </w:p>
    <w:p w:rsidR="007D7DEB" w:rsidRPr="00FE3CDB" w:rsidRDefault="007D7DEB" w:rsidP="00382A9A"/>
    <w:p w:rsidR="000B17DC" w:rsidRDefault="00AE52CD" w:rsidP="000B17DC">
      <w:pPr>
        <w:rPr>
          <w:b/>
          <w:bCs/>
        </w:rPr>
      </w:pPr>
      <w:r>
        <w:rPr>
          <w:b/>
          <w:bCs/>
        </w:rPr>
        <w:t>Linda Semple</w:t>
      </w:r>
      <w:r w:rsidR="007D7DEB">
        <w:rPr>
          <w:b/>
          <w:bCs/>
        </w:rPr>
        <w:t xml:space="preserve">, </w:t>
      </w:r>
      <w:r w:rsidR="003C09BC">
        <w:rPr>
          <w:b/>
          <w:bCs/>
        </w:rPr>
        <w:t xml:space="preserve">Chair - </w:t>
      </w:r>
      <w:r>
        <w:rPr>
          <w:b/>
          <w:bCs/>
        </w:rPr>
        <w:t>Strategic Portfolio Governance Committee</w:t>
      </w:r>
    </w:p>
    <w:p w:rsidR="003C09BC" w:rsidRDefault="007D7DEB" w:rsidP="000B17DC">
      <w:pPr>
        <w:rPr>
          <w:b/>
          <w:bCs/>
        </w:rPr>
      </w:pPr>
      <w:r>
        <w:rPr>
          <w:b/>
          <w:bCs/>
        </w:rPr>
        <w:t>July</w:t>
      </w:r>
      <w:r w:rsidR="003C09BC">
        <w:rPr>
          <w:b/>
          <w:bCs/>
        </w:rPr>
        <w:t xml:space="preserve"> 2021</w:t>
      </w:r>
    </w:p>
    <w:sectPr w:rsidR="003C09BC" w:rsidSect="004D0368">
      <w:headerReference w:type="default" r:id="rId9"/>
      <w:footerReference w:type="even" r:id="rId10"/>
      <w:footerReference w:type="default" r:id="rId11"/>
      <w:pgSz w:w="11906" w:h="16838"/>
      <w:pgMar w:top="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25" w:rsidRDefault="00B57925">
      <w:r>
        <w:separator/>
      </w:r>
    </w:p>
  </w:endnote>
  <w:endnote w:type="continuationSeparator" w:id="0">
    <w:p w:rsidR="00B57925" w:rsidRDefault="00B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B33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664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B3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25" w:rsidRDefault="00B57925">
      <w:r>
        <w:separator/>
      </w:r>
    </w:p>
  </w:footnote>
  <w:footnote w:type="continuationSeparator" w:id="0">
    <w:p w:rsidR="00B57925" w:rsidRDefault="00B5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Pr="001C3214" w:rsidRDefault="001C3214" w:rsidP="001C3214">
    <w:pPr>
      <w:pStyle w:val="Header"/>
      <w:jc w:val="right"/>
      <w:rPr>
        <w:b/>
        <w:color w:val="95B3D7" w:themeColor="accent1" w:themeTint="99"/>
      </w:rPr>
    </w:pPr>
    <w:r w:rsidRPr="001C3214">
      <w:rPr>
        <w:b/>
        <w:color w:val="95B3D7" w:themeColor="accent1" w:themeTint="99"/>
      </w:rPr>
      <w:t>Item 8.2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31E0A"/>
    <w:rsid w:val="000504F3"/>
    <w:rsid w:val="00053F84"/>
    <w:rsid w:val="000638D5"/>
    <w:rsid w:val="000876B7"/>
    <w:rsid w:val="00091313"/>
    <w:rsid w:val="000B17DC"/>
    <w:rsid w:val="000B24E6"/>
    <w:rsid w:val="000C2561"/>
    <w:rsid w:val="000C4F94"/>
    <w:rsid w:val="001018C3"/>
    <w:rsid w:val="0013046C"/>
    <w:rsid w:val="0014267D"/>
    <w:rsid w:val="00180820"/>
    <w:rsid w:val="001A6338"/>
    <w:rsid w:val="001B1C74"/>
    <w:rsid w:val="001C3214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92842"/>
    <w:rsid w:val="002E13BF"/>
    <w:rsid w:val="002F4007"/>
    <w:rsid w:val="0030554F"/>
    <w:rsid w:val="00306C2E"/>
    <w:rsid w:val="00315701"/>
    <w:rsid w:val="00354A6B"/>
    <w:rsid w:val="00354BA9"/>
    <w:rsid w:val="003728C1"/>
    <w:rsid w:val="00374578"/>
    <w:rsid w:val="00382A9A"/>
    <w:rsid w:val="003A65B0"/>
    <w:rsid w:val="003B5563"/>
    <w:rsid w:val="003C09BC"/>
    <w:rsid w:val="003E2A5F"/>
    <w:rsid w:val="003E2B73"/>
    <w:rsid w:val="00407A8F"/>
    <w:rsid w:val="0046359D"/>
    <w:rsid w:val="00466BE7"/>
    <w:rsid w:val="004C0F08"/>
    <w:rsid w:val="004C48EE"/>
    <w:rsid w:val="004C5B2F"/>
    <w:rsid w:val="004D00E2"/>
    <w:rsid w:val="004D0368"/>
    <w:rsid w:val="004E3D5E"/>
    <w:rsid w:val="004F06B2"/>
    <w:rsid w:val="005113D2"/>
    <w:rsid w:val="00555942"/>
    <w:rsid w:val="00582D79"/>
    <w:rsid w:val="00596C30"/>
    <w:rsid w:val="005A49B0"/>
    <w:rsid w:val="005B1946"/>
    <w:rsid w:val="00603AE6"/>
    <w:rsid w:val="00633282"/>
    <w:rsid w:val="00661956"/>
    <w:rsid w:val="006C1437"/>
    <w:rsid w:val="006C1C0F"/>
    <w:rsid w:val="007209D8"/>
    <w:rsid w:val="0076189A"/>
    <w:rsid w:val="00776750"/>
    <w:rsid w:val="007956ED"/>
    <w:rsid w:val="007D7DEB"/>
    <w:rsid w:val="00813FAC"/>
    <w:rsid w:val="00835499"/>
    <w:rsid w:val="00843075"/>
    <w:rsid w:val="00853DA9"/>
    <w:rsid w:val="008962F3"/>
    <w:rsid w:val="008D0F0E"/>
    <w:rsid w:val="008D629A"/>
    <w:rsid w:val="008E13CA"/>
    <w:rsid w:val="00900487"/>
    <w:rsid w:val="00922772"/>
    <w:rsid w:val="0092354C"/>
    <w:rsid w:val="00924BF7"/>
    <w:rsid w:val="009310B1"/>
    <w:rsid w:val="00931F79"/>
    <w:rsid w:val="009663A9"/>
    <w:rsid w:val="009A28C9"/>
    <w:rsid w:val="00A2094E"/>
    <w:rsid w:val="00A622EF"/>
    <w:rsid w:val="00A63F95"/>
    <w:rsid w:val="00AA3B36"/>
    <w:rsid w:val="00AB3582"/>
    <w:rsid w:val="00AC23AC"/>
    <w:rsid w:val="00AC3CE8"/>
    <w:rsid w:val="00AE38C7"/>
    <w:rsid w:val="00AE444B"/>
    <w:rsid w:val="00AE52CD"/>
    <w:rsid w:val="00B02B57"/>
    <w:rsid w:val="00B33616"/>
    <w:rsid w:val="00B33664"/>
    <w:rsid w:val="00B57925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60A6D"/>
    <w:rsid w:val="00C70504"/>
    <w:rsid w:val="00C8687A"/>
    <w:rsid w:val="00C979E9"/>
    <w:rsid w:val="00CA3F5B"/>
    <w:rsid w:val="00CA5EF8"/>
    <w:rsid w:val="00CB0067"/>
    <w:rsid w:val="00CF56EF"/>
    <w:rsid w:val="00CF7299"/>
    <w:rsid w:val="00CF7A80"/>
    <w:rsid w:val="00D079FB"/>
    <w:rsid w:val="00D23058"/>
    <w:rsid w:val="00D520A2"/>
    <w:rsid w:val="00D6071C"/>
    <w:rsid w:val="00DA0688"/>
    <w:rsid w:val="00DA1EB4"/>
    <w:rsid w:val="00DB5465"/>
    <w:rsid w:val="00DD4902"/>
    <w:rsid w:val="00DE274F"/>
    <w:rsid w:val="00E03A8B"/>
    <w:rsid w:val="00E9272D"/>
    <w:rsid w:val="00EA3ABD"/>
    <w:rsid w:val="00EC6098"/>
    <w:rsid w:val="00EC669C"/>
    <w:rsid w:val="00F06B38"/>
    <w:rsid w:val="00F21661"/>
    <w:rsid w:val="00F53EE1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265E97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D6BA-6922-4EA3-8FBB-A52CCA25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7</cp:revision>
  <cp:lastPrinted>2020-01-21T14:15:00Z</cp:lastPrinted>
  <dcterms:created xsi:type="dcterms:W3CDTF">2021-07-15T14:26:00Z</dcterms:created>
  <dcterms:modified xsi:type="dcterms:W3CDTF">2021-07-27T10:11:00Z</dcterms:modified>
</cp:coreProperties>
</file>