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4989195</wp:posOffset>
            </wp:positionH>
            <wp:positionV relativeFrom="margin">
              <wp:posOffset>-535305</wp:posOffset>
            </wp:positionV>
            <wp:extent cx="1114425" cy="7715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5240"/>
        <w:gridCol w:w="1559"/>
      </w:tblGrid>
      <w:tr w:rsidR="0040506A" w:rsidRPr="0040506A" w:rsidTr="00E95F55">
        <w:trPr>
          <w:trHeight w:val="557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5240" w:type="dxa"/>
          </w:tcPr>
          <w:p w:rsidR="00C373CC" w:rsidRPr="0040506A" w:rsidRDefault="008B1AF8" w:rsidP="008B1AF8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 May 2021</w:t>
            </w:r>
          </w:p>
        </w:tc>
        <w:tc>
          <w:tcPr>
            <w:tcW w:w="1559" w:type="dxa"/>
            <w:vMerge w:val="restart"/>
          </w:tcPr>
          <w:p w:rsidR="00C373CC" w:rsidRPr="0040506A" w:rsidRDefault="00C373CC" w:rsidP="00E95F55">
            <w:pPr>
              <w:pStyle w:val="Heading1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6A" w:rsidRPr="0040506A" w:rsidTr="00E95F55">
        <w:trPr>
          <w:trHeight w:val="598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5240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Clinical Governance Committee Update</w:t>
            </w:r>
          </w:p>
        </w:tc>
        <w:tc>
          <w:tcPr>
            <w:tcW w:w="1559" w:type="dxa"/>
            <w:vMerge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0506A" w:rsidRPr="0040506A" w:rsidTr="00C373CC">
        <w:trPr>
          <w:trHeight w:val="499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40506A" w:rsidRPr="0040506A" w:rsidTr="00630795">
              <w:tc>
                <w:tcPr>
                  <w:tcW w:w="5694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630795">
              <w:trPr>
                <w:trHeight w:val="280"/>
              </w:trPr>
              <w:tc>
                <w:tcPr>
                  <w:tcW w:w="5694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630795">
              <w:tc>
                <w:tcPr>
                  <w:tcW w:w="5694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C373CC" w:rsidRPr="0040506A" w:rsidRDefault="00C373CC" w:rsidP="00C373CC">
      <w:pPr>
        <w:tabs>
          <w:tab w:val="left" w:pos="9192"/>
        </w:tabs>
        <w:ind w:right="-22"/>
        <w:rPr>
          <w:rFonts w:ascii="Arial" w:hAnsi="Arial" w:cs="Arial"/>
          <w:b/>
          <w:bCs/>
        </w:rPr>
      </w:pPr>
    </w:p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 xml:space="preserve">ee (CGC) Committee was held on </w:t>
      </w:r>
      <w:r w:rsidR="008B1AF8">
        <w:rPr>
          <w:rFonts w:ascii="Arial" w:hAnsi="Arial" w:cs="Arial"/>
          <w:bCs/>
        </w:rPr>
        <w:t xml:space="preserve">13 May </w:t>
      </w:r>
      <w:r w:rsidR="00B474DA" w:rsidRPr="00CB044C">
        <w:rPr>
          <w:rFonts w:ascii="Arial" w:hAnsi="Arial" w:cs="Arial"/>
          <w:bCs/>
        </w:rPr>
        <w:t>2021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6D232B" w:rsidRPr="00CB044C" w:rsidRDefault="006D232B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p w:rsidR="00E95F55" w:rsidRPr="00CB044C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CB044C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CB044C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CB044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CB044C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CB044C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8B1AF8" w:rsidRPr="008B1AF8" w:rsidTr="007E7230">
        <w:tc>
          <w:tcPr>
            <w:tcW w:w="1397" w:type="dxa"/>
          </w:tcPr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b/>
                <w:bCs/>
                <w:lang w:val="en-US"/>
              </w:rPr>
            </w:pPr>
            <w:r w:rsidRPr="008B1AF8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AE3EFE" w:rsidRDefault="00AE3EFE" w:rsidP="00DE6C77">
            <w:pPr>
              <w:spacing w:after="60"/>
              <w:contextualSpacing/>
              <w:rPr>
                <w:rFonts w:ascii="Arial" w:hAnsi="Arial" w:cs="Arial"/>
                <w:b/>
              </w:rPr>
            </w:pPr>
            <w:r w:rsidRPr="008B1AF8">
              <w:rPr>
                <w:rFonts w:ascii="Arial" w:hAnsi="Arial" w:cs="Arial"/>
                <w:b/>
              </w:rPr>
              <w:t>Significant Adverse Events (SAEs)</w:t>
            </w:r>
          </w:p>
          <w:p w:rsidR="008B1AF8" w:rsidRPr="008B1AF8" w:rsidRDefault="008B1AF8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</w:p>
          <w:p w:rsidR="008B1AF8" w:rsidRDefault="00AE3EFE" w:rsidP="00EF3DA0">
            <w:pPr>
              <w:tabs>
                <w:tab w:val="left" w:pos="710"/>
              </w:tabs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  <w:r w:rsidRPr="008B1AF8">
              <w:rPr>
                <w:rFonts w:ascii="Arial" w:hAnsi="Arial" w:cs="Arial"/>
                <w:bCs/>
                <w:lang w:val="en-US"/>
              </w:rPr>
              <w:t xml:space="preserve">The Committee was provided with </w:t>
            </w:r>
            <w:r w:rsidR="00935139" w:rsidRPr="008B1AF8">
              <w:rPr>
                <w:rFonts w:ascii="Arial" w:hAnsi="Arial" w:cs="Arial"/>
                <w:bCs/>
                <w:lang w:val="en-US"/>
              </w:rPr>
              <w:t>a</w:t>
            </w:r>
            <w:r w:rsidRPr="008B1AF8">
              <w:rPr>
                <w:rFonts w:ascii="Arial" w:hAnsi="Arial" w:cs="Arial"/>
                <w:bCs/>
                <w:lang w:val="en-US"/>
              </w:rPr>
              <w:t xml:space="preserve"> SAE</w:t>
            </w:r>
            <w:r w:rsidR="00935139" w:rsidRPr="008B1AF8">
              <w:rPr>
                <w:rFonts w:ascii="Arial" w:hAnsi="Arial" w:cs="Arial"/>
                <w:bCs/>
                <w:lang w:val="en-US"/>
              </w:rPr>
              <w:t xml:space="preserve"> progress report.  Members were given an update on key actions and associated timelines.</w:t>
            </w:r>
            <w:r w:rsidR="00935139" w:rsidRPr="008B1AF8">
              <w:rPr>
                <w:rFonts w:ascii="Arial" w:hAnsi="Arial" w:cs="Arial"/>
                <w:bCs/>
                <w:color w:val="00B0F0"/>
                <w:lang w:val="en-US"/>
              </w:rPr>
              <w:t xml:space="preserve"> </w:t>
            </w:r>
            <w:r w:rsidR="008B1AF8">
              <w:rPr>
                <w:rFonts w:ascii="Arial" w:hAnsi="Arial" w:cs="Arial"/>
                <w:bCs/>
                <w:color w:val="00B0F0"/>
                <w:lang w:val="en-US"/>
              </w:rPr>
              <w:t xml:space="preserve">  </w:t>
            </w:r>
            <w:r w:rsidR="008B1AF8" w:rsidRPr="008B1AF8">
              <w:rPr>
                <w:rFonts w:ascii="Arial" w:hAnsi="Arial" w:cs="Arial"/>
                <w:bCs/>
                <w:lang w:val="en-US"/>
              </w:rPr>
              <w:t>The Committee discussed</w:t>
            </w:r>
            <w:r w:rsidR="008B1AF8">
              <w:rPr>
                <w:rFonts w:ascii="Arial" w:hAnsi="Arial" w:cs="Arial"/>
                <w:bCs/>
                <w:lang w:val="en-US"/>
              </w:rPr>
              <w:t xml:space="preserve"> the </w:t>
            </w:r>
            <w:r w:rsidR="008B1AF8" w:rsidRPr="008B1AF8">
              <w:rPr>
                <w:rFonts w:ascii="Arial" w:hAnsi="Arial" w:cs="Arial"/>
                <w:bCs/>
                <w:lang w:val="en-US"/>
              </w:rPr>
              <w:t>SAEs</w:t>
            </w:r>
            <w:r w:rsidR="008B1AF8">
              <w:rPr>
                <w:rFonts w:ascii="Arial" w:hAnsi="Arial" w:cs="Arial"/>
                <w:bCs/>
                <w:lang w:val="en-US"/>
              </w:rPr>
              <w:t xml:space="preserve"> and noted the 5 learning </w:t>
            </w:r>
            <w:r w:rsidR="009D239D">
              <w:rPr>
                <w:rFonts w:ascii="Arial" w:hAnsi="Arial" w:cs="Arial"/>
                <w:bCs/>
                <w:lang w:val="en-US"/>
              </w:rPr>
              <w:t>summaries for</w:t>
            </w:r>
            <w:r w:rsidR="00E80156">
              <w:rPr>
                <w:rFonts w:ascii="Arial" w:hAnsi="Arial" w:cs="Arial"/>
                <w:bCs/>
                <w:lang w:val="en-US"/>
              </w:rPr>
              <w:t xml:space="preserve"> review</w:t>
            </w:r>
            <w:r w:rsidR="008B1AF8">
              <w:rPr>
                <w:rFonts w:ascii="Arial" w:hAnsi="Arial" w:cs="Arial"/>
                <w:bCs/>
                <w:lang w:val="en-US"/>
              </w:rPr>
              <w:t xml:space="preserve"> that have concluded</w:t>
            </w:r>
            <w:r w:rsidR="00E80156">
              <w:rPr>
                <w:rFonts w:ascii="Arial" w:hAnsi="Arial" w:cs="Arial"/>
                <w:bCs/>
                <w:lang w:val="en-US"/>
              </w:rPr>
              <w:t>.  Laura Langan outlined the details of SAEs being reported on and those under assessment.</w:t>
            </w:r>
          </w:p>
          <w:p w:rsidR="00E80156" w:rsidRPr="00E80156" w:rsidRDefault="00E80156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</w:p>
          <w:p w:rsidR="00E80156" w:rsidRDefault="00E80156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The Committee discussed and supported the key learnings noted within the report, including:</w:t>
            </w:r>
          </w:p>
          <w:p w:rsidR="00E80156" w:rsidRDefault="00E80156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</w:p>
          <w:p w:rsidR="00EF3DA0" w:rsidRDefault="00E80156" w:rsidP="00EF3DA0">
            <w:pPr>
              <w:pStyle w:val="ListParagraph"/>
              <w:numPr>
                <w:ilvl w:val="0"/>
                <w:numId w:val="28"/>
              </w:numPr>
              <w:spacing w:after="60"/>
              <w:ind w:left="475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Consultant on Call </w:t>
            </w:r>
            <w:r w:rsidR="009D239D">
              <w:rPr>
                <w:bCs/>
                <w:lang w:val="en-US"/>
              </w:rPr>
              <w:t>operational change</w:t>
            </w:r>
            <w:r>
              <w:rPr>
                <w:bCs/>
                <w:lang w:val="en-US"/>
              </w:rPr>
              <w:t xml:space="preserve">. </w:t>
            </w:r>
            <w:r w:rsidR="00EF3DA0">
              <w:rPr>
                <w:bCs/>
                <w:lang w:val="en-US"/>
              </w:rPr>
              <w:br/>
            </w:r>
          </w:p>
          <w:p w:rsidR="00887D96" w:rsidRPr="00EF3DA0" w:rsidRDefault="00E80156" w:rsidP="009D239D">
            <w:pPr>
              <w:pStyle w:val="ListParagraph"/>
              <w:numPr>
                <w:ilvl w:val="0"/>
                <w:numId w:val="28"/>
              </w:numPr>
              <w:spacing w:after="60"/>
              <w:ind w:left="475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Further work is ongoing to</w:t>
            </w:r>
            <w:r w:rsidR="00057879">
              <w:rPr>
                <w:bCs/>
                <w:lang w:val="en-US"/>
              </w:rPr>
              <w:t xml:space="preserve"> develop</w:t>
            </w:r>
            <w:r w:rsidR="00887D96">
              <w:rPr>
                <w:bCs/>
                <w:lang w:val="en-US"/>
              </w:rPr>
              <w:t xml:space="preserve"> a standard approach to ensure a level of consistency for reviewing, and acting upon radiology reports.  </w:t>
            </w:r>
            <w:r w:rsidR="00A06E41">
              <w:rPr>
                <w:bCs/>
                <w:lang w:val="en-US"/>
              </w:rPr>
              <w:t>The Committee will welcome a further update on this work as it progresses.</w:t>
            </w:r>
            <w:r w:rsidR="00887D96">
              <w:rPr>
                <w:bCs/>
                <w:lang w:val="en-US"/>
              </w:rPr>
              <w:br/>
            </w:r>
          </w:p>
          <w:p w:rsidR="00EF3DA0" w:rsidRDefault="00887D96" w:rsidP="00EF3DA0">
            <w:pPr>
              <w:spacing w:after="60"/>
              <w:ind w:left="475"/>
              <w:contextualSpacing/>
              <w:rPr>
                <w:rFonts w:ascii="Arial" w:hAnsi="Arial" w:cs="Arial"/>
                <w:bCs/>
                <w:lang w:val="en-US"/>
              </w:rPr>
            </w:pPr>
            <w:r w:rsidRPr="00EF3DA0">
              <w:rPr>
                <w:rFonts w:ascii="Arial" w:hAnsi="Arial" w:cs="Arial"/>
                <w:bCs/>
                <w:lang w:val="en-US"/>
              </w:rPr>
              <w:t xml:space="preserve">The new Director of e-Health </w:t>
            </w:r>
            <w:r w:rsidR="009D239D">
              <w:rPr>
                <w:rFonts w:ascii="Arial" w:hAnsi="Arial" w:cs="Arial"/>
                <w:bCs/>
                <w:lang w:val="en-US"/>
              </w:rPr>
              <w:t xml:space="preserve">has recently been appointed and </w:t>
            </w:r>
            <w:r w:rsidRPr="00EF3DA0">
              <w:rPr>
                <w:rFonts w:ascii="Arial" w:hAnsi="Arial" w:cs="Arial"/>
                <w:bCs/>
                <w:lang w:val="en-US"/>
              </w:rPr>
              <w:t xml:space="preserve">will be invited to attend the Committee </w:t>
            </w:r>
            <w:r w:rsidR="00057879">
              <w:rPr>
                <w:rFonts w:ascii="Arial" w:hAnsi="Arial" w:cs="Arial"/>
                <w:bCs/>
                <w:lang w:val="en-US"/>
              </w:rPr>
              <w:t>to update on r</w:t>
            </w:r>
            <w:r w:rsidRPr="00EF3DA0">
              <w:rPr>
                <w:rFonts w:ascii="Arial" w:hAnsi="Arial" w:cs="Arial"/>
                <w:bCs/>
                <w:lang w:val="en-US"/>
              </w:rPr>
              <w:t>eporting issues and potential solutions.</w:t>
            </w:r>
            <w:r w:rsidR="00EF3DA0">
              <w:rPr>
                <w:rFonts w:ascii="Arial" w:hAnsi="Arial" w:cs="Arial"/>
                <w:bCs/>
                <w:lang w:val="en-US"/>
              </w:rPr>
              <w:br/>
            </w:r>
          </w:p>
          <w:p w:rsidR="00887D96" w:rsidRDefault="00EF3DA0" w:rsidP="00EF3DA0">
            <w:pPr>
              <w:pStyle w:val="ListParagraph"/>
              <w:numPr>
                <w:ilvl w:val="0"/>
                <w:numId w:val="28"/>
              </w:numPr>
              <w:spacing w:after="60"/>
              <w:ind w:left="475" w:hanging="284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Work is being progressed to improve cognitive status assessments.   In situations where further investigation of a patient’s cognitive state </w:t>
            </w:r>
            <w:r w:rsidR="009D239D">
              <w:rPr>
                <w:bCs/>
                <w:lang w:val="en-US"/>
              </w:rPr>
              <w:t xml:space="preserve">is required, </w:t>
            </w:r>
            <w:r>
              <w:rPr>
                <w:bCs/>
                <w:lang w:val="en-US"/>
              </w:rPr>
              <w:t xml:space="preserve">more </w:t>
            </w:r>
            <w:r w:rsidR="00057879">
              <w:rPr>
                <w:bCs/>
                <w:lang w:val="en-US"/>
              </w:rPr>
              <w:t>in-depth</w:t>
            </w:r>
            <w:r>
              <w:rPr>
                <w:bCs/>
                <w:lang w:val="en-US"/>
              </w:rPr>
              <w:t xml:space="preserve"> cognitive tests will be used.    This work will be carried out with the involvement of the Dementia Nurse.</w:t>
            </w:r>
            <w:r w:rsidR="00527616">
              <w:rPr>
                <w:bCs/>
                <w:lang w:val="en-US"/>
              </w:rPr>
              <w:br/>
            </w:r>
          </w:p>
          <w:p w:rsidR="00845894" w:rsidRDefault="009D239D" w:rsidP="00EF3DA0">
            <w:pPr>
              <w:pStyle w:val="ListParagraph"/>
              <w:numPr>
                <w:ilvl w:val="0"/>
                <w:numId w:val="28"/>
              </w:numPr>
              <w:spacing w:after="60"/>
              <w:ind w:left="475" w:hanging="284"/>
              <w:contextualSpacing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Committee Members were assured that learning outcomes from SAEs were being cascaded to ensure improvement across the organisation.  M</w:t>
            </w:r>
            <w:r w:rsidR="00845894">
              <w:rPr>
                <w:bCs/>
                <w:lang w:val="en-US"/>
              </w:rPr>
              <w:t>ember</w:t>
            </w:r>
            <w:r w:rsidR="00527616">
              <w:rPr>
                <w:bCs/>
                <w:lang w:val="en-US"/>
              </w:rPr>
              <w:t xml:space="preserve">s </w:t>
            </w:r>
            <w:r w:rsidR="00845894">
              <w:rPr>
                <w:bCs/>
                <w:lang w:val="en-US"/>
              </w:rPr>
              <w:t>noted positives of team work and being able to offer assurance to staff when things did not work out as wished, despite the best efforts of the team.</w:t>
            </w:r>
          </w:p>
          <w:p w:rsidR="00E80156" w:rsidRDefault="00E80156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</w:p>
          <w:p w:rsidR="00935139" w:rsidRPr="008B1AF8" w:rsidRDefault="00935139" w:rsidP="00DE6C77">
            <w:pPr>
              <w:spacing w:after="60"/>
              <w:contextualSpacing/>
              <w:rPr>
                <w:rFonts w:ascii="Arial" w:hAnsi="Arial" w:cs="Arial"/>
                <w:bCs/>
                <w:lang w:val="en-US"/>
              </w:rPr>
            </w:pPr>
            <w:r w:rsidRPr="008B1AF8">
              <w:rPr>
                <w:rFonts w:ascii="Arial" w:hAnsi="Arial" w:cs="Arial"/>
                <w:bCs/>
                <w:lang w:val="en-US"/>
              </w:rPr>
              <w:t>A full report on lessons learned will be included in the Annual Learning Summary Report.</w:t>
            </w:r>
          </w:p>
          <w:p w:rsidR="00DE6C77" w:rsidRPr="008B1AF8" w:rsidRDefault="00DE6C77" w:rsidP="00BF6EA7">
            <w:pPr>
              <w:spacing w:after="60"/>
              <w:contextualSpacing/>
              <w:rPr>
                <w:rFonts w:ascii="Arial" w:hAnsi="Arial" w:cs="Arial"/>
                <w:color w:val="00B0F0"/>
              </w:rPr>
            </w:pPr>
          </w:p>
        </w:tc>
      </w:tr>
      <w:tr w:rsidR="008B1AF8" w:rsidRPr="008B1AF8" w:rsidTr="007E7230">
        <w:tc>
          <w:tcPr>
            <w:tcW w:w="1397" w:type="dxa"/>
          </w:tcPr>
          <w:p w:rsidR="00AE3EFE" w:rsidRPr="00BF6EA7" w:rsidRDefault="00AE3EFE" w:rsidP="00E95F55">
            <w:pPr>
              <w:spacing w:after="60"/>
              <w:ind w:left="34"/>
              <w:rPr>
                <w:rFonts w:ascii="Arial" w:hAnsi="Arial" w:cs="Arial"/>
                <w:b/>
                <w:lang w:val="en-US"/>
              </w:rPr>
            </w:pPr>
            <w:r w:rsidRPr="00BF6EA7">
              <w:rPr>
                <w:rFonts w:ascii="Arial" w:hAnsi="Arial" w:cs="Arial"/>
                <w:b/>
                <w:lang w:val="en-US"/>
              </w:rPr>
              <w:t>Effective</w:t>
            </w: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  <w:p w:rsidR="00AE3EFE" w:rsidRPr="008B1AF8" w:rsidRDefault="00AE3EFE" w:rsidP="00E95F55">
            <w:pPr>
              <w:spacing w:after="60"/>
              <w:ind w:left="34"/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BF6EA7" w:rsidRPr="00BF6EA7" w:rsidRDefault="00BF6EA7" w:rsidP="00DE6C77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  <w:r w:rsidRPr="00BF6EA7">
              <w:rPr>
                <w:b/>
              </w:rPr>
              <w:t xml:space="preserve">Healthcare Associated Infection Report (HAIRT) </w:t>
            </w:r>
          </w:p>
          <w:p w:rsidR="00E95F55" w:rsidRDefault="00BF6EA7" w:rsidP="00DE6C77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  <w:r w:rsidRPr="00BF6EA7">
              <w:rPr>
                <w:b/>
              </w:rPr>
              <w:t>April 2020 – March 2021</w:t>
            </w:r>
          </w:p>
          <w:p w:rsidR="00BF6EA7" w:rsidRDefault="00BF6EA7" w:rsidP="00DE6C77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</w:p>
          <w:p w:rsidR="00BF6EA7" w:rsidRDefault="009D239D" w:rsidP="00DE6C77">
            <w:pPr>
              <w:pStyle w:val="ListParagraph"/>
              <w:spacing w:after="60"/>
              <w:ind w:left="0"/>
              <w:contextualSpacing/>
            </w:pPr>
            <w:r>
              <w:t xml:space="preserve">Members noted the key role the </w:t>
            </w:r>
            <w:r w:rsidR="00B21F87">
              <w:t>Preve</w:t>
            </w:r>
            <w:r>
              <w:t>ntion and Control of Infection T</w:t>
            </w:r>
            <w:r w:rsidR="00B21F87">
              <w:t xml:space="preserve">eam (PCIT) have </w:t>
            </w:r>
            <w:r>
              <w:t>delivered through this challenging year</w:t>
            </w:r>
            <w:r w:rsidR="00B21F87">
              <w:t>.   The</w:t>
            </w:r>
            <w:r>
              <w:t xml:space="preserve"> team have provided robust and significant advice in </w:t>
            </w:r>
            <w:r w:rsidR="00B21F87">
              <w:t xml:space="preserve">response to COVID 19 aligned to national guidance, which was subject to frequent change as more intelligence was gained on the epidemiology of </w:t>
            </w:r>
            <w:r>
              <w:t>the pandemic</w:t>
            </w:r>
            <w:r w:rsidR="00B21F87">
              <w:t>.</w:t>
            </w:r>
          </w:p>
          <w:p w:rsidR="00B21F87" w:rsidRDefault="00B21F87" w:rsidP="00DE6C77">
            <w:pPr>
              <w:pStyle w:val="ListParagraph"/>
              <w:spacing w:after="60"/>
              <w:ind w:left="0"/>
              <w:contextualSpacing/>
            </w:pPr>
          </w:p>
          <w:p w:rsidR="00B21F87" w:rsidRDefault="00B21F87" w:rsidP="00DE6C77">
            <w:pPr>
              <w:pStyle w:val="ListParagraph"/>
              <w:spacing w:after="60"/>
              <w:ind w:left="0"/>
              <w:contextualSpacing/>
            </w:pPr>
            <w:r>
              <w:t xml:space="preserve">The Committee members </w:t>
            </w:r>
            <w:r w:rsidR="009D239D">
              <w:t xml:space="preserve">commended </w:t>
            </w:r>
            <w:r>
              <w:t xml:space="preserve">the PCIT for their hard work and collaboration </w:t>
            </w:r>
            <w:r w:rsidR="00855E40">
              <w:t xml:space="preserve">in delivering new pathways and processes </w:t>
            </w:r>
            <w:r>
              <w:t xml:space="preserve">during this </w:t>
            </w:r>
            <w:r w:rsidR="009D239D">
              <w:t xml:space="preserve">unprecedented </w:t>
            </w:r>
            <w:r w:rsidR="00855E40">
              <w:t xml:space="preserve">time. </w:t>
            </w:r>
          </w:p>
          <w:p w:rsidR="00B21F87" w:rsidRDefault="00B21F87" w:rsidP="00DE6C77">
            <w:pPr>
              <w:pStyle w:val="ListParagraph"/>
              <w:spacing w:after="60"/>
              <w:ind w:left="0"/>
              <w:contextualSpacing/>
            </w:pPr>
          </w:p>
          <w:p w:rsidR="00E276DB" w:rsidRDefault="00855E40" w:rsidP="00DE6C77">
            <w:pPr>
              <w:pStyle w:val="ListParagraph"/>
              <w:spacing w:after="60"/>
              <w:ind w:left="0"/>
              <w:contextualSpacing/>
            </w:pPr>
            <w:r>
              <w:t>The Committee were advised that</w:t>
            </w:r>
            <w:r w:rsidR="009D239D">
              <w:t xml:space="preserve"> national</w:t>
            </w:r>
            <w:r>
              <w:t xml:space="preserve"> S</w:t>
            </w:r>
            <w:r w:rsidR="009D239D">
              <w:t>urgical Site Infection (S</w:t>
            </w:r>
            <w:r>
              <w:t>SI</w:t>
            </w:r>
            <w:r w:rsidR="009D239D">
              <w:t>)</w:t>
            </w:r>
            <w:r>
              <w:t xml:space="preserve"> surveillance was paused in March 2020 and remains the current status.   </w:t>
            </w:r>
            <w:r w:rsidR="00E276DB">
              <w:t xml:space="preserve">Assurance was given that despite this national </w:t>
            </w:r>
            <w:r w:rsidR="00057879">
              <w:t>stand-down</w:t>
            </w:r>
            <w:r w:rsidR="00E276DB">
              <w:t xml:space="preserve"> the </w:t>
            </w:r>
            <w:r w:rsidR="009D239D">
              <w:t xml:space="preserve">NHS </w:t>
            </w:r>
            <w:r w:rsidR="00E276DB">
              <w:t>Golden Jubilee PCIT continue</w:t>
            </w:r>
            <w:r w:rsidR="009D239D">
              <w:t xml:space="preserve"> to </w:t>
            </w:r>
            <w:r w:rsidR="00E276DB">
              <w:t>monitor locally and remain visible to clinical colleagues.</w:t>
            </w:r>
          </w:p>
          <w:p w:rsidR="009D239D" w:rsidRDefault="009D239D" w:rsidP="00E276DB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</w:p>
          <w:p w:rsidR="00A06E41" w:rsidRPr="00A06E41" w:rsidRDefault="00A06E41" w:rsidP="00E276DB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</w:p>
          <w:p w:rsidR="00A06E41" w:rsidRPr="00A06E41" w:rsidRDefault="00A06E41" w:rsidP="00E276DB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  <w:r w:rsidRPr="00A06E41">
              <w:rPr>
                <w:b/>
              </w:rPr>
              <w:t>Patient Pathways Audit Report</w:t>
            </w:r>
          </w:p>
          <w:p w:rsidR="00A06E41" w:rsidRDefault="00A06E41" w:rsidP="00E276DB">
            <w:pPr>
              <w:pStyle w:val="ListParagraph"/>
              <w:spacing w:after="60"/>
              <w:ind w:left="0"/>
              <w:contextualSpacing/>
            </w:pPr>
          </w:p>
          <w:p w:rsidR="00A06E41" w:rsidRDefault="00A06E41" w:rsidP="00E276DB">
            <w:pPr>
              <w:pStyle w:val="ListParagraph"/>
              <w:spacing w:after="60"/>
              <w:ind w:left="0"/>
              <w:contextualSpacing/>
            </w:pPr>
            <w:r>
              <w:t xml:space="preserve">Members welcomed the Internal Audit </w:t>
            </w:r>
            <w:r w:rsidR="00560AB8">
              <w:t>Patient</w:t>
            </w:r>
            <w:r>
              <w:t xml:space="preserve"> Pathways Audit report.  The positive </w:t>
            </w:r>
            <w:r w:rsidR="00560AB8">
              <w:t>outcomes</w:t>
            </w:r>
            <w:r>
              <w:t xml:space="preserve"> of this report were commended and Members noted the excellent work that has been undertaken on patient pathways throughout the pandemic.</w:t>
            </w:r>
          </w:p>
          <w:p w:rsidR="00A06E41" w:rsidRPr="00A06E41" w:rsidRDefault="00A06E41" w:rsidP="00E276DB">
            <w:pPr>
              <w:pStyle w:val="ListParagraph"/>
              <w:spacing w:after="60"/>
              <w:ind w:left="0"/>
              <w:contextualSpacing/>
            </w:pPr>
          </w:p>
          <w:p w:rsidR="009D239D" w:rsidRDefault="009D239D" w:rsidP="00E276DB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</w:p>
          <w:p w:rsidR="00E276DB" w:rsidRPr="00845894" w:rsidRDefault="009D239D" w:rsidP="00E276DB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  <w:r>
              <w:rPr>
                <w:b/>
              </w:rPr>
              <w:t>S</w:t>
            </w:r>
            <w:r w:rsidR="00E276DB" w:rsidRPr="00845894">
              <w:rPr>
                <w:b/>
              </w:rPr>
              <w:t xml:space="preserve">BAR NICOR </w:t>
            </w:r>
          </w:p>
          <w:p w:rsidR="00A35936" w:rsidRDefault="00A35936" w:rsidP="00E276DB">
            <w:pPr>
              <w:pStyle w:val="ListParagraph"/>
              <w:spacing w:after="60"/>
              <w:ind w:left="0"/>
              <w:contextualSpacing/>
            </w:pPr>
          </w:p>
          <w:p w:rsidR="006161B2" w:rsidRDefault="00A35936" w:rsidP="0032342B">
            <w:pPr>
              <w:pStyle w:val="ListParagraph"/>
              <w:spacing w:after="60"/>
              <w:ind w:left="0"/>
              <w:contextualSpacing/>
            </w:pPr>
            <w:r>
              <w:t xml:space="preserve">The Committee were </w:t>
            </w:r>
            <w:r w:rsidR="000F4AC1">
              <w:t xml:space="preserve">advised that the NHSGJ Interventional Cardiology, Cardiac Surgery and SACCS services input data into a national UK audit programme.  Members received a report on anticipated changes to this which have been discussed with Scottish Government.  </w:t>
            </w:r>
            <w:r w:rsidR="006161B2">
              <w:t>Given issues raised, this matter will be put on the risk register.</w:t>
            </w:r>
          </w:p>
          <w:p w:rsidR="000F4AC1" w:rsidRDefault="000F4AC1" w:rsidP="0032342B">
            <w:pPr>
              <w:pStyle w:val="ListParagraph"/>
              <w:spacing w:after="60"/>
              <w:ind w:left="0"/>
              <w:contextualSpacing/>
            </w:pPr>
          </w:p>
          <w:p w:rsidR="000F4AC1" w:rsidRDefault="000F4AC1" w:rsidP="0032342B">
            <w:pPr>
              <w:pStyle w:val="ListParagraph"/>
              <w:spacing w:after="60"/>
              <w:ind w:left="0"/>
              <w:contextualSpacing/>
            </w:pPr>
            <w:r>
              <w:t>A further update on the status of this process will be discussed at the May 2021 Board</w:t>
            </w:r>
            <w:r w:rsidR="006161B2">
              <w:t>/Private Board</w:t>
            </w:r>
            <w:r>
              <w:t xml:space="preserve"> meeting.</w:t>
            </w:r>
          </w:p>
          <w:p w:rsidR="00E276DB" w:rsidRDefault="00E276DB" w:rsidP="00E276DB">
            <w:pPr>
              <w:spacing w:after="60"/>
              <w:contextualSpacing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Clinical Department Update (Cardiology) </w:t>
            </w:r>
          </w:p>
          <w:p w:rsidR="000317DA" w:rsidRPr="00845894" w:rsidRDefault="000317DA" w:rsidP="00E276DB">
            <w:pPr>
              <w:spacing w:after="60"/>
              <w:contextualSpacing/>
              <w:rPr>
                <w:rFonts w:ascii="Arial" w:hAnsi="Arial" w:cs="Arial"/>
                <w:b/>
                <w:lang w:val="en-US"/>
              </w:rPr>
            </w:pPr>
          </w:p>
          <w:p w:rsidR="003A6675" w:rsidRDefault="000317DA" w:rsidP="00E276DB">
            <w:pPr>
              <w:spacing w:after="6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Committee Members </w:t>
            </w:r>
            <w:r w:rsidR="000F4AC1">
              <w:rPr>
                <w:rFonts w:ascii="Arial" w:hAnsi="Arial" w:cs="Arial"/>
                <w:lang w:val="en-US"/>
              </w:rPr>
              <w:t xml:space="preserve">welcomed </w:t>
            </w:r>
            <w:r w:rsidR="008510AD">
              <w:rPr>
                <w:rFonts w:ascii="Arial" w:hAnsi="Arial" w:cs="Arial"/>
                <w:lang w:val="en-US"/>
              </w:rPr>
              <w:t xml:space="preserve">a presentation </w:t>
            </w:r>
            <w:r w:rsidR="000F4AC1">
              <w:rPr>
                <w:rFonts w:ascii="Arial" w:hAnsi="Arial" w:cs="Arial"/>
                <w:lang w:val="en-US"/>
              </w:rPr>
              <w:t xml:space="preserve">on </w:t>
            </w:r>
            <w:r>
              <w:rPr>
                <w:rFonts w:ascii="Arial" w:hAnsi="Arial" w:cs="Arial"/>
                <w:lang w:val="en-US"/>
              </w:rPr>
              <w:t xml:space="preserve">the work and </w:t>
            </w:r>
            <w:r w:rsidR="000F4AC1">
              <w:rPr>
                <w:rFonts w:ascii="Arial" w:hAnsi="Arial" w:cs="Arial"/>
                <w:lang w:val="en-US"/>
              </w:rPr>
              <w:t xml:space="preserve">achievements </w:t>
            </w:r>
            <w:r>
              <w:rPr>
                <w:rFonts w:ascii="Arial" w:hAnsi="Arial" w:cs="Arial"/>
                <w:lang w:val="en-US"/>
              </w:rPr>
              <w:t>of the Cardiology Department</w:t>
            </w:r>
            <w:r w:rsidR="000F4AC1">
              <w:rPr>
                <w:rFonts w:ascii="Arial" w:hAnsi="Arial" w:cs="Arial"/>
                <w:lang w:val="en-US"/>
              </w:rPr>
              <w:t xml:space="preserve"> over the past year</w:t>
            </w:r>
            <w:r>
              <w:rPr>
                <w:rFonts w:ascii="Arial" w:hAnsi="Arial" w:cs="Arial"/>
                <w:lang w:val="en-US"/>
              </w:rPr>
              <w:t xml:space="preserve">.  </w:t>
            </w:r>
            <w:r w:rsidR="000F4AC1">
              <w:rPr>
                <w:rFonts w:ascii="Arial" w:hAnsi="Arial" w:cs="Arial"/>
                <w:lang w:val="en-US"/>
              </w:rPr>
              <w:t xml:space="preserve">Members were assured that the team continued to implement a </w:t>
            </w:r>
            <w:r>
              <w:rPr>
                <w:rFonts w:ascii="Arial" w:hAnsi="Arial" w:cs="Arial"/>
                <w:lang w:val="en-US"/>
              </w:rPr>
              <w:t xml:space="preserve">robust </w:t>
            </w:r>
            <w:r w:rsidR="000F4AC1">
              <w:rPr>
                <w:rFonts w:ascii="Arial" w:hAnsi="Arial" w:cs="Arial"/>
                <w:lang w:val="en-US"/>
              </w:rPr>
              <w:t xml:space="preserve">approach to clinical governance throughout the </w:t>
            </w:r>
            <w:r>
              <w:rPr>
                <w:rFonts w:ascii="Arial" w:hAnsi="Arial" w:cs="Arial"/>
                <w:lang w:val="en-US"/>
              </w:rPr>
              <w:t xml:space="preserve">challenging pandemic situation.   The highlights included development </w:t>
            </w:r>
            <w:r w:rsidR="00057879">
              <w:rPr>
                <w:rFonts w:ascii="Arial" w:hAnsi="Arial" w:cs="Arial"/>
                <w:lang w:val="en-US"/>
              </w:rPr>
              <w:t>of:</w:t>
            </w:r>
          </w:p>
          <w:p w:rsidR="008510AD" w:rsidRDefault="008510AD" w:rsidP="00E276DB">
            <w:pPr>
              <w:spacing w:after="60"/>
              <w:contextualSpacing/>
              <w:rPr>
                <w:rFonts w:ascii="Arial" w:hAnsi="Arial" w:cs="Arial"/>
                <w:lang w:val="en-US"/>
              </w:rPr>
            </w:pPr>
          </w:p>
          <w:p w:rsidR="000317DA" w:rsidRDefault="00057879" w:rsidP="008510AD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0317DA">
              <w:rPr>
                <w:lang w:val="en-US"/>
              </w:rPr>
              <w:t>obust approach to clinical governance</w:t>
            </w:r>
          </w:p>
          <w:p w:rsidR="000317DA" w:rsidRDefault="00057879" w:rsidP="008510AD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lang w:val="en-US"/>
              </w:rPr>
            </w:pPr>
            <w:r>
              <w:rPr>
                <w:lang w:val="en-US"/>
              </w:rPr>
              <w:t>q</w:t>
            </w:r>
            <w:r w:rsidR="006161B2">
              <w:rPr>
                <w:lang w:val="en-US"/>
              </w:rPr>
              <w:t>uality improvement</w:t>
            </w:r>
          </w:p>
          <w:p w:rsidR="000317DA" w:rsidRDefault="006161B2" w:rsidP="008510AD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new interventional procedures </w:t>
            </w:r>
            <w:r w:rsidR="000317DA">
              <w:rPr>
                <w:lang w:val="en-US"/>
              </w:rPr>
              <w:t>and clinical guidelines</w:t>
            </w:r>
          </w:p>
          <w:p w:rsidR="000317DA" w:rsidRDefault="000317DA" w:rsidP="008510AD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lang w:val="en-US"/>
              </w:rPr>
            </w:pPr>
            <w:r>
              <w:rPr>
                <w:lang w:val="en-US"/>
              </w:rPr>
              <w:t>enhanced role</w:t>
            </w:r>
            <w:r w:rsidR="006161B2">
              <w:rPr>
                <w:lang w:val="en-US"/>
              </w:rPr>
              <w:t>s</w:t>
            </w:r>
            <w:r>
              <w:rPr>
                <w:lang w:val="en-US"/>
              </w:rPr>
              <w:t xml:space="preserve"> around discharge</w:t>
            </w:r>
          </w:p>
          <w:p w:rsidR="000317DA" w:rsidRPr="00FF7EFD" w:rsidRDefault="000317DA" w:rsidP="008510AD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lang w:val="en-US"/>
              </w:rPr>
            </w:pPr>
            <w:r w:rsidRPr="00FF7EFD">
              <w:rPr>
                <w:lang w:val="en-US"/>
              </w:rPr>
              <w:t>triumvirate approach</w:t>
            </w:r>
          </w:p>
          <w:p w:rsidR="00E276DB" w:rsidRPr="00FF7EFD" w:rsidRDefault="006161B2" w:rsidP="00CD4AF8">
            <w:pPr>
              <w:pStyle w:val="ListParagraph"/>
              <w:numPr>
                <w:ilvl w:val="0"/>
                <w:numId w:val="30"/>
              </w:numPr>
              <w:spacing w:after="60"/>
              <w:contextualSpacing/>
              <w:rPr>
                <w:color w:val="00B0F0"/>
                <w:lang w:val="en-US"/>
              </w:rPr>
            </w:pPr>
            <w:r w:rsidRPr="00FF7EFD">
              <w:rPr>
                <w:lang w:val="en-US"/>
              </w:rPr>
              <w:t>human factors</w:t>
            </w:r>
            <w:r w:rsidR="00FF7EFD">
              <w:rPr>
                <w:lang w:val="en-US"/>
              </w:rPr>
              <w:t>; staff support, staff survey, STOP, and need for breakout space</w:t>
            </w:r>
          </w:p>
          <w:p w:rsidR="00FF7EFD" w:rsidRPr="00FF7EFD" w:rsidRDefault="00FF7EFD" w:rsidP="00FF7EFD">
            <w:pPr>
              <w:pStyle w:val="ListParagraph"/>
              <w:spacing w:after="60"/>
              <w:contextualSpacing/>
              <w:rPr>
                <w:color w:val="00B0F0"/>
                <w:lang w:val="en-US"/>
              </w:rPr>
            </w:pPr>
          </w:p>
          <w:p w:rsidR="000F4AC1" w:rsidRDefault="000F4AC1" w:rsidP="00845894">
            <w:pPr>
              <w:spacing w:after="60"/>
              <w:contextualSpacing/>
              <w:rPr>
                <w:rFonts w:ascii="Arial" w:hAnsi="Arial" w:cs="Arial"/>
                <w:color w:val="00B0F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Members commended the Team for the positive work carried out and noted their collaborative and positive approach to overcoming challenges and seeking service improvement.</w:t>
            </w:r>
          </w:p>
          <w:p w:rsidR="000F4AC1" w:rsidRPr="008B1AF8" w:rsidRDefault="000F4AC1" w:rsidP="00845894">
            <w:pPr>
              <w:spacing w:after="60"/>
              <w:contextualSpacing/>
              <w:rPr>
                <w:rFonts w:ascii="Arial" w:hAnsi="Arial" w:cs="Arial"/>
                <w:color w:val="00B0F0"/>
                <w:lang w:val="en-US"/>
              </w:rPr>
            </w:pPr>
          </w:p>
        </w:tc>
      </w:tr>
      <w:tr w:rsidR="00E95F55" w:rsidRPr="008B1AF8" w:rsidTr="007E7230">
        <w:tc>
          <w:tcPr>
            <w:tcW w:w="1397" w:type="dxa"/>
          </w:tcPr>
          <w:p w:rsidR="00E95F55" w:rsidRPr="00845894" w:rsidRDefault="00E95F55" w:rsidP="00E95F55">
            <w:pPr>
              <w:spacing w:after="60"/>
              <w:ind w:left="34"/>
              <w:rPr>
                <w:rFonts w:ascii="Arial" w:hAnsi="Arial" w:cs="Arial"/>
                <w:b/>
                <w:bCs/>
                <w:lang w:val="en-US"/>
              </w:rPr>
            </w:pPr>
            <w:r w:rsidRPr="00845894">
              <w:rPr>
                <w:rFonts w:ascii="Arial" w:hAnsi="Arial" w:cs="Arial"/>
                <w:b/>
                <w:bCs/>
                <w:lang w:val="en-US"/>
              </w:rPr>
              <w:t>Person Centred</w:t>
            </w: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  <w:p w:rsidR="00E95F55" w:rsidRPr="008B1AF8" w:rsidRDefault="00E95F55" w:rsidP="00E95F55">
            <w:pPr>
              <w:spacing w:after="60"/>
              <w:ind w:left="34"/>
              <w:rPr>
                <w:rFonts w:ascii="Arial" w:hAnsi="Arial" w:cs="Arial"/>
                <w:bCs/>
                <w:color w:val="00B0F0"/>
                <w:lang w:val="en-US"/>
              </w:rPr>
            </w:pPr>
          </w:p>
        </w:tc>
        <w:tc>
          <w:tcPr>
            <w:tcW w:w="7783" w:type="dxa"/>
          </w:tcPr>
          <w:p w:rsidR="00845894" w:rsidRDefault="00E276DB" w:rsidP="007D7E73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  <w:r>
              <w:rPr>
                <w:b/>
              </w:rPr>
              <w:t>Patient Visiting</w:t>
            </w:r>
          </w:p>
          <w:p w:rsidR="00057879" w:rsidRDefault="00057879" w:rsidP="007D7E73">
            <w:pPr>
              <w:pStyle w:val="ListParagraph"/>
              <w:spacing w:after="60"/>
              <w:ind w:left="0"/>
              <w:contextualSpacing/>
              <w:rPr>
                <w:b/>
              </w:rPr>
            </w:pPr>
          </w:p>
          <w:p w:rsidR="00E276DB" w:rsidRPr="00E276DB" w:rsidRDefault="00E276DB" w:rsidP="007D7E73">
            <w:pPr>
              <w:pStyle w:val="ListParagraph"/>
              <w:spacing w:after="60"/>
              <w:ind w:left="0"/>
              <w:contextualSpacing/>
            </w:pPr>
            <w:r w:rsidRPr="00E276DB">
              <w:t xml:space="preserve">The Committee </w:t>
            </w:r>
            <w:r w:rsidR="000F4AC1">
              <w:t xml:space="preserve">were advised of </w:t>
            </w:r>
            <w:r>
              <w:t xml:space="preserve">positive feedback </w:t>
            </w:r>
            <w:r w:rsidR="000F4AC1">
              <w:t xml:space="preserve">from patients, visitors and staff regarding patient visiting.  The process is being managed using </w:t>
            </w:r>
            <w:r>
              <w:t>an appointment system</w:t>
            </w:r>
            <w:r w:rsidR="000F4AC1">
              <w:t xml:space="preserve">.  </w:t>
            </w:r>
            <w:r w:rsidR="00F31A77">
              <w:t xml:space="preserve">Members were assured that </w:t>
            </w:r>
            <w:r w:rsidR="000F4AC1">
              <w:t xml:space="preserve">careful consideration is given, on a case by case basis, </w:t>
            </w:r>
            <w:r w:rsidR="00F31A77">
              <w:t xml:space="preserve">where visiting could pose a significant patient risk.  </w:t>
            </w:r>
            <w:r w:rsidR="000F4AC1">
              <w:t xml:space="preserve">Alternative methods of patient contact continue to be utilised and promoted including the use of mobile devices to connect with </w:t>
            </w:r>
            <w:r w:rsidR="00F31A77">
              <w:t>visitors.</w:t>
            </w:r>
          </w:p>
          <w:p w:rsidR="00724610" w:rsidRPr="008B1AF8" w:rsidRDefault="00724610" w:rsidP="00724610">
            <w:pPr>
              <w:spacing w:after="60"/>
              <w:contextualSpacing/>
              <w:rPr>
                <w:rFonts w:ascii="Arial" w:hAnsi="Arial" w:cs="Arial"/>
                <w:color w:val="00B0F0"/>
                <w:lang w:val="en-US"/>
              </w:rPr>
            </w:pPr>
          </w:p>
        </w:tc>
      </w:tr>
    </w:tbl>
    <w:p w:rsidR="006D232B" w:rsidRPr="008B1AF8" w:rsidRDefault="006D232B" w:rsidP="002D079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ind w:left="-426"/>
        <w:rPr>
          <w:rFonts w:eastAsia="Times New Roman" w:hAnsi="Arial" w:cs="Arial"/>
          <w:b/>
          <w:color w:val="00B0F0"/>
          <w:u w:val="single"/>
          <w:lang w:eastAsia="en-US"/>
        </w:rPr>
      </w:pPr>
    </w:p>
    <w:p w:rsidR="008D1191" w:rsidRPr="008B1AF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914107" w:rsidRPr="008B1AF8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8B1AF8">
        <w:rPr>
          <w:rFonts w:hAnsi="Arial" w:cs="Arial"/>
          <w:color w:val="auto"/>
          <w:lang w:val="en-US"/>
        </w:rPr>
        <w:t>The n</w:t>
      </w:r>
      <w:r w:rsidR="00914107" w:rsidRPr="008B1AF8">
        <w:rPr>
          <w:rFonts w:hAnsi="Arial" w:cs="Arial"/>
          <w:color w:val="auto"/>
          <w:lang w:val="en-US"/>
        </w:rPr>
        <w:t xml:space="preserve">ext meeting is scheduled for </w:t>
      </w:r>
      <w:r w:rsidR="008B1AF8">
        <w:rPr>
          <w:rFonts w:hAnsi="Arial" w:cs="Arial"/>
          <w:color w:val="auto"/>
          <w:lang w:val="en-US"/>
        </w:rPr>
        <w:t xml:space="preserve">7 July </w:t>
      </w:r>
      <w:r w:rsidR="00BB71B6" w:rsidRPr="008B1AF8">
        <w:rPr>
          <w:rFonts w:hAnsi="Arial" w:cs="Arial"/>
          <w:color w:val="auto"/>
          <w:lang w:val="en-US"/>
        </w:rPr>
        <w:t>2021.</w:t>
      </w:r>
    </w:p>
    <w:p w:rsidR="00E95F55" w:rsidRPr="008B1AF8" w:rsidRDefault="00E95F55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</w:rPr>
      </w:pPr>
    </w:p>
    <w:p w:rsidR="001175E5" w:rsidRPr="008B1AF8" w:rsidRDefault="001175E5" w:rsidP="00506517">
      <w:pPr>
        <w:ind w:right="183"/>
        <w:rPr>
          <w:rFonts w:ascii="Arial" w:hAnsi="Arial" w:cs="Arial"/>
          <w:bCs/>
          <w:color w:val="00B0F0"/>
        </w:rPr>
      </w:pPr>
    </w:p>
    <w:p w:rsidR="00E95F55" w:rsidRPr="008B1AF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r>
        <w:rPr>
          <w:b/>
          <w:bCs/>
        </w:rPr>
        <w:t xml:space="preserve"> </w:t>
      </w:r>
      <w:r w:rsidR="00E95F55" w:rsidRPr="008B1AF8">
        <w:rPr>
          <w:b/>
          <w:bCs/>
        </w:rPr>
        <w:t xml:space="preserve">Recommendation </w:t>
      </w:r>
    </w:p>
    <w:p w:rsidR="00BB71B6" w:rsidRPr="008B1AF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8B1AF8" w:rsidRDefault="008D1191" w:rsidP="00506517">
      <w:pPr>
        <w:ind w:right="183"/>
        <w:rPr>
          <w:rFonts w:ascii="Arial" w:hAnsi="Arial" w:cs="Arial"/>
          <w:bCs/>
        </w:rPr>
      </w:pPr>
      <w:r w:rsidRPr="008B1AF8">
        <w:rPr>
          <w:rFonts w:ascii="Arial" w:hAnsi="Arial" w:cs="Arial"/>
          <w:bCs/>
        </w:rPr>
        <w:t xml:space="preserve">Board </w:t>
      </w:r>
      <w:r w:rsidR="00E95F55" w:rsidRPr="008B1AF8">
        <w:rPr>
          <w:rFonts w:ascii="Arial" w:hAnsi="Arial" w:cs="Arial"/>
          <w:bCs/>
        </w:rPr>
        <w:t>Members are asked to note the Clinical Governance Committee update.</w:t>
      </w:r>
    </w:p>
    <w:p w:rsidR="00BB71B6" w:rsidRPr="008B1AF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8B1AF8" w:rsidRDefault="00E95F55" w:rsidP="00506517">
      <w:pPr>
        <w:ind w:right="183"/>
        <w:rPr>
          <w:rFonts w:ascii="Arial" w:hAnsi="Arial" w:cs="Arial"/>
          <w:bCs/>
        </w:rPr>
      </w:pPr>
    </w:p>
    <w:p w:rsidR="00E95F55" w:rsidRPr="008B1AF8" w:rsidRDefault="00E95F55" w:rsidP="00506517">
      <w:pPr>
        <w:ind w:right="183"/>
        <w:rPr>
          <w:rFonts w:ascii="Arial" w:hAnsi="Arial" w:cs="Arial"/>
          <w:bCs/>
        </w:rPr>
      </w:pPr>
    </w:p>
    <w:p w:rsidR="00BB71B6" w:rsidRPr="008B1AF8" w:rsidRDefault="00BB71B6" w:rsidP="00506517">
      <w:pPr>
        <w:ind w:right="183"/>
        <w:rPr>
          <w:rFonts w:ascii="Arial" w:hAnsi="Arial" w:cs="Arial"/>
          <w:bCs/>
        </w:rPr>
      </w:pPr>
    </w:p>
    <w:p w:rsidR="00914107" w:rsidRPr="008B1AF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8B1AF8">
        <w:rPr>
          <w:rFonts w:ascii="Arial" w:hAnsi="Arial" w:cs="Arial"/>
          <w:b/>
          <w:bCs/>
        </w:rPr>
        <w:t xml:space="preserve">Morag Brown </w:t>
      </w:r>
    </w:p>
    <w:p w:rsidR="001175E5" w:rsidRPr="008B1AF8" w:rsidRDefault="00BF60F1" w:rsidP="00BF60F1">
      <w:pPr>
        <w:ind w:right="183"/>
        <w:rPr>
          <w:rFonts w:ascii="Arial" w:hAnsi="Arial" w:cs="Arial"/>
          <w:b/>
          <w:bCs/>
        </w:rPr>
      </w:pPr>
      <w:r w:rsidRPr="008B1AF8">
        <w:rPr>
          <w:rFonts w:ascii="Arial" w:hAnsi="Arial" w:cs="Arial"/>
          <w:b/>
          <w:bCs/>
        </w:rPr>
        <w:t>Chair, Clinical Governance Committee</w:t>
      </w:r>
    </w:p>
    <w:p w:rsidR="00506517" w:rsidRPr="008B1AF8" w:rsidRDefault="008B1AF8" w:rsidP="00506517">
      <w:pPr>
        <w:ind w:right="183"/>
        <w:rPr>
          <w:rFonts w:ascii="Arial" w:hAnsi="Arial" w:cs="Arial"/>
          <w:lang w:val="en-US"/>
        </w:rPr>
      </w:pPr>
      <w:r w:rsidRPr="008B1AF8">
        <w:rPr>
          <w:rFonts w:ascii="Arial" w:hAnsi="Arial" w:cs="Arial"/>
          <w:lang w:val="en-US"/>
        </w:rPr>
        <w:t xml:space="preserve">13 May </w:t>
      </w:r>
      <w:r w:rsidR="00F41F8C" w:rsidRPr="008B1AF8">
        <w:rPr>
          <w:rFonts w:ascii="Arial" w:hAnsi="Arial" w:cs="Arial"/>
          <w:lang w:val="en-US"/>
        </w:rPr>
        <w:t>2021</w:t>
      </w:r>
    </w:p>
    <w:p w:rsidR="00095963" w:rsidRPr="00CB044C" w:rsidRDefault="00095963" w:rsidP="00506517">
      <w:pPr>
        <w:ind w:right="183"/>
        <w:rPr>
          <w:rFonts w:ascii="Arial" w:hAnsi="Arial" w:cs="Arial"/>
          <w:b/>
          <w:bCs/>
        </w:rPr>
      </w:pPr>
    </w:p>
    <w:sectPr w:rsidR="00095963" w:rsidRPr="00CB044C" w:rsidSect="00C37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49" w:rsidRDefault="00976749">
      <w:r>
        <w:separator/>
      </w:r>
    </w:p>
  </w:endnote>
  <w:endnote w:type="continuationSeparator" w:id="0">
    <w:p w:rsidR="00976749" w:rsidRDefault="0097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Default="000C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3E1349">
      <w:rPr>
        <w:rStyle w:val="PageNumber"/>
        <w:rFonts w:ascii="Arial" w:hAnsi="Arial" w:cs="Arial"/>
        <w:noProof/>
      </w:rPr>
      <w:t>3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Default="000C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49" w:rsidRDefault="00976749">
      <w:r>
        <w:separator/>
      </w:r>
    </w:p>
  </w:footnote>
  <w:footnote w:type="continuationSeparator" w:id="0">
    <w:p w:rsidR="00976749" w:rsidRDefault="0097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Default="000C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Default="000C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5D1" w:rsidRDefault="000C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B5A63BA8"/>
    <w:lvl w:ilvl="0">
      <w:start w:val="1"/>
      <w:numFmt w:val="decimal"/>
      <w:lvlText w:val="%1.0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3"/>
  </w:num>
  <w:num w:numId="5">
    <w:abstractNumId w:val="5"/>
  </w:num>
  <w:num w:numId="6">
    <w:abstractNumId w:val="26"/>
  </w:num>
  <w:num w:numId="7">
    <w:abstractNumId w:val="29"/>
  </w:num>
  <w:num w:numId="8">
    <w:abstractNumId w:val="4"/>
  </w:num>
  <w:num w:numId="9">
    <w:abstractNumId w:val="27"/>
  </w:num>
  <w:num w:numId="10">
    <w:abstractNumId w:val="20"/>
  </w:num>
  <w:num w:numId="11">
    <w:abstractNumId w:val="25"/>
  </w:num>
  <w:num w:numId="12">
    <w:abstractNumId w:val="12"/>
  </w:num>
  <w:num w:numId="13">
    <w:abstractNumId w:val="19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2"/>
  </w:num>
  <w:num w:numId="22">
    <w:abstractNumId w:val="21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3"/>
  </w:num>
  <w:num w:numId="28">
    <w:abstractNumId w:val="9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317DA"/>
    <w:rsid w:val="00055C68"/>
    <w:rsid w:val="00056DDC"/>
    <w:rsid w:val="00057879"/>
    <w:rsid w:val="00075AAA"/>
    <w:rsid w:val="0008216B"/>
    <w:rsid w:val="00095963"/>
    <w:rsid w:val="000A0F2E"/>
    <w:rsid w:val="000B5923"/>
    <w:rsid w:val="000C35D1"/>
    <w:rsid w:val="000F4AC1"/>
    <w:rsid w:val="00116916"/>
    <w:rsid w:val="001175E5"/>
    <w:rsid w:val="0014213C"/>
    <w:rsid w:val="0015527C"/>
    <w:rsid w:val="00162874"/>
    <w:rsid w:val="001762A2"/>
    <w:rsid w:val="001849E6"/>
    <w:rsid w:val="001A624A"/>
    <w:rsid w:val="001B3FD3"/>
    <w:rsid w:val="001B406D"/>
    <w:rsid w:val="001C3A37"/>
    <w:rsid w:val="001D6E1B"/>
    <w:rsid w:val="00200176"/>
    <w:rsid w:val="00203226"/>
    <w:rsid w:val="00213AB1"/>
    <w:rsid w:val="00233E6E"/>
    <w:rsid w:val="002C05C1"/>
    <w:rsid w:val="002D0797"/>
    <w:rsid w:val="002F2F37"/>
    <w:rsid w:val="0032342B"/>
    <w:rsid w:val="00334685"/>
    <w:rsid w:val="00341564"/>
    <w:rsid w:val="00362A4C"/>
    <w:rsid w:val="00363020"/>
    <w:rsid w:val="003823B7"/>
    <w:rsid w:val="003A2424"/>
    <w:rsid w:val="003A507A"/>
    <w:rsid w:val="003A6675"/>
    <w:rsid w:val="003E1349"/>
    <w:rsid w:val="003E423D"/>
    <w:rsid w:val="003E4AC9"/>
    <w:rsid w:val="003F19CA"/>
    <w:rsid w:val="0040438B"/>
    <w:rsid w:val="0040506A"/>
    <w:rsid w:val="00414CF8"/>
    <w:rsid w:val="00425B5D"/>
    <w:rsid w:val="0042778E"/>
    <w:rsid w:val="00434573"/>
    <w:rsid w:val="004512CE"/>
    <w:rsid w:val="00453686"/>
    <w:rsid w:val="00463DB0"/>
    <w:rsid w:val="0047484C"/>
    <w:rsid w:val="00476837"/>
    <w:rsid w:val="004A07D7"/>
    <w:rsid w:val="00504E0F"/>
    <w:rsid w:val="00506517"/>
    <w:rsid w:val="00513DB0"/>
    <w:rsid w:val="005246BD"/>
    <w:rsid w:val="00527616"/>
    <w:rsid w:val="00560AB8"/>
    <w:rsid w:val="00585DA7"/>
    <w:rsid w:val="00590B0A"/>
    <w:rsid w:val="0059149F"/>
    <w:rsid w:val="005919A8"/>
    <w:rsid w:val="005D2D86"/>
    <w:rsid w:val="00602DAF"/>
    <w:rsid w:val="006161B2"/>
    <w:rsid w:val="00634820"/>
    <w:rsid w:val="00656805"/>
    <w:rsid w:val="00683E36"/>
    <w:rsid w:val="006A1357"/>
    <w:rsid w:val="006C1254"/>
    <w:rsid w:val="006C61DC"/>
    <w:rsid w:val="006D232B"/>
    <w:rsid w:val="00715E76"/>
    <w:rsid w:val="00724610"/>
    <w:rsid w:val="00745A4B"/>
    <w:rsid w:val="0075792D"/>
    <w:rsid w:val="00780964"/>
    <w:rsid w:val="00784CF3"/>
    <w:rsid w:val="007D1715"/>
    <w:rsid w:val="007D7E73"/>
    <w:rsid w:val="007E7230"/>
    <w:rsid w:val="00807194"/>
    <w:rsid w:val="00815350"/>
    <w:rsid w:val="00845894"/>
    <w:rsid w:val="008472B4"/>
    <w:rsid w:val="008510AD"/>
    <w:rsid w:val="00854C67"/>
    <w:rsid w:val="008553E2"/>
    <w:rsid w:val="00855E40"/>
    <w:rsid w:val="008606EF"/>
    <w:rsid w:val="00867E1A"/>
    <w:rsid w:val="00882F92"/>
    <w:rsid w:val="00887D96"/>
    <w:rsid w:val="008B1AF8"/>
    <w:rsid w:val="008B7F24"/>
    <w:rsid w:val="008C26A2"/>
    <w:rsid w:val="008C5DE8"/>
    <w:rsid w:val="008D1191"/>
    <w:rsid w:val="008F3FAA"/>
    <w:rsid w:val="00914107"/>
    <w:rsid w:val="00935139"/>
    <w:rsid w:val="00952AC2"/>
    <w:rsid w:val="00976749"/>
    <w:rsid w:val="00992558"/>
    <w:rsid w:val="009A1342"/>
    <w:rsid w:val="009D239D"/>
    <w:rsid w:val="00A06E41"/>
    <w:rsid w:val="00A2577B"/>
    <w:rsid w:val="00A35936"/>
    <w:rsid w:val="00A63C98"/>
    <w:rsid w:val="00AA7D8E"/>
    <w:rsid w:val="00AC4DB2"/>
    <w:rsid w:val="00AD4876"/>
    <w:rsid w:val="00AE3EFE"/>
    <w:rsid w:val="00AE754A"/>
    <w:rsid w:val="00B21F87"/>
    <w:rsid w:val="00B474DA"/>
    <w:rsid w:val="00B84558"/>
    <w:rsid w:val="00B935A3"/>
    <w:rsid w:val="00BB6A9C"/>
    <w:rsid w:val="00BB71B6"/>
    <w:rsid w:val="00BD0AF8"/>
    <w:rsid w:val="00BD2786"/>
    <w:rsid w:val="00BF60F1"/>
    <w:rsid w:val="00BF6EA7"/>
    <w:rsid w:val="00C27980"/>
    <w:rsid w:val="00C373CC"/>
    <w:rsid w:val="00C475E2"/>
    <w:rsid w:val="00C614DB"/>
    <w:rsid w:val="00C65AC4"/>
    <w:rsid w:val="00C80B3D"/>
    <w:rsid w:val="00C956E2"/>
    <w:rsid w:val="00CA0DE1"/>
    <w:rsid w:val="00CA1503"/>
    <w:rsid w:val="00CB044C"/>
    <w:rsid w:val="00D017F2"/>
    <w:rsid w:val="00D346C3"/>
    <w:rsid w:val="00D502C4"/>
    <w:rsid w:val="00D542B8"/>
    <w:rsid w:val="00D92AA6"/>
    <w:rsid w:val="00DB409B"/>
    <w:rsid w:val="00DB53F8"/>
    <w:rsid w:val="00DB6D2A"/>
    <w:rsid w:val="00DE602F"/>
    <w:rsid w:val="00DE6C77"/>
    <w:rsid w:val="00DF63A0"/>
    <w:rsid w:val="00E054EE"/>
    <w:rsid w:val="00E276DB"/>
    <w:rsid w:val="00E4403E"/>
    <w:rsid w:val="00E66408"/>
    <w:rsid w:val="00E67D85"/>
    <w:rsid w:val="00E73558"/>
    <w:rsid w:val="00E80156"/>
    <w:rsid w:val="00E9330E"/>
    <w:rsid w:val="00E95856"/>
    <w:rsid w:val="00E95F55"/>
    <w:rsid w:val="00E9604E"/>
    <w:rsid w:val="00EB7C07"/>
    <w:rsid w:val="00EF3DA0"/>
    <w:rsid w:val="00F31A77"/>
    <w:rsid w:val="00F41F8C"/>
    <w:rsid w:val="00FA0E03"/>
    <w:rsid w:val="00FC5D9D"/>
    <w:rsid w:val="00FD5E76"/>
    <w:rsid w:val="00FD6BAC"/>
    <w:rsid w:val="00FE12C4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BEE11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DC112-19CA-4A80-BDAB-C6DBA61B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Tracey Wark</cp:lastModifiedBy>
  <cp:revision>2</cp:revision>
  <cp:lastPrinted>2021-05-18T10:09:00Z</cp:lastPrinted>
  <dcterms:created xsi:type="dcterms:W3CDTF">2021-05-18T10:14:00Z</dcterms:created>
  <dcterms:modified xsi:type="dcterms:W3CDTF">2021-05-18T10:14:00Z</dcterms:modified>
</cp:coreProperties>
</file>