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C68F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14:paraId="3C73C3AA" w14:textId="77777777" w:rsidTr="00B425B8">
        <w:trPr>
          <w:trHeight w:val="557"/>
        </w:trPr>
        <w:tc>
          <w:tcPr>
            <w:tcW w:w="2557" w:type="dxa"/>
          </w:tcPr>
          <w:p w14:paraId="5E6C3FC1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14:paraId="79D6A6DA" w14:textId="525980D3" w:rsidR="00382A9A" w:rsidRPr="00B358DE" w:rsidRDefault="007E4C5D" w:rsidP="003037C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 May</w:t>
            </w:r>
            <w:r w:rsidR="00C05EFA">
              <w:rPr>
                <w:rFonts w:ascii="Arial" w:hAnsi="Arial" w:cs="Arial"/>
                <w:b w:val="0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vMerge w:val="restart"/>
          </w:tcPr>
          <w:p w14:paraId="3ACBEDEF" w14:textId="77777777"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D43DFD5" wp14:editId="3FEED28F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-635</wp:posOffset>
                  </wp:positionV>
                  <wp:extent cx="1114425" cy="7715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A9A" w:rsidRPr="00B358DE" w14:paraId="48D0727D" w14:textId="77777777" w:rsidTr="00CF7A80">
        <w:trPr>
          <w:trHeight w:val="792"/>
        </w:trPr>
        <w:tc>
          <w:tcPr>
            <w:tcW w:w="2557" w:type="dxa"/>
          </w:tcPr>
          <w:p w14:paraId="4026226E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14:paraId="1203AF5B" w14:textId="77777777"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14:paraId="326ADDEC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14:paraId="57C5BBF4" w14:textId="77777777" w:rsidTr="00CF7A80">
        <w:trPr>
          <w:trHeight w:val="1218"/>
        </w:trPr>
        <w:tc>
          <w:tcPr>
            <w:tcW w:w="2557" w:type="dxa"/>
          </w:tcPr>
          <w:p w14:paraId="7FC4F162" w14:textId="77777777"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14:paraId="416D43D9" w14:textId="77777777"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14:paraId="5EE63893" w14:textId="77777777" w:rsidTr="00B425B8">
              <w:tc>
                <w:tcPr>
                  <w:tcW w:w="5694" w:type="dxa"/>
                </w:tcPr>
                <w:p w14:paraId="17D0B06E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3C0D2236" w14:textId="77777777"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14:paraId="09F029CB" w14:textId="77777777" w:rsidTr="00B425B8">
              <w:trPr>
                <w:trHeight w:val="280"/>
              </w:trPr>
              <w:tc>
                <w:tcPr>
                  <w:tcW w:w="5694" w:type="dxa"/>
                </w:tcPr>
                <w:p w14:paraId="411539C4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6655F04A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14:paraId="54FB4FBF" w14:textId="77777777" w:rsidTr="00B425B8">
              <w:tc>
                <w:tcPr>
                  <w:tcW w:w="5694" w:type="dxa"/>
                </w:tcPr>
                <w:p w14:paraId="5D7FFB3B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14:paraId="11D5DFE7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14:paraId="482F4062" w14:textId="77777777"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14:paraId="57C85D00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14:paraId="3CA4AF47" w14:textId="77777777"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14:paraId="14E50E50" w14:textId="282DC725"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was held on 11 May </w:t>
      </w:r>
      <w:r w:rsidR="00C05EFA">
        <w:rPr>
          <w:bCs/>
        </w:rPr>
        <w:t>2021</w:t>
      </w:r>
      <w:r w:rsidR="00382A9A">
        <w:rPr>
          <w:bCs/>
        </w:rPr>
        <w:t xml:space="preserve">, the following key points were noted at the meeting.  </w:t>
      </w:r>
    </w:p>
    <w:p w14:paraId="3262CC89" w14:textId="77777777"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36"/>
      </w:tblGrid>
      <w:tr w:rsidR="000B17DC" w:rsidRPr="00F06CCF" w14:paraId="20CDFC85" w14:textId="77777777" w:rsidTr="00382A9A">
        <w:trPr>
          <w:trHeight w:val="415"/>
        </w:trPr>
        <w:tc>
          <w:tcPr>
            <w:tcW w:w="1217" w:type="dxa"/>
            <w:shd w:val="clear" w:color="auto" w:fill="002060"/>
          </w:tcPr>
          <w:p w14:paraId="134D6376" w14:textId="77777777"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14:paraId="1AED687B" w14:textId="77777777"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14:paraId="4B351693" w14:textId="77777777" w:rsidTr="007E4C5D">
        <w:trPr>
          <w:trHeight w:val="1298"/>
        </w:trPr>
        <w:tc>
          <w:tcPr>
            <w:tcW w:w="1217" w:type="dxa"/>
          </w:tcPr>
          <w:p w14:paraId="195D38E2" w14:textId="77777777" w:rsidR="000B17DC" w:rsidRPr="00AE444B" w:rsidRDefault="000B17DC" w:rsidP="00CF56EF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>Person Centred</w:t>
            </w:r>
          </w:p>
          <w:p w14:paraId="285C0348" w14:textId="77777777"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14:paraId="6CF69814" w14:textId="77777777" w:rsidR="00D23058" w:rsidRPr="00CA5EF8" w:rsidRDefault="007E4C5D" w:rsidP="007E4C5D">
            <w:pPr>
              <w:pStyle w:val="ListParagraph"/>
              <w:numPr>
                <w:ilvl w:val="0"/>
                <w:numId w:val="10"/>
              </w:numPr>
              <w:ind w:left="420" w:hanging="420"/>
            </w:pPr>
            <w:r>
              <w:t>The Committee were provided with a report on Feedback for quarter 3 and noted the consistent level of feedback and increase in compliments received.  The Committee agreed this report should be named Feedback Report on the agenda instead of Complaints Report.</w:t>
            </w:r>
          </w:p>
        </w:tc>
      </w:tr>
      <w:tr w:rsidR="00EA43F4" w:rsidRPr="00F06CCF" w14:paraId="119787EF" w14:textId="77777777" w:rsidTr="00CA3F5B">
        <w:tc>
          <w:tcPr>
            <w:tcW w:w="1217" w:type="dxa"/>
          </w:tcPr>
          <w:p w14:paraId="4EAFE10A" w14:textId="77777777" w:rsidR="00EA43F4" w:rsidRDefault="00EA43F4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602" w:type="dxa"/>
          </w:tcPr>
          <w:p w14:paraId="4C591C17" w14:textId="77777777" w:rsidR="00EA43F4" w:rsidRDefault="00EA43F4" w:rsidP="007E4C5D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>The Committee commended the Communications Team on their work reported within the 2020-2021 report.  In particular the Committee noted the effectiveness reported, the increase in volume of engagement and different channels being used.</w:t>
            </w:r>
          </w:p>
        </w:tc>
      </w:tr>
      <w:tr w:rsidR="000B17DC" w:rsidRPr="00F06CCF" w14:paraId="19003F8A" w14:textId="77777777" w:rsidTr="00CA3F5B">
        <w:tc>
          <w:tcPr>
            <w:tcW w:w="1217" w:type="dxa"/>
          </w:tcPr>
          <w:p w14:paraId="7D468CAD" w14:textId="77777777" w:rsidR="000B17DC" w:rsidRDefault="007E4C5D" w:rsidP="00CF56EF">
            <w:r>
              <w:rPr>
                <w:b/>
                <w:bCs/>
                <w:lang w:val="en-US"/>
              </w:rPr>
              <w:t>Well Trained</w:t>
            </w:r>
          </w:p>
          <w:p w14:paraId="168FB32C" w14:textId="77777777" w:rsidR="000B17DC" w:rsidRPr="008A1D76" w:rsidRDefault="000B17DC" w:rsidP="00CF56EF"/>
        </w:tc>
        <w:tc>
          <w:tcPr>
            <w:tcW w:w="8602" w:type="dxa"/>
          </w:tcPr>
          <w:p w14:paraId="21D96F3C" w14:textId="7C1913D9" w:rsidR="00AE444B" w:rsidRDefault="007E4C5D" w:rsidP="007E4C5D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 xml:space="preserve">The Mandatory Training end of Year Report was approved by the Committee.  The introduction of a more agile induction process was discussed and the Committee noted </w:t>
            </w:r>
            <w:r w:rsidR="00EA43F4">
              <w:t xml:space="preserve">monitoring </w:t>
            </w:r>
            <w:r w:rsidR="00AC187C">
              <w:t>of I</w:t>
            </w:r>
            <w:r w:rsidR="00EA43F4">
              <w:t xml:space="preserve">nduction </w:t>
            </w:r>
            <w:r w:rsidR="00AC187C">
              <w:t>was to be reviewed.</w:t>
            </w:r>
          </w:p>
          <w:p w14:paraId="2D8D18E1" w14:textId="77777777" w:rsidR="00EA43F4" w:rsidRPr="00C8687A" w:rsidRDefault="00EA43F4" w:rsidP="007E4C5D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>The Committee welcomed an update on appraisal progress and noted the ongoing monitoring of medical appraisal and revalidation activity.</w:t>
            </w:r>
          </w:p>
        </w:tc>
      </w:tr>
      <w:tr w:rsidR="000B17DC" w:rsidRPr="00F06CCF" w14:paraId="67B45051" w14:textId="77777777" w:rsidTr="00A030E0">
        <w:trPr>
          <w:trHeight w:val="974"/>
        </w:trPr>
        <w:tc>
          <w:tcPr>
            <w:tcW w:w="1217" w:type="dxa"/>
          </w:tcPr>
          <w:p w14:paraId="399255C5" w14:textId="7BA4106A" w:rsidR="000B17DC" w:rsidRPr="00A030E0" w:rsidRDefault="00EA43F4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Involved in Decision</w:t>
            </w:r>
            <w:r w:rsidR="00001317">
              <w:rPr>
                <w:b/>
                <w:lang w:val="en-US"/>
              </w:rPr>
              <w:t>s</w:t>
            </w:r>
          </w:p>
        </w:tc>
        <w:tc>
          <w:tcPr>
            <w:tcW w:w="8602" w:type="dxa"/>
          </w:tcPr>
          <w:p w14:paraId="3DF128BB" w14:textId="0ADBFE11" w:rsidR="00D23058" w:rsidRPr="006C1C0F" w:rsidRDefault="00EA43F4" w:rsidP="00EA43F4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A progress report on staff engagement was provided to the Committee with an aim to </w:t>
            </w:r>
            <w:r w:rsidR="00AC187C">
              <w:t>“</w:t>
            </w:r>
            <w:r>
              <w:t>get back to basics</w:t>
            </w:r>
            <w:r w:rsidR="00AC187C">
              <w:t>”</w:t>
            </w:r>
            <w:r>
              <w:t xml:space="preserve"> on this work and consideration is being given to </w:t>
            </w:r>
            <w:r w:rsidR="00A030E0">
              <w:t>new ways of engaging.</w:t>
            </w:r>
          </w:p>
        </w:tc>
      </w:tr>
      <w:tr w:rsidR="00A030E0" w:rsidRPr="00F06CCF" w14:paraId="31765EDA" w14:textId="77777777" w:rsidTr="00CF7A80">
        <w:trPr>
          <w:trHeight w:val="1513"/>
        </w:trPr>
        <w:tc>
          <w:tcPr>
            <w:tcW w:w="1217" w:type="dxa"/>
          </w:tcPr>
          <w:p w14:paraId="0B7A3116" w14:textId="77777777" w:rsidR="00A030E0" w:rsidRDefault="00A030E0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602" w:type="dxa"/>
          </w:tcPr>
          <w:p w14:paraId="69B9BD8E" w14:textId="596BC547" w:rsidR="00A030E0" w:rsidRDefault="00A030E0" w:rsidP="00EA43F4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>The Committee noted the work on the Occupational Health Department</w:t>
            </w:r>
            <w:r w:rsidR="00AC187C">
              <w:t xml:space="preserve"> with recognition of </w:t>
            </w:r>
            <w:r>
              <w:t>changes in staffing within the team and the breadth of work under</w:t>
            </w:r>
            <w:r w:rsidR="00AC187C">
              <w:t>taken</w:t>
            </w:r>
            <w:r>
              <w:t>.</w:t>
            </w:r>
          </w:p>
          <w:p w14:paraId="15A9E301" w14:textId="4A1694E7" w:rsidR="00A030E0" w:rsidRDefault="00A030E0" w:rsidP="00EA43F4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</w:t>
            </w:r>
            <w:r w:rsidR="00AC187C">
              <w:t xml:space="preserve">confirmed </w:t>
            </w:r>
            <w:r>
              <w:t>the importan</w:t>
            </w:r>
            <w:r w:rsidR="00AC187C">
              <w:t>t</w:t>
            </w:r>
            <w:r>
              <w:t xml:space="preserve"> focus on spiritual care within the Health and Wellbeing work within the organisation.</w:t>
            </w:r>
          </w:p>
        </w:tc>
      </w:tr>
    </w:tbl>
    <w:p w14:paraId="2521A198" w14:textId="77777777" w:rsidR="000B17DC" w:rsidRDefault="000B17DC" w:rsidP="000B17DC">
      <w:pPr>
        <w:rPr>
          <w:b/>
          <w:u w:val="single"/>
        </w:rPr>
      </w:pPr>
    </w:p>
    <w:p w14:paraId="16411A3D" w14:textId="4B51EC8B"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>next meeting is scheduled for 7 July</w:t>
      </w:r>
      <w:r w:rsidR="0014267D">
        <w:rPr>
          <w:bCs/>
        </w:rPr>
        <w:t xml:space="preserve"> 2021</w:t>
      </w:r>
      <w:r w:rsidR="00DE274F">
        <w:rPr>
          <w:bCs/>
        </w:rPr>
        <w:t>.</w:t>
      </w:r>
    </w:p>
    <w:p w14:paraId="5A985DB7" w14:textId="77777777"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  <w:bookmarkStart w:id="0" w:name="_GoBack"/>
      <w:bookmarkEnd w:id="0"/>
    </w:p>
    <w:p w14:paraId="2250213B" w14:textId="77777777" w:rsidR="00382A9A" w:rsidRPr="00FE3CD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14:paraId="77178F8D" w14:textId="77777777" w:rsidR="006C1C0F" w:rsidRPr="00FE3CDB" w:rsidRDefault="006C1C0F" w:rsidP="00382A9A">
      <w:pPr>
        <w:ind w:right="183"/>
        <w:rPr>
          <w:bCs/>
        </w:rPr>
      </w:pPr>
    </w:p>
    <w:p w14:paraId="5DEAFA20" w14:textId="77777777"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14:paraId="1A8A78AA" w14:textId="77777777"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81F0" w14:textId="77777777" w:rsidR="001018C3" w:rsidRDefault="001018C3">
      <w:r>
        <w:separator/>
      </w:r>
    </w:p>
  </w:endnote>
  <w:endnote w:type="continuationSeparator" w:id="0">
    <w:p w14:paraId="52C31963" w14:textId="77777777" w:rsidR="001018C3" w:rsidRDefault="001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1DDF" w14:textId="77777777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BB738" w14:textId="77777777" w:rsidR="00E31342" w:rsidRDefault="00303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3410" w14:textId="17266842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7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31F39F" w14:textId="77777777" w:rsidR="00E31342" w:rsidRDefault="0030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08C2B" w14:textId="77777777" w:rsidR="001018C3" w:rsidRDefault="001018C3">
      <w:r>
        <w:separator/>
      </w:r>
    </w:p>
  </w:footnote>
  <w:footnote w:type="continuationSeparator" w:id="0">
    <w:p w14:paraId="0F8E20AE" w14:textId="77777777" w:rsidR="001018C3" w:rsidRDefault="0010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515E" w14:textId="77777777" w:rsidR="0076189A" w:rsidRDefault="00761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1A3" w14:textId="77777777" w:rsidR="0076189A" w:rsidRDefault="00761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B215" w14:textId="77777777" w:rsidR="0076189A" w:rsidRDefault="0076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CFC8B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067F1"/>
    <w:multiLevelType w:val="hybridMultilevel"/>
    <w:tmpl w:val="9264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80820"/>
    <w:rsid w:val="001A6338"/>
    <w:rsid w:val="001B1C74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E13BF"/>
    <w:rsid w:val="002F4007"/>
    <w:rsid w:val="003037C8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E2A5F"/>
    <w:rsid w:val="003E2B73"/>
    <w:rsid w:val="00407A8F"/>
    <w:rsid w:val="0046359D"/>
    <w:rsid w:val="00466BE7"/>
    <w:rsid w:val="004C0F08"/>
    <w:rsid w:val="004C48EE"/>
    <w:rsid w:val="004C5B2F"/>
    <w:rsid w:val="004D00E2"/>
    <w:rsid w:val="004D112B"/>
    <w:rsid w:val="004E3D5E"/>
    <w:rsid w:val="004F06B2"/>
    <w:rsid w:val="005113D2"/>
    <w:rsid w:val="00555942"/>
    <w:rsid w:val="005B1946"/>
    <w:rsid w:val="00603AE6"/>
    <w:rsid w:val="00633282"/>
    <w:rsid w:val="00661956"/>
    <w:rsid w:val="006C1437"/>
    <w:rsid w:val="006C1C0F"/>
    <w:rsid w:val="007209D8"/>
    <w:rsid w:val="0076189A"/>
    <w:rsid w:val="00776750"/>
    <w:rsid w:val="007956ED"/>
    <w:rsid w:val="007E4C5D"/>
    <w:rsid w:val="00843075"/>
    <w:rsid w:val="008962F3"/>
    <w:rsid w:val="008D0F0E"/>
    <w:rsid w:val="008E13CA"/>
    <w:rsid w:val="00900487"/>
    <w:rsid w:val="00922772"/>
    <w:rsid w:val="0092354C"/>
    <w:rsid w:val="00924BF7"/>
    <w:rsid w:val="00931F79"/>
    <w:rsid w:val="009663A9"/>
    <w:rsid w:val="009A28C9"/>
    <w:rsid w:val="00A030E0"/>
    <w:rsid w:val="00A2094E"/>
    <w:rsid w:val="00A63F95"/>
    <w:rsid w:val="00AA3B36"/>
    <w:rsid w:val="00AB3582"/>
    <w:rsid w:val="00AC187C"/>
    <w:rsid w:val="00AC23AC"/>
    <w:rsid w:val="00AC3CE8"/>
    <w:rsid w:val="00AE444B"/>
    <w:rsid w:val="00B02B57"/>
    <w:rsid w:val="00B33616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60A6D"/>
    <w:rsid w:val="00C70504"/>
    <w:rsid w:val="00C8687A"/>
    <w:rsid w:val="00C979E9"/>
    <w:rsid w:val="00CA3F5B"/>
    <w:rsid w:val="00CA5EF8"/>
    <w:rsid w:val="00CB0067"/>
    <w:rsid w:val="00CF56EF"/>
    <w:rsid w:val="00CF7299"/>
    <w:rsid w:val="00CF7A80"/>
    <w:rsid w:val="00D079FB"/>
    <w:rsid w:val="00D23058"/>
    <w:rsid w:val="00D520A2"/>
    <w:rsid w:val="00DA0688"/>
    <w:rsid w:val="00DA1EB4"/>
    <w:rsid w:val="00DB5465"/>
    <w:rsid w:val="00DE274F"/>
    <w:rsid w:val="00E03A8B"/>
    <w:rsid w:val="00E9272D"/>
    <w:rsid w:val="00EA3ABD"/>
    <w:rsid w:val="00EA43F4"/>
    <w:rsid w:val="00EC6098"/>
    <w:rsid w:val="00F06B38"/>
    <w:rsid w:val="00F21661"/>
    <w:rsid w:val="00F53EE1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7E108C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5C2D-8ACA-43CE-BA13-F89DFAD0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3</cp:revision>
  <cp:lastPrinted>2020-01-21T14:15:00Z</cp:lastPrinted>
  <dcterms:created xsi:type="dcterms:W3CDTF">2021-05-18T12:27:00Z</dcterms:created>
  <dcterms:modified xsi:type="dcterms:W3CDTF">2021-05-18T14:23:00Z</dcterms:modified>
</cp:coreProperties>
</file>