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C27" w:rsidRDefault="00311F7C" w:rsidP="00B561C0">
      <w:pPr>
        <w:rPr>
          <w:b/>
        </w:rPr>
      </w:pPr>
      <w:r>
        <w:rPr>
          <w:b/>
        </w:rPr>
        <w:t>NHS Golden Jubilee</w:t>
      </w:r>
      <w:r w:rsidR="00EE7159" w:rsidRPr="00EE7159">
        <w:rPr>
          <w:b/>
        </w:rPr>
        <w:t xml:space="preserve"> – </w:t>
      </w:r>
      <w:r w:rsidR="004D688B">
        <w:rPr>
          <w:b/>
        </w:rPr>
        <w:t>Estates</w:t>
      </w:r>
      <w:r w:rsidR="00E120F8">
        <w:rPr>
          <w:b/>
        </w:rPr>
        <w:t xml:space="preserve"> - </w:t>
      </w:r>
      <w:r w:rsidR="00EE7159" w:rsidRPr="00EE7159">
        <w:rPr>
          <w:b/>
        </w:rPr>
        <w:t>Delivery Plan Progress Report Apr-Sep 2021</w:t>
      </w:r>
      <w:bookmarkStart w:id="0" w:name="_GoBack"/>
      <w:bookmarkEnd w:id="0"/>
    </w:p>
    <w:p w:rsidR="00EE7159" w:rsidRDefault="00EE7159" w:rsidP="00EE7159">
      <w:pPr>
        <w:rPr>
          <w:b/>
        </w:rPr>
      </w:pPr>
    </w:p>
    <w:p w:rsidR="00C645F2" w:rsidRDefault="00EE7159" w:rsidP="00EE7159">
      <w:r w:rsidRPr="00EE7159">
        <w:t>Key for status:</w:t>
      </w:r>
      <w:r>
        <w:tab/>
      </w:r>
    </w:p>
    <w:p w:rsidR="00C645F2" w:rsidRPr="00C645F2" w:rsidRDefault="00C645F2" w:rsidP="00C645F2">
      <w:pPr>
        <w:ind w:left="1440" w:firstLine="720"/>
        <w:rPr>
          <w:rFonts w:asciiTheme="minorHAnsi" w:hAnsiTheme="minorHAnsi" w:cstheme="minorHAnsi"/>
          <w:i/>
          <w:sz w:val="20"/>
          <w:szCs w:val="20"/>
        </w:rPr>
      </w:pPr>
      <w:r w:rsidRPr="00C645F2">
        <w:rPr>
          <w:rFonts w:asciiTheme="minorHAnsi" w:hAnsiTheme="minorHAnsi" w:cstheme="minorHAnsi"/>
          <w:i/>
          <w:sz w:val="20"/>
          <w:szCs w:val="20"/>
        </w:rPr>
        <w:t>Proposal – New Proposal/no funding yet agreed</w:t>
      </w:r>
    </w:p>
    <w:p w:rsidR="00EE7159" w:rsidRPr="00C645F2" w:rsidRDefault="00EE7159" w:rsidP="00C645F2">
      <w:pPr>
        <w:ind w:left="1440" w:firstLine="72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Red - Unlikely to complete on time/meet target</w:t>
      </w:r>
    </w:p>
    <w:p w:rsidR="00EE7159" w:rsidRPr="00C645F2" w:rsidRDefault="00EE7159" w:rsidP="00EE7159">
      <w:pPr>
        <w:ind w:left="216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Amber - At risk - requires action</w:t>
      </w:r>
      <w:r w:rsidRPr="00C645F2">
        <w:rPr>
          <w:rFonts w:asciiTheme="minorHAnsi" w:eastAsia="Times New Roman" w:hAnsiTheme="minorHAnsi" w:cstheme="minorHAnsi"/>
          <w:i/>
          <w:iCs/>
          <w:sz w:val="20"/>
          <w:szCs w:val="20"/>
          <w:lang w:eastAsia="en-GB"/>
        </w:rPr>
        <w:br/>
        <w:t>Green - On Track</w:t>
      </w:r>
      <w:r w:rsidRPr="00C645F2">
        <w:rPr>
          <w:rFonts w:asciiTheme="minorHAnsi" w:eastAsia="Times New Roman" w:hAnsiTheme="minorHAnsi" w:cstheme="minorHAnsi"/>
          <w:i/>
          <w:iCs/>
          <w:sz w:val="20"/>
          <w:szCs w:val="20"/>
          <w:lang w:eastAsia="en-GB"/>
        </w:rPr>
        <w:br/>
        <w:t>Blue - Complete/ Target met</w:t>
      </w:r>
    </w:p>
    <w:p w:rsidR="000554E4" w:rsidRPr="00EE7159" w:rsidRDefault="000554E4" w:rsidP="00EE7159">
      <w:pPr>
        <w:ind w:left="2160"/>
        <w:rPr>
          <w:b/>
        </w:rPr>
      </w:pPr>
    </w:p>
    <w:tbl>
      <w:tblPr>
        <w:tblW w:w="23275" w:type="dxa"/>
        <w:tblInd w:w="-436" w:type="dxa"/>
        <w:tblLayout w:type="fixed"/>
        <w:tblLook w:val="04A0" w:firstRow="1" w:lastRow="0" w:firstColumn="1" w:lastColumn="0" w:noHBand="0" w:noVBand="1"/>
      </w:tblPr>
      <w:tblGrid>
        <w:gridCol w:w="1282"/>
        <w:gridCol w:w="10631"/>
        <w:gridCol w:w="1701"/>
        <w:gridCol w:w="3624"/>
        <w:gridCol w:w="1984"/>
        <w:gridCol w:w="4053"/>
      </w:tblGrid>
      <w:tr w:rsidR="00791FCE" w:rsidRPr="00EE7159" w:rsidTr="004D688B">
        <w:trPr>
          <w:trHeight w:val="970"/>
        </w:trPr>
        <w:tc>
          <w:tcPr>
            <w:tcW w:w="1282" w:type="dxa"/>
            <w:tcBorders>
              <w:top w:val="single" w:sz="4" w:space="0" w:color="auto"/>
              <w:left w:val="single" w:sz="4" w:space="0" w:color="auto"/>
              <w:bottom w:val="single" w:sz="4" w:space="0" w:color="auto"/>
              <w:right w:val="single" w:sz="4" w:space="0" w:color="auto"/>
            </w:tcBorders>
            <w:shd w:val="clear" w:color="auto" w:fill="0070C0"/>
          </w:tcPr>
          <w:p w:rsidR="00791FCE" w:rsidRDefault="00791FCE" w:rsidP="00AA35E7">
            <w:pPr>
              <w:rPr>
                <w:rFonts w:ascii="Calibri" w:eastAsia="Times New Roman" w:hAnsi="Calibri"/>
                <w:b/>
                <w:bCs/>
                <w:color w:val="FFFFFF" w:themeColor="background1"/>
                <w:lang w:eastAsia="en-GB"/>
              </w:rPr>
            </w:pPr>
            <w:r>
              <w:rPr>
                <w:rFonts w:ascii="Calibri" w:eastAsia="Times New Roman" w:hAnsi="Calibri"/>
                <w:b/>
                <w:bCs/>
                <w:color w:val="FFFFFF"/>
                <w:szCs w:val="24"/>
                <w:lang w:eastAsia="en-GB"/>
              </w:rPr>
              <w:t xml:space="preserve">RAG </w:t>
            </w:r>
            <w:r w:rsidRPr="00EE7159">
              <w:rPr>
                <w:rFonts w:ascii="Calibri" w:eastAsia="Times New Roman" w:hAnsi="Calibri"/>
                <w:b/>
                <w:bCs/>
                <w:color w:val="FFFFFF"/>
                <w:szCs w:val="24"/>
                <w:lang w:eastAsia="en-GB"/>
              </w:rPr>
              <w:t xml:space="preserve">Status </w:t>
            </w:r>
            <w:r w:rsidRPr="00EE7159">
              <w:rPr>
                <w:rFonts w:ascii="Calibri" w:eastAsia="Times New Roman" w:hAnsi="Calibri"/>
                <w:b/>
                <w:bCs/>
                <w:color w:val="FFFFFF"/>
                <w:sz w:val="18"/>
                <w:szCs w:val="18"/>
                <w:lang w:eastAsia="en-GB"/>
              </w:rPr>
              <w:t>(mandatory)</w:t>
            </w:r>
            <w:r w:rsidRPr="00EE7159">
              <w:rPr>
                <w:rFonts w:ascii="Calibri" w:eastAsia="Times New Roman" w:hAnsi="Calibri"/>
                <w:color w:val="FFFFFF"/>
                <w:sz w:val="20"/>
                <w:szCs w:val="20"/>
                <w:lang w:eastAsia="en-GB"/>
              </w:rPr>
              <w:br/>
            </w:r>
          </w:p>
        </w:tc>
        <w:tc>
          <w:tcPr>
            <w:tcW w:w="10631"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7120B5">
            <w:pPr>
              <w:rPr>
                <w:rFonts w:ascii="Calibri" w:eastAsia="Times New Roman" w:hAnsi="Calibri"/>
                <w:b/>
                <w:bCs/>
                <w:color w:val="FFFFFF"/>
                <w:sz w:val="20"/>
                <w:szCs w:val="20"/>
                <w:lang w:eastAsia="en-GB"/>
              </w:rPr>
            </w:pPr>
            <w:r w:rsidRPr="440D40A8">
              <w:rPr>
                <w:rFonts w:ascii="Calibri" w:eastAsia="Times New Roman" w:hAnsi="Calibri"/>
                <w:b/>
                <w:bCs/>
                <w:color w:val="FFFFFF" w:themeColor="background1"/>
                <w:lang w:eastAsia="en-GB"/>
              </w:rPr>
              <w:t>Deliverables (mandatory)</w:t>
            </w:r>
            <w:r>
              <w:br/>
            </w:r>
            <w:r w:rsidRPr="440D40A8">
              <w:rPr>
                <w:rFonts w:ascii="Calibri" w:eastAsia="Times New Roman" w:hAnsi="Calibri"/>
                <w:i/>
                <w:iCs/>
                <w:color w:val="FFFFFF" w:themeColor="background1"/>
                <w:sz w:val="20"/>
                <w:szCs w:val="20"/>
                <w:lang w:eastAsia="en-GB"/>
              </w:rPr>
              <w:t>these can</w:t>
            </w:r>
            <w:r w:rsidR="007120B5">
              <w:rPr>
                <w:rFonts w:ascii="Calibri" w:eastAsia="Times New Roman" w:hAnsi="Calibri"/>
                <w:i/>
                <w:iCs/>
                <w:color w:val="FFFFFF" w:themeColor="background1"/>
                <w:sz w:val="20"/>
                <w:szCs w:val="20"/>
                <w:lang w:eastAsia="en-GB"/>
              </w:rPr>
              <w:t xml:space="preserve"> be qualitative or quantitative</w:t>
            </w:r>
          </w:p>
        </w:tc>
        <w:tc>
          <w:tcPr>
            <w:tcW w:w="1701" w:type="dxa"/>
            <w:tcBorders>
              <w:top w:val="single" w:sz="4" w:space="0" w:color="auto"/>
              <w:left w:val="single" w:sz="4" w:space="0" w:color="auto"/>
              <w:bottom w:val="single" w:sz="4" w:space="0" w:color="auto"/>
              <w:right w:val="single" w:sz="4" w:space="0" w:color="auto"/>
            </w:tcBorders>
            <w:shd w:val="clear" w:color="auto" w:fill="0070C0"/>
          </w:tcPr>
          <w:p w:rsidR="00791FCE" w:rsidRPr="00EE7159" w:rsidRDefault="00791FCE" w:rsidP="00AA35E7">
            <w:pPr>
              <w:rPr>
                <w:rFonts w:ascii="Calibri" w:eastAsia="Times New Roman" w:hAnsi="Calibri"/>
                <w:b/>
                <w:bCs/>
                <w:color w:val="FFFFFF"/>
                <w:szCs w:val="24"/>
                <w:lang w:eastAsia="en-GB"/>
              </w:rPr>
            </w:pPr>
            <w:r>
              <w:rPr>
                <w:rFonts w:ascii="Calibri" w:eastAsia="Times New Roman" w:hAnsi="Calibri"/>
                <w:b/>
                <w:bCs/>
                <w:color w:val="FFFFFF"/>
                <w:szCs w:val="24"/>
                <w:lang w:eastAsia="en-GB"/>
              </w:rPr>
              <w:t>Lead Delivery Body</w:t>
            </w:r>
          </w:p>
        </w:tc>
        <w:tc>
          <w:tcPr>
            <w:tcW w:w="3624"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AA35E7">
            <w:pPr>
              <w:rPr>
                <w:rFonts w:ascii="Calibri" w:eastAsia="Times New Roman" w:hAnsi="Calibri"/>
                <w:b/>
                <w:bCs/>
                <w:color w:val="FFFFFF"/>
                <w:sz w:val="20"/>
                <w:szCs w:val="20"/>
                <w:lang w:eastAsia="en-GB"/>
              </w:rPr>
            </w:pPr>
            <w:r w:rsidRPr="00EE7159">
              <w:rPr>
                <w:rFonts w:ascii="Calibri" w:eastAsia="Times New Roman" w:hAnsi="Calibri"/>
                <w:b/>
                <w:bCs/>
                <w:color w:val="FFFFFF"/>
                <w:szCs w:val="24"/>
                <w:lang w:eastAsia="en-GB"/>
              </w:rPr>
              <w:t>Risks (mandatory)</w:t>
            </w:r>
            <w:r w:rsidRPr="00EE7159">
              <w:rPr>
                <w:rFonts w:ascii="Calibri" w:eastAsia="Times New Roman" w:hAnsi="Calibri"/>
                <w:b/>
                <w:bCs/>
                <w:color w:val="FFFFFF"/>
                <w:sz w:val="20"/>
                <w:szCs w:val="20"/>
                <w:lang w:eastAsia="en-GB"/>
              </w:rPr>
              <w:br/>
            </w:r>
            <w:r w:rsidRPr="00EE7159">
              <w:rPr>
                <w:rFonts w:ascii="Calibri" w:eastAsia="Times New Roman" w:hAnsi="Calibri"/>
                <w:i/>
                <w:iCs/>
                <w:color w:val="FFFFFF"/>
                <w:sz w:val="20"/>
                <w:szCs w:val="20"/>
                <w:lang w:eastAsia="en-GB"/>
              </w:rPr>
              <w:t>list key risks to delivery and the required controls/mitigating actions</w:t>
            </w:r>
          </w:p>
        </w:tc>
        <w:tc>
          <w:tcPr>
            <w:tcW w:w="1984"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AA35E7">
            <w:pPr>
              <w:rPr>
                <w:rFonts w:ascii="Calibri" w:eastAsia="Times New Roman" w:hAnsi="Calibri"/>
                <w:i/>
                <w:iCs/>
                <w:color w:val="FFFFFF"/>
                <w:sz w:val="20"/>
                <w:szCs w:val="20"/>
                <w:lang w:eastAsia="en-GB"/>
              </w:rPr>
            </w:pPr>
            <w:r w:rsidRPr="00EE7159">
              <w:rPr>
                <w:rFonts w:ascii="Calibri" w:eastAsia="Times New Roman" w:hAnsi="Calibri"/>
                <w:b/>
                <w:bCs/>
                <w:color w:val="FFFFFF"/>
                <w:szCs w:val="24"/>
                <w:lang w:eastAsia="en-GB"/>
              </w:rPr>
              <w:t>Outcomes (optional)</w:t>
            </w:r>
            <w:r w:rsidRPr="00EE7159">
              <w:rPr>
                <w:rFonts w:ascii="Calibri" w:eastAsia="Times New Roman" w:hAnsi="Calibri"/>
                <w:b/>
                <w:bCs/>
                <w:color w:val="FFFFFF"/>
                <w:sz w:val="20"/>
                <w:szCs w:val="20"/>
                <w:lang w:eastAsia="en-GB"/>
              </w:rPr>
              <w:br/>
            </w:r>
            <w:r>
              <w:rPr>
                <w:rFonts w:ascii="Calibri" w:eastAsia="Times New Roman" w:hAnsi="Calibri"/>
                <w:i/>
                <w:iCs/>
                <w:color w:val="FFFFFF"/>
                <w:sz w:val="20"/>
                <w:szCs w:val="20"/>
                <w:lang w:eastAsia="en-GB"/>
              </w:rPr>
              <w:t>include outcomes if possible</w:t>
            </w:r>
            <w:r w:rsidRPr="00EE7159">
              <w:rPr>
                <w:rFonts w:ascii="Calibri" w:eastAsia="Times New Roman" w:hAnsi="Calibri"/>
                <w:i/>
                <w:iCs/>
                <w:color w:val="FFFFFF"/>
                <w:sz w:val="20"/>
                <w:szCs w:val="20"/>
                <w:lang w:eastAsia="en-GB"/>
              </w:rPr>
              <w:t xml:space="preserve"> </w:t>
            </w:r>
            <w:r>
              <w:rPr>
                <w:rFonts w:ascii="Calibri" w:eastAsia="Times New Roman" w:hAnsi="Calibri"/>
                <w:i/>
                <w:iCs/>
                <w:color w:val="FFFFFF"/>
                <w:sz w:val="20"/>
                <w:szCs w:val="20"/>
                <w:lang w:eastAsia="en-GB"/>
              </w:rPr>
              <w:t>– repeat for each applicable deliverable/ add multiple outcomes if required</w:t>
            </w:r>
          </w:p>
        </w:tc>
        <w:tc>
          <w:tcPr>
            <w:tcW w:w="4053" w:type="dxa"/>
            <w:tcBorders>
              <w:top w:val="single" w:sz="8" w:space="0" w:color="000000" w:themeColor="text1"/>
              <w:left w:val="single" w:sz="4" w:space="0" w:color="auto"/>
              <w:bottom w:val="nil"/>
              <w:right w:val="single" w:sz="8" w:space="0" w:color="000000" w:themeColor="text1"/>
            </w:tcBorders>
            <w:shd w:val="clear" w:color="auto" w:fill="0070C0"/>
            <w:hideMark/>
          </w:tcPr>
          <w:p w:rsidR="00791FCE" w:rsidRDefault="00791FCE" w:rsidP="00791FCE">
            <w:pPr>
              <w:rPr>
                <w:rFonts w:ascii="Calibri" w:eastAsia="Times New Roman" w:hAnsi="Calibri"/>
                <w:b/>
                <w:bCs/>
                <w:color w:val="FFFFFF" w:themeColor="background1"/>
                <w:lang w:eastAsia="en-GB"/>
              </w:rPr>
            </w:pPr>
            <w:r>
              <w:rPr>
                <w:rFonts w:ascii="Calibri" w:eastAsia="Times New Roman" w:hAnsi="Calibri"/>
                <w:b/>
                <w:bCs/>
                <w:color w:val="FFFFFF" w:themeColor="background1"/>
                <w:lang w:eastAsia="en-GB"/>
              </w:rPr>
              <w:t>Strategies, plans &amp; programmes</w:t>
            </w:r>
          </w:p>
          <w:p w:rsidR="00791FCE" w:rsidRPr="00EE7159" w:rsidRDefault="00791FCE" w:rsidP="00791FCE">
            <w:pPr>
              <w:rPr>
                <w:rFonts w:ascii="Calibri" w:eastAsia="Times New Roman" w:hAnsi="Calibri"/>
                <w:b/>
                <w:bCs/>
                <w:color w:val="FFFFFF"/>
                <w:sz w:val="20"/>
                <w:szCs w:val="20"/>
                <w:lang w:eastAsia="en-GB"/>
              </w:rPr>
            </w:pPr>
            <w:r w:rsidRPr="440D40A8">
              <w:rPr>
                <w:rFonts w:ascii="Calibri" w:eastAsia="Times New Roman" w:hAnsi="Calibri"/>
                <w:i/>
                <w:iCs/>
                <w:color w:val="FFFFFF" w:themeColor="background1"/>
                <w:sz w:val="20"/>
                <w:szCs w:val="20"/>
                <w:lang w:eastAsia="en-GB"/>
              </w:rPr>
              <w:t>repeat for each applicable deliverable/add multiple programmes if required</w:t>
            </w:r>
          </w:p>
        </w:tc>
      </w:tr>
    </w:tbl>
    <w:p w:rsidR="00791FCE" w:rsidRDefault="00791FCE"/>
    <w:tbl>
      <w:tblPr>
        <w:tblW w:w="23275" w:type="dxa"/>
        <w:tblInd w:w="-436" w:type="dxa"/>
        <w:tblLayout w:type="fixed"/>
        <w:tblLook w:val="04A0" w:firstRow="1" w:lastRow="0" w:firstColumn="1" w:lastColumn="0" w:noHBand="0" w:noVBand="1"/>
      </w:tblPr>
      <w:tblGrid>
        <w:gridCol w:w="1282"/>
        <w:gridCol w:w="1984"/>
        <w:gridCol w:w="1925"/>
        <w:gridCol w:w="2465"/>
        <w:gridCol w:w="4257"/>
        <w:gridCol w:w="1701"/>
        <w:gridCol w:w="1701"/>
        <w:gridCol w:w="1923"/>
        <w:gridCol w:w="1984"/>
        <w:gridCol w:w="4053"/>
      </w:tblGrid>
      <w:tr w:rsidR="00791FCE" w:rsidRPr="00EE7159" w:rsidTr="00F6117F">
        <w:trPr>
          <w:trHeight w:val="600"/>
          <w:tblHeader/>
        </w:trPr>
        <w:tc>
          <w:tcPr>
            <w:tcW w:w="1282"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Sept 21 Status</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C07EFC" w:rsidRDefault="00791FCE" w:rsidP="00AA35E7">
            <w:pPr>
              <w:rPr>
                <w:rFonts w:ascii="Calibri" w:eastAsia="Times New Roman" w:hAnsi="Calibri"/>
                <w:color w:val="000000"/>
                <w:sz w:val="20"/>
                <w:szCs w:val="20"/>
                <w:lang w:eastAsia="en-GB"/>
              </w:rPr>
            </w:pPr>
            <w:r w:rsidRPr="00C07EFC">
              <w:rPr>
                <w:rFonts w:ascii="Calibri" w:eastAsia="Times New Roman" w:hAnsi="Calibri"/>
                <w:color w:val="000000"/>
                <w:sz w:val="20"/>
                <w:szCs w:val="20"/>
                <w:lang w:eastAsia="en-GB"/>
              </w:rPr>
              <w:t>Key Deliverable</w:t>
            </w:r>
            <w:r w:rsidRPr="00C07EFC">
              <w:rPr>
                <w:rFonts w:ascii="Calibri" w:eastAsia="Times New Roman" w:hAnsi="Calibri"/>
                <w:color w:val="000000"/>
                <w:sz w:val="20"/>
                <w:szCs w:val="20"/>
                <w:lang w:eastAsia="en-GB"/>
              </w:rPr>
              <w:br/>
              <w:t>Description</w:t>
            </w:r>
          </w:p>
        </w:tc>
        <w:tc>
          <w:tcPr>
            <w:tcW w:w="192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120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Summary of activities </w:t>
            </w:r>
            <w:r w:rsidR="00BB116C">
              <w:rPr>
                <w:rFonts w:ascii="Calibri" w:eastAsia="Times New Roman" w:hAnsi="Calibri"/>
                <w:color w:val="000000"/>
                <w:sz w:val="20"/>
                <w:szCs w:val="20"/>
                <w:lang w:eastAsia="en-GB"/>
              </w:rPr>
              <w:t>etc.</w:t>
            </w:r>
          </w:p>
        </w:tc>
        <w:tc>
          <w:tcPr>
            <w:tcW w:w="246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Milestones/Target</w:t>
            </w:r>
          </w:p>
        </w:tc>
        <w:tc>
          <w:tcPr>
            <w:tcW w:w="4257"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themeColor="text1"/>
                <w:sz w:val="20"/>
                <w:szCs w:val="20"/>
                <w:lang w:eastAsia="en-GB"/>
              </w:rPr>
            </w:pPr>
            <w:r w:rsidRPr="440D40A8">
              <w:rPr>
                <w:rFonts w:ascii="Calibri" w:eastAsia="Times New Roman" w:hAnsi="Calibri"/>
                <w:color w:val="000000" w:themeColor="text1"/>
                <w:sz w:val="20"/>
                <w:szCs w:val="20"/>
                <w:lang w:eastAsia="en-GB"/>
              </w:rPr>
              <w:t>Progress against deliverables end Sept 21</w:t>
            </w:r>
          </w:p>
          <w:p w:rsidR="00791FCE" w:rsidRPr="00EE7159" w:rsidRDefault="00791FCE" w:rsidP="007120B5">
            <w:pPr>
              <w:rPr>
                <w:rFonts w:ascii="Calibri" w:eastAsia="Times New Roman" w:hAnsi="Calibri"/>
                <w:i/>
                <w:iCs/>
                <w:color w:val="000000"/>
                <w:sz w:val="20"/>
                <w:szCs w:val="20"/>
                <w:lang w:eastAsia="en-GB"/>
              </w:rPr>
            </w:pPr>
            <w:r w:rsidRPr="440D40A8">
              <w:rPr>
                <w:rFonts w:ascii="Calibri" w:eastAsia="Times New Roman" w:hAnsi="Calibri"/>
                <w:i/>
                <w:iCs/>
                <w:color w:val="000000" w:themeColor="text1"/>
                <w:sz w:val="20"/>
                <w:szCs w:val="20"/>
                <w:lang w:eastAsia="en-GB"/>
              </w:rPr>
              <w:t xml:space="preserve">(NB: </w:t>
            </w:r>
            <w:r w:rsidR="007120B5">
              <w:rPr>
                <w:rFonts w:ascii="Calibri" w:eastAsia="Times New Roman" w:hAnsi="Calibri"/>
                <w:i/>
                <w:iCs/>
                <w:color w:val="000000" w:themeColor="text1"/>
                <w:sz w:val="20"/>
                <w:szCs w:val="20"/>
                <w:lang w:eastAsia="en-GB"/>
              </w:rPr>
              <w:t>for new d</w:t>
            </w:r>
            <w:r w:rsidR="00C645F2">
              <w:rPr>
                <w:rFonts w:ascii="Calibri" w:eastAsia="Times New Roman" w:hAnsi="Calibri"/>
                <w:i/>
                <w:iCs/>
                <w:color w:val="000000" w:themeColor="text1"/>
                <w:sz w:val="20"/>
                <w:szCs w:val="20"/>
                <w:lang w:eastAsia="en-GB"/>
              </w:rPr>
              <w:t>eliverables, just indicate</w:t>
            </w:r>
            <w:r w:rsidR="007120B5">
              <w:rPr>
                <w:rFonts w:ascii="Calibri" w:eastAsia="Times New Roman" w:hAnsi="Calibri"/>
                <w:i/>
                <w:iCs/>
                <w:color w:val="000000" w:themeColor="text1"/>
                <w:sz w:val="20"/>
                <w:szCs w:val="20"/>
                <w:lang w:eastAsia="en-GB"/>
              </w:rPr>
              <w:t xml:space="preserve"> ‘New’</w:t>
            </w:r>
            <w:r w:rsidRPr="440D40A8">
              <w:rPr>
                <w:rFonts w:ascii="Calibri" w:eastAsia="Times New Roman" w:hAnsi="Calibri"/>
                <w:i/>
                <w:iCs/>
                <w:color w:val="000000" w:themeColor="text1"/>
                <w:sz w:val="20"/>
                <w:szCs w:val="20"/>
                <w:lang w:eastAsia="en-GB"/>
              </w:rPr>
              <w:t>)</w:t>
            </w:r>
          </w:p>
        </w:tc>
        <w:tc>
          <w:tcPr>
            <w:tcW w:w="1701"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Lead delivery body</w:t>
            </w:r>
          </w:p>
        </w:tc>
        <w:tc>
          <w:tcPr>
            <w:tcW w:w="1701"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Key Risks</w:t>
            </w:r>
          </w:p>
        </w:tc>
        <w:tc>
          <w:tcPr>
            <w:tcW w:w="192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Controls/Actions</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Outcome</w:t>
            </w:r>
            <w:r>
              <w:rPr>
                <w:rFonts w:ascii="Calibri" w:eastAsia="Times New Roman" w:hAnsi="Calibri"/>
                <w:color w:val="000000"/>
                <w:sz w:val="20"/>
                <w:szCs w:val="20"/>
                <w:lang w:eastAsia="en-GB"/>
              </w:rPr>
              <w:t>(s)</w:t>
            </w:r>
          </w:p>
        </w:tc>
        <w:tc>
          <w:tcPr>
            <w:tcW w:w="405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791FCE">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List any major strategies/ programmes that the deliverable relates to</w:t>
            </w:r>
          </w:p>
        </w:tc>
      </w:tr>
      <w:tr w:rsidR="00791FCE" w:rsidRPr="00EE7159" w:rsidTr="00F6117F">
        <w:trPr>
          <w:trHeight w:val="1134"/>
        </w:trPr>
        <w:tc>
          <w:tcPr>
            <w:tcW w:w="1282" w:type="dxa"/>
            <w:tcBorders>
              <w:top w:val="single" w:sz="4" w:space="0" w:color="auto"/>
              <w:left w:val="single" w:sz="8" w:space="0" w:color="auto"/>
              <w:bottom w:val="single" w:sz="4" w:space="0" w:color="auto"/>
              <w:right w:val="single" w:sz="4" w:space="0" w:color="auto"/>
            </w:tcBorders>
            <w:shd w:val="clear" w:color="auto" w:fill="00B050"/>
          </w:tcPr>
          <w:p w:rsidR="00791FCE" w:rsidRPr="00311F7C" w:rsidRDefault="00791FCE" w:rsidP="00AA35E7">
            <w:pPr>
              <w:rPr>
                <w:rFonts w:ascii="Calibri" w:eastAsia="Times New Roman" w:hAnsi="Calibri"/>
                <w:color w:val="92D050"/>
                <w:sz w:val="20"/>
                <w:szCs w:val="20"/>
                <w:lang w:eastAsia="en-GB"/>
              </w:rPr>
            </w:pPr>
          </w:p>
        </w:tc>
        <w:tc>
          <w:tcPr>
            <w:tcW w:w="1984" w:type="dxa"/>
            <w:tcBorders>
              <w:top w:val="nil"/>
              <w:left w:val="single" w:sz="8" w:space="0" w:color="auto"/>
              <w:bottom w:val="single" w:sz="4" w:space="0" w:color="auto"/>
              <w:right w:val="single" w:sz="4" w:space="0" w:color="auto"/>
            </w:tcBorders>
            <w:shd w:val="clear" w:color="auto" w:fill="auto"/>
          </w:tcPr>
          <w:p w:rsidR="00791FCE" w:rsidRPr="00251373" w:rsidRDefault="008B252B" w:rsidP="00311F7C">
            <w:pPr>
              <w:rPr>
                <w:rFonts w:ascii="Calibri" w:eastAsia="Times New Roman" w:hAnsi="Calibri"/>
                <w:color w:val="000000"/>
                <w:sz w:val="20"/>
                <w:szCs w:val="20"/>
                <w:lang w:eastAsia="en-GB"/>
              </w:rPr>
            </w:pPr>
            <w:r w:rsidRPr="00251373">
              <w:rPr>
                <w:rFonts w:ascii="Calibri" w:hAnsi="Calibri"/>
                <w:sz w:val="20"/>
                <w:szCs w:val="20"/>
              </w:rPr>
              <w:t>Phase 2 Hospital E</w:t>
            </w:r>
            <w:r w:rsidR="004D688B" w:rsidRPr="00251373">
              <w:rPr>
                <w:rFonts w:ascii="Calibri" w:hAnsi="Calibri"/>
                <w:sz w:val="20"/>
                <w:szCs w:val="20"/>
              </w:rPr>
              <w:t>xpansion</w:t>
            </w:r>
          </w:p>
        </w:tc>
        <w:tc>
          <w:tcPr>
            <w:tcW w:w="1925" w:type="dxa"/>
            <w:tcBorders>
              <w:top w:val="nil"/>
              <w:left w:val="nil"/>
              <w:bottom w:val="single" w:sz="4" w:space="0" w:color="auto"/>
              <w:right w:val="single" w:sz="4" w:space="0" w:color="auto"/>
            </w:tcBorders>
            <w:shd w:val="clear" w:color="auto" w:fill="auto"/>
          </w:tcPr>
          <w:p w:rsidR="00786D1D" w:rsidRPr="00251373" w:rsidRDefault="008B252B" w:rsidP="00C07EFC">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 xml:space="preserve">Delivery of new surgical centre – construction, workforce, </w:t>
            </w:r>
          </w:p>
        </w:tc>
        <w:tc>
          <w:tcPr>
            <w:tcW w:w="2465" w:type="dxa"/>
            <w:tcBorders>
              <w:top w:val="nil"/>
              <w:left w:val="nil"/>
              <w:bottom w:val="single" w:sz="4" w:space="0" w:color="auto"/>
              <w:right w:val="single" w:sz="4" w:space="0" w:color="auto"/>
            </w:tcBorders>
            <w:shd w:val="clear" w:color="auto" w:fill="auto"/>
          </w:tcPr>
          <w:p w:rsidR="000A7195" w:rsidRPr="00251373" w:rsidRDefault="008B252B"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Breakthrough and connection with existing building in stages between Nov 2021 and March 2022.</w:t>
            </w:r>
          </w:p>
          <w:p w:rsidR="008B252B" w:rsidRPr="00251373" w:rsidRDefault="008B252B" w:rsidP="00AA35E7">
            <w:pPr>
              <w:rPr>
                <w:rFonts w:ascii="Calibri" w:eastAsia="Times New Roman" w:hAnsi="Calibri"/>
                <w:color w:val="000000"/>
                <w:sz w:val="20"/>
                <w:szCs w:val="20"/>
                <w:lang w:eastAsia="en-GB"/>
              </w:rPr>
            </w:pPr>
          </w:p>
          <w:p w:rsidR="008B252B" w:rsidRPr="00251373" w:rsidRDefault="008B252B"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 xml:space="preserve">Refurbishment of adjoining spaces including </w:t>
            </w:r>
            <w:proofErr w:type="spellStart"/>
            <w:r w:rsidRPr="00251373">
              <w:rPr>
                <w:rFonts w:ascii="Calibri" w:eastAsia="Times New Roman" w:hAnsi="Calibri"/>
                <w:color w:val="000000"/>
                <w:sz w:val="20"/>
                <w:szCs w:val="20"/>
                <w:lang w:eastAsia="en-GB"/>
              </w:rPr>
              <w:t>eHeath</w:t>
            </w:r>
            <w:proofErr w:type="spellEnd"/>
            <w:r w:rsidRPr="00251373">
              <w:rPr>
                <w:rFonts w:ascii="Calibri" w:eastAsia="Times New Roman" w:hAnsi="Calibri"/>
                <w:color w:val="000000"/>
                <w:sz w:val="20"/>
                <w:szCs w:val="20"/>
                <w:lang w:eastAsia="en-GB"/>
              </w:rPr>
              <w:t xml:space="preserve"> and consultants areas to commence during 2021/2022</w:t>
            </w:r>
          </w:p>
        </w:tc>
        <w:tc>
          <w:tcPr>
            <w:tcW w:w="4257" w:type="dxa"/>
            <w:tcBorders>
              <w:top w:val="nil"/>
              <w:left w:val="nil"/>
              <w:bottom w:val="single" w:sz="4" w:space="0" w:color="auto"/>
              <w:right w:val="single" w:sz="4" w:space="0" w:color="auto"/>
            </w:tcBorders>
            <w:shd w:val="clear" w:color="auto" w:fill="auto"/>
          </w:tcPr>
          <w:p w:rsidR="006873FD" w:rsidRPr="00251373" w:rsidRDefault="00391C48"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 xml:space="preserve">Progress in 2021 year to date is in line with programme plan. </w:t>
            </w:r>
            <w:r w:rsidR="008B252B" w:rsidRPr="00251373">
              <w:rPr>
                <w:rFonts w:ascii="Calibri" w:eastAsia="Times New Roman" w:hAnsi="Calibri"/>
                <w:color w:val="000000"/>
                <w:sz w:val="20"/>
                <w:szCs w:val="20"/>
                <w:lang w:eastAsia="en-GB"/>
              </w:rPr>
              <w:t xml:space="preserve"> Includes groundworks and drainage, superstructure and brick façade / cladding.</w:t>
            </w:r>
          </w:p>
          <w:p w:rsidR="008B252B" w:rsidRPr="00251373" w:rsidRDefault="008B252B" w:rsidP="00AA35E7">
            <w:pPr>
              <w:rPr>
                <w:rFonts w:ascii="Calibri" w:eastAsia="Times New Roman" w:hAnsi="Calibri"/>
                <w:color w:val="000000"/>
                <w:sz w:val="20"/>
                <w:szCs w:val="20"/>
                <w:lang w:eastAsia="en-GB"/>
              </w:rPr>
            </w:pPr>
          </w:p>
          <w:p w:rsidR="008B252B" w:rsidRPr="00251373" w:rsidRDefault="008B252B" w:rsidP="008B252B">
            <w:pPr>
              <w:rPr>
                <w:rFonts w:ascii="Calibri" w:hAnsi="Calibri"/>
                <w:color w:val="000000" w:themeColor="text1"/>
                <w:sz w:val="20"/>
                <w:szCs w:val="20"/>
              </w:rPr>
            </w:pPr>
            <w:r w:rsidRPr="00251373">
              <w:rPr>
                <w:rFonts w:ascii="Calibri" w:hAnsi="Calibri"/>
                <w:color w:val="000000" w:themeColor="text1"/>
                <w:sz w:val="20"/>
                <w:szCs w:val="20"/>
              </w:rPr>
              <w:t xml:space="preserve">A robust review of the FBC workforce plan has been completed for theatre nursing following the recruitment of staff over the last year; however, this will be further reviewed in line with changes within service delivery and plans to accelerate activity on opening. Recruitment to anaesthetic posts has been encouraging however recruitment to perioperative posts remain challenging. </w:t>
            </w:r>
          </w:p>
          <w:p w:rsidR="008B252B" w:rsidRPr="00251373" w:rsidRDefault="008B252B" w:rsidP="00AA35E7">
            <w:pPr>
              <w:rPr>
                <w:rFonts w:ascii="Calibri" w:eastAsia="Times New Roman" w:hAnsi="Calibri"/>
                <w:color w:val="000000"/>
                <w:sz w:val="20"/>
                <w:szCs w:val="20"/>
                <w:lang w:eastAsia="en-GB"/>
              </w:rPr>
            </w:pPr>
          </w:p>
          <w:p w:rsidR="000A7195" w:rsidRPr="00251373" w:rsidRDefault="000A7195" w:rsidP="00AA35E7">
            <w:pPr>
              <w:rPr>
                <w:rFonts w:ascii="Calibri" w:eastAsia="Times New Roman" w:hAnsi="Calibri"/>
                <w:color w:val="000000"/>
                <w:sz w:val="20"/>
                <w:szCs w:val="20"/>
                <w:lang w:eastAsia="en-GB"/>
              </w:rPr>
            </w:pPr>
          </w:p>
          <w:p w:rsidR="000A7195" w:rsidRPr="00251373" w:rsidRDefault="000A7195" w:rsidP="00AA35E7">
            <w:pPr>
              <w:rPr>
                <w:rFonts w:ascii="Calibri" w:eastAsia="Times New Roman" w:hAnsi="Calibri"/>
                <w:color w:val="000000"/>
                <w:sz w:val="20"/>
                <w:szCs w:val="20"/>
                <w:lang w:eastAsia="en-GB"/>
              </w:rPr>
            </w:pPr>
          </w:p>
          <w:p w:rsidR="000A7195" w:rsidRPr="00251373" w:rsidRDefault="000A7195" w:rsidP="00AA35E7">
            <w:pPr>
              <w:rPr>
                <w:rFonts w:ascii="Calibri" w:eastAsia="Times New Roman" w:hAnsi="Calibri"/>
                <w:color w:val="000000"/>
                <w:sz w:val="20"/>
                <w:szCs w:val="20"/>
                <w:lang w:eastAsia="en-GB"/>
              </w:rPr>
            </w:pPr>
          </w:p>
          <w:p w:rsidR="000A7195" w:rsidRPr="00251373" w:rsidRDefault="000A7195" w:rsidP="00AA35E7">
            <w:pPr>
              <w:rPr>
                <w:rFonts w:ascii="Calibri" w:eastAsia="Times New Roman" w:hAnsi="Calibri"/>
                <w:color w:val="000000"/>
                <w:sz w:val="20"/>
                <w:szCs w:val="20"/>
                <w:lang w:eastAsia="en-GB"/>
              </w:rPr>
            </w:pPr>
          </w:p>
          <w:p w:rsidR="006873FD" w:rsidRPr="00251373" w:rsidRDefault="006873FD" w:rsidP="00AA35E7">
            <w:pPr>
              <w:rPr>
                <w:rFonts w:ascii="Calibri" w:eastAsia="Times New Roman" w:hAnsi="Calibri"/>
                <w:color w:val="000000"/>
                <w:sz w:val="20"/>
                <w:szCs w:val="20"/>
                <w:lang w:eastAsia="en-GB"/>
              </w:rPr>
            </w:pPr>
          </w:p>
        </w:tc>
        <w:tc>
          <w:tcPr>
            <w:tcW w:w="1701" w:type="dxa"/>
            <w:tcBorders>
              <w:top w:val="single" w:sz="4" w:space="0" w:color="auto"/>
              <w:left w:val="single" w:sz="4" w:space="0" w:color="auto"/>
              <w:bottom w:val="single" w:sz="4" w:space="0" w:color="auto"/>
              <w:right w:val="single" w:sz="4" w:space="0" w:color="auto"/>
            </w:tcBorders>
          </w:tcPr>
          <w:p w:rsidR="009E512A" w:rsidRPr="00251373" w:rsidRDefault="00C07EFC"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 GJ</w:t>
            </w:r>
          </w:p>
          <w:p w:rsidR="00C07EFC" w:rsidRPr="00251373" w:rsidRDefault="00251373"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Principal Supply Chain Partners</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791FCE" w:rsidRPr="00251373" w:rsidRDefault="00251373" w:rsidP="00AA35E7">
            <w:pPr>
              <w:rPr>
                <w:rFonts w:ascii="Calibri" w:eastAsia="Times New Roman" w:hAnsi="Calibri"/>
                <w:sz w:val="20"/>
                <w:szCs w:val="20"/>
                <w:lang w:eastAsia="en-GB"/>
              </w:rPr>
            </w:pPr>
            <w:r w:rsidRPr="00251373">
              <w:rPr>
                <w:rFonts w:ascii="Calibri" w:eastAsia="Times New Roman" w:hAnsi="Calibri"/>
                <w:sz w:val="20"/>
                <w:szCs w:val="20"/>
                <w:lang w:eastAsia="en-GB"/>
              </w:rPr>
              <w:t>Failure of PSCP impacts completion</w:t>
            </w:r>
          </w:p>
          <w:p w:rsidR="00251373" w:rsidRPr="00251373" w:rsidRDefault="00251373" w:rsidP="00AA35E7">
            <w:pPr>
              <w:rPr>
                <w:rFonts w:ascii="Calibri" w:eastAsia="Times New Roman" w:hAnsi="Calibri"/>
                <w:sz w:val="20"/>
                <w:szCs w:val="20"/>
                <w:lang w:eastAsia="en-GB"/>
              </w:rPr>
            </w:pPr>
          </w:p>
          <w:p w:rsidR="00251373" w:rsidRPr="00251373" w:rsidRDefault="00251373" w:rsidP="00AA35E7">
            <w:pPr>
              <w:rPr>
                <w:rFonts w:ascii="Calibri" w:eastAsia="Times New Roman" w:hAnsi="Calibri"/>
                <w:sz w:val="20"/>
                <w:szCs w:val="20"/>
                <w:lang w:eastAsia="en-GB"/>
              </w:rPr>
            </w:pPr>
            <w:r w:rsidRPr="00251373">
              <w:rPr>
                <w:rFonts w:ascii="Calibri" w:eastAsia="Times New Roman" w:hAnsi="Calibri"/>
                <w:sz w:val="20"/>
                <w:szCs w:val="20"/>
                <w:lang w:eastAsia="en-GB"/>
              </w:rPr>
              <w:t>Design is finalised before equipment specification is known</w:t>
            </w:r>
          </w:p>
          <w:p w:rsidR="00251373" w:rsidRPr="00251373" w:rsidRDefault="00251373" w:rsidP="00AA35E7">
            <w:pPr>
              <w:rPr>
                <w:rFonts w:ascii="Calibri" w:eastAsia="Times New Roman" w:hAnsi="Calibri"/>
                <w:sz w:val="20"/>
                <w:szCs w:val="20"/>
                <w:lang w:eastAsia="en-GB"/>
              </w:rPr>
            </w:pPr>
          </w:p>
          <w:p w:rsidR="00251373" w:rsidRPr="00251373" w:rsidRDefault="00251373" w:rsidP="00AA35E7">
            <w:pPr>
              <w:rPr>
                <w:rFonts w:ascii="Calibri" w:eastAsia="Times New Roman" w:hAnsi="Calibri"/>
                <w:sz w:val="20"/>
                <w:szCs w:val="20"/>
                <w:lang w:eastAsia="en-GB"/>
              </w:rPr>
            </w:pPr>
            <w:r w:rsidRPr="00251373">
              <w:rPr>
                <w:rFonts w:ascii="Calibri" w:eastAsia="Times New Roman" w:hAnsi="Calibri"/>
                <w:sz w:val="20"/>
                <w:szCs w:val="20"/>
                <w:lang w:eastAsia="en-GB"/>
              </w:rPr>
              <w:t>Impact of pandemic</w:t>
            </w:r>
          </w:p>
          <w:p w:rsidR="00251373" w:rsidRPr="00251373" w:rsidRDefault="00251373" w:rsidP="00AA35E7">
            <w:pPr>
              <w:rPr>
                <w:rFonts w:ascii="Calibri" w:eastAsia="Times New Roman" w:hAnsi="Calibri"/>
                <w:sz w:val="20"/>
                <w:szCs w:val="20"/>
                <w:lang w:eastAsia="en-GB"/>
              </w:rPr>
            </w:pPr>
          </w:p>
          <w:p w:rsidR="00251373" w:rsidRPr="00251373" w:rsidRDefault="00251373" w:rsidP="00AA35E7">
            <w:pPr>
              <w:rPr>
                <w:rFonts w:ascii="Calibri" w:eastAsia="Times New Roman" w:hAnsi="Calibri"/>
                <w:sz w:val="20"/>
                <w:szCs w:val="20"/>
                <w:lang w:eastAsia="en-GB"/>
              </w:rPr>
            </w:pPr>
            <w:r w:rsidRPr="00251373">
              <w:rPr>
                <w:rFonts w:ascii="Calibri" w:eastAsia="Times New Roman" w:hAnsi="Calibri"/>
                <w:sz w:val="20"/>
                <w:szCs w:val="20"/>
                <w:lang w:eastAsia="en-GB"/>
              </w:rPr>
              <w:t>Impact on business as usual operations</w:t>
            </w:r>
          </w:p>
          <w:p w:rsidR="00251373" w:rsidRPr="00251373" w:rsidRDefault="00251373" w:rsidP="00AA35E7">
            <w:pPr>
              <w:rPr>
                <w:rFonts w:ascii="Calibri" w:eastAsia="Times New Roman" w:hAnsi="Calibri"/>
                <w:sz w:val="20"/>
                <w:szCs w:val="20"/>
                <w:lang w:eastAsia="en-GB"/>
              </w:rPr>
            </w:pPr>
          </w:p>
          <w:p w:rsidR="00251373" w:rsidRPr="00251373" w:rsidRDefault="00251373" w:rsidP="00AA35E7">
            <w:pPr>
              <w:rPr>
                <w:rFonts w:ascii="Calibri" w:eastAsia="Times New Roman" w:hAnsi="Calibri"/>
                <w:sz w:val="20"/>
                <w:szCs w:val="20"/>
                <w:lang w:eastAsia="en-GB"/>
              </w:rPr>
            </w:pP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791FCE" w:rsidRPr="00251373" w:rsidRDefault="00251373" w:rsidP="00AA35E7">
            <w:pPr>
              <w:rPr>
                <w:rFonts w:ascii="Calibri" w:eastAsia="Times New Roman" w:hAnsi="Calibri"/>
                <w:sz w:val="20"/>
                <w:szCs w:val="20"/>
                <w:lang w:eastAsia="en-GB"/>
              </w:rPr>
            </w:pPr>
            <w:r w:rsidRPr="00251373">
              <w:rPr>
                <w:rFonts w:ascii="Calibri" w:eastAsia="Times New Roman" w:hAnsi="Calibri"/>
                <w:sz w:val="20"/>
                <w:szCs w:val="20"/>
                <w:lang w:eastAsia="en-GB"/>
              </w:rPr>
              <w:t>Ongoing contract management and oversight by governance group and Executive management</w:t>
            </w:r>
          </w:p>
          <w:p w:rsidR="00251373" w:rsidRPr="00251373" w:rsidRDefault="00251373" w:rsidP="00AA35E7">
            <w:pPr>
              <w:rPr>
                <w:rFonts w:ascii="Calibri" w:eastAsia="Times New Roman" w:hAnsi="Calibri"/>
                <w:sz w:val="20"/>
                <w:szCs w:val="20"/>
                <w:lang w:eastAsia="en-GB"/>
              </w:rPr>
            </w:pPr>
          </w:p>
          <w:p w:rsidR="00251373" w:rsidRPr="00251373" w:rsidRDefault="00251373" w:rsidP="00AA35E7">
            <w:pPr>
              <w:rPr>
                <w:rFonts w:ascii="Calibri" w:eastAsia="Times New Roman" w:hAnsi="Calibri"/>
                <w:sz w:val="20"/>
                <w:szCs w:val="20"/>
                <w:lang w:eastAsia="en-GB"/>
              </w:rPr>
            </w:pPr>
            <w:r w:rsidRPr="00251373">
              <w:rPr>
                <w:rFonts w:ascii="Calibri" w:eastAsia="Times New Roman" w:hAnsi="Calibri"/>
                <w:sz w:val="20"/>
                <w:szCs w:val="20"/>
                <w:lang w:eastAsia="en-GB"/>
              </w:rPr>
              <w:t>CSPD review and sign-off of specification / equipment</w:t>
            </w:r>
          </w:p>
          <w:p w:rsidR="00251373" w:rsidRPr="00251373" w:rsidRDefault="00251373" w:rsidP="00AA35E7">
            <w:pPr>
              <w:rPr>
                <w:rFonts w:ascii="Calibri" w:eastAsia="Times New Roman" w:hAnsi="Calibri"/>
                <w:sz w:val="20"/>
                <w:szCs w:val="20"/>
                <w:lang w:eastAsia="en-GB"/>
              </w:rPr>
            </w:pPr>
          </w:p>
          <w:p w:rsidR="00251373" w:rsidRPr="00251373" w:rsidRDefault="00251373" w:rsidP="00AA35E7">
            <w:pPr>
              <w:rPr>
                <w:rFonts w:ascii="Calibri" w:eastAsia="Times New Roman" w:hAnsi="Calibri"/>
                <w:sz w:val="20"/>
                <w:szCs w:val="20"/>
                <w:lang w:eastAsia="en-GB"/>
              </w:rPr>
            </w:pPr>
            <w:r w:rsidRPr="00251373">
              <w:rPr>
                <w:rFonts w:ascii="Calibri" w:eastAsia="Times New Roman" w:hAnsi="Calibri"/>
                <w:sz w:val="20"/>
                <w:szCs w:val="20"/>
                <w:lang w:eastAsia="en-GB"/>
              </w:rPr>
              <w:t>Ongoing monitoring of impact of pandemic. Regular review of delivery and impact on BAU with clinical teams. Breakthrough and refurbishment impact reflected in clinical activity projections 2021/2022 but notably 2022/2023 (ADP).</w:t>
            </w:r>
          </w:p>
          <w:p w:rsidR="00251373" w:rsidRPr="00251373" w:rsidRDefault="00251373" w:rsidP="00AA35E7">
            <w:pPr>
              <w:rPr>
                <w:rFonts w:ascii="Calibri" w:eastAsia="Times New Roman" w:hAnsi="Calibri"/>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Pr="00251373" w:rsidRDefault="004D688B"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Delivery of expanded elective and general surgery within NHS GJ National Treatment Centre</w:t>
            </w:r>
            <w:r w:rsidR="00030A47" w:rsidRPr="00251373">
              <w:rPr>
                <w:rFonts w:ascii="Calibri" w:eastAsia="Times New Roman" w:hAnsi="Calibri"/>
                <w:color w:val="000000"/>
                <w:sz w:val="20"/>
                <w:szCs w:val="20"/>
                <w:lang w:eastAsia="en-GB"/>
              </w:rPr>
              <w:t xml:space="preserve"> </w:t>
            </w:r>
          </w:p>
        </w:tc>
        <w:tc>
          <w:tcPr>
            <w:tcW w:w="4053" w:type="dxa"/>
            <w:tcBorders>
              <w:top w:val="nil"/>
              <w:left w:val="nil"/>
              <w:bottom w:val="single" w:sz="4" w:space="0" w:color="auto"/>
              <w:right w:val="single" w:sz="8" w:space="0" w:color="000000" w:themeColor="text1"/>
            </w:tcBorders>
            <w:shd w:val="clear" w:color="auto" w:fill="auto"/>
            <w:hideMark/>
          </w:tcPr>
          <w:p w:rsidR="009E512A" w:rsidRPr="00251373" w:rsidRDefault="004D688B"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National Treatment Centres programme</w:t>
            </w:r>
          </w:p>
          <w:p w:rsidR="004D688B" w:rsidRPr="00251373" w:rsidRDefault="004D688B"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 Scotland Recovery Plan</w:t>
            </w:r>
          </w:p>
        </w:tc>
      </w:tr>
      <w:tr w:rsidR="004D688B" w:rsidRPr="00EE7159" w:rsidTr="00F6117F">
        <w:trPr>
          <w:trHeight w:val="1134"/>
        </w:trPr>
        <w:tc>
          <w:tcPr>
            <w:tcW w:w="1282" w:type="dxa"/>
            <w:tcBorders>
              <w:top w:val="single" w:sz="4" w:space="0" w:color="auto"/>
              <w:left w:val="single" w:sz="8" w:space="0" w:color="auto"/>
              <w:bottom w:val="single" w:sz="4" w:space="0" w:color="auto"/>
              <w:right w:val="single" w:sz="4" w:space="0" w:color="auto"/>
            </w:tcBorders>
            <w:shd w:val="clear" w:color="auto" w:fill="00B050"/>
          </w:tcPr>
          <w:p w:rsidR="004D688B" w:rsidRPr="00311F7C" w:rsidRDefault="004D688B" w:rsidP="00AA35E7">
            <w:pPr>
              <w:rPr>
                <w:rFonts w:ascii="Calibri" w:eastAsia="Times New Roman" w:hAnsi="Calibri"/>
                <w:color w:val="92D050"/>
                <w:sz w:val="20"/>
                <w:szCs w:val="20"/>
                <w:lang w:eastAsia="en-GB"/>
              </w:rPr>
            </w:pPr>
          </w:p>
        </w:tc>
        <w:tc>
          <w:tcPr>
            <w:tcW w:w="1984" w:type="dxa"/>
            <w:tcBorders>
              <w:top w:val="nil"/>
              <w:left w:val="single" w:sz="8" w:space="0" w:color="auto"/>
              <w:bottom w:val="single" w:sz="4" w:space="0" w:color="auto"/>
              <w:right w:val="single" w:sz="4" w:space="0" w:color="auto"/>
            </w:tcBorders>
            <w:shd w:val="clear" w:color="auto" w:fill="auto"/>
          </w:tcPr>
          <w:p w:rsidR="004D688B" w:rsidRPr="00251373" w:rsidRDefault="004D688B" w:rsidP="00311F7C">
            <w:pPr>
              <w:rPr>
                <w:rFonts w:ascii="Calibri" w:hAnsi="Calibri"/>
                <w:sz w:val="20"/>
                <w:szCs w:val="20"/>
              </w:rPr>
            </w:pPr>
            <w:r w:rsidRPr="00251373">
              <w:rPr>
                <w:rFonts w:ascii="Calibri" w:hAnsi="Calibri"/>
                <w:sz w:val="20"/>
                <w:szCs w:val="20"/>
              </w:rPr>
              <w:t>NHS GJ site utilisation</w:t>
            </w:r>
          </w:p>
        </w:tc>
        <w:tc>
          <w:tcPr>
            <w:tcW w:w="1925" w:type="dxa"/>
            <w:tcBorders>
              <w:top w:val="nil"/>
              <w:left w:val="nil"/>
              <w:bottom w:val="single" w:sz="4" w:space="0" w:color="auto"/>
              <w:right w:val="single" w:sz="4" w:space="0" w:color="auto"/>
            </w:tcBorders>
            <w:shd w:val="clear" w:color="auto" w:fill="auto"/>
          </w:tcPr>
          <w:p w:rsidR="004D688B" w:rsidRPr="00251373" w:rsidRDefault="004D688B" w:rsidP="00C07EFC">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Relocation of existing NHS GJ teams within footprint of current facility</w:t>
            </w:r>
          </w:p>
        </w:tc>
        <w:tc>
          <w:tcPr>
            <w:tcW w:w="2465" w:type="dxa"/>
            <w:tcBorders>
              <w:top w:val="nil"/>
              <w:left w:val="nil"/>
              <w:bottom w:val="single" w:sz="4" w:space="0" w:color="auto"/>
              <w:right w:val="single" w:sz="4" w:space="0" w:color="auto"/>
            </w:tcBorders>
            <w:shd w:val="clear" w:color="auto" w:fill="auto"/>
          </w:tcPr>
          <w:p w:rsidR="00497FDF" w:rsidRPr="00251373" w:rsidRDefault="00497FDF" w:rsidP="00497FDF">
            <w:pPr>
              <w:rPr>
                <w:rFonts w:ascii="Calibri" w:eastAsia="Times New Roman" w:hAnsi="Calibri"/>
                <w:color w:val="000000"/>
                <w:sz w:val="20"/>
                <w:szCs w:val="20"/>
                <w:lang w:eastAsia="en-GB"/>
              </w:rPr>
            </w:pPr>
            <w:r w:rsidRPr="00497FDF">
              <w:rPr>
                <w:rFonts w:ascii="Calibri" w:eastAsia="Times New Roman" w:hAnsi="Calibri"/>
                <w:color w:val="000000"/>
                <w:sz w:val="20"/>
                <w:szCs w:val="20"/>
                <w:lang w:eastAsia="en-GB"/>
              </w:rPr>
              <w:t xml:space="preserve">Relocate Finance, Communications staff being displaced on level 5 to NHS 24 level 5 East by mid-2021. </w:t>
            </w:r>
          </w:p>
          <w:p w:rsidR="00497FDF" w:rsidRPr="00497FDF" w:rsidRDefault="00497FDF" w:rsidP="00497FDF">
            <w:pPr>
              <w:rPr>
                <w:rFonts w:ascii="Calibri" w:eastAsia="Times New Roman" w:hAnsi="Calibri"/>
                <w:color w:val="000000"/>
                <w:sz w:val="20"/>
                <w:szCs w:val="20"/>
                <w:lang w:eastAsia="en-GB"/>
              </w:rPr>
            </w:pPr>
          </w:p>
          <w:p w:rsidR="00497FDF" w:rsidRPr="00251373" w:rsidRDefault="00497FDF" w:rsidP="00497FDF">
            <w:pPr>
              <w:rPr>
                <w:rFonts w:ascii="Calibri" w:eastAsia="Times New Roman" w:hAnsi="Calibri"/>
                <w:color w:val="000000"/>
                <w:sz w:val="20"/>
                <w:szCs w:val="20"/>
                <w:lang w:eastAsia="en-GB"/>
              </w:rPr>
            </w:pPr>
            <w:r w:rsidRPr="00497FDF">
              <w:rPr>
                <w:rFonts w:ascii="Calibri" w:eastAsia="Times New Roman" w:hAnsi="Calibri"/>
                <w:color w:val="000000"/>
                <w:sz w:val="20"/>
                <w:szCs w:val="20"/>
                <w:lang w:eastAsia="en-GB"/>
              </w:rPr>
              <w:t>Relocate Medical Physics Team to space vacated on Level 5 by mid-2021.</w:t>
            </w:r>
          </w:p>
          <w:p w:rsidR="00497FDF" w:rsidRPr="00497FDF" w:rsidRDefault="00497FDF" w:rsidP="00497FDF">
            <w:pPr>
              <w:rPr>
                <w:rFonts w:ascii="Calibri" w:eastAsia="Times New Roman" w:hAnsi="Calibri"/>
                <w:color w:val="000000"/>
                <w:sz w:val="20"/>
                <w:szCs w:val="20"/>
                <w:lang w:eastAsia="en-GB"/>
              </w:rPr>
            </w:pPr>
          </w:p>
          <w:p w:rsidR="00497FDF" w:rsidRPr="00251373" w:rsidRDefault="00497FDF" w:rsidP="00497FDF">
            <w:pPr>
              <w:rPr>
                <w:rFonts w:ascii="Calibri" w:eastAsia="Times New Roman" w:hAnsi="Calibri"/>
                <w:color w:val="000000"/>
                <w:sz w:val="20"/>
                <w:szCs w:val="20"/>
                <w:lang w:eastAsia="en-GB"/>
              </w:rPr>
            </w:pPr>
            <w:r w:rsidRPr="00497FDF">
              <w:rPr>
                <w:rFonts w:ascii="Calibri" w:eastAsia="Times New Roman" w:hAnsi="Calibri"/>
                <w:color w:val="000000"/>
                <w:sz w:val="20"/>
                <w:szCs w:val="20"/>
                <w:lang w:eastAsia="en-GB"/>
              </w:rPr>
              <w:t>Relocate HR staff being displaced on level 5 to NHS 24 level 5 East by mid-2021.</w:t>
            </w:r>
          </w:p>
          <w:p w:rsidR="00497FDF" w:rsidRPr="00497FDF" w:rsidRDefault="00497FDF" w:rsidP="00497FDF">
            <w:pPr>
              <w:rPr>
                <w:rFonts w:ascii="Calibri" w:eastAsia="Times New Roman" w:hAnsi="Calibri"/>
                <w:color w:val="000000"/>
                <w:sz w:val="20"/>
                <w:szCs w:val="20"/>
                <w:lang w:eastAsia="en-GB"/>
              </w:rPr>
            </w:pPr>
          </w:p>
          <w:p w:rsidR="00497FDF" w:rsidRPr="00251373" w:rsidRDefault="00497FDF" w:rsidP="00497FDF">
            <w:pPr>
              <w:rPr>
                <w:rFonts w:ascii="Calibri" w:eastAsia="Times New Roman" w:hAnsi="Calibri"/>
                <w:color w:val="000000"/>
                <w:sz w:val="20"/>
                <w:szCs w:val="20"/>
                <w:lang w:eastAsia="en-GB"/>
              </w:rPr>
            </w:pPr>
            <w:r w:rsidRPr="00497FDF">
              <w:rPr>
                <w:rFonts w:ascii="Calibri" w:eastAsia="Times New Roman" w:hAnsi="Calibri"/>
                <w:color w:val="000000"/>
                <w:sz w:val="20"/>
                <w:szCs w:val="20"/>
                <w:lang w:eastAsia="en-GB"/>
              </w:rPr>
              <w:t>Create additional single offices within Exec area on level 5.</w:t>
            </w:r>
          </w:p>
          <w:p w:rsidR="00497FDF" w:rsidRPr="00497FDF" w:rsidRDefault="00497FDF" w:rsidP="00497FDF">
            <w:pPr>
              <w:rPr>
                <w:rFonts w:ascii="Calibri" w:eastAsia="Times New Roman" w:hAnsi="Calibri"/>
                <w:color w:val="000000"/>
                <w:sz w:val="20"/>
                <w:szCs w:val="20"/>
                <w:lang w:eastAsia="en-GB"/>
              </w:rPr>
            </w:pPr>
          </w:p>
          <w:p w:rsidR="004D688B" w:rsidRPr="00251373" w:rsidRDefault="00497FDF" w:rsidP="00497FDF">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Relocate staff being displaced on level 1 to NHS 24 level 5 East by late 2021.</w:t>
            </w:r>
          </w:p>
        </w:tc>
        <w:tc>
          <w:tcPr>
            <w:tcW w:w="4257" w:type="dxa"/>
            <w:tcBorders>
              <w:top w:val="nil"/>
              <w:left w:val="nil"/>
              <w:bottom w:val="single" w:sz="4" w:space="0" w:color="auto"/>
              <w:right w:val="single" w:sz="4" w:space="0" w:color="auto"/>
            </w:tcBorders>
            <w:shd w:val="clear" w:color="auto" w:fill="auto"/>
          </w:tcPr>
          <w:p w:rsidR="004D688B" w:rsidRPr="00251373" w:rsidRDefault="008B252B"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lastRenderedPageBreak/>
              <w:t>Majority of moves complete. NHS24 vacate October 2021, allowing refurbishment and development of space to accommodate NHS GJ teams</w:t>
            </w:r>
          </w:p>
          <w:p w:rsidR="00497FDF" w:rsidRPr="00251373" w:rsidRDefault="00497FDF" w:rsidP="00AA35E7">
            <w:pPr>
              <w:rPr>
                <w:rFonts w:ascii="Calibri" w:eastAsia="Times New Roman" w:hAnsi="Calibri"/>
                <w:color w:val="000000"/>
                <w:sz w:val="20"/>
                <w:szCs w:val="20"/>
                <w:lang w:eastAsia="en-GB"/>
              </w:rPr>
            </w:pPr>
          </w:p>
          <w:p w:rsidR="00497FDF" w:rsidRPr="00251373" w:rsidRDefault="00497FDF" w:rsidP="00AA35E7">
            <w:pPr>
              <w:rPr>
                <w:rFonts w:ascii="Calibri" w:eastAsia="Times New Roman" w:hAnsi="Calibri"/>
                <w:color w:val="000000"/>
                <w:sz w:val="20"/>
                <w:szCs w:val="20"/>
                <w:lang w:eastAsia="en-GB"/>
              </w:rPr>
            </w:pPr>
          </w:p>
          <w:p w:rsidR="00497FDF" w:rsidRPr="00251373" w:rsidRDefault="00497FDF" w:rsidP="00AA35E7">
            <w:pPr>
              <w:rPr>
                <w:rFonts w:ascii="Calibri" w:eastAsia="Times New Roman" w:hAnsi="Calibri"/>
                <w:color w:val="000000"/>
                <w:sz w:val="20"/>
                <w:szCs w:val="20"/>
                <w:lang w:eastAsia="en-GB"/>
              </w:rPr>
            </w:pPr>
          </w:p>
          <w:p w:rsidR="00497FDF" w:rsidRPr="00251373" w:rsidRDefault="00497FDF" w:rsidP="00AA35E7">
            <w:pPr>
              <w:rPr>
                <w:rFonts w:ascii="Calibri" w:eastAsia="Times New Roman" w:hAnsi="Calibri"/>
                <w:color w:val="000000"/>
                <w:sz w:val="20"/>
                <w:szCs w:val="20"/>
                <w:lang w:eastAsia="en-GB"/>
              </w:rPr>
            </w:pPr>
          </w:p>
          <w:p w:rsidR="00497FDF" w:rsidRPr="00251373" w:rsidRDefault="00497FDF" w:rsidP="00AA35E7">
            <w:pPr>
              <w:rPr>
                <w:rFonts w:ascii="Calibri" w:eastAsia="Times New Roman" w:hAnsi="Calibri"/>
                <w:color w:val="000000"/>
                <w:sz w:val="20"/>
                <w:szCs w:val="20"/>
                <w:lang w:eastAsia="en-GB"/>
              </w:rPr>
            </w:pPr>
          </w:p>
          <w:p w:rsidR="00497FDF" w:rsidRPr="00251373" w:rsidRDefault="00497FDF" w:rsidP="00AA35E7">
            <w:pPr>
              <w:rPr>
                <w:rFonts w:ascii="Calibri" w:eastAsia="Times New Roman" w:hAnsi="Calibri"/>
                <w:color w:val="000000"/>
                <w:sz w:val="20"/>
                <w:szCs w:val="20"/>
                <w:lang w:eastAsia="en-GB"/>
              </w:rPr>
            </w:pPr>
          </w:p>
        </w:tc>
        <w:tc>
          <w:tcPr>
            <w:tcW w:w="1701" w:type="dxa"/>
            <w:tcBorders>
              <w:top w:val="single" w:sz="4" w:space="0" w:color="auto"/>
              <w:left w:val="single" w:sz="4" w:space="0" w:color="auto"/>
              <w:bottom w:val="single" w:sz="4" w:space="0" w:color="auto"/>
              <w:right w:val="single" w:sz="4" w:space="0" w:color="auto"/>
            </w:tcBorders>
          </w:tcPr>
          <w:p w:rsidR="004D688B" w:rsidRPr="00251373" w:rsidRDefault="004D688B"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 GJ</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D688B" w:rsidRPr="00251373" w:rsidRDefault="008B252B" w:rsidP="00AA35E7">
            <w:pPr>
              <w:rPr>
                <w:rFonts w:ascii="Calibri" w:eastAsia="Times New Roman" w:hAnsi="Calibri"/>
                <w:sz w:val="20"/>
                <w:szCs w:val="20"/>
                <w:lang w:eastAsia="en-GB"/>
              </w:rPr>
            </w:pPr>
            <w:r w:rsidRPr="00251373">
              <w:rPr>
                <w:rFonts w:ascii="Calibri" w:eastAsia="Times New Roman" w:hAnsi="Calibri"/>
                <w:sz w:val="20"/>
                <w:szCs w:val="20"/>
                <w:lang w:eastAsia="en-GB"/>
              </w:rPr>
              <w:t>Delays to NHS24 relocation</w:t>
            </w: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r w:rsidRPr="00251373">
              <w:rPr>
                <w:rFonts w:ascii="Calibri" w:eastAsia="Times New Roman" w:hAnsi="Calibri"/>
                <w:sz w:val="20"/>
                <w:szCs w:val="20"/>
                <w:lang w:eastAsia="en-GB"/>
              </w:rPr>
              <w:t>Potential delays to construction due to pandemic restrictions</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4D688B" w:rsidRPr="00251373" w:rsidRDefault="008B252B" w:rsidP="00AA35E7">
            <w:pPr>
              <w:rPr>
                <w:rFonts w:ascii="Calibri" w:eastAsia="Times New Roman" w:hAnsi="Calibri"/>
                <w:sz w:val="20"/>
                <w:szCs w:val="20"/>
                <w:lang w:eastAsia="en-GB"/>
              </w:rPr>
            </w:pPr>
            <w:r w:rsidRPr="00251373">
              <w:rPr>
                <w:rFonts w:ascii="Calibri" w:eastAsia="Times New Roman" w:hAnsi="Calibri"/>
                <w:sz w:val="20"/>
                <w:szCs w:val="20"/>
                <w:lang w:eastAsia="en-GB"/>
              </w:rPr>
              <w:t>Final NHS24 moves imminent. NHS24 site identified with relocation in progress.</w:t>
            </w: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r w:rsidRPr="00251373">
              <w:rPr>
                <w:rFonts w:ascii="Calibri" w:eastAsia="Times New Roman" w:hAnsi="Calibri"/>
                <w:sz w:val="20"/>
                <w:szCs w:val="20"/>
                <w:lang w:eastAsia="en-GB"/>
              </w:rPr>
              <w:t xml:space="preserve">Ongoing dialogue with construction firms. Oversight by steering group. Existing teams aware of risk and may be required to </w:t>
            </w:r>
            <w:r w:rsidRPr="00251373">
              <w:rPr>
                <w:rFonts w:ascii="Calibri" w:eastAsia="Times New Roman" w:hAnsi="Calibri"/>
                <w:sz w:val="20"/>
                <w:szCs w:val="20"/>
                <w:lang w:eastAsia="en-GB"/>
              </w:rPr>
              <w:lastRenderedPageBreak/>
              <w:t xml:space="preserve">work </w:t>
            </w:r>
            <w:proofErr w:type="spellStart"/>
            <w:r w:rsidRPr="00251373">
              <w:rPr>
                <w:rFonts w:ascii="Calibri" w:eastAsia="Times New Roman" w:hAnsi="Calibri"/>
                <w:sz w:val="20"/>
                <w:szCs w:val="20"/>
                <w:lang w:eastAsia="en-GB"/>
              </w:rPr>
              <w:t>flexibily</w:t>
            </w:r>
            <w:proofErr w:type="spellEnd"/>
            <w:r w:rsidRPr="00251373">
              <w:rPr>
                <w:rFonts w:ascii="Calibri" w:eastAsia="Times New Roman" w:hAnsi="Calibri"/>
                <w:sz w:val="20"/>
                <w:szCs w:val="20"/>
                <w:lang w:eastAsia="en-GB"/>
              </w:rPr>
              <w:t xml:space="preserve"> around any revised timescales. </w:t>
            </w: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p>
          <w:p w:rsidR="008B252B" w:rsidRPr="00251373" w:rsidRDefault="008B252B" w:rsidP="00AA35E7">
            <w:pPr>
              <w:rPr>
                <w:rFonts w:ascii="Calibri" w:eastAsia="Times New Roman" w:hAnsi="Calibri"/>
                <w:sz w:val="20"/>
                <w:szCs w:val="20"/>
                <w:lang w:eastAsia="en-GB"/>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4D688B" w:rsidRPr="00251373" w:rsidRDefault="004D688B" w:rsidP="00AA35E7">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lastRenderedPageBreak/>
              <w:t>Effective use of NHS GJ campus to support existing, expanding and new services</w:t>
            </w:r>
          </w:p>
        </w:tc>
        <w:tc>
          <w:tcPr>
            <w:tcW w:w="4053" w:type="dxa"/>
            <w:tcBorders>
              <w:top w:val="nil"/>
              <w:left w:val="nil"/>
              <w:bottom w:val="single" w:sz="4" w:space="0" w:color="auto"/>
              <w:right w:val="single" w:sz="8" w:space="0" w:color="000000" w:themeColor="text1"/>
            </w:tcBorders>
            <w:shd w:val="clear" w:color="auto" w:fill="auto"/>
          </w:tcPr>
          <w:p w:rsidR="004D688B" w:rsidRPr="00251373" w:rsidRDefault="004D688B" w:rsidP="00AA35E7">
            <w:pPr>
              <w:rPr>
                <w:rFonts w:ascii="Calibri" w:eastAsia="Times New Roman" w:hAnsi="Calibri"/>
                <w:color w:val="000000"/>
                <w:sz w:val="20"/>
                <w:szCs w:val="20"/>
                <w:lang w:eastAsia="en-GB"/>
              </w:rPr>
            </w:pPr>
          </w:p>
        </w:tc>
      </w:tr>
      <w:tr w:rsidR="00251373" w:rsidRPr="00EE7159" w:rsidTr="004D688B">
        <w:trPr>
          <w:trHeight w:val="1134"/>
        </w:trPr>
        <w:tc>
          <w:tcPr>
            <w:tcW w:w="1282" w:type="dxa"/>
            <w:tcBorders>
              <w:top w:val="nil"/>
              <w:left w:val="single" w:sz="8" w:space="0" w:color="auto"/>
              <w:bottom w:val="single" w:sz="4" w:space="0" w:color="auto"/>
              <w:right w:val="single" w:sz="4" w:space="0" w:color="auto"/>
            </w:tcBorders>
            <w:shd w:val="clear" w:color="auto" w:fill="FFFFFF" w:themeFill="background1"/>
          </w:tcPr>
          <w:p w:rsidR="00251373" w:rsidRDefault="00251373" w:rsidP="00251373">
            <w:pPr>
              <w:rPr>
                <w:rFonts w:ascii="Calibri" w:eastAsia="Times New Roman" w:hAnsi="Calibri"/>
                <w:color w:val="92D050"/>
                <w:sz w:val="20"/>
                <w:szCs w:val="20"/>
                <w:lang w:eastAsia="en-GB"/>
              </w:rPr>
            </w:pPr>
            <w:r w:rsidRPr="00251373">
              <w:rPr>
                <w:rFonts w:ascii="Calibri" w:eastAsia="Times New Roman" w:hAnsi="Calibri"/>
                <w:sz w:val="20"/>
                <w:szCs w:val="20"/>
                <w:lang w:eastAsia="en-GB"/>
              </w:rPr>
              <w:t>NEW</w:t>
            </w:r>
          </w:p>
        </w:tc>
        <w:tc>
          <w:tcPr>
            <w:tcW w:w="1984" w:type="dxa"/>
            <w:tcBorders>
              <w:top w:val="nil"/>
              <w:left w:val="single" w:sz="8" w:space="0" w:color="auto"/>
              <w:bottom w:val="single" w:sz="4" w:space="0" w:color="auto"/>
              <w:right w:val="single" w:sz="4" w:space="0" w:color="auto"/>
            </w:tcBorders>
            <w:shd w:val="clear" w:color="auto" w:fill="auto"/>
          </w:tcPr>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Clinical skills support</w:t>
            </w:r>
          </w:p>
        </w:tc>
        <w:tc>
          <w:tcPr>
            <w:tcW w:w="1925" w:type="dxa"/>
            <w:tcBorders>
              <w:top w:val="nil"/>
              <w:left w:val="nil"/>
              <w:bottom w:val="single" w:sz="4" w:space="0" w:color="auto"/>
              <w:right w:val="single" w:sz="4" w:space="0" w:color="auto"/>
            </w:tcBorders>
            <w:shd w:val="clear" w:color="auto" w:fill="auto"/>
          </w:tcPr>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Contribute to scoping of future estate requirements</w:t>
            </w:r>
          </w:p>
          <w:p w:rsidR="00251373" w:rsidRPr="00251373" w:rsidRDefault="00251373" w:rsidP="00251373">
            <w:pPr>
              <w:rPr>
                <w:rFonts w:ascii="Calibri" w:eastAsia="Times New Roman" w:hAnsi="Calibri"/>
                <w:color w:val="000000"/>
                <w:sz w:val="20"/>
                <w:szCs w:val="20"/>
                <w:lang w:eastAsia="en-GB"/>
              </w:rPr>
            </w:pPr>
          </w:p>
        </w:tc>
        <w:tc>
          <w:tcPr>
            <w:tcW w:w="2465" w:type="dxa"/>
            <w:tcBorders>
              <w:top w:val="nil"/>
              <w:left w:val="nil"/>
              <w:bottom w:val="single" w:sz="4" w:space="0" w:color="auto"/>
              <w:right w:val="single" w:sz="4" w:space="0" w:color="auto"/>
            </w:tcBorders>
            <w:shd w:val="clear" w:color="auto" w:fill="auto"/>
          </w:tcPr>
          <w:p w:rsidR="00251373" w:rsidRPr="00251373" w:rsidRDefault="00251373" w:rsidP="00251373">
            <w:pPr>
              <w:rPr>
                <w:rFonts w:ascii="Calibri" w:eastAsia="Times New Roman" w:hAnsi="Calibri"/>
                <w:sz w:val="20"/>
                <w:szCs w:val="20"/>
                <w:lang w:eastAsia="en-GB"/>
              </w:rPr>
            </w:pPr>
          </w:p>
        </w:tc>
        <w:tc>
          <w:tcPr>
            <w:tcW w:w="4257" w:type="dxa"/>
            <w:tcBorders>
              <w:top w:val="nil"/>
              <w:left w:val="nil"/>
              <w:bottom w:val="single" w:sz="4" w:space="0" w:color="auto"/>
              <w:right w:val="single" w:sz="4" w:space="0" w:color="auto"/>
            </w:tcBorders>
            <w:shd w:val="clear" w:color="auto" w:fill="auto"/>
          </w:tcPr>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 xml:space="preserve">New – support to emerging and evolving clinical skills learning environment (NHS Scotland, NHS Golden Jubilee and NHS Academy). </w:t>
            </w:r>
            <w:r w:rsidRPr="00251373">
              <w:rPr>
                <w:rFonts w:ascii="Calibri" w:eastAsia="Times New Roman" w:hAnsi="Calibri"/>
                <w:color w:val="000000"/>
                <w:sz w:val="20"/>
                <w:szCs w:val="20"/>
                <w:lang w:eastAsia="en-GB"/>
              </w:rPr>
              <w:t>W</w:t>
            </w:r>
            <w:r w:rsidRPr="00251373">
              <w:rPr>
                <w:rFonts w:ascii="Calibri" w:eastAsia="Times New Roman" w:hAnsi="Calibri"/>
                <w:color w:val="000000"/>
                <w:sz w:val="20"/>
                <w:szCs w:val="20"/>
                <w:lang w:eastAsia="en-GB"/>
              </w:rPr>
              <w:t>orking as part of broader team to explore options for future learning environment within NHS GJ estate.</w:t>
            </w:r>
          </w:p>
          <w:p w:rsidR="00251373" w:rsidRPr="00251373" w:rsidRDefault="00251373" w:rsidP="00251373">
            <w:pPr>
              <w:rPr>
                <w:rFonts w:ascii="Calibri" w:eastAsia="Times New Roman" w:hAnsi="Calibri"/>
                <w:color w:val="000000"/>
                <w:sz w:val="20"/>
                <w:szCs w:val="20"/>
                <w:lang w:eastAsia="en-GB"/>
              </w:rPr>
            </w:pPr>
          </w:p>
        </w:tc>
        <w:tc>
          <w:tcPr>
            <w:tcW w:w="1701" w:type="dxa"/>
            <w:tcBorders>
              <w:top w:val="single" w:sz="4" w:space="0" w:color="auto"/>
              <w:left w:val="single" w:sz="4" w:space="0" w:color="auto"/>
              <w:bottom w:val="single" w:sz="4" w:space="0" w:color="auto"/>
              <w:right w:val="single" w:sz="4" w:space="0" w:color="auto"/>
            </w:tcBorders>
          </w:tcPr>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 GJ</w:t>
            </w:r>
          </w:p>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NHSSA</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51373" w:rsidRPr="00251373" w:rsidRDefault="00251373" w:rsidP="00251373">
            <w:pPr>
              <w:rPr>
                <w:rFonts w:ascii="Calibri" w:eastAsia="Times New Roman" w:hAnsi="Calibri"/>
                <w:sz w:val="20"/>
                <w:szCs w:val="20"/>
                <w:lang w:eastAsia="en-GB"/>
              </w:rPr>
            </w:pPr>
            <w:r w:rsidRPr="00251373">
              <w:rPr>
                <w:rFonts w:ascii="Calibri" w:eastAsia="Times New Roman" w:hAnsi="Calibri"/>
                <w:sz w:val="20"/>
                <w:szCs w:val="20"/>
                <w:lang w:eastAsia="en-GB"/>
              </w:rPr>
              <w:t>Failure to deliver learning critical to NHS Scotland</w:t>
            </w:r>
          </w:p>
          <w:p w:rsidR="00251373" w:rsidRPr="00251373" w:rsidRDefault="00251373" w:rsidP="00251373">
            <w:pPr>
              <w:rPr>
                <w:rFonts w:ascii="Calibri" w:eastAsia="Times New Roman" w:hAnsi="Calibri"/>
                <w:sz w:val="20"/>
                <w:szCs w:val="20"/>
                <w:lang w:eastAsia="en-GB"/>
              </w:rPr>
            </w:pPr>
          </w:p>
          <w:p w:rsidR="00251373" w:rsidRPr="00251373" w:rsidRDefault="00251373" w:rsidP="00251373">
            <w:pPr>
              <w:rPr>
                <w:rFonts w:ascii="Calibri" w:eastAsia="Times New Roman" w:hAnsi="Calibri"/>
                <w:sz w:val="20"/>
                <w:szCs w:val="20"/>
                <w:lang w:eastAsia="en-GB"/>
              </w:rPr>
            </w:pPr>
            <w:r w:rsidRPr="00251373">
              <w:rPr>
                <w:rFonts w:ascii="Calibri" w:eastAsia="Times New Roman" w:hAnsi="Calibri"/>
                <w:sz w:val="20"/>
                <w:szCs w:val="20"/>
                <w:lang w:eastAsia="en-GB"/>
              </w:rPr>
              <w:t xml:space="preserve">Failure to utilise NHS GJ estate effectively </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251373" w:rsidRPr="00251373" w:rsidRDefault="00251373" w:rsidP="00251373">
            <w:pPr>
              <w:rPr>
                <w:rFonts w:ascii="Calibri" w:eastAsia="Times New Roman" w:hAnsi="Calibri"/>
                <w:sz w:val="20"/>
                <w:szCs w:val="20"/>
                <w:lang w:eastAsia="en-GB"/>
              </w:rPr>
            </w:pPr>
            <w:r w:rsidRPr="00251373">
              <w:rPr>
                <w:rFonts w:ascii="Calibri" w:eastAsia="Times New Roman" w:hAnsi="Calibri"/>
                <w:sz w:val="20"/>
                <w:szCs w:val="20"/>
                <w:lang w:eastAsia="en-GB"/>
              </w:rPr>
              <w:t>Ongoing planning with leads within NHSSA and other client groups. Improvements to physical environment made (e.g. AV and remote access technology)</w:t>
            </w:r>
          </w:p>
          <w:p w:rsidR="00251373" w:rsidRPr="00251373" w:rsidRDefault="00251373" w:rsidP="00251373">
            <w:pPr>
              <w:rPr>
                <w:rFonts w:ascii="Calibri" w:eastAsia="Times New Roman" w:hAnsi="Calibri"/>
                <w:sz w:val="20"/>
                <w:szCs w:val="20"/>
                <w:lang w:eastAsia="en-GB"/>
              </w:rPr>
            </w:pPr>
          </w:p>
          <w:p w:rsidR="00251373" w:rsidRPr="00251373" w:rsidRDefault="00251373" w:rsidP="00251373">
            <w:pPr>
              <w:rPr>
                <w:rFonts w:ascii="Calibri" w:eastAsia="Times New Roman" w:hAnsi="Calibri"/>
                <w:sz w:val="20"/>
                <w:szCs w:val="20"/>
                <w:lang w:eastAsia="en-GB"/>
              </w:rPr>
            </w:pPr>
            <w:r w:rsidRPr="00251373">
              <w:rPr>
                <w:rFonts w:ascii="Calibri" w:eastAsia="Times New Roman" w:hAnsi="Calibri"/>
                <w:sz w:val="20"/>
                <w:szCs w:val="20"/>
                <w:lang w:eastAsia="en-GB"/>
              </w:rPr>
              <w:t>Estates</w:t>
            </w:r>
            <w:r w:rsidRPr="00251373">
              <w:rPr>
                <w:rFonts w:ascii="Calibri" w:eastAsia="Times New Roman" w:hAnsi="Calibri"/>
                <w:sz w:val="20"/>
                <w:szCs w:val="20"/>
                <w:lang w:eastAsia="en-GB"/>
              </w:rPr>
              <w:t xml:space="preserve"> key member of team exploring learning environment options within NHS GJ estate (and beyond e.g. NES, CSMEN)</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 GJ</w:t>
            </w:r>
            <w:r w:rsidRPr="00251373">
              <w:rPr>
                <w:rFonts w:ascii="Calibri" w:eastAsia="Times New Roman" w:hAnsi="Calibri"/>
                <w:color w:val="000000"/>
                <w:sz w:val="20"/>
                <w:szCs w:val="20"/>
                <w:lang w:eastAsia="en-GB"/>
              </w:rPr>
              <w:t xml:space="preserve"> contributes to effective and timely clinical skills training at a national level</w:t>
            </w:r>
          </w:p>
        </w:tc>
        <w:tc>
          <w:tcPr>
            <w:tcW w:w="4053" w:type="dxa"/>
            <w:tcBorders>
              <w:top w:val="nil"/>
              <w:left w:val="nil"/>
              <w:bottom w:val="single" w:sz="4" w:space="0" w:color="auto"/>
              <w:right w:val="single" w:sz="8" w:space="0" w:color="000000" w:themeColor="text1"/>
            </w:tcBorders>
            <w:shd w:val="clear" w:color="auto" w:fill="auto"/>
          </w:tcPr>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 Scotland Academy</w:t>
            </w:r>
          </w:p>
          <w:p w:rsidR="00251373" w:rsidRPr="00251373" w:rsidRDefault="00251373" w:rsidP="00251373">
            <w:pPr>
              <w:rPr>
                <w:rFonts w:ascii="Calibri" w:eastAsia="Times New Roman" w:hAnsi="Calibri"/>
                <w:color w:val="000000"/>
                <w:sz w:val="20"/>
                <w:szCs w:val="20"/>
                <w:lang w:eastAsia="en-GB"/>
              </w:rPr>
            </w:pPr>
          </w:p>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National Treatment Centres Programme</w:t>
            </w:r>
          </w:p>
          <w:p w:rsidR="00251373" w:rsidRPr="00251373" w:rsidRDefault="00251373" w:rsidP="00251373">
            <w:pPr>
              <w:rPr>
                <w:rFonts w:ascii="Calibri" w:eastAsia="Times New Roman" w:hAnsi="Calibri"/>
                <w:color w:val="000000"/>
                <w:sz w:val="20"/>
                <w:szCs w:val="20"/>
                <w:lang w:eastAsia="en-GB"/>
              </w:rPr>
            </w:pPr>
          </w:p>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National Endoscopy Programme</w:t>
            </w:r>
          </w:p>
          <w:p w:rsidR="00251373" w:rsidRPr="00251373" w:rsidRDefault="00251373" w:rsidP="00251373">
            <w:pPr>
              <w:rPr>
                <w:rFonts w:ascii="Calibri" w:eastAsia="Times New Roman" w:hAnsi="Calibri"/>
                <w:color w:val="000000"/>
                <w:sz w:val="20"/>
                <w:szCs w:val="20"/>
                <w:lang w:eastAsia="en-GB"/>
              </w:rPr>
            </w:pPr>
          </w:p>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Clinical skills nationally</w:t>
            </w:r>
          </w:p>
          <w:p w:rsidR="00251373" w:rsidRPr="00251373" w:rsidRDefault="00251373" w:rsidP="00251373">
            <w:pPr>
              <w:rPr>
                <w:rFonts w:ascii="Calibri" w:eastAsia="Times New Roman" w:hAnsi="Calibri"/>
                <w:color w:val="000000"/>
                <w:sz w:val="20"/>
                <w:szCs w:val="20"/>
                <w:lang w:eastAsia="en-GB"/>
              </w:rPr>
            </w:pPr>
          </w:p>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 Scotland Recovery Plan</w:t>
            </w:r>
          </w:p>
          <w:p w:rsidR="00251373" w:rsidRPr="00251373" w:rsidRDefault="00251373" w:rsidP="00251373">
            <w:pPr>
              <w:rPr>
                <w:rFonts w:ascii="Calibri" w:eastAsia="Times New Roman" w:hAnsi="Calibri"/>
                <w:color w:val="000000"/>
                <w:sz w:val="20"/>
                <w:szCs w:val="20"/>
                <w:lang w:eastAsia="en-GB"/>
              </w:rPr>
            </w:pPr>
          </w:p>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NHS Golden Jubilee Remobilisation Plans</w:t>
            </w:r>
          </w:p>
          <w:p w:rsidR="00251373" w:rsidRPr="00251373" w:rsidRDefault="00251373" w:rsidP="00251373">
            <w:pPr>
              <w:rPr>
                <w:rFonts w:ascii="Calibri" w:eastAsia="Times New Roman" w:hAnsi="Calibri"/>
                <w:color w:val="000000"/>
                <w:sz w:val="20"/>
                <w:szCs w:val="20"/>
                <w:lang w:eastAsia="en-GB"/>
              </w:rPr>
            </w:pPr>
          </w:p>
          <w:p w:rsidR="00251373" w:rsidRPr="00251373" w:rsidRDefault="00251373" w:rsidP="00251373">
            <w:pPr>
              <w:rPr>
                <w:rFonts w:ascii="Calibri" w:eastAsia="Times New Roman" w:hAnsi="Calibri"/>
                <w:color w:val="000000"/>
                <w:sz w:val="20"/>
                <w:szCs w:val="20"/>
                <w:lang w:eastAsia="en-GB"/>
              </w:rPr>
            </w:pPr>
            <w:r w:rsidRPr="00251373">
              <w:rPr>
                <w:rFonts w:ascii="Calibri" w:eastAsia="Times New Roman" w:hAnsi="Calibri"/>
                <w:color w:val="000000"/>
                <w:sz w:val="20"/>
                <w:szCs w:val="20"/>
                <w:lang w:eastAsia="en-GB"/>
              </w:rPr>
              <w:t>GJCH Interim Recovery Plan</w:t>
            </w:r>
          </w:p>
        </w:tc>
      </w:tr>
    </w:tbl>
    <w:p w:rsidR="00EE7159" w:rsidRPr="009B7615" w:rsidRDefault="00EE7159" w:rsidP="00B561C0"/>
    <w:p w:rsidR="006873FD" w:rsidRPr="009B7615" w:rsidRDefault="006873FD"/>
    <w:sectPr w:rsidR="006873FD" w:rsidRPr="009B7615" w:rsidSect="00EE7159">
      <w:pgSz w:w="23811" w:h="16838" w:orient="landscape" w:code="8"/>
      <w:pgMar w:top="720" w:right="720" w:bottom="720" w:left="720" w:header="720" w:footer="72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FAEDCB5" w16cid:durableId="24E4B9A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0"/>
  </w:num>
  <w:num w:numId="4">
    <w:abstractNumId w:val="0"/>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59"/>
    <w:rsid w:val="00027C27"/>
    <w:rsid w:val="00030A47"/>
    <w:rsid w:val="000554E4"/>
    <w:rsid w:val="000701C2"/>
    <w:rsid w:val="000A59A4"/>
    <w:rsid w:val="000A7195"/>
    <w:rsid w:val="000B669A"/>
    <w:rsid w:val="000C0CF4"/>
    <w:rsid w:val="000F7308"/>
    <w:rsid w:val="001704FA"/>
    <w:rsid w:val="00194193"/>
    <w:rsid w:val="001C48AE"/>
    <w:rsid w:val="00251373"/>
    <w:rsid w:val="00281579"/>
    <w:rsid w:val="002852BC"/>
    <w:rsid w:val="002B0860"/>
    <w:rsid w:val="00306C61"/>
    <w:rsid w:val="00311F7C"/>
    <w:rsid w:val="0037582B"/>
    <w:rsid w:val="00376F46"/>
    <w:rsid w:val="00391C48"/>
    <w:rsid w:val="003B2FE7"/>
    <w:rsid w:val="003C0EFD"/>
    <w:rsid w:val="00403667"/>
    <w:rsid w:val="0046566C"/>
    <w:rsid w:val="00465E96"/>
    <w:rsid w:val="00467CB8"/>
    <w:rsid w:val="00497FDF"/>
    <w:rsid w:val="004B7289"/>
    <w:rsid w:val="004C261E"/>
    <w:rsid w:val="004D688B"/>
    <w:rsid w:val="004F00CC"/>
    <w:rsid w:val="005450B7"/>
    <w:rsid w:val="00557C9D"/>
    <w:rsid w:val="0056048D"/>
    <w:rsid w:val="00572F10"/>
    <w:rsid w:val="005B765A"/>
    <w:rsid w:val="005E20CB"/>
    <w:rsid w:val="0061506C"/>
    <w:rsid w:val="00626BB6"/>
    <w:rsid w:val="006873FD"/>
    <w:rsid w:val="006B3650"/>
    <w:rsid w:val="007120B5"/>
    <w:rsid w:val="00786D1D"/>
    <w:rsid w:val="00791FCE"/>
    <w:rsid w:val="007C7D9F"/>
    <w:rsid w:val="007E093B"/>
    <w:rsid w:val="007E47C0"/>
    <w:rsid w:val="0080028A"/>
    <w:rsid w:val="00857548"/>
    <w:rsid w:val="00870C98"/>
    <w:rsid w:val="008B252B"/>
    <w:rsid w:val="00914E94"/>
    <w:rsid w:val="00923A99"/>
    <w:rsid w:val="0094277A"/>
    <w:rsid w:val="009B7615"/>
    <w:rsid w:val="009E512A"/>
    <w:rsid w:val="00A57F40"/>
    <w:rsid w:val="00AA35E7"/>
    <w:rsid w:val="00B51BDC"/>
    <w:rsid w:val="00B561C0"/>
    <w:rsid w:val="00B773CE"/>
    <w:rsid w:val="00BB116C"/>
    <w:rsid w:val="00C07EFC"/>
    <w:rsid w:val="00C645F2"/>
    <w:rsid w:val="00C74266"/>
    <w:rsid w:val="00C91823"/>
    <w:rsid w:val="00CC34BA"/>
    <w:rsid w:val="00D008AB"/>
    <w:rsid w:val="00D06B24"/>
    <w:rsid w:val="00DF45CB"/>
    <w:rsid w:val="00E120F8"/>
    <w:rsid w:val="00E15BE4"/>
    <w:rsid w:val="00EE7159"/>
    <w:rsid w:val="00EF3F80"/>
    <w:rsid w:val="00F001C4"/>
    <w:rsid w:val="00F52CAE"/>
    <w:rsid w:val="00F6117F"/>
    <w:rsid w:val="00F81FE1"/>
    <w:rsid w:val="00FA4BC1"/>
    <w:rsid w:val="00FC491B"/>
    <w:rsid w:val="00FE11EA"/>
    <w:rsid w:val="00FF6F07"/>
    <w:rsid w:val="0BA975BC"/>
    <w:rsid w:val="0D1ACD5D"/>
    <w:rsid w:val="14823D7E"/>
    <w:rsid w:val="37ECD84F"/>
    <w:rsid w:val="3B5233CF"/>
    <w:rsid w:val="3D7E98E4"/>
    <w:rsid w:val="3D9DFF24"/>
    <w:rsid w:val="440D40A8"/>
    <w:rsid w:val="472BB90D"/>
    <w:rsid w:val="4F8BD2CF"/>
    <w:rsid w:val="59D1702B"/>
    <w:rsid w:val="6A48C2DA"/>
    <w:rsid w:val="6D272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C3D40"/>
  <w15:chartTrackingRefBased/>
  <w15:docId w15:val="{8B577FAB-AAAD-4963-BEB2-8535AF543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C98"/>
    <w:rPr>
      <w:rFonts w:ascii="Arial" w:hAnsi="Arial" w:cs="Calibri"/>
      <w:sz w:val="24"/>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styleId="CommentReference">
    <w:name w:val="annotation reference"/>
    <w:basedOn w:val="DefaultParagraphFont"/>
    <w:uiPriority w:val="99"/>
    <w:semiHidden/>
    <w:unhideWhenUsed/>
    <w:rsid w:val="00EE7159"/>
    <w:rPr>
      <w:sz w:val="16"/>
      <w:szCs w:val="16"/>
    </w:rPr>
  </w:style>
  <w:style w:type="paragraph" w:styleId="CommentText">
    <w:name w:val="annotation text"/>
    <w:basedOn w:val="Normal"/>
    <w:link w:val="CommentTextChar"/>
    <w:uiPriority w:val="99"/>
    <w:semiHidden/>
    <w:unhideWhenUsed/>
    <w:rsid w:val="00EE7159"/>
    <w:rPr>
      <w:sz w:val="20"/>
      <w:szCs w:val="20"/>
    </w:rPr>
  </w:style>
  <w:style w:type="character" w:customStyle="1" w:styleId="CommentTextChar">
    <w:name w:val="Comment Text Char"/>
    <w:basedOn w:val="DefaultParagraphFont"/>
    <w:link w:val="CommentText"/>
    <w:uiPriority w:val="99"/>
    <w:semiHidden/>
    <w:rsid w:val="00EE7159"/>
    <w:rPr>
      <w:rFonts w:ascii="Arial" w:hAnsi="Arial" w:cs="Calibri"/>
      <w:sz w:val="20"/>
      <w:szCs w:val="20"/>
    </w:rPr>
  </w:style>
  <w:style w:type="paragraph" w:styleId="CommentSubject">
    <w:name w:val="annotation subject"/>
    <w:basedOn w:val="CommentText"/>
    <w:next w:val="CommentText"/>
    <w:link w:val="CommentSubjectChar"/>
    <w:uiPriority w:val="99"/>
    <w:semiHidden/>
    <w:unhideWhenUsed/>
    <w:rsid w:val="00EE7159"/>
    <w:rPr>
      <w:b/>
      <w:bCs/>
    </w:rPr>
  </w:style>
  <w:style w:type="character" w:customStyle="1" w:styleId="CommentSubjectChar">
    <w:name w:val="Comment Subject Char"/>
    <w:basedOn w:val="CommentTextChar"/>
    <w:link w:val="CommentSubject"/>
    <w:uiPriority w:val="99"/>
    <w:semiHidden/>
    <w:rsid w:val="00EE7159"/>
    <w:rPr>
      <w:rFonts w:ascii="Arial" w:hAnsi="Arial" w:cs="Calibri"/>
      <w:b/>
      <w:bCs/>
      <w:sz w:val="20"/>
      <w:szCs w:val="20"/>
    </w:rPr>
  </w:style>
  <w:style w:type="paragraph" w:styleId="BalloonText">
    <w:name w:val="Balloon Text"/>
    <w:basedOn w:val="Normal"/>
    <w:link w:val="BalloonTextChar"/>
    <w:uiPriority w:val="99"/>
    <w:semiHidden/>
    <w:unhideWhenUsed/>
    <w:rsid w:val="00EE7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159"/>
    <w:rPr>
      <w:rFonts w:ascii="Segoe UI" w:hAnsi="Segoe UI" w:cs="Segoe UI"/>
      <w:sz w:val="18"/>
      <w:szCs w:val="18"/>
    </w:rPr>
  </w:style>
  <w:style w:type="paragraph" w:styleId="ListParagraph">
    <w:name w:val="List Paragraph"/>
    <w:basedOn w:val="Normal"/>
    <w:uiPriority w:val="34"/>
    <w:qFormat/>
    <w:rsid w:val="009E51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385798">
      <w:bodyDiv w:val="1"/>
      <w:marLeft w:val="0"/>
      <w:marRight w:val="0"/>
      <w:marTop w:val="0"/>
      <w:marBottom w:val="0"/>
      <w:divBdr>
        <w:top w:val="none" w:sz="0" w:space="0" w:color="auto"/>
        <w:left w:val="none" w:sz="0" w:space="0" w:color="auto"/>
        <w:bottom w:val="none" w:sz="0" w:space="0" w:color="auto"/>
        <w:right w:val="none" w:sz="0" w:space="0" w:color="auto"/>
      </w:divBdr>
    </w:div>
    <w:div w:id="1810971039">
      <w:bodyDiv w:val="1"/>
      <w:marLeft w:val="0"/>
      <w:marRight w:val="0"/>
      <w:marTop w:val="0"/>
      <w:marBottom w:val="0"/>
      <w:divBdr>
        <w:top w:val="none" w:sz="0" w:space="0" w:color="auto"/>
        <w:left w:val="none" w:sz="0" w:space="0" w:color="auto"/>
        <w:bottom w:val="none" w:sz="0" w:space="0" w:color="auto"/>
        <w:right w:val="none" w:sz="0" w:space="0" w:color="auto"/>
      </w:divBdr>
    </w:div>
    <w:div w:id="183784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A192E18E691846928089F41D0924CC" ma:contentTypeVersion="6" ma:contentTypeDescription="Create a new document." ma:contentTypeScope="" ma:versionID="96de90a8ec591b22362f796b7ea4bc34">
  <xsd:schema xmlns:xsd="http://www.w3.org/2001/XMLSchema" xmlns:xs="http://www.w3.org/2001/XMLSchema" xmlns:p="http://schemas.microsoft.com/office/2006/metadata/properties" xmlns:ns2="07511e87-2b6c-4211-a1fa-0c2423724a01" xmlns:ns3="af1bfc9d-5cfc-4216-83ef-9322a0599ec2" targetNamespace="http://schemas.microsoft.com/office/2006/metadata/properties" ma:root="true" ma:fieldsID="9380172ca7ac4546a482cd0d4908a72d" ns2:_="" ns3:_="">
    <xsd:import namespace="07511e87-2b6c-4211-a1fa-0c2423724a01"/>
    <xsd:import namespace="af1bfc9d-5cfc-4216-83ef-9322a0599e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11e87-2b6c-4211-a1fa-0c2423724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1bfc9d-5cfc-4216-83ef-9322a0599ec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tadata xmlns="http://www.objective.com/ecm/document/metadata/53D26341A57B383EE0540010E0463CCA" version="1.0.0">
  <systemFields>
    <field name="Objective-Id">
      <value order="0">A33968921</value>
    </field>
    <field name="Objective-Title">
      <value order="0">NHS Remobilisation Plans 2021-22 - Commissioning Pack - RMP4 - Delivery Planning Template</value>
    </field>
    <field name="Objective-Description">
      <value order="0"/>
    </field>
    <field name="Objective-CreationStamp">
      <value order="0">2021-07-09T07:36:03Z</value>
    </field>
    <field name="Objective-IsApproved">
      <value order="0">false</value>
    </field>
    <field name="Objective-IsPublished">
      <value order="0">false</value>
    </field>
    <field name="Objective-DatePublished">
      <value order="0"/>
    </field>
    <field name="Objective-ModificationStamp">
      <value order="0">2021-07-15T18:04:54Z</value>
    </field>
    <field name="Objective-Owner">
      <value order="0">Marshall, Jennie J (U443139)</value>
    </field>
    <field name="Objective-Path">
      <value order="0">Objective Global Folder:SG File Plan:Health, nutrition and care:National Health Service (NHS):NHS management:Casework: NHS management:NHS Scotland: Remobilisation plans 2021/22: 2021-2026</value>
    </field>
    <field name="Objective-Parent">
      <value order="0">NHS Scotland: Remobilisation plans 2021/22: 2021-2026</value>
    </field>
    <field name="Objective-State">
      <value order="0">Being Drafted</value>
    </field>
    <field name="Objective-VersionId">
      <value order="0">vA49841051</value>
    </field>
    <field name="Objective-Version">
      <value order="0">3.2</value>
    </field>
    <field name="Objective-VersionNumber">
      <value order="0">5</value>
    </field>
    <field name="Objective-VersionComment">
      <value order="0"/>
    </field>
    <field name="Objective-FileNumber">
      <value order="0">POL/35626</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6FBE86-6830-45D2-A4BF-A37D53F42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511e87-2b6c-4211-a1fa-0c2423724a01"/>
    <ds:schemaRef ds:uri="af1bfc9d-5cfc-4216-83ef-9322a0599e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3.xml><?xml version="1.0" encoding="utf-8"?>
<ds:datastoreItem xmlns:ds="http://schemas.openxmlformats.org/officeDocument/2006/customXml" ds:itemID="{2DB92984-9BFF-4DAA-8E28-BF8D3B8834E9}">
  <ds:schemaRefs>
    <ds:schemaRef ds:uri="07511e87-2b6c-4211-a1fa-0c2423724a0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f1bfc9d-5cfc-4216-83ef-9322a0599ec2"/>
    <ds:schemaRef ds:uri="http://www.w3.org/XML/1998/namespace"/>
    <ds:schemaRef ds:uri="http://purl.org/dc/dcmitype/"/>
  </ds:schemaRefs>
</ds:datastoreItem>
</file>

<file path=customXml/itemProps4.xml><?xml version="1.0" encoding="utf-8"?>
<ds:datastoreItem xmlns:ds="http://schemas.openxmlformats.org/officeDocument/2006/customXml" ds:itemID="{A643FF26-B1F5-46E9-8343-64D89883BF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Marshall</dc:creator>
  <cp:keywords/>
  <dc:description/>
  <cp:lastModifiedBy>Rikki Young</cp:lastModifiedBy>
  <cp:revision>6</cp:revision>
  <dcterms:created xsi:type="dcterms:W3CDTF">2021-09-23T23:48:00Z</dcterms:created>
  <dcterms:modified xsi:type="dcterms:W3CDTF">2021-09-29T16:02:00Z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0x01010043A192E18E691846928089F41D0924CC</vt:lpwstr>
  </property>
  <property fmtid="{D5CDD505-2E9C-101B-9397-08002B2CF9AE}" pid="3" name="Objective-Id">
    <vt:lpwstr>A33968921</vt:lpwstr>
  </property>
  <property fmtid="{D5CDD505-2E9C-101B-9397-08002B2CF9AE}" pid="4" name="Objective-Title">
    <vt:lpwstr>NHS Remobilisation Plans 2021-22 - Commissioning Pack - RMP4 - Delivery Planning Template</vt:lpwstr>
  </property>
  <property fmtid="{D5CDD505-2E9C-101B-9397-08002B2CF9AE}" pid="5" name="Objective-Description">
    <vt:lpwstr/>
  </property>
  <property fmtid="{D5CDD505-2E9C-101B-9397-08002B2CF9AE}" pid="6" name="Objective-CreationStamp">
    <vt:filetime>2021-07-09T07:36:03Z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2021-07-15T18:04:54Z</vt:filetime>
  </property>
  <property fmtid="{D5CDD505-2E9C-101B-9397-08002B2CF9AE}" pid="11" name="Objective-Owner">
    <vt:lpwstr>Marshall, Jennie J (U443139)</vt:lpwstr>
  </property>
  <property fmtid="{D5CDD505-2E9C-101B-9397-08002B2CF9AE}" pid="12" name="Objective-Path">
    <vt:lpwstr>Objective Global Folder:SG File Plan:Health, nutrition and care:National Health Service (NHS):NHS management:Casework: NHS management:NHS Scotland: Remobilisation plans 2021/22: 2021-2026</vt:lpwstr>
  </property>
  <property fmtid="{D5CDD505-2E9C-101B-9397-08002B2CF9AE}" pid="13" name="Objective-Parent">
    <vt:lpwstr>NHS Scotland: Remobilisation plans 2021/22: 2021-2026</vt:lpwstr>
  </property>
  <property fmtid="{D5CDD505-2E9C-101B-9397-08002B2CF9AE}" pid="14" name="Objective-State">
    <vt:lpwstr>Being Drafted</vt:lpwstr>
  </property>
  <property fmtid="{D5CDD505-2E9C-101B-9397-08002B2CF9AE}" pid="15" name="Objective-VersionId">
    <vt:lpwstr>vA49841051</vt:lpwstr>
  </property>
  <property fmtid="{D5CDD505-2E9C-101B-9397-08002B2CF9AE}" pid="16" name="Objective-Version">
    <vt:lpwstr>3.2</vt:lpwstr>
  </property>
  <property fmtid="{D5CDD505-2E9C-101B-9397-08002B2CF9AE}" pid="17" name="Objective-VersionNumber">
    <vt:r8>5</vt:r8>
  </property>
  <property fmtid="{D5CDD505-2E9C-101B-9397-08002B2CF9AE}" pid="18" name="Objective-VersionComment">
    <vt:lpwstr/>
  </property>
  <property fmtid="{D5CDD505-2E9C-101B-9397-08002B2CF9AE}" pid="19" name="Objective-FileNumber">
    <vt:lpwstr>POL/35626</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ies>
</file>