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E5" w:rsidRPr="007D2AE5" w:rsidRDefault="00E95F55" w:rsidP="00506517">
      <w:pPr>
        <w:pStyle w:val="BodyTextIndent"/>
        <w:ind w:left="-426" w:right="183" w:firstLine="0"/>
        <w:rPr>
          <w:rFonts w:ascii="Arial" w:hAnsi="Arial" w:cs="Arial"/>
          <w:b/>
          <w:bCs/>
          <w:color w:val="FF0000"/>
        </w:rPr>
      </w:pPr>
      <w:r w:rsidRPr="007D2AE5">
        <w:rPr>
          <w:noProof/>
          <w:color w:val="FF0000"/>
          <w:lang w:eastAsia="en-GB"/>
        </w:rPr>
        <w:drawing>
          <wp:anchor distT="0" distB="0" distL="114300" distR="114300" simplePos="0" relativeHeight="251658240" behindDoc="1" locked="0" layoutInCell="1" allowOverlap="1" wp14:anchorId="45C4C56D" wp14:editId="28D6C9F4">
            <wp:simplePos x="0" y="0"/>
            <wp:positionH relativeFrom="margin">
              <wp:posOffset>4880610</wp:posOffset>
            </wp:positionH>
            <wp:positionV relativeFrom="margin">
              <wp:posOffset>-213995</wp:posOffset>
            </wp:positionV>
            <wp:extent cx="1114425" cy="771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0F2">
        <w:rPr>
          <w:rFonts w:ascii="Arial" w:hAnsi="Arial" w:cs="Arial"/>
          <w:b/>
          <w:bCs/>
          <w:color w:val="FF0000"/>
        </w:rPr>
        <w:t xml:space="preserve">     </w:t>
      </w:r>
      <w:r w:rsidR="004D3F4A">
        <w:rPr>
          <w:rFonts w:ascii="Arial" w:hAnsi="Arial" w:cs="Arial"/>
          <w:b/>
          <w:bCs/>
          <w:color w:val="FF0000"/>
        </w:rPr>
        <w:t xml:space="preserve">                              </w:t>
      </w:r>
    </w:p>
    <w:p w:rsidR="00C373CC" w:rsidRDefault="00C373CC" w:rsidP="00506517">
      <w:pPr>
        <w:pStyle w:val="BodyTextIndent"/>
        <w:ind w:left="-426" w:right="183" w:firstLine="0"/>
        <w:rPr>
          <w:rFonts w:ascii="Arial" w:hAnsi="Arial" w:cs="Arial"/>
          <w:b/>
          <w:bCs/>
        </w:rPr>
      </w:pPr>
    </w:p>
    <w:tbl>
      <w:tblPr>
        <w:tblW w:w="935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5666"/>
        <w:gridCol w:w="1133"/>
      </w:tblGrid>
      <w:tr w:rsidR="0040506A" w:rsidRPr="0040506A" w:rsidTr="008B3CF3">
        <w:trPr>
          <w:trHeight w:val="557"/>
        </w:trPr>
        <w:tc>
          <w:tcPr>
            <w:tcW w:w="2557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5666" w:type="dxa"/>
          </w:tcPr>
          <w:p w:rsidR="00C373CC" w:rsidRPr="0040506A" w:rsidRDefault="00C20968" w:rsidP="00C20968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31 March 2022</w:t>
            </w:r>
          </w:p>
        </w:tc>
        <w:tc>
          <w:tcPr>
            <w:tcW w:w="1133" w:type="dxa"/>
            <w:vMerge w:val="restart"/>
          </w:tcPr>
          <w:p w:rsidR="00C373CC" w:rsidRPr="0040506A" w:rsidRDefault="00C373CC" w:rsidP="00E95F55">
            <w:pPr>
              <w:pStyle w:val="Heading1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06A" w:rsidRPr="0040506A" w:rsidTr="008B3CF3">
        <w:trPr>
          <w:trHeight w:val="598"/>
        </w:trPr>
        <w:tc>
          <w:tcPr>
            <w:tcW w:w="2557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5666" w:type="dxa"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 xml:space="preserve">Clinical Governance Committee </w:t>
            </w:r>
            <w:r w:rsidR="008B3CF3">
              <w:rPr>
                <w:rFonts w:ascii="Arial" w:hAnsi="Arial" w:cs="Arial"/>
                <w:bCs w:val="0"/>
                <w:sz w:val="24"/>
                <w:szCs w:val="24"/>
              </w:rPr>
              <w:t xml:space="preserve">(CGC) </w:t>
            </w: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Update</w:t>
            </w:r>
          </w:p>
        </w:tc>
        <w:tc>
          <w:tcPr>
            <w:tcW w:w="1133" w:type="dxa"/>
            <w:vMerge/>
          </w:tcPr>
          <w:p w:rsidR="00C373CC" w:rsidRPr="0040506A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40506A" w:rsidRPr="0040506A" w:rsidTr="00303DE8">
        <w:trPr>
          <w:trHeight w:val="1413"/>
        </w:trPr>
        <w:tc>
          <w:tcPr>
            <w:tcW w:w="2557" w:type="dxa"/>
          </w:tcPr>
          <w:p w:rsidR="00C373CC" w:rsidRDefault="00C373CC" w:rsidP="00E95F55">
            <w:pPr>
              <w:pStyle w:val="Heading1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40506A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  <w:p w:rsidR="00303DE8" w:rsidRDefault="00303DE8" w:rsidP="00303DE8"/>
          <w:p w:rsidR="00303DE8" w:rsidRDefault="00303DE8" w:rsidP="00303DE8"/>
          <w:p w:rsidR="00303DE8" w:rsidRDefault="00303DE8" w:rsidP="00303DE8"/>
          <w:p w:rsidR="00303DE8" w:rsidRPr="00303DE8" w:rsidRDefault="00303DE8" w:rsidP="00303DE8"/>
        </w:tc>
        <w:tc>
          <w:tcPr>
            <w:tcW w:w="6799" w:type="dxa"/>
            <w:gridSpan w:val="2"/>
          </w:tcPr>
          <w:p w:rsidR="00C373CC" w:rsidRPr="0040506A" w:rsidRDefault="008D1191" w:rsidP="00E95F55">
            <w:pPr>
              <w:pStyle w:val="Heading1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Board M</w:t>
            </w:r>
            <w:r w:rsidR="00C373CC" w:rsidRPr="0040506A">
              <w:rPr>
                <w:rFonts w:ascii="Arial" w:hAnsi="Arial" w:cs="Arial"/>
                <w:b w:val="0"/>
                <w:sz w:val="24"/>
                <w:szCs w:val="24"/>
              </w:rPr>
              <w:t>embers are asked to:</w:t>
            </w:r>
          </w:p>
          <w:p w:rsidR="00C373CC" w:rsidRPr="0040506A" w:rsidRDefault="00C373CC" w:rsidP="00E95F55">
            <w:pPr>
              <w:rPr>
                <w:rFonts w:ascii="Arial" w:hAnsi="Arial" w:cs="Arial"/>
              </w:rPr>
            </w:pPr>
          </w:p>
          <w:tbl>
            <w:tblPr>
              <w:tblW w:w="6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6"/>
              <w:gridCol w:w="857"/>
            </w:tblGrid>
            <w:tr w:rsidR="0040506A" w:rsidRPr="0040506A" w:rsidTr="00303DE8">
              <w:trPr>
                <w:trHeight w:val="252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7" w:type="dxa"/>
                </w:tcPr>
                <w:p w:rsidR="00C373CC" w:rsidRPr="0040506A" w:rsidRDefault="00E95F55" w:rsidP="00E95F55">
                  <w:pPr>
                    <w:contextualSpacing/>
                    <w:jc w:val="center"/>
                    <w:rPr>
                      <w:rFonts w:ascii="Arial" w:hAnsi="Arial" w:cs="Arial"/>
                    </w:rPr>
                  </w:pPr>
                  <w:r w:rsidRPr="0040506A">
                    <w:rPr>
                      <w:rFonts w:ascii="Arial" w:hAnsi="Arial" w:cs="Arial"/>
                    </w:rPr>
                    <w:sym w:font="Wingdings" w:char="F0FC"/>
                  </w:r>
                </w:p>
              </w:tc>
            </w:tr>
            <w:tr w:rsidR="0040506A" w:rsidRPr="0040506A" w:rsidTr="00303DE8">
              <w:trPr>
                <w:trHeight w:val="252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7" w:type="dxa"/>
                </w:tcPr>
                <w:p w:rsidR="00C373CC" w:rsidRPr="0040506A" w:rsidRDefault="00C373CC" w:rsidP="00E95F55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40506A" w:rsidRPr="0040506A" w:rsidTr="00303DE8">
              <w:trPr>
                <w:trHeight w:val="243"/>
              </w:trPr>
              <w:tc>
                <w:tcPr>
                  <w:tcW w:w="5746" w:type="dxa"/>
                </w:tcPr>
                <w:p w:rsidR="00C373CC" w:rsidRPr="0040506A" w:rsidRDefault="00C373CC" w:rsidP="00E95F55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40506A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7" w:type="dxa"/>
                </w:tcPr>
                <w:p w:rsidR="00C373CC" w:rsidRPr="0040506A" w:rsidRDefault="00C373CC" w:rsidP="00E95F55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:rsidR="00C373CC" w:rsidRPr="0040506A" w:rsidRDefault="00C373CC" w:rsidP="00E95F55">
            <w:pPr>
              <w:contextualSpacing/>
              <w:rPr>
                <w:rFonts w:ascii="Arial" w:hAnsi="Arial" w:cs="Arial"/>
              </w:rPr>
            </w:pPr>
          </w:p>
        </w:tc>
      </w:tr>
    </w:tbl>
    <w:p w:rsidR="00E95F55" w:rsidRPr="00724610" w:rsidRDefault="00C373CC" w:rsidP="00E95F55">
      <w:pPr>
        <w:tabs>
          <w:tab w:val="left" w:pos="9192"/>
        </w:tabs>
        <w:ind w:left="-426" w:right="-22"/>
        <w:rPr>
          <w:rFonts w:ascii="Arial" w:hAnsi="Arial" w:cs="Arial"/>
          <w:bCs/>
        </w:rPr>
      </w:pPr>
      <w:r w:rsidRPr="00724610">
        <w:rPr>
          <w:rFonts w:ascii="Arial" w:hAnsi="Arial" w:cs="Arial"/>
          <w:bCs/>
        </w:rPr>
        <w:t>______________________________________________________________________</w:t>
      </w:r>
    </w:p>
    <w:p w:rsidR="00E95F55" w:rsidRPr="0040506A" w:rsidRDefault="00E95F55" w:rsidP="00E95F55">
      <w:pPr>
        <w:tabs>
          <w:tab w:val="left" w:pos="9192"/>
        </w:tabs>
        <w:ind w:left="-426" w:right="-22"/>
        <w:rPr>
          <w:sz w:val="22"/>
          <w:szCs w:val="22"/>
        </w:rPr>
      </w:pPr>
    </w:p>
    <w:p w:rsidR="001175E5" w:rsidRPr="00CB044C" w:rsidRDefault="008B1AF8" w:rsidP="00E95F55">
      <w:pPr>
        <w:pStyle w:val="ListParagraph"/>
        <w:numPr>
          <w:ilvl w:val="0"/>
          <w:numId w:val="23"/>
        </w:numPr>
        <w:tabs>
          <w:tab w:val="left" w:pos="9192"/>
        </w:tabs>
        <w:ind w:right="-22"/>
        <w:rPr>
          <w:b/>
        </w:rPr>
      </w:pPr>
      <w:r>
        <w:rPr>
          <w:b/>
        </w:rPr>
        <w:t xml:space="preserve"> </w:t>
      </w:r>
      <w:r w:rsidR="001175E5" w:rsidRPr="00CB044C">
        <w:rPr>
          <w:b/>
        </w:rPr>
        <w:t>Background</w:t>
      </w:r>
    </w:p>
    <w:p w:rsidR="00E95F55" w:rsidRPr="00CB044C" w:rsidRDefault="00E95F55" w:rsidP="00E95F55">
      <w:pPr>
        <w:pStyle w:val="ListParagraph"/>
        <w:tabs>
          <w:tab w:val="left" w:pos="9192"/>
        </w:tabs>
        <w:ind w:left="-66" w:right="-22"/>
        <w:rPr>
          <w:b/>
        </w:rPr>
      </w:pPr>
    </w:p>
    <w:p w:rsidR="00C373CC" w:rsidRPr="00CB044C" w:rsidRDefault="00C373CC" w:rsidP="00DB6D2A">
      <w:pPr>
        <w:ind w:left="-6" w:right="183"/>
        <w:rPr>
          <w:rFonts w:ascii="Arial" w:hAnsi="Arial" w:cs="Arial"/>
          <w:bCs/>
        </w:rPr>
      </w:pPr>
      <w:r w:rsidRPr="00CB044C">
        <w:rPr>
          <w:rFonts w:ascii="Arial" w:hAnsi="Arial" w:cs="Arial"/>
          <w:bCs/>
        </w:rPr>
        <w:t>The Clinical Governance Committ</w:t>
      </w:r>
      <w:r w:rsidR="001762A2" w:rsidRPr="00CB044C">
        <w:rPr>
          <w:rFonts w:ascii="Arial" w:hAnsi="Arial" w:cs="Arial"/>
          <w:bCs/>
        </w:rPr>
        <w:t>ee (CGC) was held on</w:t>
      </w:r>
      <w:r w:rsidR="0096173D">
        <w:rPr>
          <w:rFonts w:ascii="Arial" w:hAnsi="Arial" w:cs="Arial"/>
          <w:bCs/>
        </w:rPr>
        <w:t xml:space="preserve"> </w:t>
      </w:r>
      <w:r w:rsidR="00425938">
        <w:rPr>
          <w:rFonts w:ascii="Arial" w:hAnsi="Arial" w:cs="Arial"/>
          <w:bCs/>
        </w:rPr>
        <w:t xml:space="preserve">3 </w:t>
      </w:r>
      <w:r w:rsidR="00D678AA">
        <w:rPr>
          <w:rFonts w:ascii="Arial" w:hAnsi="Arial" w:cs="Arial"/>
          <w:bCs/>
        </w:rPr>
        <w:t xml:space="preserve">March </w:t>
      </w:r>
      <w:r w:rsidR="00425938">
        <w:rPr>
          <w:rFonts w:ascii="Arial" w:hAnsi="Arial" w:cs="Arial"/>
          <w:bCs/>
        </w:rPr>
        <w:t>2022</w:t>
      </w:r>
      <w:r w:rsidRPr="00CB044C">
        <w:rPr>
          <w:rFonts w:ascii="Arial" w:hAnsi="Arial" w:cs="Arial"/>
          <w:bCs/>
        </w:rPr>
        <w:t xml:space="preserve">, the following key points were noted at the meeting.  </w:t>
      </w:r>
    </w:p>
    <w:p w:rsidR="00E95F55" w:rsidRDefault="00E95F55" w:rsidP="005065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color w:val="auto"/>
          <w:lang w:val="en-US"/>
        </w:rPr>
      </w:pPr>
      <w:bookmarkStart w:id="0" w:name="_GoBack"/>
      <w:bookmarkEnd w:id="0"/>
    </w:p>
    <w:p w:rsidR="000578D3" w:rsidRPr="00CB044C" w:rsidRDefault="000578D3" w:rsidP="0050651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426"/>
        <w:rPr>
          <w:rFonts w:hAnsi="Arial" w:cs="Arial"/>
          <w:color w:val="auto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7783"/>
      </w:tblGrid>
      <w:tr w:rsidR="00C373CC" w:rsidRPr="00D43C22" w:rsidTr="00C373CC">
        <w:trPr>
          <w:trHeight w:val="388"/>
        </w:trPr>
        <w:tc>
          <w:tcPr>
            <w:tcW w:w="1397" w:type="dxa"/>
            <w:shd w:val="clear" w:color="auto" w:fill="002060"/>
          </w:tcPr>
          <w:p w:rsidR="006D232B" w:rsidRPr="00D43C22" w:rsidRDefault="006D232B" w:rsidP="00506517">
            <w:pPr>
              <w:ind w:left="34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D43C22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Item</w:t>
            </w:r>
          </w:p>
        </w:tc>
        <w:tc>
          <w:tcPr>
            <w:tcW w:w="7783" w:type="dxa"/>
            <w:shd w:val="clear" w:color="auto" w:fill="002060"/>
          </w:tcPr>
          <w:p w:rsidR="006D232B" w:rsidRPr="00D43C22" w:rsidRDefault="006D232B" w:rsidP="00506517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D43C22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Details</w:t>
            </w:r>
          </w:p>
        </w:tc>
      </w:tr>
      <w:tr w:rsidR="007D2AE5" w:rsidRPr="00D43C22" w:rsidTr="007E7230">
        <w:tc>
          <w:tcPr>
            <w:tcW w:w="1397" w:type="dxa"/>
          </w:tcPr>
          <w:p w:rsidR="00AE3EFE" w:rsidRPr="00D43C22" w:rsidRDefault="00AE3EFE" w:rsidP="00745D8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D43C22">
              <w:rPr>
                <w:rFonts w:ascii="Arial" w:hAnsi="Arial" w:cs="Arial"/>
                <w:b/>
                <w:bCs/>
                <w:lang w:val="en-US"/>
              </w:rPr>
              <w:t>Safe</w:t>
            </w: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7783" w:type="dxa"/>
          </w:tcPr>
          <w:p w:rsidR="00D60E05" w:rsidRPr="00D43C22" w:rsidRDefault="00D60E05" w:rsidP="00745D88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  <w:b/>
              </w:rPr>
              <w:t>Covid Sit Rep</w:t>
            </w:r>
            <w:r w:rsidRPr="00D43C22">
              <w:rPr>
                <w:rFonts w:ascii="Arial" w:hAnsi="Arial" w:cs="Arial"/>
                <w:b/>
              </w:rPr>
              <w:br/>
            </w:r>
          </w:p>
          <w:p w:rsidR="00D0375B" w:rsidRPr="00D43C22" w:rsidRDefault="00D0375B" w:rsidP="00745D88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The Committee w</w:t>
            </w:r>
            <w:r w:rsidR="00F716BE" w:rsidRPr="00D43C22">
              <w:rPr>
                <w:rFonts w:ascii="Arial" w:hAnsi="Arial" w:cs="Arial"/>
              </w:rPr>
              <w:t>ere</w:t>
            </w:r>
            <w:r w:rsidRPr="00D43C22">
              <w:rPr>
                <w:rFonts w:ascii="Arial" w:hAnsi="Arial" w:cs="Arial"/>
              </w:rPr>
              <w:t xml:space="preserve"> provided with an update on the Covid</w:t>
            </w:r>
            <w:r w:rsidR="004B6ECD" w:rsidRPr="00D43C22">
              <w:rPr>
                <w:rFonts w:ascii="Arial" w:hAnsi="Arial" w:cs="Arial"/>
              </w:rPr>
              <w:t>-19</w:t>
            </w:r>
            <w:r w:rsidRPr="00D43C22">
              <w:rPr>
                <w:rFonts w:ascii="Arial" w:hAnsi="Arial" w:cs="Arial"/>
              </w:rPr>
              <w:t xml:space="preserve"> inpatient status.    </w:t>
            </w:r>
          </w:p>
          <w:p w:rsidR="00563BC4" w:rsidRPr="00D43C22" w:rsidRDefault="00563BC4" w:rsidP="00745D88">
            <w:pPr>
              <w:contextualSpacing/>
              <w:rPr>
                <w:rFonts w:ascii="Arial" w:hAnsi="Arial" w:cs="Arial"/>
              </w:rPr>
            </w:pPr>
          </w:p>
          <w:p w:rsidR="00425938" w:rsidRPr="00D43C22" w:rsidRDefault="002B1C68" w:rsidP="0042593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new </w:t>
            </w:r>
            <w:r w:rsidR="00D678AA">
              <w:rPr>
                <w:rFonts w:ascii="Arial" w:hAnsi="Arial" w:cs="Arial"/>
              </w:rPr>
              <w:t xml:space="preserve">Respiratory pathways </w:t>
            </w:r>
            <w:r w:rsidR="00C20968">
              <w:rPr>
                <w:rFonts w:ascii="Arial" w:hAnsi="Arial" w:cs="Arial"/>
              </w:rPr>
              <w:t xml:space="preserve">had been </w:t>
            </w:r>
            <w:r w:rsidR="00D678AA">
              <w:rPr>
                <w:rFonts w:ascii="Arial" w:hAnsi="Arial" w:cs="Arial"/>
              </w:rPr>
              <w:t xml:space="preserve">implemented </w:t>
            </w:r>
            <w:r w:rsidR="00C20968">
              <w:rPr>
                <w:rFonts w:ascii="Arial" w:hAnsi="Arial" w:cs="Arial"/>
              </w:rPr>
              <w:t xml:space="preserve">in </w:t>
            </w:r>
            <w:r w:rsidR="00D678AA">
              <w:rPr>
                <w:rFonts w:ascii="Arial" w:hAnsi="Arial" w:cs="Arial"/>
              </w:rPr>
              <w:t xml:space="preserve">February 2022 </w:t>
            </w:r>
            <w:r w:rsidR="00C20968">
              <w:rPr>
                <w:rFonts w:ascii="Arial" w:hAnsi="Arial" w:cs="Arial"/>
              </w:rPr>
              <w:t xml:space="preserve">with </w:t>
            </w:r>
            <w:r w:rsidR="00D678AA">
              <w:rPr>
                <w:rFonts w:ascii="Arial" w:hAnsi="Arial" w:cs="Arial"/>
              </w:rPr>
              <w:t xml:space="preserve">positive feedback </w:t>
            </w:r>
            <w:r w:rsidR="00C20968">
              <w:rPr>
                <w:rFonts w:ascii="Arial" w:hAnsi="Arial" w:cs="Arial"/>
              </w:rPr>
              <w:t xml:space="preserve">received </w:t>
            </w:r>
            <w:r w:rsidR="00D678AA">
              <w:rPr>
                <w:rFonts w:ascii="Arial" w:hAnsi="Arial" w:cs="Arial"/>
              </w:rPr>
              <w:t>from staff.</w:t>
            </w:r>
          </w:p>
          <w:p w:rsidR="00425938" w:rsidRPr="00D43C22" w:rsidRDefault="00425938" w:rsidP="00745D88">
            <w:pPr>
              <w:contextualSpacing/>
              <w:rPr>
                <w:rFonts w:ascii="Arial" w:hAnsi="Arial" w:cs="Arial"/>
              </w:rPr>
            </w:pPr>
          </w:p>
          <w:p w:rsidR="00425938" w:rsidRPr="00D43C22" w:rsidRDefault="00D60E05" w:rsidP="00745D88">
            <w:pPr>
              <w:contextualSpacing/>
              <w:rPr>
                <w:rFonts w:ascii="Arial" w:hAnsi="Arial" w:cs="Arial"/>
                <w:b/>
              </w:rPr>
            </w:pPr>
            <w:r w:rsidRPr="00D43C22">
              <w:rPr>
                <w:rFonts w:ascii="Arial" w:hAnsi="Arial" w:cs="Arial"/>
                <w:b/>
              </w:rPr>
              <w:t>Significant Adverse Events (SAEs)</w:t>
            </w:r>
          </w:p>
          <w:p w:rsidR="00425938" w:rsidRPr="00D43C22" w:rsidRDefault="00425938" w:rsidP="00745D88">
            <w:pPr>
              <w:contextualSpacing/>
              <w:rPr>
                <w:rFonts w:ascii="Arial" w:hAnsi="Arial" w:cs="Arial"/>
              </w:rPr>
            </w:pPr>
          </w:p>
          <w:p w:rsidR="008C5B64" w:rsidRDefault="00563BC4" w:rsidP="00121846">
            <w:pPr>
              <w:contextualSpacing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The Committee w</w:t>
            </w:r>
            <w:r w:rsidR="00F716BE" w:rsidRPr="00D43C22">
              <w:rPr>
                <w:rFonts w:ascii="Arial" w:hAnsi="Arial" w:cs="Arial"/>
              </w:rPr>
              <w:t>ere</w:t>
            </w:r>
            <w:r w:rsidRPr="00D43C22">
              <w:rPr>
                <w:rFonts w:ascii="Arial" w:hAnsi="Arial" w:cs="Arial"/>
              </w:rPr>
              <w:t xml:space="preserve"> provided wi</w:t>
            </w:r>
            <w:r w:rsidR="00C20965" w:rsidRPr="00D43C22">
              <w:rPr>
                <w:rFonts w:ascii="Arial" w:hAnsi="Arial" w:cs="Arial"/>
              </w:rPr>
              <w:t xml:space="preserve">th a Significant Adverse Event </w:t>
            </w:r>
            <w:r w:rsidRPr="00D43C22">
              <w:rPr>
                <w:rFonts w:ascii="Arial" w:hAnsi="Arial" w:cs="Arial"/>
              </w:rPr>
              <w:t xml:space="preserve">(SAEs) overview report.  </w:t>
            </w:r>
          </w:p>
          <w:p w:rsidR="00D678AA" w:rsidRPr="00D43C22" w:rsidRDefault="00D678AA" w:rsidP="00121846">
            <w:pPr>
              <w:contextualSpacing/>
              <w:rPr>
                <w:rFonts w:ascii="Arial" w:hAnsi="Arial" w:cs="Arial"/>
              </w:rPr>
            </w:pPr>
          </w:p>
          <w:p w:rsidR="008C5B64" w:rsidRDefault="00D678AA" w:rsidP="001218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 Adverse Events numbers have risen</w:t>
            </w:r>
            <w:r w:rsidR="00C20968">
              <w:rPr>
                <w:rFonts w:ascii="Arial" w:hAnsi="Arial" w:cs="Arial"/>
              </w:rPr>
              <w:t xml:space="preserve">. The Committee heard of measures in place to consider SAEs, </w:t>
            </w:r>
            <w:r w:rsidR="002B1C68">
              <w:rPr>
                <w:rFonts w:ascii="Arial" w:hAnsi="Arial" w:cs="Arial"/>
              </w:rPr>
              <w:t>and</w:t>
            </w:r>
            <w:r w:rsidR="00C20968">
              <w:rPr>
                <w:rFonts w:ascii="Arial" w:hAnsi="Arial" w:cs="Arial"/>
              </w:rPr>
              <w:t xml:space="preserve"> received assurance that, where case numbers exceeded control parameters, there was explanation available relating to complexity of treatment. SAEs w</w:t>
            </w:r>
            <w:r>
              <w:rPr>
                <w:rFonts w:ascii="Arial" w:hAnsi="Arial" w:cs="Arial"/>
              </w:rPr>
              <w:t>ill be reviewed as part of deep dive presented at the Committee meeting in May 2022.</w:t>
            </w:r>
          </w:p>
          <w:p w:rsidR="00D678AA" w:rsidRDefault="00D678AA" w:rsidP="00121846">
            <w:pPr>
              <w:contextualSpacing/>
              <w:rPr>
                <w:rFonts w:ascii="Arial" w:hAnsi="Arial" w:cs="Arial"/>
              </w:rPr>
            </w:pPr>
          </w:p>
          <w:p w:rsidR="00D678AA" w:rsidRPr="00D678AA" w:rsidRDefault="00D678AA" w:rsidP="00121846">
            <w:pPr>
              <w:contextualSpacing/>
              <w:rPr>
                <w:rFonts w:ascii="Arial" w:hAnsi="Arial" w:cs="Arial"/>
                <w:b/>
              </w:rPr>
            </w:pPr>
            <w:r w:rsidRPr="00D678AA">
              <w:rPr>
                <w:rFonts w:ascii="Arial" w:hAnsi="Arial" w:cs="Arial"/>
                <w:b/>
              </w:rPr>
              <w:t xml:space="preserve">Board Risk Register </w:t>
            </w:r>
          </w:p>
          <w:p w:rsidR="00D678AA" w:rsidRDefault="00D678AA" w:rsidP="00121846">
            <w:pPr>
              <w:contextualSpacing/>
              <w:rPr>
                <w:rFonts w:ascii="Arial" w:hAnsi="Arial" w:cs="Arial"/>
                <w:b/>
                <w:color w:val="FF0000"/>
              </w:rPr>
            </w:pPr>
          </w:p>
          <w:p w:rsidR="00D678AA" w:rsidRPr="00D678AA" w:rsidRDefault="00C20968" w:rsidP="001218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and Risk Committee was requested to consider changes to the</w:t>
            </w:r>
            <w:r w:rsidR="00D678AA" w:rsidRPr="00D678AA">
              <w:rPr>
                <w:rFonts w:ascii="Arial" w:hAnsi="Arial" w:cs="Arial"/>
              </w:rPr>
              <w:t xml:space="preserve"> Risk </w:t>
            </w:r>
            <w:r w:rsidR="002B1C68" w:rsidRPr="00D678AA">
              <w:rPr>
                <w:rFonts w:ascii="Arial" w:hAnsi="Arial" w:cs="Arial"/>
              </w:rPr>
              <w:t xml:space="preserve">Register </w:t>
            </w:r>
            <w:r w:rsidR="002B1C68">
              <w:rPr>
                <w:rFonts w:ascii="Arial" w:hAnsi="Arial" w:cs="Arial"/>
              </w:rPr>
              <w:t>that</w:t>
            </w:r>
            <w:r>
              <w:rPr>
                <w:rFonts w:ascii="Arial" w:hAnsi="Arial" w:cs="Arial"/>
              </w:rPr>
              <w:t xml:space="preserve"> would result in visibility of </w:t>
            </w:r>
            <w:r w:rsidR="00D678AA" w:rsidRPr="00D678AA">
              <w:rPr>
                <w:rFonts w:ascii="Arial" w:hAnsi="Arial" w:cs="Arial"/>
              </w:rPr>
              <w:t>the date of addition of risks to the Board Risk Register and the date of any assurance review of that risk</w:t>
            </w:r>
            <w:r w:rsidR="00D678AA">
              <w:rPr>
                <w:rFonts w:ascii="Arial" w:hAnsi="Arial" w:cs="Arial"/>
              </w:rPr>
              <w:t>.</w:t>
            </w:r>
          </w:p>
          <w:p w:rsidR="00DE6C77" w:rsidRPr="00D43C22" w:rsidRDefault="00DE6C77" w:rsidP="00745D88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</w:tr>
      <w:tr w:rsidR="007D2AE5" w:rsidRPr="00D43C22" w:rsidTr="007E7230">
        <w:tc>
          <w:tcPr>
            <w:tcW w:w="1397" w:type="dxa"/>
          </w:tcPr>
          <w:p w:rsidR="00AE3EFE" w:rsidRPr="00D43C22" w:rsidRDefault="00AE3EFE" w:rsidP="00745D88">
            <w:pPr>
              <w:rPr>
                <w:rFonts w:ascii="Arial" w:hAnsi="Arial" w:cs="Arial"/>
                <w:b/>
                <w:lang w:val="en-US"/>
              </w:rPr>
            </w:pPr>
            <w:r w:rsidRPr="00D43C22">
              <w:rPr>
                <w:rFonts w:ascii="Arial" w:hAnsi="Arial" w:cs="Arial"/>
                <w:b/>
                <w:lang w:val="en-US"/>
              </w:rPr>
              <w:t>Effective</w:t>
            </w: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  <w:p w:rsidR="00AE3EFE" w:rsidRPr="00D43C22" w:rsidRDefault="00AE3EFE" w:rsidP="00745D88">
            <w:pPr>
              <w:rPr>
                <w:rFonts w:ascii="Arial" w:hAnsi="Arial" w:cs="Arial"/>
                <w:color w:val="00B0F0"/>
              </w:rPr>
            </w:pPr>
          </w:p>
        </w:tc>
        <w:tc>
          <w:tcPr>
            <w:tcW w:w="7783" w:type="dxa"/>
          </w:tcPr>
          <w:p w:rsidR="002F17AD" w:rsidRPr="00D43C22" w:rsidRDefault="002F17AD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lastRenderedPageBreak/>
              <w:t xml:space="preserve">Integrated Performance Report </w:t>
            </w:r>
            <w:r w:rsidR="00F34906" w:rsidRPr="00D43C22">
              <w:rPr>
                <w:b/>
              </w:rPr>
              <w:t xml:space="preserve">(IPR) </w:t>
            </w:r>
            <w:r w:rsidR="002F1169">
              <w:rPr>
                <w:b/>
              </w:rPr>
              <w:t>January 2022</w:t>
            </w:r>
          </w:p>
          <w:p w:rsidR="00994526" w:rsidRPr="00D43C22" w:rsidRDefault="00994526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lastRenderedPageBreak/>
              <w:t>HAIRT Report</w:t>
            </w:r>
          </w:p>
          <w:p w:rsidR="00F34906" w:rsidRPr="00D43C22" w:rsidRDefault="00F34906" w:rsidP="00745D88">
            <w:pPr>
              <w:pStyle w:val="ListParagraph"/>
              <w:ind w:left="0"/>
              <w:contextualSpacing/>
              <w:rPr>
                <w:b/>
                <w:color w:val="FF0000"/>
              </w:rPr>
            </w:pPr>
          </w:p>
          <w:p w:rsidR="00F34906" w:rsidRPr="00D43C22" w:rsidRDefault="00F34906" w:rsidP="00745D88">
            <w:pPr>
              <w:pStyle w:val="ListParagraph"/>
              <w:ind w:left="0"/>
              <w:contextualSpacing/>
            </w:pPr>
            <w:r w:rsidRPr="00D43C22">
              <w:t xml:space="preserve">The Committee received and noted the IPR for </w:t>
            </w:r>
            <w:r w:rsidR="00D678AA">
              <w:t>January 2022</w:t>
            </w:r>
            <w:r w:rsidR="00994526" w:rsidRPr="00D43C22">
              <w:t xml:space="preserve">, including the HAIRT </w:t>
            </w:r>
            <w:r w:rsidR="002F1169">
              <w:t xml:space="preserve">December 2021 </w:t>
            </w:r>
            <w:r w:rsidR="00F01600" w:rsidRPr="00D43C22">
              <w:t xml:space="preserve">data </w:t>
            </w:r>
            <w:r w:rsidR="00994526" w:rsidRPr="00D43C22">
              <w:t>Report.</w:t>
            </w:r>
          </w:p>
          <w:p w:rsidR="000578D3" w:rsidRPr="00D43C22" w:rsidRDefault="000578D3" w:rsidP="00745D88">
            <w:pPr>
              <w:pStyle w:val="ListParagraph"/>
              <w:ind w:left="0"/>
              <w:contextualSpacing/>
              <w:rPr>
                <w:b/>
              </w:rPr>
            </w:pPr>
          </w:p>
          <w:p w:rsidR="008C5B64" w:rsidRPr="00D43C22" w:rsidRDefault="008C5B64" w:rsidP="00745D88">
            <w:pPr>
              <w:pStyle w:val="ListParagraph"/>
              <w:ind w:left="0"/>
              <w:contextualSpacing/>
              <w:rPr>
                <w:b/>
              </w:rPr>
            </w:pPr>
          </w:p>
          <w:p w:rsidR="001D56BB" w:rsidRPr="00D43C22" w:rsidRDefault="001D56BB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t xml:space="preserve">Clinical Governance Update </w:t>
            </w:r>
          </w:p>
          <w:p w:rsidR="001D56BB" w:rsidRPr="00D43C22" w:rsidRDefault="001D56BB" w:rsidP="00745D88">
            <w:pPr>
              <w:pStyle w:val="ListParagraph"/>
              <w:ind w:left="0"/>
              <w:contextualSpacing/>
            </w:pPr>
          </w:p>
          <w:p w:rsidR="00425938" w:rsidRPr="00D43C22" w:rsidRDefault="002F1169" w:rsidP="00425938">
            <w:pPr>
              <w:pStyle w:val="ListParagraph"/>
              <w:ind w:left="0"/>
              <w:contextualSpacing/>
            </w:pPr>
            <w:r>
              <w:t>Assuranc</w:t>
            </w:r>
            <w:r w:rsidR="00C20968">
              <w:t>es were made to the Committee that, in respect of</w:t>
            </w:r>
            <w:r>
              <w:t xml:space="preserve"> the number of deaths re</w:t>
            </w:r>
            <w:r w:rsidR="00C20968">
              <w:t>corded in December 2021 breaching</w:t>
            </w:r>
            <w:r>
              <w:t xml:space="preserve"> the upper control limit</w:t>
            </w:r>
            <w:r w:rsidR="00C20968">
              <w:t>,</w:t>
            </w:r>
            <w:r>
              <w:t xml:space="preserve"> each death </w:t>
            </w:r>
            <w:r w:rsidR="00C20968">
              <w:t xml:space="preserve">had been </w:t>
            </w:r>
            <w:r>
              <w:t xml:space="preserve">reviewed as part of the Mortality and Morbidity process with no concerns raised.  The Committee </w:t>
            </w:r>
            <w:r w:rsidR="003402B3">
              <w:t xml:space="preserve">requested </w:t>
            </w:r>
            <w:r>
              <w:t>a</w:t>
            </w:r>
            <w:r w:rsidR="00C20968">
              <w:t xml:space="preserve"> review </w:t>
            </w:r>
            <w:r>
              <w:t>of the Mortality and Morbidity process</w:t>
            </w:r>
            <w:r w:rsidR="00C20968">
              <w:t>, with</w:t>
            </w:r>
            <w:r>
              <w:t xml:space="preserve"> </w:t>
            </w:r>
            <w:r w:rsidR="003402B3">
              <w:t xml:space="preserve">the Deputy Head of Clinical Governance agreed to carry this forward.    </w:t>
            </w:r>
          </w:p>
          <w:p w:rsidR="00425938" w:rsidRPr="00D43C22" w:rsidRDefault="00425938" w:rsidP="00425938">
            <w:pPr>
              <w:pStyle w:val="ListParagraph"/>
              <w:ind w:left="0"/>
              <w:rPr>
                <w:b/>
                <w:color w:val="FF0000"/>
              </w:rPr>
            </w:pPr>
          </w:p>
          <w:p w:rsidR="00425938" w:rsidRPr="00D43C22" w:rsidRDefault="00425938" w:rsidP="00425938">
            <w:pPr>
              <w:pStyle w:val="ListParagraph"/>
              <w:ind w:left="0"/>
              <w:rPr>
                <w:b/>
              </w:rPr>
            </w:pPr>
            <w:r w:rsidRPr="00D43C22">
              <w:rPr>
                <w:b/>
              </w:rPr>
              <w:t xml:space="preserve">HAIRT </w:t>
            </w:r>
          </w:p>
          <w:p w:rsidR="00F01600" w:rsidRPr="00D43C22" w:rsidRDefault="00F01600" w:rsidP="00425938">
            <w:pPr>
              <w:pStyle w:val="ListParagraph"/>
              <w:ind w:left="0"/>
              <w:rPr>
                <w:b/>
              </w:rPr>
            </w:pPr>
          </w:p>
          <w:p w:rsidR="00F01600" w:rsidRPr="00D43C22" w:rsidRDefault="00F01600" w:rsidP="00425938">
            <w:pPr>
              <w:pStyle w:val="ListParagraph"/>
              <w:ind w:left="0"/>
            </w:pPr>
            <w:r w:rsidRPr="00D43C22">
              <w:t xml:space="preserve">SAB’s: </w:t>
            </w:r>
            <w:r w:rsidR="003402B3">
              <w:t xml:space="preserve">None </w:t>
            </w:r>
            <w:r w:rsidRPr="00D43C22">
              <w:t xml:space="preserve">noted </w:t>
            </w:r>
            <w:r w:rsidR="003402B3">
              <w:t xml:space="preserve">during </w:t>
            </w:r>
            <w:r w:rsidRPr="00D43C22">
              <w:t>the reporting period.</w:t>
            </w:r>
          </w:p>
          <w:p w:rsidR="00F01600" w:rsidRPr="00D43C22" w:rsidRDefault="00F01600" w:rsidP="00425938">
            <w:pPr>
              <w:pStyle w:val="ListParagraph"/>
              <w:ind w:left="0"/>
            </w:pPr>
          </w:p>
          <w:p w:rsidR="00F01600" w:rsidRPr="00D43C22" w:rsidRDefault="00F01600" w:rsidP="00425938">
            <w:pPr>
              <w:pStyle w:val="ListParagraph"/>
              <w:ind w:left="0"/>
            </w:pPr>
            <w:r w:rsidRPr="00D43C22">
              <w:t xml:space="preserve">Hand Hygiene Audit continues at 99%. </w:t>
            </w:r>
          </w:p>
          <w:p w:rsidR="0030553B" w:rsidRPr="00D43C22" w:rsidRDefault="0030553B" w:rsidP="0030553B">
            <w:pPr>
              <w:rPr>
                <w:rFonts w:ascii="Arial" w:hAnsi="Arial" w:cs="Arial"/>
              </w:rPr>
            </w:pPr>
          </w:p>
          <w:p w:rsidR="00425938" w:rsidRPr="00D43C22" w:rsidRDefault="0030553B" w:rsidP="0030553B">
            <w:pPr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 xml:space="preserve">SSI:  </w:t>
            </w:r>
            <w:r w:rsidR="003402B3">
              <w:rPr>
                <w:rFonts w:ascii="Arial" w:hAnsi="Arial" w:cs="Arial"/>
              </w:rPr>
              <w:t>Surveillance has been stepped up.  No SSI to report for Orthopaedic and Cardiac surgery.  The Committee noted impressive performance</w:t>
            </w:r>
            <w:r w:rsidR="00556553">
              <w:rPr>
                <w:rFonts w:ascii="Arial" w:hAnsi="Arial" w:cs="Arial"/>
              </w:rPr>
              <w:t xml:space="preserve"> and considered the impact from additional precautions that are in place in</w:t>
            </w:r>
            <w:r w:rsidR="003402B3">
              <w:rPr>
                <w:rFonts w:ascii="Arial" w:hAnsi="Arial" w:cs="Arial"/>
              </w:rPr>
              <w:t xml:space="preserve"> response to COVID19</w:t>
            </w:r>
            <w:r w:rsidR="00556553">
              <w:rPr>
                <w:rFonts w:ascii="Arial" w:hAnsi="Arial" w:cs="Arial"/>
              </w:rPr>
              <w:t>.</w:t>
            </w:r>
          </w:p>
          <w:p w:rsidR="00036FD8" w:rsidRPr="00D43C22" w:rsidRDefault="00036FD8" w:rsidP="00745D88">
            <w:pPr>
              <w:pStyle w:val="ListParagraph"/>
              <w:ind w:left="0"/>
              <w:contextualSpacing/>
            </w:pPr>
          </w:p>
          <w:p w:rsidR="00BB670D" w:rsidRPr="00D43C22" w:rsidRDefault="00BB670D" w:rsidP="00745D88">
            <w:pPr>
              <w:rPr>
                <w:rFonts w:ascii="Arial" w:hAnsi="Arial" w:cs="Arial"/>
                <w:b/>
              </w:rPr>
            </w:pPr>
            <w:r w:rsidRPr="00D43C22">
              <w:rPr>
                <w:rFonts w:ascii="Arial" w:hAnsi="Arial" w:cs="Arial"/>
                <w:b/>
              </w:rPr>
              <w:t>Clinical Department Update (</w:t>
            </w:r>
            <w:r w:rsidR="003402B3">
              <w:rPr>
                <w:rFonts w:ascii="Arial" w:hAnsi="Arial" w:cs="Arial"/>
                <w:b/>
              </w:rPr>
              <w:t>Thoracic Surgery</w:t>
            </w:r>
            <w:r w:rsidRPr="00D43C22">
              <w:rPr>
                <w:rFonts w:ascii="Arial" w:hAnsi="Arial" w:cs="Arial"/>
                <w:b/>
              </w:rPr>
              <w:t>)</w:t>
            </w:r>
          </w:p>
          <w:p w:rsidR="00745D88" w:rsidRPr="00D43C22" w:rsidRDefault="00745D88" w:rsidP="00745D88">
            <w:pPr>
              <w:ind w:left="-38"/>
              <w:rPr>
                <w:rFonts w:ascii="Arial" w:hAnsi="Arial" w:cs="Arial"/>
              </w:rPr>
            </w:pPr>
          </w:p>
          <w:p w:rsidR="00B130E8" w:rsidRPr="00D43C22" w:rsidRDefault="00556553" w:rsidP="00745D88">
            <w:pPr>
              <w:ind w:left="-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</w:t>
            </w:r>
            <w:r w:rsidR="003402B3">
              <w:rPr>
                <w:rFonts w:ascii="Arial" w:hAnsi="Arial" w:cs="Arial"/>
              </w:rPr>
              <w:t xml:space="preserve">Alan Kirk, Thoracic Surgeon </w:t>
            </w:r>
            <w:r w:rsidR="0097023F" w:rsidRPr="00D43C22">
              <w:rPr>
                <w:rFonts w:ascii="Arial" w:hAnsi="Arial" w:cs="Arial"/>
              </w:rPr>
              <w:t xml:space="preserve">attended the meeting and gave a presentation on </w:t>
            </w:r>
            <w:r w:rsidR="00BB670D" w:rsidRPr="00D43C22">
              <w:rPr>
                <w:rFonts w:ascii="Arial" w:hAnsi="Arial" w:cs="Arial"/>
              </w:rPr>
              <w:t xml:space="preserve">the work of the </w:t>
            </w:r>
            <w:r w:rsidR="003402B3">
              <w:rPr>
                <w:rFonts w:ascii="Arial" w:hAnsi="Arial" w:cs="Arial"/>
              </w:rPr>
              <w:t>Thoracic S</w:t>
            </w:r>
            <w:r>
              <w:rPr>
                <w:rFonts w:ascii="Arial" w:hAnsi="Arial" w:cs="Arial"/>
              </w:rPr>
              <w:t>ervice</w:t>
            </w:r>
            <w:r w:rsidR="00BB670D" w:rsidRPr="00D43C22">
              <w:rPr>
                <w:rFonts w:ascii="Arial" w:hAnsi="Arial" w:cs="Arial"/>
              </w:rPr>
              <w:t xml:space="preserve">.  </w:t>
            </w:r>
          </w:p>
          <w:p w:rsidR="00B130E8" w:rsidRPr="00D43C22" w:rsidRDefault="00B130E8" w:rsidP="00745D88">
            <w:pPr>
              <w:ind w:left="-38"/>
              <w:rPr>
                <w:rFonts w:ascii="Arial" w:hAnsi="Arial" w:cs="Arial"/>
              </w:rPr>
            </w:pPr>
          </w:p>
          <w:p w:rsidR="00BB670D" w:rsidRPr="00D43C22" w:rsidRDefault="00B130E8" w:rsidP="00745D88">
            <w:pPr>
              <w:ind w:left="-38"/>
              <w:rPr>
                <w:rFonts w:ascii="Arial" w:hAnsi="Arial" w:cs="Arial"/>
              </w:rPr>
            </w:pPr>
            <w:r w:rsidRPr="00D43C22">
              <w:rPr>
                <w:rFonts w:ascii="Arial" w:hAnsi="Arial" w:cs="Arial"/>
              </w:rPr>
              <w:t>The unit follows a comprehensive Clinical Governance process.  The Governance meetings are well attended and represented.</w:t>
            </w:r>
          </w:p>
          <w:p w:rsidR="00CB1DDE" w:rsidRDefault="00CB1DDE" w:rsidP="00261327">
            <w:pPr>
              <w:rPr>
                <w:rFonts w:ascii="Arial" w:hAnsi="Arial" w:cs="Arial"/>
              </w:rPr>
            </w:pPr>
          </w:p>
          <w:p w:rsidR="003402B3" w:rsidRDefault="003402B3" w:rsidP="002613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Committee welcomed discussion of </w:t>
            </w:r>
            <w:r w:rsidR="00C20968">
              <w:rPr>
                <w:rFonts w:ascii="Arial" w:hAnsi="Arial" w:cs="Arial"/>
              </w:rPr>
              <w:t>emerging</w:t>
            </w:r>
            <w:r>
              <w:rPr>
                <w:rFonts w:ascii="Arial" w:hAnsi="Arial" w:cs="Arial"/>
              </w:rPr>
              <w:t xml:space="preserve"> screening programme</w:t>
            </w:r>
            <w:r w:rsidR="00C20968">
              <w:rPr>
                <w:rFonts w:ascii="Arial" w:hAnsi="Arial" w:cs="Arial"/>
              </w:rPr>
              <w:t>s, particularly relating to lung cancer,</w:t>
            </w:r>
            <w:r w:rsidR="009E3BB1">
              <w:rPr>
                <w:rFonts w:ascii="Arial" w:hAnsi="Arial" w:cs="Arial"/>
              </w:rPr>
              <w:t xml:space="preserve"> and noted this was in very early stages of development.  </w:t>
            </w:r>
          </w:p>
          <w:p w:rsidR="003402B3" w:rsidRPr="00D43C22" w:rsidRDefault="003402B3" w:rsidP="00261327">
            <w:pPr>
              <w:rPr>
                <w:rFonts w:ascii="Arial" w:hAnsi="Arial" w:cs="Arial"/>
              </w:rPr>
            </w:pPr>
          </w:p>
          <w:p w:rsidR="000012D2" w:rsidRDefault="003402B3" w:rsidP="00745D88">
            <w:pPr>
              <w:ind w:left="-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Committee commended the ongoing work of the staff.</w:t>
            </w:r>
          </w:p>
          <w:p w:rsidR="009E3BB1" w:rsidRDefault="009E3BB1" w:rsidP="00745D88">
            <w:pPr>
              <w:ind w:left="-38"/>
              <w:rPr>
                <w:rFonts w:ascii="Arial" w:hAnsi="Arial" w:cs="Arial"/>
              </w:rPr>
            </w:pPr>
          </w:p>
          <w:p w:rsidR="009E3BB1" w:rsidRPr="009E3BB1" w:rsidRDefault="009E3BB1" w:rsidP="00745D88">
            <w:pPr>
              <w:ind w:left="-38"/>
              <w:rPr>
                <w:rFonts w:ascii="Arial" w:hAnsi="Arial" w:cs="Arial"/>
                <w:b/>
              </w:rPr>
            </w:pPr>
            <w:r w:rsidRPr="009E3BB1">
              <w:rPr>
                <w:rFonts w:ascii="Arial" w:hAnsi="Arial" w:cs="Arial"/>
                <w:b/>
              </w:rPr>
              <w:t>Pressure Ulcer Group Update</w:t>
            </w:r>
          </w:p>
          <w:p w:rsidR="006C2BCA" w:rsidRDefault="006C2BCA" w:rsidP="009E3BB1">
            <w:pPr>
              <w:ind w:left="-38"/>
              <w:rPr>
                <w:b/>
                <w:color w:val="FF0000"/>
                <w:lang w:val="en-US"/>
              </w:rPr>
            </w:pPr>
          </w:p>
          <w:p w:rsidR="009E3BB1" w:rsidRPr="009E3BB1" w:rsidRDefault="009E3BB1" w:rsidP="009E3BB1">
            <w:pPr>
              <w:ind w:left="-38"/>
              <w:rPr>
                <w:rFonts w:ascii="Arial" w:hAnsi="Arial" w:cs="Arial"/>
                <w:lang w:val="en-US"/>
              </w:rPr>
            </w:pPr>
            <w:r w:rsidRPr="009E3BB1">
              <w:rPr>
                <w:rFonts w:ascii="Arial" w:hAnsi="Arial" w:cs="Arial"/>
                <w:lang w:val="en-US"/>
              </w:rPr>
              <w:t>The Committee welcomed Craig Kingstree, Head of Nursing for Heart and Lung Division to present review of the Pressure Ulcer Improvement Group.</w:t>
            </w:r>
          </w:p>
          <w:p w:rsidR="009E3BB1" w:rsidRPr="009E3BB1" w:rsidRDefault="009E3BB1" w:rsidP="009E3BB1">
            <w:pPr>
              <w:ind w:left="-38"/>
              <w:rPr>
                <w:rFonts w:ascii="Arial" w:hAnsi="Arial" w:cs="Arial"/>
                <w:lang w:val="en-US"/>
              </w:rPr>
            </w:pPr>
          </w:p>
          <w:p w:rsidR="009E3BB1" w:rsidRPr="009E3BB1" w:rsidRDefault="009E3BB1" w:rsidP="009E3BB1">
            <w:pPr>
              <w:ind w:left="-38"/>
              <w:rPr>
                <w:rFonts w:ascii="Arial" w:hAnsi="Arial" w:cs="Arial"/>
                <w:lang w:val="en-US"/>
              </w:rPr>
            </w:pPr>
            <w:r w:rsidRPr="009E3BB1">
              <w:rPr>
                <w:rFonts w:ascii="Arial" w:hAnsi="Arial" w:cs="Arial"/>
                <w:lang w:val="en-US"/>
              </w:rPr>
              <w:t>The group was on hold during COVID19 however was re-established in Spring 2021.</w:t>
            </w:r>
          </w:p>
          <w:p w:rsidR="009E3BB1" w:rsidRPr="009E3BB1" w:rsidRDefault="009E3BB1" w:rsidP="009E3BB1">
            <w:pPr>
              <w:ind w:left="-38"/>
              <w:rPr>
                <w:rFonts w:ascii="Arial" w:hAnsi="Arial" w:cs="Arial"/>
                <w:lang w:val="en-US"/>
              </w:rPr>
            </w:pPr>
          </w:p>
          <w:p w:rsidR="009E3BB1" w:rsidRPr="009E3BB1" w:rsidRDefault="009E3BB1" w:rsidP="009E3BB1">
            <w:pPr>
              <w:ind w:left="-38"/>
              <w:rPr>
                <w:rFonts w:ascii="Arial" w:hAnsi="Arial" w:cs="Arial"/>
                <w:lang w:val="en-US"/>
              </w:rPr>
            </w:pPr>
            <w:r w:rsidRPr="009E3BB1">
              <w:rPr>
                <w:rFonts w:ascii="Arial" w:hAnsi="Arial" w:cs="Arial"/>
                <w:lang w:val="en-US"/>
              </w:rPr>
              <w:lastRenderedPageBreak/>
              <w:t>The Committee noted the work undertaken in 2021 and the work</w:t>
            </w:r>
            <w:r w:rsidR="00C20968">
              <w:rPr>
                <w:rFonts w:ascii="Arial" w:hAnsi="Arial" w:cs="Arial"/>
                <w:lang w:val="en-US"/>
              </w:rPr>
              <w:t>-</w:t>
            </w:r>
            <w:r w:rsidRPr="009E3BB1">
              <w:rPr>
                <w:rFonts w:ascii="Arial" w:hAnsi="Arial" w:cs="Arial"/>
                <w:lang w:val="en-US"/>
              </w:rPr>
              <w:t>plan for 2022.</w:t>
            </w:r>
          </w:p>
          <w:p w:rsidR="009E3BB1" w:rsidRPr="009E3BB1" w:rsidRDefault="009E3BB1" w:rsidP="009E3BB1">
            <w:pPr>
              <w:ind w:left="-38"/>
              <w:rPr>
                <w:rFonts w:ascii="Arial" w:hAnsi="Arial" w:cs="Arial"/>
                <w:lang w:val="en-US"/>
              </w:rPr>
            </w:pPr>
          </w:p>
          <w:p w:rsidR="009E3BB1" w:rsidRDefault="009E3BB1" w:rsidP="009E3BB1">
            <w:pPr>
              <w:ind w:left="-38"/>
              <w:rPr>
                <w:b/>
                <w:color w:val="FF0000"/>
                <w:lang w:val="en-US"/>
              </w:rPr>
            </w:pPr>
            <w:r w:rsidRPr="009E3BB1">
              <w:rPr>
                <w:rFonts w:ascii="Arial" w:hAnsi="Arial" w:cs="Arial"/>
                <w:lang w:val="en-US"/>
              </w:rPr>
              <w:t xml:space="preserve">The Committee welcomed ongoing improvements that have been made and thanked the team for their commitment. </w:t>
            </w:r>
            <w:r>
              <w:rPr>
                <w:b/>
                <w:color w:val="FF0000"/>
                <w:lang w:val="en-US"/>
              </w:rPr>
              <w:t xml:space="preserve"> </w:t>
            </w:r>
          </w:p>
          <w:p w:rsidR="009E3BB1" w:rsidRDefault="009E3BB1" w:rsidP="009E3BB1">
            <w:pPr>
              <w:ind w:left="-38"/>
              <w:rPr>
                <w:b/>
                <w:color w:val="FF0000"/>
                <w:lang w:val="en-US"/>
              </w:rPr>
            </w:pPr>
          </w:p>
          <w:p w:rsidR="009E3BB1" w:rsidRPr="009E3BB1" w:rsidRDefault="009E3BB1" w:rsidP="009E3BB1">
            <w:pPr>
              <w:rPr>
                <w:rFonts w:ascii="Arial" w:hAnsi="Arial" w:cs="Arial"/>
                <w:b/>
                <w:lang w:val="en-US"/>
              </w:rPr>
            </w:pPr>
            <w:r w:rsidRPr="009E3BB1">
              <w:rPr>
                <w:rFonts w:ascii="Arial" w:hAnsi="Arial" w:cs="Arial"/>
                <w:b/>
                <w:lang w:val="en-US"/>
              </w:rPr>
              <w:t xml:space="preserve">Clinical Governance Terms of Reference </w:t>
            </w:r>
          </w:p>
          <w:p w:rsidR="009E3BB1" w:rsidRPr="009E3BB1" w:rsidRDefault="009E3BB1" w:rsidP="009E3BB1">
            <w:pPr>
              <w:rPr>
                <w:rFonts w:ascii="Arial" w:hAnsi="Arial" w:cs="Arial"/>
                <w:lang w:val="en-US"/>
              </w:rPr>
            </w:pPr>
          </w:p>
          <w:p w:rsidR="009E3BB1" w:rsidRDefault="009E3BB1" w:rsidP="009E3BB1">
            <w:pPr>
              <w:rPr>
                <w:rFonts w:ascii="Arial" w:hAnsi="Arial" w:cs="Arial"/>
              </w:rPr>
            </w:pPr>
            <w:r w:rsidRPr="009E3BB1">
              <w:rPr>
                <w:rFonts w:ascii="Arial" w:hAnsi="Arial" w:cs="Arial"/>
                <w:lang w:val="en-US"/>
              </w:rPr>
              <w:t xml:space="preserve">The Committee welcomed and approved the Terms of Reference for </w:t>
            </w:r>
            <w:r w:rsidRPr="009E3BB1">
              <w:rPr>
                <w:rFonts w:ascii="Arial" w:hAnsi="Arial" w:cs="Arial"/>
              </w:rPr>
              <w:t>2022/2023</w:t>
            </w:r>
            <w:r>
              <w:rPr>
                <w:rFonts w:ascii="Arial" w:hAnsi="Arial" w:cs="Arial"/>
              </w:rPr>
              <w:t>.</w:t>
            </w:r>
          </w:p>
          <w:p w:rsidR="009E3BB1" w:rsidRPr="00D43C22" w:rsidRDefault="009E3BB1" w:rsidP="009E3BB1">
            <w:pPr>
              <w:rPr>
                <w:b/>
                <w:color w:val="FF0000"/>
                <w:lang w:val="en-US"/>
              </w:rPr>
            </w:pPr>
          </w:p>
        </w:tc>
      </w:tr>
      <w:tr w:rsidR="00770262" w:rsidRPr="00D43C22" w:rsidTr="007E7230">
        <w:tc>
          <w:tcPr>
            <w:tcW w:w="1397" w:type="dxa"/>
          </w:tcPr>
          <w:p w:rsidR="00770262" w:rsidRPr="00D43C22" w:rsidRDefault="00770262" w:rsidP="00745D88">
            <w:pPr>
              <w:rPr>
                <w:rFonts w:ascii="Arial" w:hAnsi="Arial" w:cs="Arial"/>
                <w:b/>
                <w:lang w:val="en-US"/>
              </w:rPr>
            </w:pPr>
            <w:r w:rsidRPr="00D43C22">
              <w:rPr>
                <w:rFonts w:ascii="Arial" w:hAnsi="Arial" w:cs="Arial"/>
                <w:b/>
                <w:lang w:val="en-US"/>
              </w:rPr>
              <w:lastRenderedPageBreak/>
              <w:t xml:space="preserve">Person Centred </w:t>
            </w:r>
          </w:p>
        </w:tc>
        <w:tc>
          <w:tcPr>
            <w:tcW w:w="7783" w:type="dxa"/>
          </w:tcPr>
          <w:p w:rsidR="00770262" w:rsidRPr="00D43C22" w:rsidRDefault="00D822E8" w:rsidP="00745D88">
            <w:pPr>
              <w:pStyle w:val="ListParagraph"/>
              <w:ind w:left="0"/>
              <w:contextualSpacing/>
              <w:rPr>
                <w:b/>
              </w:rPr>
            </w:pPr>
            <w:r w:rsidRPr="00D43C22">
              <w:rPr>
                <w:b/>
              </w:rPr>
              <w:t xml:space="preserve">Whistleblowing Q2 Update </w:t>
            </w:r>
          </w:p>
          <w:p w:rsidR="00D43C22" w:rsidRDefault="00D43C22" w:rsidP="00745D88">
            <w:pPr>
              <w:pStyle w:val="ListParagraph"/>
              <w:ind w:left="0"/>
              <w:contextualSpacing/>
            </w:pPr>
          </w:p>
          <w:p w:rsidR="00D822E8" w:rsidRDefault="00D822E8" w:rsidP="009E3BB1">
            <w:pPr>
              <w:pStyle w:val="ListParagraph"/>
              <w:ind w:left="0"/>
              <w:contextualSpacing/>
            </w:pPr>
            <w:r w:rsidRPr="00D43C22">
              <w:t xml:space="preserve">No incidents </w:t>
            </w:r>
            <w:r w:rsidR="009E3BB1">
              <w:t xml:space="preserve">were reported.  </w:t>
            </w:r>
          </w:p>
          <w:p w:rsidR="00BA4D28" w:rsidRDefault="00BA4D28" w:rsidP="009E3BB1">
            <w:pPr>
              <w:pStyle w:val="ListParagraph"/>
              <w:ind w:left="0"/>
              <w:contextualSpacing/>
            </w:pPr>
          </w:p>
          <w:p w:rsidR="00BA4D28" w:rsidRDefault="00BA4D28" w:rsidP="009E3BB1">
            <w:pPr>
              <w:pStyle w:val="ListParagraph"/>
              <w:ind w:left="0"/>
              <w:contextualSpacing/>
            </w:pPr>
            <w:r>
              <w:t>The Whistleblowing Champion for the Board will</w:t>
            </w:r>
            <w:r w:rsidR="00C20968">
              <w:t xml:space="preserve"> attend</w:t>
            </w:r>
            <w:r>
              <w:t xml:space="preserve"> </w:t>
            </w:r>
            <w:r w:rsidR="00C20968">
              <w:t xml:space="preserve">a </w:t>
            </w:r>
            <w:r>
              <w:t>National meeting on 15 March 2022.</w:t>
            </w:r>
          </w:p>
          <w:p w:rsidR="009E3BB1" w:rsidRPr="00D43C22" w:rsidRDefault="009E3BB1" w:rsidP="009E3BB1">
            <w:pPr>
              <w:pStyle w:val="ListParagraph"/>
              <w:ind w:left="0"/>
              <w:contextualSpacing/>
            </w:pPr>
          </w:p>
        </w:tc>
      </w:tr>
    </w:tbl>
    <w:p w:rsidR="008D1191" w:rsidRPr="00745D88" w:rsidRDefault="008D1191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00B0F0"/>
          <w:lang w:val="en-US"/>
        </w:rPr>
      </w:pPr>
    </w:p>
    <w:p w:rsidR="007D6129" w:rsidRDefault="006D232B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auto"/>
          <w:lang w:val="en-US"/>
        </w:rPr>
      </w:pPr>
      <w:r w:rsidRPr="00745D88">
        <w:rPr>
          <w:rFonts w:hAnsi="Arial" w:cs="Arial"/>
          <w:color w:val="auto"/>
          <w:lang w:val="en-US"/>
        </w:rPr>
        <w:t>The n</w:t>
      </w:r>
      <w:r w:rsidR="00914107" w:rsidRPr="00745D88">
        <w:rPr>
          <w:rFonts w:hAnsi="Arial" w:cs="Arial"/>
          <w:color w:val="auto"/>
          <w:lang w:val="en-US"/>
        </w:rPr>
        <w:t>ext meeting is scheduled for</w:t>
      </w:r>
      <w:r w:rsidR="00770262">
        <w:rPr>
          <w:rFonts w:hAnsi="Arial" w:cs="Arial"/>
          <w:color w:val="auto"/>
          <w:lang w:val="en-US"/>
        </w:rPr>
        <w:t xml:space="preserve"> Thursday </w:t>
      </w:r>
      <w:r w:rsidR="00BA4D28">
        <w:rPr>
          <w:rFonts w:hAnsi="Arial" w:cs="Arial"/>
          <w:color w:val="auto"/>
          <w:lang w:val="en-US"/>
        </w:rPr>
        <w:t>12</w:t>
      </w:r>
      <w:r w:rsidR="00FB37C4" w:rsidRPr="00745D88">
        <w:rPr>
          <w:rFonts w:hAnsi="Arial" w:cs="Arial"/>
          <w:color w:val="auto"/>
          <w:lang w:val="en-US"/>
        </w:rPr>
        <w:t xml:space="preserve"> </w:t>
      </w:r>
      <w:r w:rsidR="00770262">
        <w:rPr>
          <w:rFonts w:hAnsi="Arial" w:cs="Arial"/>
          <w:color w:val="auto"/>
          <w:lang w:val="en-US"/>
        </w:rPr>
        <w:t>Ma</w:t>
      </w:r>
      <w:r w:rsidR="00BA4D28">
        <w:rPr>
          <w:rFonts w:hAnsi="Arial" w:cs="Arial"/>
          <w:color w:val="auto"/>
          <w:lang w:val="en-US"/>
        </w:rPr>
        <w:t>y</w:t>
      </w:r>
      <w:r w:rsidR="00770262">
        <w:rPr>
          <w:rFonts w:hAnsi="Arial" w:cs="Arial"/>
          <w:color w:val="auto"/>
          <w:lang w:val="en-US"/>
        </w:rPr>
        <w:t xml:space="preserve"> </w:t>
      </w:r>
      <w:r w:rsidR="00FB37C4" w:rsidRPr="00745D88">
        <w:rPr>
          <w:rFonts w:hAnsi="Arial" w:cs="Arial"/>
          <w:color w:val="auto"/>
          <w:lang w:val="en-US"/>
        </w:rPr>
        <w:t>2022</w:t>
      </w:r>
      <w:r w:rsidR="00BB71B6" w:rsidRPr="00745D88">
        <w:rPr>
          <w:rFonts w:hAnsi="Arial" w:cs="Arial"/>
          <w:color w:val="auto"/>
          <w:lang w:val="en-US"/>
        </w:rPr>
        <w:t>.</w:t>
      </w:r>
    </w:p>
    <w:p w:rsidR="00745D88" w:rsidRPr="00745D88" w:rsidRDefault="00745D88" w:rsidP="009141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num" w:pos="720"/>
          <w:tab w:val="left" w:pos="5580"/>
          <w:tab w:val="left" w:pos="7740"/>
        </w:tabs>
        <w:rPr>
          <w:rFonts w:hAnsi="Arial" w:cs="Arial"/>
          <w:color w:val="auto"/>
          <w:lang w:val="en-US"/>
        </w:rPr>
      </w:pPr>
    </w:p>
    <w:p w:rsidR="00E95F55" w:rsidRPr="00745D88" w:rsidRDefault="008B1AF8" w:rsidP="00E95F55">
      <w:pPr>
        <w:pStyle w:val="ListParagraph"/>
        <w:numPr>
          <w:ilvl w:val="0"/>
          <w:numId w:val="23"/>
        </w:numPr>
        <w:tabs>
          <w:tab w:val="left" w:pos="9192"/>
        </w:tabs>
        <w:ind w:right="-22"/>
        <w:rPr>
          <w:b/>
          <w:bCs/>
        </w:rPr>
      </w:pPr>
      <w:r w:rsidRPr="00745D88">
        <w:rPr>
          <w:b/>
          <w:bCs/>
        </w:rPr>
        <w:t xml:space="preserve"> </w:t>
      </w:r>
      <w:r w:rsidR="00E95F55" w:rsidRPr="00745D88">
        <w:rPr>
          <w:b/>
          <w:bCs/>
        </w:rPr>
        <w:t xml:space="preserve">Recommendation </w:t>
      </w:r>
    </w:p>
    <w:p w:rsidR="00BB71B6" w:rsidRPr="00745D88" w:rsidRDefault="00BB71B6" w:rsidP="00506517">
      <w:pPr>
        <w:ind w:right="183"/>
        <w:rPr>
          <w:rFonts w:ascii="Arial" w:hAnsi="Arial" w:cs="Arial"/>
          <w:bCs/>
        </w:rPr>
      </w:pPr>
    </w:p>
    <w:p w:rsidR="00E95F55" w:rsidRPr="00745D88" w:rsidRDefault="008D1191" w:rsidP="00506517">
      <w:pPr>
        <w:ind w:right="183"/>
        <w:rPr>
          <w:rFonts w:ascii="Arial" w:hAnsi="Arial" w:cs="Arial"/>
          <w:bCs/>
        </w:rPr>
      </w:pPr>
      <w:r w:rsidRPr="00745D88">
        <w:rPr>
          <w:rFonts w:ascii="Arial" w:hAnsi="Arial" w:cs="Arial"/>
          <w:bCs/>
        </w:rPr>
        <w:t xml:space="preserve">Board </w:t>
      </w:r>
      <w:r w:rsidR="00E95F55" w:rsidRPr="00745D88">
        <w:rPr>
          <w:rFonts w:ascii="Arial" w:hAnsi="Arial" w:cs="Arial"/>
          <w:bCs/>
        </w:rPr>
        <w:t>Members are asked to note the Clinical Governance Committee update.</w:t>
      </w:r>
    </w:p>
    <w:p w:rsidR="00E95F55" w:rsidRPr="00745D88" w:rsidRDefault="00E95F55" w:rsidP="00506517">
      <w:pPr>
        <w:ind w:right="183"/>
        <w:rPr>
          <w:rFonts w:ascii="Arial" w:hAnsi="Arial" w:cs="Arial"/>
          <w:bCs/>
        </w:rPr>
      </w:pPr>
    </w:p>
    <w:p w:rsidR="003131CF" w:rsidRDefault="003131CF" w:rsidP="00914107">
      <w:pPr>
        <w:ind w:left="-540" w:right="183" w:firstLine="540"/>
        <w:rPr>
          <w:rFonts w:ascii="Arial" w:hAnsi="Arial" w:cs="Arial"/>
          <w:b/>
          <w:bCs/>
        </w:rPr>
      </w:pPr>
    </w:p>
    <w:p w:rsidR="00914107" w:rsidRPr="00745D88" w:rsidRDefault="00C614DB" w:rsidP="00914107">
      <w:pPr>
        <w:ind w:left="-540" w:right="183" w:firstLine="540"/>
        <w:rPr>
          <w:rFonts w:ascii="Arial" w:hAnsi="Arial" w:cs="Arial"/>
          <w:b/>
          <w:bCs/>
        </w:rPr>
      </w:pPr>
      <w:r w:rsidRPr="00745D88">
        <w:rPr>
          <w:rFonts w:ascii="Arial" w:hAnsi="Arial" w:cs="Arial"/>
          <w:b/>
          <w:bCs/>
        </w:rPr>
        <w:t xml:space="preserve">Morag Brown </w:t>
      </w:r>
    </w:p>
    <w:p w:rsidR="001175E5" w:rsidRPr="00C20965" w:rsidRDefault="00BF60F1" w:rsidP="00BF60F1">
      <w:pPr>
        <w:ind w:right="183"/>
        <w:rPr>
          <w:rFonts w:ascii="Arial" w:hAnsi="Arial" w:cs="Arial"/>
          <w:b/>
          <w:bCs/>
        </w:rPr>
      </w:pPr>
      <w:r w:rsidRPr="00C20965">
        <w:rPr>
          <w:rFonts w:ascii="Arial" w:hAnsi="Arial" w:cs="Arial"/>
          <w:b/>
          <w:bCs/>
        </w:rPr>
        <w:t>Chair, Clinical Governance Committee</w:t>
      </w:r>
    </w:p>
    <w:p w:rsidR="00506517" w:rsidRPr="00C20965" w:rsidRDefault="00986F09" w:rsidP="00506517">
      <w:pPr>
        <w:ind w:right="183"/>
        <w:rPr>
          <w:rFonts w:ascii="Arial" w:hAnsi="Arial" w:cs="Arial"/>
          <w:b/>
          <w:lang w:val="en-US"/>
        </w:rPr>
      </w:pPr>
      <w:r w:rsidRPr="00C20965">
        <w:rPr>
          <w:rFonts w:ascii="Arial" w:hAnsi="Arial" w:cs="Arial"/>
          <w:b/>
          <w:lang w:val="en-US"/>
        </w:rPr>
        <w:t xml:space="preserve">3 </w:t>
      </w:r>
      <w:r w:rsidR="00BA4D28">
        <w:rPr>
          <w:rFonts w:ascii="Arial" w:hAnsi="Arial" w:cs="Arial"/>
          <w:b/>
          <w:lang w:val="en-US"/>
        </w:rPr>
        <w:t xml:space="preserve">March </w:t>
      </w:r>
      <w:r w:rsidRPr="00C20965">
        <w:rPr>
          <w:rFonts w:ascii="Arial" w:hAnsi="Arial" w:cs="Arial"/>
          <w:b/>
          <w:lang w:val="en-US"/>
        </w:rPr>
        <w:t>2022</w:t>
      </w:r>
    </w:p>
    <w:sectPr w:rsidR="00506517" w:rsidRPr="00C20965" w:rsidSect="00C373CC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644" w:rsidRDefault="00EF7644">
      <w:r>
        <w:separator/>
      </w:r>
    </w:p>
  </w:endnote>
  <w:endnote w:type="continuationSeparator" w:id="0">
    <w:p w:rsidR="00EF7644" w:rsidRDefault="00EF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DB0" w:rsidRPr="00513DB0" w:rsidRDefault="004A07D7" w:rsidP="00513DB0">
    <w:pPr>
      <w:ind w:left="-540"/>
      <w:jc w:val="center"/>
      <w:rPr>
        <w:rFonts w:ascii="Arial" w:hAnsi="Arial" w:cs="Arial"/>
        <w:sz w:val="20"/>
        <w:szCs w:val="20"/>
      </w:rPr>
    </w:pPr>
    <w:r w:rsidRPr="00513DB0">
      <w:rPr>
        <w:rStyle w:val="PageNumber"/>
        <w:rFonts w:ascii="Arial" w:hAnsi="Arial" w:cs="Arial"/>
      </w:rPr>
      <w:fldChar w:fldCharType="begin"/>
    </w:r>
    <w:r w:rsidR="00513DB0"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552EF4">
      <w:rPr>
        <w:rStyle w:val="PageNumber"/>
        <w:rFonts w:ascii="Arial" w:hAnsi="Arial" w:cs="Arial"/>
        <w:noProof/>
      </w:rPr>
      <w:t>3</w:t>
    </w:r>
    <w:r w:rsidRPr="00513DB0">
      <w:rPr>
        <w:rStyle w:val="PageNumber"/>
        <w:rFonts w:ascii="Arial" w:hAnsi="Arial" w:cs="Arial"/>
      </w:rPr>
      <w:fldChar w:fldCharType="end"/>
    </w:r>
  </w:p>
  <w:p w:rsidR="00C373CC" w:rsidRDefault="00C373CC" w:rsidP="00C373CC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</w:p>
  <w:p w:rsidR="00C373CC" w:rsidRPr="00B732D1" w:rsidRDefault="00DB409B" w:rsidP="00724610">
    <w:pPr>
      <w:pStyle w:val="Title"/>
      <w:ind w:right="184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NHS </w:t>
    </w:r>
    <w:r w:rsidR="00C373CC" w:rsidRPr="008F5DB5">
      <w:rPr>
        <w:rFonts w:ascii="Arial" w:hAnsi="Arial" w:cs="Arial"/>
        <w:sz w:val="18"/>
        <w:szCs w:val="18"/>
      </w:rPr>
      <w:t xml:space="preserve">Golden Jubilee is the </w:t>
    </w:r>
    <w:r w:rsidR="00C373CC">
      <w:rPr>
        <w:rFonts w:ascii="Arial" w:hAnsi="Arial" w:cs="Arial"/>
        <w:sz w:val="18"/>
        <w:szCs w:val="18"/>
      </w:rPr>
      <w:t>brand</w:t>
    </w:r>
    <w:r w:rsidR="00C373CC" w:rsidRPr="008F5DB5">
      <w:rPr>
        <w:rFonts w:ascii="Arial" w:hAnsi="Arial" w:cs="Arial"/>
        <w:sz w:val="18"/>
        <w:szCs w:val="18"/>
      </w:rPr>
      <w:t xml:space="preserve"> name for the NHS National Waiting Times Centre</w:t>
    </w:r>
    <w:r w:rsidR="00C373CC">
      <w:rPr>
        <w:rFonts w:ascii="Arial" w:hAnsi="Arial" w:cs="Arial"/>
        <w:sz w:val="18"/>
        <w:szCs w:val="18"/>
      </w:rPr>
      <w:t>.</w:t>
    </w:r>
  </w:p>
  <w:p w:rsidR="00075AAA" w:rsidRPr="001A624A" w:rsidRDefault="00075AAA" w:rsidP="00C373CC">
    <w:pPr>
      <w:pStyle w:val="Title"/>
      <w:ind w:left="-540" w:right="184"/>
      <w:jc w:val="left"/>
      <w:outlineLvl w:val="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644" w:rsidRDefault="00EF7644">
      <w:r>
        <w:separator/>
      </w:r>
    </w:p>
  </w:footnote>
  <w:footnote w:type="continuationSeparator" w:id="0">
    <w:p w:rsidR="00EF7644" w:rsidRDefault="00EF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C22" w:rsidRPr="00D43C22" w:rsidRDefault="00D43C22" w:rsidP="00D43C22">
    <w:pPr>
      <w:pStyle w:val="Header"/>
      <w:jc w:val="right"/>
      <w:rPr>
        <w:rFonts w:ascii="Arial" w:hAnsi="Arial" w:cs="Arial"/>
        <w:b/>
        <w:color w:val="0070C0"/>
      </w:rPr>
    </w:pPr>
    <w:r w:rsidRPr="00D43C22">
      <w:rPr>
        <w:rFonts w:ascii="Arial" w:hAnsi="Arial" w:cs="Arial"/>
        <w:b/>
        <w:color w:val="0070C0"/>
      </w:rPr>
      <w:t>Item 5.2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99E"/>
    <w:multiLevelType w:val="hybridMultilevel"/>
    <w:tmpl w:val="752A5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43B"/>
    <w:multiLevelType w:val="hybridMultilevel"/>
    <w:tmpl w:val="124C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7BAB"/>
    <w:multiLevelType w:val="hybridMultilevel"/>
    <w:tmpl w:val="9524F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DC25B0"/>
    <w:multiLevelType w:val="hybridMultilevel"/>
    <w:tmpl w:val="0570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E3D71"/>
    <w:multiLevelType w:val="hybridMultilevel"/>
    <w:tmpl w:val="1926454E"/>
    <w:lvl w:ilvl="0" w:tplc="34D406F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5D7A"/>
    <w:multiLevelType w:val="multilevel"/>
    <w:tmpl w:val="03D672A0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4" w:hanging="1800"/>
      </w:pPr>
      <w:rPr>
        <w:rFonts w:hint="default"/>
      </w:rPr>
    </w:lvl>
  </w:abstractNum>
  <w:abstractNum w:abstractNumId="9" w15:restartNumberingAfterBreak="0">
    <w:nsid w:val="27622787"/>
    <w:multiLevelType w:val="hybridMultilevel"/>
    <w:tmpl w:val="784A39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16B86"/>
    <w:multiLevelType w:val="hybridMultilevel"/>
    <w:tmpl w:val="96501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E7F43"/>
    <w:multiLevelType w:val="hybridMultilevel"/>
    <w:tmpl w:val="06E8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E32FC"/>
    <w:multiLevelType w:val="hybridMultilevel"/>
    <w:tmpl w:val="B1D8481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8E40909"/>
    <w:multiLevelType w:val="hybridMultilevel"/>
    <w:tmpl w:val="887C64EA"/>
    <w:lvl w:ilvl="0" w:tplc="BA26C0D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6224E"/>
    <w:multiLevelType w:val="hybridMultilevel"/>
    <w:tmpl w:val="66425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07F6"/>
    <w:multiLevelType w:val="hybridMultilevel"/>
    <w:tmpl w:val="AF68B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8737B52"/>
    <w:multiLevelType w:val="hybridMultilevel"/>
    <w:tmpl w:val="B2F6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0CB3"/>
    <w:multiLevelType w:val="hybridMultilevel"/>
    <w:tmpl w:val="DCB6C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E04B4"/>
    <w:multiLevelType w:val="hybridMultilevel"/>
    <w:tmpl w:val="57887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85FAA"/>
    <w:multiLevelType w:val="hybridMultilevel"/>
    <w:tmpl w:val="5C00C9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7F5951"/>
    <w:multiLevelType w:val="hybridMultilevel"/>
    <w:tmpl w:val="0EB0F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E910E1A"/>
    <w:multiLevelType w:val="hybridMultilevel"/>
    <w:tmpl w:val="E892CF18"/>
    <w:lvl w:ilvl="0" w:tplc="A1C45AE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27DAA"/>
    <w:multiLevelType w:val="hybridMultilevel"/>
    <w:tmpl w:val="D1F09A08"/>
    <w:lvl w:ilvl="0" w:tplc="9D3C89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81A60"/>
    <w:multiLevelType w:val="hybridMultilevel"/>
    <w:tmpl w:val="23DAE9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90297B"/>
    <w:multiLevelType w:val="hybridMultilevel"/>
    <w:tmpl w:val="7F020458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D335E49"/>
    <w:multiLevelType w:val="hybridMultilevel"/>
    <w:tmpl w:val="E2B84E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F4142B0"/>
    <w:multiLevelType w:val="multilevel"/>
    <w:tmpl w:val="7F02045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8"/>
  </w:num>
  <w:num w:numId="3">
    <w:abstractNumId w:val="16"/>
  </w:num>
  <w:num w:numId="4">
    <w:abstractNumId w:val="3"/>
  </w:num>
  <w:num w:numId="5">
    <w:abstractNumId w:val="5"/>
  </w:num>
  <w:num w:numId="6">
    <w:abstractNumId w:val="26"/>
  </w:num>
  <w:num w:numId="7">
    <w:abstractNumId w:val="29"/>
  </w:num>
  <w:num w:numId="8">
    <w:abstractNumId w:val="4"/>
  </w:num>
  <w:num w:numId="9">
    <w:abstractNumId w:val="27"/>
  </w:num>
  <w:num w:numId="10">
    <w:abstractNumId w:val="20"/>
  </w:num>
  <w:num w:numId="11">
    <w:abstractNumId w:val="25"/>
  </w:num>
  <w:num w:numId="12">
    <w:abstractNumId w:val="12"/>
  </w:num>
  <w:num w:numId="13">
    <w:abstractNumId w:val="19"/>
  </w:num>
  <w:num w:numId="14">
    <w:abstractNumId w:val="17"/>
  </w:num>
  <w:num w:numId="15">
    <w:abstractNumId w:val="14"/>
  </w:num>
  <w:num w:numId="16">
    <w:abstractNumId w:val="6"/>
  </w:num>
  <w:num w:numId="17">
    <w:abstractNumId w:val="1"/>
  </w:num>
  <w:num w:numId="18">
    <w:abstractNumId w:val="18"/>
  </w:num>
  <w:num w:numId="19">
    <w:abstractNumId w:val="11"/>
  </w:num>
  <w:num w:numId="20">
    <w:abstractNumId w:val="15"/>
  </w:num>
  <w:num w:numId="21">
    <w:abstractNumId w:val="2"/>
  </w:num>
  <w:num w:numId="22">
    <w:abstractNumId w:val="21"/>
  </w:num>
  <w:num w:numId="23">
    <w:abstractNumId w:val="8"/>
  </w:num>
  <w:num w:numId="24">
    <w:abstractNumId w:val="0"/>
  </w:num>
  <w:num w:numId="25">
    <w:abstractNumId w:val="10"/>
  </w:num>
  <w:num w:numId="26">
    <w:abstractNumId w:val="7"/>
  </w:num>
  <w:num w:numId="27">
    <w:abstractNumId w:val="23"/>
  </w:num>
  <w:num w:numId="28">
    <w:abstractNumId w:val="9"/>
  </w:num>
  <w:num w:numId="29">
    <w:abstractNumId w:val="13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012D2"/>
    <w:rsid w:val="00031021"/>
    <w:rsid w:val="000317DA"/>
    <w:rsid w:val="00036FD8"/>
    <w:rsid w:val="00055C68"/>
    <w:rsid w:val="00056DDC"/>
    <w:rsid w:val="00057879"/>
    <w:rsid w:val="000578D3"/>
    <w:rsid w:val="0007160A"/>
    <w:rsid w:val="00075AAA"/>
    <w:rsid w:val="0008216B"/>
    <w:rsid w:val="00095963"/>
    <w:rsid w:val="000A0F2E"/>
    <w:rsid w:val="000A5893"/>
    <w:rsid w:val="000B5923"/>
    <w:rsid w:val="000C35D1"/>
    <w:rsid w:val="000F4AC1"/>
    <w:rsid w:val="000F5FA2"/>
    <w:rsid w:val="00116916"/>
    <w:rsid w:val="001175E5"/>
    <w:rsid w:val="00121846"/>
    <w:rsid w:val="00124A58"/>
    <w:rsid w:val="001331F5"/>
    <w:rsid w:val="00134B75"/>
    <w:rsid w:val="0014213C"/>
    <w:rsid w:val="00147DB9"/>
    <w:rsid w:val="0015527C"/>
    <w:rsid w:val="00162874"/>
    <w:rsid w:val="001634A9"/>
    <w:rsid w:val="001762A2"/>
    <w:rsid w:val="001849E6"/>
    <w:rsid w:val="0019647A"/>
    <w:rsid w:val="001A624A"/>
    <w:rsid w:val="001B3FD3"/>
    <w:rsid w:val="001B406D"/>
    <w:rsid w:val="001C2A71"/>
    <w:rsid w:val="001C3A37"/>
    <w:rsid w:val="001D56BB"/>
    <w:rsid w:val="001D6E1B"/>
    <w:rsid w:val="001F62B7"/>
    <w:rsid w:val="001F7437"/>
    <w:rsid w:val="00200176"/>
    <w:rsid w:val="00203226"/>
    <w:rsid w:val="002107F2"/>
    <w:rsid w:val="00213AB1"/>
    <w:rsid w:val="00233E6E"/>
    <w:rsid w:val="002366D1"/>
    <w:rsid w:val="00240DAE"/>
    <w:rsid w:val="002528E3"/>
    <w:rsid w:val="002556B9"/>
    <w:rsid w:val="002601CE"/>
    <w:rsid w:val="00261327"/>
    <w:rsid w:val="00267AC1"/>
    <w:rsid w:val="00290F69"/>
    <w:rsid w:val="002A377C"/>
    <w:rsid w:val="002B1C68"/>
    <w:rsid w:val="002B324C"/>
    <w:rsid w:val="002C05C1"/>
    <w:rsid w:val="002C55FC"/>
    <w:rsid w:val="002D0797"/>
    <w:rsid w:val="002E0674"/>
    <w:rsid w:val="002F0E89"/>
    <w:rsid w:val="002F1169"/>
    <w:rsid w:val="002F17AD"/>
    <w:rsid w:val="002F2F37"/>
    <w:rsid w:val="00301C75"/>
    <w:rsid w:val="00303DE8"/>
    <w:rsid w:val="0030553B"/>
    <w:rsid w:val="003131CF"/>
    <w:rsid w:val="0032342B"/>
    <w:rsid w:val="00334685"/>
    <w:rsid w:val="003402B3"/>
    <w:rsid w:val="00341564"/>
    <w:rsid w:val="00362A4C"/>
    <w:rsid w:val="00363020"/>
    <w:rsid w:val="003823B7"/>
    <w:rsid w:val="003A2424"/>
    <w:rsid w:val="003A507A"/>
    <w:rsid w:val="003A6675"/>
    <w:rsid w:val="003B005D"/>
    <w:rsid w:val="003C2FA5"/>
    <w:rsid w:val="003D5804"/>
    <w:rsid w:val="003E423D"/>
    <w:rsid w:val="003E4AC9"/>
    <w:rsid w:val="003F19CA"/>
    <w:rsid w:val="0040438B"/>
    <w:rsid w:val="0040506A"/>
    <w:rsid w:val="004050FB"/>
    <w:rsid w:val="00414CF8"/>
    <w:rsid w:val="00425938"/>
    <w:rsid w:val="00425B5D"/>
    <w:rsid w:val="0042778E"/>
    <w:rsid w:val="00434573"/>
    <w:rsid w:val="004512CE"/>
    <w:rsid w:val="00453686"/>
    <w:rsid w:val="00463DB0"/>
    <w:rsid w:val="004662AB"/>
    <w:rsid w:val="0047484C"/>
    <w:rsid w:val="00476837"/>
    <w:rsid w:val="00492FE9"/>
    <w:rsid w:val="004A07D7"/>
    <w:rsid w:val="004A34B1"/>
    <w:rsid w:val="004B6ECD"/>
    <w:rsid w:val="004D3F4A"/>
    <w:rsid w:val="004E0D0C"/>
    <w:rsid w:val="004E6103"/>
    <w:rsid w:val="005010BB"/>
    <w:rsid w:val="00504E0F"/>
    <w:rsid w:val="00506517"/>
    <w:rsid w:val="00513DB0"/>
    <w:rsid w:val="005246BD"/>
    <w:rsid w:val="00527616"/>
    <w:rsid w:val="005315FA"/>
    <w:rsid w:val="005328CF"/>
    <w:rsid w:val="00536551"/>
    <w:rsid w:val="00537B3F"/>
    <w:rsid w:val="00552EF4"/>
    <w:rsid w:val="00556553"/>
    <w:rsid w:val="00560AB8"/>
    <w:rsid w:val="00562212"/>
    <w:rsid w:val="00563BC4"/>
    <w:rsid w:val="00563D89"/>
    <w:rsid w:val="00585DA7"/>
    <w:rsid w:val="00590B0A"/>
    <w:rsid w:val="0059149F"/>
    <w:rsid w:val="005919A8"/>
    <w:rsid w:val="005A57A1"/>
    <w:rsid w:val="005D2D86"/>
    <w:rsid w:val="005D4164"/>
    <w:rsid w:val="005E68D7"/>
    <w:rsid w:val="005E7571"/>
    <w:rsid w:val="00602DAF"/>
    <w:rsid w:val="00615791"/>
    <w:rsid w:val="006161B2"/>
    <w:rsid w:val="00620F1A"/>
    <w:rsid w:val="00623C7D"/>
    <w:rsid w:val="006322A0"/>
    <w:rsid w:val="00634820"/>
    <w:rsid w:val="00656805"/>
    <w:rsid w:val="00683E36"/>
    <w:rsid w:val="006A1357"/>
    <w:rsid w:val="006B385D"/>
    <w:rsid w:val="006C1254"/>
    <w:rsid w:val="006C2BCA"/>
    <w:rsid w:val="006C2E29"/>
    <w:rsid w:val="006C61DC"/>
    <w:rsid w:val="006D232B"/>
    <w:rsid w:val="0070524E"/>
    <w:rsid w:val="00715E76"/>
    <w:rsid w:val="00724610"/>
    <w:rsid w:val="00726EFA"/>
    <w:rsid w:val="00745A4B"/>
    <w:rsid w:val="00745D88"/>
    <w:rsid w:val="00750195"/>
    <w:rsid w:val="00755BD7"/>
    <w:rsid w:val="00756BEB"/>
    <w:rsid w:val="0075792D"/>
    <w:rsid w:val="007606DC"/>
    <w:rsid w:val="00770262"/>
    <w:rsid w:val="00770460"/>
    <w:rsid w:val="00776B66"/>
    <w:rsid w:val="00780964"/>
    <w:rsid w:val="00784CF3"/>
    <w:rsid w:val="00793D02"/>
    <w:rsid w:val="007A341B"/>
    <w:rsid w:val="007D1715"/>
    <w:rsid w:val="007D2AE5"/>
    <w:rsid w:val="007D6129"/>
    <w:rsid w:val="007D7E73"/>
    <w:rsid w:val="007E7230"/>
    <w:rsid w:val="00807194"/>
    <w:rsid w:val="00807BA8"/>
    <w:rsid w:val="008136E9"/>
    <w:rsid w:val="00815350"/>
    <w:rsid w:val="008223BC"/>
    <w:rsid w:val="008413EE"/>
    <w:rsid w:val="00845894"/>
    <w:rsid w:val="008472B4"/>
    <w:rsid w:val="008510AD"/>
    <w:rsid w:val="00854C67"/>
    <w:rsid w:val="008553E2"/>
    <w:rsid w:val="00855E40"/>
    <w:rsid w:val="008575F5"/>
    <w:rsid w:val="008606EF"/>
    <w:rsid w:val="00867E1A"/>
    <w:rsid w:val="00881E03"/>
    <w:rsid w:val="00882F92"/>
    <w:rsid w:val="00887D96"/>
    <w:rsid w:val="008A3651"/>
    <w:rsid w:val="008B1AF8"/>
    <w:rsid w:val="008B3CF3"/>
    <w:rsid w:val="008B6ADE"/>
    <w:rsid w:val="008B7F24"/>
    <w:rsid w:val="008C06AA"/>
    <w:rsid w:val="008C26A2"/>
    <w:rsid w:val="008C5B64"/>
    <w:rsid w:val="008C5DE8"/>
    <w:rsid w:val="008D1191"/>
    <w:rsid w:val="008D737E"/>
    <w:rsid w:val="008E49BF"/>
    <w:rsid w:val="008F3FAA"/>
    <w:rsid w:val="00902FD2"/>
    <w:rsid w:val="00914107"/>
    <w:rsid w:val="00926A6D"/>
    <w:rsid w:val="00935139"/>
    <w:rsid w:val="00952AC2"/>
    <w:rsid w:val="0096173D"/>
    <w:rsid w:val="0097023F"/>
    <w:rsid w:val="00970E61"/>
    <w:rsid w:val="00986F09"/>
    <w:rsid w:val="00987B77"/>
    <w:rsid w:val="00992558"/>
    <w:rsid w:val="00994526"/>
    <w:rsid w:val="009A1342"/>
    <w:rsid w:val="009B4F52"/>
    <w:rsid w:val="009D239D"/>
    <w:rsid w:val="009D77B6"/>
    <w:rsid w:val="009E3BB1"/>
    <w:rsid w:val="009E7E1B"/>
    <w:rsid w:val="00A0238E"/>
    <w:rsid w:val="00A06E41"/>
    <w:rsid w:val="00A1596D"/>
    <w:rsid w:val="00A2577B"/>
    <w:rsid w:val="00A35936"/>
    <w:rsid w:val="00A52052"/>
    <w:rsid w:val="00A52ACB"/>
    <w:rsid w:val="00A63C98"/>
    <w:rsid w:val="00AA0AE5"/>
    <w:rsid w:val="00AA7D8E"/>
    <w:rsid w:val="00AC1475"/>
    <w:rsid w:val="00AC4DB2"/>
    <w:rsid w:val="00AD4876"/>
    <w:rsid w:val="00AE3EFE"/>
    <w:rsid w:val="00AE754A"/>
    <w:rsid w:val="00B130E8"/>
    <w:rsid w:val="00B20131"/>
    <w:rsid w:val="00B21246"/>
    <w:rsid w:val="00B21F87"/>
    <w:rsid w:val="00B474DA"/>
    <w:rsid w:val="00B53AD3"/>
    <w:rsid w:val="00B72CC5"/>
    <w:rsid w:val="00B81A71"/>
    <w:rsid w:val="00B83071"/>
    <w:rsid w:val="00B84558"/>
    <w:rsid w:val="00B9312D"/>
    <w:rsid w:val="00B935A3"/>
    <w:rsid w:val="00BA175C"/>
    <w:rsid w:val="00BA4D28"/>
    <w:rsid w:val="00BB670D"/>
    <w:rsid w:val="00BB6A9C"/>
    <w:rsid w:val="00BB71B6"/>
    <w:rsid w:val="00BD0AF8"/>
    <w:rsid w:val="00BD2786"/>
    <w:rsid w:val="00BF08B1"/>
    <w:rsid w:val="00BF60F1"/>
    <w:rsid w:val="00BF6EA7"/>
    <w:rsid w:val="00C20965"/>
    <w:rsid w:val="00C20968"/>
    <w:rsid w:val="00C27980"/>
    <w:rsid w:val="00C30406"/>
    <w:rsid w:val="00C373CC"/>
    <w:rsid w:val="00C475E2"/>
    <w:rsid w:val="00C614DB"/>
    <w:rsid w:val="00C65AC4"/>
    <w:rsid w:val="00C80B3D"/>
    <w:rsid w:val="00C83336"/>
    <w:rsid w:val="00C851A6"/>
    <w:rsid w:val="00C93F07"/>
    <w:rsid w:val="00C956E2"/>
    <w:rsid w:val="00C975F6"/>
    <w:rsid w:val="00CA0DE1"/>
    <w:rsid w:val="00CA1503"/>
    <w:rsid w:val="00CA6B5C"/>
    <w:rsid w:val="00CB044C"/>
    <w:rsid w:val="00CB1DDE"/>
    <w:rsid w:val="00CE7B20"/>
    <w:rsid w:val="00D017F2"/>
    <w:rsid w:val="00D0375B"/>
    <w:rsid w:val="00D346C3"/>
    <w:rsid w:val="00D43C22"/>
    <w:rsid w:val="00D502C4"/>
    <w:rsid w:val="00D50871"/>
    <w:rsid w:val="00D542B8"/>
    <w:rsid w:val="00D60E05"/>
    <w:rsid w:val="00D678AA"/>
    <w:rsid w:val="00D74ADB"/>
    <w:rsid w:val="00D822E8"/>
    <w:rsid w:val="00D83DAC"/>
    <w:rsid w:val="00D92AA6"/>
    <w:rsid w:val="00DB2DD6"/>
    <w:rsid w:val="00DB409B"/>
    <w:rsid w:val="00DB53F8"/>
    <w:rsid w:val="00DB6D2A"/>
    <w:rsid w:val="00DC26B0"/>
    <w:rsid w:val="00DD39AE"/>
    <w:rsid w:val="00DD40B1"/>
    <w:rsid w:val="00DE45EC"/>
    <w:rsid w:val="00DE602F"/>
    <w:rsid w:val="00DE6C77"/>
    <w:rsid w:val="00DF63A0"/>
    <w:rsid w:val="00E054EE"/>
    <w:rsid w:val="00E104E5"/>
    <w:rsid w:val="00E220E4"/>
    <w:rsid w:val="00E276DB"/>
    <w:rsid w:val="00E42C09"/>
    <w:rsid w:val="00E4403E"/>
    <w:rsid w:val="00E56D36"/>
    <w:rsid w:val="00E66408"/>
    <w:rsid w:val="00E674FB"/>
    <w:rsid w:val="00E67D85"/>
    <w:rsid w:val="00E73558"/>
    <w:rsid w:val="00E80156"/>
    <w:rsid w:val="00E9330E"/>
    <w:rsid w:val="00E95856"/>
    <w:rsid w:val="00E95F55"/>
    <w:rsid w:val="00E9604E"/>
    <w:rsid w:val="00EA5946"/>
    <w:rsid w:val="00EB42DB"/>
    <w:rsid w:val="00EB7C07"/>
    <w:rsid w:val="00EC0E82"/>
    <w:rsid w:val="00EE2080"/>
    <w:rsid w:val="00EF3DA0"/>
    <w:rsid w:val="00EF5C8B"/>
    <w:rsid w:val="00EF6EA7"/>
    <w:rsid w:val="00EF7644"/>
    <w:rsid w:val="00F01600"/>
    <w:rsid w:val="00F0276C"/>
    <w:rsid w:val="00F06856"/>
    <w:rsid w:val="00F26BFC"/>
    <w:rsid w:val="00F31A77"/>
    <w:rsid w:val="00F34906"/>
    <w:rsid w:val="00F3624C"/>
    <w:rsid w:val="00F41F8C"/>
    <w:rsid w:val="00F716BE"/>
    <w:rsid w:val="00F7750F"/>
    <w:rsid w:val="00F84D01"/>
    <w:rsid w:val="00FA0E03"/>
    <w:rsid w:val="00FB37C4"/>
    <w:rsid w:val="00FB50F2"/>
    <w:rsid w:val="00FC3F4B"/>
    <w:rsid w:val="00FC5D9D"/>
    <w:rsid w:val="00FD5E76"/>
    <w:rsid w:val="00FD6BAC"/>
    <w:rsid w:val="00FE12C4"/>
    <w:rsid w:val="00FE55A7"/>
    <w:rsid w:val="00FF7903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112A65-D9A7-42CF-B61A-8B274739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link w:val="HeaderChar"/>
    <w:uiPriority w:val="99"/>
    <w:rsid w:val="00513DB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D2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D232B"/>
    <w:pPr>
      <w:ind w:left="720"/>
    </w:pPr>
    <w:rPr>
      <w:rFonts w:ascii="Arial" w:hAnsi="Arial" w:cs="Arial"/>
    </w:rPr>
  </w:style>
  <w:style w:type="paragraph" w:customStyle="1" w:styleId="Body">
    <w:name w:val="Body"/>
    <w:rsid w:val="006D232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Arial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itleChar">
    <w:name w:val="Title Char"/>
    <w:basedOn w:val="DefaultParagraphFont"/>
    <w:link w:val="Title"/>
    <w:rsid w:val="00463DB0"/>
    <w:rPr>
      <w:b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0651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0651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50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6517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3CC"/>
    <w:rPr>
      <w:b/>
      <w:bCs/>
      <w:sz w:val="32"/>
      <w:szCs w:val="32"/>
      <w:lang w:eastAsia="en-US"/>
    </w:rPr>
  </w:style>
  <w:style w:type="paragraph" w:customStyle="1" w:styleId="Default">
    <w:name w:val="Default"/>
    <w:rsid w:val="003A24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5010BB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B67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67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670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6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B67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94B67-2DE5-466F-BBD6-72271B0E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Nicki Hamer (NHS GOLDEN JUBILEE)</cp:lastModifiedBy>
  <cp:revision>3</cp:revision>
  <cp:lastPrinted>2021-11-16T13:25:00Z</cp:lastPrinted>
  <dcterms:created xsi:type="dcterms:W3CDTF">2022-03-23T10:44:00Z</dcterms:created>
  <dcterms:modified xsi:type="dcterms:W3CDTF">2022-03-23T15:23:00Z</dcterms:modified>
</cp:coreProperties>
</file>