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9A" w:rsidRDefault="00F4499D" w:rsidP="000B17DC">
      <w:pPr>
        <w:tabs>
          <w:tab w:val="left" w:pos="7938"/>
        </w:tabs>
        <w:rPr>
          <w:b/>
          <w:bCs/>
          <w:lang w:val="en-US"/>
        </w:rPr>
      </w:pPr>
      <w:r>
        <w:rPr>
          <w:noProof/>
          <w:lang w:eastAsia="en-GB"/>
        </w:rPr>
        <w:drawing>
          <wp:anchor distT="0" distB="0" distL="114300" distR="114300" simplePos="0" relativeHeight="251663360" behindDoc="0" locked="0" layoutInCell="1" allowOverlap="1" wp14:anchorId="4D43DFD5" wp14:editId="49612367">
            <wp:simplePos x="0" y="0"/>
            <wp:positionH relativeFrom="margin">
              <wp:posOffset>4937930</wp:posOffset>
            </wp:positionH>
            <wp:positionV relativeFrom="margin">
              <wp:posOffset>86549</wp:posOffset>
            </wp:positionV>
            <wp:extent cx="1114425" cy="771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953" w:type="dxa"/>
        <w:tblInd w:w="-318" w:type="dxa"/>
        <w:tblLayout w:type="fixed"/>
        <w:tblLook w:val="04A0" w:firstRow="1" w:lastRow="0" w:firstColumn="1" w:lastColumn="0" w:noHBand="0" w:noVBand="1"/>
      </w:tblPr>
      <w:tblGrid>
        <w:gridCol w:w="2557"/>
        <w:gridCol w:w="6408"/>
        <w:gridCol w:w="1988"/>
      </w:tblGrid>
      <w:tr w:rsidR="00382A9A" w:rsidRPr="00B358DE" w:rsidTr="00F4499D">
        <w:trPr>
          <w:trHeight w:val="557"/>
        </w:trPr>
        <w:tc>
          <w:tcPr>
            <w:tcW w:w="2557" w:type="dxa"/>
          </w:tcPr>
          <w:p w:rsidR="00382A9A" w:rsidRPr="00B358DE" w:rsidRDefault="00382A9A" w:rsidP="00B425B8">
            <w:pPr>
              <w:pStyle w:val="Heading1"/>
              <w:spacing w:before="60" w:after="60"/>
              <w:ind w:right="183"/>
              <w:contextualSpacing/>
              <w:rPr>
                <w:rFonts w:ascii="Arial" w:hAnsi="Arial" w:cs="Arial"/>
                <w:sz w:val="24"/>
                <w:szCs w:val="24"/>
              </w:rPr>
            </w:pPr>
            <w:r w:rsidRPr="00B358DE">
              <w:rPr>
                <w:rFonts w:ascii="Arial" w:hAnsi="Arial" w:cs="Arial"/>
                <w:sz w:val="24"/>
                <w:szCs w:val="24"/>
              </w:rPr>
              <w:t>Board Meeting:</w:t>
            </w:r>
          </w:p>
        </w:tc>
        <w:tc>
          <w:tcPr>
            <w:tcW w:w="6408" w:type="dxa"/>
          </w:tcPr>
          <w:p w:rsidR="00382A9A" w:rsidRPr="00B358DE" w:rsidRDefault="00296F6F" w:rsidP="00B425B8">
            <w:pPr>
              <w:pStyle w:val="Heading1"/>
              <w:spacing w:before="60" w:after="60"/>
              <w:ind w:right="183"/>
              <w:contextualSpacing/>
              <w:rPr>
                <w:rFonts w:ascii="Arial" w:hAnsi="Arial" w:cs="Arial"/>
                <w:b w:val="0"/>
                <w:sz w:val="24"/>
                <w:szCs w:val="24"/>
              </w:rPr>
            </w:pPr>
            <w:r>
              <w:rPr>
                <w:rFonts w:ascii="Arial" w:hAnsi="Arial" w:cs="Arial"/>
                <w:b w:val="0"/>
                <w:sz w:val="24"/>
                <w:szCs w:val="24"/>
              </w:rPr>
              <w:t>31 March 2022</w:t>
            </w:r>
          </w:p>
        </w:tc>
        <w:tc>
          <w:tcPr>
            <w:tcW w:w="1985" w:type="dxa"/>
            <w:vMerge w:val="restart"/>
          </w:tcPr>
          <w:p w:rsidR="00382A9A" w:rsidRPr="00B358DE" w:rsidRDefault="00382A9A" w:rsidP="00B425B8">
            <w:pPr>
              <w:pStyle w:val="Heading1"/>
              <w:spacing w:before="60" w:after="60"/>
              <w:ind w:right="34"/>
              <w:contextualSpacing/>
              <w:rPr>
                <w:rFonts w:ascii="Arial" w:hAnsi="Arial" w:cs="Arial"/>
                <w:sz w:val="24"/>
                <w:szCs w:val="24"/>
              </w:rPr>
            </w:pPr>
          </w:p>
        </w:tc>
      </w:tr>
      <w:tr w:rsidR="00382A9A" w:rsidRPr="00B358DE" w:rsidTr="00F4499D">
        <w:trPr>
          <w:trHeight w:val="792"/>
        </w:trPr>
        <w:tc>
          <w:tcPr>
            <w:tcW w:w="2557" w:type="dxa"/>
          </w:tcPr>
          <w:p w:rsidR="00382A9A" w:rsidRPr="00B358DE" w:rsidRDefault="00382A9A" w:rsidP="00B425B8">
            <w:pPr>
              <w:pStyle w:val="Heading1"/>
              <w:spacing w:before="60" w:after="60"/>
              <w:ind w:right="183"/>
              <w:contextualSpacing/>
              <w:rPr>
                <w:rFonts w:ascii="Arial" w:hAnsi="Arial" w:cs="Arial"/>
                <w:sz w:val="24"/>
                <w:szCs w:val="24"/>
              </w:rPr>
            </w:pPr>
            <w:r w:rsidRPr="00B358DE">
              <w:rPr>
                <w:rFonts w:ascii="Arial" w:hAnsi="Arial" w:cs="Arial"/>
                <w:bCs w:val="0"/>
                <w:sz w:val="24"/>
                <w:szCs w:val="24"/>
              </w:rPr>
              <w:t>Subject:</w:t>
            </w:r>
          </w:p>
        </w:tc>
        <w:tc>
          <w:tcPr>
            <w:tcW w:w="6408" w:type="dxa"/>
          </w:tcPr>
          <w:p w:rsidR="00382A9A" w:rsidRPr="00B358DE" w:rsidRDefault="0092354C" w:rsidP="00BD5C70">
            <w:pPr>
              <w:pStyle w:val="Heading1"/>
              <w:spacing w:before="60" w:after="60"/>
              <w:ind w:right="183"/>
              <w:contextualSpacing/>
              <w:rPr>
                <w:rFonts w:ascii="Arial" w:hAnsi="Arial" w:cs="Arial"/>
                <w:b w:val="0"/>
                <w:sz w:val="24"/>
                <w:szCs w:val="24"/>
              </w:rPr>
            </w:pPr>
            <w:r>
              <w:rPr>
                <w:rFonts w:ascii="Arial" w:hAnsi="Arial" w:cs="Arial"/>
                <w:b w:val="0"/>
                <w:bCs w:val="0"/>
                <w:sz w:val="24"/>
                <w:szCs w:val="24"/>
              </w:rPr>
              <w:t xml:space="preserve">Staff Governance </w:t>
            </w:r>
            <w:r w:rsidR="00C05EFA">
              <w:rPr>
                <w:rFonts w:ascii="Arial" w:hAnsi="Arial" w:cs="Arial"/>
                <w:b w:val="0"/>
                <w:bCs w:val="0"/>
                <w:sz w:val="24"/>
                <w:szCs w:val="24"/>
              </w:rPr>
              <w:t xml:space="preserve">Person Centred </w:t>
            </w:r>
            <w:r w:rsidR="00382A9A" w:rsidRPr="00B358DE">
              <w:rPr>
                <w:rFonts w:ascii="Arial" w:hAnsi="Arial" w:cs="Arial"/>
                <w:b w:val="0"/>
                <w:bCs w:val="0"/>
                <w:sz w:val="24"/>
                <w:szCs w:val="24"/>
              </w:rPr>
              <w:t xml:space="preserve">Committee </w:t>
            </w:r>
            <w:r w:rsidR="00BD5C70">
              <w:rPr>
                <w:rFonts w:ascii="Arial" w:hAnsi="Arial" w:cs="Arial"/>
                <w:b w:val="0"/>
                <w:bCs w:val="0"/>
                <w:sz w:val="24"/>
                <w:szCs w:val="24"/>
              </w:rPr>
              <w:t>U</w:t>
            </w:r>
            <w:r w:rsidR="00382A9A" w:rsidRPr="00B358DE">
              <w:rPr>
                <w:rFonts w:ascii="Arial" w:hAnsi="Arial" w:cs="Arial"/>
                <w:b w:val="0"/>
                <w:bCs w:val="0"/>
                <w:sz w:val="24"/>
                <w:szCs w:val="24"/>
              </w:rPr>
              <w:t>pdate</w:t>
            </w:r>
          </w:p>
        </w:tc>
        <w:tc>
          <w:tcPr>
            <w:tcW w:w="1985" w:type="dxa"/>
            <w:vMerge/>
          </w:tcPr>
          <w:p w:rsidR="00382A9A" w:rsidRPr="00B358DE" w:rsidRDefault="00382A9A" w:rsidP="00B425B8">
            <w:pPr>
              <w:pStyle w:val="Heading1"/>
              <w:spacing w:before="60" w:after="60"/>
              <w:ind w:right="183"/>
              <w:contextualSpacing/>
              <w:rPr>
                <w:rFonts w:ascii="Arial" w:hAnsi="Arial" w:cs="Arial"/>
                <w:noProof/>
                <w:sz w:val="24"/>
                <w:szCs w:val="24"/>
                <w:lang w:eastAsia="en-GB"/>
              </w:rPr>
            </w:pPr>
          </w:p>
        </w:tc>
      </w:tr>
      <w:tr w:rsidR="00382A9A" w:rsidRPr="00B358DE" w:rsidTr="00F4499D">
        <w:trPr>
          <w:trHeight w:val="1218"/>
        </w:trPr>
        <w:tc>
          <w:tcPr>
            <w:tcW w:w="2557" w:type="dxa"/>
          </w:tcPr>
          <w:p w:rsidR="00382A9A" w:rsidRPr="00B358DE" w:rsidRDefault="00382A9A" w:rsidP="00B425B8">
            <w:pPr>
              <w:pStyle w:val="Heading1"/>
              <w:spacing w:before="120" w:after="60"/>
              <w:ind w:right="183"/>
              <w:contextualSpacing/>
              <w:rPr>
                <w:rFonts w:ascii="Arial" w:hAnsi="Arial" w:cs="Arial"/>
                <w:sz w:val="24"/>
                <w:szCs w:val="24"/>
              </w:rPr>
            </w:pPr>
            <w:r w:rsidRPr="00B358DE">
              <w:rPr>
                <w:rFonts w:ascii="Arial" w:hAnsi="Arial" w:cs="Arial"/>
                <w:bCs w:val="0"/>
                <w:sz w:val="24"/>
                <w:szCs w:val="24"/>
              </w:rPr>
              <w:t>Recommendation:</w:t>
            </w:r>
            <w:r w:rsidRPr="00B358DE">
              <w:rPr>
                <w:rFonts w:ascii="Arial" w:hAnsi="Arial" w:cs="Arial"/>
                <w:bCs w:val="0"/>
                <w:sz w:val="24"/>
                <w:szCs w:val="24"/>
              </w:rPr>
              <w:tab/>
            </w:r>
          </w:p>
        </w:tc>
        <w:tc>
          <w:tcPr>
            <w:tcW w:w="8396" w:type="dxa"/>
            <w:gridSpan w:val="2"/>
          </w:tcPr>
          <w:p w:rsidR="00382A9A" w:rsidRPr="00A63F95" w:rsidRDefault="00382A9A" w:rsidP="00A63F95">
            <w:pPr>
              <w:pStyle w:val="Heading1"/>
              <w:spacing w:before="120" w:after="60"/>
              <w:ind w:right="183"/>
              <w:contextualSpacing/>
              <w:rPr>
                <w:rFonts w:ascii="Arial" w:hAnsi="Arial" w:cs="Arial"/>
                <w:b w:val="0"/>
                <w:sz w:val="24"/>
                <w:szCs w:val="24"/>
              </w:rPr>
            </w:pPr>
            <w:r w:rsidRPr="00B358DE">
              <w:rPr>
                <w:rFonts w:ascii="Arial" w:hAnsi="Arial" w:cs="Arial"/>
                <w:b w:val="0"/>
                <w:sz w:val="24"/>
                <w:szCs w:val="24"/>
              </w:rPr>
              <w:t>Board members are asked to:</w:t>
            </w: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382A9A" w:rsidRPr="00B358DE" w:rsidTr="00B425B8">
              <w:tc>
                <w:tcPr>
                  <w:tcW w:w="5694" w:type="dxa"/>
                </w:tcPr>
                <w:p w:rsidR="00382A9A" w:rsidRPr="00B358DE" w:rsidRDefault="00382A9A" w:rsidP="00B425B8">
                  <w:pPr>
                    <w:pStyle w:val="Heading1"/>
                    <w:ind w:right="183"/>
                    <w:contextualSpacing/>
                    <w:rPr>
                      <w:rFonts w:ascii="Arial" w:hAnsi="Arial" w:cs="Arial"/>
                      <w:b w:val="0"/>
                      <w:sz w:val="24"/>
                      <w:szCs w:val="24"/>
                    </w:rPr>
                  </w:pPr>
                  <w:r w:rsidRPr="00B358DE">
                    <w:rPr>
                      <w:rFonts w:ascii="Arial" w:hAnsi="Arial" w:cs="Arial"/>
                      <w:b w:val="0"/>
                      <w:sz w:val="24"/>
                      <w:szCs w:val="24"/>
                    </w:rPr>
                    <w:t>Discuss and Note</w:t>
                  </w:r>
                </w:p>
              </w:tc>
              <w:tc>
                <w:tcPr>
                  <w:tcW w:w="850" w:type="dxa"/>
                </w:tcPr>
                <w:p w:rsidR="00382A9A" w:rsidRPr="00225E31" w:rsidRDefault="00225E31" w:rsidP="00225E31">
                  <w:pPr>
                    <w:contextualSpacing/>
                    <w:jc w:val="center"/>
                    <w:rPr>
                      <w:rFonts w:ascii="Wingdings 2" w:hAnsi="Wingdings 2"/>
                    </w:rPr>
                  </w:pPr>
                  <w:r>
                    <w:rPr>
                      <w:rFonts w:ascii="Wingdings 2" w:hAnsi="Wingdings 2"/>
                    </w:rPr>
                    <w:t></w:t>
                  </w:r>
                </w:p>
              </w:tc>
            </w:tr>
            <w:tr w:rsidR="00382A9A" w:rsidRPr="00B358DE" w:rsidTr="00B425B8">
              <w:trPr>
                <w:trHeight w:val="280"/>
              </w:trPr>
              <w:tc>
                <w:tcPr>
                  <w:tcW w:w="5694" w:type="dxa"/>
                </w:tcPr>
                <w:p w:rsidR="00382A9A" w:rsidRPr="00B358DE" w:rsidRDefault="00382A9A" w:rsidP="00B425B8">
                  <w:pPr>
                    <w:pStyle w:val="Heading1"/>
                    <w:ind w:right="183"/>
                    <w:contextualSpacing/>
                    <w:rPr>
                      <w:rFonts w:ascii="Arial" w:hAnsi="Arial" w:cs="Arial"/>
                      <w:b w:val="0"/>
                      <w:sz w:val="24"/>
                      <w:szCs w:val="24"/>
                    </w:rPr>
                  </w:pPr>
                  <w:r w:rsidRPr="00B358DE">
                    <w:rPr>
                      <w:rFonts w:ascii="Arial" w:hAnsi="Arial" w:cs="Arial"/>
                      <w:b w:val="0"/>
                      <w:sz w:val="24"/>
                      <w:szCs w:val="24"/>
                    </w:rPr>
                    <w:t>Discuss and Approve</w:t>
                  </w:r>
                </w:p>
              </w:tc>
              <w:tc>
                <w:tcPr>
                  <w:tcW w:w="850" w:type="dxa"/>
                </w:tcPr>
                <w:p w:rsidR="00382A9A" w:rsidRPr="00B358DE" w:rsidRDefault="00382A9A" w:rsidP="00B425B8">
                  <w:pPr>
                    <w:contextualSpacing/>
                  </w:pPr>
                </w:p>
              </w:tc>
            </w:tr>
            <w:tr w:rsidR="00382A9A" w:rsidRPr="00B358DE" w:rsidTr="00B425B8">
              <w:tc>
                <w:tcPr>
                  <w:tcW w:w="5694" w:type="dxa"/>
                </w:tcPr>
                <w:p w:rsidR="00382A9A" w:rsidRPr="00B358DE" w:rsidRDefault="00382A9A" w:rsidP="00B425B8">
                  <w:pPr>
                    <w:pStyle w:val="Heading1"/>
                    <w:ind w:right="183"/>
                    <w:contextualSpacing/>
                    <w:rPr>
                      <w:rFonts w:ascii="Arial" w:hAnsi="Arial" w:cs="Arial"/>
                      <w:b w:val="0"/>
                      <w:sz w:val="24"/>
                      <w:szCs w:val="24"/>
                    </w:rPr>
                  </w:pPr>
                  <w:r w:rsidRPr="00B358DE">
                    <w:rPr>
                      <w:rFonts w:ascii="Arial" w:hAnsi="Arial" w:cs="Arial"/>
                      <w:b w:val="0"/>
                      <w:sz w:val="24"/>
                      <w:szCs w:val="24"/>
                    </w:rPr>
                    <w:t>Note for Information only</w:t>
                  </w:r>
                </w:p>
              </w:tc>
              <w:tc>
                <w:tcPr>
                  <w:tcW w:w="850" w:type="dxa"/>
                </w:tcPr>
                <w:p w:rsidR="00382A9A" w:rsidRPr="00B358DE" w:rsidRDefault="00382A9A" w:rsidP="00B425B8">
                  <w:pPr>
                    <w:contextualSpacing/>
                  </w:pPr>
                </w:p>
              </w:tc>
            </w:tr>
          </w:tbl>
          <w:p w:rsidR="00382A9A" w:rsidRPr="00B358DE" w:rsidRDefault="00382A9A" w:rsidP="00B425B8">
            <w:pPr>
              <w:spacing w:before="120" w:after="60"/>
              <w:contextualSpacing/>
            </w:pPr>
          </w:p>
        </w:tc>
      </w:tr>
    </w:tbl>
    <w:p w:rsidR="00382A9A" w:rsidRDefault="00382A9A" w:rsidP="000B17DC">
      <w:pPr>
        <w:tabs>
          <w:tab w:val="left" w:pos="7938"/>
        </w:tabs>
        <w:rPr>
          <w:b/>
          <w:bCs/>
          <w:lang w:val="en-US"/>
        </w:rPr>
      </w:pPr>
    </w:p>
    <w:p w:rsidR="00382A9A" w:rsidRPr="00B358DE" w:rsidRDefault="00CF7A80" w:rsidP="00382A9A">
      <w:pPr>
        <w:pStyle w:val="Heading2"/>
        <w:ind w:left="-426" w:right="183"/>
        <w:rPr>
          <w:i w:val="0"/>
          <w:sz w:val="24"/>
          <w:szCs w:val="24"/>
        </w:rPr>
      </w:pPr>
      <w:r>
        <w:rPr>
          <w:i w:val="0"/>
          <w:sz w:val="24"/>
          <w:szCs w:val="24"/>
        </w:rPr>
        <w:t>1</w:t>
      </w:r>
      <w:r>
        <w:rPr>
          <w:i w:val="0"/>
          <w:sz w:val="24"/>
          <w:szCs w:val="24"/>
        </w:rPr>
        <w:tab/>
        <w:t>Background</w:t>
      </w:r>
    </w:p>
    <w:p w:rsidR="00382A9A" w:rsidRDefault="00BC23DB" w:rsidP="00382A9A">
      <w:pPr>
        <w:ind w:left="-6" w:right="183"/>
        <w:rPr>
          <w:bCs/>
        </w:rPr>
      </w:pPr>
      <w:r>
        <w:rPr>
          <w:bCs/>
        </w:rPr>
        <w:t xml:space="preserve">The </w:t>
      </w:r>
      <w:r w:rsidR="00382A9A">
        <w:rPr>
          <w:bCs/>
        </w:rPr>
        <w:t>Staff Governanc</w:t>
      </w:r>
      <w:r w:rsidR="00C05EFA">
        <w:rPr>
          <w:bCs/>
        </w:rPr>
        <w:t>e</w:t>
      </w:r>
      <w:r>
        <w:rPr>
          <w:bCs/>
        </w:rPr>
        <w:t xml:space="preserve"> Person Centred (</w:t>
      </w:r>
      <w:r w:rsidR="00C05EFA">
        <w:rPr>
          <w:bCs/>
        </w:rPr>
        <w:t>SG</w:t>
      </w:r>
      <w:r>
        <w:rPr>
          <w:bCs/>
        </w:rPr>
        <w:t>PC</w:t>
      </w:r>
      <w:r w:rsidR="007E4C5D">
        <w:rPr>
          <w:bCs/>
        </w:rPr>
        <w:t xml:space="preserve">) Committee was held on </w:t>
      </w:r>
      <w:r w:rsidR="00296F6F">
        <w:rPr>
          <w:bCs/>
        </w:rPr>
        <w:t>3</w:t>
      </w:r>
      <w:r w:rsidR="0031784E">
        <w:rPr>
          <w:bCs/>
        </w:rPr>
        <w:t xml:space="preserve"> </w:t>
      </w:r>
      <w:r w:rsidR="00296F6F">
        <w:rPr>
          <w:bCs/>
        </w:rPr>
        <w:t>March 2022</w:t>
      </w:r>
      <w:r w:rsidR="00382A9A">
        <w:rPr>
          <w:bCs/>
        </w:rPr>
        <w:t xml:space="preserve">, the following key points were noted at the meeting.  </w:t>
      </w:r>
    </w:p>
    <w:p w:rsidR="000B17DC" w:rsidRPr="00D8698E" w:rsidRDefault="000B17DC" w:rsidP="000B17DC"/>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8136"/>
      </w:tblGrid>
      <w:tr w:rsidR="000B17DC" w:rsidRPr="00F06CCF" w:rsidTr="008F480C">
        <w:trPr>
          <w:trHeight w:val="415"/>
        </w:trPr>
        <w:tc>
          <w:tcPr>
            <w:tcW w:w="1683" w:type="dxa"/>
            <w:shd w:val="clear" w:color="auto" w:fill="002060"/>
          </w:tcPr>
          <w:p w:rsidR="000B17DC" w:rsidRPr="00F06CCF" w:rsidRDefault="000B17DC" w:rsidP="00CF56EF">
            <w:pPr>
              <w:rPr>
                <w:b/>
                <w:bCs/>
                <w:color w:val="FFFFFF"/>
                <w:lang w:val="en-US"/>
              </w:rPr>
            </w:pPr>
            <w:r w:rsidRPr="00F06CCF">
              <w:rPr>
                <w:b/>
                <w:bCs/>
                <w:color w:val="FFFFFF"/>
                <w:lang w:val="en-US"/>
              </w:rPr>
              <w:t>Item</w:t>
            </w:r>
          </w:p>
        </w:tc>
        <w:tc>
          <w:tcPr>
            <w:tcW w:w="8136" w:type="dxa"/>
            <w:shd w:val="clear" w:color="auto" w:fill="002060"/>
          </w:tcPr>
          <w:p w:rsidR="000B17DC" w:rsidRPr="00F06CCF" w:rsidRDefault="000B17DC" w:rsidP="00CF56EF">
            <w:pPr>
              <w:ind w:left="278" w:hanging="278"/>
              <w:rPr>
                <w:b/>
                <w:bCs/>
                <w:color w:val="FFFFFF"/>
                <w:lang w:val="en-US"/>
              </w:rPr>
            </w:pPr>
            <w:r w:rsidRPr="00F06CCF">
              <w:rPr>
                <w:b/>
                <w:bCs/>
                <w:color w:val="FFFFFF"/>
                <w:lang w:val="en-US"/>
              </w:rPr>
              <w:t>Details</w:t>
            </w:r>
          </w:p>
        </w:tc>
      </w:tr>
      <w:tr w:rsidR="006941BA" w:rsidRPr="00F06CCF" w:rsidTr="00DE6FDD">
        <w:trPr>
          <w:trHeight w:val="641"/>
        </w:trPr>
        <w:tc>
          <w:tcPr>
            <w:tcW w:w="1683" w:type="dxa"/>
          </w:tcPr>
          <w:p w:rsidR="006941BA" w:rsidRPr="00CA5EF8" w:rsidRDefault="006941BA" w:rsidP="00CF56EF">
            <w:pPr>
              <w:rPr>
                <w:b/>
                <w:bCs/>
                <w:lang w:val="en-US"/>
              </w:rPr>
            </w:pPr>
            <w:r>
              <w:rPr>
                <w:b/>
                <w:lang w:val="en-US"/>
              </w:rPr>
              <w:t>Safe Working Environment</w:t>
            </w:r>
          </w:p>
        </w:tc>
        <w:tc>
          <w:tcPr>
            <w:tcW w:w="8136" w:type="dxa"/>
          </w:tcPr>
          <w:p w:rsidR="00E34C65" w:rsidRDefault="00427EDE" w:rsidP="00E34C65">
            <w:pPr>
              <w:spacing w:line="259" w:lineRule="auto"/>
              <w:contextualSpacing/>
            </w:pPr>
            <w:r>
              <w:t xml:space="preserve">Committee </w:t>
            </w:r>
            <w:r w:rsidR="00E34C65">
              <w:t>welcom</w:t>
            </w:r>
            <w:r>
              <w:t xml:space="preserve">ed </w:t>
            </w:r>
            <w:r w:rsidR="00E34C65">
              <w:t xml:space="preserve">the comprehensive report from the Health &amp; Safety Committee. In particular Committee welcomed the granular level of detail provided on risk management, and the opportunity the report provided to scrutinise hospital wide risks. Committee also considered the governance arrangements in place to ensure appropriate reporting of risks to the Committee, and to the </w:t>
            </w:r>
            <w:r w:rsidR="00DC27B0">
              <w:t xml:space="preserve">Board’s </w:t>
            </w:r>
            <w:r w:rsidR="00E34C65">
              <w:t xml:space="preserve">Audit &amp; Risk Committee. </w:t>
            </w:r>
          </w:p>
          <w:p w:rsidR="006941BA" w:rsidRPr="00CA5EF8" w:rsidRDefault="006941BA" w:rsidP="00DC27B0">
            <w:pPr>
              <w:spacing w:line="259" w:lineRule="auto"/>
              <w:contextualSpacing/>
            </w:pPr>
          </w:p>
        </w:tc>
      </w:tr>
      <w:tr w:rsidR="00EA43F4" w:rsidRPr="00F06CCF" w:rsidTr="008F480C">
        <w:tc>
          <w:tcPr>
            <w:tcW w:w="1683" w:type="dxa"/>
          </w:tcPr>
          <w:p w:rsidR="00EA43F4" w:rsidRDefault="00EA43F4" w:rsidP="00CF56EF">
            <w:pPr>
              <w:rPr>
                <w:b/>
                <w:bCs/>
                <w:lang w:val="en-US"/>
              </w:rPr>
            </w:pPr>
            <w:r>
              <w:rPr>
                <w:b/>
                <w:bCs/>
                <w:lang w:val="en-US"/>
              </w:rPr>
              <w:t>Well Informed</w:t>
            </w:r>
          </w:p>
        </w:tc>
        <w:tc>
          <w:tcPr>
            <w:tcW w:w="8136" w:type="dxa"/>
          </w:tcPr>
          <w:p w:rsidR="008E4435" w:rsidRDefault="006C6533" w:rsidP="00D9487A">
            <w:pPr>
              <w:spacing w:line="259" w:lineRule="auto"/>
              <w:contextualSpacing/>
            </w:pPr>
            <w:r>
              <w:t>Committee noted that face-to-f</w:t>
            </w:r>
            <w:r w:rsidR="00AD0F7E">
              <w:t xml:space="preserve">ace events, </w:t>
            </w:r>
            <w:r>
              <w:t>including Long Service Awards, recruitment e</w:t>
            </w:r>
            <w:r w:rsidR="00AD0F7E">
              <w:t>vents</w:t>
            </w:r>
            <w:r>
              <w:t xml:space="preserve">, and </w:t>
            </w:r>
            <w:r w:rsidR="007D54A0">
              <w:t xml:space="preserve">national </w:t>
            </w:r>
            <w:r w:rsidR="00AD0F7E">
              <w:t xml:space="preserve">NHS events will return </w:t>
            </w:r>
            <w:r w:rsidR="007D54A0">
              <w:t>during</w:t>
            </w:r>
            <w:r w:rsidR="00AD0F7E">
              <w:t xml:space="preserve"> 2022.  </w:t>
            </w:r>
            <w:r>
              <w:t>The Committee specifically noted the evolving programme of events to celebrate the 20-year anniversary of NHS Golden Jubilee.</w:t>
            </w:r>
          </w:p>
          <w:p w:rsidR="00AD0F7E" w:rsidRDefault="00AD0F7E" w:rsidP="00D9487A">
            <w:pPr>
              <w:spacing w:line="259" w:lineRule="auto"/>
              <w:contextualSpacing/>
            </w:pPr>
          </w:p>
          <w:p w:rsidR="00AD0F7E" w:rsidRDefault="00AD0F7E" w:rsidP="00AD0F7E">
            <w:pPr>
              <w:spacing w:line="259" w:lineRule="auto"/>
              <w:contextualSpacing/>
            </w:pPr>
            <w:r>
              <w:t xml:space="preserve">Committee discussed </w:t>
            </w:r>
            <w:r w:rsidR="00DC27B0">
              <w:t xml:space="preserve">the </w:t>
            </w:r>
            <w:r>
              <w:t>Integrat</w:t>
            </w:r>
            <w:r w:rsidR="00DC27B0">
              <w:t>ed</w:t>
            </w:r>
            <w:r>
              <w:t xml:space="preserve"> Performance Report findings</w:t>
            </w:r>
            <w:r w:rsidR="007D54A0">
              <w:t>. The Committee</w:t>
            </w:r>
            <w:r>
              <w:t xml:space="preserve"> </w:t>
            </w:r>
            <w:r w:rsidR="006C6533">
              <w:t xml:space="preserve">noted </w:t>
            </w:r>
            <w:r w:rsidR="00E34C65">
              <w:t>measures aimed at raising</w:t>
            </w:r>
            <w:r>
              <w:t xml:space="preserve"> appraisal rates and </w:t>
            </w:r>
            <w:r w:rsidR="00E34C65">
              <w:t>job plan completion</w:t>
            </w:r>
            <w:r w:rsidR="00DC27B0">
              <w:t xml:space="preserve"> in time for financial year end</w:t>
            </w:r>
            <w:r>
              <w:t>. Commit</w:t>
            </w:r>
            <w:r w:rsidR="00DC27B0">
              <w:t>tee expres</w:t>
            </w:r>
            <w:r>
              <w:t>s</w:t>
            </w:r>
            <w:r w:rsidR="00DC27B0">
              <w:t>ed</w:t>
            </w:r>
            <w:r>
              <w:t xml:space="preserve"> </w:t>
            </w:r>
            <w:r w:rsidR="00B8022B">
              <w:t xml:space="preserve">cautious </w:t>
            </w:r>
            <w:r>
              <w:t>optimis</w:t>
            </w:r>
            <w:r w:rsidR="00DC27B0">
              <w:t>m</w:t>
            </w:r>
            <w:r>
              <w:t xml:space="preserve"> </w:t>
            </w:r>
            <w:r w:rsidR="00DC27B0">
              <w:t>regarding</w:t>
            </w:r>
            <w:r>
              <w:t xml:space="preserve"> staff absence </w:t>
            </w:r>
            <w:r w:rsidR="00B8022B">
              <w:t>rates</w:t>
            </w:r>
            <w:r w:rsidR="00DC27B0">
              <w:t xml:space="preserve"> </w:t>
            </w:r>
            <w:r>
              <w:t xml:space="preserve">and </w:t>
            </w:r>
            <w:r w:rsidR="00DC27B0">
              <w:t>noted the position of NHSGJ</w:t>
            </w:r>
            <w:r>
              <w:t xml:space="preserve"> </w:t>
            </w:r>
            <w:r w:rsidR="00DC27B0">
              <w:t>relative to</w:t>
            </w:r>
            <w:r>
              <w:t xml:space="preserve"> NHS Health Boards throughout Scotland. </w:t>
            </w:r>
            <w:r w:rsidR="00B8022B">
              <w:t xml:space="preserve">The Committee noted </w:t>
            </w:r>
            <w:r w:rsidR="00BD5C70">
              <w:t xml:space="preserve">that </w:t>
            </w:r>
            <w:r w:rsidR="00B8022B">
              <w:t xml:space="preserve">the Escalation Process in relation to Job Planning was being implemented. </w:t>
            </w:r>
          </w:p>
          <w:p w:rsidR="00AD0F7E" w:rsidRDefault="00AD0F7E" w:rsidP="00AD0F7E">
            <w:pPr>
              <w:spacing w:line="259" w:lineRule="auto"/>
              <w:contextualSpacing/>
            </w:pPr>
          </w:p>
          <w:p w:rsidR="00AD0F7E" w:rsidRDefault="00AD0F7E" w:rsidP="00DC27B0">
            <w:pPr>
              <w:spacing w:line="259" w:lineRule="auto"/>
              <w:contextualSpacing/>
            </w:pPr>
            <w:r>
              <w:t xml:space="preserve">NHS Golden </w:t>
            </w:r>
            <w:r w:rsidR="00E06942">
              <w:t>Jubilee</w:t>
            </w:r>
            <w:r>
              <w:t xml:space="preserve"> grievances and disciplinary rates </w:t>
            </w:r>
            <w:r w:rsidR="007D54A0">
              <w:t>remain low when compared with other NHS Scotland boards</w:t>
            </w:r>
            <w:r>
              <w:t xml:space="preserve">. Committee </w:t>
            </w:r>
            <w:r w:rsidR="007D54A0">
              <w:t>noted th</w:t>
            </w:r>
            <w:r w:rsidR="00B8022B">
              <w:t>e upcoming publication of NHSGJ</w:t>
            </w:r>
            <w:r w:rsidR="007D54A0">
              <w:t>s</w:t>
            </w:r>
            <w:r>
              <w:t xml:space="preserve"> iMatter report</w:t>
            </w:r>
            <w:r w:rsidR="007D54A0">
              <w:t>, and the opportunity the Committee will have to place data reported to the Committee (including on grievances</w:t>
            </w:r>
            <w:r w:rsidR="00DC27B0">
              <w:t xml:space="preserve"> and disciplinary matters</w:t>
            </w:r>
            <w:r w:rsidR="007D54A0">
              <w:t xml:space="preserve">) in the context of that report. </w:t>
            </w:r>
          </w:p>
          <w:p w:rsidR="00225E31" w:rsidRDefault="00225E31" w:rsidP="00DC27B0">
            <w:pPr>
              <w:spacing w:line="259" w:lineRule="auto"/>
              <w:contextualSpacing/>
            </w:pPr>
            <w:bookmarkStart w:id="0" w:name="_GoBack"/>
            <w:bookmarkEnd w:id="0"/>
          </w:p>
          <w:p w:rsidR="00B8022B" w:rsidRDefault="00B8022B" w:rsidP="00DC27B0">
            <w:pPr>
              <w:spacing w:line="259" w:lineRule="auto"/>
              <w:contextualSpacing/>
            </w:pPr>
          </w:p>
        </w:tc>
      </w:tr>
      <w:tr w:rsidR="000B17DC" w:rsidRPr="00F06CCF" w:rsidTr="008F480C">
        <w:tc>
          <w:tcPr>
            <w:tcW w:w="1683" w:type="dxa"/>
          </w:tcPr>
          <w:p w:rsidR="000B17DC" w:rsidRDefault="007E4C5D" w:rsidP="00CF56EF">
            <w:r>
              <w:rPr>
                <w:b/>
                <w:bCs/>
                <w:lang w:val="en-US"/>
              </w:rPr>
              <w:lastRenderedPageBreak/>
              <w:t>Well Trained</w:t>
            </w:r>
          </w:p>
          <w:p w:rsidR="000B17DC" w:rsidRPr="008A1D76" w:rsidRDefault="000B17DC" w:rsidP="00CF56EF"/>
        </w:tc>
        <w:tc>
          <w:tcPr>
            <w:tcW w:w="8136" w:type="dxa"/>
          </w:tcPr>
          <w:p w:rsidR="008E4435" w:rsidRDefault="00AD0F7E" w:rsidP="007D54A0">
            <w:pPr>
              <w:spacing w:line="259" w:lineRule="auto"/>
              <w:contextualSpacing/>
            </w:pPr>
            <w:r>
              <w:t xml:space="preserve">Committee welcomed </w:t>
            </w:r>
            <w:r w:rsidR="007D54A0">
              <w:t xml:space="preserve">the presentation by Christina MacLean of the </w:t>
            </w:r>
            <w:r>
              <w:t>AH</w:t>
            </w:r>
            <w:r w:rsidR="007D54A0">
              <w:t xml:space="preserve">P draft Strategy Workforce Plan. The Committee commended the comprehensive </w:t>
            </w:r>
            <w:r>
              <w:t>work undertaken</w:t>
            </w:r>
            <w:r w:rsidR="007D54A0">
              <w:t xml:space="preserve"> in preparation of the Strategy</w:t>
            </w:r>
            <w:r>
              <w:t xml:space="preserve">. The final strategy plan will be presented at a future Committee for discussion. </w:t>
            </w:r>
          </w:p>
          <w:p w:rsidR="00B8022B" w:rsidRPr="00C8687A" w:rsidRDefault="00B8022B" w:rsidP="007D54A0">
            <w:pPr>
              <w:spacing w:line="259" w:lineRule="auto"/>
              <w:contextualSpacing/>
            </w:pPr>
          </w:p>
        </w:tc>
      </w:tr>
      <w:tr w:rsidR="000B17DC" w:rsidRPr="00F06CCF" w:rsidTr="008F480C">
        <w:trPr>
          <w:trHeight w:val="974"/>
        </w:trPr>
        <w:tc>
          <w:tcPr>
            <w:tcW w:w="1683" w:type="dxa"/>
          </w:tcPr>
          <w:p w:rsidR="000B17DC" w:rsidRPr="00A030E0" w:rsidRDefault="00EA43F4" w:rsidP="00CF56EF">
            <w:pPr>
              <w:rPr>
                <w:b/>
                <w:lang w:val="en-US"/>
              </w:rPr>
            </w:pPr>
            <w:r>
              <w:rPr>
                <w:b/>
                <w:lang w:val="en-US"/>
              </w:rPr>
              <w:t>Involved in Decision</w:t>
            </w:r>
            <w:r w:rsidR="00001317">
              <w:rPr>
                <w:b/>
                <w:lang w:val="en-US"/>
              </w:rPr>
              <w:t>s</w:t>
            </w:r>
          </w:p>
        </w:tc>
        <w:tc>
          <w:tcPr>
            <w:tcW w:w="8136" w:type="dxa"/>
          </w:tcPr>
          <w:p w:rsidR="00504234" w:rsidRDefault="00AD0F7E" w:rsidP="007D54A0">
            <w:pPr>
              <w:contextualSpacing/>
            </w:pPr>
            <w:r>
              <w:t xml:space="preserve">Committee noted no changes to Terms of Reference </w:t>
            </w:r>
            <w:r w:rsidR="007D54A0">
              <w:t xml:space="preserve">at present. The Committee recognised that Terms of </w:t>
            </w:r>
            <w:r w:rsidR="00DC27B0">
              <w:t>R</w:t>
            </w:r>
            <w:r w:rsidR="007D54A0">
              <w:t>eference will require to remain under consideration due to the evolving and growing nature of NHSGJ services.</w:t>
            </w:r>
            <w:r w:rsidR="00427EDE">
              <w:t xml:space="preserve"> </w:t>
            </w:r>
          </w:p>
          <w:p w:rsidR="00225E31" w:rsidRPr="006C1C0F" w:rsidRDefault="00225E31" w:rsidP="007D54A0">
            <w:pPr>
              <w:contextualSpacing/>
            </w:pPr>
          </w:p>
        </w:tc>
      </w:tr>
      <w:tr w:rsidR="008F480C" w:rsidRPr="00F06CCF" w:rsidTr="008F480C">
        <w:trPr>
          <w:trHeight w:val="974"/>
        </w:trPr>
        <w:tc>
          <w:tcPr>
            <w:tcW w:w="1683" w:type="dxa"/>
          </w:tcPr>
          <w:p w:rsidR="008F480C" w:rsidRPr="00B8789A" w:rsidRDefault="008F480C" w:rsidP="00CF56EF">
            <w:pPr>
              <w:rPr>
                <w:b/>
                <w:lang w:val="en-US"/>
              </w:rPr>
            </w:pPr>
            <w:r w:rsidRPr="00B8789A">
              <w:rPr>
                <w:b/>
                <w:lang w:val="en-US"/>
              </w:rPr>
              <w:t>Fair and Consistent</w:t>
            </w:r>
          </w:p>
        </w:tc>
        <w:tc>
          <w:tcPr>
            <w:tcW w:w="8136" w:type="dxa"/>
          </w:tcPr>
          <w:p w:rsidR="00827FDC" w:rsidRDefault="001567CE" w:rsidP="00DC27B0">
            <w:pPr>
              <w:spacing w:line="259" w:lineRule="auto"/>
              <w:contextualSpacing/>
            </w:pPr>
            <w:r w:rsidRPr="001567CE">
              <w:t>Committee noted</w:t>
            </w:r>
            <w:r w:rsidR="007D54A0">
              <w:t xml:space="preserve"> a </w:t>
            </w:r>
            <w:r w:rsidR="00DC27B0">
              <w:t xml:space="preserve">comprehensive </w:t>
            </w:r>
            <w:r w:rsidR="007D54A0">
              <w:t>report prepared by the Board Secretary on work undertaken and programmed in implementation of the</w:t>
            </w:r>
            <w:r w:rsidRPr="001567CE">
              <w:t xml:space="preserve"> Blue Print for Good Governance</w:t>
            </w:r>
            <w:r w:rsidR="007D54A0">
              <w:t>. The Committee noted likely</w:t>
            </w:r>
            <w:r w:rsidRPr="001567CE">
              <w:t xml:space="preserve"> national activity </w:t>
            </w:r>
            <w:r w:rsidR="007D54A0">
              <w:t>in further evolution of the Blueprint, and noted the upcoming Board Seminar on Active Governance, delivered by</w:t>
            </w:r>
            <w:r w:rsidRPr="001567CE">
              <w:t xml:space="preserve"> National Education Scotland</w:t>
            </w:r>
            <w:r w:rsidR="00DC27B0">
              <w:t xml:space="preserve">. Committee noted further </w:t>
            </w:r>
            <w:r w:rsidRPr="001567CE">
              <w:t>opportunit</w:t>
            </w:r>
            <w:r w:rsidR="007D54A0">
              <w:t>ies</w:t>
            </w:r>
            <w:r w:rsidRPr="001567CE">
              <w:t xml:space="preserve"> for </w:t>
            </w:r>
            <w:r w:rsidR="007D54A0">
              <w:t>partnership working with strategic partners, such as the University of Strathcly</w:t>
            </w:r>
            <w:r w:rsidR="00E34C65">
              <w:t>d</w:t>
            </w:r>
            <w:r w:rsidR="007D54A0">
              <w:t>e, in this area.</w:t>
            </w:r>
            <w:r w:rsidRPr="001567CE">
              <w:t xml:space="preserve"> </w:t>
            </w:r>
          </w:p>
          <w:p w:rsidR="00225E31" w:rsidRPr="001567CE" w:rsidRDefault="00225E31" w:rsidP="00DC27B0">
            <w:pPr>
              <w:spacing w:line="259" w:lineRule="auto"/>
              <w:contextualSpacing/>
            </w:pPr>
          </w:p>
        </w:tc>
      </w:tr>
    </w:tbl>
    <w:p w:rsidR="000B17DC" w:rsidRDefault="000B17DC" w:rsidP="000B17DC">
      <w:pPr>
        <w:rPr>
          <w:b/>
          <w:u w:val="single"/>
        </w:rPr>
      </w:pPr>
    </w:p>
    <w:p w:rsidR="006C1C0F" w:rsidRPr="00414A13" w:rsidRDefault="000B17DC" w:rsidP="000B17DC">
      <w:pPr>
        <w:rPr>
          <w:bCs/>
        </w:rPr>
      </w:pPr>
      <w:r w:rsidRPr="00414A13">
        <w:rPr>
          <w:bCs/>
        </w:rPr>
        <w:t>Th</w:t>
      </w:r>
      <w:r w:rsidR="00924BF7">
        <w:rPr>
          <w:bCs/>
        </w:rPr>
        <w:t xml:space="preserve">e </w:t>
      </w:r>
      <w:r w:rsidR="007E4C5D">
        <w:rPr>
          <w:bCs/>
        </w:rPr>
        <w:t xml:space="preserve">next meeting is scheduled for </w:t>
      </w:r>
      <w:r w:rsidR="00193BC5">
        <w:rPr>
          <w:bCs/>
        </w:rPr>
        <w:t xml:space="preserve">3 </w:t>
      </w:r>
      <w:r w:rsidR="00D9487A">
        <w:rPr>
          <w:bCs/>
        </w:rPr>
        <w:t>May</w:t>
      </w:r>
      <w:r w:rsidR="00193BC5">
        <w:rPr>
          <w:bCs/>
        </w:rPr>
        <w:t xml:space="preserve"> 2022</w:t>
      </w:r>
      <w:r w:rsidR="00AF51AB">
        <w:rPr>
          <w:bCs/>
        </w:rPr>
        <w:t>.</w:t>
      </w:r>
    </w:p>
    <w:p w:rsidR="00382A9A" w:rsidRPr="00FE3CDB" w:rsidRDefault="00382A9A" w:rsidP="00382A9A">
      <w:pPr>
        <w:pStyle w:val="Heading2"/>
        <w:ind w:left="-426" w:right="183"/>
        <w:rPr>
          <w:i w:val="0"/>
          <w:sz w:val="24"/>
          <w:szCs w:val="24"/>
        </w:rPr>
      </w:pPr>
      <w:r w:rsidRPr="00FE3CDB">
        <w:rPr>
          <w:i w:val="0"/>
          <w:sz w:val="24"/>
          <w:szCs w:val="24"/>
        </w:rPr>
        <w:t xml:space="preserve">2 </w:t>
      </w:r>
      <w:r w:rsidRPr="00FE3CDB">
        <w:rPr>
          <w:i w:val="0"/>
          <w:sz w:val="24"/>
          <w:szCs w:val="24"/>
        </w:rPr>
        <w:tab/>
        <w:t>Recommendation</w:t>
      </w:r>
    </w:p>
    <w:p w:rsidR="00382A9A" w:rsidRPr="00FE3CDB" w:rsidRDefault="00382A9A" w:rsidP="00382A9A">
      <w:r w:rsidRPr="00FE3CDB">
        <w:t xml:space="preserve">Board Members are asked to note the </w:t>
      </w:r>
      <w:r>
        <w:t>SG</w:t>
      </w:r>
      <w:r w:rsidR="0014267D">
        <w:t>PC</w:t>
      </w:r>
      <w:r>
        <w:t xml:space="preserve"> </w:t>
      </w:r>
      <w:r w:rsidRPr="00FE3CDB">
        <w:t>Committee Update.</w:t>
      </w:r>
    </w:p>
    <w:p w:rsidR="006C1C0F" w:rsidRPr="00FE3CDB" w:rsidRDefault="006C1C0F" w:rsidP="00382A9A">
      <w:pPr>
        <w:ind w:right="183"/>
        <w:rPr>
          <w:bCs/>
        </w:rPr>
      </w:pPr>
    </w:p>
    <w:p w:rsidR="000B17DC" w:rsidRDefault="0014267D" w:rsidP="000B17DC">
      <w:pPr>
        <w:rPr>
          <w:b/>
          <w:bCs/>
        </w:rPr>
      </w:pPr>
      <w:r>
        <w:rPr>
          <w:b/>
          <w:bCs/>
        </w:rPr>
        <w:t>Marcella Boyle</w:t>
      </w:r>
      <w:r w:rsidR="00292842">
        <w:rPr>
          <w:b/>
          <w:bCs/>
        </w:rPr>
        <w:t xml:space="preserve">, </w:t>
      </w:r>
      <w:r>
        <w:rPr>
          <w:b/>
          <w:bCs/>
        </w:rPr>
        <w:t xml:space="preserve">Chair – </w:t>
      </w:r>
      <w:r w:rsidR="006C1C0F">
        <w:rPr>
          <w:b/>
          <w:bCs/>
        </w:rPr>
        <w:t xml:space="preserve">Staff Governance </w:t>
      </w:r>
      <w:r>
        <w:rPr>
          <w:b/>
          <w:bCs/>
        </w:rPr>
        <w:t xml:space="preserve">Person Centred </w:t>
      </w:r>
      <w:r w:rsidR="006C1C0F">
        <w:rPr>
          <w:b/>
          <w:bCs/>
        </w:rPr>
        <w:t>Committee</w:t>
      </w:r>
    </w:p>
    <w:p w:rsidR="00DE274F" w:rsidRDefault="000B17DC">
      <w:pPr>
        <w:rPr>
          <w:b/>
          <w:bCs/>
        </w:rPr>
      </w:pPr>
      <w:r>
        <w:rPr>
          <w:b/>
          <w:bCs/>
        </w:rPr>
        <w:t>Gareth Adkins</w:t>
      </w:r>
      <w:r w:rsidR="00292842">
        <w:rPr>
          <w:b/>
          <w:bCs/>
        </w:rPr>
        <w:t xml:space="preserve">, </w:t>
      </w:r>
      <w:r>
        <w:rPr>
          <w:b/>
          <w:bCs/>
        </w:rPr>
        <w:t>Director of Quality, Innovation &amp; People</w:t>
      </w:r>
    </w:p>
    <w:sectPr w:rsidR="00DE274F" w:rsidSect="00A63F95">
      <w:headerReference w:type="default" r:id="rId9"/>
      <w:footerReference w:type="even" r:id="rId10"/>
      <w:footerReference w:type="default" r:id="rId11"/>
      <w:pgSz w:w="11906" w:h="16838"/>
      <w:pgMar w:top="567"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160CE" w16cex:dateUtc="2021-07-20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413525" w16cid:durableId="24A160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D44" w:rsidRDefault="00283D44">
      <w:r>
        <w:separator/>
      </w:r>
    </w:p>
  </w:endnote>
  <w:endnote w:type="continuationSeparator" w:id="0">
    <w:p w:rsidR="00283D44" w:rsidRDefault="0028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BD5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5C70">
      <w:rPr>
        <w:rStyle w:val="PageNumber"/>
        <w:noProof/>
      </w:rPr>
      <w:t>2</w:t>
    </w:r>
    <w:r>
      <w:rPr>
        <w:rStyle w:val="PageNumber"/>
      </w:rPr>
      <w:fldChar w:fldCharType="end"/>
    </w:r>
  </w:p>
  <w:p w:rsidR="00E31342" w:rsidRDefault="00BD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D44" w:rsidRDefault="00283D44">
      <w:r>
        <w:separator/>
      </w:r>
    </w:p>
  </w:footnote>
  <w:footnote w:type="continuationSeparator" w:id="0">
    <w:p w:rsidR="00283D44" w:rsidRDefault="0028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683F31" w:rsidP="00F4499D">
    <w:pPr>
      <w:pStyle w:val="Header"/>
      <w:jc w:val="right"/>
      <w:rPr>
        <w:b/>
        <w:color w:val="0070C0"/>
        <w:lang w:val="en-AU"/>
      </w:rPr>
    </w:pPr>
    <w:r>
      <w:rPr>
        <w:b/>
        <w:color w:val="0070C0"/>
        <w:lang w:val="en-AU"/>
      </w:rPr>
      <w:t xml:space="preserve">Item </w:t>
    </w:r>
    <w:r w:rsidR="00225E31">
      <w:rPr>
        <w:b/>
        <w:color w:val="0070C0"/>
        <w:lang w:val="en-AU"/>
      </w:rPr>
      <w:t>6.2</w:t>
    </w:r>
  </w:p>
  <w:p w:rsidR="00BD5C70" w:rsidRPr="00683F31" w:rsidRDefault="00BD5C70" w:rsidP="00F4499D">
    <w:pPr>
      <w:pStyle w:val="Header"/>
      <w:jc w:val="right"/>
      <w:rPr>
        <w:b/>
        <w:color w:val="0070C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F4A"/>
    <w:multiLevelType w:val="hybridMultilevel"/>
    <w:tmpl w:val="B5CE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41D9"/>
    <w:multiLevelType w:val="hybridMultilevel"/>
    <w:tmpl w:val="E3B2C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E440E5"/>
    <w:multiLevelType w:val="hybridMultilevel"/>
    <w:tmpl w:val="9DDC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4" w15:restartNumberingAfterBreak="0">
    <w:nsid w:val="26401C19"/>
    <w:multiLevelType w:val="hybridMultilevel"/>
    <w:tmpl w:val="41C8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F067F1"/>
    <w:multiLevelType w:val="hybridMultilevel"/>
    <w:tmpl w:val="5C1C09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7765A"/>
    <w:multiLevelType w:val="hybridMultilevel"/>
    <w:tmpl w:val="031C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50B27"/>
    <w:multiLevelType w:val="hybridMultilevel"/>
    <w:tmpl w:val="B9F8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E6EE3"/>
    <w:multiLevelType w:val="hybridMultilevel"/>
    <w:tmpl w:val="B54CC4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06D717B"/>
    <w:multiLevelType w:val="hybridMultilevel"/>
    <w:tmpl w:val="02CC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78E83F31"/>
    <w:multiLevelType w:val="hybridMultilevel"/>
    <w:tmpl w:val="959289FA"/>
    <w:lvl w:ilvl="0" w:tplc="2518504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C6212"/>
    <w:multiLevelType w:val="hybridMultilevel"/>
    <w:tmpl w:val="A644294A"/>
    <w:lvl w:ilvl="0" w:tplc="5E2ACFEC">
      <w:start w:val="1"/>
      <w:numFmt w:val="bullet"/>
      <w:lvlText w:val=""/>
      <w:lvlJc w:val="left"/>
      <w:pPr>
        <w:ind w:left="774" w:hanging="360"/>
      </w:pPr>
      <w:rPr>
        <w:rFonts w:ascii="Symbol" w:hAnsi="Symbol" w:hint="default"/>
        <w:color w:val="00B0F0"/>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7F2E65BF"/>
    <w:multiLevelType w:val="hybridMultilevel"/>
    <w:tmpl w:val="30442BE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num w:numId="1">
    <w:abstractNumId w:val="13"/>
  </w:num>
  <w:num w:numId="2">
    <w:abstractNumId w:val="5"/>
  </w:num>
  <w:num w:numId="3">
    <w:abstractNumId w:val="3"/>
  </w:num>
  <w:num w:numId="4">
    <w:abstractNumId w:val="11"/>
  </w:num>
  <w:num w:numId="5">
    <w:abstractNumId w:val="12"/>
  </w:num>
  <w:num w:numId="6">
    <w:abstractNumId w:val="0"/>
  </w:num>
  <w:num w:numId="7">
    <w:abstractNumId w:val="14"/>
  </w:num>
  <w:num w:numId="8">
    <w:abstractNumId w:val="10"/>
  </w:num>
  <w:num w:numId="9">
    <w:abstractNumId w:val="9"/>
  </w:num>
  <w:num w:numId="10">
    <w:abstractNumId w:val="4"/>
  </w:num>
  <w:num w:numId="11">
    <w:abstractNumId w:val="6"/>
  </w:num>
  <w:num w:numId="12">
    <w:abstractNumId w:val="7"/>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DC"/>
    <w:rsid w:val="00001317"/>
    <w:rsid w:val="00003D33"/>
    <w:rsid w:val="00004DC8"/>
    <w:rsid w:val="00031E0A"/>
    <w:rsid w:val="000504F3"/>
    <w:rsid w:val="00053F84"/>
    <w:rsid w:val="00060B83"/>
    <w:rsid w:val="000638D5"/>
    <w:rsid w:val="00086C2C"/>
    <w:rsid w:val="000876B7"/>
    <w:rsid w:val="00091313"/>
    <w:rsid w:val="000B17DC"/>
    <w:rsid w:val="000B24E6"/>
    <w:rsid w:val="000C2561"/>
    <w:rsid w:val="000C4F94"/>
    <w:rsid w:val="000E7170"/>
    <w:rsid w:val="001018C3"/>
    <w:rsid w:val="00110F49"/>
    <w:rsid w:val="0013046C"/>
    <w:rsid w:val="0014267D"/>
    <w:rsid w:val="001567CE"/>
    <w:rsid w:val="001715DB"/>
    <w:rsid w:val="00180820"/>
    <w:rsid w:val="00182018"/>
    <w:rsid w:val="00192828"/>
    <w:rsid w:val="00193BC5"/>
    <w:rsid w:val="001A6338"/>
    <w:rsid w:val="001B1C74"/>
    <w:rsid w:val="001E4458"/>
    <w:rsid w:val="001F7B50"/>
    <w:rsid w:val="001F7F4D"/>
    <w:rsid w:val="00204AD7"/>
    <w:rsid w:val="0022323F"/>
    <w:rsid w:val="00225E31"/>
    <w:rsid w:val="00236B10"/>
    <w:rsid w:val="00252327"/>
    <w:rsid w:val="00254CCE"/>
    <w:rsid w:val="00255D40"/>
    <w:rsid w:val="00273178"/>
    <w:rsid w:val="00283D44"/>
    <w:rsid w:val="002853D6"/>
    <w:rsid w:val="002857F7"/>
    <w:rsid w:val="00287779"/>
    <w:rsid w:val="00292842"/>
    <w:rsid w:val="00296F6F"/>
    <w:rsid w:val="002C03C5"/>
    <w:rsid w:val="002C30EE"/>
    <w:rsid w:val="002C79C6"/>
    <w:rsid w:val="002E13BF"/>
    <w:rsid w:val="002F4007"/>
    <w:rsid w:val="0030554F"/>
    <w:rsid w:val="00306C2E"/>
    <w:rsid w:val="00312157"/>
    <w:rsid w:val="00315701"/>
    <w:rsid w:val="0031784E"/>
    <w:rsid w:val="003336C5"/>
    <w:rsid w:val="0033754D"/>
    <w:rsid w:val="00354A6B"/>
    <w:rsid w:val="00354BA9"/>
    <w:rsid w:val="003728C1"/>
    <w:rsid w:val="00374578"/>
    <w:rsid w:val="00382A9A"/>
    <w:rsid w:val="003933AF"/>
    <w:rsid w:val="003A65B0"/>
    <w:rsid w:val="003B4F1A"/>
    <w:rsid w:val="003B5563"/>
    <w:rsid w:val="003C4A70"/>
    <w:rsid w:val="003E1894"/>
    <w:rsid w:val="003E2A5F"/>
    <w:rsid w:val="003E2B73"/>
    <w:rsid w:val="00407A8F"/>
    <w:rsid w:val="004121DC"/>
    <w:rsid w:val="00424293"/>
    <w:rsid w:val="00427EDE"/>
    <w:rsid w:val="0046359D"/>
    <w:rsid w:val="00466BE7"/>
    <w:rsid w:val="00471DE3"/>
    <w:rsid w:val="004C0F08"/>
    <w:rsid w:val="004C48EE"/>
    <w:rsid w:val="004C5B2F"/>
    <w:rsid w:val="004D00E2"/>
    <w:rsid w:val="004D112B"/>
    <w:rsid w:val="004D5DA5"/>
    <w:rsid w:val="004D6E67"/>
    <w:rsid w:val="004E3D5E"/>
    <w:rsid w:val="004F06B2"/>
    <w:rsid w:val="00504234"/>
    <w:rsid w:val="005113D2"/>
    <w:rsid w:val="00520BF9"/>
    <w:rsid w:val="005558ED"/>
    <w:rsid w:val="00555942"/>
    <w:rsid w:val="005B1946"/>
    <w:rsid w:val="005B5BFB"/>
    <w:rsid w:val="005B7B1D"/>
    <w:rsid w:val="00603AE6"/>
    <w:rsid w:val="0062776C"/>
    <w:rsid w:val="00633282"/>
    <w:rsid w:val="00634B41"/>
    <w:rsid w:val="0064628A"/>
    <w:rsid w:val="00653BD4"/>
    <w:rsid w:val="00657ECB"/>
    <w:rsid w:val="00661956"/>
    <w:rsid w:val="00683F31"/>
    <w:rsid w:val="006941BA"/>
    <w:rsid w:val="006C1437"/>
    <w:rsid w:val="006C1C0F"/>
    <w:rsid w:val="006C6533"/>
    <w:rsid w:val="006E3A6F"/>
    <w:rsid w:val="00700553"/>
    <w:rsid w:val="007209D8"/>
    <w:rsid w:val="00722744"/>
    <w:rsid w:val="0076189A"/>
    <w:rsid w:val="00771EAC"/>
    <w:rsid w:val="00776750"/>
    <w:rsid w:val="007956ED"/>
    <w:rsid w:val="007A56C3"/>
    <w:rsid w:val="007D54A0"/>
    <w:rsid w:val="007E4C5D"/>
    <w:rsid w:val="0081144C"/>
    <w:rsid w:val="00827FDC"/>
    <w:rsid w:val="00843075"/>
    <w:rsid w:val="0089057C"/>
    <w:rsid w:val="008962F3"/>
    <w:rsid w:val="008B05CE"/>
    <w:rsid w:val="008D0F0E"/>
    <w:rsid w:val="008D4DD2"/>
    <w:rsid w:val="008E13CA"/>
    <w:rsid w:val="008E4435"/>
    <w:rsid w:val="008F480C"/>
    <w:rsid w:val="00900487"/>
    <w:rsid w:val="00906189"/>
    <w:rsid w:val="009108BF"/>
    <w:rsid w:val="00922772"/>
    <w:rsid w:val="0092354C"/>
    <w:rsid w:val="00924BF7"/>
    <w:rsid w:val="00931F79"/>
    <w:rsid w:val="0093664C"/>
    <w:rsid w:val="009663A9"/>
    <w:rsid w:val="009A28C9"/>
    <w:rsid w:val="00A030E0"/>
    <w:rsid w:val="00A03F21"/>
    <w:rsid w:val="00A2094E"/>
    <w:rsid w:val="00A4781C"/>
    <w:rsid w:val="00A63CE6"/>
    <w:rsid w:val="00A63F95"/>
    <w:rsid w:val="00AA3B36"/>
    <w:rsid w:val="00AA40CE"/>
    <w:rsid w:val="00AB1CBE"/>
    <w:rsid w:val="00AB3582"/>
    <w:rsid w:val="00AB76C8"/>
    <w:rsid w:val="00AC187C"/>
    <w:rsid w:val="00AC23AC"/>
    <w:rsid w:val="00AC3CE8"/>
    <w:rsid w:val="00AD0F7E"/>
    <w:rsid w:val="00AD409B"/>
    <w:rsid w:val="00AE444B"/>
    <w:rsid w:val="00AF0C42"/>
    <w:rsid w:val="00AF51AB"/>
    <w:rsid w:val="00B02B57"/>
    <w:rsid w:val="00B2554E"/>
    <w:rsid w:val="00B33616"/>
    <w:rsid w:val="00B63B61"/>
    <w:rsid w:val="00B66BAC"/>
    <w:rsid w:val="00B8022B"/>
    <w:rsid w:val="00B8789A"/>
    <w:rsid w:val="00B97A6E"/>
    <w:rsid w:val="00BA5BB3"/>
    <w:rsid w:val="00BC23DB"/>
    <w:rsid w:val="00BC5035"/>
    <w:rsid w:val="00BD03A4"/>
    <w:rsid w:val="00BD5C70"/>
    <w:rsid w:val="00BD718B"/>
    <w:rsid w:val="00BE565B"/>
    <w:rsid w:val="00BF604C"/>
    <w:rsid w:val="00C007BF"/>
    <w:rsid w:val="00C05EFA"/>
    <w:rsid w:val="00C15447"/>
    <w:rsid w:val="00C17A39"/>
    <w:rsid w:val="00C20507"/>
    <w:rsid w:val="00C24D30"/>
    <w:rsid w:val="00C33B72"/>
    <w:rsid w:val="00C3773F"/>
    <w:rsid w:val="00C4203F"/>
    <w:rsid w:val="00C50D9B"/>
    <w:rsid w:val="00C60A6D"/>
    <w:rsid w:val="00C66F90"/>
    <w:rsid w:val="00C70504"/>
    <w:rsid w:val="00C8162A"/>
    <w:rsid w:val="00C8687A"/>
    <w:rsid w:val="00C979E9"/>
    <w:rsid w:val="00CA2327"/>
    <w:rsid w:val="00CA3F5B"/>
    <w:rsid w:val="00CA5EF8"/>
    <w:rsid w:val="00CB0067"/>
    <w:rsid w:val="00CB4FE9"/>
    <w:rsid w:val="00CB6E99"/>
    <w:rsid w:val="00CF56EF"/>
    <w:rsid w:val="00CF7299"/>
    <w:rsid w:val="00CF7A80"/>
    <w:rsid w:val="00D079FB"/>
    <w:rsid w:val="00D11253"/>
    <w:rsid w:val="00D23058"/>
    <w:rsid w:val="00D308D7"/>
    <w:rsid w:val="00D424AE"/>
    <w:rsid w:val="00D520A2"/>
    <w:rsid w:val="00D9487A"/>
    <w:rsid w:val="00DA0688"/>
    <w:rsid w:val="00DA1EB4"/>
    <w:rsid w:val="00DB5465"/>
    <w:rsid w:val="00DC27B0"/>
    <w:rsid w:val="00DE274F"/>
    <w:rsid w:val="00DE4759"/>
    <w:rsid w:val="00DE6FDD"/>
    <w:rsid w:val="00E03A8B"/>
    <w:rsid w:val="00E06942"/>
    <w:rsid w:val="00E23A0F"/>
    <w:rsid w:val="00E34C65"/>
    <w:rsid w:val="00E610EB"/>
    <w:rsid w:val="00E65BD9"/>
    <w:rsid w:val="00E87FAB"/>
    <w:rsid w:val="00E9272D"/>
    <w:rsid w:val="00EA3ABD"/>
    <w:rsid w:val="00EA43F4"/>
    <w:rsid w:val="00EC6098"/>
    <w:rsid w:val="00EE09CF"/>
    <w:rsid w:val="00F06B38"/>
    <w:rsid w:val="00F209DE"/>
    <w:rsid w:val="00F21661"/>
    <w:rsid w:val="00F4499D"/>
    <w:rsid w:val="00F53EE1"/>
    <w:rsid w:val="00F67895"/>
    <w:rsid w:val="00F861F7"/>
    <w:rsid w:val="00F97953"/>
    <w:rsid w:val="00FA2654"/>
    <w:rsid w:val="00FC045D"/>
    <w:rsid w:val="00FC2FD3"/>
    <w:rsid w:val="00FC3719"/>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2BBDA"/>
  <w15:chartTrackingRefBased/>
  <w15:docId w15:val="{ECE4645B-1C5D-4DBE-AA1B-83FE109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DC"/>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B17DC"/>
    <w:pPr>
      <w:keepNext/>
      <w:outlineLvl w:val="0"/>
    </w:pPr>
    <w:rPr>
      <w:rFonts w:ascii="Times New Roman" w:hAnsi="Times New Roman" w:cs="Times New Roman"/>
      <w:b/>
      <w:bCs/>
      <w:sz w:val="32"/>
      <w:szCs w:val="32"/>
    </w:rPr>
  </w:style>
  <w:style w:type="paragraph" w:styleId="Heading2">
    <w:name w:val="heading 2"/>
    <w:basedOn w:val="Normal"/>
    <w:next w:val="Normal"/>
    <w:link w:val="Heading2Char"/>
    <w:qFormat/>
    <w:rsid w:val="00382A9A"/>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7DC"/>
    <w:rPr>
      <w:rFonts w:ascii="Times New Roman" w:eastAsia="Times New Roman" w:hAnsi="Times New Roman" w:cs="Times New Roman"/>
      <w:b/>
      <w:bCs/>
      <w:sz w:val="32"/>
      <w:szCs w:val="32"/>
    </w:rPr>
  </w:style>
  <w:style w:type="paragraph" w:styleId="Footer">
    <w:name w:val="footer"/>
    <w:basedOn w:val="Normal"/>
    <w:link w:val="FooterChar"/>
    <w:rsid w:val="000B17DC"/>
    <w:pPr>
      <w:tabs>
        <w:tab w:val="center" w:pos="4153"/>
        <w:tab w:val="right" w:pos="8306"/>
      </w:tabs>
    </w:pPr>
  </w:style>
  <w:style w:type="character" w:customStyle="1" w:styleId="FooterChar">
    <w:name w:val="Footer Char"/>
    <w:basedOn w:val="DefaultParagraphFont"/>
    <w:link w:val="Footer"/>
    <w:rsid w:val="000B17DC"/>
    <w:rPr>
      <w:rFonts w:ascii="Arial" w:eastAsia="Times New Roman" w:hAnsi="Arial" w:cs="Arial"/>
      <w:sz w:val="24"/>
      <w:szCs w:val="24"/>
    </w:rPr>
  </w:style>
  <w:style w:type="character" w:styleId="PageNumber">
    <w:name w:val="page number"/>
    <w:basedOn w:val="DefaultParagraphFont"/>
    <w:rsid w:val="000B17DC"/>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B17DC"/>
    <w:pPr>
      <w:ind w:left="720"/>
    </w:pPr>
  </w:style>
  <w:style w:type="paragraph" w:styleId="Header">
    <w:name w:val="header"/>
    <w:basedOn w:val="Normal"/>
    <w:link w:val="HeaderChar"/>
    <w:uiPriority w:val="99"/>
    <w:unhideWhenUsed/>
    <w:rsid w:val="0076189A"/>
    <w:pPr>
      <w:tabs>
        <w:tab w:val="center" w:pos="4513"/>
        <w:tab w:val="right" w:pos="9026"/>
      </w:tabs>
    </w:pPr>
  </w:style>
  <w:style w:type="character" w:customStyle="1" w:styleId="HeaderChar">
    <w:name w:val="Header Char"/>
    <w:basedOn w:val="DefaultParagraphFont"/>
    <w:link w:val="Header"/>
    <w:uiPriority w:val="99"/>
    <w:rsid w:val="0076189A"/>
    <w:rPr>
      <w:rFonts w:ascii="Arial" w:eastAsia="Times New Roman" w:hAnsi="Arial" w:cs="Arial"/>
      <w:sz w:val="24"/>
      <w:szCs w:val="24"/>
    </w:rPr>
  </w:style>
  <w:style w:type="paragraph" w:styleId="BalloonText">
    <w:name w:val="Balloon Text"/>
    <w:basedOn w:val="Normal"/>
    <w:link w:val="BalloonTextChar"/>
    <w:uiPriority w:val="99"/>
    <w:semiHidden/>
    <w:unhideWhenUsed/>
    <w:rsid w:val="003E2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73"/>
    <w:rPr>
      <w:rFonts w:ascii="Segoe UI" w:eastAsia="Times New Roman"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287779"/>
    <w:rPr>
      <w:rFonts w:ascii="Arial" w:eastAsia="Times New Roman" w:hAnsi="Arial" w:cs="Arial"/>
      <w:sz w:val="24"/>
      <w:szCs w:val="24"/>
    </w:rPr>
  </w:style>
  <w:style w:type="character" w:customStyle="1" w:styleId="Heading2Char">
    <w:name w:val="Heading 2 Char"/>
    <w:basedOn w:val="DefaultParagraphFont"/>
    <w:link w:val="Heading2"/>
    <w:rsid w:val="00382A9A"/>
    <w:rPr>
      <w:rFonts w:ascii="Arial" w:eastAsia="Times New Roman" w:hAnsi="Arial" w:cs="Arial"/>
      <w:b/>
      <w:bCs/>
      <w:i/>
      <w:iCs/>
      <w:sz w:val="28"/>
      <w:szCs w:val="28"/>
    </w:rPr>
  </w:style>
  <w:style w:type="character" w:styleId="CommentReference">
    <w:name w:val="annotation reference"/>
    <w:basedOn w:val="DefaultParagraphFont"/>
    <w:uiPriority w:val="99"/>
    <w:semiHidden/>
    <w:unhideWhenUsed/>
    <w:rsid w:val="00CA2327"/>
    <w:rPr>
      <w:sz w:val="16"/>
      <w:szCs w:val="16"/>
    </w:rPr>
  </w:style>
  <w:style w:type="paragraph" w:styleId="CommentText">
    <w:name w:val="annotation text"/>
    <w:basedOn w:val="Normal"/>
    <w:link w:val="CommentTextChar"/>
    <w:uiPriority w:val="99"/>
    <w:semiHidden/>
    <w:unhideWhenUsed/>
    <w:rsid w:val="00CA2327"/>
    <w:rPr>
      <w:sz w:val="20"/>
      <w:szCs w:val="20"/>
    </w:rPr>
  </w:style>
  <w:style w:type="character" w:customStyle="1" w:styleId="CommentTextChar">
    <w:name w:val="Comment Text Char"/>
    <w:basedOn w:val="DefaultParagraphFont"/>
    <w:link w:val="CommentText"/>
    <w:uiPriority w:val="99"/>
    <w:semiHidden/>
    <w:rsid w:val="00CA232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A2327"/>
    <w:rPr>
      <w:b/>
      <w:bCs/>
    </w:rPr>
  </w:style>
  <w:style w:type="character" w:customStyle="1" w:styleId="CommentSubjectChar">
    <w:name w:val="Comment Subject Char"/>
    <w:basedOn w:val="CommentTextChar"/>
    <w:link w:val="CommentSubject"/>
    <w:uiPriority w:val="99"/>
    <w:semiHidden/>
    <w:rsid w:val="00CA2327"/>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3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BD12B-FA9F-4078-8823-56EFF609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Denise Crossan</cp:lastModifiedBy>
  <cp:revision>5</cp:revision>
  <cp:lastPrinted>2021-09-07T12:14:00Z</cp:lastPrinted>
  <dcterms:created xsi:type="dcterms:W3CDTF">2022-03-23T16:13:00Z</dcterms:created>
  <dcterms:modified xsi:type="dcterms:W3CDTF">2022-03-24T16:52:00Z</dcterms:modified>
</cp:coreProperties>
</file>