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B5AF" w14:textId="77777777" w:rsidR="00144179" w:rsidRDefault="003A16CA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5F79F4E" wp14:editId="5E4F43D9">
            <wp:simplePos x="0" y="0"/>
            <wp:positionH relativeFrom="column">
              <wp:posOffset>4557319</wp:posOffset>
            </wp:positionH>
            <wp:positionV relativeFrom="paragraph">
              <wp:posOffset>90728</wp:posOffset>
            </wp:positionV>
            <wp:extent cx="1123623" cy="7791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23" cy="77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67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1BE72C" wp14:editId="39803DCE">
                <wp:simplePos x="0" y="0"/>
                <wp:positionH relativeFrom="column">
                  <wp:posOffset>5207000</wp:posOffset>
                </wp:positionH>
                <wp:positionV relativeFrom="paragraph">
                  <wp:posOffset>-312420</wp:posOffset>
                </wp:positionV>
                <wp:extent cx="930275" cy="3702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02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8D443" w14:textId="77777777" w:rsidR="009C4C2C" w:rsidRPr="00AB1FEA" w:rsidRDefault="009C4C2C" w:rsidP="00E97A96">
                            <w:pPr>
                              <w:rPr>
                                <w:rFonts w:ascii="Arial" w:hAnsi="Arial" w:cs="Arial"/>
                                <w:b/>
                                <w:color w:val="5B9BD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1BE7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pt;margin-top:-24.6pt;width:73.25pt;height: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" stroked="f">
                <v:path arrowok="t"/>
                <v:textbox>
                  <w:txbxContent>
                    <w:p w14:paraId="0BC8D443" w14:textId="77777777" w:rsidR="009C4C2C" w:rsidRPr="00AB1FEA" w:rsidRDefault="009C4C2C" w:rsidP="00E97A96">
                      <w:pPr>
                        <w:rPr>
                          <w:rFonts w:ascii="Arial" w:hAnsi="Arial" w:cs="Arial"/>
                          <w:b/>
                          <w:color w:val="5B9BD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5466">
        <w:rPr>
          <w:rFonts w:ascii="Arial" w:hAnsi="Arial" w:cs="Arial"/>
          <w:sz w:val="24"/>
          <w:szCs w:val="24"/>
        </w:rPr>
        <w:t xml:space="preserve"> </w:t>
      </w:r>
    </w:p>
    <w:p w14:paraId="5B2DE07A" w14:textId="77777777" w:rsidR="00144179" w:rsidRDefault="00144179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</w:p>
    <w:p w14:paraId="0A09835D" w14:textId="540081F1" w:rsidR="001175E5" w:rsidRPr="006421AD" w:rsidRDefault="00882F92" w:rsidP="00995B7E">
      <w:pPr>
        <w:pStyle w:val="Heading1"/>
        <w:ind w:left="-426" w:right="183"/>
        <w:rPr>
          <w:rFonts w:ascii="Arial" w:hAnsi="Arial" w:cs="Arial"/>
        </w:rPr>
      </w:pPr>
      <w:r w:rsidRPr="006421AD">
        <w:rPr>
          <w:rFonts w:ascii="Arial" w:hAnsi="Arial" w:cs="Arial"/>
          <w:sz w:val="24"/>
          <w:szCs w:val="24"/>
        </w:rPr>
        <w:t xml:space="preserve">Board </w:t>
      </w:r>
      <w:r w:rsidR="00513DB0" w:rsidRPr="006421AD">
        <w:rPr>
          <w:rFonts w:ascii="Arial" w:hAnsi="Arial" w:cs="Arial"/>
          <w:sz w:val="24"/>
          <w:szCs w:val="24"/>
        </w:rPr>
        <w:t>M</w:t>
      </w:r>
      <w:r w:rsidR="00A2577B" w:rsidRPr="006421AD">
        <w:rPr>
          <w:rFonts w:ascii="Arial" w:hAnsi="Arial" w:cs="Arial"/>
          <w:sz w:val="24"/>
          <w:szCs w:val="24"/>
        </w:rPr>
        <w:t>eeting</w:t>
      </w:r>
      <w:r w:rsidR="00A2577B" w:rsidRPr="006421AD">
        <w:rPr>
          <w:rFonts w:ascii="Arial" w:hAnsi="Arial" w:cs="Arial"/>
          <w:b w:val="0"/>
          <w:sz w:val="24"/>
          <w:szCs w:val="24"/>
        </w:rPr>
        <w:t>:</w:t>
      </w:r>
      <w:r w:rsidR="00A2577B" w:rsidRPr="006421AD">
        <w:rPr>
          <w:rFonts w:ascii="Arial" w:hAnsi="Arial" w:cs="Arial"/>
          <w:b w:val="0"/>
          <w:sz w:val="24"/>
          <w:szCs w:val="24"/>
        </w:rPr>
        <w:tab/>
      </w:r>
      <w:r w:rsidRPr="006421AD">
        <w:rPr>
          <w:rFonts w:ascii="Arial" w:hAnsi="Arial" w:cs="Arial"/>
          <w:b w:val="0"/>
          <w:sz w:val="24"/>
          <w:szCs w:val="24"/>
        </w:rPr>
        <w:tab/>
      </w:r>
      <w:r w:rsidR="005D06E0">
        <w:rPr>
          <w:rFonts w:ascii="Arial" w:hAnsi="Arial" w:cs="Arial"/>
          <w:b w:val="0"/>
          <w:sz w:val="24"/>
          <w:szCs w:val="24"/>
        </w:rPr>
        <w:t xml:space="preserve">31 March </w:t>
      </w:r>
      <w:r w:rsidR="00E47E7D">
        <w:rPr>
          <w:rFonts w:ascii="Arial" w:hAnsi="Arial" w:cs="Arial"/>
          <w:b w:val="0"/>
          <w:sz w:val="24"/>
          <w:szCs w:val="24"/>
        </w:rPr>
        <w:t>2021</w:t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196F0E">
        <w:rPr>
          <w:rFonts w:ascii="Arial" w:hAnsi="Arial" w:cs="Arial"/>
          <w:b w:val="0"/>
          <w:sz w:val="24"/>
          <w:szCs w:val="24"/>
        </w:rPr>
        <w:br/>
      </w:r>
    </w:p>
    <w:p w14:paraId="2A012E80" w14:textId="2C662DF9" w:rsidR="0045291B" w:rsidRDefault="00A2577B" w:rsidP="0045291B">
      <w:pPr>
        <w:ind w:left="2160" w:hanging="2586"/>
        <w:rPr>
          <w:rFonts w:ascii="Arial" w:hAnsi="Arial" w:cs="Arial"/>
          <w:bCs/>
        </w:rPr>
      </w:pPr>
      <w:r w:rsidRPr="006421AD">
        <w:rPr>
          <w:rFonts w:ascii="Arial" w:hAnsi="Arial" w:cs="Arial"/>
          <w:b/>
          <w:bCs/>
        </w:rPr>
        <w:t xml:space="preserve">Subject: </w:t>
      </w:r>
      <w:r w:rsidRPr="006421AD">
        <w:rPr>
          <w:rFonts w:ascii="Arial" w:hAnsi="Arial" w:cs="Arial"/>
          <w:b/>
          <w:bCs/>
        </w:rPr>
        <w:tab/>
      </w:r>
      <w:r w:rsidR="00271671" w:rsidRPr="00271671">
        <w:rPr>
          <w:rFonts w:ascii="Arial" w:hAnsi="Arial" w:cs="Arial"/>
          <w:bCs/>
        </w:rPr>
        <w:t>Audit and Risk</w:t>
      </w:r>
      <w:r w:rsidR="00271671">
        <w:rPr>
          <w:rFonts w:ascii="Arial" w:hAnsi="Arial" w:cs="Arial"/>
          <w:bCs/>
        </w:rPr>
        <w:t xml:space="preserve"> </w:t>
      </w:r>
      <w:r w:rsidR="00271671" w:rsidRPr="006D18C0">
        <w:rPr>
          <w:rFonts w:ascii="Arial" w:hAnsi="Arial" w:cs="Arial"/>
          <w:bCs/>
        </w:rPr>
        <w:t xml:space="preserve">Committee </w:t>
      </w:r>
      <w:r w:rsidR="006D18C0" w:rsidRPr="006D18C0">
        <w:rPr>
          <w:rFonts w:ascii="Arial" w:hAnsi="Arial" w:cs="Arial"/>
          <w:bCs/>
        </w:rPr>
        <w:t>U</w:t>
      </w:r>
      <w:r w:rsidR="006421AD" w:rsidRPr="006421AD">
        <w:rPr>
          <w:rFonts w:ascii="Arial" w:hAnsi="Arial" w:cs="Arial"/>
          <w:bCs/>
        </w:rPr>
        <w:t>pdate</w:t>
      </w:r>
      <w:r w:rsidR="006D18C0">
        <w:rPr>
          <w:rFonts w:ascii="Arial" w:hAnsi="Arial" w:cs="Arial"/>
          <w:bCs/>
        </w:rPr>
        <w:br/>
      </w:r>
      <w:r w:rsidR="005D06E0">
        <w:rPr>
          <w:rFonts w:ascii="Arial" w:hAnsi="Arial" w:cs="Arial"/>
          <w:bCs/>
        </w:rPr>
        <w:t>1 March 2022</w:t>
      </w:r>
      <w:r w:rsidR="0045291B">
        <w:rPr>
          <w:rFonts w:ascii="Arial" w:hAnsi="Arial" w:cs="Arial"/>
          <w:bCs/>
        </w:rPr>
        <w:br/>
      </w:r>
    </w:p>
    <w:tbl>
      <w:tblPr>
        <w:tblW w:w="161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  <w:gridCol w:w="6799"/>
      </w:tblGrid>
      <w:tr w:rsidR="0045291B" w:rsidRPr="00B5719A" w14:paraId="5E9CD1A5" w14:textId="77777777" w:rsidTr="0045291B">
        <w:trPr>
          <w:trHeight w:val="499"/>
        </w:trPr>
        <w:tc>
          <w:tcPr>
            <w:tcW w:w="16155" w:type="dxa"/>
            <w:gridSpan w:val="3"/>
          </w:tcPr>
          <w:p w14:paraId="0A61A252" w14:textId="77777777" w:rsidR="0045291B" w:rsidRPr="00B5719A" w:rsidRDefault="0045291B" w:rsidP="00CF00C8">
            <w:pPr>
              <w:ind w:hanging="111"/>
              <w:rPr>
                <w:rFonts w:ascii="Arial" w:hAnsi="Arial" w:cs="Arial"/>
              </w:rPr>
            </w:pPr>
            <w:r w:rsidRPr="0045291B">
              <w:rPr>
                <w:rFonts w:ascii="Arial" w:hAnsi="Arial" w:cs="Arial"/>
                <w:b/>
              </w:rPr>
              <w:t xml:space="preserve">Recommendation: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E47E7D">
              <w:rPr>
                <w:rFonts w:ascii="Arial" w:hAnsi="Arial" w:cs="Arial"/>
                <w:b/>
              </w:rPr>
              <w:t xml:space="preserve">  </w:t>
            </w:r>
            <w:r w:rsidR="00CF00C8" w:rsidRPr="00CF00C8">
              <w:rPr>
                <w:rFonts w:ascii="Arial" w:hAnsi="Arial" w:cs="Arial"/>
              </w:rPr>
              <w:t>Board Me</w:t>
            </w:r>
            <w:r w:rsidRPr="00CF00C8">
              <w:rPr>
                <w:rFonts w:ascii="Arial" w:hAnsi="Arial" w:cs="Arial"/>
              </w:rPr>
              <w:t>mbers are asked to:</w:t>
            </w:r>
          </w:p>
        </w:tc>
      </w:tr>
      <w:tr w:rsidR="0045291B" w:rsidRPr="00B5719A" w14:paraId="262631B8" w14:textId="77777777" w:rsidTr="0045291B">
        <w:trPr>
          <w:trHeight w:val="499"/>
        </w:trPr>
        <w:tc>
          <w:tcPr>
            <w:tcW w:w="2557" w:type="dxa"/>
          </w:tcPr>
          <w:p w14:paraId="41238713" w14:textId="77777777" w:rsidR="0045291B" w:rsidRPr="00B5719A" w:rsidRDefault="0045291B" w:rsidP="00B10EDA">
            <w:pPr>
              <w:pStyle w:val="Heading1"/>
              <w:spacing w:before="120"/>
              <w:ind w:right="183" w:hanging="10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tbl>
            <w:tblPr>
              <w:tblpPr w:leftFromText="180" w:rightFromText="180" w:vertAnchor="text" w:horzAnchor="margin" w:tblpY="88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534"/>
            </w:tblGrid>
            <w:tr w:rsidR="0045291B" w:rsidRPr="00B5719A" w14:paraId="725D5089" w14:textId="77777777" w:rsidTr="00E47E7D">
              <w:tc>
                <w:tcPr>
                  <w:tcW w:w="4990" w:type="dxa"/>
                </w:tcPr>
                <w:p w14:paraId="0B01BF78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534" w:type="dxa"/>
                </w:tcPr>
                <w:p w14:paraId="5D1B10B8" w14:textId="77777777" w:rsidR="0045291B" w:rsidRPr="00B5719A" w:rsidRDefault="00E47E7D" w:rsidP="0045291B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5291B" w:rsidRPr="00B5719A" w14:paraId="0BA708A0" w14:textId="77777777" w:rsidTr="00E47E7D">
              <w:tc>
                <w:tcPr>
                  <w:tcW w:w="4990" w:type="dxa"/>
                </w:tcPr>
                <w:p w14:paraId="00E794FB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534" w:type="dxa"/>
                </w:tcPr>
                <w:p w14:paraId="4F4B0260" w14:textId="77777777"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5291B" w:rsidRPr="00B5719A" w14:paraId="6A582EE8" w14:textId="77777777" w:rsidTr="00E47E7D">
              <w:tc>
                <w:tcPr>
                  <w:tcW w:w="4990" w:type="dxa"/>
                </w:tcPr>
                <w:p w14:paraId="2202A8B6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534" w:type="dxa"/>
                </w:tcPr>
                <w:p w14:paraId="5B0F05A3" w14:textId="77777777"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14:paraId="540C5B50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</w:tcPr>
          <w:p w14:paraId="7917EE84" w14:textId="77777777" w:rsidR="0045291B" w:rsidRPr="00B5719A" w:rsidRDefault="0045291B" w:rsidP="00B10EDA">
            <w:pPr>
              <w:spacing w:before="120"/>
              <w:contextualSpacing/>
              <w:rPr>
                <w:rFonts w:ascii="Arial" w:hAnsi="Arial" w:cs="Arial"/>
              </w:rPr>
            </w:pPr>
          </w:p>
        </w:tc>
      </w:tr>
      <w:tr w:rsidR="0045291B" w:rsidRPr="00B5719A" w14:paraId="788FCE4D" w14:textId="77777777" w:rsidTr="0045291B">
        <w:trPr>
          <w:trHeight w:val="243"/>
        </w:trPr>
        <w:tc>
          <w:tcPr>
            <w:tcW w:w="2557" w:type="dxa"/>
            <w:tcBorders>
              <w:bottom w:val="single" w:sz="4" w:space="0" w:color="auto"/>
            </w:tcBorders>
          </w:tcPr>
          <w:p w14:paraId="224E2BC0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2BF1184D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B3E1A9D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FEA54F0" w14:textId="77777777" w:rsidR="001175E5" w:rsidRPr="00FB2DF4" w:rsidRDefault="001175E5" w:rsidP="00506517">
      <w:pPr>
        <w:pStyle w:val="Heading2"/>
        <w:ind w:left="-426" w:right="183"/>
        <w:rPr>
          <w:i w:val="0"/>
          <w:sz w:val="24"/>
          <w:szCs w:val="24"/>
        </w:rPr>
      </w:pPr>
      <w:r w:rsidRPr="00FB2DF4">
        <w:rPr>
          <w:i w:val="0"/>
          <w:sz w:val="24"/>
          <w:szCs w:val="24"/>
        </w:rPr>
        <w:t>1</w:t>
      </w:r>
      <w:r w:rsidRPr="00FB2DF4">
        <w:rPr>
          <w:i w:val="0"/>
          <w:sz w:val="24"/>
          <w:szCs w:val="24"/>
        </w:rPr>
        <w:tab/>
        <w:t>Background</w:t>
      </w:r>
    </w:p>
    <w:p w14:paraId="1BC9437F" w14:textId="41A1EA99" w:rsidR="006D232B" w:rsidRPr="00FB2DF4" w:rsidRDefault="00E47E7D" w:rsidP="00B10EDA">
      <w:pPr>
        <w:ind w:left="-6" w:right="183"/>
        <w:rPr>
          <w:rFonts w:ascii="Arial" w:hAnsi="Arial" w:cs="Arial"/>
        </w:rPr>
      </w:pPr>
      <w:r w:rsidRPr="00FB2DF4">
        <w:rPr>
          <w:rFonts w:ascii="Arial" w:hAnsi="Arial" w:cs="Arial"/>
        </w:rPr>
        <w:t xml:space="preserve">The Audit and Risk Committee was held on </w:t>
      </w:r>
      <w:r w:rsidR="005D06E0">
        <w:rPr>
          <w:rFonts w:ascii="Arial" w:hAnsi="Arial" w:cs="Arial"/>
        </w:rPr>
        <w:t>1 March 2022</w:t>
      </w:r>
      <w:r w:rsidRPr="00FB2DF4">
        <w:rPr>
          <w:rFonts w:ascii="Arial" w:hAnsi="Arial" w:cs="Arial"/>
        </w:rPr>
        <w:t>, t</w:t>
      </w:r>
      <w:r w:rsidR="006D232B" w:rsidRPr="00FB2DF4">
        <w:rPr>
          <w:rFonts w:ascii="Arial" w:hAnsi="Arial" w:cs="Arial"/>
        </w:rPr>
        <w:t>he following key points were agreed at the meeting.</w:t>
      </w:r>
    </w:p>
    <w:p w14:paraId="132F1D7B" w14:textId="77777777" w:rsidR="0026349B" w:rsidRPr="00E97EBD" w:rsidRDefault="0026349B" w:rsidP="006421A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47E7D" w:rsidRPr="00E47E7D" w14:paraId="5579A861" w14:textId="77777777" w:rsidTr="00E47E7D">
        <w:tc>
          <w:tcPr>
            <w:tcW w:w="8720" w:type="dxa"/>
            <w:shd w:val="clear" w:color="auto" w:fill="002060"/>
          </w:tcPr>
          <w:p w14:paraId="118AAFF5" w14:textId="77777777" w:rsidR="00E47E7D" w:rsidRDefault="00E47E7D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108D0D4B" w14:textId="77777777" w:rsidR="0026349B" w:rsidRDefault="0026349B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47E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Effective</w:t>
            </w:r>
          </w:p>
          <w:p w14:paraId="0E43AE12" w14:textId="77777777" w:rsidR="00E47E7D" w:rsidRPr="00E47E7D" w:rsidRDefault="00E47E7D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31C57" w:rsidRPr="00E97EBD" w14:paraId="544F9CF9" w14:textId="77777777" w:rsidTr="00E51AB3">
        <w:trPr>
          <w:trHeight w:val="841"/>
        </w:trPr>
        <w:tc>
          <w:tcPr>
            <w:tcW w:w="8720" w:type="dxa"/>
            <w:shd w:val="clear" w:color="auto" w:fill="auto"/>
          </w:tcPr>
          <w:p w14:paraId="373D61C9" w14:textId="77777777" w:rsidR="006B018B" w:rsidRDefault="006B018B" w:rsidP="0056013F">
            <w:pPr>
              <w:pStyle w:val="ListParagraph"/>
              <w:ind w:left="714"/>
              <w:rPr>
                <w:color w:val="000000" w:themeColor="text1"/>
              </w:rPr>
            </w:pPr>
          </w:p>
          <w:p w14:paraId="00166D3E" w14:textId="62831371" w:rsidR="00C56B26" w:rsidRDefault="00C430CF" w:rsidP="003C63F3">
            <w:pPr>
              <w:pStyle w:val="ListParagraph"/>
              <w:numPr>
                <w:ilvl w:val="0"/>
                <w:numId w:val="46"/>
              </w:numPr>
              <w:ind w:left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Committee</w:t>
            </w:r>
            <w:r w:rsidR="006B018B">
              <w:rPr>
                <w:color w:val="000000" w:themeColor="text1"/>
              </w:rPr>
              <w:t xml:space="preserve"> were pr</w:t>
            </w:r>
            <w:r w:rsidR="005B5327">
              <w:rPr>
                <w:color w:val="000000" w:themeColor="text1"/>
              </w:rPr>
              <w:t>esented</w:t>
            </w:r>
            <w:r w:rsidR="006B018B">
              <w:rPr>
                <w:color w:val="000000" w:themeColor="text1"/>
              </w:rPr>
              <w:t xml:space="preserve"> </w:t>
            </w:r>
            <w:r w:rsidR="005D06E0">
              <w:rPr>
                <w:color w:val="000000" w:themeColor="text1"/>
              </w:rPr>
              <w:t xml:space="preserve">with the Pharmacy update and commended the significant improvements that have been made to date. The Committee noted that the Robotics Business case </w:t>
            </w:r>
            <w:r w:rsidR="00C62991">
              <w:rPr>
                <w:color w:val="000000" w:themeColor="text1"/>
              </w:rPr>
              <w:t>would be</w:t>
            </w:r>
            <w:r w:rsidR="005D06E0">
              <w:rPr>
                <w:color w:val="000000" w:themeColor="text1"/>
              </w:rPr>
              <w:t xml:space="preserve"> brought back to Committee </w:t>
            </w:r>
            <w:r w:rsidR="003C63F3">
              <w:rPr>
                <w:color w:val="000000" w:themeColor="text1"/>
              </w:rPr>
              <w:t>in 6 months.</w:t>
            </w:r>
          </w:p>
          <w:p w14:paraId="083954E0" w14:textId="059DA44F" w:rsidR="00C56B26" w:rsidRPr="003C63F3" w:rsidRDefault="00C56B26" w:rsidP="003C63F3">
            <w:pPr>
              <w:rPr>
                <w:color w:val="000000" w:themeColor="text1"/>
              </w:rPr>
            </w:pPr>
          </w:p>
          <w:p w14:paraId="48DD3FF9" w14:textId="2657A31E" w:rsidR="0046524C" w:rsidRDefault="003C63F3" w:rsidP="006B018B">
            <w:pPr>
              <w:pStyle w:val="ListParagraph"/>
              <w:numPr>
                <w:ilvl w:val="0"/>
                <w:numId w:val="46"/>
              </w:numPr>
              <w:ind w:left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Committee were presented with </w:t>
            </w:r>
            <w:r w:rsidR="006B018B">
              <w:rPr>
                <w:color w:val="000000" w:themeColor="text1"/>
              </w:rPr>
              <w:t>a Fraud</w:t>
            </w:r>
            <w:r>
              <w:rPr>
                <w:color w:val="000000" w:themeColor="text1"/>
              </w:rPr>
              <w:t xml:space="preserve"> U</w:t>
            </w:r>
            <w:r w:rsidR="0046524C" w:rsidRPr="0056013F">
              <w:rPr>
                <w:color w:val="000000" w:themeColor="text1"/>
              </w:rPr>
              <w:t xml:space="preserve">pdate </w:t>
            </w:r>
            <w:r>
              <w:rPr>
                <w:color w:val="000000" w:themeColor="text1"/>
              </w:rPr>
              <w:t xml:space="preserve">and Partnership </w:t>
            </w:r>
            <w:r w:rsidR="008C6A4D">
              <w:rPr>
                <w:color w:val="000000" w:themeColor="text1"/>
              </w:rPr>
              <w:t>Agreement for consideration. The Committee noted that there are</w:t>
            </w:r>
            <w:r>
              <w:rPr>
                <w:color w:val="000000" w:themeColor="text1"/>
              </w:rPr>
              <w:t xml:space="preserve"> no case</w:t>
            </w:r>
            <w:r w:rsidR="008C6A4D">
              <w:rPr>
                <w:color w:val="000000" w:themeColor="text1"/>
              </w:rPr>
              <w:t>s currently</w:t>
            </w:r>
            <w:r>
              <w:rPr>
                <w:color w:val="000000" w:themeColor="text1"/>
              </w:rPr>
              <w:t xml:space="preserve"> under investigation.</w:t>
            </w:r>
          </w:p>
          <w:p w14:paraId="24703207" w14:textId="77777777" w:rsidR="003C63F3" w:rsidRPr="003C63F3" w:rsidRDefault="003C63F3" w:rsidP="003C63F3">
            <w:pPr>
              <w:pStyle w:val="ListParagraph"/>
              <w:rPr>
                <w:color w:val="000000" w:themeColor="text1"/>
              </w:rPr>
            </w:pPr>
          </w:p>
          <w:p w14:paraId="20527ED4" w14:textId="3D5ED4B5" w:rsidR="006B1EEA" w:rsidRDefault="003C63F3" w:rsidP="006B018B">
            <w:pPr>
              <w:pStyle w:val="ListParagraph"/>
              <w:numPr>
                <w:ilvl w:val="0"/>
                <w:numId w:val="46"/>
              </w:numPr>
              <w:ind w:left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Committee were advised </w:t>
            </w:r>
            <w:r w:rsidR="008C6A4D">
              <w:rPr>
                <w:color w:val="000000" w:themeColor="text1"/>
              </w:rPr>
              <w:t xml:space="preserve">that </w:t>
            </w:r>
            <w:r w:rsidR="006B1EEA">
              <w:rPr>
                <w:color w:val="000000" w:themeColor="text1"/>
              </w:rPr>
              <w:t>Grant Thornton</w:t>
            </w:r>
            <w:r w:rsidR="008C6A4D">
              <w:rPr>
                <w:color w:val="000000" w:themeColor="text1"/>
              </w:rPr>
              <w:t xml:space="preserve"> UK LLP, Internal Auditors,</w:t>
            </w:r>
            <w:r w:rsidR="006B1EEA">
              <w:rPr>
                <w:color w:val="000000" w:themeColor="text1"/>
              </w:rPr>
              <w:t xml:space="preserve"> have been asked to add e</w:t>
            </w:r>
            <w:r w:rsidR="008C6A4D">
              <w:rPr>
                <w:color w:val="000000" w:themeColor="text1"/>
              </w:rPr>
              <w:t>-</w:t>
            </w:r>
            <w:r w:rsidR="006B1EEA">
              <w:rPr>
                <w:color w:val="000000" w:themeColor="text1"/>
              </w:rPr>
              <w:t>Health purchase of trackable items to their internal audit review.</w:t>
            </w:r>
          </w:p>
          <w:p w14:paraId="14EC2774" w14:textId="77777777" w:rsidR="006B1EEA" w:rsidRPr="006B1EEA" w:rsidRDefault="006B1EEA" w:rsidP="006B1EEA">
            <w:pPr>
              <w:pStyle w:val="ListParagraph"/>
              <w:rPr>
                <w:color w:val="000000" w:themeColor="text1"/>
              </w:rPr>
            </w:pPr>
          </w:p>
          <w:p w14:paraId="6AEC1922" w14:textId="515647C1" w:rsidR="0056013F" w:rsidRPr="006B1EEA" w:rsidRDefault="006B1EEA" w:rsidP="00C56667">
            <w:pPr>
              <w:pStyle w:val="ListParagraph"/>
              <w:numPr>
                <w:ilvl w:val="0"/>
                <w:numId w:val="46"/>
              </w:numPr>
              <w:ind w:left="714"/>
              <w:rPr>
                <w:lang w:val="en-US"/>
              </w:rPr>
            </w:pPr>
            <w:r w:rsidRPr="006B1EEA">
              <w:rPr>
                <w:color w:val="000000" w:themeColor="text1"/>
              </w:rPr>
              <w:t xml:space="preserve">The Committee were advised </w:t>
            </w:r>
            <w:r w:rsidR="008C6A4D">
              <w:rPr>
                <w:color w:val="000000" w:themeColor="text1"/>
              </w:rPr>
              <w:t xml:space="preserve">of an evolving matter regarding </w:t>
            </w:r>
            <w:r w:rsidRPr="006B1EEA">
              <w:rPr>
                <w:color w:val="000000" w:themeColor="text1"/>
              </w:rPr>
              <w:t>staff working over the working time directive. It was noted that Executive Team have taken immediate action</w:t>
            </w:r>
            <w:r w:rsidR="008C6A4D">
              <w:rPr>
                <w:color w:val="000000" w:themeColor="text1"/>
              </w:rPr>
              <w:t>, with an update to be provided to</w:t>
            </w:r>
            <w:r w:rsidRPr="006B1EEA">
              <w:rPr>
                <w:color w:val="000000" w:themeColor="text1"/>
              </w:rPr>
              <w:t xml:space="preserve"> </w:t>
            </w:r>
            <w:r w:rsidR="008C6A4D">
              <w:rPr>
                <w:color w:val="000000" w:themeColor="text1"/>
              </w:rPr>
              <w:t xml:space="preserve">the </w:t>
            </w:r>
            <w:r w:rsidRPr="006B1EEA">
              <w:rPr>
                <w:color w:val="000000" w:themeColor="text1"/>
              </w:rPr>
              <w:t xml:space="preserve">Audit and Risk Committee </w:t>
            </w:r>
            <w:r>
              <w:rPr>
                <w:color w:val="000000" w:themeColor="text1"/>
              </w:rPr>
              <w:t>in April</w:t>
            </w:r>
            <w:r w:rsidR="008C6A4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6B1EEA">
              <w:rPr>
                <w:color w:val="000000" w:themeColor="text1"/>
              </w:rPr>
              <w:t xml:space="preserve">and </w:t>
            </w:r>
            <w:r w:rsidR="008C6A4D">
              <w:rPr>
                <w:color w:val="000000" w:themeColor="text1"/>
              </w:rPr>
              <w:t xml:space="preserve">the </w:t>
            </w:r>
            <w:r w:rsidRPr="006B1EEA">
              <w:rPr>
                <w:color w:val="000000" w:themeColor="text1"/>
              </w:rPr>
              <w:t xml:space="preserve">Staff Governance </w:t>
            </w:r>
            <w:r w:rsidR="008C6A4D">
              <w:rPr>
                <w:color w:val="000000" w:themeColor="text1"/>
              </w:rPr>
              <w:t xml:space="preserve">&amp; Person Centred Committee </w:t>
            </w:r>
            <w:r w:rsidRPr="006B1EEA">
              <w:rPr>
                <w:color w:val="000000" w:themeColor="text1"/>
              </w:rPr>
              <w:t xml:space="preserve">in due course. </w:t>
            </w:r>
          </w:p>
          <w:p w14:paraId="06257446" w14:textId="77777777" w:rsidR="009C4C2C" w:rsidRPr="009C4C2C" w:rsidRDefault="009C4C2C" w:rsidP="009C4C2C">
            <w:pPr>
              <w:pStyle w:val="ListParagraph"/>
              <w:rPr>
                <w:color w:val="000000" w:themeColor="text1"/>
              </w:rPr>
            </w:pPr>
          </w:p>
          <w:p w14:paraId="504122C0" w14:textId="180E96F9" w:rsidR="006B1EEA" w:rsidRDefault="00C430CF" w:rsidP="00106C51">
            <w:pPr>
              <w:pStyle w:val="ListParagraph"/>
              <w:numPr>
                <w:ilvl w:val="0"/>
                <w:numId w:val="46"/>
              </w:numPr>
              <w:ind w:left="709"/>
              <w:rPr>
                <w:color w:val="000000" w:themeColor="text1"/>
              </w:rPr>
            </w:pPr>
            <w:r w:rsidRPr="009C4C2C">
              <w:rPr>
                <w:color w:val="000000" w:themeColor="text1"/>
              </w:rPr>
              <w:t>The Committee were pr</w:t>
            </w:r>
            <w:r w:rsidR="005B5327">
              <w:rPr>
                <w:color w:val="000000" w:themeColor="text1"/>
              </w:rPr>
              <w:t>esented</w:t>
            </w:r>
            <w:r w:rsidRPr="009C4C2C">
              <w:rPr>
                <w:color w:val="000000" w:themeColor="text1"/>
              </w:rPr>
              <w:t xml:space="preserve"> with an update </w:t>
            </w:r>
            <w:r w:rsidR="009C4C2C" w:rsidRPr="009C4C2C">
              <w:rPr>
                <w:color w:val="000000" w:themeColor="text1"/>
              </w:rPr>
              <w:t>of</w:t>
            </w:r>
            <w:r w:rsidRPr="009C4C2C">
              <w:rPr>
                <w:color w:val="000000" w:themeColor="text1"/>
              </w:rPr>
              <w:t xml:space="preserve"> the Board Risk Register</w:t>
            </w:r>
            <w:r w:rsidR="006B1EEA">
              <w:rPr>
                <w:color w:val="000000" w:themeColor="text1"/>
              </w:rPr>
              <w:t xml:space="preserve"> which included one </w:t>
            </w:r>
            <w:r w:rsidR="009C4C2C" w:rsidRPr="009C4C2C">
              <w:rPr>
                <w:color w:val="000000" w:themeColor="text1"/>
              </w:rPr>
              <w:t>new risk</w:t>
            </w:r>
            <w:r w:rsidR="008C6A4D">
              <w:rPr>
                <w:color w:val="000000" w:themeColor="text1"/>
              </w:rPr>
              <w:t xml:space="preserve"> relating to Digital Resources</w:t>
            </w:r>
            <w:r w:rsidR="006B1EEA">
              <w:rPr>
                <w:color w:val="000000" w:themeColor="text1"/>
              </w:rPr>
              <w:t>.  It was agreed</w:t>
            </w:r>
            <w:r w:rsidR="00C62991">
              <w:rPr>
                <w:color w:val="000000" w:themeColor="text1"/>
              </w:rPr>
              <w:t xml:space="preserve"> that Risk S12 EU Withdrawal </w:t>
            </w:r>
            <w:r w:rsidR="008C6A4D">
              <w:rPr>
                <w:color w:val="000000" w:themeColor="text1"/>
              </w:rPr>
              <w:t>be</w:t>
            </w:r>
            <w:r w:rsidR="00C62991">
              <w:rPr>
                <w:color w:val="000000" w:themeColor="text1"/>
              </w:rPr>
              <w:t xml:space="preserve"> </w:t>
            </w:r>
            <w:r w:rsidR="006B1EEA">
              <w:rPr>
                <w:color w:val="000000" w:themeColor="text1"/>
              </w:rPr>
              <w:t xml:space="preserve">removed from the Risk Register. </w:t>
            </w:r>
          </w:p>
          <w:p w14:paraId="5A44FD59" w14:textId="3B916302" w:rsidR="009C4C2C" w:rsidRPr="008C6A4D" w:rsidRDefault="009C4C2C" w:rsidP="008C6A4D">
            <w:pPr>
              <w:rPr>
                <w:color w:val="000000" w:themeColor="text1"/>
              </w:rPr>
            </w:pPr>
          </w:p>
          <w:p w14:paraId="3CE0E813" w14:textId="6334A9BA" w:rsidR="001C08BD" w:rsidRDefault="0027620C" w:rsidP="001C08BD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9C4C2C">
              <w:rPr>
                <w:color w:val="000000" w:themeColor="text1"/>
              </w:rPr>
              <w:t xml:space="preserve">The Committee </w:t>
            </w:r>
            <w:r w:rsidR="001C08BD">
              <w:rPr>
                <w:color w:val="000000" w:themeColor="text1"/>
              </w:rPr>
              <w:t xml:space="preserve">were presented with the Cyber Security/NIS Audit Update. The Committee noted that the national report is due to be issued towards the end of March. The Committee noted that SG colleagues would be invited to </w:t>
            </w:r>
            <w:r w:rsidR="008C6A4D">
              <w:rPr>
                <w:color w:val="000000" w:themeColor="text1"/>
              </w:rPr>
              <w:t xml:space="preserve">a </w:t>
            </w:r>
            <w:r w:rsidR="00C62991">
              <w:rPr>
                <w:color w:val="000000" w:themeColor="text1"/>
              </w:rPr>
              <w:t xml:space="preserve">future meeting to update </w:t>
            </w:r>
            <w:r w:rsidR="001C08BD">
              <w:rPr>
                <w:color w:val="000000" w:themeColor="text1"/>
              </w:rPr>
              <w:t xml:space="preserve">on the National Report. </w:t>
            </w:r>
          </w:p>
          <w:p w14:paraId="6B25C213" w14:textId="77777777" w:rsidR="00106C51" w:rsidRDefault="00106C51" w:rsidP="00106C51">
            <w:pPr>
              <w:pStyle w:val="ListParagraph"/>
              <w:rPr>
                <w:color w:val="000000" w:themeColor="text1"/>
              </w:rPr>
            </w:pPr>
          </w:p>
          <w:p w14:paraId="0495566D" w14:textId="77777777" w:rsidR="00106C51" w:rsidRPr="008C6A4D" w:rsidRDefault="00106C51" w:rsidP="008C6A4D">
            <w:pPr>
              <w:rPr>
                <w:color w:val="000000"/>
              </w:rPr>
            </w:pPr>
          </w:p>
          <w:p w14:paraId="70213BE8" w14:textId="4F54BF80" w:rsidR="00106C51" w:rsidRPr="00106C51" w:rsidRDefault="0027620C" w:rsidP="00106C51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106C51">
              <w:rPr>
                <w:color w:val="000000"/>
              </w:rPr>
              <w:t xml:space="preserve">The </w:t>
            </w:r>
            <w:r w:rsidR="001C08BD">
              <w:rPr>
                <w:color w:val="000000"/>
              </w:rPr>
              <w:t xml:space="preserve">Committee Members noted that </w:t>
            </w:r>
            <w:r w:rsidR="008C6A4D">
              <w:rPr>
                <w:color w:val="000000"/>
              </w:rPr>
              <w:t xml:space="preserve">an </w:t>
            </w:r>
            <w:r w:rsidR="001C08BD">
              <w:rPr>
                <w:color w:val="000000"/>
              </w:rPr>
              <w:t xml:space="preserve">update on Assurance Mapping would be presented to </w:t>
            </w:r>
            <w:r w:rsidR="007D4382">
              <w:rPr>
                <w:color w:val="000000"/>
              </w:rPr>
              <w:t xml:space="preserve">the </w:t>
            </w:r>
            <w:r w:rsidR="001C08BD">
              <w:rPr>
                <w:color w:val="000000"/>
              </w:rPr>
              <w:t xml:space="preserve">Committee in April. </w:t>
            </w:r>
          </w:p>
          <w:p w14:paraId="460428D8" w14:textId="77777777" w:rsidR="00106C51" w:rsidRDefault="00106C51" w:rsidP="00106C51">
            <w:pPr>
              <w:pStyle w:val="ListParagraph"/>
            </w:pPr>
          </w:p>
          <w:p w14:paraId="401D56EA" w14:textId="77777777" w:rsidR="001C08BD" w:rsidRPr="001C08BD" w:rsidRDefault="00106C51" w:rsidP="00106C51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>
              <w:t xml:space="preserve">The </w:t>
            </w:r>
            <w:r w:rsidR="00BF17FC">
              <w:t xml:space="preserve">Committee </w:t>
            </w:r>
            <w:r w:rsidR="001C08BD">
              <w:t xml:space="preserve">noted the Internal Audit Progress Reports. </w:t>
            </w:r>
          </w:p>
          <w:p w14:paraId="050035F4" w14:textId="26B4ADDB" w:rsidR="001C08BD" w:rsidRPr="001C08BD" w:rsidRDefault="001C08BD" w:rsidP="001C08BD">
            <w:pPr>
              <w:rPr>
                <w:color w:val="000000" w:themeColor="text1"/>
              </w:rPr>
            </w:pPr>
          </w:p>
          <w:p w14:paraId="4C1272E7" w14:textId="77777777" w:rsidR="001C08BD" w:rsidRDefault="00106C51" w:rsidP="008E3AA9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106C51">
              <w:rPr>
                <w:color w:val="000000" w:themeColor="text1"/>
              </w:rPr>
              <w:t xml:space="preserve">The Committee </w:t>
            </w:r>
            <w:r w:rsidR="001C08BD">
              <w:rPr>
                <w:color w:val="000000" w:themeColor="text1"/>
              </w:rPr>
              <w:t>noted the Internal Audit – Draft Plan for 2022/23.</w:t>
            </w:r>
          </w:p>
          <w:p w14:paraId="1E0E14BD" w14:textId="60066FDD" w:rsidR="008E3AA9" w:rsidRPr="001C08BD" w:rsidRDefault="008E3AA9" w:rsidP="001C08BD">
            <w:pPr>
              <w:rPr>
                <w:color w:val="000000" w:themeColor="text1"/>
              </w:rPr>
            </w:pPr>
          </w:p>
          <w:p w14:paraId="1D3E6975" w14:textId="478D6E9E" w:rsidR="005B5327" w:rsidRDefault="005509E8" w:rsidP="005B5327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8E3AA9">
              <w:rPr>
                <w:color w:val="000000" w:themeColor="text1"/>
              </w:rPr>
              <w:t xml:space="preserve">The Committee were presented </w:t>
            </w:r>
            <w:r w:rsidR="00A0087B" w:rsidRPr="008E3AA9">
              <w:rPr>
                <w:color w:val="000000" w:themeColor="text1"/>
              </w:rPr>
              <w:t xml:space="preserve">with </w:t>
            </w:r>
            <w:r w:rsidR="008E3AA9" w:rsidRPr="008E3AA9">
              <w:rPr>
                <w:color w:val="000000" w:themeColor="text1"/>
              </w:rPr>
              <w:t xml:space="preserve">the Audit Scotland </w:t>
            </w:r>
            <w:r w:rsidRPr="008E3AA9">
              <w:rPr>
                <w:color w:val="000000" w:themeColor="text1"/>
              </w:rPr>
              <w:t>Reports</w:t>
            </w:r>
            <w:r w:rsidR="001C08BD">
              <w:rPr>
                <w:color w:val="000000" w:themeColor="text1"/>
              </w:rPr>
              <w:t xml:space="preserve"> Update.</w:t>
            </w:r>
          </w:p>
          <w:p w14:paraId="7E607C53" w14:textId="77777777" w:rsidR="005B5327" w:rsidRPr="005B5327" w:rsidRDefault="005B5327" w:rsidP="005B5327">
            <w:pPr>
              <w:pStyle w:val="ListParagraph"/>
              <w:rPr>
                <w:color w:val="000000"/>
              </w:rPr>
            </w:pPr>
          </w:p>
          <w:p w14:paraId="6F27CDC2" w14:textId="5565C2DF" w:rsidR="00DC2B4C" w:rsidRPr="00C62991" w:rsidRDefault="008E3AA9" w:rsidP="00C62991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5B5327">
              <w:rPr>
                <w:color w:val="000000"/>
              </w:rPr>
              <w:t xml:space="preserve">The Committee were presented with the </w:t>
            </w:r>
            <w:r w:rsidR="00C62991">
              <w:rPr>
                <w:color w:val="000000"/>
              </w:rPr>
              <w:t xml:space="preserve">External Audit </w:t>
            </w:r>
            <w:r w:rsidR="008C6A4D">
              <w:rPr>
                <w:color w:val="000000"/>
              </w:rPr>
              <w:t xml:space="preserve">Plan </w:t>
            </w:r>
            <w:r w:rsidR="00C62991">
              <w:rPr>
                <w:color w:val="000000"/>
              </w:rPr>
              <w:t>and noted the coverage for External Audit and Statement of Understanding.</w:t>
            </w:r>
          </w:p>
          <w:p w14:paraId="650D8FB9" w14:textId="77777777" w:rsidR="00FB2DF4" w:rsidRPr="00E97EBD" w:rsidRDefault="00FB2DF4" w:rsidP="0056013F">
            <w:pPr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45E476" w14:textId="77777777" w:rsidR="001A7A26" w:rsidRPr="00E97EBD" w:rsidRDefault="001A7A26" w:rsidP="0056013F">
      <w:pPr>
        <w:rPr>
          <w:rFonts w:ascii="Arial" w:hAnsi="Arial" w:cs="Arial"/>
          <w:bCs/>
          <w:sz w:val="22"/>
          <w:szCs w:val="22"/>
        </w:rPr>
      </w:pPr>
    </w:p>
    <w:p w14:paraId="4D5A3AD7" w14:textId="3C524091" w:rsidR="002D5AE1" w:rsidRDefault="0026349B" w:rsidP="0056013F">
      <w:pPr>
        <w:rPr>
          <w:rFonts w:ascii="Arial" w:hAnsi="Arial" w:cs="Arial"/>
          <w:bCs/>
        </w:rPr>
      </w:pPr>
      <w:r w:rsidRPr="00CF00C8">
        <w:rPr>
          <w:rFonts w:ascii="Arial" w:hAnsi="Arial" w:cs="Arial"/>
          <w:bCs/>
        </w:rPr>
        <w:t>The</w:t>
      </w:r>
      <w:r w:rsidR="00C62991">
        <w:rPr>
          <w:rFonts w:ascii="Arial" w:hAnsi="Arial" w:cs="Arial"/>
          <w:bCs/>
        </w:rPr>
        <w:t xml:space="preserve"> next meeting is scheduled for Wednesday 20 April 2022</w:t>
      </w:r>
      <w:r w:rsidR="00CF00C8">
        <w:rPr>
          <w:rFonts w:ascii="Arial" w:hAnsi="Arial" w:cs="Arial"/>
          <w:bCs/>
        </w:rPr>
        <w:t>.</w:t>
      </w:r>
    </w:p>
    <w:p w14:paraId="03CFD77D" w14:textId="7C9452D2" w:rsidR="00A0087B" w:rsidRPr="00CF00C8" w:rsidRDefault="00A0087B" w:rsidP="0056013F">
      <w:pPr>
        <w:rPr>
          <w:rFonts w:ascii="Arial" w:hAnsi="Arial" w:cs="Arial"/>
          <w:bCs/>
        </w:rPr>
      </w:pPr>
    </w:p>
    <w:p w14:paraId="578A8EAE" w14:textId="77777777" w:rsidR="00E47E7D" w:rsidRPr="00CF00C8" w:rsidRDefault="00E47E7D" w:rsidP="0056013F">
      <w:pPr>
        <w:rPr>
          <w:rFonts w:ascii="Arial" w:hAnsi="Arial" w:cs="Arial"/>
          <w:bCs/>
        </w:rPr>
      </w:pPr>
    </w:p>
    <w:p w14:paraId="799092DB" w14:textId="77777777" w:rsidR="00E47E7D" w:rsidRPr="00CF00C8" w:rsidRDefault="00E47E7D" w:rsidP="0056013F">
      <w:pPr>
        <w:pStyle w:val="Heading2"/>
        <w:spacing w:before="0" w:after="0"/>
        <w:ind w:left="-426" w:right="183"/>
        <w:rPr>
          <w:i w:val="0"/>
          <w:sz w:val="24"/>
          <w:szCs w:val="24"/>
        </w:rPr>
      </w:pPr>
      <w:r w:rsidRPr="00CF00C8">
        <w:rPr>
          <w:i w:val="0"/>
          <w:sz w:val="24"/>
          <w:szCs w:val="24"/>
        </w:rPr>
        <w:t xml:space="preserve">2 </w:t>
      </w:r>
      <w:r w:rsidRPr="00CF00C8">
        <w:rPr>
          <w:i w:val="0"/>
          <w:sz w:val="24"/>
          <w:szCs w:val="24"/>
        </w:rPr>
        <w:tab/>
        <w:t>Recommendation</w:t>
      </w:r>
    </w:p>
    <w:p w14:paraId="7301EB5D" w14:textId="77777777" w:rsidR="007D4382" w:rsidRDefault="007D4382" w:rsidP="0056013F">
      <w:pPr>
        <w:rPr>
          <w:rFonts w:ascii="Arial" w:hAnsi="Arial" w:cs="Arial"/>
        </w:rPr>
      </w:pPr>
    </w:p>
    <w:p w14:paraId="3A5EE01B" w14:textId="61D2E757" w:rsidR="00E47E7D" w:rsidRPr="00CF00C8" w:rsidRDefault="00E47E7D" w:rsidP="0056013F">
      <w:pPr>
        <w:rPr>
          <w:rFonts w:ascii="Arial" w:hAnsi="Arial" w:cs="Arial"/>
        </w:rPr>
      </w:pPr>
      <w:r w:rsidRPr="00CF00C8">
        <w:rPr>
          <w:rFonts w:ascii="Arial" w:hAnsi="Arial" w:cs="Arial"/>
        </w:rPr>
        <w:t>Board Members are asked to note the Audit and Risk Committee Update.</w:t>
      </w:r>
    </w:p>
    <w:p w14:paraId="64C85215" w14:textId="77777777" w:rsidR="00E47E7D" w:rsidRPr="00CF00C8" w:rsidRDefault="00E47E7D" w:rsidP="0056013F">
      <w:pPr>
        <w:rPr>
          <w:rFonts w:ascii="Arial" w:hAnsi="Arial" w:cs="Arial"/>
          <w:bCs/>
        </w:rPr>
      </w:pPr>
    </w:p>
    <w:p w14:paraId="4B864C4F" w14:textId="77777777" w:rsidR="007D4382" w:rsidRDefault="007D4382" w:rsidP="0056013F">
      <w:pPr>
        <w:rPr>
          <w:rFonts w:ascii="Arial" w:hAnsi="Arial" w:cs="Arial"/>
          <w:b/>
          <w:bCs/>
        </w:rPr>
      </w:pPr>
    </w:p>
    <w:p w14:paraId="09017410" w14:textId="13AC13F5" w:rsidR="0026349B" w:rsidRPr="00CF00C8" w:rsidRDefault="0059353D" w:rsidP="005601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Karen Kelly</w:t>
      </w:r>
      <w:r w:rsidR="00E51AB3" w:rsidRPr="00CF00C8">
        <w:rPr>
          <w:rFonts w:ascii="Arial" w:hAnsi="Arial" w:cs="Arial"/>
          <w:b/>
          <w:bCs/>
        </w:rPr>
        <w:t xml:space="preserve"> </w:t>
      </w:r>
      <w:r w:rsidR="0026349B" w:rsidRPr="00CF00C8">
        <w:rPr>
          <w:rFonts w:ascii="Arial" w:hAnsi="Arial" w:cs="Arial"/>
          <w:b/>
          <w:bCs/>
        </w:rPr>
        <w:t xml:space="preserve">Chair, </w:t>
      </w:r>
      <w:r w:rsidR="0063024D" w:rsidRPr="00CF00C8">
        <w:rPr>
          <w:rFonts w:ascii="Arial" w:hAnsi="Arial" w:cs="Arial"/>
          <w:b/>
          <w:bCs/>
        </w:rPr>
        <w:t xml:space="preserve">Audit and Risk </w:t>
      </w:r>
      <w:r w:rsidR="0026349B" w:rsidRPr="00CF00C8">
        <w:rPr>
          <w:rFonts w:ascii="Arial" w:hAnsi="Arial" w:cs="Arial"/>
          <w:b/>
          <w:bCs/>
        </w:rPr>
        <w:t>Committee</w:t>
      </w:r>
    </w:p>
    <w:p w14:paraId="17CE4994" w14:textId="5BE26855" w:rsidR="00CF00C8" w:rsidRDefault="005D06E0" w:rsidP="005601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 March 2022</w:t>
      </w:r>
    </w:p>
    <w:p w14:paraId="5FE97C58" w14:textId="77777777" w:rsidR="000D0D69" w:rsidRPr="00CF00C8" w:rsidRDefault="000D0D69" w:rsidP="0056013F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 xml:space="preserve"> </w:t>
      </w:r>
    </w:p>
    <w:p w14:paraId="1B54240C" w14:textId="77777777" w:rsidR="000D0D69" w:rsidRPr="00CF00C8" w:rsidRDefault="000D0D69" w:rsidP="0056013F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>(</w:t>
      </w:r>
      <w:r w:rsidR="00DA3C78" w:rsidRPr="00CF00C8">
        <w:rPr>
          <w:rFonts w:ascii="Arial" w:hAnsi="Arial" w:cs="Arial"/>
          <w:b/>
          <w:bCs/>
        </w:rPr>
        <w:t>Colin Neil,</w:t>
      </w:r>
      <w:r w:rsidRPr="00CF00C8">
        <w:rPr>
          <w:rFonts w:ascii="Arial" w:hAnsi="Arial" w:cs="Arial"/>
          <w:b/>
          <w:bCs/>
        </w:rPr>
        <w:t xml:space="preserve"> Director of Finance)</w:t>
      </w:r>
      <w:bookmarkStart w:id="0" w:name="_GoBack"/>
      <w:bookmarkEnd w:id="0"/>
      <w:r w:rsidR="00C71CC5" w:rsidRPr="00CF00C8">
        <w:rPr>
          <w:rFonts w:ascii="Arial" w:hAnsi="Arial" w:cs="Arial"/>
          <w:b/>
          <w:bCs/>
        </w:rPr>
        <w:br/>
      </w:r>
      <w:r w:rsidR="00C71CC5" w:rsidRPr="00CF00C8">
        <w:rPr>
          <w:rFonts w:ascii="Arial" w:hAnsi="Arial" w:cs="Arial"/>
          <w:b/>
          <w:bCs/>
        </w:rPr>
        <w:br/>
      </w:r>
      <w:r w:rsidR="00C71CC5" w:rsidRPr="00CF00C8">
        <w:rPr>
          <w:rFonts w:ascii="Arial" w:hAnsi="Arial" w:cs="Arial"/>
          <w:b/>
          <w:bCs/>
        </w:rPr>
        <w:br/>
      </w:r>
    </w:p>
    <w:sectPr w:rsidR="000D0D69" w:rsidRPr="00CF00C8" w:rsidSect="00E97E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1701" w:bottom="24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67959" w14:textId="77777777" w:rsidR="006F3D82" w:rsidRDefault="006F3D82">
      <w:r>
        <w:separator/>
      </w:r>
    </w:p>
  </w:endnote>
  <w:endnote w:type="continuationSeparator" w:id="0">
    <w:p w14:paraId="32B50A4E" w14:textId="77777777" w:rsidR="006F3D82" w:rsidRDefault="006F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FAF43" w14:textId="04789987" w:rsidR="009C4C2C" w:rsidRDefault="009C4C2C" w:rsidP="006421AD">
    <w:pPr>
      <w:ind w:left="-540"/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7D4382"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14:paraId="2A23845E" w14:textId="77777777" w:rsidR="009C4C2C" w:rsidRPr="001A624A" w:rsidRDefault="009C4C2C" w:rsidP="00463DB0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C7E66" w14:textId="71BAC284" w:rsidR="009C4C2C" w:rsidRDefault="009C4C2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382">
      <w:rPr>
        <w:noProof/>
      </w:rPr>
      <w:t>1</w:t>
    </w:r>
    <w:r>
      <w:rPr>
        <w:noProof/>
      </w:rPr>
      <w:fldChar w:fldCharType="end"/>
    </w:r>
  </w:p>
  <w:p w14:paraId="67E9E97E" w14:textId="77777777" w:rsidR="009C4C2C" w:rsidRPr="000D0D69" w:rsidRDefault="009C4C2C" w:rsidP="000D0D69">
    <w:pPr>
      <w:pStyle w:val="Title"/>
      <w:ind w:left="-567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128FC" w14:textId="77777777" w:rsidR="006F3D82" w:rsidRDefault="006F3D82">
      <w:r>
        <w:separator/>
      </w:r>
    </w:p>
  </w:footnote>
  <w:footnote w:type="continuationSeparator" w:id="0">
    <w:p w14:paraId="5F0B1AE4" w14:textId="77777777" w:rsidR="006F3D82" w:rsidRDefault="006F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color w:val="0070C0"/>
        <w:sz w:val="28"/>
        <w:szCs w:val="28"/>
      </w:rPr>
      <w:id w:val="551429147"/>
      <w:docPartObj>
        <w:docPartGallery w:val="Watermarks"/>
        <w:docPartUnique/>
      </w:docPartObj>
    </w:sdtPr>
    <w:sdtEndPr/>
    <w:sdtContent>
      <w:p w14:paraId="21B160A7" w14:textId="77777777" w:rsidR="009C4C2C" w:rsidRPr="006421AD" w:rsidRDefault="007D4382" w:rsidP="006421AD">
        <w:pPr>
          <w:pStyle w:val="Header"/>
          <w:jc w:val="right"/>
          <w:rPr>
            <w:rFonts w:ascii="Arial" w:hAnsi="Arial" w:cs="Arial"/>
            <w:b/>
            <w:color w:val="0070C0"/>
            <w:sz w:val="28"/>
            <w:szCs w:val="28"/>
          </w:rPr>
        </w:pPr>
        <w:r>
          <w:rPr>
            <w:rFonts w:ascii="Arial" w:hAnsi="Arial" w:cs="Arial"/>
            <w:b/>
            <w:noProof/>
            <w:color w:val="0070C0"/>
            <w:sz w:val="28"/>
            <w:szCs w:val="28"/>
            <w:lang w:val="en-US"/>
          </w:rPr>
          <w:pict w14:anchorId="66D331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C29E" w14:textId="49E6F0CF" w:rsidR="009C4C2C" w:rsidRPr="00340EEE" w:rsidRDefault="007D4382" w:rsidP="006421AD">
    <w:pPr>
      <w:pStyle w:val="Header"/>
      <w:jc w:val="right"/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>Item 7.8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E3D"/>
    <w:multiLevelType w:val="hybridMultilevel"/>
    <w:tmpl w:val="64BAD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00E6"/>
    <w:multiLevelType w:val="hybridMultilevel"/>
    <w:tmpl w:val="51929EB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8097E0F"/>
    <w:multiLevelType w:val="hybridMultilevel"/>
    <w:tmpl w:val="01821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3C2BC5"/>
    <w:multiLevelType w:val="hybridMultilevel"/>
    <w:tmpl w:val="D70CA86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E6B500A"/>
    <w:multiLevelType w:val="hybridMultilevel"/>
    <w:tmpl w:val="937C9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0559"/>
    <w:multiLevelType w:val="hybridMultilevel"/>
    <w:tmpl w:val="8C588C34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697BED"/>
    <w:multiLevelType w:val="hybridMultilevel"/>
    <w:tmpl w:val="F90E461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930FD7"/>
    <w:multiLevelType w:val="hybridMultilevel"/>
    <w:tmpl w:val="FC026B0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030AC3"/>
    <w:multiLevelType w:val="hybridMultilevel"/>
    <w:tmpl w:val="096E1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87C1A"/>
    <w:multiLevelType w:val="hybridMultilevel"/>
    <w:tmpl w:val="A1F6F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B5DE5"/>
    <w:multiLevelType w:val="hybridMultilevel"/>
    <w:tmpl w:val="C082F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EB2F30"/>
    <w:multiLevelType w:val="hybridMultilevel"/>
    <w:tmpl w:val="0CA8DB90"/>
    <w:lvl w:ilvl="0" w:tplc="08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4A22443C"/>
    <w:multiLevelType w:val="hybridMultilevel"/>
    <w:tmpl w:val="E09085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A4469D"/>
    <w:multiLevelType w:val="hybridMultilevel"/>
    <w:tmpl w:val="81C6F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53124"/>
    <w:multiLevelType w:val="hybridMultilevel"/>
    <w:tmpl w:val="C73E0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3127E"/>
    <w:multiLevelType w:val="hybridMultilevel"/>
    <w:tmpl w:val="48A2CAA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55AB58DD"/>
    <w:multiLevelType w:val="hybridMultilevel"/>
    <w:tmpl w:val="CC08EA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D45407"/>
    <w:multiLevelType w:val="hybridMultilevel"/>
    <w:tmpl w:val="95CC5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FB3502"/>
    <w:multiLevelType w:val="hybridMultilevel"/>
    <w:tmpl w:val="2C40FD7C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5C8A643F"/>
    <w:multiLevelType w:val="hybridMultilevel"/>
    <w:tmpl w:val="D63C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2281A"/>
    <w:multiLevelType w:val="hybridMultilevel"/>
    <w:tmpl w:val="3D80B9FA"/>
    <w:lvl w:ilvl="0" w:tplc="4AF64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644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0B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6D4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21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2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255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03F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C0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F69FE"/>
    <w:multiLevelType w:val="hybridMultilevel"/>
    <w:tmpl w:val="1A80E4E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F24DA4"/>
    <w:multiLevelType w:val="hybridMultilevel"/>
    <w:tmpl w:val="9ABA6B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7A06B3"/>
    <w:multiLevelType w:val="hybridMultilevel"/>
    <w:tmpl w:val="0EEA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85FAA"/>
    <w:multiLevelType w:val="hybridMultilevel"/>
    <w:tmpl w:val="A4F4CD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4B4F1D"/>
    <w:multiLevelType w:val="hybridMultilevel"/>
    <w:tmpl w:val="95D23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A752C4"/>
    <w:multiLevelType w:val="hybridMultilevel"/>
    <w:tmpl w:val="E93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54BA6"/>
    <w:multiLevelType w:val="hybridMultilevel"/>
    <w:tmpl w:val="2C8C69A4"/>
    <w:lvl w:ilvl="0" w:tplc="89E6D5C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AC2AE0"/>
    <w:multiLevelType w:val="multilevel"/>
    <w:tmpl w:val="20CCA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  <w:sz w:val="24"/>
      </w:rPr>
    </w:lvl>
  </w:abstractNum>
  <w:abstractNum w:abstractNumId="36" w15:restartNumberingAfterBreak="0">
    <w:nsid w:val="7934116E"/>
    <w:multiLevelType w:val="hybridMultilevel"/>
    <w:tmpl w:val="B2BC7EF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2C1A15"/>
    <w:multiLevelType w:val="hybridMultilevel"/>
    <w:tmpl w:val="A1CECF24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BFD5D73"/>
    <w:multiLevelType w:val="hybridMultilevel"/>
    <w:tmpl w:val="C1F8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42"/>
  </w:num>
  <w:num w:numId="3">
    <w:abstractNumId w:val="22"/>
  </w:num>
  <w:num w:numId="4">
    <w:abstractNumId w:val="3"/>
  </w:num>
  <w:num w:numId="5">
    <w:abstractNumId w:val="8"/>
  </w:num>
  <w:num w:numId="6">
    <w:abstractNumId w:val="38"/>
  </w:num>
  <w:num w:numId="7">
    <w:abstractNumId w:val="43"/>
  </w:num>
  <w:num w:numId="8">
    <w:abstractNumId w:val="5"/>
  </w:num>
  <w:num w:numId="9">
    <w:abstractNumId w:val="41"/>
  </w:num>
  <w:num w:numId="10">
    <w:abstractNumId w:val="30"/>
  </w:num>
  <w:num w:numId="11">
    <w:abstractNumId w:val="37"/>
  </w:num>
  <w:num w:numId="12">
    <w:abstractNumId w:val="16"/>
  </w:num>
  <w:num w:numId="13">
    <w:abstractNumId w:val="23"/>
  </w:num>
  <w:num w:numId="14">
    <w:abstractNumId w:val="13"/>
  </w:num>
  <w:num w:numId="15">
    <w:abstractNumId w:val="18"/>
  </w:num>
  <w:num w:numId="16">
    <w:abstractNumId w:val="32"/>
  </w:num>
  <w:num w:numId="17">
    <w:abstractNumId w:val="2"/>
  </w:num>
  <w:num w:numId="18">
    <w:abstractNumId w:val="0"/>
  </w:num>
  <w:num w:numId="19">
    <w:abstractNumId w:val="11"/>
  </w:num>
  <w:num w:numId="20">
    <w:abstractNumId w:val="21"/>
  </w:num>
  <w:num w:numId="21">
    <w:abstractNumId w:val="29"/>
  </w:num>
  <w:num w:numId="22">
    <w:abstractNumId w:val="39"/>
  </w:num>
  <w:num w:numId="23">
    <w:abstractNumId w:val="17"/>
  </w:num>
  <w:num w:numId="24">
    <w:abstractNumId w:val="6"/>
  </w:num>
  <w:num w:numId="25">
    <w:abstractNumId w:val="12"/>
  </w:num>
  <w:num w:numId="26">
    <w:abstractNumId w:val="26"/>
  </w:num>
  <w:num w:numId="27">
    <w:abstractNumId w:val="33"/>
  </w:num>
  <w:num w:numId="28">
    <w:abstractNumId w:val="10"/>
  </w:num>
  <w:num w:numId="29">
    <w:abstractNumId w:val="36"/>
  </w:num>
  <w:num w:numId="30">
    <w:abstractNumId w:val="1"/>
  </w:num>
  <w:num w:numId="31">
    <w:abstractNumId w:val="4"/>
  </w:num>
  <w:num w:numId="32">
    <w:abstractNumId w:val="9"/>
  </w:num>
  <w:num w:numId="33">
    <w:abstractNumId w:val="7"/>
  </w:num>
  <w:num w:numId="34">
    <w:abstractNumId w:val="24"/>
  </w:num>
  <w:num w:numId="35">
    <w:abstractNumId w:val="28"/>
  </w:num>
  <w:num w:numId="36">
    <w:abstractNumId w:val="15"/>
  </w:num>
  <w:num w:numId="37">
    <w:abstractNumId w:val="14"/>
  </w:num>
  <w:num w:numId="38">
    <w:abstractNumId w:val="20"/>
  </w:num>
  <w:num w:numId="39">
    <w:abstractNumId w:val="27"/>
  </w:num>
  <w:num w:numId="40">
    <w:abstractNumId w:val="2"/>
  </w:num>
  <w:num w:numId="41">
    <w:abstractNumId w:val="10"/>
  </w:num>
  <w:num w:numId="42">
    <w:abstractNumId w:val="25"/>
  </w:num>
  <w:num w:numId="43">
    <w:abstractNumId w:val="40"/>
  </w:num>
  <w:num w:numId="44">
    <w:abstractNumId w:val="34"/>
  </w:num>
  <w:num w:numId="45">
    <w:abstractNumId w:val="35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7B"/>
    <w:rsid w:val="000113FF"/>
    <w:rsid w:val="000120BD"/>
    <w:rsid w:val="000149B5"/>
    <w:rsid w:val="000414E5"/>
    <w:rsid w:val="000432C0"/>
    <w:rsid w:val="00044396"/>
    <w:rsid w:val="000458AA"/>
    <w:rsid w:val="000461C8"/>
    <w:rsid w:val="00057E36"/>
    <w:rsid w:val="00064DB8"/>
    <w:rsid w:val="00067A80"/>
    <w:rsid w:val="00075AAA"/>
    <w:rsid w:val="00086244"/>
    <w:rsid w:val="000A0F2E"/>
    <w:rsid w:val="000A426F"/>
    <w:rsid w:val="000B046D"/>
    <w:rsid w:val="000B419E"/>
    <w:rsid w:val="000B5129"/>
    <w:rsid w:val="000B5466"/>
    <w:rsid w:val="000B5923"/>
    <w:rsid w:val="000C00EF"/>
    <w:rsid w:val="000C3F42"/>
    <w:rsid w:val="000D0D69"/>
    <w:rsid w:val="000D53E0"/>
    <w:rsid w:val="000E4F05"/>
    <w:rsid w:val="0010576F"/>
    <w:rsid w:val="00106C51"/>
    <w:rsid w:val="001079DA"/>
    <w:rsid w:val="001147C6"/>
    <w:rsid w:val="001175E5"/>
    <w:rsid w:val="00125B4C"/>
    <w:rsid w:val="0014213C"/>
    <w:rsid w:val="00144179"/>
    <w:rsid w:val="00153DAF"/>
    <w:rsid w:val="00162874"/>
    <w:rsid w:val="001849E6"/>
    <w:rsid w:val="00196F0E"/>
    <w:rsid w:val="001A2236"/>
    <w:rsid w:val="001A624A"/>
    <w:rsid w:val="001A7A26"/>
    <w:rsid w:val="001B3FD3"/>
    <w:rsid w:val="001C046B"/>
    <w:rsid w:val="001C08BD"/>
    <w:rsid w:val="001E5A54"/>
    <w:rsid w:val="001F7606"/>
    <w:rsid w:val="00200176"/>
    <w:rsid w:val="00217D28"/>
    <w:rsid w:val="0022588F"/>
    <w:rsid w:val="00232037"/>
    <w:rsid w:val="00233E6E"/>
    <w:rsid w:val="00235DA7"/>
    <w:rsid w:val="00250650"/>
    <w:rsid w:val="00252B78"/>
    <w:rsid w:val="00260441"/>
    <w:rsid w:val="00262E2F"/>
    <w:rsid w:val="0026349B"/>
    <w:rsid w:val="00266FA7"/>
    <w:rsid w:val="00271671"/>
    <w:rsid w:val="002741A5"/>
    <w:rsid w:val="0027620C"/>
    <w:rsid w:val="00294F9A"/>
    <w:rsid w:val="002A3DC7"/>
    <w:rsid w:val="002B502F"/>
    <w:rsid w:val="002D4B40"/>
    <w:rsid w:val="002D5AE1"/>
    <w:rsid w:val="003173FB"/>
    <w:rsid w:val="003215DD"/>
    <w:rsid w:val="00340EEE"/>
    <w:rsid w:val="00340F97"/>
    <w:rsid w:val="003415B8"/>
    <w:rsid w:val="00344680"/>
    <w:rsid w:val="003479B7"/>
    <w:rsid w:val="00362A4C"/>
    <w:rsid w:val="00372FCE"/>
    <w:rsid w:val="00386186"/>
    <w:rsid w:val="0038621B"/>
    <w:rsid w:val="0038709A"/>
    <w:rsid w:val="003A16CA"/>
    <w:rsid w:val="003C63F3"/>
    <w:rsid w:val="003D7AD3"/>
    <w:rsid w:val="003E423D"/>
    <w:rsid w:val="003F19CA"/>
    <w:rsid w:val="00400C2D"/>
    <w:rsid w:val="0040486E"/>
    <w:rsid w:val="00422C00"/>
    <w:rsid w:val="004435BD"/>
    <w:rsid w:val="004512CE"/>
    <w:rsid w:val="0045291B"/>
    <w:rsid w:val="00455FA3"/>
    <w:rsid w:val="00456465"/>
    <w:rsid w:val="0045726A"/>
    <w:rsid w:val="00463DB0"/>
    <w:rsid w:val="0046524C"/>
    <w:rsid w:val="00466660"/>
    <w:rsid w:val="0046693E"/>
    <w:rsid w:val="00467A77"/>
    <w:rsid w:val="004815AF"/>
    <w:rsid w:val="00490FB8"/>
    <w:rsid w:val="004A65F1"/>
    <w:rsid w:val="004B4753"/>
    <w:rsid w:val="004E123E"/>
    <w:rsid w:val="004E2AFA"/>
    <w:rsid w:val="004E55CC"/>
    <w:rsid w:val="004E7D94"/>
    <w:rsid w:val="004F33C3"/>
    <w:rsid w:val="004F627C"/>
    <w:rsid w:val="00506517"/>
    <w:rsid w:val="005068D3"/>
    <w:rsid w:val="00513DB0"/>
    <w:rsid w:val="00514CB5"/>
    <w:rsid w:val="005160EE"/>
    <w:rsid w:val="00517A5A"/>
    <w:rsid w:val="00520997"/>
    <w:rsid w:val="0052580B"/>
    <w:rsid w:val="00532A7E"/>
    <w:rsid w:val="0053341A"/>
    <w:rsid w:val="00546675"/>
    <w:rsid w:val="005509E8"/>
    <w:rsid w:val="00554F9A"/>
    <w:rsid w:val="0056013F"/>
    <w:rsid w:val="0056181B"/>
    <w:rsid w:val="00583099"/>
    <w:rsid w:val="00590B0A"/>
    <w:rsid w:val="0059353D"/>
    <w:rsid w:val="00593A6A"/>
    <w:rsid w:val="005A3706"/>
    <w:rsid w:val="005A488D"/>
    <w:rsid w:val="005A5BBE"/>
    <w:rsid w:val="005B5327"/>
    <w:rsid w:val="005C5849"/>
    <w:rsid w:val="005D06E0"/>
    <w:rsid w:val="005E1232"/>
    <w:rsid w:val="005F015F"/>
    <w:rsid w:val="00611634"/>
    <w:rsid w:val="00614C3A"/>
    <w:rsid w:val="00616707"/>
    <w:rsid w:val="00623FB8"/>
    <w:rsid w:val="006253CC"/>
    <w:rsid w:val="0063024D"/>
    <w:rsid w:val="006421AD"/>
    <w:rsid w:val="00642C9E"/>
    <w:rsid w:val="006549F5"/>
    <w:rsid w:val="00661528"/>
    <w:rsid w:val="00672945"/>
    <w:rsid w:val="00692DED"/>
    <w:rsid w:val="006A1357"/>
    <w:rsid w:val="006B018B"/>
    <w:rsid w:val="006B1EEA"/>
    <w:rsid w:val="006B3DD9"/>
    <w:rsid w:val="006C2B1E"/>
    <w:rsid w:val="006D18C0"/>
    <w:rsid w:val="006D232B"/>
    <w:rsid w:val="006E6535"/>
    <w:rsid w:val="006E67ED"/>
    <w:rsid w:val="006F0926"/>
    <w:rsid w:val="006F3D82"/>
    <w:rsid w:val="0071297A"/>
    <w:rsid w:val="00713C93"/>
    <w:rsid w:val="00720EB3"/>
    <w:rsid w:val="00722DBB"/>
    <w:rsid w:val="00724280"/>
    <w:rsid w:val="007261DF"/>
    <w:rsid w:val="00737F22"/>
    <w:rsid w:val="00741AB2"/>
    <w:rsid w:val="00745A4B"/>
    <w:rsid w:val="00751235"/>
    <w:rsid w:val="00752702"/>
    <w:rsid w:val="00752CB2"/>
    <w:rsid w:val="00753164"/>
    <w:rsid w:val="0077058D"/>
    <w:rsid w:val="00792C50"/>
    <w:rsid w:val="00793223"/>
    <w:rsid w:val="00795EF8"/>
    <w:rsid w:val="007A61D7"/>
    <w:rsid w:val="007D4382"/>
    <w:rsid w:val="007E356B"/>
    <w:rsid w:val="007E5551"/>
    <w:rsid w:val="007E7ED5"/>
    <w:rsid w:val="007F1091"/>
    <w:rsid w:val="007F4058"/>
    <w:rsid w:val="007F6BBB"/>
    <w:rsid w:val="00815350"/>
    <w:rsid w:val="00816CE4"/>
    <w:rsid w:val="00842FD3"/>
    <w:rsid w:val="008553E2"/>
    <w:rsid w:val="0085723B"/>
    <w:rsid w:val="00867E1A"/>
    <w:rsid w:val="00881FC9"/>
    <w:rsid w:val="00882F92"/>
    <w:rsid w:val="008A6453"/>
    <w:rsid w:val="008B6046"/>
    <w:rsid w:val="008C26A2"/>
    <w:rsid w:val="008C39DA"/>
    <w:rsid w:val="008C6A4D"/>
    <w:rsid w:val="008D0776"/>
    <w:rsid w:val="008D5423"/>
    <w:rsid w:val="008E3AA9"/>
    <w:rsid w:val="008E5E86"/>
    <w:rsid w:val="008E76A4"/>
    <w:rsid w:val="008F381E"/>
    <w:rsid w:val="008F5655"/>
    <w:rsid w:val="008F6676"/>
    <w:rsid w:val="00904EAD"/>
    <w:rsid w:val="00917265"/>
    <w:rsid w:val="00925E54"/>
    <w:rsid w:val="00931838"/>
    <w:rsid w:val="00952AC2"/>
    <w:rsid w:val="00954B21"/>
    <w:rsid w:val="00976D67"/>
    <w:rsid w:val="00984A71"/>
    <w:rsid w:val="00992558"/>
    <w:rsid w:val="00995B7E"/>
    <w:rsid w:val="009C2D6A"/>
    <w:rsid w:val="009C4C2C"/>
    <w:rsid w:val="00A0087B"/>
    <w:rsid w:val="00A11702"/>
    <w:rsid w:val="00A2577B"/>
    <w:rsid w:val="00A31C57"/>
    <w:rsid w:val="00A5117B"/>
    <w:rsid w:val="00A63183"/>
    <w:rsid w:val="00AA2DD5"/>
    <w:rsid w:val="00AA44A3"/>
    <w:rsid w:val="00AB068F"/>
    <w:rsid w:val="00AB0F50"/>
    <w:rsid w:val="00AC7687"/>
    <w:rsid w:val="00AD46B4"/>
    <w:rsid w:val="00AE1BE9"/>
    <w:rsid w:val="00AF709D"/>
    <w:rsid w:val="00B01AF5"/>
    <w:rsid w:val="00B10EDA"/>
    <w:rsid w:val="00B1237E"/>
    <w:rsid w:val="00B25748"/>
    <w:rsid w:val="00B31C0C"/>
    <w:rsid w:val="00B53D30"/>
    <w:rsid w:val="00B60567"/>
    <w:rsid w:val="00B66AA2"/>
    <w:rsid w:val="00B77D7C"/>
    <w:rsid w:val="00B81026"/>
    <w:rsid w:val="00B8644A"/>
    <w:rsid w:val="00B86715"/>
    <w:rsid w:val="00B90E33"/>
    <w:rsid w:val="00BA509C"/>
    <w:rsid w:val="00BA63AD"/>
    <w:rsid w:val="00BB173D"/>
    <w:rsid w:val="00BB3C07"/>
    <w:rsid w:val="00BD41A8"/>
    <w:rsid w:val="00BD44E2"/>
    <w:rsid w:val="00BD6DC2"/>
    <w:rsid w:val="00BF17FC"/>
    <w:rsid w:val="00BF1A30"/>
    <w:rsid w:val="00C150AF"/>
    <w:rsid w:val="00C22BDB"/>
    <w:rsid w:val="00C33D49"/>
    <w:rsid w:val="00C430CF"/>
    <w:rsid w:val="00C56B26"/>
    <w:rsid w:val="00C6035D"/>
    <w:rsid w:val="00C62991"/>
    <w:rsid w:val="00C63607"/>
    <w:rsid w:val="00C71271"/>
    <w:rsid w:val="00C71CC5"/>
    <w:rsid w:val="00C902E9"/>
    <w:rsid w:val="00C92793"/>
    <w:rsid w:val="00C956E2"/>
    <w:rsid w:val="00C97E71"/>
    <w:rsid w:val="00CA19FD"/>
    <w:rsid w:val="00CB1281"/>
    <w:rsid w:val="00CC5CDC"/>
    <w:rsid w:val="00CE1E53"/>
    <w:rsid w:val="00CF00C8"/>
    <w:rsid w:val="00CF038B"/>
    <w:rsid w:val="00D070E2"/>
    <w:rsid w:val="00D132EF"/>
    <w:rsid w:val="00D16671"/>
    <w:rsid w:val="00D2641F"/>
    <w:rsid w:val="00D31C6F"/>
    <w:rsid w:val="00D346C3"/>
    <w:rsid w:val="00D53503"/>
    <w:rsid w:val="00D6064D"/>
    <w:rsid w:val="00D6204F"/>
    <w:rsid w:val="00D708F0"/>
    <w:rsid w:val="00D92AA6"/>
    <w:rsid w:val="00D93F2F"/>
    <w:rsid w:val="00D97CFA"/>
    <w:rsid w:val="00DA0D4F"/>
    <w:rsid w:val="00DA18FB"/>
    <w:rsid w:val="00DA3C78"/>
    <w:rsid w:val="00DB6375"/>
    <w:rsid w:val="00DB72E2"/>
    <w:rsid w:val="00DC2B4C"/>
    <w:rsid w:val="00DC67AA"/>
    <w:rsid w:val="00E410A2"/>
    <w:rsid w:val="00E47E7D"/>
    <w:rsid w:val="00E51AB3"/>
    <w:rsid w:val="00E557B8"/>
    <w:rsid w:val="00E575FA"/>
    <w:rsid w:val="00E72EB6"/>
    <w:rsid w:val="00E95856"/>
    <w:rsid w:val="00E96CA5"/>
    <w:rsid w:val="00E97A96"/>
    <w:rsid w:val="00E97EBD"/>
    <w:rsid w:val="00EB154B"/>
    <w:rsid w:val="00EB2FAC"/>
    <w:rsid w:val="00EB71D3"/>
    <w:rsid w:val="00EB7C07"/>
    <w:rsid w:val="00ED0B68"/>
    <w:rsid w:val="00ED3B2E"/>
    <w:rsid w:val="00ED75E2"/>
    <w:rsid w:val="00EE4BDB"/>
    <w:rsid w:val="00EF6419"/>
    <w:rsid w:val="00F11896"/>
    <w:rsid w:val="00F1309D"/>
    <w:rsid w:val="00F1531B"/>
    <w:rsid w:val="00F170BF"/>
    <w:rsid w:val="00F17C8A"/>
    <w:rsid w:val="00F2427A"/>
    <w:rsid w:val="00F27DD4"/>
    <w:rsid w:val="00F31A5C"/>
    <w:rsid w:val="00F445E4"/>
    <w:rsid w:val="00F57489"/>
    <w:rsid w:val="00F609DD"/>
    <w:rsid w:val="00F6514B"/>
    <w:rsid w:val="00F65C4B"/>
    <w:rsid w:val="00F66C88"/>
    <w:rsid w:val="00F802D4"/>
    <w:rsid w:val="00F87329"/>
    <w:rsid w:val="00F938C6"/>
    <w:rsid w:val="00F93FB6"/>
    <w:rsid w:val="00FB04A2"/>
    <w:rsid w:val="00FB2DF4"/>
    <w:rsid w:val="00FC2536"/>
    <w:rsid w:val="00FD0258"/>
    <w:rsid w:val="00FD2F05"/>
    <w:rsid w:val="00FD3EB9"/>
    <w:rsid w:val="00FD5E76"/>
    <w:rsid w:val="00FE12C4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947311"/>
  <w15:docId w15:val="{5E1D42A2-CF55-4481-8E36-F5F825EE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0D0D69"/>
    <w:rPr>
      <w:b/>
      <w:bCs/>
      <w:sz w:val="32"/>
      <w:szCs w:val="32"/>
      <w:lang w:eastAsia="en-US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F57489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2536"/>
    <w:pPr>
      <w:spacing w:after="120" w:line="480" w:lineRule="auto"/>
      <w:ind w:left="283"/>
    </w:pPr>
    <w:rPr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253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25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7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5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A756-9117-4881-B9A6-6B90E81A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Denise Crossan</cp:lastModifiedBy>
  <cp:revision>3</cp:revision>
  <cp:lastPrinted>2021-07-21T10:33:00Z</cp:lastPrinted>
  <dcterms:created xsi:type="dcterms:W3CDTF">2022-03-24T19:04:00Z</dcterms:created>
  <dcterms:modified xsi:type="dcterms:W3CDTF">2022-03-25T14:13:00Z</dcterms:modified>
</cp:coreProperties>
</file>