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6799"/>
      </w:tblGrid>
      <w:tr w:rsidR="00975C3C" w:rsidRPr="005B4BA8" w:rsidTr="00975C3C">
        <w:trPr>
          <w:trHeight w:val="557"/>
        </w:trPr>
        <w:tc>
          <w:tcPr>
            <w:tcW w:w="2557" w:type="dxa"/>
          </w:tcPr>
          <w:p w:rsidR="00975C3C" w:rsidRDefault="00975C3C" w:rsidP="00AB3BE3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Meeting:</w:t>
            </w:r>
          </w:p>
          <w:p w:rsidR="00975C3C" w:rsidRDefault="00975C3C" w:rsidP="00AB3BE3"/>
          <w:p w:rsidR="00963E4F" w:rsidRPr="00963E4F" w:rsidRDefault="00963E4F" w:rsidP="00AB3BE3">
            <w:pPr>
              <w:rPr>
                <w:rFonts w:ascii="Arial" w:hAnsi="Arial" w:cs="Arial"/>
                <w:b/>
              </w:rPr>
            </w:pPr>
            <w:r w:rsidRPr="00963E4F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799" w:type="dxa"/>
          </w:tcPr>
          <w:p w:rsidR="00963E4F" w:rsidRDefault="00963E4F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NHS GJ Board Meeting</w:t>
            </w:r>
          </w:p>
          <w:p w:rsidR="00963E4F" w:rsidRDefault="00963E4F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75C3C" w:rsidRPr="005B4BA8" w:rsidRDefault="00975C3C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28 July 2022</w:t>
            </w:r>
          </w:p>
        </w:tc>
      </w:tr>
      <w:tr w:rsidR="00975C3C" w:rsidRPr="005B4BA8" w:rsidTr="00975C3C">
        <w:trPr>
          <w:trHeight w:val="434"/>
        </w:trPr>
        <w:tc>
          <w:tcPr>
            <w:tcW w:w="2557" w:type="dxa"/>
          </w:tcPr>
          <w:p w:rsidR="00963E4F" w:rsidRDefault="00963E4F" w:rsidP="00ED6921">
            <w:pPr>
              <w:pStyle w:val="Heading1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975C3C" w:rsidRPr="005B4BA8" w:rsidRDefault="00975C3C" w:rsidP="00ED6921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799" w:type="dxa"/>
          </w:tcPr>
          <w:p w:rsidR="00963E4F" w:rsidRDefault="00963E4F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75C3C" w:rsidRPr="005B4BA8" w:rsidRDefault="00975C3C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NHS Golden Jubilee Corporate Objectives </w:t>
            </w:r>
            <w:r w:rsidR="00A96E9D">
              <w:rPr>
                <w:rFonts w:ascii="Arial" w:hAnsi="Arial" w:cs="Arial"/>
                <w:b w:val="0"/>
                <w:sz w:val="24"/>
                <w:szCs w:val="24"/>
              </w:rPr>
              <w:t xml:space="preserve">Financial Year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2022-2023</w:t>
            </w: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963E4F" w:rsidRDefault="00963E4F" w:rsidP="00ED6921">
            <w:pPr>
              <w:pStyle w:val="Heading1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5B4BA8" w:rsidRPr="005B4BA8" w:rsidRDefault="005B4BA8" w:rsidP="00ED6921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</w:tcPr>
          <w:p w:rsidR="00963E4F" w:rsidRDefault="00963E4F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5B4BA8" w:rsidRDefault="009C2CCF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Members</w:t>
            </w:r>
            <w:r w:rsidR="005B4BA8" w:rsidRPr="005B4BA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gramStart"/>
            <w:r w:rsidR="005B4BA8" w:rsidRPr="005B4BA8">
              <w:rPr>
                <w:rFonts w:ascii="Arial" w:hAnsi="Arial" w:cs="Arial"/>
                <w:b w:val="0"/>
                <w:sz w:val="24"/>
                <w:szCs w:val="24"/>
              </w:rPr>
              <w:t>are asked</w:t>
            </w:r>
            <w:proofErr w:type="gramEnd"/>
            <w:r w:rsidR="005B4BA8" w:rsidRPr="005B4BA8">
              <w:rPr>
                <w:rFonts w:ascii="Arial" w:hAnsi="Arial" w:cs="Arial"/>
                <w:b w:val="0"/>
                <w:sz w:val="24"/>
                <w:szCs w:val="24"/>
              </w:rPr>
              <w:t xml:space="preserve"> to:</w:t>
            </w:r>
          </w:p>
          <w:p w:rsidR="005B4BA8" w:rsidRPr="005B4BA8" w:rsidRDefault="005B4BA8" w:rsidP="00ED6921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ED6921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ED6921">
                  <w:pPr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ED6921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9C2CCF" w:rsidP="00ED6921">
                  <w:pPr>
                    <w:contextualSpacing/>
                  </w:pPr>
                  <w:r>
                    <w:t>X</w:t>
                  </w: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ED6921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5B4BA8" w:rsidP="00ED6921">
                  <w:pPr>
                    <w:contextualSpacing/>
                  </w:pPr>
                </w:p>
              </w:tc>
            </w:tr>
          </w:tbl>
          <w:p w:rsidR="005B4BA8" w:rsidRPr="0073139D" w:rsidRDefault="005B4BA8" w:rsidP="00ED6921">
            <w:pPr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D6921" w:rsidRPr="00ED6921" w:rsidRDefault="00ED6921" w:rsidP="00ED6921">
      <w:pPr>
        <w:pStyle w:val="Heading2"/>
        <w:spacing w:before="0" w:after="0"/>
        <w:ind w:left="567" w:right="181"/>
        <w:rPr>
          <w:i w:val="0"/>
          <w:sz w:val="24"/>
          <w:szCs w:val="24"/>
        </w:rPr>
      </w:pPr>
    </w:p>
    <w:p w:rsidR="00ED6921" w:rsidRDefault="005239DB" w:rsidP="00757891">
      <w:pPr>
        <w:pStyle w:val="Heading2"/>
        <w:numPr>
          <w:ilvl w:val="0"/>
          <w:numId w:val="19"/>
        </w:numPr>
        <w:spacing w:before="0" w:after="120"/>
        <w:ind w:left="567" w:right="181" w:hanging="567"/>
        <w:rPr>
          <w:i w:val="0"/>
          <w:sz w:val="24"/>
          <w:szCs w:val="24"/>
        </w:rPr>
      </w:pPr>
      <w:r w:rsidRPr="00F50618">
        <w:rPr>
          <w:i w:val="0"/>
          <w:sz w:val="24"/>
          <w:szCs w:val="24"/>
        </w:rPr>
        <w:t>Background</w:t>
      </w:r>
      <w:r w:rsidR="00907507">
        <w:rPr>
          <w:i w:val="0"/>
          <w:sz w:val="24"/>
          <w:szCs w:val="24"/>
        </w:rPr>
        <w:t xml:space="preserve"> </w:t>
      </w:r>
    </w:p>
    <w:p w:rsidR="009340D1" w:rsidRDefault="00CD1533" w:rsidP="00757891">
      <w:pPr>
        <w:spacing w:after="120"/>
        <w:rPr>
          <w:rFonts w:ascii="Arial" w:hAnsi="Arial" w:cs="Arial"/>
        </w:rPr>
      </w:pPr>
      <w:r w:rsidRPr="00CD1533">
        <w:rPr>
          <w:rFonts w:ascii="Arial" w:hAnsi="Arial" w:cs="Arial"/>
        </w:rPr>
        <w:t xml:space="preserve">The corporate objectives </w:t>
      </w:r>
      <w:proofErr w:type="gramStart"/>
      <w:r w:rsidRPr="00CD1533">
        <w:rPr>
          <w:rFonts w:ascii="Arial" w:hAnsi="Arial" w:cs="Arial"/>
        </w:rPr>
        <w:t>are developed</w:t>
      </w:r>
      <w:proofErr w:type="gramEnd"/>
      <w:r w:rsidRPr="00CD1533">
        <w:rPr>
          <w:rFonts w:ascii="Arial" w:hAnsi="Arial" w:cs="Arial"/>
        </w:rPr>
        <w:t xml:space="preserve"> each year to summarise the strategic priorities for the organisation</w:t>
      </w:r>
      <w:r>
        <w:rPr>
          <w:rFonts w:ascii="Arial" w:hAnsi="Arial" w:cs="Arial"/>
        </w:rPr>
        <w:t>.</w:t>
      </w:r>
      <w:r w:rsidR="0092354B">
        <w:rPr>
          <w:rFonts w:ascii="Arial" w:hAnsi="Arial" w:cs="Arial"/>
        </w:rPr>
        <w:t xml:space="preserve"> </w:t>
      </w:r>
      <w:r w:rsidR="009340D1">
        <w:rPr>
          <w:rFonts w:ascii="Arial" w:hAnsi="Arial" w:cs="Arial"/>
        </w:rPr>
        <w:t xml:space="preserve">The corporate objectives also include </w:t>
      </w:r>
      <w:proofErr w:type="gramStart"/>
      <w:r w:rsidR="009340D1">
        <w:rPr>
          <w:rFonts w:ascii="Arial" w:hAnsi="Arial" w:cs="Arial"/>
        </w:rPr>
        <w:t>high level</w:t>
      </w:r>
      <w:proofErr w:type="gramEnd"/>
      <w:r w:rsidR="009340D1">
        <w:rPr>
          <w:rFonts w:ascii="Arial" w:hAnsi="Arial" w:cs="Arial"/>
        </w:rPr>
        <w:t xml:space="preserve"> deliverables that align with our annual delivery plan.</w:t>
      </w:r>
    </w:p>
    <w:p w:rsidR="006A790F" w:rsidRDefault="00CD1533" w:rsidP="0075789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executive team’s personal objectives are aligned with the corporate obj</w:t>
      </w:r>
      <w:r w:rsidR="009340D1">
        <w:rPr>
          <w:rFonts w:ascii="Arial" w:hAnsi="Arial" w:cs="Arial"/>
        </w:rPr>
        <w:t xml:space="preserve">ectives and they </w:t>
      </w:r>
      <w:proofErr w:type="gramStart"/>
      <w:r w:rsidR="009340D1">
        <w:rPr>
          <w:rFonts w:ascii="Arial" w:hAnsi="Arial" w:cs="Arial"/>
        </w:rPr>
        <w:t>will also</w:t>
      </w:r>
      <w:proofErr w:type="gramEnd"/>
      <w:r w:rsidR="009340D1">
        <w:rPr>
          <w:rFonts w:ascii="Arial" w:hAnsi="Arial" w:cs="Arial"/>
        </w:rPr>
        <w:t xml:space="preserve"> be shared with senior leadership so that they can be incorporated in departmental and team planning and objectives setting. It is also intended that they should be cascaded to s</w:t>
      </w:r>
      <w:r w:rsidR="006A790F">
        <w:rPr>
          <w:rFonts w:ascii="Arial" w:hAnsi="Arial" w:cs="Arial"/>
        </w:rPr>
        <w:t xml:space="preserve">taff across the organisation </w:t>
      </w:r>
      <w:r w:rsidR="009340D1">
        <w:rPr>
          <w:rFonts w:ascii="Arial" w:hAnsi="Arial" w:cs="Arial"/>
        </w:rPr>
        <w:t xml:space="preserve">sot they </w:t>
      </w:r>
      <w:r w:rsidR="006A790F">
        <w:rPr>
          <w:rFonts w:ascii="Arial" w:hAnsi="Arial" w:cs="Arial"/>
        </w:rPr>
        <w:t>are familiar them.</w:t>
      </w:r>
      <w:r w:rsidR="009340D1">
        <w:rPr>
          <w:rFonts w:ascii="Arial" w:hAnsi="Arial" w:cs="Arial"/>
        </w:rPr>
        <w:t xml:space="preserve"> </w:t>
      </w:r>
    </w:p>
    <w:p w:rsidR="00ED6921" w:rsidRDefault="005239DB" w:rsidP="00757891">
      <w:pPr>
        <w:pStyle w:val="Heading2"/>
        <w:numPr>
          <w:ilvl w:val="0"/>
          <w:numId w:val="19"/>
        </w:numPr>
        <w:spacing w:before="0" w:after="120"/>
        <w:ind w:left="567" w:right="181" w:hanging="567"/>
        <w:rPr>
          <w:i w:val="0"/>
          <w:sz w:val="24"/>
          <w:szCs w:val="24"/>
        </w:rPr>
      </w:pPr>
      <w:r w:rsidRPr="00F50618">
        <w:rPr>
          <w:i w:val="0"/>
          <w:sz w:val="24"/>
          <w:szCs w:val="24"/>
        </w:rPr>
        <w:t>Proposals</w:t>
      </w:r>
    </w:p>
    <w:p w:rsidR="009340D1" w:rsidRPr="009340D1" w:rsidRDefault="009340D1" w:rsidP="00757891">
      <w:pPr>
        <w:spacing w:after="120"/>
        <w:rPr>
          <w:rFonts w:ascii="Arial" w:hAnsi="Arial" w:cs="Arial"/>
        </w:rPr>
      </w:pPr>
      <w:r w:rsidRPr="009340D1">
        <w:rPr>
          <w:rFonts w:ascii="Arial" w:hAnsi="Arial" w:cs="Arial"/>
        </w:rPr>
        <w:t xml:space="preserve">The corporate objectives are included in appendix 1 for consideration and approval by the </w:t>
      </w:r>
      <w:r w:rsidR="009C2CCF">
        <w:rPr>
          <w:rFonts w:ascii="Arial" w:hAnsi="Arial" w:cs="Arial"/>
        </w:rPr>
        <w:t>board</w:t>
      </w:r>
      <w:r w:rsidRPr="009340D1">
        <w:rPr>
          <w:rFonts w:ascii="Arial" w:hAnsi="Arial" w:cs="Arial"/>
        </w:rPr>
        <w:t xml:space="preserve">. The corporate objectives are </w:t>
      </w:r>
      <w:proofErr w:type="gramStart"/>
      <w:r w:rsidRPr="009340D1">
        <w:rPr>
          <w:rFonts w:ascii="Arial" w:hAnsi="Arial" w:cs="Arial"/>
        </w:rPr>
        <w:t>cross referenced</w:t>
      </w:r>
      <w:proofErr w:type="gramEnd"/>
      <w:r w:rsidRPr="009340D1">
        <w:rPr>
          <w:rFonts w:ascii="Arial" w:hAnsi="Arial" w:cs="Arial"/>
        </w:rPr>
        <w:t xml:space="preserve"> with the board’s corporate risk register, a summary of which is included in appendix 2.</w:t>
      </w:r>
    </w:p>
    <w:p w:rsidR="00F25BB3" w:rsidRPr="009340D1" w:rsidRDefault="00ED6921" w:rsidP="00757891">
      <w:pPr>
        <w:pStyle w:val="Heading2"/>
        <w:numPr>
          <w:ilvl w:val="0"/>
          <w:numId w:val="19"/>
        </w:numPr>
        <w:spacing w:before="0" w:after="120"/>
        <w:ind w:left="567" w:right="181" w:hanging="567"/>
        <w:rPr>
          <w:i w:val="0"/>
          <w:sz w:val="24"/>
          <w:szCs w:val="24"/>
        </w:rPr>
      </w:pPr>
      <w:r w:rsidRPr="00F50618">
        <w:rPr>
          <w:i w:val="0"/>
          <w:sz w:val="24"/>
          <w:szCs w:val="24"/>
        </w:rPr>
        <w:t>Option appraisal/risk assessment</w:t>
      </w:r>
    </w:p>
    <w:p w:rsidR="009340D1" w:rsidRPr="00F50618" w:rsidRDefault="009340D1" w:rsidP="00757891">
      <w:pPr>
        <w:spacing w:after="120"/>
        <w:rPr>
          <w:rFonts w:ascii="Arial" w:hAnsi="Arial" w:cs="Arial"/>
        </w:rPr>
      </w:pPr>
      <w:r w:rsidRPr="009340D1">
        <w:rPr>
          <w:rFonts w:ascii="Arial" w:hAnsi="Arial" w:cs="Arial"/>
        </w:rPr>
        <w:t xml:space="preserve">The corporate objectives are </w:t>
      </w:r>
      <w:proofErr w:type="gramStart"/>
      <w:r w:rsidRPr="009340D1">
        <w:rPr>
          <w:rFonts w:ascii="Arial" w:hAnsi="Arial" w:cs="Arial"/>
        </w:rPr>
        <w:t>cross referenced</w:t>
      </w:r>
      <w:proofErr w:type="gramEnd"/>
      <w:r w:rsidRPr="009340D1">
        <w:rPr>
          <w:rFonts w:ascii="Arial" w:hAnsi="Arial" w:cs="Arial"/>
        </w:rPr>
        <w:t xml:space="preserve"> with the board’s corporate risk register</w:t>
      </w:r>
      <w:r>
        <w:rPr>
          <w:rFonts w:ascii="Arial" w:hAnsi="Arial" w:cs="Arial"/>
        </w:rPr>
        <w:t xml:space="preserve"> so that there is clear alignment between them and our approach to risk management.</w:t>
      </w:r>
    </w:p>
    <w:p w:rsidR="00ED6921" w:rsidRPr="009340D1" w:rsidRDefault="005239DB" w:rsidP="00757891">
      <w:pPr>
        <w:pStyle w:val="Heading2"/>
        <w:numPr>
          <w:ilvl w:val="0"/>
          <w:numId w:val="19"/>
        </w:numPr>
        <w:spacing w:before="0" w:after="120"/>
        <w:ind w:left="567" w:right="181" w:hanging="567"/>
        <w:rPr>
          <w:i w:val="0"/>
          <w:sz w:val="24"/>
          <w:szCs w:val="24"/>
        </w:rPr>
      </w:pPr>
      <w:r w:rsidRPr="00F50618">
        <w:rPr>
          <w:i w:val="0"/>
          <w:sz w:val="24"/>
          <w:szCs w:val="24"/>
        </w:rPr>
        <w:t>Consultation</w:t>
      </w:r>
    </w:p>
    <w:p w:rsidR="00ED6921" w:rsidRPr="00F50618" w:rsidRDefault="009340D1" w:rsidP="0075789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corporate objectives </w:t>
      </w:r>
      <w:proofErr w:type="gramStart"/>
      <w:r>
        <w:rPr>
          <w:rFonts w:ascii="Arial" w:hAnsi="Arial" w:cs="Arial"/>
        </w:rPr>
        <w:t>have been discussed</w:t>
      </w:r>
      <w:proofErr w:type="gramEnd"/>
      <w:r>
        <w:rPr>
          <w:rFonts w:ascii="Arial" w:hAnsi="Arial" w:cs="Arial"/>
        </w:rPr>
        <w:t xml:space="preserve"> in draft form with the executive team and board committees prior to this final version being developed.</w:t>
      </w:r>
      <w:r w:rsidR="009C2CCF">
        <w:rPr>
          <w:rFonts w:ascii="Arial" w:hAnsi="Arial" w:cs="Arial"/>
        </w:rPr>
        <w:t xml:space="preserve"> The executive team approved this version for consideration by the board.</w:t>
      </w:r>
    </w:p>
    <w:p w:rsidR="009340D1" w:rsidRPr="009340D1" w:rsidRDefault="005239DB" w:rsidP="00757891">
      <w:pPr>
        <w:pStyle w:val="Heading2"/>
        <w:numPr>
          <w:ilvl w:val="0"/>
          <w:numId w:val="19"/>
        </w:numPr>
        <w:spacing w:before="0" w:after="120"/>
        <w:ind w:left="567" w:right="181" w:hanging="567"/>
        <w:rPr>
          <w:i w:val="0"/>
          <w:sz w:val="24"/>
          <w:szCs w:val="24"/>
        </w:rPr>
      </w:pPr>
      <w:r w:rsidRPr="00F50618">
        <w:rPr>
          <w:i w:val="0"/>
          <w:sz w:val="24"/>
          <w:szCs w:val="24"/>
        </w:rPr>
        <w:t>Resource implication</w:t>
      </w:r>
    </w:p>
    <w:p w:rsidR="009340D1" w:rsidRPr="00975C3C" w:rsidRDefault="009340D1" w:rsidP="00757891">
      <w:pPr>
        <w:spacing w:after="120"/>
        <w:rPr>
          <w:rFonts w:ascii="Arial" w:hAnsi="Arial" w:cs="Arial"/>
        </w:rPr>
      </w:pPr>
      <w:r w:rsidRPr="00975C3C">
        <w:rPr>
          <w:rFonts w:ascii="Arial" w:hAnsi="Arial" w:cs="Arial"/>
        </w:rPr>
        <w:t>NA</w:t>
      </w:r>
    </w:p>
    <w:p w:rsidR="005239DB" w:rsidRPr="00F50618" w:rsidRDefault="005239DB" w:rsidP="00757891">
      <w:pPr>
        <w:pStyle w:val="Heading2"/>
        <w:numPr>
          <w:ilvl w:val="0"/>
          <w:numId w:val="19"/>
        </w:numPr>
        <w:spacing w:before="0" w:after="120"/>
        <w:ind w:left="567" w:right="181" w:hanging="567"/>
        <w:rPr>
          <w:i w:val="0"/>
          <w:sz w:val="24"/>
          <w:szCs w:val="24"/>
        </w:rPr>
      </w:pPr>
      <w:r w:rsidRPr="00F50618">
        <w:rPr>
          <w:i w:val="0"/>
          <w:sz w:val="24"/>
          <w:szCs w:val="24"/>
        </w:rPr>
        <w:t>Recommendation</w:t>
      </w:r>
    </w:p>
    <w:p w:rsidR="005773D0" w:rsidRDefault="009340D1" w:rsidP="0075789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Executive team </w:t>
      </w:r>
      <w:proofErr w:type="gramStart"/>
      <w:r>
        <w:rPr>
          <w:rFonts w:ascii="Arial" w:hAnsi="Arial" w:cs="Arial"/>
        </w:rPr>
        <w:t>are asked</w:t>
      </w:r>
      <w:proofErr w:type="gramEnd"/>
      <w:r>
        <w:rPr>
          <w:rFonts w:ascii="Arial" w:hAnsi="Arial" w:cs="Arial"/>
        </w:rPr>
        <w:t xml:space="preserve"> to note and approve the corporate objectives for 2022-2023.</w:t>
      </w:r>
    </w:p>
    <w:p w:rsidR="009340D1" w:rsidRPr="00F50618" w:rsidRDefault="009340D1" w:rsidP="005773D0">
      <w:pPr>
        <w:rPr>
          <w:rFonts w:ascii="Arial" w:hAnsi="Arial" w:cs="Arial"/>
        </w:rPr>
      </w:pPr>
    </w:p>
    <w:p w:rsidR="005239DB" w:rsidRPr="00162874" w:rsidRDefault="005239DB" w:rsidP="005239DB">
      <w:pPr>
        <w:ind w:right="183"/>
        <w:rPr>
          <w:rFonts w:ascii="Arial" w:hAnsi="Arial" w:cs="Arial"/>
          <w:bCs/>
        </w:rPr>
      </w:pPr>
    </w:p>
    <w:p w:rsidR="009C2CCF" w:rsidRDefault="009C2CCF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Jann Gardner</w:t>
      </w:r>
    </w:p>
    <w:p w:rsidR="002253CC" w:rsidRDefault="009C2CCF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  <w:r w:rsidR="009742FA">
        <w:rPr>
          <w:rFonts w:ascii="Arial" w:hAnsi="Arial" w:cs="Arial"/>
          <w:b/>
          <w:bCs/>
        </w:rPr>
        <w:tab/>
      </w:r>
    </w:p>
    <w:p w:rsidR="005773D0" w:rsidRDefault="00CD1533" w:rsidP="00757891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C2CCF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Jul</w:t>
      </w:r>
      <w:r w:rsidR="009C2CCF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2022</w:t>
      </w:r>
    </w:p>
    <w:sectPr w:rsidR="005773D0" w:rsidSect="00975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87" w:rsidRDefault="004C7B87">
      <w:r>
        <w:separator/>
      </w:r>
    </w:p>
  </w:endnote>
  <w:endnote w:type="continuationSeparator" w:id="0">
    <w:p w:rsidR="004C7B87" w:rsidRDefault="004C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19" w:rsidRDefault="00AD4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19" w:rsidRDefault="00AD4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19" w:rsidRDefault="00AD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87" w:rsidRDefault="004C7B87">
      <w:r>
        <w:separator/>
      </w:r>
    </w:p>
  </w:footnote>
  <w:footnote w:type="continuationSeparator" w:id="0">
    <w:p w:rsidR="004C7B87" w:rsidRDefault="004C7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19" w:rsidRDefault="00AD4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819" w:rsidRDefault="00AD4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C3C" w:rsidRDefault="00975C3C" w:rsidP="00975C3C">
    <w:pPr>
      <w:pStyle w:val="Header"/>
      <w:jc w:val="center"/>
      <w:rPr>
        <w:rFonts w:ascii="Arial" w:hAnsi="Arial" w:cs="Arial"/>
        <w:b/>
        <w:color w:val="365F91" w:themeColor="accent1" w:themeShade="BF"/>
        <w:sz w:val="20"/>
        <w:szCs w:val="20"/>
      </w:rPr>
    </w:pPr>
    <w:r>
      <w:rPr>
        <w:rFonts w:ascii="Arial" w:hAnsi="Arial" w:cs="Arial"/>
        <w:b/>
        <w:color w:val="365F91" w:themeColor="accent1" w:themeShade="BF"/>
        <w:sz w:val="20"/>
        <w:szCs w:val="20"/>
      </w:rPr>
      <w:t xml:space="preserve">                                                                                                                                           </w:t>
    </w:r>
    <w:r w:rsidR="00A96E9D">
      <w:rPr>
        <w:rFonts w:ascii="Arial" w:hAnsi="Arial" w:cs="Arial"/>
        <w:b/>
        <w:color w:val="365F91" w:themeColor="accent1" w:themeShade="BF"/>
        <w:sz w:val="20"/>
        <w:szCs w:val="20"/>
      </w:rPr>
      <w:t xml:space="preserve">Item </w:t>
    </w:r>
    <w:r w:rsidR="00A96E9D">
      <w:rPr>
        <w:rFonts w:ascii="Arial" w:hAnsi="Arial" w:cs="Arial"/>
        <w:b/>
        <w:color w:val="365F91" w:themeColor="accent1" w:themeShade="BF"/>
        <w:sz w:val="20"/>
        <w:szCs w:val="20"/>
      </w:rPr>
      <w:t>8</w:t>
    </w:r>
    <w:r w:rsidRPr="00975C3C">
      <w:rPr>
        <w:rFonts w:ascii="Arial" w:hAnsi="Arial" w:cs="Arial"/>
        <w:b/>
        <w:color w:val="365F91" w:themeColor="accent1" w:themeShade="BF"/>
        <w:sz w:val="20"/>
        <w:szCs w:val="20"/>
      </w:rPr>
      <w:t>.4</w:t>
    </w:r>
    <w:r w:rsidR="002E3A82">
      <w:rPr>
        <w:rFonts w:ascii="Arial" w:hAnsi="Arial" w:cs="Arial"/>
        <w:b/>
        <w:color w:val="365F91" w:themeColor="accent1" w:themeShade="BF"/>
        <w:sz w:val="20"/>
        <w:szCs w:val="20"/>
      </w:rPr>
      <w:t>a</w:t>
    </w:r>
    <w:bookmarkStart w:id="0" w:name="_GoBack"/>
    <w:bookmarkEnd w:id="0"/>
  </w:p>
  <w:p w:rsidR="00975C3C" w:rsidRPr="00975C3C" w:rsidRDefault="00975C3C" w:rsidP="00975C3C">
    <w:pPr>
      <w:pStyle w:val="Header"/>
      <w:jc w:val="right"/>
      <w:rPr>
        <w:rFonts w:ascii="Arial" w:hAnsi="Arial" w:cs="Arial"/>
        <w:b/>
        <w:color w:val="365F91" w:themeColor="accent1" w:themeShade="BF"/>
        <w:sz w:val="20"/>
        <w:szCs w:val="20"/>
      </w:rPr>
    </w:pPr>
    <w:r>
      <w:rPr>
        <w:rFonts w:ascii="Arial" w:hAnsi="Arial" w:cs="Arial"/>
        <w:noProof/>
        <w:lang w:eastAsia="en-GB"/>
      </w:rPr>
      <w:drawing>
        <wp:inline distT="0" distB="0" distL="0" distR="0" wp14:anchorId="799C6B8B" wp14:editId="00D6A637">
          <wp:extent cx="794007" cy="54969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JF RGB WITHOUT 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974" cy="5538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F16038E"/>
    <w:multiLevelType w:val="hybridMultilevel"/>
    <w:tmpl w:val="35FC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91957"/>
    <w:multiLevelType w:val="hybridMultilevel"/>
    <w:tmpl w:val="98EC2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E0AF7"/>
    <w:multiLevelType w:val="hybridMultilevel"/>
    <w:tmpl w:val="D1E61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C2C9B"/>
    <w:multiLevelType w:val="hybridMultilevel"/>
    <w:tmpl w:val="E776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D6461"/>
    <w:multiLevelType w:val="hybridMultilevel"/>
    <w:tmpl w:val="45121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DC1"/>
    <w:multiLevelType w:val="hybridMultilevel"/>
    <w:tmpl w:val="6994B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B6549"/>
    <w:multiLevelType w:val="hybridMultilevel"/>
    <w:tmpl w:val="FED8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8600F"/>
    <w:multiLevelType w:val="hybridMultilevel"/>
    <w:tmpl w:val="DE6A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E3880"/>
    <w:multiLevelType w:val="hybridMultilevel"/>
    <w:tmpl w:val="9086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987747"/>
    <w:multiLevelType w:val="hybridMultilevel"/>
    <w:tmpl w:val="6F7A3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B1B64"/>
    <w:multiLevelType w:val="hybridMultilevel"/>
    <w:tmpl w:val="134A7E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E06B2"/>
    <w:multiLevelType w:val="multilevel"/>
    <w:tmpl w:val="AFBC2D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38FA20C0"/>
    <w:multiLevelType w:val="hybridMultilevel"/>
    <w:tmpl w:val="84229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B404D"/>
    <w:multiLevelType w:val="hybridMultilevel"/>
    <w:tmpl w:val="F17E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052C6"/>
    <w:multiLevelType w:val="hybridMultilevel"/>
    <w:tmpl w:val="72800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D6BD0"/>
    <w:multiLevelType w:val="hybridMultilevel"/>
    <w:tmpl w:val="B7FE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76EDE"/>
    <w:multiLevelType w:val="hybridMultilevel"/>
    <w:tmpl w:val="2C3C74C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42642FA1"/>
    <w:multiLevelType w:val="hybridMultilevel"/>
    <w:tmpl w:val="EAA66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43185"/>
    <w:multiLevelType w:val="hybridMultilevel"/>
    <w:tmpl w:val="160AE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9F5838"/>
    <w:multiLevelType w:val="hybridMultilevel"/>
    <w:tmpl w:val="4790C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C350E"/>
    <w:multiLevelType w:val="hybridMultilevel"/>
    <w:tmpl w:val="1FECFBB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4CBB5E94"/>
    <w:multiLevelType w:val="hybridMultilevel"/>
    <w:tmpl w:val="3B2C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C235B9"/>
    <w:multiLevelType w:val="hybridMultilevel"/>
    <w:tmpl w:val="84229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21AB7"/>
    <w:multiLevelType w:val="hybridMultilevel"/>
    <w:tmpl w:val="8DBE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37B15"/>
    <w:multiLevelType w:val="hybridMultilevel"/>
    <w:tmpl w:val="9ADEBEB4"/>
    <w:lvl w:ilvl="0" w:tplc="8EDCF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8D334E"/>
    <w:multiLevelType w:val="hybridMultilevel"/>
    <w:tmpl w:val="C770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B62E2D"/>
    <w:multiLevelType w:val="hybridMultilevel"/>
    <w:tmpl w:val="CC94D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9D56FDB"/>
    <w:multiLevelType w:val="hybridMultilevel"/>
    <w:tmpl w:val="E132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B84A45"/>
    <w:multiLevelType w:val="hybridMultilevel"/>
    <w:tmpl w:val="0F6E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96F42"/>
    <w:multiLevelType w:val="hybridMultilevel"/>
    <w:tmpl w:val="14EE5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F6D8C"/>
    <w:multiLevelType w:val="hybridMultilevel"/>
    <w:tmpl w:val="A5CC1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711B4"/>
    <w:multiLevelType w:val="hybridMultilevel"/>
    <w:tmpl w:val="B93CC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1"/>
  </w:num>
  <w:num w:numId="2">
    <w:abstractNumId w:val="49"/>
  </w:num>
  <w:num w:numId="3">
    <w:abstractNumId w:val="37"/>
  </w:num>
  <w:num w:numId="4">
    <w:abstractNumId w:val="1"/>
  </w:num>
  <w:num w:numId="5">
    <w:abstractNumId w:val="4"/>
  </w:num>
  <w:num w:numId="6">
    <w:abstractNumId w:val="22"/>
  </w:num>
  <w:num w:numId="7">
    <w:abstractNumId w:val="44"/>
  </w:num>
  <w:num w:numId="8">
    <w:abstractNumId w:val="0"/>
  </w:num>
  <w:num w:numId="9">
    <w:abstractNumId w:val="43"/>
  </w:num>
  <w:num w:numId="10">
    <w:abstractNumId w:val="16"/>
  </w:num>
  <w:num w:numId="11">
    <w:abstractNumId w:val="14"/>
  </w:num>
  <w:num w:numId="12">
    <w:abstractNumId w:val="38"/>
  </w:num>
  <w:num w:numId="13">
    <w:abstractNumId w:val="8"/>
  </w:num>
  <w:num w:numId="14">
    <w:abstractNumId w:val="5"/>
  </w:num>
  <w:num w:numId="15">
    <w:abstractNumId w:val="18"/>
  </w:num>
  <w:num w:numId="16">
    <w:abstractNumId w:val="13"/>
  </w:num>
  <w:num w:numId="17">
    <w:abstractNumId w:val="30"/>
  </w:num>
  <w:num w:numId="18">
    <w:abstractNumId w:val="2"/>
  </w:num>
  <w:num w:numId="19">
    <w:abstractNumId w:val="29"/>
  </w:num>
  <w:num w:numId="20">
    <w:abstractNumId w:val="11"/>
  </w:num>
  <w:num w:numId="21">
    <w:abstractNumId w:val="32"/>
  </w:num>
  <w:num w:numId="22">
    <w:abstractNumId w:val="28"/>
  </w:num>
  <w:num w:numId="23">
    <w:abstractNumId w:val="25"/>
  </w:num>
  <w:num w:numId="24">
    <w:abstractNumId w:val="19"/>
  </w:num>
  <w:num w:numId="25">
    <w:abstractNumId w:val="47"/>
  </w:num>
  <w:num w:numId="26">
    <w:abstractNumId w:val="33"/>
  </w:num>
  <w:num w:numId="27">
    <w:abstractNumId w:val="36"/>
  </w:num>
  <w:num w:numId="28">
    <w:abstractNumId w:val="34"/>
  </w:num>
  <w:num w:numId="29">
    <w:abstractNumId w:val="3"/>
  </w:num>
  <w:num w:numId="30">
    <w:abstractNumId w:val="39"/>
  </w:num>
  <w:num w:numId="31">
    <w:abstractNumId w:val="23"/>
  </w:num>
  <w:num w:numId="32">
    <w:abstractNumId w:val="17"/>
  </w:num>
  <w:num w:numId="33">
    <w:abstractNumId w:val="7"/>
  </w:num>
  <w:num w:numId="34">
    <w:abstractNumId w:val="12"/>
  </w:num>
  <w:num w:numId="35">
    <w:abstractNumId w:val="35"/>
  </w:num>
  <w:num w:numId="36">
    <w:abstractNumId w:val="40"/>
  </w:num>
  <w:num w:numId="37">
    <w:abstractNumId w:val="45"/>
  </w:num>
  <w:num w:numId="38">
    <w:abstractNumId w:val="46"/>
  </w:num>
  <w:num w:numId="39">
    <w:abstractNumId w:val="48"/>
  </w:num>
  <w:num w:numId="40">
    <w:abstractNumId w:val="42"/>
  </w:num>
  <w:num w:numId="41">
    <w:abstractNumId w:val="20"/>
  </w:num>
  <w:num w:numId="42">
    <w:abstractNumId w:val="6"/>
  </w:num>
  <w:num w:numId="43">
    <w:abstractNumId w:val="24"/>
  </w:num>
  <w:num w:numId="44">
    <w:abstractNumId w:val="31"/>
  </w:num>
  <w:num w:numId="45">
    <w:abstractNumId w:val="10"/>
  </w:num>
  <w:num w:numId="46">
    <w:abstractNumId w:val="27"/>
  </w:num>
  <w:num w:numId="47">
    <w:abstractNumId w:val="21"/>
  </w:num>
  <w:num w:numId="48">
    <w:abstractNumId w:val="9"/>
  </w:num>
  <w:num w:numId="49">
    <w:abstractNumId w:val="26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11655"/>
    <w:rsid w:val="00061CDE"/>
    <w:rsid w:val="00075AAA"/>
    <w:rsid w:val="00097EAE"/>
    <w:rsid w:val="000A3C01"/>
    <w:rsid w:val="000B5923"/>
    <w:rsid w:val="000D0952"/>
    <w:rsid w:val="000D535E"/>
    <w:rsid w:val="000F79C6"/>
    <w:rsid w:val="00103177"/>
    <w:rsid w:val="00115F97"/>
    <w:rsid w:val="001175E5"/>
    <w:rsid w:val="002253CC"/>
    <w:rsid w:val="0024635A"/>
    <w:rsid w:val="002506FC"/>
    <w:rsid w:val="00277B07"/>
    <w:rsid w:val="00281445"/>
    <w:rsid w:val="0028450E"/>
    <w:rsid w:val="002A0190"/>
    <w:rsid w:val="002A42DD"/>
    <w:rsid w:val="002D203E"/>
    <w:rsid w:val="002E3A82"/>
    <w:rsid w:val="0031078B"/>
    <w:rsid w:val="003D6A05"/>
    <w:rsid w:val="003E423D"/>
    <w:rsid w:val="003F19CA"/>
    <w:rsid w:val="004512CE"/>
    <w:rsid w:val="004810D9"/>
    <w:rsid w:val="004C7B87"/>
    <w:rsid w:val="00501962"/>
    <w:rsid w:val="0050627E"/>
    <w:rsid w:val="00513DB0"/>
    <w:rsid w:val="005239DB"/>
    <w:rsid w:val="00526532"/>
    <w:rsid w:val="005773D0"/>
    <w:rsid w:val="005A1DB9"/>
    <w:rsid w:val="005B4BA8"/>
    <w:rsid w:val="005B69F4"/>
    <w:rsid w:val="005F02B7"/>
    <w:rsid w:val="0060634D"/>
    <w:rsid w:val="006523D3"/>
    <w:rsid w:val="00661EF1"/>
    <w:rsid w:val="00691C71"/>
    <w:rsid w:val="006A1357"/>
    <w:rsid w:val="006A790F"/>
    <w:rsid w:val="006D35E9"/>
    <w:rsid w:val="006D6F99"/>
    <w:rsid w:val="00711E7A"/>
    <w:rsid w:val="00732A03"/>
    <w:rsid w:val="00742D4F"/>
    <w:rsid w:val="00757891"/>
    <w:rsid w:val="0078451C"/>
    <w:rsid w:val="007875EF"/>
    <w:rsid w:val="007B4090"/>
    <w:rsid w:val="00815350"/>
    <w:rsid w:val="00825B2D"/>
    <w:rsid w:val="00831B31"/>
    <w:rsid w:val="00844E0E"/>
    <w:rsid w:val="00874963"/>
    <w:rsid w:val="008A07AE"/>
    <w:rsid w:val="008A4AA9"/>
    <w:rsid w:val="008B7A2C"/>
    <w:rsid w:val="008C26A2"/>
    <w:rsid w:val="008F0F5B"/>
    <w:rsid w:val="00907507"/>
    <w:rsid w:val="0092354B"/>
    <w:rsid w:val="009340D1"/>
    <w:rsid w:val="00936893"/>
    <w:rsid w:val="0093700B"/>
    <w:rsid w:val="00937BE5"/>
    <w:rsid w:val="00944285"/>
    <w:rsid w:val="00963E4F"/>
    <w:rsid w:val="009742FA"/>
    <w:rsid w:val="00974594"/>
    <w:rsid w:val="00975C3C"/>
    <w:rsid w:val="009A7D92"/>
    <w:rsid w:val="009C2CCF"/>
    <w:rsid w:val="009E6A39"/>
    <w:rsid w:val="00A2577B"/>
    <w:rsid w:val="00A3124D"/>
    <w:rsid w:val="00A4549A"/>
    <w:rsid w:val="00A560AF"/>
    <w:rsid w:val="00A96E9D"/>
    <w:rsid w:val="00AB3BE3"/>
    <w:rsid w:val="00AB3FD0"/>
    <w:rsid w:val="00AC185B"/>
    <w:rsid w:val="00AD4819"/>
    <w:rsid w:val="00AE456C"/>
    <w:rsid w:val="00B15EA2"/>
    <w:rsid w:val="00BE7A06"/>
    <w:rsid w:val="00C0017D"/>
    <w:rsid w:val="00C24B4E"/>
    <w:rsid w:val="00C36974"/>
    <w:rsid w:val="00C75586"/>
    <w:rsid w:val="00C956E2"/>
    <w:rsid w:val="00CA6DDF"/>
    <w:rsid w:val="00CC2FD7"/>
    <w:rsid w:val="00CD1533"/>
    <w:rsid w:val="00CE4B72"/>
    <w:rsid w:val="00CF4209"/>
    <w:rsid w:val="00CF6461"/>
    <w:rsid w:val="00D05F2C"/>
    <w:rsid w:val="00D2672F"/>
    <w:rsid w:val="00D306B6"/>
    <w:rsid w:val="00D92AA6"/>
    <w:rsid w:val="00DD7115"/>
    <w:rsid w:val="00DE5902"/>
    <w:rsid w:val="00E24BFC"/>
    <w:rsid w:val="00E95856"/>
    <w:rsid w:val="00EA4869"/>
    <w:rsid w:val="00EB7C07"/>
    <w:rsid w:val="00EC65DF"/>
    <w:rsid w:val="00ED1299"/>
    <w:rsid w:val="00ED6921"/>
    <w:rsid w:val="00F12826"/>
    <w:rsid w:val="00F25BB3"/>
    <w:rsid w:val="00F459C0"/>
    <w:rsid w:val="00F50618"/>
    <w:rsid w:val="00F7206C"/>
    <w:rsid w:val="00F816DA"/>
    <w:rsid w:val="00FD5E76"/>
    <w:rsid w:val="00FE14F0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9DE4855"/>
  <w15:docId w15:val="{DD8235A4-B1DC-4BE7-B587-FAD4E8D5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5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409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773D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Normal1">
    <w:name w:val="Normal1"/>
    <w:basedOn w:val="Normal"/>
    <w:rsid w:val="005773D0"/>
    <w:pPr>
      <w:spacing w:before="100" w:beforeAutospacing="1" w:after="100" w:afterAutospacing="1"/>
    </w:pPr>
    <w:rPr>
      <w:lang w:val="en-US"/>
    </w:rPr>
  </w:style>
  <w:style w:type="character" w:customStyle="1" w:styleId="normalchar">
    <w:name w:val="normal__char"/>
    <w:rsid w:val="005773D0"/>
  </w:style>
  <w:style w:type="table" w:customStyle="1" w:styleId="TableGrid1">
    <w:name w:val="Table Grid1"/>
    <w:basedOn w:val="TableNormal"/>
    <w:next w:val="TableGrid"/>
    <w:uiPriority w:val="39"/>
    <w:rsid w:val="00831B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31B31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B31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31B31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831B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F79C6"/>
  </w:style>
  <w:style w:type="character" w:customStyle="1" w:styleId="Heading3Char">
    <w:name w:val="Heading 3 Char"/>
    <w:basedOn w:val="DefaultParagraphFont"/>
    <w:link w:val="Heading3"/>
    <w:uiPriority w:val="9"/>
    <w:rsid w:val="000F79C6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79C6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79C6"/>
    <w:rPr>
      <w:sz w:val="24"/>
      <w:szCs w:val="24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0F79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F79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F79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D20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E45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281445"/>
  </w:style>
  <w:style w:type="table" w:customStyle="1" w:styleId="TableGrid8">
    <w:name w:val="Table Grid8"/>
    <w:basedOn w:val="TableNormal"/>
    <w:next w:val="TableGrid"/>
    <w:uiPriority w:val="39"/>
    <w:rsid w:val="002814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463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484BC-1344-4D05-8F8E-2A28C79E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Alison Mackay</cp:lastModifiedBy>
  <cp:revision>9</cp:revision>
  <dcterms:created xsi:type="dcterms:W3CDTF">2022-07-15T07:55:00Z</dcterms:created>
  <dcterms:modified xsi:type="dcterms:W3CDTF">2022-07-21T08:34:00Z</dcterms:modified>
</cp:coreProperties>
</file>