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CA" w:rsidRDefault="006571D7">
      <w:pPr>
        <w:rPr>
          <w:b/>
          <w:sz w:val="28"/>
        </w:rPr>
      </w:pPr>
      <w:r w:rsidRPr="006571D7">
        <w:rPr>
          <w:b/>
          <w:sz w:val="28"/>
        </w:rPr>
        <w:t>Appendix 2 – Corporate Risk Register</w:t>
      </w:r>
      <w:bookmarkStart w:id="0" w:name="_GoBack"/>
      <w:bookmarkEnd w:id="0"/>
    </w:p>
    <w:tbl>
      <w:tblPr>
        <w:tblStyle w:val="TableGrid"/>
        <w:tblW w:w="16007" w:type="dxa"/>
        <w:tblInd w:w="-147" w:type="dxa"/>
        <w:tblLook w:val="04A0" w:firstRow="1" w:lastRow="0" w:firstColumn="1" w:lastColumn="0" w:noHBand="0" w:noVBand="1"/>
      </w:tblPr>
      <w:tblGrid>
        <w:gridCol w:w="813"/>
        <w:gridCol w:w="1147"/>
        <w:gridCol w:w="1874"/>
        <w:gridCol w:w="4875"/>
        <w:gridCol w:w="767"/>
        <w:gridCol w:w="706"/>
        <w:gridCol w:w="635"/>
        <w:gridCol w:w="612"/>
        <w:gridCol w:w="1038"/>
        <w:gridCol w:w="887"/>
        <w:gridCol w:w="955"/>
        <w:gridCol w:w="717"/>
        <w:gridCol w:w="981"/>
      </w:tblGrid>
      <w:tr w:rsidR="006571D7" w:rsidRPr="002A6668" w:rsidTr="006571D7">
        <w:tc>
          <w:tcPr>
            <w:tcW w:w="813" w:type="dxa"/>
            <w:shd w:val="clear" w:color="auto" w:fill="1F3864" w:themeFill="accent5" w:themeFillShade="80"/>
          </w:tcPr>
          <w:p w:rsidR="006571D7" w:rsidRPr="00AC7BF0" w:rsidRDefault="006571D7" w:rsidP="00B021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AC7BF0">
              <w:rPr>
                <w:rFonts w:ascii="Arial" w:hAnsi="Arial" w:cs="Arial"/>
                <w:b/>
                <w:sz w:val="18"/>
                <w:szCs w:val="20"/>
              </w:rPr>
              <w:t>Risk ID</w:t>
            </w:r>
          </w:p>
        </w:tc>
        <w:tc>
          <w:tcPr>
            <w:tcW w:w="1147" w:type="dxa"/>
            <w:shd w:val="clear" w:color="auto" w:fill="1F3864" w:themeFill="accent5" w:themeFillShade="80"/>
          </w:tcPr>
          <w:p w:rsidR="006571D7" w:rsidRPr="00AC7BF0" w:rsidRDefault="006571D7" w:rsidP="00B0214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Committee</w:t>
            </w:r>
          </w:p>
        </w:tc>
        <w:tc>
          <w:tcPr>
            <w:tcW w:w="1874" w:type="dxa"/>
            <w:shd w:val="clear" w:color="auto" w:fill="1F3864" w:themeFill="accent5" w:themeFillShade="80"/>
          </w:tcPr>
          <w:p w:rsidR="006571D7" w:rsidRPr="00AC7BF0" w:rsidRDefault="006571D7" w:rsidP="00B021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AC7BF0">
              <w:rPr>
                <w:rFonts w:ascii="Arial" w:hAnsi="Arial" w:cs="Arial"/>
                <w:b/>
                <w:sz w:val="18"/>
                <w:szCs w:val="20"/>
              </w:rPr>
              <w:t>Title</w:t>
            </w:r>
          </w:p>
        </w:tc>
        <w:tc>
          <w:tcPr>
            <w:tcW w:w="4875" w:type="dxa"/>
            <w:shd w:val="clear" w:color="auto" w:fill="1F3864" w:themeFill="accent5" w:themeFillShade="80"/>
          </w:tcPr>
          <w:p w:rsidR="006571D7" w:rsidRPr="00AC7BF0" w:rsidRDefault="006571D7" w:rsidP="00B021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AC7BF0">
              <w:rPr>
                <w:rFonts w:ascii="Arial" w:hAnsi="Arial" w:cs="Arial"/>
                <w:b/>
                <w:sz w:val="18"/>
                <w:szCs w:val="20"/>
              </w:rPr>
              <w:t>Key factors</w:t>
            </w:r>
          </w:p>
        </w:tc>
        <w:tc>
          <w:tcPr>
            <w:tcW w:w="767" w:type="dxa"/>
            <w:shd w:val="clear" w:color="auto" w:fill="1F3864" w:themeFill="accent5" w:themeFillShade="80"/>
          </w:tcPr>
          <w:p w:rsidR="006571D7" w:rsidRDefault="006571D7" w:rsidP="00B0214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C7BF0">
              <w:rPr>
                <w:rFonts w:ascii="Arial" w:hAnsi="Arial" w:cs="Arial"/>
                <w:b/>
                <w:sz w:val="18"/>
                <w:szCs w:val="20"/>
              </w:rPr>
              <w:t>Target</w:t>
            </w:r>
          </w:p>
        </w:tc>
        <w:tc>
          <w:tcPr>
            <w:tcW w:w="706" w:type="dxa"/>
            <w:shd w:val="clear" w:color="auto" w:fill="1F3864" w:themeFill="accent5" w:themeFillShade="80"/>
          </w:tcPr>
          <w:p w:rsidR="006571D7" w:rsidRPr="00AC7BF0" w:rsidRDefault="006571D7" w:rsidP="00B0214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May 22</w:t>
            </w:r>
          </w:p>
        </w:tc>
        <w:tc>
          <w:tcPr>
            <w:tcW w:w="635" w:type="dxa"/>
            <w:shd w:val="clear" w:color="auto" w:fill="1F3864" w:themeFill="accent5" w:themeFillShade="80"/>
          </w:tcPr>
          <w:p w:rsidR="006571D7" w:rsidRPr="00AC7BF0" w:rsidRDefault="006571D7" w:rsidP="00B0214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Sep 22</w:t>
            </w:r>
          </w:p>
        </w:tc>
        <w:tc>
          <w:tcPr>
            <w:tcW w:w="612" w:type="dxa"/>
            <w:shd w:val="clear" w:color="auto" w:fill="1F3864" w:themeFill="accent5" w:themeFillShade="80"/>
          </w:tcPr>
          <w:p w:rsidR="006571D7" w:rsidRDefault="006571D7" w:rsidP="00B0214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Dec</w:t>
            </w:r>
          </w:p>
          <w:p w:rsidR="006571D7" w:rsidRPr="00AC7BF0" w:rsidRDefault="006571D7" w:rsidP="00B0214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22</w:t>
            </w:r>
          </w:p>
        </w:tc>
        <w:tc>
          <w:tcPr>
            <w:tcW w:w="1038" w:type="dxa"/>
            <w:shd w:val="clear" w:color="auto" w:fill="1F3864" w:themeFill="accent5" w:themeFillShade="80"/>
          </w:tcPr>
          <w:p w:rsidR="006571D7" w:rsidRPr="00AC7BF0" w:rsidRDefault="006571D7" w:rsidP="00B0214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C7BF0">
              <w:rPr>
                <w:rFonts w:ascii="Arial" w:hAnsi="Arial" w:cs="Arial"/>
                <w:b/>
                <w:sz w:val="18"/>
                <w:szCs w:val="20"/>
              </w:rPr>
              <w:t>Exec Lead</w:t>
            </w:r>
          </w:p>
        </w:tc>
        <w:tc>
          <w:tcPr>
            <w:tcW w:w="887" w:type="dxa"/>
            <w:shd w:val="clear" w:color="auto" w:fill="1F3864" w:themeFill="accent5" w:themeFillShade="80"/>
          </w:tcPr>
          <w:p w:rsidR="006571D7" w:rsidRPr="00AC7BF0" w:rsidRDefault="006571D7" w:rsidP="00B02143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Opened</w:t>
            </w:r>
          </w:p>
        </w:tc>
        <w:tc>
          <w:tcPr>
            <w:tcW w:w="955" w:type="dxa"/>
            <w:shd w:val="clear" w:color="auto" w:fill="1F3864" w:themeFill="accent5" w:themeFillShade="80"/>
          </w:tcPr>
          <w:p w:rsidR="006571D7" w:rsidRPr="00AC7BF0" w:rsidRDefault="006571D7" w:rsidP="00B021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AC7BF0">
              <w:rPr>
                <w:rFonts w:ascii="Arial" w:hAnsi="Arial" w:cs="Arial"/>
                <w:b/>
                <w:sz w:val="18"/>
                <w:szCs w:val="20"/>
              </w:rPr>
              <w:t>Review Date</w:t>
            </w:r>
          </w:p>
        </w:tc>
        <w:tc>
          <w:tcPr>
            <w:tcW w:w="717" w:type="dxa"/>
            <w:shd w:val="clear" w:color="auto" w:fill="1F3864" w:themeFill="accent5" w:themeFillShade="80"/>
          </w:tcPr>
          <w:p w:rsidR="006571D7" w:rsidRPr="00AC7BF0" w:rsidRDefault="006571D7" w:rsidP="00B021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AC7BF0">
              <w:rPr>
                <w:rFonts w:ascii="Arial" w:hAnsi="Arial" w:cs="Arial"/>
                <w:b/>
                <w:sz w:val="18"/>
                <w:szCs w:val="20"/>
              </w:rPr>
              <w:t>Trend</w:t>
            </w:r>
          </w:p>
        </w:tc>
        <w:tc>
          <w:tcPr>
            <w:tcW w:w="981" w:type="dxa"/>
            <w:shd w:val="clear" w:color="auto" w:fill="1F3864" w:themeFill="accent5" w:themeFillShade="80"/>
          </w:tcPr>
          <w:p w:rsidR="006571D7" w:rsidRPr="002A6668" w:rsidRDefault="006571D7" w:rsidP="00B0214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6668">
              <w:rPr>
                <w:rFonts w:ascii="Arial" w:hAnsi="Arial" w:cs="Arial"/>
                <w:b/>
                <w:sz w:val="16"/>
                <w:szCs w:val="16"/>
              </w:rPr>
              <w:t>Corporate Objective</w:t>
            </w:r>
          </w:p>
        </w:tc>
      </w:tr>
      <w:tr w:rsidR="006571D7" w:rsidRPr="002A6668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O23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FPC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e-Health Resources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Insufficient resources in e-Health to support current expectation on service</w:t>
            </w:r>
          </w:p>
        </w:tc>
        <w:tc>
          <w:tcPr>
            <w:tcW w:w="767" w:type="dxa"/>
            <w:shd w:val="clear" w:color="auto" w:fill="FFFF00"/>
          </w:tcPr>
          <w:p w:rsidR="006571D7" w:rsidRPr="00924376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37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6" w:type="dxa"/>
            <w:shd w:val="clear" w:color="auto" w:fill="FFC000"/>
          </w:tcPr>
          <w:p w:rsidR="006571D7" w:rsidRPr="00924376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376">
              <w:rPr>
                <w:rFonts w:ascii="Arial" w:hAnsi="Arial" w:cs="Arial"/>
                <w:sz w:val="16"/>
                <w:szCs w:val="16"/>
              </w:rPr>
              <w:t>12 (High)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of Finance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 2022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Sept 2022</w:t>
            </w:r>
          </w:p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666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6571D7" w:rsidRPr="002A6668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F8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FPC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Financial Planning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 xml:space="preserve">If we fail to maximise effective use of the Boards resources and assets, then we will not deliver the financial plan 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6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6 (Med)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of Finance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June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666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6571D7" w:rsidRPr="002A6668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S17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FPC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Recovery Plan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If we do not effectively implement the recovery plan, then we will fail to maximise the capacity available at GJNH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6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9 (Med)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Operations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December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6668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2A6668">
              <w:rPr>
                <w:rFonts w:ascii="Arial" w:hAnsi="Arial" w:cs="Arial"/>
                <w:b/>
                <w:sz w:val="16"/>
                <w:szCs w:val="16"/>
              </w:rPr>
              <w:t xml:space="preserve"> 5</w:t>
            </w:r>
          </w:p>
        </w:tc>
      </w:tr>
      <w:tr w:rsidR="006571D7" w:rsidRPr="002A6668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FPC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National and Regional Working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Misalignment of the GJ Strategy with national and regional strategies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6" w:type="dxa"/>
            <w:shd w:val="clear" w:color="auto" w:fill="FFC0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12</w:t>
            </w:r>
          </w:p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(High)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Operations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July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6668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2A6668">
              <w:rPr>
                <w:rFonts w:ascii="Arial" w:hAnsi="Arial" w:cs="Arial"/>
                <w:b/>
                <w:sz w:val="16"/>
                <w:szCs w:val="16"/>
              </w:rPr>
              <w:t xml:space="preserve"> 6</w:t>
            </w:r>
          </w:p>
        </w:tc>
      </w:tr>
      <w:tr w:rsidR="006571D7" w:rsidRPr="002A6668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O9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FPC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Waiting Times Management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If we do not effectively manage waiting times whilst delivering recovery plan targets, we will fail to meet TTG for patients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 xml:space="preserve">6 </w:t>
            </w:r>
          </w:p>
        </w:tc>
        <w:tc>
          <w:tcPr>
            <w:tcW w:w="706" w:type="dxa"/>
            <w:shd w:val="clear" w:color="auto" w:fill="FFC0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12 (High)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Operations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July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666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6571D7" w:rsidRPr="002A6668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DR136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FPC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Hotel Financial Risk of Future Covid-19 Variants to the Business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If we do not ensure the safe operational running of the Hotel and its staff in the event that Covid-19 escalates within Scotland.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6" w:type="dxa"/>
            <w:shd w:val="clear" w:color="auto" w:fill="FF00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666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20 (Very High)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Operations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February 2022</w:t>
            </w:r>
          </w:p>
        </w:tc>
        <w:tc>
          <w:tcPr>
            <w:tcW w:w="717" w:type="dxa"/>
            <w:shd w:val="clear" w:color="auto" w:fill="F078D9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b/>
                <w:i/>
                <w:sz w:val="16"/>
                <w:szCs w:val="16"/>
              </w:rPr>
              <w:t>New</w:t>
            </w:r>
          </w:p>
        </w:tc>
        <w:tc>
          <w:tcPr>
            <w:tcW w:w="981" w:type="dxa"/>
            <w:shd w:val="clear" w:color="auto" w:fill="auto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3, 4, 6</w:t>
            </w:r>
          </w:p>
        </w:tc>
      </w:tr>
      <w:tr w:rsidR="006571D7" w:rsidRPr="002A6668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CGC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Healthcare Associated Infections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If we do not maintain adequate precautions we increase our susceptibility to Healthcare Associated Infection events, impacting delivery of corporate objectives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6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8 (Med)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Nursing &amp; AHPs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July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6571D7" w:rsidRPr="002A6668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S20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CGC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Covid-19 Pandemic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 xml:space="preserve">If we are unable to manage the ongoing impact of the COVID-19 pandemic, specifically relating to staff capacity and COVID precautions (4 national guidance and physical distancing SG guidance) for staff/ patients, we will be unable to support deliver our core activity  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6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9 (Med)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Nursing &amp; AHPs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July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571D7" w:rsidRPr="0092044D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CGC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Cyber Security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If we do not sustain our cyber resilience, then we are susceptible to cyber breaches and attacks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6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8 (Med)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Finance</w:t>
            </w:r>
          </w:p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July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92044D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044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6571D7" w:rsidRPr="0092044D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O21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CGC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National Reporting of CT Data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 xml:space="preserve">If there is not a robust system to collate, repot and publish CT outcome data then we will be unable to effectively monitor and benchmark with other Scottish and UK sites.  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6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(Med)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Medical Director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July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92044D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044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6571D7" w:rsidRPr="0092044D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B001/22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CGC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Ability to provide full Laboratory Services on site due to system provider withdrawal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D5097C">
              <w:rPr>
                <w:rFonts w:ascii="Arial" w:hAnsi="Arial" w:cs="Arial"/>
                <w:sz w:val="16"/>
                <w:szCs w:val="16"/>
              </w:rPr>
              <w:t xml:space="preserve">A new IT system for Labs </w:t>
            </w:r>
            <w:proofErr w:type="gramStart"/>
            <w:r w:rsidRPr="00D5097C">
              <w:rPr>
                <w:rFonts w:ascii="Arial" w:hAnsi="Arial" w:cs="Arial"/>
                <w:sz w:val="16"/>
                <w:szCs w:val="16"/>
              </w:rPr>
              <w:t>has been purchased</w:t>
            </w:r>
            <w:proofErr w:type="gramEnd"/>
            <w:r w:rsidRPr="00D5097C">
              <w:rPr>
                <w:rFonts w:ascii="Arial" w:hAnsi="Arial" w:cs="Arial"/>
                <w:sz w:val="16"/>
                <w:szCs w:val="16"/>
              </w:rPr>
              <w:t xml:space="preserve"> for NHS Scotland. The likely implementation of the new system is beyond the lifetime of the current </w:t>
            </w:r>
            <w:proofErr w:type="gramStart"/>
            <w:r w:rsidRPr="00D5097C">
              <w:rPr>
                <w:rFonts w:ascii="Arial" w:hAnsi="Arial" w:cs="Arial"/>
                <w:sz w:val="16"/>
                <w:szCs w:val="16"/>
              </w:rPr>
              <w:t>providers</w:t>
            </w:r>
            <w:proofErr w:type="gramEnd"/>
            <w:r w:rsidRPr="00D5097C">
              <w:rPr>
                <w:rFonts w:ascii="Arial" w:hAnsi="Arial" w:cs="Arial"/>
                <w:sz w:val="16"/>
                <w:szCs w:val="16"/>
              </w:rPr>
              <w:t xml:space="preserve"> product. If the current vendor </w:t>
            </w:r>
            <w:proofErr w:type="gramStart"/>
            <w:r w:rsidRPr="00D5097C">
              <w:rPr>
                <w:rFonts w:ascii="Arial" w:hAnsi="Arial" w:cs="Arial"/>
                <w:sz w:val="16"/>
                <w:szCs w:val="16"/>
              </w:rPr>
              <w:t>withdraws</w:t>
            </w:r>
            <w:proofErr w:type="gramEnd"/>
            <w:r w:rsidRPr="00D5097C">
              <w:rPr>
                <w:rFonts w:ascii="Arial" w:hAnsi="Arial" w:cs="Arial"/>
                <w:sz w:val="16"/>
                <w:szCs w:val="16"/>
              </w:rPr>
              <w:t xml:space="preserve"> the right of the Hospital to use their software beyond the current end date of 31</w:t>
            </w:r>
            <w:r>
              <w:rPr>
                <w:rFonts w:ascii="Arial" w:hAnsi="Arial" w:cs="Arial"/>
                <w:sz w:val="16"/>
                <w:szCs w:val="16"/>
              </w:rPr>
              <w:t>/03/</w:t>
            </w:r>
            <w:r w:rsidRPr="00D5097C">
              <w:rPr>
                <w:rFonts w:ascii="Arial" w:hAnsi="Arial" w:cs="Arial"/>
                <w:sz w:val="16"/>
                <w:szCs w:val="16"/>
              </w:rPr>
              <w:t>2023 and no new system is in place then the laboratory service in its current form will be unable to be provided and an alternative arrangement will be required.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6" w:type="dxa"/>
            <w:shd w:val="clear" w:color="auto" w:fill="FF00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666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20 (Very High)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Medical Director</w:t>
            </w:r>
          </w:p>
        </w:tc>
        <w:tc>
          <w:tcPr>
            <w:tcW w:w="887" w:type="dxa"/>
          </w:tcPr>
          <w:p w:rsidR="006571D7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June 2022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December 2022</w:t>
            </w:r>
          </w:p>
        </w:tc>
        <w:tc>
          <w:tcPr>
            <w:tcW w:w="717" w:type="dxa"/>
            <w:shd w:val="clear" w:color="auto" w:fill="F078D9"/>
          </w:tcPr>
          <w:p w:rsidR="006571D7" w:rsidRPr="00D5097C" w:rsidRDefault="006571D7" w:rsidP="00B0214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New</w:t>
            </w:r>
          </w:p>
        </w:tc>
        <w:tc>
          <w:tcPr>
            <w:tcW w:w="981" w:type="dxa"/>
            <w:shd w:val="clear" w:color="auto" w:fill="auto"/>
          </w:tcPr>
          <w:p w:rsidR="006571D7" w:rsidRPr="0092044D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2, 4</w:t>
            </w:r>
          </w:p>
        </w:tc>
      </w:tr>
      <w:tr w:rsidR="006571D7" w:rsidRPr="0092044D" w:rsidTr="006571D7">
        <w:tc>
          <w:tcPr>
            <w:tcW w:w="813" w:type="dxa"/>
          </w:tcPr>
          <w:p w:rsidR="006571D7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B002/22</w:t>
            </w:r>
          </w:p>
        </w:tc>
        <w:tc>
          <w:tcPr>
            <w:tcW w:w="1147" w:type="dxa"/>
          </w:tcPr>
          <w:p w:rsidR="006571D7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SGPCC</w:t>
            </w:r>
          </w:p>
        </w:tc>
        <w:tc>
          <w:tcPr>
            <w:tcW w:w="1874" w:type="dxa"/>
          </w:tcPr>
          <w:p w:rsidR="006571D7" w:rsidRPr="008E7561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8E7561">
              <w:rPr>
                <w:rFonts w:ascii="Arial" w:hAnsi="Arial" w:cs="Arial"/>
                <w:sz w:val="16"/>
                <w:szCs w:val="23"/>
              </w:rPr>
              <w:t>To ensure exploration of risk of retention and recruitment to senior positions within NHS GJ</w:t>
            </w:r>
            <w:r>
              <w:rPr>
                <w:rFonts w:ascii="Arial" w:hAnsi="Arial" w:cs="Arial"/>
                <w:sz w:val="16"/>
                <w:szCs w:val="23"/>
              </w:rPr>
              <w:t xml:space="preserve"> due to gap between </w:t>
            </w:r>
            <w:proofErr w:type="spellStart"/>
            <w:r>
              <w:rPr>
                <w:rFonts w:ascii="Arial" w:hAnsi="Arial" w:cs="Arial"/>
                <w:sz w:val="16"/>
                <w:szCs w:val="23"/>
              </w:rPr>
              <w:lastRenderedPageBreak/>
              <w:t>AfC</w:t>
            </w:r>
            <w:proofErr w:type="spellEnd"/>
            <w:r>
              <w:rPr>
                <w:rFonts w:ascii="Arial" w:hAnsi="Arial" w:cs="Arial"/>
                <w:sz w:val="16"/>
                <w:szCs w:val="23"/>
              </w:rPr>
              <w:t xml:space="preserve"> grades and Executive Director salary scales</w:t>
            </w:r>
          </w:p>
        </w:tc>
        <w:tc>
          <w:tcPr>
            <w:tcW w:w="4875" w:type="dxa"/>
          </w:tcPr>
          <w:p w:rsidR="006571D7" w:rsidRPr="00D5097C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The recent outcome of job descriptions progressed through NEC process have remained at their current Executive banding.  This creates a gap between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AfC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Grades and Executive salary scales.  The absence of appeal mechanisms for affected staff and the lack of consistency in approach to evaluation and equivalent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positionS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other NHS Boards is providing a disadvantage in hiring senior staff.</w:t>
            </w:r>
          </w:p>
        </w:tc>
        <w:tc>
          <w:tcPr>
            <w:tcW w:w="767" w:type="dxa"/>
            <w:shd w:val="clear" w:color="auto" w:fill="92D050"/>
          </w:tcPr>
          <w:p w:rsidR="006571D7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706" w:type="dxa"/>
            <w:shd w:val="clear" w:color="auto" w:fill="FFC0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(High)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of QIPP</w:t>
            </w:r>
          </w:p>
        </w:tc>
        <w:tc>
          <w:tcPr>
            <w:tcW w:w="887" w:type="dxa"/>
          </w:tcPr>
          <w:p w:rsidR="006571D7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June 2022</w:t>
            </w:r>
          </w:p>
        </w:tc>
        <w:tc>
          <w:tcPr>
            <w:tcW w:w="955" w:type="dxa"/>
          </w:tcPr>
          <w:p w:rsidR="006571D7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December 2022</w:t>
            </w:r>
          </w:p>
        </w:tc>
        <w:tc>
          <w:tcPr>
            <w:tcW w:w="717" w:type="dxa"/>
            <w:shd w:val="clear" w:color="auto" w:fill="F078D9"/>
          </w:tcPr>
          <w:p w:rsidR="006571D7" w:rsidRDefault="006571D7" w:rsidP="00B0214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New</w:t>
            </w:r>
          </w:p>
        </w:tc>
        <w:tc>
          <w:tcPr>
            <w:tcW w:w="981" w:type="dxa"/>
            <w:shd w:val="clear" w:color="auto" w:fill="auto"/>
          </w:tcPr>
          <w:p w:rsidR="006571D7" w:rsidRPr="0092044D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6571D7" w:rsidRPr="0092044D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W7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SGPCC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Workforce Capacity and Capability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If we are unable to develop sufficient workforce capacity and capability to deliver strategic objectives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6" w:type="dxa"/>
            <w:shd w:val="clear" w:color="auto" w:fill="FFC0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12 (High)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QIPP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July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92044D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1, 2, 6</w:t>
            </w:r>
          </w:p>
        </w:tc>
      </w:tr>
      <w:tr w:rsidR="006571D7" w:rsidRPr="0092044D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W18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SGPCC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Staff Health and Wellbeing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If we are unable to provide adequate support for our employees during COVID-19 then their health &amp; wellbeing may be negatively impacted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6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6 (Med)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QIPP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July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92044D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6571D7" w:rsidRPr="0092044D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S11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SPGC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Expansion Programme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 xml:space="preserve">If through programme delivery or operational issues, we fail to deliver the expansion programme  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6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9 (Med)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Operations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June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July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92044D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571D7" w:rsidRPr="0092044D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SPGC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Innovation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If we do not ensure a robust framework to support innovation at local, national and international level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6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4 (Med)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QIPP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 2020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July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92044D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2, 5, 6</w:t>
            </w:r>
          </w:p>
        </w:tc>
      </w:tr>
      <w:tr w:rsidR="006571D7" w:rsidRPr="0092044D" w:rsidTr="006571D7"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S22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SPGC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Site Masterplan</w:t>
            </w:r>
          </w:p>
        </w:tc>
        <w:tc>
          <w:tcPr>
            <w:tcW w:w="4875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 xml:space="preserve">If we do not ensure a robust approach to planning of site capacity then we will fail </w:t>
            </w:r>
            <w:proofErr w:type="gramStart"/>
            <w:r w:rsidRPr="002A6668">
              <w:rPr>
                <w:rFonts w:ascii="Arial" w:hAnsi="Arial" w:cs="Arial"/>
                <w:sz w:val="16"/>
                <w:szCs w:val="16"/>
              </w:rPr>
              <w:t>to effectively utilise</w:t>
            </w:r>
            <w:proofErr w:type="gramEnd"/>
            <w:r w:rsidRPr="002A6668">
              <w:rPr>
                <w:rFonts w:ascii="Arial" w:hAnsi="Arial" w:cs="Arial"/>
                <w:sz w:val="16"/>
                <w:szCs w:val="16"/>
              </w:rPr>
              <w:t xml:space="preserve"> the available space.</w:t>
            </w:r>
          </w:p>
        </w:tc>
        <w:tc>
          <w:tcPr>
            <w:tcW w:w="767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6" w:type="dxa"/>
            <w:shd w:val="clear" w:color="auto" w:fill="FFFF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9 (Med)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of Finance</w:t>
            </w:r>
          </w:p>
        </w:tc>
        <w:tc>
          <w:tcPr>
            <w:tcW w:w="88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June 2021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July 2022</w:t>
            </w:r>
          </w:p>
        </w:tc>
        <w:tc>
          <w:tcPr>
            <w:tcW w:w="71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↔</w:t>
            </w:r>
          </w:p>
        </w:tc>
        <w:tc>
          <w:tcPr>
            <w:tcW w:w="981" w:type="dxa"/>
            <w:shd w:val="clear" w:color="auto" w:fill="auto"/>
          </w:tcPr>
          <w:p w:rsidR="006571D7" w:rsidRPr="0092044D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571D7" w:rsidTr="006571D7">
        <w:trPr>
          <w:trHeight w:val="181"/>
        </w:trPr>
        <w:tc>
          <w:tcPr>
            <w:tcW w:w="813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1147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SPGC</w:t>
            </w:r>
          </w:p>
        </w:tc>
        <w:tc>
          <w:tcPr>
            <w:tcW w:w="1874" w:type="dxa"/>
          </w:tcPr>
          <w:p w:rsidR="006571D7" w:rsidRPr="002A6668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Centre for Sustainable Delivery</w:t>
            </w:r>
          </w:p>
        </w:tc>
        <w:tc>
          <w:tcPr>
            <w:tcW w:w="4875" w:type="dxa"/>
          </w:tcPr>
          <w:p w:rsidR="006571D7" w:rsidRPr="00D720F4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0F4">
              <w:rPr>
                <w:rFonts w:ascii="Arial" w:hAnsi="Arial" w:cs="Arial"/>
                <w:sz w:val="16"/>
              </w:rPr>
              <w:t>CfSD</w:t>
            </w:r>
            <w:proofErr w:type="spellEnd"/>
            <w:r w:rsidRPr="00D720F4">
              <w:rPr>
                <w:rFonts w:ascii="Arial" w:hAnsi="Arial" w:cs="Arial"/>
                <w:sz w:val="16"/>
              </w:rPr>
              <w:t xml:space="preserve"> commitment to support NHS Scotland Recovery and transformation of NHS Scotland Academy</w:t>
            </w:r>
          </w:p>
        </w:tc>
        <w:tc>
          <w:tcPr>
            <w:tcW w:w="767" w:type="dxa"/>
            <w:shd w:val="clear" w:color="auto" w:fill="FFFF00"/>
          </w:tcPr>
          <w:p w:rsidR="006571D7" w:rsidRPr="00437153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37153">
              <w:rPr>
                <w:rFonts w:ascii="Arial" w:hAnsi="Arial" w:cs="Arial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706" w:type="dxa"/>
            <w:shd w:val="clear" w:color="auto" w:fill="FFC0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12 (High)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Director of QIPP</w:t>
            </w:r>
          </w:p>
        </w:tc>
        <w:tc>
          <w:tcPr>
            <w:tcW w:w="887" w:type="dxa"/>
          </w:tcPr>
          <w:p w:rsidR="006571D7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April 2022</w:t>
            </w:r>
          </w:p>
        </w:tc>
        <w:tc>
          <w:tcPr>
            <w:tcW w:w="95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 2023</w:t>
            </w:r>
          </w:p>
        </w:tc>
        <w:tc>
          <w:tcPr>
            <w:tcW w:w="717" w:type="dxa"/>
            <w:shd w:val="clear" w:color="auto" w:fill="FF99FF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b/>
                <w:i/>
                <w:sz w:val="16"/>
                <w:szCs w:val="16"/>
              </w:rPr>
              <w:t>New</w:t>
            </w:r>
          </w:p>
        </w:tc>
        <w:tc>
          <w:tcPr>
            <w:tcW w:w="981" w:type="dxa"/>
            <w:shd w:val="clear" w:color="auto" w:fill="auto"/>
          </w:tcPr>
          <w:p w:rsidR="006571D7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1, 5, 6</w:t>
            </w:r>
          </w:p>
        </w:tc>
      </w:tr>
      <w:tr w:rsidR="006571D7" w:rsidTr="006571D7">
        <w:trPr>
          <w:trHeight w:val="181"/>
        </w:trPr>
        <w:tc>
          <w:tcPr>
            <w:tcW w:w="813" w:type="dxa"/>
          </w:tcPr>
          <w:p w:rsidR="006571D7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1147" w:type="dxa"/>
          </w:tcPr>
          <w:p w:rsidR="006571D7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SPGC</w:t>
            </w:r>
          </w:p>
        </w:tc>
        <w:tc>
          <w:tcPr>
            <w:tcW w:w="1874" w:type="dxa"/>
          </w:tcPr>
          <w:p w:rsidR="006571D7" w:rsidRDefault="006571D7" w:rsidP="00B021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NHS Scotland Academy</w:t>
            </w:r>
          </w:p>
        </w:tc>
        <w:tc>
          <w:tcPr>
            <w:tcW w:w="4875" w:type="dxa"/>
          </w:tcPr>
          <w:p w:rsidR="006571D7" w:rsidRPr="00C54FAE" w:rsidRDefault="006571D7" w:rsidP="00B02143">
            <w:pPr>
              <w:rPr>
                <w:rFonts w:ascii="Arial" w:hAnsi="Arial" w:cs="Arial"/>
                <w:sz w:val="16"/>
              </w:rPr>
            </w:pPr>
            <w:r w:rsidRPr="00C54FAE">
              <w:rPr>
                <w:rFonts w:ascii="Arial" w:hAnsi="Arial" w:cs="Arial"/>
                <w:sz w:val="16"/>
                <w:szCs w:val="23"/>
              </w:rPr>
              <w:t>Recruitment pressures to include the faculty development project to attract and appoint staff.</w:t>
            </w:r>
          </w:p>
        </w:tc>
        <w:tc>
          <w:tcPr>
            <w:tcW w:w="767" w:type="dxa"/>
            <w:shd w:val="clear" w:color="auto" w:fill="FFFF00"/>
          </w:tcPr>
          <w:p w:rsidR="006571D7" w:rsidRPr="00437153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37153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706" w:type="dxa"/>
            <w:shd w:val="clear" w:color="auto" w:fill="FFC000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668">
              <w:rPr>
                <w:rFonts w:ascii="Arial" w:hAnsi="Arial" w:cs="Arial"/>
                <w:sz w:val="16"/>
                <w:szCs w:val="16"/>
              </w:rPr>
              <w:t>12 (High)</w:t>
            </w:r>
          </w:p>
        </w:tc>
        <w:tc>
          <w:tcPr>
            <w:tcW w:w="635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of Nursing &amp; AHPs</w:t>
            </w:r>
          </w:p>
        </w:tc>
        <w:tc>
          <w:tcPr>
            <w:tcW w:w="887" w:type="dxa"/>
          </w:tcPr>
          <w:p w:rsidR="006571D7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April 2022</w:t>
            </w:r>
          </w:p>
        </w:tc>
        <w:tc>
          <w:tcPr>
            <w:tcW w:w="955" w:type="dxa"/>
          </w:tcPr>
          <w:p w:rsidR="006571D7" w:rsidRDefault="006571D7" w:rsidP="00B02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 2023</w:t>
            </w:r>
          </w:p>
        </w:tc>
        <w:tc>
          <w:tcPr>
            <w:tcW w:w="717" w:type="dxa"/>
            <w:shd w:val="clear" w:color="auto" w:fill="FF99FF"/>
          </w:tcPr>
          <w:p w:rsidR="006571D7" w:rsidRPr="002A6668" w:rsidRDefault="006571D7" w:rsidP="00B0214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New</w:t>
            </w:r>
          </w:p>
        </w:tc>
        <w:tc>
          <w:tcPr>
            <w:tcW w:w="981" w:type="dxa"/>
            <w:shd w:val="clear" w:color="auto" w:fill="auto"/>
          </w:tcPr>
          <w:p w:rsidR="006571D7" w:rsidRDefault="006571D7" w:rsidP="00B021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1, 5, 6</w:t>
            </w:r>
          </w:p>
        </w:tc>
      </w:tr>
    </w:tbl>
    <w:p w:rsidR="006571D7" w:rsidRPr="006571D7" w:rsidRDefault="006571D7">
      <w:pPr>
        <w:rPr>
          <w:b/>
          <w:sz w:val="28"/>
        </w:rPr>
      </w:pPr>
    </w:p>
    <w:sectPr w:rsidR="006571D7" w:rsidRPr="006571D7" w:rsidSect="006571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E06B2"/>
    <w:multiLevelType w:val="multilevel"/>
    <w:tmpl w:val="AFBC2D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D7"/>
    <w:rsid w:val="00112C40"/>
    <w:rsid w:val="00206000"/>
    <w:rsid w:val="002440E1"/>
    <w:rsid w:val="006571D7"/>
    <w:rsid w:val="00EA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05E9"/>
  <w15:chartTrackingRefBased/>
  <w15:docId w15:val="{B9FF43DA-8D19-4481-BC8F-ADD6B761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000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12C40"/>
    <w:pPr>
      <w:keepNext/>
      <w:numPr>
        <w:numId w:val="2"/>
      </w:numPr>
      <w:ind w:left="431" w:hanging="431"/>
      <w:outlineLvl w:val="0"/>
    </w:pPr>
    <w:rPr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12C40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C40"/>
    <w:pPr>
      <w:keepNext/>
      <w:keepLines/>
      <w:numPr>
        <w:ilvl w:val="2"/>
        <w:numId w:val="3"/>
      </w:numPr>
      <w:spacing w:before="200" w:after="0"/>
      <w:outlineLvl w:val="2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2C40"/>
    <w:rPr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2440E1"/>
    <w:rPr>
      <w:rFonts w:cs="Arial"/>
      <w:b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000"/>
    <w:rPr>
      <w:rFonts w:eastAsiaTheme="majorEastAsia" w:cstheme="majorBidi"/>
      <w:b/>
      <w:bCs/>
      <w:sz w:val="24"/>
      <w:szCs w:val="26"/>
    </w:rPr>
  </w:style>
  <w:style w:type="table" w:styleId="TableGrid">
    <w:name w:val="Table Grid"/>
    <w:basedOn w:val="TableNormal"/>
    <w:uiPriority w:val="59"/>
    <w:rsid w:val="00657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Adkins</dc:creator>
  <cp:keywords/>
  <dc:description/>
  <cp:lastModifiedBy>Gareth Adkins</cp:lastModifiedBy>
  <cp:revision>1</cp:revision>
  <dcterms:created xsi:type="dcterms:W3CDTF">2022-07-15T09:00:00Z</dcterms:created>
  <dcterms:modified xsi:type="dcterms:W3CDTF">2022-07-15T09:02:00Z</dcterms:modified>
</cp:coreProperties>
</file>