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B458B" w14:textId="045B3D61" w:rsidR="001D4DA7" w:rsidRPr="0099434C" w:rsidRDefault="001D4DA7" w:rsidP="00370164">
      <w:pPr>
        <w:tabs>
          <w:tab w:val="left" w:pos="1134"/>
        </w:tabs>
        <w:spacing w:after="0"/>
        <w:rPr>
          <w:rFonts w:ascii="Arial" w:hAnsi="Arial" w:cs="Arial"/>
          <w:b/>
          <w:color w:val="0070C0"/>
        </w:rPr>
      </w:pPr>
      <w:r w:rsidRPr="0099434C">
        <w:rPr>
          <w:rFonts w:ascii="Arial" w:hAnsi="Arial" w:cs="Arial"/>
          <w:b/>
          <w:noProof/>
          <w:color w:val="0070C0"/>
          <w:lang w:eastAsia="en-GB"/>
        </w:rPr>
        <w:drawing>
          <wp:anchor distT="0" distB="0" distL="114300" distR="114300" simplePos="0" relativeHeight="251659264" behindDoc="0" locked="0" layoutInCell="1" allowOverlap="1" wp14:anchorId="2A87A8D4" wp14:editId="1A6CAA87">
            <wp:simplePos x="0" y="0"/>
            <wp:positionH relativeFrom="margin">
              <wp:posOffset>4484094</wp:posOffset>
            </wp:positionH>
            <wp:positionV relativeFrom="margin">
              <wp:posOffset>-274734</wp:posOffset>
            </wp:positionV>
            <wp:extent cx="1156970" cy="8013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6970" cy="801370"/>
                    </a:xfrm>
                    <a:prstGeom prst="rect">
                      <a:avLst/>
                    </a:prstGeom>
                  </pic:spPr>
                </pic:pic>
              </a:graphicData>
            </a:graphic>
            <wp14:sizeRelH relativeFrom="margin">
              <wp14:pctWidth>0</wp14:pctWidth>
            </wp14:sizeRelH>
            <wp14:sizeRelV relativeFrom="margin">
              <wp14:pctHeight>0</wp14:pctHeight>
            </wp14:sizeRelV>
          </wp:anchor>
        </w:drawing>
      </w:r>
      <w:r w:rsidR="0099434C" w:rsidRPr="0099434C">
        <w:rPr>
          <w:rFonts w:ascii="Arial" w:hAnsi="Arial" w:cs="Arial"/>
          <w:b/>
          <w:color w:val="0070C0"/>
        </w:rPr>
        <w:t>A</w:t>
      </w:r>
      <w:r w:rsidRPr="0099434C">
        <w:rPr>
          <w:rFonts w:ascii="Arial" w:hAnsi="Arial" w:cs="Arial"/>
          <w:b/>
          <w:color w:val="0070C0"/>
        </w:rPr>
        <w:t xml:space="preserve">pproved minutes </w:t>
      </w:r>
    </w:p>
    <w:p w14:paraId="7EA7DA4E" w14:textId="77777777" w:rsidR="001D4DA7" w:rsidRPr="00370164" w:rsidRDefault="001D4DA7" w:rsidP="00370164">
      <w:pPr>
        <w:tabs>
          <w:tab w:val="left" w:pos="1134"/>
        </w:tabs>
        <w:spacing w:after="0"/>
        <w:rPr>
          <w:rFonts w:ascii="Arial" w:hAnsi="Arial" w:cs="Arial"/>
          <w:b/>
        </w:rPr>
      </w:pPr>
      <w:r w:rsidRPr="00370164">
        <w:rPr>
          <w:rFonts w:ascii="Arial" w:hAnsi="Arial" w:cs="Arial"/>
          <w:b/>
        </w:rPr>
        <w:t>Staff Governance and Person Centred Committee</w:t>
      </w:r>
    </w:p>
    <w:p w14:paraId="086EE96F" w14:textId="77777777" w:rsidR="001D4DA7" w:rsidRPr="00370164" w:rsidRDefault="001D4DA7" w:rsidP="00370164">
      <w:pPr>
        <w:tabs>
          <w:tab w:val="left" w:pos="1134"/>
        </w:tabs>
        <w:spacing w:after="0"/>
        <w:rPr>
          <w:rFonts w:ascii="Arial" w:hAnsi="Arial" w:cs="Arial"/>
          <w:b/>
        </w:rPr>
      </w:pPr>
      <w:r w:rsidRPr="00370164">
        <w:rPr>
          <w:rFonts w:ascii="Arial" w:hAnsi="Arial" w:cs="Arial"/>
          <w:b/>
        </w:rPr>
        <w:t>3 M</w:t>
      </w:r>
      <w:r w:rsidR="00D90727" w:rsidRPr="00370164">
        <w:rPr>
          <w:rFonts w:ascii="Arial" w:hAnsi="Arial" w:cs="Arial"/>
          <w:b/>
        </w:rPr>
        <w:t>ay 2022, 9:45 am</w:t>
      </w:r>
    </w:p>
    <w:p w14:paraId="21FE0DFC" w14:textId="77777777" w:rsidR="001D4DA7" w:rsidRPr="00370164" w:rsidRDefault="001D4DA7" w:rsidP="00370164">
      <w:pPr>
        <w:tabs>
          <w:tab w:val="left" w:pos="1134"/>
        </w:tabs>
        <w:spacing w:after="0"/>
        <w:rPr>
          <w:rFonts w:ascii="Arial" w:hAnsi="Arial" w:cs="Arial"/>
          <w:b/>
        </w:rPr>
      </w:pPr>
      <w:r w:rsidRPr="00370164">
        <w:rPr>
          <w:rFonts w:ascii="Arial" w:hAnsi="Arial" w:cs="Arial"/>
          <w:b/>
        </w:rPr>
        <w:t>Microsoft Teams</w:t>
      </w:r>
    </w:p>
    <w:p w14:paraId="2A6B3B0A" w14:textId="77777777" w:rsidR="001D4DA7" w:rsidRPr="00370164" w:rsidRDefault="001D4DA7" w:rsidP="00370164">
      <w:pPr>
        <w:spacing w:after="0"/>
        <w:rPr>
          <w:rFonts w:ascii="Arial" w:hAnsi="Arial" w:cs="Arial"/>
        </w:rPr>
      </w:pPr>
    </w:p>
    <w:p w14:paraId="6EC4B4D7" w14:textId="77777777" w:rsidR="001D4DA7" w:rsidRPr="00370164" w:rsidRDefault="001D4DA7" w:rsidP="00370164">
      <w:pPr>
        <w:spacing w:after="0"/>
        <w:rPr>
          <w:rFonts w:ascii="Arial" w:hAnsi="Arial" w:cs="Arial"/>
          <w:b/>
        </w:rPr>
      </w:pPr>
      <w:r w:rsidRPr="00370164">
        <w:rPr>
          <w:rFonts w:ascii="Arial" w:hAnsi="Arial" w:cs="Arial"/>
          <w:b/>
        </w:rPr>
        <w:t xml:space="preserve">Members </w:t>
      </w:r>
    </w:p>
    <w:p w14:paraId="0B5A7D84" w14:textId="77777777" w:rsidR="001D4DA7" w:rsidRPr="00370164" w:rsidRDefault="001D4DA7" w:rsidP="00370164">
      <w:pPr>
        <w:spacing w:after="0"/>
        <w:rPr>
          <w:rFonts w:ascii="Arial" w:hAnsi="Arial" w:cs="Arial"/>
        </w:rPr>
      </w:pPr>
      <w:r w:rsidRPr="00370164">
        <w:rPr>
          <w:rFonts w:ascii="Arial" w:hAnsi="Arial" w:cs="Arial"/>
        </w:rPr>
        <w:t>Marcella Boyle</w:t>
      </w:r>
      <w:r w:rsidRPr="00370164">
        <w:rPr>
          <w:rFonts w:ascii="Arial" w:hAnsi="Arial" w:cs="Arial"/>
        </w:rPr>
        <w:tab/>
      </w:r>
      <w:r w:rsidRPr="00370164">
        <w:rPr>
          <w:rFonts w:ascii="Arial" w:hAnsi="Arial" w:cs="Arial"/>
        </w:rPr>
        <w:tab/>
      </w:r>
      <w:r w:rsidRPr="00370164">
        <w:rPr>
          <w:rFonts w:ascii="Arial" w:hAnsi="Arial" w:cs="Arial"/>
        </w:rPr>
        <w:tab/>
        <w:t>Non-Executive Director (Chair)</w:t>
      </w:r>
    </w:p>
    <w:p w14:paraId="298DE987" w14:textId="77777777" w:rsidR="001D4DA7" w:rsidRPr="00370164" w:rsidRDefault="001D4DA7" w:rsidP="00370164">
      <w:pPr>
        <w:spacing w:after="0"/>
        <w:rPr>
          <w:rFonts w:ascii="Arial" w:hAnsi="Arial" w:cs="Arial"/>
        </w:rPr>
      </w:pPr>
      <w:r w:rsidRPr="00370164">
        <w:rPr>
          <w:rFonts w:ascii="Arial" w:hAnsi="Arial" w:cs="Arial"/>
        </w:rPr>
        <w:t>Jane Christie-Flight</w:t>
      </w:r>
      <w:r w:rsidRPr="00370164">
        <w:rPr>
          <w:rFonts w:ascii="Arial" w:hAnsi="Arial" w:cs="Arial"/>
        </w:rPr>
        <w:tab/>
      </w:r>
      <w:r w:rsidRPr="00370164">
        <w:rPr>
          <w:rFonts w:ascii="Arial" w:hAnsi="Arial" w:cs="Arial"/>
        </w:rPr>
        <w:tab/>
      </w:r>
      <w:r w:rsidRPr="00370164">
        <w:rPr>
          <w:rFonts w:ascii="Arial" w:hAnsi="Arial" w:cs="Arial"/>
        </w:rPr>
        <w:tab/>
        <w:t>Employee Director</w:t>
      </w:r>
    </w:p>
    <w:p w14:paraId="444498D7" w14:textId="77777777" w:rsidR="001D4DA7" w:rsidRPr="00370164" w:rsidRDefault="001D4DA7" w:rsidP="00370164">
      <w:pPr>
        <w:spacing w:after="0"/>
        <w:rPr>
          <w:rFonts w:ascii="Arial" w:hAnsi="Arial" w:cs="Arial"/>
        </w:rPr>
      </w:pPr>
      <w:r w:rsidRPr="00370164">
        <w:rPr>
          <w:rFonts w:ascii="Arial" w:hAnsi="Arial" w:cs="Arial"/>
        </w:rPr>
        <w:t>Callum Blackburn</w:t>
      </w:r>
      <w:r w:rsidRPr="00370164">
        <w:rPr>
          <w:rFonts w:ascii="Arial" w:hAnsi="Arial" w:cs="Arial"/>
        </w:rPr>
        <w:tab/>
      </w:r>
      <w:r w:rsidRPr="00370164">
        <w:rPr>
          <w:rFonts w:ascii="Arial" w:hAnsi="Arial" w:cs="Arial"/>
        </w:rPr>
        <w:tab/>
      </w:r>
      <w:r w:rsidRPr="00370164">
        <w:rPr>
          <w:rFonts w:ascii="Arial" w:hAnsi="Arial" w:cs="Arial"/>
        </w:rPr>
        <w:tab/>
        <w:t>Non-Executive Director</w:t>
      </w:r>
      <w:bookmarkStart w:id="0" w:name="_GoBack"/>
      <w:bookmarkEnd w:id="0"/>
    </w:p>
    <w:p w14:paraId="16A83DCF" w14:textId="36257D64" w:rsidR="001D4DA7" w:rsidRPr="00370164" w:rsidRDefault="007D6930" w:rsidP="00370164">
      <w:pPr>
        <w:spacing w:after="0"/>
        <w:rPr>
          <w:rFonts w:ascii="Arial" w:hAnsi="Arial" w:cs="Arial"/>
        </w:rPr>
      </w:pPr>
      <w:r>
        <w:rPr>
          <w:rFonts w:ascii="Arial" w:hAnsi="Arial" w:cs="Arial"/>
        </w:rPr>
        <w:t>Rob</w:t>
      </w:r>
      <w:r w:rsidR="001D4DA7" w:rsidRPr="00370164">
        <w:rPr>
          <w:rFonts w:ascii="Arial" w:hAnsi="Arial" w:cs="Arial"/>
        </w:rPr>
        <w:t xml:space="preserve"> Moore</w:t>
      </w:r>
      <w:r w:rsidR="001D4DA7" w:rsidRPr="00370164">
        <w:rPr>
          <w:rFonts w:ascii="Arial" w:hAnsi="Arial" w:cs="Arial"/>
        </w:rPr>
        <w:tab/>
      </w:r>
      <w:r w:rsidR="001D4DA7" w:rsidRPr="00370164">
        <w:rPr>
          <w:rFonts w:ascii="Arial" w:hAnsi="Arial" w:cs="Arial"/>
        </w:rPr>
        <w:tab/>
      </w:r>
      <w:r w:rsidR="001D4DA7" w:rsidRPr="00370164">
        <w:rPr>
          <w:rFonts w:ascii="Arial" w:hAnsi="Arial" w:cs="Arial"/>
        </w:rPr>
        <w:tab/>
      </w:r>
      <w:r w:rsidR="001D4DA7" w:rsidRPr="00370164">
        <w:rPr>
          <w:rFonts w:ascii="Arial" w:hAnsi="Arial" w:cs="Arial"/>
        </w:rPr>
        <w:tab/>
        <w:t>Non-Executive Director</w:t>
      </w:r>
    </w:p>
    <w:p w14:paraId="4F57EF89" w14:textId="77777777" w:rsidR="001D4DA7" w:rsidRPr="00370164" w:rsidRDefault="001D4DA7" w:rsidP="00370164">
      <w:pPr>
        <w:spacing w:after="0"/>
        <w:ind w:left="3600" w:hanging="3600"/>
        <w:rPr>
          <w:rFonts w:ascii="Arial" w:hAnsi="Arial" w:cs="Arial"/>
        </w:rPr>
      </w:pPr>
    </w:p>
    <w:p w14:paraId="7B8D4397" w14:textId="77777777" w:rsidR="001D4DA7" w:rsidRPr="00370164" w:rsidRDefault="001D4DA7" w:rsidP="00370164">
      <w:pPr>
        <w:spacing w:after="0"/>
        <w:rPr>
          <w:rFonts w:ascii="Arial" w:hAnsi="Arial" w:cs="Arial"/>
          <w:b/>
        </w:rPr>
      </w:pPr>
      <w:r w:rsidRPr="00370164">
        <w:rPr>
          <w:rFonts w:ascii="Arial" w:hAnsi="Arial" w:cs="Arial"/>
          <w:b/>
        </w:rPr>
        <w:t xml:space="preserve">In attendance </w:t>
      </w:r>
    </w:p>
    <w:p w14:paraId="7566FC7A" w14:textId="77777777" w:rsidR="00277D71" w:rsidRPr="00370164" w:rsidRDefault="00277D71" w:rsidP="00370164">
      <w:pPr>
        <w:spacing w:after="0"/>
        <w:rPr>
          <w:rFonts w:ascii="Arial" w:hAnsi="Arial" w:cs="Arial"/>
        </w:rPr>
      </w:pPr>
      <w:r w:rsidRPr="00370164">
        <w:rPr>
          <w:rFonts w:ascii="Arial" w:hAnsi="Arial" w:cs="Arial"/>
        </w:rPr>
        <w:t>Anne Marie Cavanagh</w:t>
      </w:r>
      <w:r w:rsidRPr="00370164">
        <w:rPr>
          <w:rFonts w:ascii="Arial" w:hAnsi="Arial" w:cs="Arial"/>
        </w:rPr>
        <w:tab/>
      </w:r>
      <w:r w:rsidRPr="00370164">
        <w:rPr>
          <w:rFonts w:ascii="Arial" w:hAnsi="Arial" w:cs="Arial"/>
        </w:rPr>
        <w:tab/>
        <w:t>Director of Nursing and AHPs</w:t>
      </w:r>
    </w:p>
    <w:p w14:paraId="0AF0C1A5" w14:textId="77777777" w:rsidR="00FD4EC1" w:rsidRPr="00370164" w:rsidRDefault="00FD4EC1" w:rsidP="00370164">
      <w:pPr>
        <w:spacing w:after="0"/>
        <w:rPr>
          <w:rFonts w:ascii="Arial" w:hAnsi="Arial" w:cs="Arial"/>
        </w:rPr>
      </w:pPr>
      <w:r w:rsidRPr="00370164">
        <w:rPr>
          <w:rFonts w:ascii="Arial" w:hAnsi="Arial" w:cs="Arial"/>
        </w:rPr>
        <w:t>Donna Akhal</w:t>
      </w:r>
      <w:r w:rsidRPr="00370164">
        <w:rPr>
          <w:rFonts w:ascii="Arial" w:hAnsi="Arial" w:cs="Arial"/>
        </w:rPr>
        <w:tab/>
      </w:r>
      <w:r w:rsidRPr="00370164">
        <w:rPr>
          <w:rFonts w:ascii="Arial" w:hAnsi="Arial" w:cs="Arial"/>
        </w:rPr>
        <w:tab/>
      </w:r>
      <w:r w:rsidRPr="00370164">
        <w:rPr>
          <w:rFonts w:ascii="Arial" w:hAnsi="Arial" w:cs="Arial"/>
        </w:rPr>
        <w:tab/>
      </w:r>
      <w:r w:rsidRPr="00370164">
        <w:rPr>
          <w:rFonts w:ascii="Arial" w:hAnsi="Arial" w:cs="Arial"/>
        </w:rPr>
        <w:tab/>
        <w:t>Head of Learning and Organisational Development</w:t>
      </w:r>
    </w:p>
    <w:p w14:paraId="51418B04" w14:textId="77777777" w:rsidR="001D4DA7" w:rsidRPr="00370164" w:rsidRDefault="001D4DA7" w:rsidP="00370164">
      <w:pPr>
        <w:spacing w:after="0"/>
        <w:rPr>
          <w:rFonts w:ascii="Arial" w:hAnsi="Arial" w:cs="Arial"/>
        </w:rPr>
      </w:pPr>
      <w:r w:rsidRPr="00370164">
        <w:rPr>
          <w:rFonts w:ascii="Arial" w:hAnsi="Arial" w:cs="Arial"/>
        </w:rPr>
        <w:t>Gareth Adkins</w:t>
      </w:r>
      <w:r w:rsidRPr="00370164">
        <w:rPr>
          <w:rFonts w:ascii="Arial" w:hAnsi="Arial" w:cs="Arial"/>
        </w:rPr>
        <w:tab/>
      </w:r>
      <w:r w:rsidRPr="00370164">
        <w:rPr>
          <w:rFonts w:ascii="Arial" w:hAnsi="Arial" w:cs="Arial"/>
        </w:rPr>
        <w:tab/>
      </w:r>
      <w:r w:rsidRPr="00370164">
        <w:rPr>
          <w:rFonts w:ascii="Arial" w:hAnsi="Arial" w:cs="Arial"/>
        </w:rPr>
        <w:tab/>
      </w:r>
      <w:r w:rsidRPr="00370164">
        <w:rPr>
          <w:rFonts w:ascii="Arial" w:hAnsi="Arial" w:cs="Arial"/>
        </w:rPr>
        <w:tab/>
        <w:t>Director of Quality, Innovation and People</w:t>
      </w:r>
    </w:p>
    <w:p w14:paraId="5A7EFB82" w14:textId="77777777" w:rsidR="001D4DA7" w:rsidRPr="00370164" w:rsidRDefault="001D4DA7" w:rsidP="00370164">
      <w:pPr>
        <w:spacing w:after="0"/>
        <w:rPr>
          <w:rFonts w:ascii="Arial" w:hAnsi="Arial" w:cs="Arial"/>
        </w:rPr>
      </w:pPr>
      <w:r w:rsidRPr="00370164">
        <w:rPr>
          <w:rFonts w:ascii="Arial" w:hAnsi="Arial" w:cs="Arial"/>
        </w:rPr>
        <w:t>Gerard Gardiner</w:t>
      </w:r>
      <w:r w:rsidRPr="00370164">
        <w:rPr>
          <w:rFonts w:ascii="Arial" w:hAnsi="Arial" w:cs="Arial"/>
        </w:rPr>
        <w:tab/>
      </w:r>
      <w:r w:rsidRPr="00370164">
        <w:rPr>
          <w:rFonts w:ascii="Arial" w:hAnsi="Arial" w:cs="Arial"/>
        </w:rPr>
        <w:tab/>
      </w:r>
      <w:r w:rsidRPr="00370164">
        <w:rPr>
          <w:rFonts w:ascii="Arial" w:hAnsi="Arial" w:cs="Arial"/>
        </w:rPr>
        <w:tab/>
        <w:t>Head of Corporate Governance and Board Secretary</w:t>
      </w:r>
    </w:p>
    <w:p w14:paraId="54838903" w14:textId="77777777" w:rsidR="001D4DA7" w:rsidRPr="00370164" w:rsidRDefault="00C2437C" w:rsidP="00370164">
      <w:pPr>
        <w:spacing w:after="0"/>
        <w:rPr>
          <w:rFonts w:ascii="Arial" w:hAnsi="Arial" w:cs="Arial"/>
        </w:rPr>
      </w:pPr>
      <w:r>
        <w:rPr>
          <w:rFonts w:ascii="Arial" w:hAnsi="Arial" w:cs="Arial"/>
        </w:rPr>
        <w:t>Professor Jann Gardner</w:t>
      </w:r>
      <w:r>
        <w:rPr>
          <w:rFonts w:ascii="Arial" w:hAnsi="Arial" w:cs="Arial"/>
        </w:rPr>
        <w:tab/>
      </w:r>
      <w:r>
        <w:rPr>
          <w:rFonts w:ascii="Arial" w:hAnsi="Arial" w:cs="Arial"/>
        </w:rPr>
        <w:tab/>
      </w:r>
      <w:r w:rsidR="001D4DA7" w:rsidRPr="00370164">
        <w:rPr>
          <w:rFonts w:ascii="Arial" w:hAnsi="Arial" w:cs="Arial"/>
        </w:rPr>
        <w:t>Chief Executive</w:t>
      </w:r>
    </w:p>
    <w:p w14:paraId="552C0950" w14:textId="77777777" w:rsidR="001D4DA7" w:rsidRPr="00370164" w:rsidRDefault="00C2437C" w:rsidP="00370164">
      <w:pPr>
        <w:spacing w:after="0"/>
        <w:rPr>
          <w:rFonts w:ascii="Arial" w:hAnsi="Arial" w:cs="Arial"/>
        </w:rPr>
      </w:pPr>
      <w:r>
        <w:rPr>
          <w:rFonts w:ascii="Arial" w:hAnsi="Arial" w:cs="Arial"/>
        </w:rPr>
        <w:t xml:space="preserve">Dr </w:t>
      </w:r>
      <w:r w:rsidR="001D4DA7" w:rsidRPr="00370164">
        <w:rPr>
          <w:rFonts w:ascii="Arial" w:hAnsi="Arial" w:cs="Arial"/>
        </w:rPr>
        <w:t>Mark MacGregor</w:t>
      </w:r>
      <w:r w:rsidR="001D4DA7" w:rsidRPr="00370164">
        <w:rPr>
          <w:rFonts w:ascii="Arial" w:hAnsi="Arial" w:cs="Arial"/>
        </w:rPr>
        <w:tab/>
      </w:r>
      <w:r w:rsidR="001D4DA7" w:rsidRPr="00370164">
        <w:rPr>
          <w:rFonts w:ascii="Arial" w:hAnsi="Arial" w:cs="Arial"/>
        </w:rPr>
        <w:tab/>
      </w:r>
      <w:r w:rsidR="001D4DA7" w:rsidRPr="00370164">
        <w:rPr>
          <w:rFonts w:ascii="Arial" w:hAnsi="Arial" w:cs="Arial"/>
        </w:rPr>
        <w:tab/>
        <w:t>Medical Director</w:t>
      </w:r>
    </w:p>
    <w:p w14:paraId="156E1802" w14:textId="77777777" w:rsidR="00FD4EC1" w:rsidRPr="00370164" w:rsidRDefault="00FD4EC1" w:rsidP="00370164">
      <w:pPr>
        <w:spacing w:after="0"/>
        <w:rPr>
          <w:rFonts w:ascii="Arial" w:hAnsi="Arial" w:cs="Arial"/>
        </w:rPr>
      </w:pPr>
      <w:r w:rsidRPr="00370164">
        <w:rPr>
          <w:rFonts w:ascii="Arial" w:hAnsi="Arial" w:cs="Arial"/>
        </w:rPr>
        <w:t>Nyree Anderson</w:t>
      </w:r>
      <w:r w:rsidRPr="00370164">
        <w:rPr>
          <w:rFonts w:ascii="Arial" w:hAnsi="Arial" w:cs="Arial"/>
        </w:rPr>
        <w:tab/>
      </w:r>
      <w:r w:rsidRPr="00370164">
        <w:rPr>
          <w:rFonts w:ascii="Arial" w:hAnsi="Arial" w:cs="Arial"/>
        </w:rPr>
        <w:tab/>
      </w:r>
      <w:r w:rsidRPr="00370164">
        <w:rPr>
          <w:rFonts w:ascii="Arial" w:hAnsi="Arial" w:cs="Arial"/>
        </w:rPr>
        <w:tab/>
        <w:t>Corporate Learning &amp; Educational Lead</w:t>
      </w:r>
    </w:p>
    <w:p w14:paraId="3B9BC551" w14:textId="77777777" w:rsidR="001D4DA7" w:rsidRPr="00370164" w:rsidRDefault="001D4DA7" w:rsidP="00370164">
      <w:pPr>
        <w:spacing w:after="0"/>
        <w:rPr>
          <w:rFonts w:ascii="Arial" w:hAnsi="Arial" w:cs="Arial"/>
        </w:rPr>
      </w:pPr>
      <w:r w:rsidRPr="00370164">
        <w:rPr>
          <w:rFonts w:ascii="Arial" w:hAnsi="Arial" w:cs="Arial"/>
        </w:rPr>
        <w:t>Sandie Scott</w:t>
      </w:r>
      <w:r w:rsidRPr="00370164">
        <w:rPr>
          <w:rFonts w:ascii="Arial" w:hAnsi="Arial" w:cs="Arial"/>
        </w:rPr>
        <w:tab/>
      </w:r>
      <w:r w:rsidRPr="00370164">
        <w:rPr>
          <w:rFonts w:ascii="Arial" w:hAnsi="Arial" w:cs="Arial"/>
        </w:rPr>
        <w:tab/>
      </w:r>
      <w:r w:rsidRPr="00370164">
        <w:rPr>
          <w:rFonts w:ascii="Arial" w:hAnsi="Arial" w:cs="Arial"/>
        </w:rPr>
        <w:tab/>
      </w:r>
      <w:r w:rsidRPr="00370164">
        <w:rPr>
          <w:rFonts w:ascii="Arial" w:hAnsi="Arial" w:cs="Arial"/>
        </w:rPr>
        <w:tab/>
        <w:t>Head of Communications</w:t>
      </w:r>
      <w:r w:rsidR="00FD4EC1" w:rsidRPr="00370164">
        <w:rPr>
          <w:rFonts w:ascii="Arial" w:hAnsi="Arial" w:cs="Arial"/>
        </w:rPr>
        <w:t xml:space="preserve"> and Corporate Affairs</w:t>
      </w:r>
    </w:p>
    <w:p w14:paraId="61ED7DEE" w14:textId="77777777" w:rsidR="001D4DA7" w:rsidRPr="00370164" w:rsidRDefault="001D4DA7" w:rsidP="00370164">
      <w:pPr>
        <w:spacing w:after="0"/>
        <w:rPr>
          <w:rFonts w:ascii="Arial" w:hAnsi="Arial" w:cs="Arial"/>
        </w:rPr>
      </w:pPr>
      <w:r w:rsidRPr="00370164">
        <w:rPr>
          <w:rFonts w:ascii="Arial" w:hAnsi="Arial" w:cs="Arial"/>
        </w:rPr>
        <w:t>Serena Barnatt</w:t>
      </w:r>
      <w:r w:rsidRPr="00370164">
        <w:rPr>
          <w:rFonts w:ascii="Arial" w:hAnsi="Arial" w:cs="Arial"/>
        </w:rPr>
        <w:tab/>
      </w:r>
      <w:r w:rsidRPr="00370164">
        <w:rPr>
          <w:rFonts w:ascii="Arial" w:hAnsi="Arial" w:cs="Arial"/>
        </w:rPr>
        <w:tab/>
      </w:r>
      <w:r w:rsidRPr="00370164">
        <w:rPr>
          <w:rFonts w:ascii="Arial" w:hAnsi="Arial" w:cs="Arial"/>
        </w:rPr>
        <w:tab/>
        <w:t>Director of HR</w:t>
      </w:r>
    </w:p>
    <w:p w14:paraId="6F04F491" w14:textId="77777777" w:rsidR="001D4DA7" w:rsidRPr="00370164" w:rsidRDefault="001D4DA7" w:rsidP="00370164">
      <w:pPr>
        <w:spacing w:after="0"/>
        <w:rPr>
          <w:rFonts w:ascii="Arial" w:hAnsi="Arial" w:cs="Arial"/>
        </w:rPr>
      </w:pPr>
      <w:r w:rsidRPr="00370164">
        <w:rPr>
          <w:rFonts w:ascii="Arial" w:hAnsi="Arial" w:cs="Arial"/>
        </w:rPr>
        <w:t>Susan Douglas-Scott</w:t>
      </w:r>
      <w:r w:rsidRPr="00370164">
        <w:rPr>
          <w:rFonts w:ascii="Arial" w:hAnsi="Arial" w:cs="Arial"/>
        </w:rPr>
        <w:tab/>
      </w:r>
      <w:r w:rsidR="00C2437C">
        <w:rPr>
          <w:rFonts w:ascii="Arial" w:hAnsi="Arial" w:cs="Arial"/>
        </w:rPr>
        <w:t>CBE</w:t>
      </w:r>
      <w:r w:rsidRPr="00370164">
        <w:rPr>
          <w:rFonts w:ascii="Arial" w:hAnsi="Arial" w:cs="Arial"/>
        </w:rPr>
        <w:tab/>
      </w:r>
      <w:r w:rsidRPr="00370164">
        <w:rPr>
          <w:rFonts w:ascii="Arial" w:hAnsi="Arial" w:cs="Arial"/>
        </w:rPr>
        <w:tab/>
        <w:t>Board Chair</w:t>
      </w:r>
    </w:p>
    <w:p w14:paraId="2C27481A" w14:textId="77777777" w:rsidR="001D4DA7" w:rsidRPr="00370164" w:rsidRDefault="001D4DA7" w:rsidP="00370164">
      <w:pPr>
        <w:spacing w:after="0"/>
        <w:rPr>
          <w:rFonts w:ascii="Arial" w:hAnsi="Arial" w:cs="Arial"/>
        </w:rPr>
      </w:pPr>
    </w:p>
    <w:p w14:paraId="7A05D6CC" w14:textId="77777777" w:rsidR="00FD4EC1" w:rsidRPr="00370164" w:rsidRDefault="00FD4EC1" w:rsidP="00370164">
      <w:pPr>
        <w:spacing w:after="0"/>
        <w:rPr>
          <w:rFonts w:ascii="Arial" w:hAnsi="Arial" w:cs="Arial"/>
          <w:b/>
        </w:rPr>
      </w:pPr>
      <w:r w:rsidRPr="00370164">
        <w:rPr>
          <w:rFonts w:ascii="Arial" w:hAnsi="Arial" w:cs="Arial"/>
          <w:b/>
        </w:rPr>
        <w:t>Apologies</w:t>
      </w:r>
    </w:p>
    <w:p w14:paraId="4D0E49A5" w14:textId="77777777" w:rsidR="00E24131" w:rsidRPr="00370164" w:rsidRDefault="00E24131" w:rsidP="00370164">
      <w:pPr>
        <w:spacing w:after="0"/>
        <w:rPr>
          <w:rFonts w:ascii="Arial" w:hAnsi="Arial" w:cs="Arial"/>
        </w:rPr>
      </w:pPr>
      <w:r w:rsidRPr="00370164">
        <w:rPr>
          <w:rFonts w:ascii="Arial" w:hAnsi="Arial" w:cs="Arial"/>
        </w:rPr>
        <w:t>Catherine McAllister</w:t>
      </w:r>
      <w:r w:rsidRPr="00370164">
        <w:rPr>
          <w:rFonts w:ascii="Arial" w:hAnsi="Arial" w:cs="Arial"/>
        </w:rPr>
        <w:tab/>
      </w:r>
      <w:r w:rsidRPr="00370164">
        <w:rPr>
          <w:rFonts w:ascii="Arial" w:hAnsi="Arial" w:cs="Arial"/>
        </w:rPr>
        <w:tab/>
      </w:r>
      <w:r w:rsidRPr="00370164">
        <w:rPr>
          <w:rFonts w:ascii="Arial" w:hAnsi="Arial" w:cs="Arial"/>
        </w:rPr>
        <w:tab/>
        <w:t>Staff Side Representative</w:t>
      </w:r>
    </w:p>
    <w:p w14:paraId="382C0A65" w14:textId="77777777" w:rsidR="00FD4EC1" w:rsidRPr="00370164" w:rsidRDefault="00FD4EC1" w:rsidP="00370164">
      <w:pPr>
        <w:spacing w:after="0"/>
        <w:rPr>
          <w:rFonts w:ascii="Arial" w:hAnsi="Arial" w:cs="Arial"/>
          <w:b/>
        </w:rPr>
      </w:pPr>
    </w:p>
    <w:p w14:paraId="0C979B2A" w14:textId="77777777" w:rsidR="001D4DA7" w:rsidRPr="00370164" w:rsidRDefault="001D4DA7" w:rsidP="00370164">
      <w:pPr>
        <w:spacing w:after="0"/>
        <w:rPr>
          <w:rFonts w:ascii="Arial" w:hAnsi="Arial" w:cs="Arial"/>
          <w:b/>
        </w:rPr>
      </w:pPr>
      <w:r w:rsidRPr="00370164">
        <w:rPr>
          <w:rFonts w:ascii="Arial" w:hAnsi="Arial" w:cs="Arial"/>
          <w:b/>
        </w:rPr>
        <w:t>Minutes</w:t>
      </w:r>
    </w:p>
    <w:p w14:paraId="2F283EE6" w14:textId="77777777" w:rsidR="001D4DA7" w:rsidRPr="00370164" w:rsidRDefault="001D4DA7" w:rsidP="00370164">
      <w:pPr>
        <w:spacing w:after="0"/>
        <w:rPr>
          <w:rFonts w:ascii="Arial" w:hAnsi="Arial" w:cs="Arial"/>
        </w:rPr>
      </w:pPr>
      <w:r w:rsidRPr="00370164">
        <w:rPr>
          <w:rFonts w:ascii="Arial" w:hAnsi="Arial" w:cs="Arial"/>
        </w:rPr>
        <w:t>Theo Richardson</w:t>
      </w:r>
      <w:r w:rsidRPr="00370164">
        <w:rPr>
          <w:rFonts w:ascii="Arial" w:hAnsi="Arial" w:cs="Arial"/>
        </w:rPr>
        <w:tab/>
      </w:r>
      <w:r w:rsidRPr="00370164">
        <w:rPr>
          <w:rFonts w:ascii="Arial" w:hAnsi="Arial" w:cs="Arial"/>
        </w:rPr>
        <w:tab/>
      </w:r>
      <w:r w:rsidRPr="00370164">
        <w:rPr>
          <w:rFonts w:ascii="Arial" w:hAnsi="Arial" w:cs="Arial"/>
        </w:rPr>
        <w:tab/>
        <w:t>Corporate Administrator</w:t>
      </w:r>
    </w:p>
    <w:p w14:paraId="3601D093" w14:textId="77777777" w:rsidR="001D4DA7" w:rsidRPr="00370164" w:rsidRDefault="001D4DA7" w:rsidP="00370164">
      <w:pPr>
        <w:spacing w:after="0"/>
        <w:rPr>
          <w:rFonts w:ascii="Arial" w:hAnsi="Arial" w:cs="Arial"/>
          <w:b/>
        </w:rPr>
      </w:pPr>
    </w:p>
    <w:p w14:paraId="7EAB7B21" w14:textId="77777777" w:rsidR="001D4DA7" w:rsidRPr="00370164" w:rsidRDefault="001D4DA7" w:rsidP="00370164">
      <w:pPr>
        <w:spacing w:after="0"/>
        <w:rPr>
          <w:rFonts w:ascii="Arial" w:hAnsi="Arial" w:cs="Arial"/>
          <w:b/>
        </w:rPr>
      </w:pPr>
    </w:p>
    <w:p w14:paraId="139F9821" w14:textId="77777777" w:rsidR="001D4DA7" w:rsidRPr="00370164" w:rsidRDefault="001D4DA7" w:rsidP="00370164">
      <w:pPr>
        <w:spacing w:after="0"/>
        <w:rPr>
          <w:rFonts w:ascii="Arial" w:hAnsi="Arial" w:cs="Arial"/>
        </w:rPr>
      </w:pPr>
    </w:p>
    <w:p w14:paraId="6C9BD645"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1</w:t>
      </w:r>
      <w:r w:rsidRPr="00370164">
        <w:rPr>
          <w:rFonts w:ascii="Arial" w:hAnsi="Arial" w:cs="Arial"/>
          <w:b/>
          <w:color w:val="0070C0"/>
        </w:rPr>
        <w:tab/>
        <w:t xml:space="preserve">Opening Remarks </w:t>
      </w:r>
    </w:p>
    <w:p w14:paraId="3177FC52" w14:textId="77777777" w:rsidR="001D4DA7" w:rsidRPr="00370164" w:rsidRDefault="001D4DA7" w:rsidP="00370164">
      <w:pPr>
        <w:spacing w:after="0"/>
        <w:rPr>
          <w:rFonts w:ascii="Arial" w:hAnsi="Arial" w:cs="Arial"/>
          <w:b/>
          <w:color w:val="0070C0"/>
        </w:rPr>
      </w:pPr>
    </w:p>
    <w:p w14:paraId="631794F4" w14:textId="77777777" w:rsidR="001D4DA7" w:rsidRPr="00370164" w:rsidRDefault="001D4DA7" w:rsidP="00370164">
      <w:pPr>
        <w:pStyle w:val="ListParagraph"/>
        <w:numPr>
          <w:ilvl w:val="1"/>
          <w:numId w:val="1"/>
        </w:numPr>
        <w:spacing w:after="0" w:line="276" w:lineRule="auto"/>
        <w:rPr>
          <w:b/>
          <w:sz w:val="22"/>
          <w:szCs w:val="22"/>
        </w:rPr>
      </w:pPr>
      <w:r w:rsidRPr="00370164">
        <w:rPr>
          <w:b/>
          <w:sz w:val="22"/>
          <w:szCs w:val="22"/>
        </w:rPr>
        <w:t xml:space="preserve">Chairs introductory Remarks </w:t>
      </w:r>
    </w:p>
    <w:p w14:paraId="1ABA3334" w14:textId="77777777" w:rsidR="001D4DA7" w:rsidRPr="00370164" w:rsidRDefault="001D4DA7" w:rsidP="00370164">
      <w:pPr>
        <w:spacing w:after="0"/>
        <w:rPr>
          <w:rFonts w:ascii="Arial" w:hAnsi="Arial" w:cs="Arial"/>
          <w:b/>
        </w:rPr>
      </w:pPr>
    </w:p>
    <w:p w14:paraId="744B0E34" w14:textId="77777777" w:rsidR="001D4DA7" w:rsidRPr="00370164" w:rsidRDefault="001D4DA7" w:rsidP="00370164">
      <w:pPr>
        <w:spacing w:after="0"/>
        <w:ind w:left="720"/>
        <w:rPr>
          <w:rFonts w:ascii="Arial" w:hAnsi="Arial" w:cs="Arial"/>
        </w:rPr>
      </w:pPr>
      <w:r w:rsidRPr="00370164">
        <w:rPr>
          <w:rFonts w:ascii="Arial" w:hAnsi="Arial" w:cs="Arial"/>
        </w:rPr>
        <w:t xml:space="preserve">Marcella Boyle opened the meeting and welcomed all attendees. </w:t>
      </w:r>
    </w:p>
    <w:p w14:paraId="7E6CE98E" w14:textId="77777777" w:rsidR="001D4DA7" w:rsidRPr="00370164" w:rsidRDefault="001D4DA7" w:rsidP="00370164">
      <w:pPr>
        <w:spacing w:after="0"/>
        <w:ind w:left="720"/>
        <w:rPr>
          <w:rFonts w:ascii="Arial" w:hAnsi="Arial" w:cs="Arial"/>
        </w:rPr>
      </w:pPr>
    </w:p>
    <w:p w14:paraId="3348F8C7" w14:textId="77777777" w:rsidR="001D4DA7" w:rsidRPr="00370164" w:rsidRDefault="001D4DA7" w:rsidP="00370164">
      <w:pPr>
        <w:spacing w:after="0"/>
        <w:rPr>
          <w:rFonts w:ascii="Arial" w:hAnsi="Arial" w:cs="Arial"/>
          <w:b/>
        </w:rPr>
      </w:pPr>
    </w:p>
    <w:p w14:paraId="117CBE71"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2.</w:t>
      </w:r>
      <w:r w:rsidRPr="00370164">
        <w:rPr>
          <w:rFonts w:ascii="Arial" w:hAnsi="Arial" w:cs="Arial"/>
          <w:b/>
          <w:color w:val="0070C0"/>
        </w:rPr>
        <w:tab/>
        <w:t>Apologies</w:t>
      </w:r>
    </w:p>
    <w:p w14:paraId="79A2A7D9" w14:textId="77777777" w:rsidR="001D4DA7" w:rsidRPr="00370164" w:rsidRDefault="001D4DA7" w:rsidP="00370164">
      <w:pPr>
        <w:spacing w:after="0"/>
        <w:rPr>
          <w:rFonts w:ascii="Arial" w:hAnsi="Arial" w:cs="Arial"/>
        </w:rPr>
      </w:pPr>
    </w:p>
    <w:p w14:paraId="700E35E0" w14:textId="77777777" w:rsidR="001D4DA7" w:rsidRPr="00370164" w:rsidRDefault="001D4DA7" w:rsidP="00370164">
      <w:pPr>
        <w:tabs>
          <w:tab w:val="left" w:pos="2694"/>
        </w:tabs>
        <w:spacing w:after="0"/>
        <w:ind w:firstLine="720"/>
        <w:contextualSpacing/>
        <w:rPr>
          <w:rFonts w:ascii="Arial" w:hAnsi="Arial" w:cs="Arial"/>
        </w:rPr>
      </w:pPr>
      <w:r w:rsidRPr="00370164">
        <w:rPr>
          <w:rFonts w:ascii="Arial" w:hAnsi="Arial" w:cs="Arial"/>
        </w:rPr>
        <w:t>Apologies were noted</w:t>
      </w:r>
      <w:r w:rsidR="00F55B75" w:rsidRPr="00370164">
        <w:rPr>
          <w:rFonts w:ascii="Arial" w:hAnsi="Arial" w:cs="Arial"/>
        </w:rPr>
        <w:t xml:space="preserve"> as above.</w:t>
      </w:r>
    </w:p>
    <w:p w14:paraId="6C35D0ED" w14:textId="77777777" w:rsidR="001D4DA7" w:rsidRPr="00370164" w:rsidRDefault="001D4DA7" w:rsidP="00370164">
      <w:pPr>
        <w:spacing w:after="0"/>
        <w:rPr>
          <w:rFonts w:ascii="Arial" w:hAnsi="Arial" w:cs="Arial"/>
          <w:b/>
        </w:rPr>
      </w:pPr>
    </w:p>
    <w:p w14:paraId="679D0C5B" w14:textId="77777777" w:rsidR="001D4DA7" w:rsidRPr="00370164" w:rsidRDefault="001D4DA7" w:rsidP="00370164">
      <w:pPr>
        <w:spacing w:after="0"/>
        <w:rPr>
          <w:rFonts w:ascii="Arial" w:hAnsi="Arial" w:cs="Arial"/>
          <w:b/>
        </w:rPr>
      </w:pPr>
    </w:p>
    <w:p w14:paraId="0EEFED6E" w14:textId="77777777" w:rsidR="001D4DA7" w:rsidRPr="00370164" w:rsidRDefault="00D90727" w:rsidP="00370164">
      <w:pPr>
        <w:spacing w:after="0"/>
        <w:rPr>
          <w:rFonts w:ascii="Arial" w:hAnsi="Arial" w:cs="Arial"/>
          <w:b/>
          <w:color w:val="0070C0"/>
        </w:rPr>
      </w:pPr>
      <w:r w:rsidRPr="00370164">
        <w:rPr>
          <w:rFonts w:ascii="Arial" w:hAnsi="Arial" w:cs="Arial"/>
          <w:b/>
          <w:color w:val="0070C0"/>
        </w:rPr>
        <w:t>3</w:t>
      </w:r>
      <w:r w:rsidRPr="00370164">
        <w:rPr>
          <w:rFonts w:ascii="Arial" w:hAnsi="Arial" w:cs="Arial"/>
          <w:b/>
          <w:color w:val="0070C0"/>
        </w:rPr>
        <w:tab/>
      </w:r>
      <w:r w:rsidR="001D4DA7" w:rsidRPr="00370164">
        <w:rPr>
          <w:rFonts w:ascii="Arial" w:hAnsi="Arial" w:cs="Arial"/>
          <w:b/>
          <w:color w:val="0070C0"/>
        </w:rPr>
        <w:t xml:space="preserve">Declarations of interest </w:t>
      </w:r>
    </w:p>
    <w:p w14:paraId="25745DCB" w14:textId="77777777" w:rsidR="001D4DA7" w:rsidRPr="00370164" w:rsidRDefault="001D4DA7" w:rsidP="00370164">
      <w:pPr>
        <w:tabs>
          <w:tab w:val="left" w:pos="709"/>
          <w:tab w:val="left" w:pos="3969"/>
        </w:tabs>
        <w:spacing w:after="0"/>
        <w:contextualSpacing/>
        <w:rPr>
          <w:rFonts w:ascii="Arial" w:hAnsi="Arial" w:cs="Arial"/>
        </w:rPr>
      </w:pPr>
    </w:p>
    <w:p w14:paraId="7C3EFD80" w14:textId="77777777" w:rsidR="001D4DA7" w:rsidRPr="00370164" w:rsidRDefault="00D90727" w:rsidP="00370164">
      <w:pPr>
        <w:tabs>
          <w:tab w:val="left" w:pos="709"/>
          <w:tab w:val="left" w:pos="3969"/>
        </w:tabs>
        <w:spacing w:after="0"/>
        <w:contextualSpacing/>
        <w:rPr>
          <w:rFonts w:ascii="Arial" w:hAnsi="Arial" w:cs="Arial"/>
        </w:rPr>
      </w:pPr>
      <w:r w:rsidRPr="00370164">
        <w:rPr>
          <w:rFonts w:ascii="Arial" w:hAnsi="Arial" w:cs="Arial"/>
        </w:rPr>
        <w:tab/>
        <w:t>No Declaration</w:t>
      </w:r>
      <w:r w:rsidR="00C2437C">
        <w:rPr>
          <w:rFonts w:ascii="Arial" w:hAnsi="Arial" w:cs="Arial"/>
        </w:rPr>
        <w:t>s</w:t>
      </w:r>
      <w:r w:rsidRPr="00370164">
        <w:rPr>
          <w:rFonts w:ascii="Arial" w:hAnsi="Arial" w:cs="Arial"/>
        </w:rPr>
        <w:t xml:space="preserve"> of I</w:t>
      </w:r>
      <w:r w:rsidR="001D4DA7" w:rsidRPr="00370164">
        <w:rPr>
          <w:rFonts w:ascii="Arial" w:hAnsi="Arial" w:cs="Arial"/>
        </w:rPr>
        <w:t>nterest were noted.</w:t>
      </w:r>
    </w:p>
    <w:p w14:paraId="178FFFA7" w14:textId="77777777" w:rsidR="00566F8C" w:rsidRPr="00370164" w:rsidRDefault="00566F8C" w:rsidP="00370164">
      <w:pPr>
        <w:tabs>
          <w:tab w:val="left" w:pos="709"/>
          <w:tab w:val="left" w:pos="3969"/>
        </w:tabs>
        <w:spacing w:after="0"/>
        <w:contextualSpacing/>
        <w:rPr>
          <w:rFonts w:ascii="Arial" w:hAnsi="Arial" w:cs="Arial"/>
        </w:rPr>
      </w:pPr>
    </w:p>
    <w:p w14:paraId="0A4F6FBB" w14:textId="77777777" w:rsidR="00566F8C" w:rsidRPr="00370164" w:rsidRDefault="00566F8C" w:rsidP="00370164">
      <w:pPr>
        <w:tabs>
          <w:tab w:val="left" w:pos="709"/>
          <w:tab w:val="left" w:pos="3969"/>
        </w:tabs>
        <w:spacing w:after="0"/>
        <w:contextualSpacing/>
        <w:rPr>
          <w:rFonts w:ascii="Arial" w:hAnsi="Arial" w:cs="Arial"/>
        </w:rPr>
      </w:pPr>
    </w:p>
    <w:p w14:paraId="247E060B" w14:textId="77777777" w:rsidR="00566F8C" w:rsidRPr="00370164" w:rsidRDefault="00566F8C" w:rsidP="00370164">
      <w:pPr>
        <w:tabs>
          <w:tab w:val="left" w:pos="709"/>
          <w:tab w:val="left" w:pos="3969"/>
        </w:tabs>
        <w:spacing w:after="0"/>
        <w:contextualSpacing/>
        <w:rPr>
          <w:rFonts w:ascii="Arial" w:hAnsi="Arial" w:cs="Arial"/>
        </w:rPr>
      </w:pPr>
    </w:p>
    <w:p w14:paraId="11BA94D0" w14:textId="77777777" w:rsidR="00566F8C" w:rsidRPr="00370164" w:rsidRDefault="00566F8C" w:rsidP="00370164">
      <w:pPr>
        <w:tabs>
          <w:tab w:val="left" w:pos="709"/>
          <w:tab w:val="left" w:pos="3969"/>
        </w:tabs>
        <w:spacing w:after="0"/>
        <w:contextualSpacing/>
        <w:rPr>
          <w:rFonts w:ascii="Arial" w:hAnsi="Arial" w:cs="Arial"/>
        </w:rPr>
      </w:pPr>
    </w:p>
    <w:p w14:paraId="3DEBA79C" w14:textId="77777777" w:rsidR="001D4DA7" w:rsidRPr="00370164" w:rsidRDefault="001D4DA7" w:rsidP="00370164">
      <w:pPr>
        <w:spacing w:after="0"/>
        <w:contextualSpacing/>
        <w:rPr>
          <w:rFonts w:ascii="Arial" w:hAnsi="Arial" w:cs="Arial"/>
          <w:b/>
          <w:color w:val="0070C0"/>
        </w:rPr>
      </w:pPr>
      <w:r w:rsidRPr="00370164">
        <w:rPr>
          <w:rFonts w:ascii="Arial" w:hAnsi="Arial" w:cs="Arial"/>
          <w:b/>
          <w:color w:val="0070C0"/>
        </w:rPr>
        <w:t>4.</w:t>
      </w:r>
      <w:r w:rsidRPr="00370164">
        <w:rPr>
          <w:rFonts w:ascii="Arial" w:hAnsi="Arial" w:cs="Arial"/>
          <w:b/>
          <w:color w:val="0070C0"/>
        </w:rPr>
        <w:tab/>
        <w:t>Updates from last meeting</w:t>
      </w:r>
    </w:p>
    <w:p w14:paraId="1489E06B" w14:textId="77777777" w:rsidR="00566F8C" w:rsidRPr="00370164" w:rsidRDefault="00566F8C" w:rsidP="00370164">
      <w:pPr>
        <w:spacing w:after="0"/>
        <w:contextualSpacing/>
        <w:rPr>
          <w:rFonts w:ascii="Arial" w:hAnsi="Arial" w:cs="Arial"/>
          <w:b/>
        </w:rPr>
      </w:pPr>
    </w:p>
    <w:p w14:paraId="08732D0F" w14:textId="77777777" w:rsidR="001D4DA7" w:rsidRPr="00370164" w:rsidRDefault="001D4DA7" w:rsidP="00370164">
      <w:pPr>
        <w:spacing w:after="0"/>
        <w:contextualSpacing/>
        <w:rPr>
          <w:rFonts w:ascii="Arial" w:hAnsi="Arial" w:cs="Arial"/>
          <w:b/>
        </w:rPr>
      </w:pPr>
      <w:r w:rsidRPr="00370164">
        <w:rPr>
          <w:rFonts w:ascii="Arial" w:hAnsi="Arial" w:cs="Arial"/>
          <w:b/>
        </w:rPr>
        <w:t xml:space="preserve">4.1a </w:t>
      </w:r>
      <w:r w:rsidRPr="00370164">
        <w:rPr>
          <w:rFonts w:ascii="Arial" w:hAnsi="Arial" w:cs="Arial"/>
          <w:b/>
        </w:rPr>
        <w:tab/>
        <w:t xml:space="preserve">Unapproved minutes from </w:t>
      </w:r>
      <w:r w:rsidR="00D90727" w:rsidRPr="00370164">
        <w:rPr>
          <w:rFonts w:ascii="Arial" w:hAnsi="Arial" w:cs="Arial"/>
          <w:b/>
        </w:rPr>
        <w:t>3</w:t>
      </w:r>
      <w:r w:rsidRPr="00370164">
        <w:rPr>
          <w:rFonts w:ascii="Arial" w:hAnsi="Arial" w:cs="Arial"/>
          <w:b/>
        </w:rPr>
        <w:t xml:space="preserve"> </w:t>
      </w:r>
      <w:r w:rsidR="00D90727" w:rsidRPr="00370164">
        <w:rPr>
          <w:rFonts w:ascii="Arial" w:hAnsi="Arial" w:cs="Arial"/>
          <w:b/>
        </w:rPr>
        <w:t>May</w:t>
      </w:r>
      <w:r w:rsidRPr="00370164">
        <w:rPr>
          <w:rFonts w:ascii="Arial" w:hAnsi="Arial" w:cs="Arial"/>
          <w:b/>
        </w:rPr>
        <w:t xml:space="preserve"> 2022: Public Session</w:t>
      </w:r>
    </w:p>
    <w:p w14:paraId="4594572A" w14:textId="77777777" w:rsidR="001D4DA7" w:rsidRPr="00370164" w:rsidRDefault="001D4DA7" w:rsidP="00370164">
      <w:pPr>
        <w:spacing w:after="0"/>
        <w:contextualSpacing/>
        <w:rPr>
          <w:rFonts w:ascii="Arial" w:hAnsi="Arial" w:cs="Arial"/>
          <w:b/>
        </w:rPr>
      </w:pPr>
    </w:p>
    <w:p w14:paraId="66E0C15E" w14:textId="77777777" w:rsidR="001D4DA7" w:rsidRPr="00370164" w:rsidRDefault="001D4DA7" w:rsidP="00370164">
      <w:pPr>
        <w:spacing w:after="0"/>
        <w:rPr>
          <w:rFonts w:ascii="Arial" w:hAnsi="Arial" w:cs="Arial"/>
        </w:rPr>
      </w:pPr>
      <w:r w:rsidRPr="00370164">
        <w:rPr>
          <w:rFonts w:ascii="Arial" w:hAnsi="Arial" w:cs="Arial"/>
        </w:rPr>
        <w:tab/>
        <w:t>The minutes of the previous meeting were agreed as an accurate record.</w:t>
      </w:r>
    </w:p>
    <w:p w14:paraId="57672E8E" w14:textId="77777777" w:rsidR="001D4DA7" w:rsidRPr="00370164" w:rsidRDefault="001D4DA7" w:rsidP="00370164">
      <w:pPr>
        <w:spacing w:after="0"/>
        <w:rPr>
          <w:rFonts w:ascii="Arial" w:hAnsi="Arial" w:cs="Arial"/>
        </w:rPr>
      </w:pPr>
    </w:p>
    <w:p w14:paraId="2C71DDA5" w14:textId="77777777" w:rsidR="001D4DA7" w:rsidRPr="00370164" w:rsidRDefault="001D4DA7" w:rsidP="00370164">
      <w:pPr>
        <w:spacing w:after="0"/>
        <w:contextualSpacing/>
        <w:rPr>
          <w:rFonts w:ascii="Arial" w:hAnsi="Arial" w:cs="Arial"/>
          <w:b/>
        </w:rPr>
      </w:pPr>
      <w:r w:rsidRPr="00370164">
        <w:rPr>
          <w:rFonts w:ascii="Arial" w:hAnsi="Arial" w:cs="Arial"/>
          <w:b/>
        </w:rPr>
        <w:t xml:space="preserve">4.1b </w:t>
      </w:r>
      <w:r w:rsidRPr="00370164">
        <w:rPr>
          <w:rFonts w:ascii="Arial" w:hAnsi="Arial" w:cs="Arial"/>
          <w:b/>
        </w:rPr>
        <w:tab/>
        <w:t xml:space="preserve">Unapproved minutes from </w:t>
      </w:r>
      <w:r w:rsidR="00D90727" w:rsidRPr="00370164">
        <w:rPr>
          <w:rFonts w:ascii="Arial" w:hAnsi="Arial" w:cs="Arial"/>
          <w:b/>
        </w:rPr>
        <w:t>3</w:t>
      </w:r>
      <w:r w:rsidRPr="00370164">
        <w:rPr>
          <w:rFonts w:ascii="Arial" w:hAnsi="Arial" w:cs="Arial"/>
          <w:b/>
        </w:rPr>
        <w:t xml:space="preserve"> </w:t>
      </w:r>
      <w:r w:rsidR="00D90727" w:rsidRPr="00370164">
        <w:rPr>
          <w:rFonts w:ascii="Arial" w:hAnsi="Arial" w:cs="Arial"/>
          <w:b/>
        </w:rPr>
        <w:t>May</w:t>
      </w:r>
      <w:r w:rsidRPr="00370164">
        <w:rPr>
          <w:rFonts w:ascii="Arial" w:hAnsi="Arial" w:cs="Arial"/>
          <w:b/>
        </w:rPr>
        <w:t xml:space="preserve"> 2022: Private Session</w:t>
      </w:r>
    </w:p>
    <w:p w14:paraId="2750D78A" w14:textId="77777777" w:rsidR="001D4DA7" w:rsidRPr="00370164" w:rsidRDefault="001D4DA7" w:rsidP="00370164">
      <w:pPr>
        <w:spacing w:after="0"/>
        <w:contextualSpacing/>
        <w:rPr>
          <w:rFonts w:ascii="Arial" w:hAnsi="Arial" w:cs="Arial"/>
          <w:b/>
        </w:rPr>
      </w:pPr>
    </w:p>
    <w:p w14:paraId="63697F61" w14:textId="77777777" w:rsidR="001D4DA7" w:rsidRPr="00370164" w:rsidRDefault="00D90727" w:rsidP="00370164">
      <w:pPr>
        <w:spacing w:after="0"/>
        <w:ind w:firstLine="720"/>
        <w:rPr>
          <w:rFonts w:ascii="Arial" w:hAnsi="Arial" w:cs="Arial"/>
        </w:rPr>
      </w:pPr>
      <w:r w:rsidRPr="00370164">
        <w:rPr>
          <w:rFonts w:ascii="Arial" w:hAnsi="Arial" w:cs="Arial"/>
        </w:rPr>
        <w:t>The minutes of the previous meeting were agreed as an accurate record.</w:t>
      </w:r>
    </w:p>
    <w:p w14:paraId="6148998F" w14:textId="77777777" w:rsidR="00D90727" w:rsidRPr="00370164" w:rsidRDefault="00D90727" w:rsidP="00370164">
      <w:pPr>
        <w:spacing w:after="0"/>
        <w:ind w:firstLine="720"/>
        <w:rPr>
          <w:rFonts w:ascii="Arial" w:hAnsi="Arial" w:cs="Arial"/>
        </w:rPr>
      </w:pPr>
    </w:p>
    <w:p w14:paraId="3937DD50" w14:textId="77777777" w:rsidR="001D4DA7" w:rsidRPr="00370164" w:rsidRDefault="001D4DA7" w:rsidP="00370164">
      <w:pPr>
        <w:spacing w:after="0"/>
        <w:contextualSpacing/>
        <w:rPr>
          <w:rFonts w:ascii="Arial" w:hAnsi="Arial" w:cs="Arial"/>
          <w:b/>
        </w:rPr>
      </w:pPr>
      <w:r w:rsidRPr="00370164">
        <w:rPr>
          <w:rFonts w:ascii="Arial" w:hAnsi="Arial" w:cs="Arial"/>
          <w:b/>
        </w:rPr>
        <w:t>4.2</w:t>
      </w:r>
      <w:r w:rsidRPr="00370164">
        <w:rPr>
          <w:rFonts w:ascii="Arial" w:hAnsi="Arial" w:cs="Arial"/>
          <w:b/>
        </w:rPr>
        <w:tab/>
        <w:t>Action Log</w:t>
      </w:r>
    </w:p>
    <w:p w14:paraId="2F322227" w14:textId="77777777" w:rsidR="001D4DA7" w:rsidRPr="00370164" w:rsidRDefault="001D4DA7" w:rsidP="00370164">
      <w:pPr>
        <w:spacing w:after="0"/>
        <w:contextualSpacing/>
        <w:rPr>
          <w:rFonts w:ascii="Arial" w:hAnsi="Arial" w:cs="Arial"/>
          <w:b/>
        </w:rPr>
      </w:pPr>
    </w:p>
    <w:p w14:paraId="3154EEB6" w14:textId="77777777" w:rsidR="001D4DA7" w:rsidRPr="00370164" w:rsidRDefault="001D4DA7" w:rsidP="00370164">
      <w:pPr>
        <w:spacing w:after="0"/>
        <w:contextualSpacing/>
        <w:rPr>
          <w:rFonts w:ascii="Arial" w:hAnsi="Arial" w:cs="Arial"/>
        </w:rPr>
      </w:pPr>
      <w:r w:rsidRPr="00370164">
        <w:rPr>
          <w:rFonts w:ascii="Arial" w:hAnsi="Arial" w:cs="Arial"/>
          <w:b/>
        </w:rPr>
        <w:tab/>
      </w:r>
      <w:r w:rsidRPr="00370164">
        <w:rPr>
          <w:rFonts w:ascii="Arial" w:hAnsi="Arial" w:cs="Arial"/>
        </w:rPr>
        <w:t xml:space="preserve">The Committee reviewed the action log and </w:t>
      </w:r>
      <w:r w:rsidR="006C0C31" w:rsidRPr="00370164">
        <w:rPr>
          <w:rFonts w:ascii="Arial" w:hAnsi="Arial" w:cs="Arial"/>
        </w:rPr>
        <w:t>updated/closed the following actions:</w:t>
      </w:r>
    </w:p>
    <w:p w14:paraId="22568CF8" w14:textId="77777777" w:rsidR="006C0C31" w:rsidRPr="00370164" w:rsidRDefault="006C0C31" w:rsidP="00370164">
      <w:pPr>
        <w:spacing w:after="0"/>
        <w:contextualSpacing/>
        <w:rPr>
          <w:rFonts w:ascii="Arial" w:hAnsi="Arial" w:cs="Arial"/>
        </w:rPr>
      </w:pPr>
    </w:p>
    <w:tbl>
      <w:tblPr>
        <w:tblStyle w:val="TableGrid"/>
        <w:tblW w:w="0" w:type="auto"/>
        <w:tblLook w:val="04A0" w:firstRow="1" w:lastRow="0" w:firstColumn="1" w:lastColumn="0" w:noHBand="0" w:noVBand="1"/>
      </w:tblPr>
      <w:tblGrid>
        <w:gridCol w:w="2122"/>
        <w:gridCol w:w="3685"/>
        <w:gridCol w:w="1985"/>
        <w:gridCol w:w="1944"/>
      </w:tblGrid>
      <w:tr w:rsidR="006C0C31" w:rsidRPr="00370164" w14:paraId="5D81C1F0" w14:textId="77777777" w:rsidTr="006C0C31">
        <w:tc>
          <w:tcPr>
            <w:tcW w:w="2122" w:type="dxa"/>
          </w:tcPr>
          <w:p w14:paraId="6D6AB931" w14:textId="77777777" w:rsidR="006C0C31" w:rsidRPr="00370164" w:rsidRDefault="006C0C31" w:rsidP="00370164">
            <w:pPr>
              <w:spacing w:after="0"/>
              <w:contextualSpacing/>
              <w:rPr>
                <w:rFonts w:ascii="Arial" w:hAnsi="Arial" w:cs="Arial"/>
                <w:b/>
              </w:rPr>
            </w:pPr>
            <w:r w:rsidRPr="00370164">
              <w:rPr>
                <w:rFonts w:ascii="Arial" w:hAnsi="Arial" w:cs="Arial"/>
                <w:b/>
              </w:rPr>
              <w:t>Action No.</w:t>
            </w:r>
          </w:p>
        </w:tc>
        <w:tc>
          <w:tcPr>
            <w:tcW w:w="3685" w:type="dxa"/>
          </w:tcPr>
          <w:p w14:paraId="324F885C" w14:textId="77777777" w:rsidR="006C0C31" w:rsidRPr="00370164" w:rsidRDefault="006C0C31" w:rsidP="00370164">
            <w:pPr>
              <w:spacing w:after="0"/>
              <w:contextualSpacing/>
              <w:rPr>
                <w:rFonts w:ascii="Arial" w:hAnsi="Arial" w:cs="Arial"/>
                <w:b/>
              </w:rPr>
            </w:pPr>
            <w:r w:rsidRPr="00370164">
              <w:rPr>
                <w:rFonts w:ascii="Arial" w:hAnsi="Arial" w:cs="Arial"/>
                <w:b/>
              </w:rPr>
              <w:t>Action</w:t>
            </w:r>
          </w:p>
        </w:tc>
        <w:tc>
          <w:tcPr>
            <w:tcW w:w="1985" w:type="dxa"/>
          </w:tcPr>
          <w:p w14:paraId="302EF921" w14:textId="77777777" w:rsidR="006C0C31" w:rsidRPr="00370164" w:rsidRDefault="006C0C31" w:rsidP="00370164">
            <w:pPr>
              <w:spacing w:after="0"/>
              <w:contextualSpacing/>
              <w:rPr>
                <w:rFonts w:ascii="Arial" w:hAnsi="Arial" w:cs="Arial"/>
                <w:b/>
              </w:rPr>
            </w:pPr>
            <w:r w:rsidRPr="00370164">
              <w:rPr>
                <w:rFonts w:ascii="Arial" w:hAnsi="Arial" w:cs="Arial"/>
                <w:b/>
              </w:rPr>
              <w:t>Lead</w:t>
            </w:r>
          </w:p>
        </w:tc>
        <w:tc>
          <w:tcPr>
            <w:tcW w:w="1944" w:type="dxa"/>
          </w:tcPr>
          <w:p w14:paraId="15183A50" w14:textId="77777777" w:rsidR="006C0C31" w:rsidRPr="00370164" w:rsidRDefault="006C0C31" w:rsidP="00370164">
            <w:pPr>
              <w:spacing w:after="0"/>
              <w:contextualSpacing/>
              <w:rPr>
                <w:rFonts w:ascii="Arial" w:hAnsi="Arial" w:cs="Arial"/>
                <w:b/>
              </w:rPr>
            </w:pPr>
            <w:r w:rsidRPr="00370164">
              <w:rPr>
                <w:rFonts w:ascii="Arial" w:hAnsi="Arial" w:cs="Arial"/>
                <w:b/>
              </w:rPr>
              <w:t>Status</w:t>
            </w:r>
          </w:p>
        </w:tc>
      </w:tr>
      <w:tr w:rsidR="006C0C31" w:rsidRPr="00370164" w14:paraId="6C9B26A2" w14:textId="77777777" w:rsidTr="006C0C31">
        <w:tc>
          <w:tcPr>
            <w:tcW w:w="2122" w:type="dxa"/>
          </w:tcPr>
          <w:p w14:paraId="55F9FAD7" w14:textId="77777777" w:rsidR="006C0C31" w:rsidRPr="00370164" w:rsidRDefault="006C0C31" w:rsidP="00370164">
            <w:pPr>
              <w:spacing w:after="0"/>
              <w:rPr>
                <w:rFonts w:ascii="Arial" w:hAnsi="Arial" w:cs="Arial"/>
                <w:color w:val="000000"/>
              </w:rPr>
            </w:pPr>
            <w:r w:rsidRPr="00370164">
              <w:rPr>
                <w:rFonts w:ascii="Arial" w:hAnsi="Arial" w:cs="Arial"/>
                <w:color w:val="000000"/>
              </w:rPr>
              <w:t>SGPCC/211109/03</w:t>
            </w:r>
          </w:p>
        </w:tc>
        <w:tc>
          <w:tcPr>
            <w:tcW w:w="3685" w:type="dxa"/>
          </w:tcPr>
          <w:p w14:paraId="7218DE19" w14:textId="77777777" w:rsidR="006C0C31" w:rsidRPr="00370164" w:rsidRDefault="006C0C31" w:rsidP="00370164">
            <w:pPr>
              <w:spacing w:after="0"/>
              <w:rPr>
                <w:rFonts w:ascii="Arial" w:hAnsi="Arial" w:cs="Arial"/>
                <w:b/>
                <w:bCs/>
                <w:color w:val="000000"/>
              </w:rPr>
            </w:pPr>
            <w:r w:rsidRPr="00370164">
              <w:rPr>
                <w:rFonts w:ascii="Arial" w:hAnsi="Arial" w:cs="Arial"/>
                <w:b/>
                <w:bCs/>
                <w:color w:val="000000"/>
              </w:rPr>
              <w:t xml:space="preserve">8.2 iMatter &amp; Staff Engagement     </w:t>
            </w:r>
            <w:r w:rsidRPr="00370164">
              <w:rPr>
                <w:rFonts w:ascii="Arial" w:hAnsi="Arial" w:cs="Arial"/>
                <w:b/>
                <w:bCs/>
                <w:color w:val="000000"/>
              </w:rPr>
              <w:br/>
            </w:r>
            <w:r w:rsidRPr="00370164">
              <w:rPr>
                <w:rFonts w:ascii="Arial" w:hAnsi="Arial" w:cs="Arial"/>
                <w:color w:val="000000"/>
              </w:rPr>
              <w:t>Provide further update on iMatter and Staff Engagement at the next meeting.</w:t>
            </w:r>
            <w:r w:rsidRPr="00370164">
              <w:rPr>
                <w:rFonts w:ascii="Arial" w:hAnsi="Arial" w:cs="Arial"/>
                <w:b/>
                <w:bCs/>
                <w:color w:val="000000"/>
              </w:rPr>
              <w:t xml:space="preserve"> </w:t>
            </w:r>
          </w:p>
        </w:tc>
        <w:tc>
          <w:tcPr>
            <w:tcW w:w="1985" w:type="dxa"/>
          </w:tcPr>
          <w:p w14:paraId="3F0D56AC" w14:textId="77777777" w:rsidR="006C0C31" w:rsidRPr="00370164" w:rsidRDefault="006C0C31" w:rsidP="00370164">
            <w:pPr>
              <w:spacing w:after="0"/>
              <w:rPr>
                <w:rFonts w:ascii="Arial" w:hAnsi="Arial" w:cs="Arial"/>
                <w:color w:val="000000"/>
              </w:rPr>
            </w:pPr>
            <w:r w:rsidRPr="00370164">
              <w:rPr>
                <w:rFonts w:ascii="Arial" w:hAnsi="Arial" w:cs="Arial"/>
                <w:color w:val="000000"/>
              </w:rPr>
              <w:t>Serena Barnett           Donna Akhal                   Lisa Walsh</w:t>
            </w:r>
          </w:p>
          <w:p w14:paraId="7DC2EC68" w14:textId="77777777" w:rsidR="006C0C31" w:rsidRPr="00370164" w:rsidRDefault="006C0C31" w:rsidP="00370164">
            <w:pPr>
              <w:spacing w:after="0"/>
              <w:contextualSpacing/>
              <w:rPr>
                <w:rFonts w:ascii="Arial" w:hAnsi="Arial" w:cs="Arial"/>
              </w:rPr>
            </w:pPr>
          </w:p>
        </w:tc>
        <w:tc>
          <w:tcPr>
            <w:tcW w:w="1944" w:type="dxa"/>
          </w:tcPr>
          <w:p w14:paraId="39F44F83" w14:textId="77777777" w:rsidR="006C0C31" w:rsidRPr="00370164" w:rsidRDefault="006C0C31" w:rsidP="00370164">
            <w:pPr>
              <w:spacing w:after="0"/>
              <w:contextualSpacing/>
              <w:rPr>
                <w:rFonts w:ascii="Arial" w:hAnsi="Arial" w:cs="Arial"/>
              </w:rPr>
            </w:pPr>
            <w:r w:rsidRPr="00370164">
              <w:rPr>
                <w:rFonts w:ascii="Arial" w:hAnsi="Arial" w:cs="Arial"/>
              </w:rPr>
              <w:t>Closed</w:t>
            </w:r>
          </w:p>
        </w:tc>
      </w:tr>
      <w:tr w:rsidR="006C0C31" w:rsidRPr="00370164" w14:paraId="30AD8FAA" w14:textId="77777777" w:rsidTr="006C0C31">
        <w:tc>
          <w:tcPr>
            <w:tcW w:w="2122" w:type="dxa"/>
          </w:tcPr>
          <w:p w14:paraId="17261116" w14:textId="77777777" w:rsidR="006C0C31" w:rsidRPr="00370164" w:rsidRDefault="006C0C31" w:rsidP="00370164">
            <w:pPr>
              <w:spacing w:after="0"/>
              <w:rPr>
                <w:rFonts w:ascii="Arial" w:hAnsi="Arial" w:cs="Arial"/>
                <w:color w:val="000000"/>
              </w:rPr>
            </w:pPr>
            <w:r w:rsidRPr="00370164">
              <w:rPr>
                <w:rFonts w:ascii="Arial" w:hAnsi="Arial" w:cs="Arial"/>
                <w:color w:val="000000"/>
              </w:rPr>
              <w:t>SGPCC/040322/02</w:t>
            </w:r>
          </w:p>
        </w:tc>
        <w:tc>
          <w:tcPr>
            <w:tcW w:w="3685" w:type="dxa"/>
          </w:tcPr>
          <w:p w14:paraId="2A6A32C3" w14:textId="77777777" w:rsidR="006C0C31" w:rsidRPr="00370164" w:rsidRDefault="006C0C31" w:rsidP="00370164">
            <w:pPr>
              <w:spacing w:after="0"/>
              <w:rPr>
                <w:rFonts w:ascii="Arial" w:hAnsi="Arial" w:cs="Arial"/>
                <w:b/>
                <w:bCs/>
                <w:color w:val="000000"/>
              </w:rPr>
            </w:pPr>
            <w:r w:rsidRPr="00370164">
              <w:rPr>
                <w:rFonts w:ascii="Arial" w:hAnsi="Arial" w:cs="Arial"/>
                <w:b/>
                <w:bCs/>
                <w:color w:val="000000"/>
              </w:rPr>
              <w:t xml:space="preserve">6.2 Integrated Performance Report                                          </w:t>
            </w:r>
            <w:r w:rsidRPr="00370164">
              <w:rPr>
                <w:rFonts w:ascii="Arial" w:hAnsi="Arial" w:cs="Arial"/>
                <w:color w:val="000000"/>
              </w:rPr>
              <w:t>The Board Secretary to circulate iMatter report to SGPCC group when available to support discussion at an appropriate meeting of the Committee.</w:t>
            </w:r>
          </w:p>
        </w:tc>
        <w:tc>
          <w:tcPr>
            <w:tcW w:w="1985" w:type="dxa"/>
          </w:tcPr>
          <w:p w14:paraId="472A3E67" w14:textId="77777777" w:rsidR="006C0C31" w:rsidRPr="00370164" w:rsidRDefault="006C0C31" w:rsidP="00370164">
            <w:pPr>
              <w:spacing w:after="0"/>
              <w:rPr>
                <w:rFonts w:ascii="Arial" w:hAnsi="Arial" w:cs="Arial"/>
                <w:color w:val="000000"/>
              </w:rPr>
            </w:pPr>
            <w:r w:rsidRPr="00370164">
              <w:rPr>
                <w:rFonts w:ascii="Arial" w:hAnsi="Arial" w:cs="Arial"/>
                <w:color w:val="000000"/>
              </w:rPr>
              <w:t>Gerard Gardiner</w:t>
            </w:r>
          </w:p>
          <w:p w14:paraId="3AA8CDE9" w14:textId="77777777" w:rsidR="006C0C31" w:rsidRPr="00370164" w:rsidRDefault="006C0C31" w:rsidP="00370164">
            <w:pPr>
              <w:spacing w:after="0"/>
              <w:contextualSpacing/>
              <w:rPr>
                <w:rFonts w:ascii="Arial" w:hAnsi="Arial" w:cs="Arial"/>
              </w:rPr>
            </w:pPr>
          </w:p>
        </w:tc>
        <w:tc>
          <w:tcPr>
            <w:tcW w:w="1944" w:type="dxa"/>
          </w:tcPr>
          <w:p w14:paraId="78F02AF9" w14:textId="77777777" w:rsidR="006C0C31" w:rsidRPr="00370164" w:rsidRDefault="006C0C31" w:rsidP="00370164">
            <w:pPr>
              <w:spacing w:after="0"/>
              <w:contextualSpacing/>
              <w:rPr>
                <w:rFonts w:ascii="Arial" w:hAnsi="Arial" w:cs="Arial"/>
              </w:rPr>
            </w:pPr>
            <w:r w:rsidRPr="00370164">
              <w:rPr>
                <w:rFonts w:ascii="Arial" w:hAnsi="Arial" w:cs="Arial"/>
              </w:rPr>
              <w:t>Closed</w:t>
            </w:r>
          </w:p>
        </w:tc>
      </w:tr>
      <w:tr w:rsidR="006C0C31" w:rsidRPr="00370164" w14:paraId="5EE4E77A" w14:textId="77777777" w:rsidTr="006C0C31">
        <w:tc>
          <w:tcPr>
            <w:tcW w:w="2122" w:type="dxa"/>
          </w:tcPr>
          <w:p w14:paraId="0D6D3451" w14:textId="77777777" w:rsidR="006C0C31" w:rsidRPr="00370164" w:rsidRDefault="006C0C31" w:rsidP="00370164">
            <w:pPr>
              <w:spacing w:after="0"/>
              <w:rPr>
                <w:rFonts w:ascii="Arial" w:hAnsi="Arial" w:cs="Arial"/>
                <w:color w:val="000000"/>
              </w:rPr>
            </w:pPr>
            <w:r w:rsidRPr="00370164">
              <w:rPr>
                <w:rFonts w:ascii="Arial" w:hAnsi="Arial" w:cs="Arial"/>
                <w:color w:val="000000"/>
              </w:rPr>
              <w:t>SGPCC/030322/04</w:t>
            </w:r>
          </w:p>
        </w:tc>
        <w:tc>
          <w:tcPr>
            <w:tcW w:w="3685" w:type="dxa"/>
          </w:tcPr>
          <w:p w14:paraId="317CCCD0" w14:textId="77777777" w:rsidR="006C0C31" w:rsidRPr="00370164" w:rsidRDefault="006C0C31" w:rsidP="00370164">
            <w:pPr>
              <w:spacing w:after="0"/>
              <w:rPr>
                <w:rFonts w:ascii="Arial" w:hAnsi="Arial" w:cs="Arial"/>
                <w:color w:val="000000"/>
              </w:rPr>
            </w:pPr>
            <w:r w:rsidRPr="00370164">
              <w:rPr>
                <w:rFonts w:ascii="Arial" w:hAnsi="Arial" w:cs="Arial"/>
                <w:b/>
                <w:bCs/>
                <w:color w:val="000000"/>
              </w:rPr>
              <w:t xml:space="preserve">8.1 SGPCC Terms of Reference Review                                 </w:t>
            </w:r>
            <w:r w:rsidRPr="00370164">
              <w:rPr>
                <w:rFonts w:ascii="Arial" w:hAnsi="Arial" w:cs="Arial"/>
                <w:color w:val="000000"/>
              </w:rPr>
              <w:t xml:space="preserve">Compare Terms of Reference language regarding Staff Governance to other Boards and to consider inclusion of the Expansion Programme before next Committee meeting.  </w:t>
            </w:r>
          </w:p>
        </w:tc>
        <w:tc>
          <w:tcPr>
            <w:tcW w:w="1985" w:type="dxa"/>
          </w:tcPr>
          <w:p w14:paraId="1BCA02AF" w14:textId="77777777" w:rsidR="006C0C31" w:rsidRPr="00370164" w:rsidRDefault="006C0C31" w:rsidP="00370164">
            <w:pPr>
              <w:spacing w:after="0"/>
              <w:rPr>
                <w:rFonts w:ascii="Arial" w:hAnsi="Arial" w:cs="Arial"/>
                <w:color w:val="000000"/>
              </w:rPr>
            </w:pPr>
            <w:r w:rsidRPr="00370164">
              <w:rPr>
                <w:rFonts w:ascii="Arial" w:hAnsi="Arial" w:cs="Arial"/>
                <w:color w:val="000000"/>
              </w:rPr>
              <w:t xml:space="preserve">Gareth Adkins            Gerard Gardiner            </w:t>
            </w:r>
          </w:p>
          <w:p w14:paraId="2FD5B31D" w14:textId="77777777" w:rsidR="006C0C31" w:rsidRPr="00370164" w:rsidRDefault="006C0C31" w:rsidP="00370164">
            <w:pPr>
              <w:spacing w:after="0"/>
              <w:contextualSpacing/>
              <w:rPr>
                <w:rFonts w:ascii="Arial" w:hAnsi="Arial" w:cs="Arial"/>
              </w:rPr>
            </w:pPr>
          </w:p>
        </w:tc>
        <w:tc>
          <w:tcPr>
            <w:tcW w:w="1944" w:type="dxa"/>
          </w:tcPr>
          <w:p w14:paraId="34453A93" w14:textId="77777777" w:rsidR="006C0C31" w:rsidRPr="00370164" w:rsidRDefault="006517B1" w:rsidP="00370164">
            <w:pPr>
              <w:spacing w:after="0"/>
              <w:contextualSpacing/>
              <w:rPr>
                <w:rFonts w:ascii="Arial" w:hAnsi="Arial" w:cs="Arial"/>
              </w:rPr>
            </w:pPr>
            <w:r>
              <w:rPr>
                <w:rFonts w:ascii="Arial" w:hAnsi="Arial" w:cs="Arial"/>
              </w:rPr>
              <w:t>Closed</w:t>
            </w:r>
          </w:p>
        </w:tc>
      </w:tr>
      <w:tr w:rsidR="006517B1" w:rsidRPr="00370164" w14:paraId="2F969AE3" w14:textId="77777777" w:rsidTr="006C0C31">
        <w:tc>
          <w:tcPr>
            <w:tcW w:w="2122" w:type="dxa"/>
          </w:tcPr>
          <w:p w14:paraId="0E911781" w14:textId="77777777" w:rsidR="006517B1" w:rsidRPr="00370164" w:rsidRDefault="006517B1" w:rsidP="00370164">
            <w:pPr>
              <w:spacing w:after="0"/>
              <w:rPr>
                <w:rFonts w:ascii="Arial" w:hAnsi="Arial" w:cs="Arial"/>
                <w:color w:val="000000"/>
              </w:rPr>
            </w:pPr>
            <w:r>
              <w:rPr>
                <w:rFonts w:ascii="Arial" w:hAnsi="Arial" w:cs="Arial"/>
                <w:color w:val="000000"/>
              </w:rPr>
              <w:t>SGPCC/030322/03</w:t>
            </w:r>
          </w:p>
        </w:tc>
        <w:tc>
          <w:tcPr>
            <w:tcW w:w="3685" w:type="dxa"/>
          </w:tcPr>
          <w:p w14:paraId="6F3F5DB8" w14:textId="77777777" w:rsidR="006517B1" w:rsidRDefault="006517B1" w:rsidP="00370164">
            <w:pPr>
              <w:spacing w:after="0"/>
              <w:rPr>
                <w:rFonts w:ascii="Arial" w:hAnsi="Arial" w:cs="Arial"/>
                <w:b/>
                <w:bCs/>
                <w:color w:val="000000"/>
              </w:rPr>
            </w:pPr>
            <w:r>
              <w:rPr>
                <w:rFonts w:ascii="Arial" w:hAnsi="Arial" w:cs="Arial"/>
                <w:b/>
                <w:bCs/>
                <w:color w:val="000000"/>
              </w:rPr>
              <w:t>7.1 AHP Workforce</w:t>
            </w:r>
          </w:p>
          <w:p w14:paraId="6CFB3BF9" w14:textId="77777777" w:rsidR="006517B1" w:rsidRPr="006517B1" w:rsidRDefault="006517B1" w:rsidP="00370164">
            <w:pPr>
              <w:spacing w:after="0"/>
              <w:rPr>
                <w:rFonts w:ascii="Arial" w:hAnsi="Arial" w:cs="Arial"/>
                <w:bCs/>
                <w:color w:val="000000"/>
              </w:rPr>
            </w:pPr>
            <w:r>
              <w:rPr>
                <w:rFonts w:ascii="Arial" w:hAnsi="Arial" w:cs="Arial"/>
                <w:bCs/>
                <w:color w:val="000000"/>
              </w:rPr>
              <w:t>Present 5 year AHP workforce strategy upon completion to the Committee for discussion</w:t>
            </w:r>
          </w:p>
        </w:tc>
        <w:tc>
          <w:tcPr>
            <w:tcW w:w="1985" w:type="dxa"/>
          </w:tcPr>
          <w:p w14:paraId="7D38C174" w14:textId="77777777" w:rsidR="006517B1" w:rsidRPr="00370164" w:rsidRDefault="006517B1" w:rsidP="00370164">
            <w:pPr>
              <w:spacing w:after="0"/>
              <w:rPr>
                <w:rFonts w:ascii="Arial" w:hAnsi="Arial" w:cs="Arial"/>
                <w:color w:val="000000"/>
              </w:rPr>
            </w:pPr>
            <w:r>
              <w:rPr>
                <w:rFonts w:ascii="Arial" w:hAnsi="Arial" w:cs="Arial"/>
                <w:color w:val="000000"/>
              </w:rPr>
              <w:t>Christina MacLean</w:t>
            </w:r>
          </w:p>
        </w:tc>
        <w:tc>
          <w:tcPr>
            <w:tcW w:w="1944" w:type="dxa"/>
          </w:tcPr>
          <w:p w14:paraId="0562850B" w14:textId="77777777" w:rsidR="006517B1" w:rsidRDefault="006517B1" w:rsidP="00370164">
            <w:pPr>
              <w:spacing w:after="0"/>
              <w:contextualSpacing/>
              <w:rPr>
                <w:rFonts w:ascii="Arial" w:hAnsi="Arial" w:cs="Arial"/>
              </w:rPr>
            </w:pPr>
            <w:r>
              <w:rPr>
                <w:rFonts w:ascii="Arial" w:hAnsi="Arial" w:cs="Arial"/>
              </w:rPr>
              <w:t>Change Action Lead to Anne Marie Cavanagh</w:t>
            </w:r>
          </w:p>
        </w:tc>
      </w:tr>
    </w:tbl>
    <w:p w14:paraId="3FC0D087" w14:textId="77777777" w:rsidR="001D4DA7" w:rsidRPr="00370164" w:rsidRDefault="001D4DA7" w:rsidP="00370164">
      <w:pPr>
        <w:spacing w:after="0"/>
        <w:contextualSpacing/>
        <w:rPr>
          <w:rFonts w:ascii="Arial" w:hAnsi="Arial" w:cs="Arial"/>
        </w:rPr>
      </w:pPr>
    </w:p>
    <w:p w14:paraId="630CB19E" w14:textId="77777777" w:rsidR="00EF22DE" w:rsidRPr="00370164" w:rsidRDefault="00EF22DE" w:rsidP="00370164">
      <w:pPr>
        <w:spacing w:after="0"/>
        <w:contextualSpacing/>
        <w:rPr>
          <w:rFonts w:ascii="Arial" w:hAnsi="Arial" w:cs="Arial"/>
        </w:rPr>
      </w:pPr>
    </w:p>
    <w:p w14:paraId="7906EDC9" w14:textId="77777777" w:rsidR="001D4DA7" w:rsidRPr="00370164" w:rsidRDefault="001D4DA7" w:rsidP="00370164">
      <w:pPr>
        <w:spacing w:after="0"/>
        <w:rPr>
          <w:rFonts w:ascii="Arial" w:hAnsi="Arial" w:cs="Arial"/>
          <w:b/>
        </w:rPr>
      </w:pPr>
      <w:r w:rsidRPr="00370164">
        <w:rPr>
          <w:rFonts w:ascii="Arial" w:hAnsi="Arial" w:cs="Arial"/>
          <w:b/>
        </w:rPr>
        <w:t>4.3</w:t>
      </w:r>
      <w:r w:rsidRPr="00370164">
        <w:rPr>
          <w:rFonts w:ascii="Arial" w:hAnsi="Arial" w:cs="Arial"/>
          <w:b/>
        </w:rPr>
        <w:tab/>
        <w:t>Matters arising</w:t>
      </w:r>
    </w:p>
    <w:p w14:paraId="19DD2DBC" w14:textId="77777777" w:rsidR="001D4DA7" w:rsidRPr="00370164" w:rsidRDefault="001D4DA7" w:rsidP="00370164">
      <w:pPr>
        <w:spacing w:after="0"/>
        <w:rPr>
          <w:rFonts w:ascii="Arial" w:hAnsi="Arial" w:cs="Arial"/>
          <w:b/>
        </w:rPr>
      </w:pPr>
    </w:p>
    <w:p w14:paraId="5530468F" w14:textId="77777777" w:rsidR="00F77271" w:rsidRDefault="006517B1" w:rsidP="00F77271">
      <w:pPr>
        <w:spacing w:after="0"/>
        <w:ind w:left="720"/>
        <w:rPr>
          <w:rFonts w:ascii="Arial" w:hAnsi="Arial" w:cs="Arial"/>
        </w:rPr>
      </w:pPr>
      <w:r>
        <w:rPr>
          <w:rFonts w:ascii="Arial" w:hAnsi="Arial" w:cs="Arial"/>
          <w:b/>
        </w:rPr>
        <w:t>Action SGPCC /21109/03 - iMatter &amp; Staff Engagement</w:t>
      </w:r>
      <w:r w:rsidR="006C0C31" w:rsidRPr="00370164">
        <w:rPr>
          <w:rFonts w:ascii="Arial" w:hAnsi="Arial" w:cs="Arial"/>
          <w:b/>
        </w:rPr>
        <w:t xml:space="preserve"> –</w:t>
      </w:r>
      <w:r w:rsidR="006C0C31" w:rsidRPr="00370164">
        <w:rPr>
          <w:rFonts w:ascii="Arial" w:hAnsi="Arial" w:cs="Arial"/>
        </w:rPr>
        <w:t xml:space="preserve"> findings highlighted within the report will be covered under item 8.5</w:t>
      </w:r>
      <w:r>
        <w:rPr>
          <w:rFonts w:ascii="Arial" w:hAnsi="Arial" w:cs="Arial"/>
        </w:rPr>
        <w:t xml:space="preserve"> on the Agenda, with the</w:t>
      </w:r>
      <w:r w:rsidR="006C0C31" w:rsidRPr="00370164">
        <w:rPr>
          <w:rFonts w:ascii="Arial" w:hAnsi="Arial" w:cs="Arial"/>
        </w:rPr>
        <w:t xml:space="preserve"> circulated to members</w:t>
      </w:r>
      <w:r>
        <w:rPr>
          <w:rFonts w:ascii="Arial" w:hAnsi="Arial" w:cs="Arial"/>
        </w:rPr>
        <w:t xml:space="preserve"> in advance of the Committee</w:t>
      </w:r>
      <w:r w:rsidR="006C0C31" w:rsidRPr="00370164">
        <w:rPr>
          <w:rFonts w:ascii="Arial" w:hAnsi="Arial" w:cs="Arial"/>
        </w:rPr>
        <w:t>.</w:t>
      </w:r>
    </w:p>
    <w:p w14:paraId="380FBDCE" w14:textId="77777777" w:rsidR="001D4DA7" w:rsidRPr="00370164" w:rsidRDefault="001D4DA7" w:rsidP="00F77271">
      <w:pPr>
        <w:spacing w:after="0"/>
        <w:rPr>
          <w:rFonts w:ascii="Arial" w:hAnsi="Arial" w:cs="Arial"/>
          <w:b/>
          <w:color w:val="0070C0"/>
        </w:rPr>
      </w:pPr>
      <w:r w:rsidRPr="00370164">
        <w:rPr>
          <w:rFonts w:ascii="Arial" w:hAnsi="Arial" w:cs="Arial"/>
          <w:b/>
          <w:color w:val="0070C0"/>
        </w:rPr>
        <w:lastRenderedPageBreak/>
        <w:t>5</w:t>
      </w:r>
      <w:r w:rsidRPr="00370164">
        <w:rPr>
          <w:rFonts w:ascii="Arial" w:hAnsi="Arial" w:cs="Arial"/>
          <w:b/>
          <w:color w:val="0070C0"/>
        </w:rPr>
        <w:tab/>
      </w:r>
      <w:r w:rsidR="00D90727" w:rsidRPr="00370164">
        <w:rPr>
          <w:rFonts w:ascii="Arial" w:hAnsi="Arial" w:cs="Arial"/>
          <w:b/>
          <w:color w:val="0070C0"/>
        </w:rPr>
        <w:t>Well Informed</w:t>
      </w:r>
      <w:r w:rsidRPr="00370164">
        <w:rPr>
          <w:rFonts w:ascii="Arial" w:hAnsi="Arial" w:cs="Arial"/>
          <w:b/>
          <w:color w:val="0070C0"/>
        </w:rPr>
        <w:t xml:space="preserve"> </w:t>
      </w:r>
    </w:p>
    <w:p w14:paraId="4EF16A37" w14:textId="77777777" w:rsidR="001D4DA7" w:rsidRPr="00370164" w:rsidRDefault="001D4DA7" w:rsidP="00370164">
      <w:pPr>
        <w:spacing w:after="0"/>
        <w:ind w:left="720" w:hanging="720"/>
        <w:rPr>
          <w:rFonts w:ascii="Arial" w:hAnsi="Arial" w:cs="Arial"/>
          <w:b/>
        </w:rPr>
      </w:pPr>
    </w:p>
    <w:p w14:paraId="1E84ACC7" w14:textId="77777777" w:rsidR="001D4DA7" w:rsidRPr="00370164" w:rsidRDefault="001D4DA7" w:rsidP="00370164">
      <w:pPr>
        <w:spacing w:after="0"/>
        <w:rPr>
          <w:rFonts w:ascii="Arial" w:hAnsi="Arial" w:cs="Arial"/>
          <w:b/>
        </w:rPr>
      </w:pPr>
      <w:r w:rsidRPr="00370164">
        <w:rPr>
          <w:rFonts w:ascii="Arial" w:hAnsi="Arial" w:cs="Arial"/>
          <w:b/>
        </w:rPr>
        <w:t>5.1</w:t>
      </w:r>
      <w:r w:rsidRPr="00370164">
        <w:rPr>
          <w:rFonts w:ascii="Arial" w:hAnsi="Arial" w:cs="Arial"/>
          <w:b/>
        </w:rPr>
        <w:tab/>
      </w:r>
      <w:r w:rsidR="00D90727" w:rsidRPr="00370164">
        <w:rPr>
          <w:rFonts w:ascii="Arial" w:hAnsi="Arial" w:cs="Arial"/>
          <w:b/>
        </w:rPr>
        <w:t xml:space="preserve">Integrated Performance Report </w:t>
      </w:r>
    </w:p>
    <w:p w14:paraId="62E51E3D" w14:textId="77777777" w:rsidR="001D4DA7" w:rsidRPr="00370164" w:rsidRDefault="001D4DA7" w:rsidP="00370164">
      <w:pPr>
        <w:spacing w:after="0"/>
        <w:rPr>
          <w:rFonts w:ascii="Arial" w:hAnsi="Arial" w:cs="Arial"/>
          <w:b/>
        </w:rPr>
      </w:pPr>
    </w:p>
    <w:p w14:paraId="0AC60319" w14:textId="77777777" w:rsidR="006B6AFF" w:rsidRPr="00370164" w:rsidRDefault="00BB6B4B" w:rsidP="00370164">
      <w:pPr>
        <w:spacing w:after="0"/>
        <w:ind w:left="720"/>
        <w:rPr>
          <w:rFonts w:ascii="Arial" w:hAnsi="Arial" w:cs="Arial"/>
        </w:rPr>
      </w:pPr>
      <w:r w:rsidRPr="00370164">
        <w:rPr>
          <w:rFonts w:ascii="Arial" w:hAnsi="Arial" w:cs="Arial"/>
        </w:rPr>
        <w:t xml:space="preserve">Gareth Adkins presented the Integrated Performance Report for March 2022 to the Committee. </w:t>
      </w:r>
    </w:p>
    <w:p w14:paraId="69719000" w14:textId="77777777" w:rsidR="00BB6B4B" w:rsidRPr="00370164" w:rsidRDefault="00BB6B4B" w:rsidP="00370164">
      <w:pPr>
        <w:spacing w:after="0"/>
        <w:ind w:left="720"/>
        <w:rPr>
          <w:rFonts w:ascii="Arial" w:hAnsi="Arial" w:cs="Arial"/>
        </w:rPr>
      </w:pPr>
    </w:p>
    <w:p w14:paraId="44AE3980" w14:textId="77777777" w:rsidR="00E149AA" w:rsidRPr="00370164" w:rsidRDefault="00BB6B4B" w:rsidP="00370164">
      <w:pPr>
        <w:pStyle w:val="Default"/>
        <w:spacing w:line="276" w:lineRule="auto"/>
        <w:ind w:firstLine="720"/>
        <w:rPr>
          <w:sz w:val="22"/>
          <w:szCs w:val="22"/>
        </w:rPr>
      </w:pPr>
      <w:r w:rsidRPr="00370164">
        <w:rPr>
          <w:b/>
          <w:bCs/>
          <w:sz w:val="22"/>
          <w:szCs w:val="22"/>
        </w:rPr>
        <w:t xml:space="preserve">Sickness absence </w:t>
      </w:r>
    </w:p>
    <w:p w14:paraId="6AE0B3BF" w14:textId="77777777" w:rsidR="00BB6B4B" w:rsidRPr="00370164" w:rsidRDefault="00BB6B4B" w:rsidP="00370164">
      <w:pPr>
        <w:spacing w:after="0"/>
        <w:ind w:left="720"/>
        <w:rPr>
          <w:rFonts w:ascii="Arial" w:hAnsi="Arial" w:cs="Arial"/>
        </w:rPr>
      </w:pPr>
      <w:r w:rsidRPr="00370164">
        <w:rPr>
          <w:rFonts w:ascii="Arial" w:hAnsi="Arial" w:cs="Arial"/>
        </w:rPr>
        <w:t>In February 2022 the Board’s sickness absence rate stood at 6.0%, up 0.1% on the previous month.</w:t>
      </w:r>
    </w:p>
    <w:p w14:paraId="495C94D5" w14:textId="77777777" w:rsidR="00BB6B4B" w:rsidRPr="00370164" w:rsidRDefault="00BB6B4B" w:rsidP="00370164">
      <w:pPr>
        <w:spacing w:after="0"/>
        <w:ind w:left="720"/>
        <w:rPr>
          <w:rFonts w:ascii="Arial" w:hAnsi="Arial" w:cs="Arial"/>
        </w:rPr>
      </w:pPr>
    </w:p>
    <w:p w14:paraId="7FC67F53" w14:textId="77777777" w:rsidR="00BB6B4B" w:rsidRPr="00370164" w:rsidRDefault="00BB6B4B" w:rsidP="00370164">
      <w:pPr>
        <w:pStyle w:val="Default"/>
        <w:spacing w:line="276" w:lineRule="auto"/>
        <w:ind w:firstLine="720"/>
        <w:rPr>
          <w:sz w:val="22"/>
          <w:szCs w:val="22"/>
        </w:rPr>
      </w:pPr>
      <w:r w:rsidRPr="00370164">
        <w:rPr>
          <w:sz w:val="22"/>
          <w:szCs w:val="22"/>
        </w:rPr>
        <w:t xml:space="preserve">Across the Directorates absence was as follows: </w:t>
      </w:r>
    </w:p>
    <w:p w14:paraId="7D0F8C15" w14:textId="77777777" w:rsidR="00BB6B4B" w:rsidRPr="00370164" w:rsidRDefault="00BB6B4B" w:rsidP="00370164">
      <w:pPr>
        <w:pStyle w:val="Default"/>
        <w:numPr>
          <w:ilvl w:val="0"/>
          <w:numId w:val="24"/>
        </w:numPr>
        <w:spacing w:after="27" w:line="276" w:lineRule="auto"/>
        <w:rPr>
          <w:sz w:val="22"/>
          <w:szCs w:val="22"/>
        </w:rPr>
      </w:pPr>
      <w:r w:rsidRPr="00370164">
        <w:rPr>
          <w:sz w:val="22"/>
          <w:szCs w:val="22"/>
        </w:rPr>
        <w:t xml:space="preserve">Corporate: 4.3%, the same as the previous month; </w:t>
      </w:r>
    </w:p>
    <w:p w14:paraId="587E086C" w14:textId="77777777" w:rsidR="00BB6B4B" w:rsidRPr="00370164" w:rsidRDefault="00BB6B4B" w:rsidP="00370164">
      <w:pPr>
        <w:pStyle w:val="Default"/>
        <w:numPr>
          <w:ilvl w:val="0"/>
          <w:numId w:val="24"/>
        </w:numPr>
        <w:spacing w:after="27" w:line="276" w:lineRule="auto"/>
        <w:rPr>
          <w:sz w:val="22"/>
          <w:szCs w:val="22"/>
        </w:rPr>
      </w:pPr>
      <w:r w:rsidRPr="00370164">
        <w:rPr>
          <w:sz w:val="22"/>
          <w:szCs w:val="22"/>
        </w:rPr>
        <w:t xml:space="preserve">Golden Jubilee Conference Hotel: 1.0%, down 1.0% on January; </w:t>
      </w:r>
    </w:p>
    <w:p w14:paraId="76160EBE" w14:textId="77777777" w:rsidR="00BB6B4B" w:rsidRPr="00370164" w:rsidRDefault="00BB6B4B" w:rsidP="00370164">
      <w:pPr>
        <w:pStyle w:val="Default"/>
        <w:numPr>
          <w:ilvl w:val="0"/>
          <w:numId w:val="24"/>
        </w:numPr>
        <w:spacing w:after="27" w:line="276" w:lineRule="auto"/>
        <w:rPr>
          <w:sz w:val="22"/>
          <w:szCs w:val="22"/>
        </w:rPr>
      </w:pPr>
      <w:r w:rsidRPr="00370164">
        <w:rPr>
          <w:sz w:val="22"/>
          <w:szCs w:val="22"/>
        </w:rPr>
        <w:t xml:space="preserve">Heart, Lung and Diagnostic Services: 7.7%, up from 6.5% the previous month; and </w:t>
      </w:r>
    </w:p>
    <w:p w14:paraId="4740845C" w14:textId="77777777" w:rsidR="00BB6B4B" w:rsidRPr="00370164" w:rsidRDefault="00BB6B4B" w:rsidP="00370164">
      <w:pPr>
        <w:pStyle w:val="Default"/>
        <w:numPr>
          <w:ilvl w:val="0"/>
          <w:numId w:val="24"/>
        </w:numPr>
        <w:spacing w:line="276" w:lineRule="auto"/>
        <w:rPr>
          <w:sz w:val="22"/>
          <w:szCs w:val="22"/>
        </w:rPr>
      </w:pPr>
      <w:r w:rsidRPr="00370164">
        <w:rPr>
          <w:sz w:val="22"/>
          <w:szCs w:val="22"/>
        </w:rPr>
        <w:t xml:space="preserve">National Elective Services: 6.2%, which was 1.0% lower than January. </w:t>
      </w:r>
    </w:p>
    <w:p w14:paraId="1122A8A6" w14:textId="77777777" w:rsidR="00BB6B4B" w:rsidRPr="00370164" w:rsidRDefault="00BB6B4B" w:rsidP="00370164">
      <w:pPr>
        <w:pStyle w:val="Default"/>
        <w:spacing w:line="276" w:lineRule="auto"/>
        <w:rPr>
          <w:sz w:val="22"/>
          <w:szCs w:val="22"/>
        </w:rPr>
      </w:pPr>
    </w:p>
    <w:p w14:paraId="79AC9901" w14:textId="77777777" w:rsidR="00BB6B4B" w:rsidRPr="00370164" w:rsidRDefault="00BB6B4B" w:rsidP="00370164">
      <w:pPr>
        <w:pStyle w:val="Default"/>
        <w:spacing w:line="276" w:lineRule="auto"/>
        <w:ind w:left="720"/>
        <w:rPr>
          <w:sz w:val="22"/>
          <w:szCs w:val="22"/>
        </w:rPr>
      </w:pPr>
      <w:r w:rsidRPr="00370164">
        <w:rPr>
          <w:sz w:val="22"/>
          <w:szCs w:val="22"/>
        </w:rPr>
        <w:t>“Anxiety/stress/ depression/other psychiatric illnesses” continued to be the highest cause of sickness absence, accounting for 25.3% of all sickness absence</w:t>
      </w:r>
      <w:r w:rsidR="00F77271" w:rsidRPr="00F77271">
        <w:rPr>
          <w:sz w:val="22"/>
          <w:szCs w:val="22"/>
        </w:rPr>
        <w:t xml:space="preserve"> </w:t>
      </w:r>
      <w:r w:rsidR="00F77271" w:rsidRPr="00370164">
        <w:rPr>
          <w:sz w:val="22"/>
          <w:szCs w:val="22"/>
        </w:rPr>
        <w:t>in February</w:t>
      </w:r>
      <w:r w:rsidRPr="00370164">
        <w:rPr>
          <w:sz w:val="22"/>
          <w:szCs w:val="22"/>
        </w:rPr>
        <w:t xml:space="preserve">, 0.5% lower than January’s figure of 25.8%. It was the main cause of absence in three of the four Directorates: </w:t>
      </w:r>
    </w:p>
    <w:p w14:paraId="6D76BE1C" w14:textId="77777777" w:rsidR="00BB6B4B" w:rsidRPr="00370164" w:rsidRDefault="00BB6B4B" w:rsidP="00370164">
      <w:pPr>
        <w:pStyle w:val="Default"/>
        <w:numPr>
          <w:ilvl w:val="0"/>
          <w:numId w:val="25"/>
        </w:numPr>
        <w:spacing w:after="30" w:line="276" w:lineRule="auto"/>
        <w:rPr>
          <w:sz w:val="22"/>
          <w:szCs w:val="22"/>
        </w:rPr>
      </w:pPr>
      <w:r w:rsidRPr="00370164">
        <w:rPr>
          <w:sz w:val="22"/>
          <w:szCs w:val="22"/>
        </w:rPr>
        <w:t xml:space="preserve">Corporate: 31.4% (down from 31.7% in January); </w:t>
      </w:r>
    </w:p>
    <w:p w14:paraId="7F683706" w14:textId="77777777" w:rsidR="00BB6B4B" w:rsidRPr="00370164" w:rsidRDefault="00BB6B4B" w:rsidP="00370164">
      <w:pPr>
        <w:pStyle w:val="Default"/>
        <w:numPr>
          <w:ilvl w:val="0"/>
          <w:numId w:val="25"/>
        </w:numPr>
        <w:spacing w:after="30" w:line="276" w:lineRule="auto"/>
        <w:rPr>
          <w:sz w:val="22"/>
          <w:szCs w:val="22"/>
        </w:rPr>
      </w:pPr>
      <w:r w:rsidRPr="00370164">
        <w:rPr>
          <w:sz w:val="22"/>
          <w:szCs w:val="22"/>
        </w:rPr>
        <w:t xml:space="preserve">Heart, Lung and Diagnostic Services: 28.4% (down from 33.1%); and </w:t>
      </w:r>
    </w:p>
    <w:p w14:paraId="5C13CEF3" w14:textId="77777777" w:rsidR="00BB6B4B" w:rsidRPr="00370164" w:rsidRDefault="00BB6B4B" w:rsidP="00370164">
      <w:pPr>
        <w:pStyle w:val="Default"/>
        <w:numPr>
          <w:ilvl w:val="0"/>
          <w:numId w:val="25"/>
        </w:numPr>
        <w:spacing w:line="276" w:lineRule="auto"/>
        <w:rPr>
          <w:sz w:val="22"/>
          <w:szCs w:val="22"/>
        </w:rPr>
      </w:pPr>
      <w:r w:rsidRPr="00370164">
        <w:rPr>
          <w:sz w:val="22"/>
          <w:szCs w:val="22"/>
        </w:rPr>
        <w:t xml:space="preserve">National Elective Services: 17.5% (up from 15.1%). </w:t>
      </w:r>
    </w:p>
    <w:p w14:paraId="7EF71E29" w14:textId="77777777" w:rsidR="00BB6B4B" w:rsidRPr="00370164" w:rsidRDefault="00BB6B4B" w:rsidP="00370164">
      <w:pPr>
        <w:pStyle w:val="Default"/>
        <w:spacing w:line="276" w:lineRule="auto"/>
        <w:rPr>
          <w:sz w:val="22"/>
          <w:szCs w:val="22"/>
        </w:rPr>
      </w:pPr>
    </w:p>
    <w:p w14:paraId="694CFB96" w14:textId="77777777" w:rsidR="00BB6B4B" w:rsidRPr="00370164" w:rsidRDefault="00BB6B4B" w:rsidP="00370164">
      <w:pPr>
        <w:pStyle w:val="Default"/>
        <w:spacing w:line="276" w:lineRule="auto"/>
        <w:ind w:left="720"/>
        <w:rPr>
          <w:sz w:val="22"/>
          <w:szCs w:val="22"/>
        </w:rPr>
      </w:pPr>
      <w:r w:rsidRPr="00370164">
        <w:rPr>
          <w:sz w:val="22"/>
          <w:szCs w:val="22"/>
        </w:rPr>
        <w:t>In the Hotel, “Unknown causes/not specified” was the main cause of sickness absence, accounting for 40.3% of hours lost. The second top cause of sickness absence in February was “Other musculoskeletal problems”, accounting for 15.0% of sickness absence hours. “Cold, cough, flu – influenza” was third, at 9.1%.</w:t>
      </w:r>
    </w:p>
    <w:p w14:paraId="495C8A86" w14:textId="77777777" w:rsidR="00E149AA" w:rsidRPr="00370164" w:rsidRDefault="00E149AA" w:rsidP="00370164">
      <w:pPr>
        <w:spacing w:after="0"/>
        <w:ind w:left="720"/>
        <w:rPr>
          <w:rFonts w:ascii="Arial" w:hAnsi="Arial" w:cs="Arial"/>
        </w:rPr>
      </w:pPr>
    </w:p>
    <w:p w14:paraId="7E3B1922" w14:textId="77777777" w:rsidR="00E149AA" w:rsidRPr="00370164" w:rsidRDefault="00E149AA" w:rsidP="00370164">
      <w:pPr>
        <w:pStyle w:val="Default"/>
        <w:spacing w:line="276" w:lineRule="auto"/>
        <w:ind w:left="720"/>
        <w:rPr>
          <w:sz w:val="22"/>
          <w:szCs w:val="22"/>
        </w:rPr>
      </w:pPr>
      <w:r w:rsidRPr="00370164">
        <w:rPr>
          <w:sz w:val="22"/>
          <w:szCs w:val="22"/>
        </w:rPr>
        <w:t xml:space="preserve">In February, COVID-19 special leave accounted for 2.5% of all contracted hours, down from 3.1% the previous month. The Directorate breakdown was: </w:t>
      </w:r>
    </w:p>
    <w:p w14:paraId="3C40211E" w14:textId="77777777" w:rsidR="00E149AA" w:rsidRPr="00370164" w:rsidRDefault="00E149AA" w:rsidP="00370164">
      <w:pPr>
        <w:pStyle w:val="Default"/>
        <w:numPr>
          <w:ilvl w:val="0"/>
          <w:numId w:val="26"/>
        </w:numPr>
        <w:spacing w:after="27" w:line="276" w:lineRule="auto"/>
        <w:rPr>
          <w:sz w:val="22"/>
          <w:szCs w:val="22"/>
        </w:rPr>
      </w:pPr>
      <w:r w:rsidRPr="00370164">
        <w:rPr>
          <w:sz w:val="22"/>
          <w:szCs w:val="22"/>
        </w:rPr>
        <w:t xml:space="preserve">Corporate: 1.2%; </w:t>
      </w:r>
    </w:p>
    <w:p w14:paraId="034347CE" w14:textId="77777777" w:rsidR="00E149AA" w:rsidRPr="00370164" w:rsidRDefault="00E149AA" w:rsidP="00370164">
      <w:pPr>
        <w:pStyle w:val="Default"/>
        <w:numPr>
          <w:ilvl w:val="0"/>
          <w:numId w:val="26"/>
        </w:numPr>
        <w:spacing w:after="27" w:line="276" w:lineRule="auto"/>
        <w:rPr>
          <w:sz w:val="22"/>
          <w:szCs w:val="22"/>
        </w:rPr>
      </w:pPr>
      <w:r w:rsidRPr="00370164">
        <w:rPr>
          <w:sz w:val="22"/>
          <w:szCs w:val="22"/>
        </w:rPr>
        <w:t xml:space="preserve">Golden Jubilee Conference Hotel: 0.8% (decrease from 4.7%); </w:t>
      </w:r>
    </w:p>
    <w:p w14:paraId="47265D63" w14:textId="77777777" w:rsidR="00E149AA" w:rsidRPr="00370164" w:rsidRDefault="00E149AA" w:rsidP="00370164">
      <w:pPr>
        <w:pStyle w:val="Default"/>
        <w:numPr>
          <w:ilvl w:val="0"/>
          <w:numId w:val="26"/>
        </w:numPr>
        <w:spacing w:after="27" w:line="276" w:lineRule="auto"/>
        <w:rPr>
          <w:sz w:val="22"/>
          <w:szCs w:val="22"/>
        </w:rPr>
      </w:pPr>
      <w:r w:rsidRPr="00370164">
        <w:rPr>
          <w:sz w:val="22"/>
          <w:szCs w:val="22"/>
        </w:rPr>
        <w:t xml:space="preserve">Heart, Lung and Diagnostic Services: 3.2%; and </w:t>
      </w:r>
    </w:p>
    <w:p w14:paraId="25D9779C" w14:textId="77777777" w:rsidR="00E149AA" w:rsidRPr="00370164" w:rsidRDefault="00E149AA" w:rsidP="00370164">
      <w:pPr>
        <w:pStyle w:val="Default"/>
        <w:numPr>
          <w:ilvl w:val="0"/>
          <w:numId w:val="26"/>
        </w:numPr>
        <w:spacing w:line="276" w:lineRule="auto"/>
        <w:rPr>
          <w:sz w:val="22"/>
          <w:szCs w:val="22"/>
        </w:rPr>
      </w:pPr>
      <w:r w:rsidRPr="00370164">
        <w:rPr>
          <w:sz w:val="22"/>
          <w:szCs w:val="22"/>
        </w:rPr>
        <w:t xml:space="preserve">National Elective Services: 3.0%. </w:t>
      </w:r>
    </w:p>
    <w:p w14:paraId="22CE6195" w14:textId="77777777" w:rsidR="00E149AA" w:rsidRPr="00370164" w:rsidRDefault="00E149AA" w:rsidP="00370164">
      <w:pPr>
        <w:pStyle w:val="Default"/>
        <w:spacing w:line="276" w:lineRule="auto"/>
        <w:rPr>
          <w:sz w:val="22"/>
          <w:szCs w:val="22"/>
        </w:rPr>
      </w:pPr>
    </w:p>
    <w:p w14:paraId="628256A9" w14:textId="77777777" w:rsidR="00E149AA" w:rsidRDefault="00E149AA" w:rsidP="00370164">
      <w:pPr>
        <w:pStyle w:val="Default"/>
        <w:spacing w:line="276" w:lineRule="auto"/>
        <w:ind w:firstLine="720"/>
        <w:rPr>
          <w:b/>
          <w:bCs/>
          <w:sz w:val="22"/>
          <w:szCs w:val="22"/>
        </w:rPr>
      </w:pPr>
      <w:r w:rsidRPr="00370164">
        <w:rPr>
          <w:b/>
          <w:bCs/>
          <w:sz w:val="22"/>
          <w:szCs w:val="22"/>
        </w:rPr>
        <w:t xml:space="preserve">Agenda for Change appraisal </w:t>
      </w:r>
    </w:p>
    <w:p w14:paraId="3D4380D0" w14:textId="77777777" w:rsidR="00F77271" w:rsidRPr="00370164" w:rsidRDefault="00F77271" w:rsidP="00370164">
      <w:pPr>
        <w:pStyle w:val="Default"/>
        <w:spacing w:line="276" w:lineRule="auto"/>
        <w:ind w:firstLine="720"/>
        <w:rPr>
          <w:sz w:val="22"/>
          <w:szCs w:val="22"/>
        </w:rPr>
      </w:pPr>
    </w:p>
    <w:p w14:paraId="61B18939" w14:textId="77777777" w:rsidR="00E149AA" w:rsidRDefault="00E149AA" w:rsidP="00370164">
      <w:pPr>
        <w:pStyle w:val="Default"/>
        <w:spacing w:line="276" w:lineRule="auto"/>
        <w:ind w:left="720"/>
        <w:rPr>
          <w:sz w:val="22"/>
          <w:szCs w:val="22"/>
        </w:rPr>
      </w:pPr>
      <w:r w:rsidRPr="00370164">
        <w:rPr>
          <w:sz w:val="22"/>
          <w:szCs w:val="22"/>
        </w:rPr>
        <w:t xml:space="preserve">Within the year to 28 February 2022, 63% of staff who come under the Agenda for Change terms and conditions completed their appraisal using TURAS, which is 3% less than the previous month. The Directorate breakdown is as follows: </w:t>
      </w:r>
    </w:p>
    <w:p w14:paraId="72EA2B7E" w14:textId="77777777" w:rsidR="00F77271" w:rsidRPr="00370164" w:rsidRDefault="00F77271" w:rsidP="00370164">
      <w:pPr>
        <w:pStyle w:val="Default"/>
        <w:spacing w:line="276" w:lineRule="auto"/>
        <w:ind w:left="720"/>
        <w:rPr>
          <w:sz w:val="22"/>
          <w:szCs w:val="22"/>
        </w:rPr>
      </w:pPr>
    </w:p>
    <w:p w14:paraId="1C936E2C" w14:textId="77777777" w:rsidR="00E149AA" w:rsidRPr="00370164" w:rsidRDefault="00E149AA" w:rsidP="00370164">
      <w:pPr>
        <w:pStyle w:val="Default"/>
        <w:numPr>
          <w:ilvl w:val="0"/>
          <w:numId w:val="27"/>
        </w:numPr>
        <w:spacing w:after="30" w:line="276" w:lineRule="auto"/>
        <w:rPr>
          <w:sz w:val="22"/>
          <w:szCs w:val="22"/>
        </w:rPr>
      </w:pPr>
      <w:r w:rsidRPr="00370164">
        <w:rPr>
          <w:sz w:val="22"/>
          <w:szCs w:val="22"/>
        </w:rPr>
        <w:t xml:space="preserve">Corporate: 54%, down 5% on January; </w:t>
      </w:r>
    </w:p>
    <w:p w14:paraId="5EF648F4" w14:textId="77777777" w:rsidR="00E149AA" w:rsidRPr="00370164" w:rsidRDefault="00E149AA" w:rsidP="00370164">
      <w:pPr>
        <w:pStyle w:val="Default"/>
        <w:numPr>
          <w:ilvl w:val="0"/>
          <w:numId w:val="27"/>
        </w:numPr>
        <w:spacing w:after="30" w:line="276" w:lineRule="auto"/>
        <w:rPr>
          <w:sz w:val="22"/>
          <w:szCs w:val="22"/>
        </w:rPr>
      </w:pPr>
      <w:r w:rsidRPr="00370164">
        <w:rPr>
          <w:sz w:val="22"/>
          <w:szCs w:val="22"/>
        </w:rPr>
        <w:t xml:space="preserve">Golden Jubilee Conference Hotel: 46%, down from 54% the previous month; </w:t>
      </w:r>
    </w:p>
    <w:p w14:paraId="2959909C" w14:textId="77777777" w:rsidR="00E149AA" w:rsidRPr="00370164" w:rsidRDefault="00E149AA" w:rsidP="00370164">
      <w:pPr>
        <w:pStyle w:val="Default"/>
        <w:numPr>
          <w:ilvl w:val="0"/>
          <w:numId w:val="27"/>
        </w:numPr>
        <w:spacing w:after="30" w:line="276" w:lineRule="auto"/>
        <w:rPr>
          <w:sz w:val="22"/>
          <w:szCs w:val="22"/>
        </w:rPr>
      </w:pPr>
      <w:r w:rsidRPr="00370164">
        <w:rPr>
          <w:sz w:val="22"/>
          <w:szCs w:val="22"/>
        </w:rPr>
        <w:t xml:space="preserve">Heart, Lung and Diagnostic Services: 72%, the same as January; and </w:t>
      </w:r>
    </w:p>
    <w:p w14:paraId="6C0D6D96" w14:textId="77777777" w:rsidR="00E149AA" w:rsidRPr="00370164" w:rsidRDefault="00E149AA" w:rsidP="00370164">
      <w:pPr>
        <w:pStyle w:val="Default"/>
        <w:numPr>
          <w:ilvl w:val="0"/>
          <w:numId w:val="27"/>
        </w:numPr>
        <w:spacing w:line="276" w:lineRule="auto"/>
        <w:rPr>
          <w:sz w:val="22"/>
          <w:szCs w:val="22"/>
        </w:rPr>
      </w:pPr>
      <w:r w:rsidRPr="00370164">
        <w:rPr>
          <w:sz w:val="22"/>
          <w:szCs w:val="22"/>
        </w:rPr>
        <w:lastRenderedPageBreak/>
        <w:t xml:space="preserve">National Elective Services: 65%, down 1% on the previous month. </w:t>
      </w:r>
    </w:p>
    <w:p w14:paraId="5A32072E" w14:textId="77777777" w:rsidR="00E149AA" w:rsidRPr="00370164" w:rsidRDefault="00E149AA" w:rsidP="00370164">
      <w:pPr>
        <w:pStyle w:val="Default"/>
        <w:spacing w:line="276" w:lineRule="auto"/>
        <w:rPr>
          <w:sz w:val="22"/>
          <w:szCs w:val="22"/>
        </w:rPr>
      </w:pPr>
    </w:p>
    <w:p w14:paraId="4C4A5AEF" w14:textId="77777777" w:rsidR="00E149AA" w:rsidRDefault="00E149AA" w:rsidP="00370164">
      <w:pPr>
        <w:pStyle w:val="Default"/>
        <w:spacing w:line="276" w:lineRule="auto"/>
        <w:ind w:firstLine="720"/>
        <w:rPr>
          <w:b/>
          <w:bCs/>
          <w:sz w:val="22"/>
          <w:szCs w:val="22"/>
        </w:rPr>
      </w:pPr>
      <w:r w:rsidRPr="00370164">
        <w:rPr>
          <w:b/>
          <w:bCs/>
          <w:sz w:val="22"/>
          <w:szCs w:val="22"/>
        </w:rPr>
        <w:t xml:space="preserve">Medical appraisal </w:t>
      </w:r>
    </w:p>
    <w:p w14:paraId="5B8F59E4" w14:textId="77777777" w:rsidR="00F77271" w:rsidRPr="00370164" w:rsidRDefault="00F77271" w:rsidP="00370164">
      <w:pPr>
        <w:pStyle w:val="Default"/>
        <w:spacing w:line="276" w:lineRule="auto"/>
        <w:ind w:firstLine="720"/>
        <w:rPr>
          <w:sz w:val="22"/>
          <w:szCs w:val="22"/>
        </w:rPr>
      </w:pPr>
    </w:p>
    <w:p w14:paraId="25785C37" w14:textId="77777777" w:rsidR="00E149AA" w:rsidRPr="00370164" w:rsidRDefault="00E149AA" w:rsidP="00370164">
      <w:pPr>
        <w:pStyle w:val="Default"/>
        <w:spacing w:line="276" w:lineRule="auto"/>
        <w:ind w:left="720"/>
        <w:rPr>
          <w:sz w:val="22"/>
          <w:szCs w:val="22"/>
        </w:rPr>
      </w:pPr>
      <w:r w:rsidRPr="00370164">
        <w:rPr>
          <w:sz w:val="22"/>
          <w:szCs w:val="22"/>
        </w:rPr>
        <w:t xml:space="preserve">The appraisal year for medical staff runs from 1 April to 31 March. As at 28 February, 49 (31.6%) out of 155 doctors for whom NHS GJ is the responsible body for appraisal and revalidation, have had an appraisal or ARCP in 2021/2022, up 15 on the previous month. </w:t>
      </w:r>
    </w:p>
    <w:p w14:paraId="15768266" w14:textId="77777777" w:rsidR="00E149AA" w:rsidRPr="00370164" w:rsidRDefault="00E149AA" w:rsidP="00370164">
      <w:pPr>
        <w:pStyle w:val="Default"/>
        <w:spacing w:line="276" w:lineRule="auto"/>
        <w:ind w:firstLine="720"/>
        <w:rPr>
          <w:b/>
          <w:bCs/>
          <w:sz w:val="22"/>
          <w:szCs w:val="22"/>
        </w:rPr>
      </w:pPr>
    </w:p>
    <w:p w14:paraId="7E75436A" w14:textId="77777777" w:rsidR="00E149AA" w:rsidRDefault="00E149AA" w:rsidP="00370164">
      <w:pPr>
        <w:pStyle w:val="Default"/>
        <w:spacing w:line="276" w:lineRule="auto"/>
        <w:ind w:firstLine="720"/>
        <w:rPr>
          <w:b/>
          <w:bCs/>
          <w:sz w:val="22"/>
          <w:szCs w:val="22"/>
        </w:rPr>
      </w:pPr>
      <w:r w:rsidRPr="00370164">
        <w:rPr>
          <w:b/>
          <w:bCs/>
          <w:sz w:val="22"/>
          <w:szCs w:val="22"/>
        </w:rPr>
        <w:t xml:space="preserve">Medical job planning </w:t>
      </w:r>
    </w:p>
    <w:p w14:paraId="73A83AD5" w14:textId="77777777" w:rsidR="00F77271" w:rsidRPr="00370164" w:rsidRDefault="00F77271" w:rsidP="00370164">
      <w:pPr>
        <w:pStyle w:val="Default"/>
        <w:spacing w:line="276" w:lineRule="auto"/>
        <w:ind w:firstLine="720"/>
        <w:rPr>
          <w:sz w:val="22"/>
          <w:szCs w:val="22"/>
        </w:rPr>
      </w:pPr>
    </w:p>
    <w:p w14:paraId="17E5EB00" w14:textId="77777777" w:rsidR="00E149AA" w:rsidRDefault="00E149AA" w:rsidP="00370164">
      <w:pPr>
        <w:spacing w:after="0"/>
        <w:ind w:left="720"/>
        <w:rPr>
          <w:rFonts w:ascii="Arial" w:hAnsi="Arial" w:cs="Arial"/>
        </w:rPr>
      </w:pPr>
      <w:r w:rsidRPr="00370164">
        <w:rPr>
          <w:rFonts w:ascii="Arial" w:hAnsi="Arial" w:cs="Arial"/>
        </w:rPr>
        <w:t>New job plans were started for the year 1 April 2022. Currently 32 (26.4%) of 121 job plans have been signed off, four are awaiting third sign off, seven are at second management sign off stage, five need first manager sign off, 36 await to be signed off by the Consultant and 37 are in discussion.</w:t>
      </w:r>
    </w:p>
    <w:p w14:paraId="6A752EF2" w14:textId="77777777" w:rsidR="00F77271" w:rsidRDefault="00F77271" w:rsidP="00370164">
      <w:pPr>
        <w:spacing w:after="0"/>
        <w:ind w:left="720"/>
        <w:rPr>
          <w:rFonts w:ascii="Arial" w:hAnsi="Arial" w:cs="Arial"/>
        </w:rPr>
      </w:pPr>
    </w:p>
    <w:p w14:paraId="2C96F2DA" w14:textId="6FCE7DB5" w:rsidR="00F77271" w:rsidRPr="00370164" w:rsidRDefault="00F77271" w:rsidP="00370164">
      <w:pPr>
        <w:spacing w:after="0"/>
        <w:ind w:left="720"/>
        <w:rPr>
          <w:rFonts w:ascii="Arial" w:hAnsi="Arial" w:cs="Arial"/>
        </w:rPr>
      </w:pPr>
      <w:r>
        <w:rPr>
          <w:rFonts w:ascii="Arial" w:hAnsi="Arial" w:cs="Arial"/>
        </w:rPr>
        <w:t xml:space="preserve">Jane Christie-Flight sought assurance from the Medical Director that the requirement for medical staff to complete job-plans and appraisals prior to enjoying eligibility under the discretionary </w:t>
      </w:r>
      <w:proofErr w:type="gramStart"/>
      <w:r>
        <w:rPr>
          <w:rFonts w:ascii="Arial" w:hAnsi="Arial" w:cs="Arial"/>
        </w:rPr>
        <w:t>points</w:t>
      </w:r>
      <w:proofErr w:type="gramEnd"/>
      <w:r>
        <w:rPr>
          <w:rFonts w:ascii="Arial" w:hAnsi="Arial" w:cs="Arial"/>
        </w:rPr>
        <w:t xml:space="preserve"> scheme had been communicated and implemented. Mark MacGregor confirmed that th</w:t>
      </w:r>
      <w:r w:rsidR="00392A64">
        <w:rPr>
          <w:rFonts w:ascii="Arial" w:hAnsi="Arial" w:cs="Arial"/>
        </w:rPr>
        <w:t>ese criteria to</w:t>
      </w:r>
      <w:r>
        <w:rPr>
          <w:rFonts w:ascii="Arial" w:hAnsi="Arial" w:cs="Arial"/>
        </w:rPr>
        <w:t xml:space="preserve"> participation in the discretionary </w:t>
      </w:r>
      <w:proofErr w:type="gramStart"/>
      <w:r>
        <w:rPr>
          <w:rFonts w:ascii="Arial" w:hAnsi="Arial" w:cs="Arial"/>
        </w:rPr>
        <w:t>points</w:t>
      </w:r>
      <w:proofErr w:type="gramEnd"/>
      <w:r>
        <w:rPr>
          <w:rFonts w:ascii="Arial" w:hAnsi="Arial" w:cs="Arial"/>
        </w:rPr>
        <w:t xml:space="preserve"> scheme had been communicated to medical staff, and has been used as part of that process</w:t>
      </w:r>
      <w:r w:rsidR="009715FB">
        <w:rPr>
          <w:rFonts w:ascii="Arial" w:hAnsi="Arial" w:cs="Arial"/>
        </w:rPr>
        <w:t xml:space="preserve"> where applicable to individual cases</w:t>
      </w:r>
      <w:r>
        <w:rPr>
          <w:rFonts w:ascii="Arial" w:hAnsi="Arial" w:cs="Arial"/>
        </w:rPr>
        <w:t>.</w:t>
      </w:r>
    </w:p>
    <w:p w14:paraId="35EF4F1E" w14:textId="77777777" w:rsidR="00E149AA" w:rsidRPr="00370164" w:rsidRDefault="00E149AA" w:rsidP="00370164">
      <w:pPr>
        <w:spacing w:after="0"/>
        <w:ind w:left="720"/>
        <w:rPr>
          <w:rFonts w:ascii="Arial" w:hAnsi="Arial" w:cs="Arial"/>
        </w:rPr>
      </w:pPr>
    </w:p>
    <w:p w14:paraId="38BAF509" w14:textId="71F6697F" w:rsidR="00E149AA" w:rsidRPr="00370164" w:rsidRDefault="00F77271" w:rsidP="00370164">
      <w:pPr>
        <w:spacing w:after="0"/>
        <w:ind w:left="720"/>
        <w:rPr>
          <w:rFonts w:ascii="Arial" w:hAnsi="Arial" w:cs="Arial"/>
        </w:rPr>
      </w:pPr>
      <w:r>
        <w:rPr>
          <w:rFonts w:ascii="Arial" w:hAnsi="Arial" w:cs="Arial"/>
        </w:rPr>
        <w:t xml:space="preserve">The </w:t>
      </w:r>
      <w:r w:rsidR="00E149AA" w:rsidRPr="00370164">
        <w:rPr>
          <w:rFonts w:ascii="Arial" w:hAnsi="Arial" w:cs="Arial"/>
        </w:rPr>
        <w:t>Committee</w:t>
      </w:r>
      <w:r>
        <w:rPr>
          <w:rFonts w:ascii="Arial" w:hAnsi="Arial" w:cs="Arial"/>
        </w:rPr>
        <w:t xml:space="preserve"> noted the importance of</w:t>
      </w:r>
      <w:r w:rsidR="00E149AA" w:rsidRPr="00370164">
        <w:rPr>
          <w:rFonts w:ascii="Arial" w:hAnsi="Arial" w:cs="Arial"/>
        </w:rPr>
        <w:t xml:space="preserve"> monitor</w:t>
      </w:r>
      <w:r>
        <w:rPr>
          <w:rFonts w:ascii="Arial" w:hAnsi="Arial" w:cs="Arial"/>
        </w:rPr>
        <w:t>ing</w:t>
      </w:r>
      <w:r w:rsidR="00E149AA" w:rsidRPr="00370164">
        <w:rPr>
          <w:rFonts w:ascii="Arial" w:hAnsi="Arial" w:cs="Arial"/>
        </w:rPr>
        <w:t xml:space="preserve"> Staff Governance statistics </w:t>
      </w:r>
      <w:r>
        <w:rPr>
          <w:rFonts w:ascii="Arial" w:hAnsi="Arial" w:cs="Arial"/>
        </w:rPr>
        <w:t>to identify early indicators that the prevailing cost of living challenges faced by many households might impact on staff attendance. The Committee noted advice from Gareth Adkins that financial stress can often lead to mental health issues and in turn absence from work. G</w:t>
      </w:r>
      <w:r w:rsidR="00392A64">
        <w:rPr>
          <w:rFonts w:ascii="Arial" w:hAnsi="Arial" w:cs="Arial"/>
        </w:rPr>
        <w:t>areth</w:t>
      </w:r>
      <w:r>
        <w:rPr>
          <w:rFonts w:ascii="Arial" w:hAnsi="Arial" w:cs="Arial"/>
        </w:rPr>
        <w:t xml:space="preserve"> Adkins informed the Committee of</w:t>
      </w:r>
      <w:r w:rsidR="00E149AA" w:rsidRPr="00370164">
        <w:rPr>
          <w:rFonts w:ascii="Arial" w:hAnsi="Arial" w:cs="Arial"/>
        </w:rPr>
        <w:t xml:space="preserve"> </w:t>
      </w:r>
      <w:r w:rsidR="00D723D8">
        <w:rPr>
          <w:rFonts w:ascii="Arial" w:hAnsi="Arial" w:cs="Arial"/>
        </w:rPr>
        <w:t xml:space="preserve">emerging </w:t>
      </w:r>
      <w:r w:rsidR="00E149AA" w:rsidRPr="00370164">
        <w:rPr>
          <w:rFonts w:ascii="Arial" w:hAnsi="Arial" w:cs="Arial"/>
        </w:rPr>
        <w:t>Scottish Government Covid-19 guidance</w:t>
      </w:r>
      <w:r w:rsidR="00D723D8">
        <w:rPr>
          <w:rFonts w:ascii="Arial" w:hAnsi="Arial" w:cs="Arial"/>
        </w:rPr>
        <w:t xml:space="preserve"> on social distancing, testing, tracing and isolation. </w:t>
      </w:r>
      <w:r w:rsidR="00E149AA" w:rsidRPr="00370164">
        <w:rPr>
          <w:rFonts w:ascii="Arial" w:hAnsi="Arial" w:cs="Arial"/>
        </w:rPr>
        <w:t xml:space="preserve">The Committee discussed </w:t>
      </w:r>
      <w:r>
        <w:rPr>
          <w:rFonts w:ascii="Arial" w:hAnsi="Arial" w:cs="Arial"/>
        </w:rPr>
        <w:t xml:space="preserve">the possibility of </w:t>
      </w:r>
      <w:r w:rsidR="00E149AA" w:rsidRPr="00370164">
        <w:rPr>
          <w:rFonts w:ascii="Arial" w:hAnsi="Arial" w:cs="Arial"/>
        </w:rPr>
        <w:t>break</w:t>
      </w:r>
      <w:r>
        <w:rPr>
          <w:rFonts w:ascii="Arial" w:hAnsi="Arial" w:cs="Arial"/>
        </w:rPr>
        <w:t xml:space="preserve">ing down </w:t>
      </w:r>
      <w:r w:rsidR="00E149AA" w:rsidRPr="00370164">
        <w:rPr>
          <w:rFonts w:ascii="Arial" w:hAnsi="Arial" w:cs="Arial"/>
        </w:rPr>
        <w:t xml:space="preserve">mental health </w:t>
      </w:r>
      <w:r>
        <w:rPr>
          <w:rFonts w:ascii="Arial" w:hAnsi="Arial" w:cs="Arial"/>
        </w:rPr>
        <w:t>absence</w:t>
      </w:r>
      <w:r w:rsidR="00E149AA" w:rsidRPr="00370164">
        <w:rPr>
          <w:rFonts w:ascii="Arial" w:hAnsi="Arial" w:cs="Arial"/>
        </w:rPr>
        <w:t xml:space="preserve"> figures to differentiate between work-relate</w:t>
      </w:r>
      <w:r>
        <w:rPr>
          <w:rFonts w:ascii="Arial" w:hAnsi="Arial" w:cs="Arial"/>
        </w:rPr>
        <w:t>d and non-work related stress related absence,</w:t>
      </w:r>
      <w:r w:rsidR="00E149AA" w:rsidRPr="00370164">
        <w:rPr>
          <w:rFonts w:ascii="Arial" w:hAnsi="Arial" w:cs="Arial"/>
        </w:rPr>
        <w:t xml:space="preserve"> and whether those issue</w:t>
      </w:r>
      <w:r w:rsidR="00D723D8">
        <w:rPr>
          <w:rFonts w:ascii="Arial" w:hAnsi="Arial" w:cs="Arial"/>
        </w:rPr>
        <w:t>s</w:t>
      </w:r>
      <w:r w:rsidR="00E149AA" w:rsidRPr="00370164">
        <w:rPr>
          <w:rFonts w:ascii="Arial" w:hAnsi="Arial" w:cs="Arial"/>
        </w:rPr>
        <w:t xml:space="preserve"> have an impact on </w:t>
      </w:r>
      <w:r w:rsidR="00D723D8">
        <w:rPr>
          <w:rFonts w:ascii="Arial" w:hAnsi="Arial" w:cs="Arial"/>
        </w:rPr>
        <w:t xml:space="preserve">absence </w:t>
      </w:r>
      <w:r w:rsidR="00E149AA" w:rsidRPr="00370164">
        <w:rPr>
          <w:rFonts w:ascii="Arial" w:hAnsi="Arial" w:cs="Arial"/>
        </w:rPr>
        <w:t xml:space="preserve">figures reported and agreed this should be explored.  </w:t>
      </w:r>
    </w:p>
    <w:p w14:paraId="77572A84" w14:textId="77777777" w:rsidR="00E149AA" w:rsidRPr="00370164" w:rsidRDefault="00E149AA" w:rsidP="00370164">
      <w:pPr>
        <w:spacing w:after="0"/>
        <w:ind w:left="720"/>
        <w:rPr>
          <w:rFonts w:ascii="Arial" w:hAnsi="Arial" w:cs="Arial"/>
        </w:rPr>
      </w:pPr>
    </w:p>
    <w:p w14:paraId="6606F865" w14:textId="2D1F5DE7" w:rsidR="00E149AA" w:rsidRPr="00370164" w:rsidRDefault="00392A64" w:rsidP="00370164">
      <w:pPr>
        <w:spacing w:after="0"/>
        <w:ind w:left="720"/>
        <w:rPr>
          <w:rFonts w:ascii="Arial" w:hAnsi="Arial" w:cs="Arial"/>
        </w:rPr>
      </w:pPr>
      <w:r>
        <w:rPr>
          <w:rFonts w:ascii="Arial" w:hAnsi="Arial" w:cs="Arial"/>
        </w:rPr>
        <w:t xml:space="preserve">The </w:t>
      </w:r>
      <w:r w:rsidR="00E149AA" w:rsidRPr="00370164">
        <w:rPr>
          <w:rFonts w:ascii="Arial" w:hAnsi="Arial" w:cs="Arial"/>
        </w:rPr>
        <w:t xml:space="preserve">Committee discussed financial crisis and how it may affect staff throughout the organisation. </w:t>
      </w:r>
      <w:r>
        <w:rPr>
          <w:rFonts w:ascii="Arial" w:hAnsi="Arial" w:cs="Arial"/>
        </w:rPr>
        <w:t xml:space="preserve">Gareth Adkins </w:t>
      </w:r>
      <w:r w:rsidR="00E149AA" w:rsidRPr="00370164">
        <w:rPr>
          <w:rFonts w:ascii="Arial" w:hAnsi="Arial" w:cs="Arial"/>
        </w:rPr>
        <w:t>agreed to undertake an assessment of staff enquiries made to Employee Assistance Programme to</w:t>
      </w:r>
      <w:r>
        <w:rPr>
          <w:rFonts w:ascii="Arial" w:hAnsi="Arial" w:cs="Arial"/>
        </w:rPr>
        <w:t xml:space="preserve"> provide further information on the uptake of this service by staff.</w:t>
      </w:r>
      <w:r w:rsidR="00E149AA" w:rsidRPr="00370164">
        <w:rPr>
          <w:rFonts w:ascii="Arial" w:hAnsi="Arial" w:cs="Arial"/>
        </w:rPr>
        <w:t xml:space="preserve"> </w:t>
      </w:r>
    </w:p>
    <w:p w14:paraId="34743101" w14:textId="77777777" w:rsidR="00EF22DE" w:rsidRPr="00370164" w:rsidRDefault="00EF22DE" w:rsidP="00370164">
      <w:pPr>
        <w:spacing w:after="0"/>
        <w:rPr>
          <w:rFonts w:ascii="Arial" w:hAnsi="Arial" w:cs="Arial"/>
        </w:rPr>
      </w:pPr>
    </w:p>
    <w:tbl>
      <w:tblPr>
        <w:tblStyle w:val="TableGrid"/>
        <w:tblW w:w="0" w:type="auto"/>
        <w:jc w:val="center"/>
        <w:tblLook w:val="04A0" w:firstRow="1" w:lastRow="0" w:firstColumn="1" w:lastColumn="0" w:noHBand="0" w:noVBand="1"/>
      </w:tblPr>
      <w:tblGrid>
        <w:gridCol w:w="2122"/>
        <w:gridCol w:w="4536"/>
        <w:gridCol w:w="1984"/>
      </w:tblGrid>
      <w:tr w:rsidR="00E149AA" w:rsidRPr="00370164" w14:paraId="131B79F3" w14:textId="77777777" w:rsidTr="00E149AA">
        <w:trPr>
          <w:jc w:val="center"/>
        </w:trPr>
        <w:tc>
          <w:tcPr>
            <w:tcW w:w="2122" w:type="dxa"/>
          </w:tcPr>
          <w:p w14:paraId="6888C5EF" w14:textId="77777777" w:rsidR="00E149AA" w:rsidRPr="00370164" w:rsidRDefault="00E149AA" w:rsidP="00370164">
            <w:pPr>
              <w:spacing w:after="0"/>
              <w:contextualSpacing/>
              <w:rPr>
                <w:rFonts w:ascii="Arial" w:hAnsi="Arial" w:cs="Arial"/>
                <w:b/>
              </w:rPr>
            </w:pPr>
            <w:r w:rsidRPr="00370164">
              <w:rPr>
                <w:rFonts w:ascii="Arial" w:hAnsi="Arial" w:cs="Arial"/>
                <w:b/>
              </w:rPr>
              <w:t>Action No.</w:t>
            </w:r>
          </w:p>
        </w:tc>
        <w:tc>
          <w:tcPr>
            <w:tcW w:w="4536" w:type="dxa"/>
          </w:tcPr>
          <w:p w14:paraId="621E421B" w14:textId="77777777" w:rsidR="00E149AA" w:rsidRPr="00370164" w:rsidRDefault="00E149AA" w:rsidP="00370164">
            <w:pPr>
              <w:spacing w:after="0"/>
              <w:contextualSpacing/>
              <w:rPr>
                <w:rFonts w:ascii="Arial" w:hAnsi="Arial" w:cs="Arial"/>
                <w:b/>
              </w:rPr>
            </w:pPr>
            <w:r w:rsidRPr="00370164">
              <w:rPr>
                <w:rFonts w:ascii="Arial" w:hAnsi="Arial" w:cs="Arial"/>
                <w:b/>
              </w:rPr>
              <w:t>Action</w:t>
            </w:r>
          </w:p>
        </w:tc>
        <w:tc>
          <w:tcPr>
            <w:tcW w:w="1984" w:type="dxa"/>
          </w:tcPr>
          <w:p w14:paraId="3DDAEF4F" w14:textId="77777777" w:rsidR="00E149AA" w:rsidRPr="00370164" w:rsidRDefault="00E149AA" w:rsidP="00370164">
            <w:pPr>
              <w:spacing w:after="0"/>
              <w:contextualSpacing/>
              <w:rPr>
                <w:rFonts w:ascii="Arial" w:hAnsi="Arial" w:cs="Arial"/>
                <w:b/>
              </w:rPr>
            </w:pPr>
            <w:r w:rsidRPr="00370164">
              <w:rPr>
                <w:rFonts w:ascii="Arial" w:hAnsi="Arial" w:cs="Arial"/>
                <w:b/>
              </w:rPr>
              <w:t>Lead</w:t>
            </w:r>
          </w:p>
        </w:tc>
      </w:tr>
      <w:tr w:rsidR="00E149AA" w:rsidRPr="00370164" w14:paraId="28B7CCD3" w14:textId="77777777" w:rsidTr="00E149AA">
        <w:trPr>
          <w:jc w:val="center"/>
        </w:trPr>
        <w:tc>
          <w:tcPr>
            <w:tcW w:w="2122" w:type="dxa"/>
          </w:tcPr>
          <w:p w14:paraId="2022275C" w14:textId="77777777" w:rsidR="00E149AA" w:rsidRPr="00370164" w:rsidRDefault="00E149AA" w:rsidP="00370164">
            <w:pPr>
              <w:spacing w:after="0"/>
              <w:rPr>
                <w:rFonts w:ascii="Arial" w:hAnsi="Arial" w:cs="Arial"/>
                <w:color w:val="000000"/>
              </w:rPr>
            </w:pPr>
            <w:r w:rsidRPr="00370164">
              <w:rPr>
                <w:rFonts w:ascii="Arial" w:hAnsi="Arial" w:cs="Arial"/>
                <w:color w:val="000000"/>
              </w:rPr>
              <w:t>SGPCC/030522/01</w:t>
            </w:r>
          </w:p>
        </w:tc>
        <w:tc>
          <w:tcPr>
            <w:tcW w:w="4536" w:type="dxa"/>
          </w:tcPr>
          <w:p w14:paraId="594CC438" w14:textId="77777777" w:rsidR="00E149AA" w:rsidRPr="00370164" w:rsidRDefault="00E149AA" w:rsidP="00370164">
            <w:pPr>
              <w:spacing w:after="0"/>
              <w:rPr>
                <w:rFonts w:ascii="Arial" w:hAnsi="Arial" w:cs="Arial"/>
                <w:bCs/>
                <w:color w:val="000000"/>
              </w:rPr>
            </w:pPr>
            <w:r w:rsidRPr="00370164">
              <w:rPr>
                <w:rFonts w:ascii="Arial" w:hAnsi="Arial" w:cs="Arial"/>
                <w:b/>
                <w:bCs/>
                <w:color w:val="000000"/>
              </w:rPr>
              <w:t>5.1 Integrated Performance Report</w:t>
            </w:r>
            <w:r w:rsidRPr="00370164">
              <w:rPr>
                <w:rFonts w:ascii="Arial" w:hAnsi="Arial" w:cs="Arial"/>
                <w:bCs/>
                <w:color w:val="000000"/>
              </w:rPr>
              <w:t xml:space="preserve">                                            1. Review staff absence data to explore whether mental health </w:t>
            </w:r>
            <w:r w:rsidR="009715FB">
              <w:rPr>
                <w:rFonts w:ascii="Arial" w:hAnsi="Arial" w:cs="Arial"/>
                <w:bCs/>
                <w:color w:val="000000"/>
              </w:rPr>
              <w:t>absences are attributable to work-related issues or external factors</w:t>
            </w:r>
            <w:r w:rsidRPr="00370164">
              <w:rPr>
                <w:rFonts w:ascii="Arial" w:hAnsi="Arial" w:cs="Arial"/>
                <w:bCs/>
                <w:color w:val="000000"/>
              </w:rPr>
              <w:t xml:space="preserve">.       </w:t>
            </w:r>
          </w:p>
          <w:p w14:paraId="71108357" w14:textId="285787A7" w:rsidR="00E149AA" w:rsidRPr="00370164" w:rsidRDefault="00E149AA" w:rsidP="00392A64">
            <w:pPr>
              <w:spacing w:after="0"/>
              <w:rPr>
                <w:rFonts w:ascii="Arial" w:hAnsi="Arial" w:cs="Arial"/>
                <w:bCs/>
                <w:color w:val="000000"/>
              </w:rPr>
            </w:pPr>
            <w:r w:rsidRPr="00370164">
              <w:rPr>
                <w:rFonts w:ascii="Arial" w:hAnsi="Arial" w:cs="Arial"/>
                <w:bCs/>
                <w:color w:val="000000"/>
              </w:rPr>
              <w:t xml:space="preserve">                                                                          2. .</w:t>
            </w:r>
            <w:r w:rsidR="00392A64">
              <w:rPr>
                <w:rFonts w:ascii="Arial" w:hAnsi="Arial" w:cs="Arial"/>
                <w:bCs/>
                <w:color w:val="000000"/>
              </w:rPr>
              <w:t>Provide further information to the committee on uptake of the employee assistance programme by staff.</w:t>
            </w:r>
          </w:p>
        </w:tc>
        <w:tc>
          <w:tcPr>
            <w:tcW w:w="1984" w:type="dxa"/>
          </w:tcPr>
          <w:p w14:paraId="218B8922" w14:textId="77777777" w:rsidR="00E149AA" w:rsidRPr="00370164" w:rsidRDefault="00E149AA" w:rsidP="00370164">
            <w:pPr>
              <w:spacing w:after="0"/>
              <w:rPr>
                <w:rFonts w:ascii="Arial" w:hAnsi="Arial" w:cs="Arial"/>
              </w:rPr>
            </w:pPr>
            <w:r w:rsidRPr="00370164">
              <w:rPr>
                <w:rFonts w:ascii="Arial" w:hAnsi="Arial" w:cs="Arial"/>
              </w:rPr>
              <w:t>Gareth Adkins</w:t>
            </w:r>
          </w:p>
          <w:p w14:paraId="01189FD1" w14:textId="77777777" w:rsidR="00E149AA" w:rsidRPr="00370164" w:rsidRDefault="00E149AA" w:rsidP="00370164">
            <w:pPr>
              <w:spacing w:after="0"/>
              <w:rPr>
                <w:rFonts w:ascii="Arial" w:hAnsi="Arial" w:cs="Arial"/>
              </w:rPr>
            </w:pPr>
            <w:r w:rsidRPr="00370164">
              <w:rPr>
                <w:rFonts w:ascii="Arial" w:hAnsi="Arial" w:cs="Arial"/>
              </w:rPr>
              <w:t>Serena Barnatt</w:t>
            </w:r>
          </w:p>
        </w:tc>
      </w:tr>
    </w:tbl>
    <w:p w14:paraId="2E398176" w14:textId="77777777" w:rsidR="00811485" w:rsidRPr="00370164" w:rsidRDefault="00811485" w:rsidP="00370164">
      <w:pPr>
        <w:spacing w:after="0"/>
        <w:rPr>
          <w:rFonts w:ascii="Arial" w:hAnsi="Arial" w:cs="Arial"/>
        </w:rPr>
      </w:pPr>
    </w:p>
    <w:p w14:paraId="6F2863CB" w14:textId="77777777" w:rsidR="00E149AA" w:rsidRPr="00370164" w:rsidRDefault="00E149AA" w:rsidP="00370164">
      <w:pPr>
        <w:spacing w:after="0"/>
        <w:rPr>
          <w:rFonts w:ascii="Arial" w:hAnsi="Arial" w:cs="Arial"/>
        </w:rPr>
      </w:pPr>
      <w:r w:rsidRPr="00370164">
        <w:rPr>
          <w:rFonts w:ascii="Arial" w:hAnsi="Arial" w:cs="Arial"/>
        </w:rPr>
        <w:tab/>
        <w:t>Committee noted the Integrated Performance Report.</w:t>
      </w:r>
    </w:p>
    <w:p w14:paraId="7B8955B8" w14:textId="77777777" w:rsidR="009B5B82" w:rsidRPr="00370164" w:rsidRDefault="009B5B82" w:rsidP="00370164">
      <w:pPr>
        <w:spacing w:after="0"/>
        <w:rPr>
          <w:rFonts w:ascii="Arial" w:hAnsi="Arial" w:cs="Arial"/>
          <w:color w:val="FF0000"/>
        </w:rPr>
      </w:pPr>
    </w:p>
    <w:p w14:paraId="5EAA7CE3" w14:textId="77777777" w:rsidR="00D90727" w:rsidRPr="00370164" w:rsidRDefault="00D90727" w:rsidP="00370164">
      <w:pPr>
        <w:spacing w:after="0"/>
        <w:rPr>
          <w:rFonts w:ascii="Arial" w:hAnsi="Arial" w:cs="Arial"/>
          <w:b/>
        </w:rPr>
      </w:pPr>
      <w:r w:rsidRPr="00370164">
        <w:rPr>
          <w:rFonts w:ascii="Arial" w:hAnsi="Arial" w:cs="Arial"/>
          <w:b/>
        </w:rPr>
        <w:t>5.2</w:t>
      </w:r>
      <w:r w:rsidRPr="00370164">
        <w:rPr>
          <w:rFonts w:ascii="Arial" w:hAnsi="Arial" w:cs="Arial"/>
          <w:b/>
        </w:rPr>
        <w:tab/>
      </w:r>
      <w:r w:rsidR="00023847" w:rsidRPr="00370164">
        <w:rPr>
          <w:rFonts w:ascii="Arial" w:hAnsi="Arial" w:cs="Arial"/>
          <w:b/>
        </w:rPr>
        <w:t>Communications Update</w:t>
      </w:r>
    </w:p>
    <w:p w14:paraId="4D85F2D8" w14:textId="77777777" w:rsidR="009B5B82" w:rsidRPr="00370164" w:rsidRDefault="009B5B82" w:rsidP="00370164">
      <w:pPr>
        <w:spacing w:after="0"/>
        <w:rPr>
          <w:rFonts w:ascii="Arial" w:hAnsi="Arial" w:cs="Arial"/>
          <w:color w:val="FF0000"/>
        </w:rPr>
      </w:pPr>
    </w:p>
    <w:p w14:paraId="26C23544" w14:textId="77777777" w:rsidR="008F2F15" w:rsidRPr="00370164" w:rsidRDefault="008F2F15" w:rsidP="00370164">
      <w:pPr>
        <w:spacing w:after="0"/>
        <w:ind w:left="720"/>
        <w:rPr>
          <w:rFonts w:ascii="Arial" w:hAnsi="Arial" w:cs="Arial"/>
        </w:rPr>
      </w:pPr>
      <w:r w:rsidRPr="00370164">
        <w:rPr>
          <w:rFonts w:ascii="Arial" w:hAnsi="Arial" w:cs="Arial"/>
        </w:rPr>
        <w:t xml:space="preserve">Sandie Scott </w:t>
      </w:r>
      <w:r w:rsidR="009715FB">
        <w:rPr>
          <w:rFonts w:ascii="Arial" w:hAnsi="Arial" w:cs="Arial"/>
        </w:rPr>
        <w:t xml:space="preserve">provided </w:t>
      </w:r>
      <w:r w:rsidRPr="00370164">
        <w:rPr>
          <w:rFonts w:ascii="Arial" w:hAnsi="Arial" w:cs="Arial"/>
        </w:rPr>
        <w:t xml:space="preserve">a Communications update to the Committee. An annual report will be presented to the Committee at the next meeting due to clarification on engagement statistics caused by a change of social media algorithms, which will be detailed in the report.  </w:t>
      </w:r>
    </w:p>
    <w:p w14:paraId="038241A8" w14:textId="77777777" w:rsidR="008F2F15" w:rsidRPr="00370164" w:rsidRDefault="008F2F15" w:rsidP="00370164">
      <w:pPr>
        <w:spacing w:after="0"/>
        <w:ind w:left="720"/>
        <w:rPr>
          <w:rFonts w:ascii="Arial" w:hAnsi="Arial" w:cs="Arial"/>
          <w:b/>
        </w:rPr>
      </w:pPr>
    </w:p>
    <w:p w14:paraId="371D763D" w14:textId="77777777" w:rsidR="00007DA4" w:rsidRPr="00370164" w:rsidRDefault="00007DA4" w:rsidP="00370164">
      <w:pPr>
        <w:spacing w:after="0"/>
        <w:ind w:left="720"/>
        <w:rPr>
          <w:rFonts w:ascii="Arial" w:hAnsi="Arial" w:cs="Arial"/>
          <w:b/>
        </w:rPr>
      </w:pPr>
      <w:r w:rsidRPr="00370164">
        <w:rPr>
          <w:rFonts w:ascii="Arial" w:hAnsi="Arial" w:cs="Arial"/>
          <w:b/>
        </w:rPr>
        <w:t>Social Media</w:t>
      </w:r>
    </w:p>
    <w:p w14:paraId="004DE272" w14:textId="77777777" w:rsidR="00007DA4" w:rsidRPr="00370164" w:rsidRDefault="00023847" w:rsidP="00370164">
      <w:pPr>
        <w:spacing w:after="0"/>
        <w:ind w:left="720"/>
        <w:rPr>
          <w:rFonts w:ascii="Arial" w:hAnsi="Arial" w:cs="Arial"/>
        </w:rPr>
      </w:pPr>
      <w:r w:rsidRPr="00370164">
        <w:rPr>
          <w:rFonts w:ascii="Arial" w:hAnsi="Arial" w:cs="Arial"/>
        </w:rPr>
        <w:t xml:space="preserve">In 2021/2022, </w:t>
      </w:r>
      <w:r w:rsidR="008F2F15" w:rsidRPr="00370164">
        <w:rPr>
          <w:rFonts w:ascii="Arial" w:hAnsi="Arial" w:cs="Arial"/>
        </w:rPr>
        <w:t xml:space="preserve">NHS Golden Jubilee received 100% positive media score </w:t>
      </w:r>
      <w:r w:rsidRPr="00370164">
        <w:rPr>
          <w:rFonts w:ascii="Arial" w:hAnsi="Arial" w:cs="Arial"/>
        </w:rPr>
        <w:t xml:space="preserve">with 31 press releases and 397 media coverages compared to 2020/2021 where there were 21 press releases and 119 media coverages, due to the use of PR-GLU system which enables NHS Golden Jubilee access to journalists. </w:t>
      </w:r>
    </w:p>
    <w:p w14:paraId="46F4F28D" w14:textId="77777777" w:rsidR="00370164" w:rsidRDefault="00370164" w:rsidP="00370164">
      <w:pPr>
        <w:spacing w:after="0"/>
        <w:rPr>
          <w:rFonts w:ascii="Arial" w:hAnsi="Arial" w:cs="Arial"/>
        </w:rPr>
      </w:pPr>
    </w:p>
    <w:p w14:paraId="3E09DB79" w14:textId="77777777" w:rsidR="00007DA4" w:rsidRPr="00370164" w:rsidRDefault="00007DA4" w:rsidP="00370164">
      <w:pPr>
        <w:spacing w:after="0"/>
        <w:ind w:firstLine="720"/>
        <w:rPr>
          <w:rFonts w:ascii="Arial" w:hAnsi="Arial" w:cs="Arial"/>
          <w:b/>
        </w:rPr>
      </w:pPr>
      <w:r w:rsidRPr="00370164">
        <w:rPr>
          <w:rFonts w:ascii="Arial" w:hAnsi="Arial" w:cs="Arial"/>
          <w:b/>
        </w:rPr>
        <w:t xml:space="preserve">NHS Golden Jubilee </w:t>
      </w:r>
    </w:p>
    <w:p w14:paraId="1B35876D" w14:textId="77777777" w:rsidR="001029BE" w:rsidRDefault="00007DA4" w:rsidP="001029BE">
      <w:pPr>
        <w:spacing w:after="0"/>
        <w:ind w:left="720"/>
        <w:rPr>
          <w:rFonts w:ascii="Arial" w:hAnsi="Arial" w:cs="Arial"/>
        </w:rPr>
      </w:pPr>
      <w:r w:rsidRPr="00370164">
        <w:rPr>
          <w:rFonts w:ascii="Arial" w:hAnsi="Arial" w:cs="Arial"/>
        </w:rPr>
        <w:t xml:space="preserve">Communications team assisted with 10 </w:t>
      </w:r>
      <w:proofErr w:type="spellStart"/>
      <w:r w:rsidRPr="00370164">
        <w:rPr>
          <w:rFonts w:ascii="Arial" w:hAnsi="Arial" w:cs="Arial"/>
        </w:rPr>
        <w:t>Walkrounds</w:t>
      </w:r>
      <w:proofErr w:type="spellEnd"/>
      <w:r w:rsidRPr="00370164">
        <w:rPr>
          <w:rFonts w:ascii="Arial" w:hAnsi="Arial" w:cs="Arial"/>
        </w:rPr>
        <w:t xml:space="preserve"> and Staff Awards throughout 2021 and currently organising the Long Service Awards.</w:t>
      </w:r>
      <w:r w:rsidR="00111007" w:rsidRPr="00370164">
        <w:rPr>
          <w:rFonts w:ascii="Arial" w:hAnsi="Arial" w:cs="Arial"/>
        </w:rPr>
        <w:t xml:space="preserve"> A date to hold the event will be decided in due course.  </w:t>
      </w:r>
    </w:p>
    <w:p w14:paraId="6F992B99" w14:textId="77777777" w:rsidR="009715FB" w:rsidRDefault="009715FB" w:rsidP="001029BE">
      <w:pPr>
        <w:spacing w:after="0"/>
        <w:ind w:left="720"/>
        <w:rPr>
          <w:rFonts w:ascii="Arial" w:hAnsi="Arial" w:cs="Arial"/>
        </w:rPr>
      </w:pPr>
    </w:p>
    <w:p w14:paraId="622A85F7" w14:textId="77777777" w:rsidR="00007DA4" w:rsidRPr="001029BE" w:rsidRDefault="00007DA4" w:rsidP="001029BE">
      <w:pPr>
        <w:spacing w:after="0"/>
        <w:ind w:left="720"/>
        <w:rPr>
          <w:rFonts w:ascii="Arial" w:hAnsi="Arial" w:cs="Arial"/>
        </w:rPr>
      </w:pPr>
      <w:r w:rsidRPr="00370164">
        <w:rPr>
          <w:rFonts w:ascii="Arial" w:hAnsi="Arial" w:cs="Arial"/>
          <w:b/>
        </w:rPr>
        <w:t>NHS Event</w:t>
      </w:r>
    </w:p>
    <w:p w14:paraId="14623877" w14:textId="77777777" w:rsidR="008F2F15" w:rsidRPr="00370164" w:rsidRDefault="00007DA4" w:rsidP="00370164">
      <w:pPr>
        <w:spacing w:after="0"/>
        <w:ind w:left="720"/>
        <w:rPr>
          <w:rFonts w:ascii="Arial" w:hAnsi="Arial" w:cs="Arial"/>
        </w:rPr>
      </w:pPr>
      <w:r w:rsidRPr="00370164">
        <w:rPr>
          <w:rFonts w:ascii="Arial" w:hAnsi="Arial" w:cs="Arial"/>
        </w:rPr>
        <w:t>Communications team will have four stands at the upcoming NHS Event</w:t>
      </w:r>
      <w:r w:rsidR="009715FB">
        <w:rPr>
          <w:rFonts w:ascii="Arial" w:hAnsi="Arial" w:cs="Arial"/>
        </w:rPr>
        <w:t>, representing Golden Jubilee University National Hospital; CfSD, NHS Scotland Academy and the Golden Jubilee Conference Hotel</w:t>
      </w:r>
      <w:r w:rsidRPr="00370164">
        <w:rPr>
          <w:rFonts w:ascii="Arial" w:hAnsi="Arial" w:cs="Arial"/>
        </w:rPr>
        <w:t xml:space="preserve">. </w:t>
      </w:r>
    </w:p>
    <w:p w14:paraId="171CD7A5" w14:textId="77777777" w:rsidR="00B22DA6" w:rsidRPr="00370164" w:rsidRDefault="00B22DA6" w:rsidP="00370164">
      <w:pPr>
        <w:spacing w:after="0"/>
        <w:rPr>
          <w:rFonts w:ascii="Arial" w:hAnsi="Arial" w:cs="Arial"/>
        </w:rPr>
      </w:pPr>
    </w:p>
    <w:p w14:paraId="48898113" w14:textId="77777777" w:rsidR="00007DA4" w:rsidRPr="00370164" w:rsidRDefault="00007DA4" w:rsidP="00370164">
      <w:pPr>
        <w:spacing w:after="0"/>
        <w:rPr>
          <w:rFonts w:ascii="Arial" w:hAnsi="Arial" w:cs="Arial"/>
          <w:b/>
        </w:rPr>
      </w:pPr>
      <w:r w:rsidRPr="00370164">
        <w:rPr>
          <w:rFonts w:ascii="Arial" w:hAnsi="Arial" w:cs="Arial"/>
        </w:rPr>
        <w:tab/>
      </w:r>
      <w:r w:rsidRPr="00370164">
        <w:rPr>
          <w:rFonts w:ascii="Arial" w:hAnsi="Arial" w:cs="Arial"/>
          <w:b/>
        </w:rPr>
        <w:t xml:space="preserve">Digital Communications </w:t>
      </w:r>
    </w:p>
    <w:p w14:paraId="5E298F37" w14:textId="77067A5B" w:rsidR="00007DA4" w:rsidRPr="00370164" w:rsidRDefault="009715FB" w:rsidP="00370164">
      <w:pPr>
        <w:spacing w:after="0"/>
        <w:ind w:left="720"/>
        <w:rPr>
          <w:rFonts w:ascii="Arial" w:hAnsi="Arial" w:cs="Arial"/>
        </w:rPr>
      </w:pPr>
      <w:r>
        <w:rPr>
          <w:rFonts w:ascii="Arial" w:hAnsi="Arial" w:cs="Arial"/>
        </w:rPr>
        <w:t xml:space="preserve">Communications, in collaboration with other NHSGJ departments, are </w:t>
      </w:r>
      <w:r w:rsidR="005E39C4" w:rsidRPr="00370164">
        <w:rPr>
          <w:rFonts w:ascii="Arial" w:hAnsi="Arial" w:cs="Arial"/>
        </w:rPr>
        <w:t xml:space="preserve">working with the national team on </w:t>
      </w:r>
      <w:r>
        <w:rPr>
          <w:rFonts w:ascii="Arial" w:hAnsi="Arial" w:cs="Arial"/>
        </w:rPr>
        <w:t xml:space="preserve">implementation of </w:t>
      </w:r>
      <w:r w:rsidR="005E39C4" w:rsidRPr="00370164">
        <w:rPr>
          <w:rFonts w:ascii="Arial" w:hAnsi="Arial" w:cs="Arial"/>
        </w:rPr>
        <w:t xml:space="preserve">SharePoint, </w:t>
      </w:r>
      <w:proofErr w:type="spellStart"/>
      <w:r w:rsidR="005E39C4" w:rsidRPr="00370164">
        <w:rPr>
          <w:rFonts w:ascii="Arial" w:hAnsi="Arial" w:cs="Arial"/>
        </w:rPr>
        <w:t>StaffNet</w:t>
      </w:r>
      <w:proofErr w:type="spellEnd"/>
      <w:r w:rsidR="005E39C4" w:rsidRPr="00370164">
        <w:rPr>
          <w:rFonts w:ascii="Arial" w:hAnsi="Arial" w:cs="Arial"/>
        </w:rPr>
        <w:t xml:space="preserve"> and Yammer </w:t>
      </w:r>
      <w:r>
        <w:rPr>
          <w:rFonts w:ascii="Arial" w:hAnsi="Arial" w:cs="Arial"/>
        </w:rPr>
        <w:t>as mechanisms of communication and document storage and retention</w:t>
      </w:r>
      <w:r w:rsidR="005E39C4" w:rsidRPr="00370164">
        <w:rPr>
          <w:rFonts w:ascii="Arial" w:hAnsi="Arial" w:cs="Arial"/>
        </w:rPr>
        <w:t>. Additional social</w:t>
      </w:r>
      <w:r w:rsidR="007B6808">
        <w:rPr>
          <w:rFonts w:ascii="Arial" w:hAnsi="Arial" w:cs="Arial"/>
        </w:rPr>
        <w:t xml:space="preserve"> media platforms, including </w:t>
      </w:r>
      <w:proofErr w:type="spellStart"/>
      <w:r w:rsidR="007B6808">
        <w:rPr>
          <w:rFonts w:ascii="Arial" w:hAnsi="Arial" w:cs="Arial"/>
        </w:rPr>
        <w:t>Tik-</w:t>
      </w:r>
      <w:r w:rsidR="005E39C4" w:rsidRPr="00370164">
        <w:rPr>
          <w:rFonts w:ascii="Arial" w:hAnsi="Arial" w:cs="Arial"/>
        </w:rPr>
        <w:t>Tok</w:t>
      </w:r>
      <w:proofErr w:type="spellEnd"/>
      <w:r w:rsidR="005E39C4" w:rsidRPr="00370164">
        <w:rPr>
          <w:rFonts w:ascii="Arial" w:hAnsi="Arial" w:cs="Arial"/>
        </w:rPr>
        <w:t>, will be phased in to promote communications</w:t>
      </w:r>
      <w:r>
        <w:rPr>
          <w:rFonts w:ascii="Arial" w:hAnsi="Arial" w:cs="Arial"/>
        </w:rPr>
        <w:t xml:space="preserve"> where appropriate</w:t>
      </w:r>
      <w:r w:rsidR="005E39C4" w:rsidRPr="00370164">
        <w:rPr>
          <w:rFonts w:ascii="Arial" w:hAnsi="Arial" w:cs="Arial"/>
        </w:rPr>
        <w:t xml:space="preserve">. </w:t>
      </w:r>
    </w:p>
    <w:p w14:paraId="7B681E99" w14:textId="77777777" w:rsidR="00B22DA6" w:rsidRPr="00370164" w:rsidRDefault="00B22DA6" w:rsidP="00370164">
      <w:pPr>
        <w:spacing w:after="0"/>
        <w:rPr>
          <w:rFonts w:ascii="Arial" w:hAnsi="Arial" w:cs="Arial"/>
        </w:rPr>
      </w:pPr>
    </w:p>
    <w:p w14:paraId="646AC9D1" w14:textId="77777777" w:rsidR="00B22DA6" w:rsidRPr="00370164" w:rsidRDefault="00B22DA6" w:rsidP="00370164">
      <w:pPr>
        <w:spacing w:after="0"/>
        <w:rPr>
          <w:rFonts w:ascii="Arial" w:hAnsi="Arial" w:cs="Arial"/>
          <w:b/>
        </w:rPr>
      </w:pPr>
      <w:r w:rsidRPr="00370164">
        <w:rPr>
          <w:rFonts w:ascii="Arial" w:hAnsi="Arial" w:cs="Arial"/>
        </w:rPr>
        <w:tab/>
      </w:r>
      <w:r w:rsidR="005E39C4" w:rsidRPr="00370164">
        <w:rPr>
          <w:rFonts w:ascii="Arial" w:hAnsi="Arial" w:cs="Arial"/>
          <w:b/>
        </w:rPr>
        <w:t>S</w:t>
      </w:r>
      <w:r w:rsidR="00BE7A6B" w:rsidRPr="00370164">
        <w:rPr>
          <w:rFonts w:ascii="Arial" w:hAnsi="Arial" w:cs="Arial"/>
          <w:b/>
        </w:rPr>
        <w:t>trategies</w:t>
      </w:r>
    </w:p>
    <w:p w14:paraId="6FCD490A" w14:textId="77777777" w:rsidR="00B22DA6" w:rsidRPr="00370164" w:rsidRDefault="00BE7A6B" w:rsidP="00370164">
      <w:pPr>
        <w:spacing w:after="0"/>
        <w:ind w:left="720"/>
        <w:rPr>
          <w:rFonts w:ascii="Arial" w:hAnsi="Arial" w:cs="Arial"/>
        </w:rPr>
      </w:pPr>
      <w:r w:rsidRPr="00370164">
        <w:rPr>
          <w:rFonts w:ascii="Arial" w:hAnsi="Arial" w:cs="Arial"/>
        </w:rPr>
        <w:t>Communications team are working on internal strategies for the Golden Jubilee Hotel, NHSS Academy and CfSD.</w:t>
      </w:r>
    </w:p>
    <w:p w14:paraId="3177F6FA" w14:textId="77777777" w:rsidR="00B22DA6" w:rsidRPr="00370164" w:rsidRDefault="00B22DA6" w:rsidP="00370164">
      <w:pPr>
        <w:spacing w:after="0"/>
        <w:ind w:left="720"/>
        <w:rPr>
          <w:rFonts w:ascii="Arial" w:hAnsi="Arial" w:cs="Arial"/>
        </w:rPr>
      </w:pPr>
    </w:p>
    <w:p w14:paraId="624A8F7D" w14:textId="77777777" w:rsidR="00E17676" w:rsidRDefault="00111007" w:rsidP="00370164">
      <w:pPr>
        <w:spacing w:after="0"/>
        <w:ind w:left="720"/>
        <w:rPr>
          <w:rFonts w:ascii="Arial" w:hAnsi="Arial" w:cs="Arial"/>
        </w:rPr>
      </w:pPr>
      <w:r w:rsidRPr="00370164">
        <w:rPr>
          <w:rFonts w:ascii="Arial" w:hAnsi="Arial" w:cs="Arial"/>
        </w:rPr>
        <w:t>Committee thanked Sandie Scott and the Communications team for their ongoing work and</w:t>
      </w:r>
      <w:r w:rsidR="00672B1C" w:rsidRPr="00370164">
        <w:rPr>
          <w:rFonts w:ascii="Arial" w:hAnsi="Arial" w:cs="Arial"/>
        </w:rPr>
        <w:t xml:space="preserve"> achievements throughout the last two years. </w:t>
      </w:r>
    </w:p>
    <w:p w14:paraId="616F90DD" w14:textId="77777777" w:rsidR="009715FB" w:rsidRDefault="009715FB" w:rsidP="00370164">
      <w:pPr>
        <w:spacing w:after="0"/>
        <w:ind w:left="720"/>
        <w:rPr>
          <w:rFonts w:ascii="Arial" w:hAnsi="Arial" w:cs="Arial"/>
        </w:rPr>
      </w:pPr>
    </w:p>
    <w:p w14:paraId="1015620D" w14:textId="11DE44D6" w:rsidR="009715FB" w:rsidRDefault="009715FB" w:rsidP="00370164">
      <w:pPr>
        <w:spacing w:after="0"/>
        <w:ind w:left="720"/>
        <w:rPr>
          <w:rFonts w:ascii="Arial" w:hAnsi="Arial" w:cs="Arial"/>
        </w:rPr>
      </w:pPr>
      <w:r>
        <w:rPr>
          <w:rFonts w:ascii="Arial" w:hAnsi="Arial" w:cs="Arial"/>
        </w:rPr>
        <w:t>M</w:t>
      </w:r>
      <w:r w:rsidR="00B25785">
        <w:rPr>
          <w:rFonts w:ascii="Arial" w:hAnsi="Arial" w:cs="Arial"/>
        </w:rPr>
        <w:t>arcella</w:t>
      </w:r>
      <w:r>
        <w:rPr>
          <w:rFonts w:ascii="Arial" w:hAnsi="Arial" w:cs="Arial"/>
        </w:rPr>
        <w:t xml:space="preserve"> Boyle noted the upcoming recognising events recognising long-service. </w:t>
      </w:r>
      <w:r w:rsidR="00A75273">
        <w:rPr>
          <w:rFonts w:ascii="Arial" w:hAnsi="Arial" w:cs="Arial"/>
        </w:rPr>
        <w:t xml:space="preserve">M Boyle sought assurance that volunteers would be recognised as part of this event and Sandie Scott confirmed that this was the case. </w:t>
      </w:r>
      <w:r>
        <w:rPr>
          <w:rFonts w:ascii="Arial" w:hAnsi="Arial" w:cs="Arial"/>
        </w:rPr>
        <w:t xml:space="preserve">Members of the Committee </w:t>
      </w:r>
      <w:r w:rsidR="004776C6">
        <w:rPr>
          <w:rFonts w:ascii="Arial" w:hAnsi="Arial" w:cs="Arial"/>
        </w:rPr>
        <w:t>noted arrangements t</w:t>
      </w:r>
      <w:r w:rsidR="00A75273">
        <w:rPr>
          <w:rFonts w:ascii="Arial" w:hAnsi="Arial" w:cs="Arial"/>
        </w:rPr>
        <w:t xml:space="preserve">o ensure they received an invite </w:t>
      </w:r>
      <w:r>
        <w:rPr>
          <w:rFonts w:ascii="Arial" w:hAnsi="Arial" w:cs="Arial"/>
        </w:rPr>
        <w:t xml:space="preserve">to the </w:t>
      </w:r>
      <w:r w:rsidR="00A75273">
        <w:rPr>
          <w:rFonts w:ascii="Arial" w:hAnsi="Arial" w:cs="Arial"/>
        </w:rPr>
        <w:t>event</w:t>
      </w:r>
      <w:r>
        <w:rPr>
          <w:rFonts w:ascii="Arial" w:hAnsi="Arial" w:cs="Arial"/>
        </w:rPr>
        <w:t xml:space="preserve">. </w:t>
      </w:r>
    </w:p>
    <w:p w14:paraId="1F5F588D" w14:textId="77777777" w:rsidR="009715FB" w:rsidRDefault="009715FB" w:rsidP="00370164">
      <w:pPr>
        <w:spacing w:after="0"/>
        <w:ind w:left="720"/>
        <w:rPr>
          <w:rFonts w:ascii="Arial" w:hAnsi="Arial" w:cs="Arial"/>
        </w:rPr>
      </w:pPr>
    </w:p>
    <w:p w14:paraId="5B1C267E" w14:textId="75DF64A3" w:rsidR="00111007" w:rsidRPr="00370164" w:rsidRDefault="009715FB" w:rsidP="00B25785">
      <w:pPr>
        <w:ind w:left="720"/>
        <w:rPr>
          <w:rFonts w:ascii="Arial" w:hAnsi="Arial" w:cs="Arial"/>
        </w:rPr>
      </w:pPr>
      <w:r>
        <w:rPr>
          <w:rFonts w:ascii="Arial" w:hAnsi="Arial" w:cs="Arial"/>
        </w:rPr>
        <w:t>J</w:t>
      </w:r>
      <w:r w:rsidR="00B25785">
        <w:rPr>
          <w:rFonts w:ascii="Arial" w:hAnsi="Arial" w:cs="Arial"/>
        </w:rPr>
        <w:t>ann</w:t>
      </w:r>
      <w:r>
        <w:rPr>
          <w:rFonts w:ascii="Arial" w:hAnsi="Arial" w:cs="Arial"/>
        </w:rPr>
        <w:t xml:space="preserve"> Gardner advised the Committee that Sandie Scott’s job description had been reviewed and re-titled </w:t>
      </w:r>
      <w:r w:rsidRPr="009715FB">
        <w:rPr>
          <w:rFonts w:ascii="Arial" w:hAnsi="Arial" w:cs="Arial"/>
        </w:rPr>
        <w:t>Director of Strategic Communications and Stakeholder Relations</w:t>
      </w:r>
      <w:r>
        <w:rPr>
          <w:rFonts w:ascii="Arial" w:hAnsi="Arial" w:cs="Arial"/>
        </w:rPr>
        <w:t xml:space="preserve">. J Gardner commended Sandie Scott </w:t>
      </w:r>
      <w:r w:rsidR="0098548C">
        <w:rPr>
          <w:rFonts w:ascii="Arial" w:hAnsi="Arial" w:cs="Arial"/>
        </w:rPr>
        <w:t xml:space="preserve">for her performance in developing strategic relationships with a variety of stakeholders in industry and academia. Committee noted the amendments made </w:t>
      </w:r>
      <w:r w:rsidR="0098548C">
        <w:rPr>
          <w:rFonts w:ascii="Arial" w:hAnsi="Arial" w:cs="Arial"/>
        </w:rPr>
        <w:lastRenderedPageBreak/>
        <w:t xml:space="preserve">to Sandie Scott’s job description and the enhanced responsibilities the post-holder has in regard to </w:t>
      </w:r>
      <w:r w:rsidR="00B25785">
        <w:rPr>
          <w:rFonts w:ascii="Arial" w:hAnsi="Arial" w:cs="Arial"/>
        </w:rPr>
        <w:t>strategic partnerships.</w:t>
      </w:r>
    </w:p>
    <w:p w14:paraId="61FDA842" w14:textId="77777777" w:rsidR="00111007" w:rsidRPr="00370164" w:rsidRDefault="00111007" w:rsidP="00370164">
      <w:pPr>
        <w:spacing w:after="0"/>
        <w:ind w:left="720"/>
        <w:rPr>
          <w:rFonts w:ascii="Arial" w:hAnsi="Arial" w:cs="Arial"/>
        </w:rPr>
      </w:pPr>
      <w:r w:rsidRPr="00370164">
        <w:rPr>
          <w:rFonts w:ascii="Arial" w:hAnsi="Arial" w:cs="Arial"/>
        </w:rPr>
        <w:t xml:space="preserve">Committee noted the Communications update. </w:t>
      </w:r>
    </w:p>
    <w:p w14:paraId="5B2CC8D0" w14:textId="77777777" w:rsidR="00D90727" w:rsidRPr="00370164" w:rsidRDefault="00D90727" w:rsidP="00370164">
      <w:pPr>
        <w:spacing w:after="0"/>
        <w:rPr>
          <w:rFonts w:ascii="Arial" w:hAnsi="Arial" w:cs="Arial"/>
          <w:color w:val="FF0000"/>
        </w:rPr>
      </w:pPr>
    </w:p>
    <w:p w14:paraId="6020AF6C" w14:textId="77777777" w:rsidR="00D90727" w:rsidRPr="00370164" w:rsidRDefault="00D90727" w:rsidP="00370164">
      <w:pPr>
        <w:spacing w:after="0"/>
        <w:rPr>
          <w:rFonts w:ascii="Arial" w:hAnsi="Arial" w:cs="Arial"/>
          <w:b/>
        </w:rPr>
      </w:pPr>
      <w:r w:rsidRPr="00370164">
        <w:rPr>
          <w:rFonts w:ascii="Arial" w:hAnsi="Arial" w:cs="Arial"/>
          <w:b/>
        </w:rPr>
        <w:t>5.3</w:t>
      </w:r>
      <w:r w:rsidRPr="00370164">
        <w:rPr>
          <w:rFonts w:ascii="Arial" w:hAnsi="Arial" w:cs="Arial"/>
          <w:b/>
        </w:rPr>
        <w:tab/>
        <w:t>SGPCC Annual Report for Financial Year 2021/2022</w:t>
      </w:r>
    </w:p>
    <w:p w14:paraId="60F6B699" w14:textId="77777777" w:rsidR="00D90727" w:rsidRPr="00370164" w:rsidRDefault="00D90727" w:rsidP="00370164">
      <w:pPr>
        <w:spacing w:after="0"/>
        <w:rPr>
          <w:rFonts w:ascii="Arial" w:hAnsi="Arial" w:cs="Arial"/>
          <w:color w:val="FF0000"/>
        </w:rPr>
      </w:pPr>
    </w:p>
    <w:p w14:paraId="73C7E8CA" w14:textId="77777777" w:rsidR="004F7D14" w:rsidRPr="00370164" w:rsidRDefault="004F7D14" w:rsidP="00370164">
      <w:pPr>
        <w:spacing w:after="0"/>
        <w:ind w:left="720"/>
        <w:rPr>
          <w:rFonts w:ascii="Arial" w:hAnsi="Arial" w:cs="Arial"/>
        </w:rPr>
      </w:pPr>
      <w:r w:rsidRPr="00370164">
        <w:rPr>
          <w:rFonts w:ascii="Arial" w:hAnsi="Arial" w:cs="Arial"/>
        </w:rPr>
        <w:t xml:space="preserve">Gareth Adkins presented the SGPCC Annual </w:t>
      </w:r>
      <w:r w:rsidR="00EA09AF" w:rsidRPr="00370164">
        <w:rPr>
          <w:rFonts w:ascii="Arial" w:hAnsi="Arial" w:cs="Arial"/>
        </w:rPr>
        <w:t>Report for financial y</w:t>
      </w:r>
      <w:r w:rsidRPr="00370164">
        <w:rPr>
          <w:rFonts w:ascii="Arial" w:hAnsi="Arial" w:cs="Arial"/>
        </w:rPr>
        <w:t xml:space="preserve">ear 2021/2022 to the Committee. </w:t>
      </w:r>
    </w:p>
    <w:p w14:paraId="573A8C16" w14:textId="77777777" w:rsidR="0068726E" w:rsidRPr="00370164" w:rsidRDefault="0068726E" w:rsidP="00370164">
      <w:pPr>
        <w:spacing w:after="0"/>
        <w:ind w:left="720"/>
        <w:rPr>
          <w:rFonts w:ascii="Arial" w:hAnsi="Arial" w:cs="Arial"/>
        </w:rPr>
      </w:pPr>
    </w:p>
    <w:p w14:paraId="7C1D07D2" w14:textId="2F372ECF" w:rsidR="0068726E" w:rsidRPr="00370164" w:rsidRDefault="0068726E" w:rsidP="00370164">
      <w:pPr>
        <w:spacing w:after="0"/>
        <w:ind w:left="720"/>
        <w:rPr>
          <w:rFonts w:ascii="Arial" w:hAnsi="Arial" w:cs="Arial"/>
        </w:rPr>
      </w:pPr>
      <w:r w:rsidRPr="00370164">
        <w:rPr>
          <w:rFonts w:ascii="Arial" w:hAnsi="Arial" w:cs="Arial"/>
        </w:rPr>
        <w:t xml:space="preserve">The Committee </w:t>
      </w:r>
      <w:r w:rsidR="0098548C">
        <w:rPr>
          <w:rFonts w:ascii="Arial" w:hAnsi="Arial" w:cs="Arial"/>
        </w:rPr>
        <w:t>noted the report and</w:t>
      </w:r>
      <w:r w:rsidRPr="00370164">
        <w:rPr>
          <w:rFonts w:ascii="Arial" w:hAnsi="Arial" w:cs="Arial"/>
        </w:rPr>
        <w:t xml:space="preserve"> recommended </w:t>
      </w:r>
      <w:r w:rsidR="0098548C">
        <w:rPr>
          <w:rFonts w:ascii="Arial" w:hAnsi="Arial" w:cs="Arial"/>
        </w:rPr>
        <w:t xml:space="preserve">it be </w:t>
      </w:r>
      <w:r w:rsidRPr="00370164">
        <w:rPr>
          <w:rFonts w:ascii="Arial" w:hAnsi="Arial" w:cs="Arial"/>
        </w:rPr>
        <w:t>update</w:t>
      </w:r>
      <w:r w:rsidR="0098548C">
        <w:rPr>
          <w:rFonts w:ascii="Arial" w:hAnsi="Arial" w:cs="Arial"/>
        </w:rPr>
        <w:t>d</w:t>
      </w:r>
      <w:r w:rsidRPr="00370164">
        <w:rPr>
          <w:rFonts w:ascii="Arial" w:hAnsi="Arial" w:cs="Arial"/>
        </w:rPr>
        <w:t xml:space="preserve"> before presenting to the </w:t>
      </w:r>
      <w:r w:rsidR="0098548C">
        <w:rPr>
          <w:rFonts w:ascii="Arial" w:hAnsi="Arial" w:cs="Arial"/>
        </w:rPr>
        <w:t>Audit &amp; Risk Committee and the B</w:t>
      </w:r>
      <w:r w:rsidRPr="00370164">
        <w:rPr>
          <w:rFonts w:ascii="Arial" w:hAnsi="Arial" w:cs="Arial"/>
        </w:rPr>
        <w:t>oard</w:t>
      </w:r>
      <w:r w:rsidR="0098548C">
        <w:rPr>
          <w:rFonts w:ascii="Arial" w:hAnsi="Arial" w:cs="Arial"/>
        </w:rPr>
        <w:t xml:space="preserve"> of NHS Golden Jubilee, in order to be clearer as regards membership of the Committee, requirements for recording apologies of non-members and the situation in respect of attendees whose attendance is expected on a standing basis, as opposed to those attendees whose attendance is required on an ad-hoc basis.</w:t>
      </w:r>
    </w:p>
    <w:p w14:paraId="00C20FB5" w14:textId="77777777" w:rsidR="0068726E" w:rsidRPr="00370164" w:rsidRDefault="0068726E" w:rsidP="00370164">
      <w:pPr>
        <w:spacing w:after="0"/>
        <w:rPr>
          <w:rFonts w:ascii="Arial" w:hAnsi="Arial" w:cs="Arial"/>
          <w:color w:val="FF0000"/>
        </w:rPr>
      </w:pPr>
    </w:p>
    <w:tbl>
      <w:tblPr>
        <w:tblStyle w:val="TableGrid"/>
        <w:tblW w:w="0" w:type="auto"/>
        <w:jc w:val="center"/>
        <w:tblLook w:val="04A0" w:firstRow="1" w:lastRow="0" w:firstColumn="1" w:lastColumn="0" w:noHBand="0" w:noVBand="1"/>
      </w:tblPr>
      <w:tblGrid>
        <w:gridCol w:w="2122"/>
        <w:gridCol w:w="4677"/>
        <w:gridCol w:w="1843"/>
      </w:tblGrid>
      <w:tr w:rsidR="0068726E" w:rsidRPr="00370164" w14:paraId="0D9BD862" w14:textId="77777777" w:rsidTr="0068726E">
        <w:trPr>
          <w:jc w:val="center"/>
        </w:trPr>
        <w:tc>
          <w:tcPr>
            <w:tcW w:w="2122" w:type="dxa"/>
          </w:tcPr>
          <w:p w14:paraId="2FE15584" w14:textId="77777777" w:rsidR="0068726E" w:rsidRPr="00370164" w:rsidRDefault="0068726E" w:rsidP="00370164">
            <w:pPr>
              <w:spacing w:after="0"/>
              <w:contextualSpacing/>
              <w:rPr>
                <w:rFonts w:ascii="Arial" w:hAnsi="Arial" w:cs="Arial"/>
                <w:b/>
              </w:rPr>
            </w:pPr>
            <w:r w:rsidRPr="00370164">
              <w:rPr>
                <w:rFonts w:ascii="Arial" w:hAnsi="Arial" w:cs="Arial"/>
                <w:b/>
              </w:rPr>
              <w:t>Action No.</w:t>
            </w:r>
          </w:p>
        </w:tc>
        <w:tc>
          <w:tcPr>
            <w:tcW w:w="4677" w:type="dxa"/>
          </w:tcPr>
          <w:p w14:paraId="729A7CB9" w14:textId="77777777" w:rsidR="0068726E" w:rsidRPr="00370164" w:rsidRDefault="0068726E" w:rsidP="00370164">
            <w:pPr>
              <w:spacing w:after="0"/>
              <w:contextualSpacing/>
              <w:rPr>
                <w:rFonts w:ascii="Arial" w:hAnsi="Arial" w:cs="Arial"/>
                <w:b/>
              </w:rPr>
            </w:pPr>
            <w:r w:rsidRPr="00370164">
              <w:rPr>
                <w:rFonts w:ascii="Arial" w:hAnsi="Arial" w:cs="Arial"/>
                <w:b/>
              </w:rPr>
              <w:t>Action</w:t>
            </w:r>
          </w:p>
        </w:tc>
        <w:tc>
          <w:tcPr>
            <w:tcW w:w="1843" w:type="dxa"/>
          </w:tcPr>
          <w:p w14:paraId="2BAFAD65" w14:textId="77777777" w:rsidR="0068726E" w:rsidRPr="00370164" w:rsidRDefault="0068726E" w:rsidP="00370164">
            <w:pPr>
              <w:spacing w:after="0"/>
              <w:contextualSpacing/>
              <w:rPr>
                <w:rFonts w:ascii="Arial" w:hAnsi="Arial" w:cs="Arial"/>
                <w:b/>
              </w:rPr>
            </w:pPr>
            <w:r w:rsidRPr="00370164">
              <w:rPr>
                <w:rFonts w:ascii="Arial" w:hAnsi="Arial" w:cs="Arial"/>
                <w:b/>
              </w:rPr>
              <w:t>Lead</w:t>
            </w:r>
          </w:p>
        </w:tc>
      </w:tr>
      <w:tr w:rsidR="0068726E" w:rsidRPr="00370164" w14:paraId="205752C1" w14:textId="77777777" w:rsidTr="0068726E">
        <w:trPr>
          <w:jc w:val="center"/>
        </w:trPr>
        <w:tc>
          <w:tcPr>
            <w:tcW w:w="2122" w:type="dxa"/>
          </w:tcPr>
          <w:p w14:paraId="2EC8CF2A" w14:textId="77777777" w:rsidR="0068726E" w:rsidRPr="00370164" w:rsidRDefault="0068726E" w:rsidP="00370164">
            <w:pPr>
              <w:spacing w:after="0"/>
              <w:rPr>
                <w:rFonts w:ascii="Arial" w:hAnsi="Arial" w:cs="Arial"/>
                <w:color w:val="000000"/>
              </w:rPr>
            </w:pPr>
            <w:r w:rsidRPr="00370164">
              <w:rPr>
                <w:rFonts w:ascii="Arial" w:hAnsi="Arial" w:cs="Arial"/>
                <w:color w:val="000000"/>
              </w:rPr>
              <w:t>SGPCC/030522/02</w:t>
            </w:r>
          </w:p>
        </w:tc>
        <w:tc>
          <w:tcPr>
            <w:tcW w:w="4677" w:type="dxa"/>
          </w:tcPr>
          <w:p w14:paraId="68C05480" w14:textId="77777777" w:rsidR="0068726E" w:rsidRPr="00370164" w:rsidRDefault="0068726E" w:rsidP="0098548C">
            <w:pPr>
              <w:spacing w:after="0"/>
              <w:rPr>
                <w:rFonts w:ascii="Arial" w:hAnsi="Arial" w:cs="Arial"/>
                <w:b/>
                <w:bCs/>
                <w:color w:val="000000"/>
              </w:rPr>
            </w:pPr>
            <w:r w:rsidRPr="00370164">
              <w:rPr>
                <w:rFonts w:ascii="Arial" w:hAnsi="Arial" w:cs="Arial"/>
                <w:b/>
                <w:bCs/>
                <w:color w:val="000000"/>
              </w:rPr>
              <w:t xml:space="preserve">5.3 SGPCC Annual Report for Financial Year 2021/22                                          </w:t>
            </w:r>
            <w:r w:rsidRPr="00370164">
              <w:rPr>
                <w:rFonts w:ascii="Arial" w:hAnsi="Arial" w:cs="Arial"/>
                <w:color w:val="000000"/>
              </w:rPr>
              <w:t xml:space="preserve">Amend report to </w:t>
            </w:r>
            <w:r w:rsidR="0098548C">
              <w:rPr>
                <w:rFonts w:ascii="Arial" w:hAnsi="Arial" w:cs="Arial"/>
                <w:color w:val="000000"/>
              </w:rPr>
              <w:t>clarify membership/attendance/apologies and status of attendees</w:t>
            </w:r>
            <w:r w:rsidRPr="00370164">
              <w:rPr>
                <w:rFonts w:ascii="Arial" w:hAnsi="Arial" w:cs="Arial"/>
                <w:color w:val="000000"/>
              </w:rPr>
              <w:t>.</w:t>
            </w:r>
          </w:p>
        </w:tc>
        <w:tc>
          <w:tcPr>
            <w:tcW w:w="1843" w:type="dxa"/>
          </w:tcPr>
          <w:p w14:paraId="35768EF6" w14:textId="77777777" w:rsidR="0068726E" w:rsidRPr="00370164" w:rsidRDefault="0068726E" w:rsidP="00370164">
            <w:pPr>
              <w:spacing w:after="0"/>
              <w:rPr>
                <w:rFonts w:ascii="Arial" w:hAnsi="Arial" w:cs="Arial"/>
                <w:color w:val="000000"/>
              </w:rPr>
            </w:pPr>
            <w:r w:rsidRPr="00370164">
              <w:rPr>
                <w:rFonts w:ascii="Arial" w:hAnsi="Arial" w:cs="Arial"/>
                <w:color w:val="000000"/>
              </w:rPr>
              <w:t>Marcella Boyle</w:t>
            </w:r>
            <w:r w:rsidRPr="00370164">
              <w:rPr>
                <w:rFonts w:ascii="Arial" w:hAnsi="Arial" w:cs="Arial"/>
                <w:color w:val="000000"/>
              </w:rPr>
              <w:br/>
              <w:t>Gareth Adkins</w:t>
            </w:r>
            <w:r w:rsidRPr="00370164">
              <w:rPr>
                <w:rFonts w:ascii="Arial" w:hAnsi="Arial" w:cs="Arial"/>
                <w:color w:val="000000"/>
              </w:rPr>
              <w:br/>
              <w:t>Gerard Gardiner</w:t>
            </w:r>
          </w:p>
        </w:tc>
      </w:tr>
    </w:tbl>
    <w:p w14:paraId="510E725B" w14:textId="77777777" w:rsidR="0068726E" w:rsidRPr="00370164" w:rsidRDefault="0068726E" w:rsidP="00370164">
      <w:pPr>
        <w:spacing w:after="0"/>
        <w:rPr>
          <w:rFonts w:ascii="Arial" w:hAnsi="Arial" w:cs="Arial"/>
          <w:color w:val="FF0000"/>
        </w:rPr>
      </w:pPr>
    </w:p>
    <w:p w14:paraId="3245E866" w14:textId="77777777" w:rsidR="00D90727" w:rsidRPr="00370164" w:rsidRDefault="0068726E" w:rsidP="00370164">
      <w:pPr>
        <w:spacing w:after="0"/>
        <w:rPr>
          <w:rFonts w:ascii="Arial" w:hAnsi="Arial" w:cs="Arial"/>
        </w:rPr>
      </w:pPr>
      <w:r w:rsidRPr="00370164">
        <w:rPr>
          <w:rFonts w:ascii="Arial" w:hAnsi="Arial" w:cs="Arial"/>
          <w:color w:val="FF0000"/>
        </w:rPr>
        <w:tab/>
      </w:r>
      <w:r w:rsidRPr="00370164">
        <w:rPr>
          <w:rFonts w:ascii="Arial" w:hAnsi="Arial" w:cs="Arial"/>
        </w:rPr>
        <w:t>Committee noted the SGPCC Annual Report for Financial Year 2021/2022.</w:t>
      </w:r>
    </w:p>
    <w:p w14:paraId="3EF154A4" w14:textId="77777777" w:rsidR="0068726E" w:rsidRPr="00370164" w:rsidRDefault="0068726E" w:rsidP="00370164">
      <w:pPr>
        <w:spacing w:after="0"/>
        <w:rPr>
          <w:rFonts w:ascii="Arial" w:hAnsi="Arial" w:cs="Arial"/>
          <w:color w:val="FF0000"/>
        </w:rPr>
      </w:pPr>
    </w:p>
    <w:p w14:paraId="4B48EB46" w14:textId="77777777" w:rsidR="00D90727" w:rsidRPr="00370164" w:rsidRDefault="00D90727" w:rsidP="00370164">
      <w:pPr>
        <w:spacing w:after="0"/>
        <w:rPr>
          <w:rFonts w:ascii="Arial" w:hAnsi="Arial" w:cs="Arial"/>
          <w:b/>
        </w:rPr>
      </w:pPr>
      <w:r w:rsidRPr="00370164">
        <w:rPr>
          <w:rFonts w:ascii="Arial" w:hAnsi="Arial" w:cs="Arial"/>
          <w:b/>
        </w:rPr>
        <w:t>5.4</w:t>
      </w:r>
      <w:r w:rsidRPr="00370164">
        <w:rPr>
          <w:rFonts w:ascii="Arial" w:hAnsi="Arial" w:cs="Arial"/>
          <w:b/>
        </w:rPr>
        <w:tab/>
        <w:t>SGPCC Draft Annual Workplan 2022/2023</w:t>
      </w:r>
    </w:p>
    <w:p w14:paraId="4776B226" w14:textId="77777777" w:rsidR="00D90727" w:rsidRPr="00370164" w:rsidRDefault="00D90727" w:rsidP="00370164">
      <w:pPr>
        <w:spacing w:after="0"/>
        <w:rPr>
          <w:rFonts w:ascii="Arial" w:hAnsi="Arial" w:cs="Arial"/>
          <w:color w:val="FF0000"/>
        </w:rPr>
      </w:pPr>
    </w:p>
    <w:p w14:paraId="2F9D2DDA" w14:textId="77777777" w:rsidR="00ED00C5" w:rsidRPr="00370164" w:rsidRDefault="00ED00C5" w:rsidP="00370164">
      <w:pPr>
        <w:spacing w:after="0"/>
        <w:ind w:left="720"/>
        <w:rPr>
          <w:rFonts w:ascii="Arial" w:hAnsi="Arial" w:cs="Arial"/>
        </w:rPr>
      </w:pPr>
      <w:r w:rsidRPr="00370164">
        <w:rPr>
          <w:rFonts w:ascii="Arial" w:hAnsi="Arial" w:cs="Arial"/>
        </w:rPr>
        <w:t xml:space="preserve">Gareth Adkins presented the SGPCC Draft Annual Workplan 2022/2023 to the Committee. </w:t>
      </w:r>
    </w:p>
    <w:p w14:paraId="3BF4DA10" w14:textId="77777777" w:rsidR="00ED00C5" w:rsidRPr="00370164" w:rsidRDefault="00ED00C5" w:rsidP="00370164">
      <w:pPr>
        <w:spacing w:after="0"/>
        <w:ind w:left="720"/>
        <w:rPr>
          <w:rFonts w:ascii="Arial" w:hAnsi="Arial" w:cs="Arial"/>
        </w:rPr>
      </w:pPr>
    </w:p>
    <w:p w14:paraId="3B5E77CC" w14:textId="77777777" w:rsidR="00D90727" w:rsidRPr="00370164" w:rsidRDefault="00ED00C5" w:rsidP="00370164">
      <w:pPr>
        <w:spacing w:after="0"/>
        <w:ind w:left="720"/>
        <w:rPr>
          <w:rFonts w:ascii="Arial" w:hAnsi="Arial" w:cs="Arial"/>
        </w:rPr>
      </w:pPr>
      <w:r w:rsidRPr="00370164">
        <w:rPr>
          <w:rFonts w:ascii="Arial" w:hAnsi="Arial" w:cs="Arial"/>
        </w:rPr>
        <w:t>Committee noted the workplan and how the Workforce Monitoring Report aligns with the workplan, which will be refreshed to</w:t>
      </w:r>
      <w:r w:rsidR="00A75273">
        <w:rPr>
          <w:rFonts w:ascii="Arial" w:hAnsi="Arial" w:cs="Arial"/>
        </w:rPr>
        <w:t xml:space="preserve"> ensure the</w:t>
      </w:r>
      <w:r w:rsidRPr="00370164">
        <w:rPr>
          <w:rFonts w:ascii="Arial" w:hAnsi="Arial" w:cs="Arial"/>
        </w:rPr>
        <w:t xml:space="preserve"> </w:t>
      </w:r>
      <w:r w:rsidR="00A75273">
        <w:rPr>
          <w:rFonts w:ascii="Arial" w:hAnsi="Arial" w:cs="Arial"/>
        </w:rPr>
        <w:t>feedback session aligned with reporting frequencies for this area of NHSGJ performance</w:t>
      </w:r>
      <w:r w:rsidRPr="00370164">
        <w:rPr>
          <w:rFonts w:ascii="Arial" w:hAnsi="Arial" w:cs="Arial"/>
        </w:rPr>
        <w:t xml:space="preserve">. </w:t>
      </w:r>
    </w:p>
    <w:p w14:paraId="32269ABC" w14:textId="77777777" w:rsidR="00370164" w:rsidRPr="00370164" w:rsidRDefault="00370164" w:rsidP="00370164">
      <w:pPr>
        <w:spacing w:after="0"/>
        <w:ind w:left="720"/>
        <w:rPr>
          <w:rFonts w:ascii="Arial" w:hAnsi="Arial" w:cs="Arial"/>
        </w:rPr>
      </w:pPr>
    </w:p>
    <w:tbl>
      <w:tblPr>
        <w:tblStyle w:val="TableGrid"/>
        <w:tblW w:w="0" w:type="auto"/>
        <w:jc w:val="center"/>
        <w:tblLook w:val="04A0" w:firstRow="1" w:lastRow="0" w:firstColumn="1" w:lastColumn="0" w:noHBand="0" w:noVBand="1"/>
      </w:tblPr>
      <w:tblGrid>
        <w:gridCol w:w="2122"/>
        <w:gridCol w:w="4677"/>
        <w:gridCol w:w="1843"/>
      </w:tblGrid>
      <w:tr w:rsidR="00ED00C5" w:rsidRPr="00370164" w14:paraId="06853EF1" w14:textId="77777777" w:rsidTr="00ED00C5">
        <w:trPr>
          <w:jc w:val="center"/>
        </w:trPr>
        <w:tc>
          <w:tcPr>
            <w:tcW w:w="2122" w:type="dxa"/>
          </w:tcPr>
          <w:p w14:paraId="0E0AFF08" w14:textId="77777777" w:rsidR="00ED00C5" w:rsidRPr="00370164" w:rsidRDefault="00ED00C5" w:rsidP="00370164">
            <w:pPr>
              <w:spacing w:after="0"/>
              <w:contextualSpacing/>
              <w:rPr>
                <w:rFonts w:ascii="Arial" w:hAnsi="Arial" w:cs="Arial"/>
                <w:b/>
              </w:rPr>
            </w:pPr>
            <w:r w:rsidRPr="00370164">
              <w:rPr>
                <w:rFonts w:ascii="Arial" w:hAnsi="Arial" w:cs="Arial"/>
                <w:b/>
              </w:rPr>
              <w:t>Action No.</w:t>
            </w:r>
          </w:p>
        </w:tc>
        <w:tc>
          <w:tcPr>
            <w:tcW w:w="4677" w:type="dxa"/>
          </w:tcPr>
          <w:p w14:paraId="56E69C7D" w14:textId="77777777" w:rsidR="00ED00C5" w:rsidRPr="00370164" w:rsidRDefault="00ED00C5" w:rsidP="00370164">
            <w:pPr>
              <w:spacing w:after="0"/>
              <w:contextualSpacing/>
              <w:rPr>
                <w:rFonts w:ascii="Arial" w:hAnsi="Arial" w:cs="Arial"/>
                <w:b/>
              </w:rPr>
            </w:pPr>
            <w:r w:rsidRPr="00370164">
              <w:rPr>
                <w:rFonts w:ascii="Arial" w:hAnsi="Arial" w:cs="Arial"/>
                <w:b/>
              </w:rPr>
              <w:t>Action</w:t>
            </w:r>
          </w:p>
        </w:tc>
        <w:tc>
          <w:tcPr>
            <w:tcW w:w="1843" w:type="dxa"/>
          </w:tcPr>
          <w:p w14:paraId="680E454B" w14:textId="77777777" w:rsidR="00ED00C5" w:rsidRPr="00370164" w:rsidRDefault="00ED00C5" w:rsidP="00370164">
            <w:pPr>
              <w:spacing w:after="0"/>
              <w:contextualSpacing/>
              <w:rPr>
                <w:rFonts w:ascii="Arial" w:hAnsi="Arial" w:cs="Arial"/>
                <w:b/>
              </w:rPr>
            </w:pPr>
            <w:r w:rsidRPr="00370164">
              <w:rPr>
                <w:rFonts w:ascii="Arial" w:hAnsi="Arial" w:cs="Arial"/>
                <w:b/>
              </w:rPr>
              <w:t>Lead</w:t>
            </w:r>
          </w:p>
        </w:tc>
      </w:tr>
      <w:tr w:rsidR="00ED00C5" w:rsidRPr="00370164" w14:paraId="098B7A48" w14:textId="77777777" w:rsidTr="00ED00C5">
        <w:trPr>
          <w:jc w:val="center"/>
        </w:trPr>
        <w:tc>
          <w:tcPr>
            <w:tcW w:w="2122" w:type="dxa"/>
          </w:tcPr>
          <w:p w14:paraId="40CC5E38" w14:textId="77777777" w:rsidR="00ED00C5" w:rsidRPr="00370164" w:rsidRDefault="00186E14" w:rsidP="00370164">
            <w:pPr>
              <w:spacing w:after="0"/>
              <w:rPr>
                <w:rFonts w:ascii="Arial" w:hAnsi="Arial" w:cs="Arial"/>
                <w:color w:val="000000"/>
              </w:rPr>
            </w:pPr>
            <w:r w:rsidRPr="00370164">
              <w:rPr>
                <w:rFonts w:ascii="Arial" w:hAnsi="Arial" w:cs="Arial"/>
                <w:color w:val="000000"/>
              </w:rPr>
              <w:t>SGPCC/030522/03</w:t>
            </w:r>
          </w:p>
        </w:tc>
        <w:tc>
          <w:tcPr>
            <w:tcW w:w="4677" w:type="dxa"/>
          </w:tcPr>
          <w:p w14:paraId="7B476CCC" w14:textId="77777777" w:rsidR="00ED00C5" w:rsidRPr="00370164" w:rsidRDefault="00186E14" w:rsidP="00370164">
            <w:pPr>
              <w:spacing w:after="0"/>
              <w:rPr>
                <w:rFonts w:ascii="Arial" w:hAnsi="Arial" w:cs="Arial"/>
                <w:b/>
                <w:bCs/>
                <w:color w:val="000000"/>
              </w:rPr>
            </w:pPr>
            <w:r w:rsidRPr="00370164">
              <w:rPr>
                <w:rFonts w:ascii="Arial" w:hAnsi="Arial" w:cs="Arial"/>
                <w:b/>
                <w:bCs/>
                <w:color w:val="000000"/>
              </w:rPr>
              <w:t xml:space="preserve">5.4 SGPCC Draft Annual Workplan 2022/23                          </w:t>
            </w:r>
            <w:r w:rsidRPr="00370164">
              <w:rPr>
                <w:rFonts w:ascii="Arial" w:hAnsi="Arial" w:cs="Arial"/>
                <w:color w:val="000000"/>
              </w:rPr>
              <w:t>Refresh workforce monitoring report to reflect feedback report before the next meeting.</w:t>
            </w:r>
          </w:p>
        </w:tc>
        <w:tc>
          <w:tcPr>
            <w:tcW w:w="1843" w:type="dxa"/>
          </w:tcPr>
          <w:p w14:paraId="7E25C1DF" w14:textId="77777777" w:rsidR="00ED00C5" w:rsidRPr="00370164" w:rsidRDefault="00186E14" w:rsidP="00370164">
            <w:pPr>
              <w:spacing w:after="0"/>
              <w:rPr>
                <w:rFonts w:ascii="Arial" w:hAnsi="Arial" w:cs="Arial"/>
                <w:color w:val="000000"/>
              </w:rPr>
            </w:pPr>
            <w:r w:rsidRPr="00370164">
              <w:rPr>
                <w:rFonts w:ascii="Arial" w:hAnsi="Arial" w:cs="Arial"/>
                <w:color w:val="000000"/>
              </w:rPr>
              <w:t>Anne Marie Cavanagh Serena Barnatt</w:t>
            </w:r>
          </w:p>
        </w:tc>
      </w:tr>
    </w:tbl>
    <w:p w14:paraId="46DECFC8" w14:textId="77777777" w:rsidR="00ED00C5" w:rsidRPr="00370164" w:rsidRDefault="00ED00C5" w:rsidP="00370164">
      <w:pPr>
        <w:spacing w:after="0"/>
        <w:rPr>
          <w:rFonts w:ascii="Arial" w:hAnsi="Arial" w:cs="Arial"/>
        </w:rPr>
      </w:pPr>
    </w:p>
    <w:p w14:paraId="6CD60B43" w14:textId="77777777" w:rsidR="00186E14" w:rsidRDefault="00186E14" w:rsidP="00370164">
      <w:pPr>
        <w:spacing w:after="0"/>
        <w:rPr>
          <w:rFonts w:ascii="Arial" w:hAnsi="Arial" w:cs="Arial"/>
          <w:color w:val="FF0000"/>
        </w:rPr>
      </w:pPr>
      <w:r w:rsidRPr="00370164">
        <w:rPr>
          <w:rFonts w:ascii="Arial" w:hAnsi="Arial" w:cs="Arial"/>
        </w:rPr>
        <w:tab/>
        <w:t>Committee noted the SGPCC Draft Annual Work</w:t>
      </w:r>
      <w:r w:rsidR="0098548C">
        <w:rPr>
          <w:rFonts w:ascii="Arial" w:hAnsi="Arial" w:cs="Arial"/>
        </w:rPr>
        <w:t>-</w:t>
      </w:r>
      <w:r w:rsidRPr="00370164">
        <w:rPr>
          <w:rFonts w:ascii="Arial" w:hAnsi="Arial" w:cs="Arial"/>
        </w:rPr>
        <w:t>plan 2022/2023.</w:t>
      </w:r>
    </w:p>
    <w:p w14:paraId="6A7B00D9" w14:textId="77777777" w:rsidR="001029BE" w:rsidRPr="00370164" w:rsidRDefault="001029BE" w:rsidP="00370164">
      <w:pPr>
        <w:spacing w:after="0"/>
        <w:rPr>
          <w:rFonts w:ascii="Arial" w:hAnsi="Arial" w:cs="Arial"/>
          <w:color w:val="FF0000"/>
        </w:rPr>
      </w:pPr>
    </w:p>
    <w:p w14:paraId="0BDC7A40" w14:textId="77777777" w:rsidR="00D90727" w:rsidRPr="00370164" w:rsidRDefault="00D90727" w:rsidP="00370164">
      <w:pPr>
        <w:spacing w:after="0"/>
        <w:rPr>
          <w:rFonts w:ascii="Arial" w:hAnsi="Arial" w:cs="Arial"/>
          <w:b/>
        </w:rPr>
      </w:pPr>
      <w:r w:rsidRPr="00370164">
        <w:rPr>
          <w:rFonts w:ascii="Arial" w:hAnsi="Arial" w:cs="Arial"/>
          <w:b/>
        </w:rPr>
        <w:t>5.5</w:t>
      </w:r>
      <w:r w:rsidRPr="00370164">
        <w:rPr>
          <w:rFonts w:ascii="Arial" w:hAnsi="Arial" w:cs="Arial"/>
          <w:b/>
        </w:rPr>
        <w:tab/>
        <w:t>National Workforce Strategy for Health and Social Care</w:t>
      </w:r>
    </w:p>
    <w:p w14:paraId="244A8E91" w14:textId="77777777" w:rsidR="00D90727" w:rsidRPr="00370164" w:rsidRDefault="00D90727" w:rsidP="00370164">
      <w:pPr>
        <w:spacing w:after="0"/>
        <w:rPr>
          <w:rFonts w:ascii="Arial" w:hAnsi="Arial" w:cs="Arial"/>
          <w:color w:val="FF0000"/>
        </w:rPr>
      </w:pPr>
    </w:p>
    <w:p w14:paraId="5B4C15AF" w14:textId="77777777" w:rsidR="00BE2DA1" w:rsidRPr="00370164" w:rsidRDefault="00BE2DA1" w:rsidP="00370164">
      <w:pPr>
        <w:spacing w:after="0"/>
        <w:ind w:left="720"/>
        <w:rPr>
          <w:rFonts w:ascii="Arial" w:hAnsi="Arial" w:cs="Arial"/>
        </w:rPr>
      </w:pPr>
      <w:r w:rsidRPr="00370164">
        <w:rPr>
          <w:rFonts w:ascii="Arial" w:hAnsi="Arial" w:cs="Arial"/>
        </w:rPr>
        <w:t xml:space="preserve">Serena Barnatt </w:t>
      </w:r>
      <w:r w:rsidR="0098548C">
        <w:rPr>
          <w:rFonts w:ascii="Arial" w:hAnsi="Arial" w:cs="Arial"/>
        </w:rPr>
        <w:t>provided</w:t>
      </w:r>
      <w:r w:rsidRPr="00370164">
        <w:rPr>
          <w:rFonts w:ascii="Arial" w:hAnsi="Arial" w:cs="Arial"/>
        </w:rPr>
        <w:t xml:space="preserve"> a</w:t>
      </w:r>
      <w:r w:rsidR="002F6A33">
        <w:rPr>
          <w:rFonts w:ascii="Arial" w:hAnsi="Arial" w:cs="Arial"/>
        </w:rPr>
        <w:t>n</w:t>
      </w:r>
      <w:r w:rsidRPr="00370164">
        <w:rPr>
          <w:rFonts w:ascii="Arial" w:hAnsi="Arial" w:cs="Arial"/>
        </w:rPr>
        <w:t xml:space="preserve"> update on </w:t>
      </w:r>
      <w:r w:rsidR="0098548C">
        <w:rPr>
          <w:rFonts w:ascii="Arial" w:hAnsi="Arial" w:cs="Arial"/>
        </w:rPr>
        <w:t xml:space="preserve">the </w:t>
      </w:r>
      <w:r w:rsidRPr="00370164">
        <w:rPr>
          <w:rFonts w:ascii="Arial" w:hAnsi="Arial" w:cs="Arial"/>
        </w:rPr>
        <w:t>National Workforce Strategy for Health and Social Care to the Committee</w:t>
      </w:r>
      <w:r w:rsidR="002F6A33">
        <w:rPr>
          <w:rFonts w:ascii="Arial" w:hAnsi="Arial" w:cs="Arial"/>
        </w:rPr>
        <w:t>, which was published by the Scottish Government on 11 March 2022</w:t>
      </w:r>
      <w:r w:rsidRPr="00370164">
        <w:rPr>
          <w:rFonts w:ascii="Arial" w:hAnsi="Arial" w:cs="Arial"/>
        </w:rPr>
        <w:t xml:space="preserve">. </w:t>
      </w:r>
    </w:p>
    <w:p w14:paraId="10E8BF95" w14:textId="77777777" w:rsidR="00BE2DA1" w:rsidRPr="00370164" w:rsidRDefault="00BE2DA1" w:rsidP="00370164">
      <w:pPr>
        <w:spacing w:after="0"/>
        <w:ind w:left="720"/>
        <w:rPr>
          <w:rFonts w:ascii="Arial" w:hAnsi="Arial" w:cs="Arial"/>
        </w:rPr>
      </w:pPr>
    </w:p>
    <w:p w14:paraId="4C0A64E9" w14:textId="77777777" w:rsidR="00BE2DA1" w:rsidRPr="00370164" w:rsidRDefault="00BE2DA1" w:rsidP="00370164">
      <w:pPr>
        <w:spacing w:after="0"/>
        <w:ind w:left="720"/>
        <w:rPr>
          <w:rFonts w:ascii="Arial" w:hAnsi="Arial" w:cs="Arial"/>
        </w:rPr>
      </w:pPr>
      <w:r w:rsidRPr="00370164">
        <w:rPr>
          <w:rFonts w:ascii="Arial" w:hAnsi="Arial" w:cs="Arial"/>
        </w:rPr>
        <w:t xml:space="preserve">The strategy will </w:t>
      </w:r>
      <w:r w:rsidR="0098548C">
        <w:rPr>
          <w:rFonts w:ascii="Arial" w:hAnsi="Arial" w:cs="Arial"/>
        </w:rPr>
        <w:t>c</w:t>
      </w:r>
      <w:r w:rsidRPr="00370164">
        <w:rPr>
          <w:rFonts w:ascii="Arial" w:hAnsi="Arial" w:cs="Arial"/>
        </w:rPr>
        <w:t xml:space="preserve">over a 10 year period and will support delivery of </w:t>
      </w:r>
      <w:r w:rsidR="0098548C">
        <w:rPr>
          <w:rFonts w:ascii="Arial" w:hAnsi="Arial" w:cs="Arial"/>
        </w:rPr>
        <w:t xml:space="preserve">the Board’s </w:t>
      </w:r>
      <w:r w:rsidR="002F6A33">
        <w:rPr>
          <w:rFonts w:ascii="Arial" w:hAnsi="Arial" w:cs="Arial"/>
        </w:rPr>
        <w:t xml:space="preserve">3 year </w:t>
      </w:r>
      <w:r w:rsidRPr="00370164">
        <w:rPr>
          <w:rFonts w:ascii="Arial" w:hAnsi="Arial" w:cs="Arial"/>
        </w:rPr>
        <w:t>work</w:t>
      </w:r>
      <w:r w:rsidR="002F6A33">
        <w:rPr>
          <w:rFonts w:ascii="Arial" w:hAnsi="Arial" w:cs="Arial"/>
        </w:rPr>
        <w:t xml:space="preserve">force </w:t>
      </w:r>
      <w:r w:rsidRPr="00370164">
        <w:rPr>
          <w:rFonts w:ascii="Arial" w:hAnsi="Arial" w:cs="Arial"/>
        </w:rPr>
        <w:t xml:space="preserve">plan. The workplan will reference key pillars highlighted in the </w:t>
      </w:r>
      <w:r w:rsidR="0098548C">
        <w:rPr>
          <w:rFonts w:ascii="Arial" w:hAnsi="Arial" w:cs="Arial"/>
        </w:rPr>
        <w:t>strategy document.</w:t>
      </w:r>
    </w:p>
    <w:p w14:paraId="45CE17CF" w14:textId="77777777" w:rsidR="00BE2DA1" w:rsidRPr="00370164" w:rsidRDefault="00BE2DA1" w:rsidP="00370164">
      <w:pPr>
        <w:spacing w:after="0"/>
        <w:ind w:left="720"/>
        <w:rPr>
          <w:rFonts w:ascii="Arial" w:hAnsi="Arial" w:cs="Arial"/>
        </w:rPr>
      </w:pPr>
    </w:p>
    <w:p w14:paraId="0E743FE3" w14:textId="77777777" w:rsidR="002F6A33" w:rsidRPr="00370164" w:rsidRDefault="00BE2DA1" w:rsidP="002F6A33">
      <w:pPr>
        <w:spacing w:after="0"/>
        <w:ind w:left="720"/>
        <w:rPr>
          <w:rFonts w:ascii="Arial" w:hAnsi="Arial" w:cs="Arial"/>
        </w:rPr>
      </w:pPr>
      <w:r w:rsidRPr="00370164">
        <w:rPr>
          <w:rFonts w:ascii="Arial" w:hAnsi="Arial" w:cs="Arial"/>
        </w:rPr>
        <w:t xml:space="preserve">Committee </w:t>
      </w:r>
      <w:r w:rsidR="0098548C">
        <w:rPr>
          <w:rFonts w:ascii="Arial" w:hAnsi="Arial" w:cs="Arial"/>
        </w:rPr>
        <w:t>noted the required alignment between the Board’s workforce plan and the</w:t>
      </w:r>
      <w:r w:rsidRPr="00370164">
        <w:rPr>
          <w:rFonts w:ascii="Arial" w:hAnsi="Arial" w:cs="Arial"/>
        </w:rPr>
        <w:t xml:space="preserve"> national strategy</w:t>
      </w:r>
      <w:r w:rsidR="0098548C">
        <w:rPr>
          <w:rFonts w:ascii="Arial" w:hAnsi="Arial" w:cs="Arial"/>
        </w:rPr>
        <w:t xml:space="preserve">. Committee also noted the </w:t>
      </w:r>
      <w:r w:rsidR="002F6A33">
        <w:rPr>
          <w:rFonts w:ascii="Arial" w:hAnsi="Arial" w:cs="Arial"/>
        </w:rPr>
        <w:t>requirements as regards submission of workforce</w:t>
      </w:r>
      <w:r w:rsidRPr="00370164">
        <w:rPr>
          <w:rFonts w:ascii="Arial" w:hAnsi="Arial" w:cs="Arial"/>
        </w:rPr>
        <w:t xml:space="preserve"> information to the Scottish Government </w:t>
      </w:r>
      <w:r w:rsidR="002F6A33">
        <w:rPr>
          <w:rFonts w:ascii="Arial" w:hAnsi="Arial" w:cs="Arial"/>
        </w:rPr>
        <w:t>as part of</w:t>
      </w:r>
      <w:r w:rsidRPr="00370164">
        <w:rPr>
          <w:rFonts w:ascii="Arial" w:hAnsi="Arial" w:cs="Arial"/>
        </w:rPr>
        <w:t xml:space="preserve"> the workforce plan. </w:t>
      </w:r>
    </w:p>
    <w:p w14:paraId="1CC39938" w14:textId="77777777" w:rsidR="00F76187" w:rsidRPr="00370164" w:rsidRDefault="00F76187" w:rsidP="00370164">
      <w:pPr>
        <w:spacing w:after="0"/>
        <w:ind w:left="720"/>
        <w:rPr>
          <w:rFonts w:ascii="Arial" w:hAnsi="Arial" w:cs="Arial"/>
        </w:rPr>
      </w:pPr>
    </w:p>
    <w:p w14:paraId="6BD355A4" w14:textId="05F1261A" w:rsidR="00946F20" w:rsidRPr="00370164" w:rsidRDefault="00F76187" w:rsidP="00B25785">
      <w:pPr>
        <w:spacing w:after="0"/>
        <w:ind w:left="720"/>
        <w:rPr>
          <w:rFonts w:ascii="Arial" w:hAnsi="Arial" w:cs="Arial"/>
        </w:rPr>
      </w:pPr>
      <w:r w:rsidRPr="00370164">
        <w:rPr>
          <w:rFonts w:ascii="Arial" w:hAnsi="Arial" w:cs="Arial"/>
        </w:rPr>
        <w:t xml:space="preserve">Jann Gardner advised the Committee that risks </w:t>
      </w:r>
      <w:r w:rsidR="002F6A33">
        <w:rPr>
          <w:rFonts w:ascii="Arial" w:hAnsi="Arial" w:cs="Arial"/>
        </w:rPr>
        <w:t>associated with the emerging National Strategy would</w:t>
      </w:r>
      <w:r w:rsidRPr="00370164">
        <w:rPr>
          <w:rFonts w:ascii="Arial" w:hAnsi="Arial" w:cs="Arial"/>
        </w:rPr>
        <w:t xml:space="preserve"> be discussed at </w:t>
      </w:r>
      <w:r w:rsidR="002F6A33">
        <w:rPr>
          <w:rFonts w:ascii="Arial" w:hAnsi="Arial" w:cs="Arial"/>
        </w:rPr>
        <w:t xml:space="preserve">the </w:t>
      </w:r>
      <w:r w:rsidRPr="00370164">
        <w:rPr>
          <w:rFonts w:ascii="Arial" w:hAnsi="Arial" w:cs="Arial"/>
        </w:rPr>
        <w:t xml:space="preserve">NHS Board meeting in May 2022, </w:t>
      </w:r>
      <w:r w:rsidR="002F6A33">
        <w:rPr>
          <w:rFonts w:ascii="Arial" w:hAnsi="Arial" w:cs="Arial"/>
        </w:rPr>
        <w:t xml:space="preserve">and </w:t>
      </w:r>
      <w:r w:rsidRPr="00370164">
        <w:rPr>
          <w:rFonts w:ascii="Arial" w:hAnsi="Arial" w:cs="Arial"/>
        </w:rPr>
        <w:t xml:space="preserve">that the National Workforce Strategy for Health and Social Care </w:t>
      </w:r>
      <w:r w:rsidR="002F6A33">
        <w:rPr>
          <w:rFonts w:ascii="Arial" w:hAnsi="Arial" w:cs="Arial"/>
        </w:rPr>
        <w:t>will be considered for inclusion in</w:t>
      </w:r>
      <w:r w:rsidRPr="00370164">
        <w:rPr>
          <w:rFonts w:ascii="Arial" w:hAnsi="Arial" w:cs="Arial"/>
        </w:rPr>
        <w:t xml:space="preserve"> the </w:t>
      </w:r>
      <w:r w:rsidR="002F6A33">
        <w:rPr>
          <w:rFonts w:ascii="Arial" w:hAnsi="Arial" w:cs="Arial"/>
        </w:rPr>
        <w:t>Board seminar programme. J Gardner also assured the Committee that the National Strategy would factor into the development of Executive</w:t>
      </w:r>
      <w:r w:rsidRPr="00370164">
        <w:rPr>
          <w:rFonts w:ascii="Arial" w:hAnsi="Arial" w:cs="Arial"/>
        </w:rPr>
        <w:t xml:space="preserve"> </w:t>
      </w:r>
      <w:r w:rsidR="00946F20" w:rsidRPr="00370164">
        <w:rPr>
          <w:rFonts w:ascii="Arial" w:hAnsi="Arial" w:cs="Arial"/>
        </w:rPr>
        <w:t>objectives</w:t>
      </w:r>
      <w:r w:rsidRPr="00370164">
        <w:rPr>
          <w:rFonts w:ascii="Arial" w:hAnsi="Arial" w:cs="Arial"/>
        </w:rPr>
        <w:t xml:space="preserve">. </w:t>
      </w:r>
      <w:r w:rsidR="00946F20" w:rsidRPr="00370164">
        <w:rPr>
          <w:rFonts w:ascii="Arial" w:hAnsi="Arial" w:cs="Arial"/>
        </w:rPr>
        <w:t>Committee agreed and</w:t>
      </w:r>
      <w:r w:rsidR="00B25785">
        <w:rPr>
          <w:rFonts w:ascii="Arial" w:hAnsi="Arial" w:cs="Arial"/>
        </w:rPr>
        <w:t xml:space="preserve"> </w:t>
      </w:r>
      <w:r w:rsidR="00946F20" w:rsidRPr="00370164">
        <w:rPr>
          <w:rFonts w:ascii="Arial" w:hAnsi="Arial" w:cs="Arial"/>
        </w:rPr>
        <w:t>Marcella Boyle offered support from non-executives for Gareth Adkins and Serena Barnatt if required</w:t>
      </w:r>
      <w:r w:rsidR="002F6A33">
        <w:rPr>
          <w:rFonts w:ascii="Arial" w:hAnsi="Arial" w:cs="Arial"/>
        </w:rPr>
        <w:t xml:space="preserve"> in developing the Board’s workforce plan</w:t>
      </w:r>
      <w:r w:rsidR="00946F20" w:rsidRPr="00370164">
        <w:rPr>
          <w:rFonts w:ascii="Arial" w:hAnsi="Arial" w:cs="Arial"/>
        </w:rPr>
        <w:t xml:space="preserve">.  </w:t>
      </w:r>
    </w:p>
    <w:p w14:paraId="25896AF7" w14:textId="77777777" w:rsidR="00D90727" w:rsidRPr="00370164" w:rsidRDefault="00946F20" w:rsidP="00370164">
      <w:pPr>
        <w:spacing w:after="0"/>
        <w:rPr>
          <w:rFonts w:ascii="Arial" w:hAnsi="Arial" w:cs="Arial"/>
        </w:rPr>
      </w:pPr>
      <w:r w:rsidRPr="00370164">
        <w:rPr>
          <w:rFonts w:ascii="Arial" w:hAnsi="Arial" w:cs="Arial"/>
        </w:rPr>
        <w:tab/>
      </w:r>
    </w:p>
    <w:p w14:paraId="23D95F46" w14:textId="77777777" w:rsidR="00946F20" w:rsidRPr="00370164" w:rsidRDefault="00946F20" w:rsidP="00370164">
      <w:pPr>
        <w:spacing w:after="0"/>
        <w:rPr>
          <w:rFonts w:ascii="Arial" w:hAnsi="Arial" w:cs="Arial"/>
          <w:color w:val="FF0000"/>
        </w:rPr>
      </w:pPr>
      <w:r w:rsidRPr="00370164">
        <w:rPr>
          <w:rFonts w:ascii="Arial" w:hAnsi="Arial" w:cs="Arial"/>
        </w:rPr>
        <w:tab/>
        <w:t xml:space="preserve">Committee noted the National Workforce Strategy for Health and Social Care. </w:t>
      </w:r>
    </w:p>
    <w:p w14:paraId="6528B63A" w14:textId="77777777" w:rsidR="00D90727" w:rsidRPr="00370164" w:rsidRDefault="00D90727" w:rsidP="00370164">
      <w:pPr>
        <w:spacing w:after="0"/>
        <w:rPr>
          <w:rFonts w:ascii="Arial" w:hAnsi="Arial" w:cs="Arial"/>
          <w:color w:val="FF0000"/>
        </w:rPr>
      </w:pPr>
    </w:p>
    <w:p w14:paraId="65E3B8F1" w14:textId="77777777" w:rsidR="00D90727" w:rsidRPr="00370164" w:rsidRDefault="00D90727" w:rsidP="00370164">
      <w:pPr>
        <w:spacing w:after="0"/>
        <w:rPr>
          <w:rFonts w:ascii="Arial" w:hAnsi="Arial" w:cs="Arial"/>
          <w:b/>
        </w:rPr>
      </w:pPr>
      <w:r w:rsidRPr="00370164">
        <w:rPr>
          <w:rFonts w:ascii="Arial" w:hAnsi="Arial" w:cs="Arial"/>
          <w:b/>
        </w:rPr>
        <w:t>5.6</w:t>
      </w:r>
      <w:r w:rsidRPr="00370164">
        <w:rPr>
          <w:rFonts w:ascii="Arial" w:hAnsi="Arial" w:cs="Arial"/>
          <w:b/>
        </w:rPr>
        <w:tab/>
        <w:t>Revised Terms of Reference for Financial Year 2021/2022</w:t>
      </w:r>
    </w:p>
    <w:p w14:paraId="6C3AE8A3" w14:textId="77777777" w:rsidR="00D90727" w:rsidRPr="00370164" w:rsidRDefault="00D90727" w:rsidP="00370164">
      <w:pPr>
        <w:spacing w:after="0"/>
        <w:rPr>
          <w:rFonts w:ascii="Arial" w:hAnsi="Arial" w:cs="Arial"/>
          <w:color w:val="FF0000"/>
        </w:rPr>
      </w:pPr>
    </w:p>
    <w:p w14:paraId="2AFBB56B" w14:textId="77777777" w:rsidR="000A4BC2" w:rsidRPr="00370164" w:rsidRDefault="000A4BC2" w:rsidP="00370164">
      <w:pPr>
        <w:spacing w:after="0"/>
        <w:ind w:left="720"/>
        <w:rPr>
          <w:rFonts w:ascii="Arial" w:hAnsi="Arial" w:cs="Arial"/>
          <w:color w:val="FF0000"/>
        </w:rPr>
      </w:pPr>
      <w:r w:rsidRPr="00370164">
        <w:rPr>
          <w:rFonts w:ascii="Arial" w:hAnsi="Arial" w:cs="Arial"/>
        </w:rPr>
        <w:t>Gareth Adkins presented the revised Terms of Reference</w:t>
      </w:r>
      <w:r w:rsidR="006727FB" w:rsidRPr="00370164">
        <w:rPr>
          <w:rFonts w:ascii="Arial" w:hAnsi="Arial" w:cs="Arial"/>
        </w:rPr>
        <w:t xml:space="preserve"> (ToR)</w:t>
      </w:r>
      <w:r w:rsidRPr="00370164">
        <w:rPr>
          <w:rFonts w:ascii="Arial" w:hAnsi="Arial" w:cs="Arial"/>
        </w:rPr>
        <w:t xml:space="preserve"> for </w:t>
      </w:r>
      <w:r w:rsidR="00EA09AF" w:rsidRPr="00370164">
        <w:rPr>
          <w:rFonts w:ascii="Arial" w:hAnsi="Arial" w:cs="Arial"/>
        </w:rPr>
        <w:t>financial</w:t>
      </w:r>
      <w:r w:rsidRPr="00370164">
        <w:rPr>
          <w:rFonts w:ascii="Arial" w:hAnsi="Arial" w:cs="Arial"/>
        </w:rPr>
        <w:t xml:space="preserve"> year 2021/2022 to the Committee. </w:t>
      </w:r>
      <w:r w:rsidR="006727FB" w:rsidRPr="00370164">
        <w:rPr>
          <w:rFonts w:ascii="Arial" w:hAnsi="Arial" w:cs="Arial"/>
        </w:rPr>
        <w:t>Comm</w:t>
      </w:r>
      <w:r w:rsidR="002F6A33">
        <w:rPr>
          <w:rFonts w:ascii="Arial" w:hAnsi="Arial" w:cs="Arial"/>
        </w:rPr>
        <w:t xml:space="preserve">ittee were advised SGPCC ToR had been compared to other </w:t>
      </w:r>
      <w:r w:rsidR="006727FB" w:rsidRPr="00370164">
        <w:rPr>
          <w:rFonts w:ascii="Arial" w:hAnsi="Arial" w:cs="Arial"/>
        </w:rPr>
        <w:t xml:space="preserve">Boards which </w:t>
      </w:r>
      <w:r w:rsidR="002F6A33">
        <w:rPr>
          <w:rFonts w:ascii="Arial" w:hAnsi="Arial" w:cs="Arial"/>
        </w:rPr>
        <w:t>resulted in minor changes with</w:t>
      </w:r>
      <w:r w:rsidR="006727FB" w:rsidRPr="00370164">
        <w:rPr>
          <w:rFonts w:ascii="Arial" w:hAnsi="Arial" w:cs="Arial"/>
        </w:rPr>
        <w:t xml:space="preserve"> an increase</w:t>
      </w:r>
      <w:r w:rsidR="002F6A33">
        <w:rPr>
          <w:rFonts w:ascii="Arial" w:hAnsi="Arial" w:cs="Arial"/>
        </w:rPr>
        <w:t>d</w:t>
      </w:r>
      <w:r w:rsidR="006727FB" w:rsidRPr="00370164">
        <w:rPr>
          <w:rFonts w:ascii="Arial" w:hAnsi="Arial" w:cs="Arial"/>
        </w:rPr>
        <w:t xml:space="preserve"> focus on </w:t>
      </w:r>
      <w:r w:rsidR="002F6A33">
        <w:rPr>
          <w:rFonts w:ascii="Arial" w:hAnsi="Arial" w:cs="Arial"/>
        </w:rPr>
        <w:t>the Committee’s statutory responsibilities as regards staff governance. The Committee noted the prior discussion, at Agenda Item 5.3, relating to requested amendments to the Terms of Reference.</w:t>
      </w:r>
      <w:r w:rsidR="006727FB" w:rsidRPr="00370164">
        <w:rPr>
          <w:rFonts w:ascii="Arial" w:hAnsi="Arial" w:cs="Arial"/>
        </w:rPr>
        <w:t xml:space="preserve"> </w:t>
      </w:r>
    </w:p>
    <w:p w14:paraId="156B9B9F" w14:textId="77777777" w:rsidR="000A4BC2" w:rsidRPr="00370164" w:rsidRDefault="000A4BC2" w:rsidP="00370164">
      <w:pPr>
        <w:spacing w:after="0"/>
        <w:rPr>
          <w:rFonts w:ascii="Arial" w:hAnsi="Arial" w:cs="Arial"/>
          <w:color w:val="FF0000"/>
        </w:rPr>
      </w:pPr>
    </w:p>
    <w:p w14:paraId="5C3DDCC1" w14:textId="77777777" w:rsidR="009B5B82" w:rsidRPr="00370164" w:rsidRDefault="006727FB" w:rsidP="002F6A33">
      <w:pPr>
        <w:spacing w:after="0"/>
        <w:ind w:left="720"/>
        <w:rPr>
          <w:rFonts w:ascii="Arial" w:hAnsi="Arial" w:cs="Arial"/>
          <w:color w:val="FF0000"/>
        </w:rPr>
      </w:pPr>
      <w:r w:rsidRPr="00370164">
        <w:rPr>
          <w:rFonts w:ascii="Arial" w:hAnsi="Arial" w:cs="Arial"/>
        </w:rPr>
        <w:t>Committee approved the Terms of Reference for financial year 2021/2022</w:t>
      </w:r>
      <w:r w:rsidR="002F6A33">
        <w:rPr>
          <w:rFonts w:ascii="Arial" w:hAnsi="Arial" w:cs="Arial"/>
        </w:rPr>
        <w:t>, subject to sundry revision as noted at Agenda Item 5.3</w:t>
      </w:r>
      <w:r w:rsidRPr="00370164">
        <w:rPr>
          <w:rFonts w:ascii="Arial" w:hAnsi="Arial" w:cs="Arial"/>
          <w:color w:val="FF0000"/>
        </w:rPr>
        <w:t>.</w:t>
      </w:r>
    </w:p>
    <w:p w14:paraId="4C4AC895" w14:textId="77777777" w:rsidR="00BF439A" w:rsidRPr="00370164" w:rsidRDefault="00BF439A" w:rsidP="00370164">
      <w:pPr>
        <w:spacing w:after="0"/>
        <w:rPr>
          <w:rFonts w:ascii="Arial" w:hAnsi="Arial" w:cs="Arial"/>
          <w:color w:val="FF0000"/>
        </w:rPr>
      </w:pPr>
    </w:p>
    <w:p w14:paraId="6BFDC841"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6</w:t>
      </w:r>
      <w:r w:rsidRPr="00370164">
        <w:rPr>
          <w:rFonts w:ascii="Arial" w:hAnsi="Arial" w:cs="Arial"/>
          <w:b/>
          <w:color w:val="0070C0"/>
        </w:rPr>
        <w:tab/>
      </w:r>
      <w:r w:rsidR="00BE1305">
        <w:rPr>
          <w:rFonts w:ascii="Arial" w:hAnsi="Arial" w:cs="Arial"/>
          <w:b/>
          <w:color w:val="0070C0"/>
        </w:rPr>
        <w:t xml:space="preserve">Appropriately </w:t>
      </w:r>
      <w:r w:rsidR="00D90727" w:rsidRPr="00370164">
        <w:rPr>
          <w:rFonts w:ascii="Arial" w:hAnsi="Arial" w:cs="Arial"/>
          <w:b/>
          <w:color w:val="0070C0"/>
        </w:rPr>
        <w:t>Trained</w:t>
      </w:r>
    </w:p>
    <w:p w14:paraId="01F85470" w14:textId="77777777" w:rsidR="00566F8C" w:rsidRPr="00370164" w:rsidRDefault="00566F8C" w:rsidP="00370164">
      <w:pPr>
        <w:spacing w:after="0"/>
        <w:rPr>
          <w:rFonts w:ascii="Arial" w:hAnsi="Arial" w:cs="Arial"/>
          <w:b/>
          <w:color w:val="FF0000"/>
        </w:rPr>
      </w:pPr>
    </w:p>
    <w:p w14:paraId="2ECBF2AD" w14:textId="77777777" w:rsidR="001D4DA7" w:rsidRPr="00370164" w:rsidRDefault="001D4DA7" w:rsidP="00370164">
      <w:pPr>
        <w:spacing w:after="0"/>
        <w:rPr>
          <w:rFonts w:ascii="Arial" w:hAnsi="Arial" w:cs="Arial"/>
          <w:b/>
        </w:rPr>
      </w:pPr>
      <w:r w:rsidRPr="00370164">
        <w:rPr>
          <w:rFonts w:ascii="Arial" w:hAnsi="Arial" w:cs="Arial"/>
          <w:b/>
        </w:rPr>
        <w:t>6.1</w:t>
      </w:r>
      <w:r w:rsidRPr="00370164">
        <w:rPr>
          <w:rFonts w:ascii="Arial" w:hAnsi="Arial" w:cs="Arial"/>
          <w:b/>
        </w:rPr>
        <w:tab/>
      </w:r>
      <w:r w:rsidR="00D90727" w:rsidRPr="00370164">
        <w:rPr>
          <w:rFonts w:ascii="Arial" w:hAnsi="Arial" w:cs="Arial"/>
          <w:b/>
        </w:rPr>
        <w:t>Mandatory Training Report for Financial Year 2021/2022</w:t>
      </w:r>
    </w:p>
    <w:p w14:paraId="6129B435" w14:textId="77777777" w:rsidR="001D4DA7" w:rsidRPr="00370164" w:rsidRDefault="001D4DA7" w:rsidP="00370164">
      <w:pPr>
        <w:spacing w:after="0"/>
        <w:rPr>
          <w:rFonts w:ascii="Arial" w:hAnsi="Arial" w:cs="Arial"/>
        </w:rPr>
      </w:pPr>
    </w:p>
    <w:p w14:paraId="17F35289" w14:textId="77777777" w:rsidR="009D3838" w:rsidRPr="00370164" w:rsidRDefault="009D3838" w:rsidP="00370164">
      <w:pPr>
        <w:spacing w:after="0"/>
        <w:ind w:left="720"/>
        <w:rPr>
          <w:rFonts w:ascii="Arial" w:hAnsi="Arial" w:cs="Arial"/>
        </w:rPr>
      </w:pPr>
      <w:r w:rsidRPr="00370164">
        <w:rPr>
          <w:rFonts w:ascii="Arial" w:hAnsi="Arial" w:cs="Arial"/>
        </w:rPr>
        <w:t xml:space="preserve">Nyree Anderson presented the Mandatory Training Report for </w:t>
      </w:r>
      <w:r w:rsidR="00EA09AF" w:rsidRPr="00370164">
        <w:rPr>
          <w:rFonts w:ascii="Arial" w:hAnsi="Arial" w:cs="Arial"/>
        </w:rPr>
        <w:t>f</w:t>
      </w:r>
      <w:r w:rsidRPr="00370164">
        <w:rPr>
          <w:rFonts w:ascii="Arial" w:hAnsi="Arial" w:cs="Arial"/>
        </w:rPr>
        <w:t xml:space="preserve">inancial year 2021/2022 to the Committee. The key </w:t>
      </w:r>
      <w:r w:rsidR="002F6A33">
        <w:rPr>
          <w:rFonts w:ascii="Arial" w:hAnsi="Arial" w:cs="Arial"/>
        </w:rPr>
        <w:t>aspects</w:t>
      </w:r>
      <w:r w:rsidRPr="00370164">
        <w:rPr>
          <w:rFonts w:ascii="Arial" w:hAnsi="Arial" w:cs="Arial"/>
        </w:rPr>
        <w:t xml:space="preserve"> of the report were as follows:</w:t>
      </w:r>
    </w:p>
    <w:p w14:paraId="6CB22038" w14:textId="77777777" w:rsidR="00370164" w:rsidRPr="00370164" w:rsidRDefault="00370164" w:rsidP="00370164">
      <w:pPr>
        <w:spacing w:after="0"/>
        <w:ind w:left="720"/>
        <w:rPr>
          <w:rFonts w:ascii="Arial" w:hAnsi="Arial" w:cs="Arial"/>
        </w:rPr>
      </w:pPr>
    </w:p>
    <w:p w14:paraId="088AE501" w14:textId="77777777" w:rsidR="00F90398" w:rsidRPr="00370164" w:rsidRDefault="00F90398" w:rsidP="00370164">
      <w:pPr>
        <w:spacing w:after="0"/>
        <w:ind w:left="720"/>
        <w:rPr>
          <w:rFonts w:ascii="Arial" w:hAnsi="Arial" w:cs="Arial"/>
          <w:b/>
        </w:rPr>
      </w:pPr>
      <w:r w:rsidRPr="00370164">
        <w:rPr>
          <w:rFonts w:ascii="Arial" w:hAnsi="Arial" w:cs="Arial"/>
          <w:b/>
        </w:rPr>
        <w:t>Training refresher frequency</w:t>
      </w:r>
    </w:p>
    <w:p w14:paraId="53801720" w14:textId="77777777" w:rsidR="00F90398" w:rsidRPr="00370164" w:rsidRDefault="00F90398" w:rsidP="00370164">
      <w:pPr>
        <w:pStyle w:val="ListParagraph"/>
        <w:numPr>
          <w:ilvl w:val="0"/>
          <w:numId w:val="28"/>
        </w:numPr>
        <w:spacing w:after="0" w:line="276" w:lineRule="auto"/>
        <w:rPr>
          <w:b/>
        </w:rPr>
      </w:pPr>
      <w:r w:rsidRPr="00370164">
        <w:rPr>
          <w:sz w:val="22"/>
        </w:rPr>
        <w:t xml:space="preserve">Fire awareness – annual </w:t>
      </w:r>
    </w:p>
    <w:p w14:paraId="74041691" w14:textId="77777777" w:rsidR="00F90398" w:rsidRPr="00370164" w:rsidRDefault="00F90398" w:rsidP="00370164">
      <w:pPr>
        <w:pStyle w:val="ListParagraph"/>
        <w:numPr>
          <w:ilvl w:val="0"/>
          <w:numId w:val="28"/>
        </w:numPr>
        <w:spacing w:after="0" w:line="276" w:lineRule="auto"/>
        <w:rPr>
          <w:b/>
        </w:rPr>
      </w:pPr>
      <w:r w:rsidRPr="00370164">
        <w:rPr>
          <w:sz w:val="22"/>
        </w:rPr>
        <w:t>Hand hygiene – annual</w:t>
      </w:r>
    </w:p>
    <w:p w14:paraId="5BE2A0C0" w14:textId="77777777" w:rsidR="00F90398" w:rsidRPr="00370164" w:rsidRDefault="00F90398" w:rsidP="00370164">
      <w:pPr>
        <w:pStyle w:val="ListParagraph"/>
        <w:numPr>
          <w:ilvl w:val="0"/>
          <w:numId w:val="28"/>
        </w:numPr>
        <w:spacing w:after="0" w:line="276" w:lineRule="auto"/>
        <w:rPr>
          <w:b/>
        </w:rPr>
      </w:pPr>
      <w:r w:rsidRPr="00370164">
        <w:rPr>
          <w:sz w:val="22"/>
        </w:rPr>
        <w:t>Valuing diversity – not required</w:t>
      </w:r>
    </w:p>
    <w:p w14:paraId="203DCB21" w14:textId="77777777" w:rsidR="00F90398" w:rsidRPr="00370164" w:rsidRDefault="00F90398" w:rsidP="00370164">
      <w:pPr>
        <w:pStyle w:val="ListParagraph"/>
        <w:numPr>
          <w:ilvl w:val="0"/>
          <w:numId w:val="28"/>
        </w:numPr>
        <w:spacing w:after="0" w:line="276" w:lineRule="auto"/>
        <w:rPr>
          <w:b/>
        </w:rPr>
      </w:pPr>
      <w:r w:rsidRPr="00370164">
        <w:rPr>
          <w:sz w:val="22"/>
        </w:rPr>
        <w:t xml:space="preserve">Safe information handling </w:t>
      </w:r>
      <w:r w:rsidR="003E5171" w:rsidRPr="00370164">
        <w:rPr>
          <w:sz w:val="22"/>
        </w:rPr>
        <w:t>–</w:t>
      </w:r>
      <w:r w:rsidRPr="00370164">
        <w:rPr>
          <w:sz w:val="22"/>
        </w:rPr>
        <w:t xml:space="preserve"> </w:t>
      </w:r>
      <w:r w:rsidR="003E5171" w:rsidRPr="00370164">
        <w:rPr>
          <w:sz w:val="22"/>
        </w:rPr>
        <w:t>every two years</w:t>
      </w:r>
    </w:p>
    <w:p w14:paraId="7DA6819C" w14:textId="77777777" w:rsidR="003E5171" w:rsidRPr="00370164" w:rsidRDefault="003E5171" w:rsidP="00370164">
      <w:pPr>
        <w:pStyle w:val="ListParagraph"/>
        <w:numPr>
          <w:ilvl w:val="0"/>
          <w:numId w:val="28"/>
        </w:numPr>
        <w:spacing w:after="0" w:line="276" w:lineRule="auto"/>
        <w:rPr>
          <w:sz w:val="22"/>
        </w:rPr>
      </w:pPr>
      <w:r w:rsidRPr="00370164">
        <w:rPr>
          <w:sz w:val="22"/>
        </w:rPr>
        <w:t>Manual Handling – every two years</w:t>
      </w:r>
    </w:p>
    <w:p w14:paraId="77C72897" w14:textId="77777777" w:rsidR="003E5171" w:rsidRDefault="003E5171" w:rsidP="00370164">
      <w:pPr>
        <w:pStyle w:val="ListParagraph"/>
        <w:numPr>
          <w:ilvl w:val="0"/>
          <w:numId w:val="28"/>
        </w:numPr>
        <w:spacing w:after="0" w:line="276" w:lineRule="auto"/>
        <w:rPr>
          <w:sz w:val="22"/>
        </w:rPr>
      </w:pPr>
      <w:r w:rsidRPr="00370164">
        <w:rPr>
          <w:sz w:val="22"/>
        </w:rPr>
        <w:t>Induction – once employed</w:t>
      </w:r>
    </w:p>
    <w:p w14:paraId="2E6D30DA" w14:textId="77777777" w:rsidR="00370164" w:rsidRPr="00370164" w:rsidRDefault="00370164" w:rsidP="00370164">
      <w:pPr>
        <w:pStyle w:val="ListParagraph"/>
        <w:spacing w:after="0" w:line="276" w:lineRule="auto"/>
        <w:ind w:left="1440"/>
        <w:rPr>
          <w:sz w:val="22"/>
        </w:rPr>
      </w:pPr>
    </w:p>
    <w:p w14:paraId="2DF7E8BF" w14:textId="77777777" w:rsidR="00670000" w:rsidRPr="00370164" w:rsidRDefault="00670000" w:rsidP="00370164">
      <w:pPr>
        <w:spacing w:after="0"/>
        <w:ind w:left="720"/>
        <w:rPr>
          <w:rFonts w:ascii="Arial" w:hAnsi="Arial" w:cs="Arial"/>
          <w:b/>
        </w:rPr>
      </w:pPr>
      <w:r w:rsidRPr="00370164">
        <w:rPr>
          <w:rFonts w:ascii="Arial" w:hAnsi="Arial" w:cs="Arial"/>
          <w:b/>
        </w:rPr>
        <w:t>Training compliance rates for year 2022 (Target: 90%)</w:t>
      </w:r>
    </w:p>
    <w:p w14:paraId="1AA8C127" w14:textId="77777777" w:rsidR="00670000" w:rsidRPr="00370164" w:rsidRDefault="00670000" w:rsidP="00370164">
      <w:pPr>
        <w:pStyle w:val="ListParagraph"/>
        <w:numPr>
          <w:ilvl w:val="0"/>
          <w:numId w:val="28"/>
        </w:numPr>
        <w:spacing w:after="0" w:line="276" w:lineRule="auto"/>
        <w:rPr>
          <w:b/>
        </w:rPr>
      </w:pPr>
      <w:r w:rsidRPr="00370164">
        <w:rPr>
          <w:sz w:val="22"/>
        </w:rPr>
        <w:t>Fire awareness –  78%, up 3% from previous year</w:t>
      </w:r>
    </w:p>
    <w:p w14:paraId="5706BFDF" w14:textId="77777777" w:rsidR="00670000" w:rsidRPr="00370164" w:rsidRDefault="00670000" w:rsidP="00370164">
      <w:pPr>
        <w:pStyle w:val="ListParagraph"/>
        <w:numPr>
          <w:ilvl w:val="0"/>
          <w:numId w:val="28"/>
        </w:numPr>
        <w:spacing w:after="0" w:line="276" w:lineRule="auto"/>
        <w:rPr>
          <w:b/>
        </w:rPr>
      </w:pPr>
      <w:r w:rsidRPr="00370164">
        <w:rPr>
          <w:sz w:val="22"/>
        </w:rPr>
        <w:t>Hand hygiene –  74%, down 7% from previous year</w:t>
      </w:r>
    </w:p>
    <w:p w14:paraId="38FBAB86" w14:textId="77777777" w:rsidR="00670000" w:rsidRPr="00370164" w:rsidRDefault="00670000" w:rsidP="00370164">
      <w:pPr>
        <w:pStyle w:val="ListParagraph"/>
        <w:numPr>
          <w:ilvl w:val="0"/>
          <w:numId w:val="28"/>
        </w:numPr>
        <w:spacing w:after="0" w:line="276" w:lineRule="auto"/>
        <w:rPr>
          <w:b/>
        </w:rPr>
      </w:pPr>
      <w:r w:rsidRPr="00370164">
        <w:rPr>
          <w:sz w:val="22"/>
        </w:rPr>
        <w:t>Valuing diversity – 72%, down 5% from previous year</w:t>
      </w:r>
    </w:p>
    <w:p w14:paraId="29F00188" w14:textId="77777777" w:rsidR="00670000" w:rsidRPr="00370164" w:rsidRDefault="00670000" w:rsidP="00370164">
      <w:pPr>
        <w:pStyle w:val="ListParagraph"/>
        <w:numPr>
          <w:ilvl w:val="0"/>
          <w:numId w:val="28"/>
        </w:numPr>
        <w:spacing w:after="0" w:line="276" w:lineRule="auto"/>
        <w:rPr>
          <w:b/>
        </w:rPr>
      </w:pPr>
      <w:r w:rsidRPr="00370164">
        <w:rPr>
          <w:sz w:val="22"/>
        </w:rPr>
        <w:t>Safe information handling – 83%, down 3% from previous year</w:t>
      </w:r>
    </w:p>
    <w:p w14:paraId="77778DAD" w14:textId="77777777" w:rsidR="00670000" w:rsidRPr="00370164" w:rsidRDefault="00670000" w:rsidP="00370164">
      <w:pPr>
        <w:pStyle w:val="ListParagraph"/>
        <w:numPr>
          <w:ilvl w:val="0"/>
          <w:numId w:val="28"/>
        </w:numPr>
        <w:spacing w:after="0" w:line="276" w:lineRule="auto"/>
        <w:rPr>
          <w:sz w:val="22"/>
        </w:rPr>
      </w:pPr>
      <w:r w:rsidRPr="00370164">
        <w:rPr>
          <w:sz w:val="22"/>
        </w:rPr>
        <w:lastRenderedPageBreak/>
        <w:t>Manual Handling – 80%, unchanged</w:t>
      </w:r>
    </w:p>
    <w:p w14:paraId="40832CCB" w14:textId="77777777" w:rsidR="00670000" w:rsidRPr="00370164" w:rsidRDefault="00670000" w:rsidP="00370164">
      <w:pPr>
        <w:pStyle w:val="ListParagraph"/>
        <w:numPr>
          <w:ilvl w:val="0"/>
          <w:numId w:val="28"/>
        </w:numPr>
        <w:spacing w:after="0" w:line="276" w:lineRule="auto"/>
        <w:rPr>
          <w:sz w:val="22"/>
        </w:rPr>
      </w:pPr>
      <w:r w:rsidRPr="00370164">
        <w:rPr>
          <w:sz w:val="22"/>
        </w:rPr>
        <w:t>Induction – 69%, up 5% from previous year</w:t>
      </w:r>
    </w:p>
    <w:p w14:paraId="035A46D6" w14:textId="77777777" w:rsidR="00F90398" w:rsidRPr="00370164" w:rsidRDefault="00F90398" w:rsidP="00370164">
      <w:pPr>
        <w:spacing w:after="0"/>
        <w:ind w:left="720"/>
        <w:rPr>
          <w:rFonts w:ascii="Arial" w:hAnsi="Arial" w:cs="Arial"/>
        </w:rPr>
      </w:pPr>
    </w:p>
    <w:p w14:paraId="395C201D" w14:textId="77777777" w:rsidR="00181F59" w:rsidRDefault="002F6A33" w:rsidP="00370164">
      <w:pPr>
        <w:spacing w:after="0"/>
        <w:ind w:left="720"/>
        <w:rPr>
          <w:rFonts w:ascii="Arial" w:hAnsi="Arial" w:cs="Arial"/>
        </w:rPr>
      </w:pPr>
      <w:r>
        <w:rPr>
          <w:rFonts w:ascii="Arial" w:hAnsi="Arial" w:cs="Arial"/>
        </w:rPr>
        <w:t>Nyree Anderson advised that t</w:t>
      </w:r>
      <w:r w:rsidR="00670000" w:rsidRPr="00370164">
        <w:rPr>
          <w:rFonts w:ascii="Arial" w:hAnsi="Arial" w:cs="Arial"/>
        </w:rPr>
        <w:t>raining refresher requirements are reported to managers on a monthly basis via email hyperlink which details staff who are due to complete trainin</w:t>
      </w:r>
      <w:r>
        <w:rPr>
          <w:rFonts w:ascii="Arial" w:hAnsi="Arial" w:cs="Arial"/>
        </w:rPr>
        <w:t>g. Training compliance rates are also</w:t>
      </w:r>
      <w:r w:rsidR="00670000" w:rsidRPr="00370164">
        <w:rPr>
          <w:rFonts w:ascii="Arial" w:hAnsi="Arial" w:cs="Arial"/>
        </w:rPr>
        <w:t xml:space="preserve"> recorded on</w:t>
      </w:r>
      <w:r>
        <w:rPr>
          <w:rFonts w:ascii="Arial" w:hAnsi="Arial" w:cs="Arial"/>
        </w:rPr>
        <w:t xml:space="preserve"> the</w:t>
      </w:r>
      <w:r w:rsidR="00670000" w:rsidRPr="00370164">
        <w:rPr>
          <w:rFonts w:ascii="Arial" w:hAnsi="Arial" w:cs="Arial"/>
        </w:rPr>
        <w:t xml:space="preserve"> </w:t>
      </w:r>
      <w:proofErr w:type="spellStart"/>
      <w:r w:rsidR="00670000" w:rsidRPr="00370164">
        <w:rPr>
          <w:rFonts w:ascii="Arial" w:hAnsi="Arial" w:cs="Arial"/>
        </w:rPr>
        <w:t>eEss</w:t>
      </w:r>
      <w:proofErr w:type="spellEnd"/>
      <w:r w:rsidR="00670000" w:rsidRPr="00370164">
        <w:rPr>
          <w:rFonts w:ascii="Arial" w:hAnsi="Arial" w:cs="Arial"/>
        </w:rPr>
        <w:t xml:space="preserve"> system since 2019. Committee noted the finding</w:t>
      </w:r>
      <w:r w:rsidR="00181F59" w:rsidRPr="00370164">
        <w:rPr>
          <w:rFonts w:ascii="Arial" w:hAnsi="Arial" w:cs="Arial"/>
        </w:rPr>
        <w:t xml:space="preserve">s, </w:t>
      </w:r>
      <w:r w:rsidR="00670000" w:rsidRPr="00370164">
        <w:rPr>
          <w:rFonts w:ascii="Arial" w:hAnsi="Arial" w:cs="Arial"/>
        </w:rPr>
        <w:t>discussed</w:t>
      </w:r>
      <w:r w:rsidR="00181F59" w:rsidRPr="00370164">
        <w:rPr>
          <w:rFonts w:ascii="Arial" w:hAnsi="Arial" w:cs="Arial"/>
        </w:rPr>
        <w:t xml:space="preserve"> hygiene compliance rates and were informed figures may be higher in the next report</w:t>
      </w:r>
      <w:r w:rsidR="00670000" w:rsidRPr="00370164">
        <w:rPr>
          <w:rFonts w:ascii="Arial" w:hAnsi="Arial" w:cs="Arial"/>
        </w:rPr>
        <w:t xml:space="preserve">. </w:t>
      </w:r>
    </w:p>
    <w:p w14:paraId="1E48BDFF" w14:textId="77777777" w:rsidR="002F6A33" w:rsidRDefault="002F6A33" w:rsidP="00370164">
      <w:pPr>
        <w:spacing w:after="0"/>
        <w:ind w:left="720"/>
        <w:rPr>
          <w:rFonts w:ascii="Arial" w:hAnsi="Arial" w:cs="Arial"/>
        </w:rPr>
      </w:pPr>
    </w:p>
    <w:p w14:paraId="67ADA1B9" w14:textId="77777777" w:rsidR="00466E41" w:rsidRDefault="002F6A33" w:rsidP="00370164">
      <w:pPr>
        <w:spacing w:after="0"/>
        <w:ind w:left="720"/>
        <w:rPr>
          <w:rFonts w:ascii="Arial" w:hAnsi="Arial" w:cs="Arial"/>
        </w:rPr>
      </w:pPr>
      <w:r>
        <w:rPr>
          <w:rFonts w:ascii="Arial" w:hAnsi="Arial" w:cs="Arial"/>
        </w:rPr>
        <w:t xml:space="preserve">J Christie flight queried with Nyree Anderson how the figures relating to corporate induction were recorded, as given the rolling nature of this programme, it was difficult to identify a point at which training figures should be retrieved and reported. Nyree Anderson </w:t>
      </w:r>
      <w:r w:rsidR="00466E41">
        <w:rPr>
          <w:rFonts w:ascii="Arial" w:hAnsi="Arial" w:cs="Arial"/>
        </w:rPr>
        <w:t>confirmed that figures are extracted on 1</w:t>
      </w:r>
      <w:r w:rsidR="00466E41" w:rsidRPr="00466E41">
        <w:rPr>
          <w:rFonts w:ascii="Arial" w:hAnsi="Arial" w:cs="Arial"/>
          <w:vertAlign w:val="superscript"/>
        </w:rPr>
        <w:t>st</w:t>
      </w:r>
      <w:r w:rsidR="00466E41">
        <w:rPr>
          <w:rFonts w:ascii="Arial" w:hAnsi="Arial" w:cs="Arial"/>
        </w:rPr>
        <w:t xml:space="preserve"> of April every year. Nyree Anderson </w:t>
      </w:r>
      <w:r>
        <w:rPr>
          <w:rFonts w:ascii="Arial" w:hAnsi="Arial" w:cs="Arial"/>
        </w:rPr>
        <w:t xml:space="preserve">acknowledged that </w:t>
      </w:r>
      <w:r w:rsidR="00466E41">
        <w:rPr>
          <w:rFonts w:ascii="Arial" w:hAnsi="Arial" w:cs="Arial"/>
        </w:rPr>
        <w:t>identifying an appropriate date for reporting of information for corporate inductions was challenging</w:t>
      </w:r>
      <w:r>
        <w:rPr>
          <w:rFonts w:ascii="Arial" w:hAnsi="Arial" w:cs="Arial"/>
        </w:rPr>
        <w:t>, however it was valuable to present the figures to the Committee, as it did provide some insight into performance</w:t>
      </w:r>
      <w:r w:rsidR="00466E41">
        <w:rPr>
          <w:rFonts w:ascii="Arial" w:hAnsi="Arial" w:cs="Arial"/>
        </w:rPr>
        <w:t>.</w:t>
      </w:r>
    </w:p>
    <w:p w14:paraId="0B2217FE" w14:textId="77777777" w:rsidR="00466E41" w:rsidRDefault="00466E41" w:rsidP="00370164">
      <w:pPr>
        <w:spacing w:after="0"/>
        <w:ind w:left="720"/>
        <w:rPr>
          <w:rFonts w:ascii="Arial" w:hAnsi="Arial" w:cs="Arial"/>
        </w:rPr>
      </w:pPr>
    </w:p>
    <w:p w14:paraId="35FF2053" w14:textId="77777777" w:rsidR="00466E41" w:rsidRDefault="00466E41" w:rsidP="00370164">
      <w:pPr>
        <w:spacing w:after="0"/>
        <w:ind w:left="720"/>
        <w:rPr>
          <w:rFonts w:ascii="Arial" w:hAnsi="Arial" w:cs="Arial"/>
        </w:rPr>
      </w:pPr>
      <w:r>
        <w:rPr>
          <w:rFonts w:ascii="Arial" w:hAnsi="Arial" w:cs="Arial"/>
        </w:rPr>
        <w:t xml:space="preserve">Callum Blackburn asked whether there had been any steps taken to add to the list of “mandatory” training. Gareth Adkins responded that it was important to distinguish between those training requirements which are statutorily mandatory, and those which are required at a local, or individual Board, level. Gareth Adkins advised of the need to maintain a balance between mandatory and other forms of training, as the resource implications for services of requiring training also have to be considered. </w:t>
      </w:r>
    </w:p>
    <w:p w14:paraId="1787DAB5" w14:textId="77777777" w:rsidR="00466E41" w:rsidRDefault="00466E41" w:rsidP="00370164">
      <w:pPr>
        <w:spacing w:after="0"/>
        <w:ind w:left="720"/>
        <w:rPr>
          <w:rFonts w:ascii="Arial" w:hAnsi="Arial" w:cs="Arial"/>
        </w:rPr>
      </w:pPr>
    </w:p>
    <w:p w14:paraId="51DE2154" w14:textId="77777777" w:rsidR="002F6A33" w:rsidRPr="00370164" w:rsidRDefault="00466E41" w:rsidP="00370164">
      <w:pPr>
        <w:spacing w:after="0"/>
        <w:ind w:left="720"/>
        <w:rPr>
          <w:rFonts w:ascii="Arial" w:hAnsi="Arial" w:cs="Arial"/>
        </w:rPr>
      </w:pPr>
      <w:r>
        <w:rPr>
          <w:rFonts w:ascii="Arial" w:hAnsi="Arial" w:cs="Arial"/>
        </w:rPr>
        <w:t>M Boyle requested that the status of training, whether statutorily mandatory, mandated by NHSGJ, and training which is available to support wider Learning &amp; Organisational Development priorities, be more readily identifiable in Reports.</w:t>
      </w:r>
    </w:p>
    <w:p w14:paraId="51B1699C" w14:textId="77777777" w:rsidR="00181F59" w:rsidRPr="00370164" w:rsidRDefault="00181F59" w:rsidP="00370164">
      <w:pPr>
        <w:spacing w:after="0"/>
        <w:ind w:left="720"/>
        <w:rPr>
          <w:rFonts w:ascii="Arial" w:hAnsi="Arial" w:cs="Arial"/>
        </w:rPr>
      </w:pPr>
    </w:p>
    <w:p w14:paraId="1E2D5433" w14:textId="77777777" w:rsidR="00670000" w:rsidRPr="00370164" w:rsidRDefault="00670000" w:rsidP="00370164">
      <w:pPr>
        <w:spacing w:after="0"/>
        <w:ind w:left="720"/>
        <w:rPr>
          <w:rFonts w:ascii="Arial" w:hAnsi="Arial" w:cs="Arial"/>
        </w:rPr>
      </w:pPr>
      <w:r w:rsidRPr="00370164">
        <w:rPr>
          <w:rFonts w:ascii="Arial" w:hAnsi="Arial" w:cs="Arial"/>
        </w:rPr>
        <w:t>Committee agreed that a review into mandatory language is required to ensure staff understand re</w:t>
      </w:r>
      <w:r w:rsidR="00181F59" w:rsidRPr="00370164">
        <w:rPr>
          <w:rFonts w:ascii="Arial" w:hAnsi="Arial" w:cs="Arial"/>
        </w:rPr>
        <w:t xml:space="preserve">quirements clearly, including the definition of ‘exclusion’ and what it represents in the report. </w:t>
      </w:r>
      <w:r w:rsidRPr="00370164">
        <w:rPr>
          <w:rFonts w:ascii="Arial" w:hAnsi="Arial" w:cs="Arial"/>
        </w:rPr>
        <w:t xml:space="preserve"> </w:t>
      </w:r>
    </w:p>
    <w:p w14:paraId="4C03E9CA" w14:textId="77777777" w:rsidR="009D3838" w:rsidRPr="00370164" w:rsidRDefault="009D3838" w:rsidP="00370164">
      <w:pPr>
        <w:spacing w:after="0"/>
        <w:rPr>
          <w:rFonts w:ascii="Arial" w:hAnsi="Arial" w:cs="Arial"/>
        </w:rPr>
      </w:pPr>
    </w:p>
    <w:tbl>
      <w:tblPr>
        <w:tblStyle w:val="TableGrid"/>
        <w:tblW w:w="0" w:type="auto"/>
        <w:jc w:val="center"/>
        <w:tblLook w:val="04A0" w:firstRow="1" w:lastRow="0" w:firstColumn="1" w:lastColumn="0" w:noHBand="0" w:noVBand="1"/>
      </w:tblPr>
      <w:tblGrid>
        <w:gridCol w:w="2122"/>
        <w:gridCol w:w="4677"/>
        <w:gridCol w:w="1843"/>
      </w:tblGrid>
      <w:tr w:rsidR="00670000" w:rsidRPr="00370164" w14:paraId="193A1E6A" w14:textId="77777777" w:rsidTr="0051064E">
        <w:trPr>
          <w:jc w:val="center"/>
        </w:trPr>
        <w:tc>
          <w:tcPr>
            <w:tcW w:w="2122" w:type="dxa"/>
          </w:tcPr>
          <w:p w14:paraId="4D2CCC3D" w14:textId="77777777" w:rsidR="00670000" w:rsidRPr="00370164" w:rsidRDefault="00670000" w:rsidP="00370164">
            <w:pPr>
              <w:spacing w:after="0"/>
              <w:contextualSpacing/>
              <w:rPr>
                <w:rFonts w:ascii="Arial" w:hAnsi="Arial" w:cs="Arial"/>
                <w:b/>
              </w:rPr>
            </w:pPr>
            <w:r w:rsidRPr="00370164">
              <w:rPr>
                <w:rFonts w:ascii="Arial" w:hAnsi="Arial" w:cs="Arial"/>
                <w:b/>
              </w:rPr>
              <w:t>Action No.</w:t>
            </w:r>
          </w:p>
        </w:tc>
        <w:tc>
          <w:tcPr>
            <w:tcW w:w="4677" w:type="dxa"/>
          </w:tcPr>
          <w:p w14:paraId="4AA4228A" w14:textId="77777777" w:rsidR="00670000" w:rsidRPr="00370164" w:rsidRDefault="00670000" w:rsidP="00370164">
            <w:pPr>
              <w:spacing w:after="0"/>
              <w:contextualSpacing/>
              <w:rPr>
                <w:rFonts w:ascii="Arial" w:hAnsi="Arial" w:cs="Arial"/>
                <w:b/>
              </w:rPr>
            </w:pPr>
            <w:r w:rsidRPr="00370164">
              <w:rPr>
                <w:rFonts w:ascii="Arial" w:hAnsi="Arial" w:cs="Arial"/>
                <w:b/>
              </w:rPr>
              <w:t>Action</w:t>
            </w:r>
          </w:p>
        </w:tc>
        <w:tc>
          <w:tcPr>
            <w:tcW w:w="1843" w:type="dxa"/>
          </w:tcPr>
          <w:p w14:paraId="15CDF4EE" w14:textId="77777777" w:rsidR="00670000" w:rsidRPr="00370164" w:rsidRDefault="00670000" w:rsidP="00370164">
            <w:pPr>
              <w:spacing w:after="0"/>
              <w:contextualSpacing/>
              <w:rPr>
                <w:rFonts w:ascii="Arial" w:hAnsi="Arial" w:cs="Arial"/>
                <w:b/>
              </w:rPr>
            </w:pPr>
            <w:r w:rsidRPr="00370164">
              <w:rPr>
                <w:rFonts w:ascii="Arial" w:hAnsi="Arial" w:cs="Arial"/>
                <w:b/>
              </w:rPr>
              <w:t>Lead</w:t>
            </w:r>
          </w:p>
        </w:tc>
      </w:tr>
      <w:tr w:rsidR="00670000" w:rsidRPr="00370164" w14:paraId="388D7361" w14:textId="77777777" w:rsidTr="0051064E">
        <w:trPr>
          <w:jc w:val="center"/>
        </w:trPr>
        <w:tc>
          <w:tcPr>
            <w:tcW w:w="2122" w:type="dxa"/>
          </w:tcPr>
          <w:p w14:paraId="65AD74B7" w14:textId="77777777" w:rsidR="00670000" w:rsidRPr="00370164" w:rsidRDefault="00670000" w:rsidP="00370164">
            <w:pPr>
              <w:spacing w:after="0"/>
              <w:rPr>
                <w:rFonts w:ascii="Arial" w:hAnsi="Arial" w:cs="Arial"/>
                <w:color w:val="000000"/>
              </w:rPr>
            </w:pPr>
            <w:r w:rsidRPr="00370164">
              <w:rPr>
                <w:rFonts w:ascii="Arial" w:hAnsi="Arial" w:cs="Arial"/>
                <w:color w:val="000000"/>
              </w:rPr>
              <w:t>SGPCC/030522/04</w:t>
            </w:r>
          </w:p>
        </w:tc>
        <w:tc>
          <w:tcPr>
            <w:tcW w:w="4677" w:type="dxa"/>
          </w:tcPr>
          <w:p w14:paraId="4A6370C3" w14:textId="77777777" w:rsidR="00670000" w:rsidRPr="00370164" w:rsidRDefault="00670000" w:rsidP="00370164">
            <w:pPr>
              <w:spacing w:after="0"/>
              <w:rPr>
                <w:rFonts w:ascii="Arial" w:hAnsi="Arial" w:cs="Arial"/>
                <w:color w:val="000000"/>
              </w:rPr>
            </w:pPr>
            <w:r w:rsidRPr="00370164">
              <w:rPr>
                <w:rFonts w:ascii="Arial" w:hAnsi="Arial" w:cs="Arial"/>
                <w:b/>
                <w:bCs/>
                <w:color w:val="000000"/>
              </w:rPr>
              <w:t xml:space="preserve">6.1 Mandatory Training Report for Financial Year 2021/22                                 </w:t>
            </w:r>
            <w:r w:rsidRPr="00370164">
              <w:rPr>
                <w:rFonts w:ascii="Arial" w:hAnsi="Arial" w:cs="Arial"/>
                <w:color w:val="000000"/>
              </w:rPr>
              <w:t>1.</w:t>
            </w:r>
            <w:r w:rsidRPr="00370164">
              <w:rPr>
                <w:rFonts w:ascii="Arial" w:hAnsi="Arial" w:cs="Arial"/>
                <w:b/>
                <w:bCs/>
                <w:color w:val="000000"/>
              </w:rPr>
              <w:t xml:space="preserve"> </w:t>
            </w:r>
            <w:r w:rsidRPr="00370164">
              <w:rPr>
                <w:rFonts w:ascii="Arial" w:hAnsi="Arial" w:cs="Arial"/>
                <w:color w:val="000000"/>
              </w:rPr>
              <w:t xml:space="preserve">Review </w:t>
            </w:r>
            <w:r w:rsidR="00466E41">
              <w:rPr>
                <w:rFonts w:ascii="Arial" w:hAnsi="Arial" w:cs="Arial"/>
                <w:color w:val="000000"/>
              </w:rPr>
              <w:t>terminology around training, to ensure statutorily and locally mandated</w:t>
            </w:r>
            <w:r w:rsidRPr="00370164">
              <w:rPr>
                <w:rFonts w:ascii="Arial" w:hAnsi="Arial" w:cs="Arial"/>
                <w:color w:val="000000"/>
              </w:rPr>
              <w:t xml:space="preserve"> training modules </w:t>
            </w:r>
            <w:r w:rsidR="00466E41">
              <w:rPr>
                <w:rFonts w:ascii="Arial" w:hAnsi="Arial" w:cs="Arial"/>
                <w:color w:val="000000"/>
              </w:rPr>
              <w:t>are identifiable in distinction to other training resources.</w:t>
            </w:r>
            <w:r w:rsidRPr="00370164">
              <w:rPr>
                <w:rFonts w:ascii="Arial" w:hAnsi="Arial" w:cs="Arial"/>
                <w:color w:val="000000"/>
              </w:rPr>
              <w:t xml:space="preserve"> </w:t>
            </w:r>
          </w:p>
          <w:p w14:paraId="63E9D256" w14:textId="77777777" w:rsidR="00670000" w:rsidRPr="00370164" w:rsidRDefault="00670000" w:rsidP="00370164">
            <w:pPr>
              <w:spacing w:after="0"/>
              <w:rPr>
                <w:rFonts w:ascii="Arial" w:hAnsi="Arial" w:cs="Arial"/>
                <w:b/>
                <w:bCs/>
                <w:color w:val="000000"/>
              </w:rPr>
            </w:pPr>
            <w:r w:rsidRPr="00370164">
              <w:rPr>
                <w:rFonts w:ascii="Arial" w:hAnsi="Arial" w:cs="Arial"/>
                <w:color w:val="000000"/>
              </w:rPr>
              <w:t xml:space="preserve">                                                                       2. Define the meaning of 'Exclusion' and what it represents in the report. </w:t>
            </w:r>
          </w:p>
        </w:tc>
        <w:tc>
          <w:tcPr>
            <w:tcW w:w="1843" w:type="dxa"/>
          </w:tcPr>
          <w:p w14:paraId="1C3723DB" w14:textId="77777777" w:rsidR="00181F59" w:rsidRPr="00370164" w:rsidRDefault="00181F59" w:rsidP="00370164">
            <w:pPr>
              <w:spacing w:after="0"/>
              <w:rPr>
                <w:rFonts w:ascii="Arial" w:hAnsi="Arial" w:cs="Arial"/>
                <w:color w:val="000000"/>
              </w:rPr>
            </w:pPr>
            <w:r w:rsidRPr="00370164">
              <w:rPr>
                <w:rFonts w:ascii="Arial" w:hAnsi="Arial" w:cs="Arial"/>
                <w:color w:val="000000"/>
              </w:rPr>
              <w:t>Gareth Adkins            Nyree Anderson</w:t>
            </w:r>
          </w:p>
          <w:p w14:paraId="0A6750A5" w14:textId="77777777" w:rsidR="00670000" w:rsidRPr="00370164" w:rsidRDefault="00670000" w:rsidP="00370164">
            <w:pPr>
              <w:spacing w:after="0"/>
              <w:rPr>
                <w:rFonts w:ascii="Arial" w:hAnsi="Arial" w:cs="Arial"/>
                <w:color w:val="000000"/>
              </w:rPr>
            </w:pPr>
          </w:p>
        </w:tc>
      </w:tr>
    </w:tbl>
    <w:p w14:paraId="259014E0" w14:textId="77777777" w:rsidR="00D90727" w:rsidRPr="00370164" w:rsidRDefault="00D90727" w:rsidP="00370164">
      <w:pPr>
        <w:spacing w:after="0"/>
        <w:rPr>
          <w:rFonts w:ascii="Arial" w:hAnsi="Arial" w:cs="Arial"/>
        </w:rPr>
      </w:pPr>
    </w:p>
    <w:p w14:paraId="237D978A" w14:textId="77777777" w:rsidR="00311DCE" w:rsidRPr="00370164" w:rsidRDefault="009C1005" w:rsidP="00370164">
      <w:pPr>
        <w:spacing w:after="0"/>
        <w:rPr>
          <w:rFonts w:ascii="Arial" w:hAnsi="Arial" w:cs="Arial"/>
        </w:rPr>
      </w:pPr>
      <w:r w:rsidRPr="00370164">
        <w:rPr>
          <w:rFonts w:ascii="Arial" w:hAnsi="Arial" w:cs="Arial"/>
        </w:rPr>
        <w:tab/>
      </w:r>
      <w:r w:rsidR="00181F59" w:rsidRPr="00370164">
        <w:rPr>
          <w:rFonts w:ascii="Arial" w:hAnsi="Arial" w:cs="Arial"/>
        </w:rPr>
        <w:t>Committee noted the Mandatory Training Report for financial year 2021/2022.</w:t>
      </w:r>
    </w:p>
    <w:p w14:paraId="242B4B85" w14:textId="77777777" w:rsidR="001D4DA7" w:rsidRPr="00370164" w:rsidRDefault="001D4DA7" w:rsidP="00370164">
      <w:pPr>
        <w:spacing w:after="0"/>
        <w:contextualSpacing/>
        <w:rPr>
          <w:rFonts w:ascii="Arial" w:hAnsi="Arial" w:cs="Arial"/>
        </w:rPr>
      </w:pPr>
    </w:p>
    <w:p w14:paraId="2BFD049C" w14:textId="77777777" w:rsidR="001D4DA7" w:rsidRPr="00370164" w:rsidRDefault="001D4DA7" w:rsidP="00370164">
      <w:pPr>
        <w:spacing w:after="0"/>
        <w:rPr>
          <w:rFonts w:ascii="Arial" w:hAnsi="Arial" w:cs="Arial"/>
          <w:b/>
        </w:rPr>
      </w:pPr>
      <w:r w:rsidRPr="00370164">
        <w:rPr>
          <w:rFonts w:ascii="Arial" w:hAnsi="Arial" w:cs="Arial"/>
          <w:b/>
        </w:rPr>
        <w:t>6.2</w:t>
      </w:r>
      <w:r w:rsidRPr="00370164">
        <w:rPr>
          <w:rFonts w:ascii="Arial" w:hAnsi="Arial" w:cs="Arial"/>
          <w:b/>
        </w:rPr>
        <w:tab/>
      </w:r>
      <w:r w:rsidR="00D90727" w:rsidRPr="00370164">
        <w:rPr>
          <w:rFonts w:ascii="Arial" w:hAnsi="Arial" w:cs="Arial"/>
          <w:b/>
        </w:rPr>
        <w:t>Medical Appraisal Revalidation 6 Monthly report</w:t>
      </w:r>
    </w:p>
    <w:p w14:paraId="24A69F9A" w14:textId="77777777" w:rsidR="001D4DA7" w:rsidRPr="00370164" w:rsidRDefault="001D4DA7" w:rsidP="00370164">
      <w:pPr>
        <w:spacing w:after="0"/>
        <w:ind w:firstLine="720"/>
        <w:rPr>
          <w:rFonts w:ascii="Arial" w:hAnsi="Arial" w:cs="Arial"/>
          <w:color w:val="FF0000"/>
        </w:rPr>
      </w:pPr>
    </w:p>
    <w:p w14:paraId="2745A300" w14:textId="77777777" w:rsidR="00125E19" w:rsidRPr="00370164" w:rsidRDefault="00466E41" w:rsidP="00370164">
      <w:pPr>
        <w:spacing w:after="0"/>
        <w:ind w:left="720"/>
        <w:rPr>
          <w:rFonts w:ascii="Arial" w:hAnsi="Arial" w:cs="Arial"/>
        </w:rPr>
      </w:pPr>
      <w:r>
        <w:rPr>
          <w:rFonts w:ascii="Arial" w:hAnsi="Arial" w:cs="Arial"/>
        </w:rPr>
        <w:lastRenderedPageBreak/>
        <w:t>Mark MacGregor provide</w:t>
      </w:r>
      <w:r w:rsidR="00EC139A">
        <w:rPr>
          <w:rFonts w:ascii="Arial" w:hAnsi="Arial" w:cs="Arial"/>
        </w:rPr>
        <w:t>d</w:t>
      </w:r>
      <w:r>
        <w:rPr>
          <w:rFonts w:ascii="Arial" w:hAnsi="Arial" w:cs="Arial"/>
        </w:rPr>
        <w:t xml:space="preserve"> a presentation</w:t>
      </w:r>
      <w:r w:rsidR="00125E19" w:rsidRPr="00370164">
        <w:rPr>
          <w:rFonts w:ascii="Arial" w:hAnsi="Arial" w:cs="Arial"/>
        </w:rPr>
        <w:t xml:space="preserve"> on the Medical Appraisal Revalidation 6 Monthly r</w:t>
      </w:r>
      <w:r>
        <w:rPr>
          <w:rFonts w:ascii="Arial" w:hAnsi="Arial" w:cs="Arial"/>
        </w:rPr>
        <w:t>eport to the Committee. The</w:t>
      </w:r>
      <w:r w:rsidR="00125E19" w:rsidRPr="00370164">
        <w:rPr>
          <w:rFonts w:ascii="Arial" w:hAnsi="Arial" w:cs="Arial"/>
        </w:rPr>
        <w:t xml:space="preserve"> presentation </w:t>
      </w:r>
      <w:r>
        <w:rPr>
          <w:rFonts w:ascii="Arial" w:hAnsi="Arial" w:cs="Arial"/>
        </w:rPr>
        <w:t>confirmed the status of medical appraisals as follows</w:t>
      </w:r>
      <w:r w:rsidR="00125E19" w:rsidRPr="00370164">
        <w:rPr>
          <w:rFonts w:ascii="Arial" w:hAnsi="Arial" w:cs="Arial"/>
        </w:rPr>
        <w:t>:</w:t>
      </w:r>
    </w:p>
    <w:p w14:paraId="358AF87D" w14:textId="77777777" w:rsidR="00370164" w:rsidRPr="00370164" w:rsidRDefault="00370164" w:rsidP="001029BE">
      <w:pPr>
        <w:spacing w:after="0"/>
        <w:rPr>
          <w:rFonts w:ascii="Arial" w:hAnsi="Arial" w:cs="Arial"/>
        </w:rPr>
      </w:pPr>
    </w:p>
    <w:p w14:paraId="2F6BA3CF" w14:textId="77777777" w:rsidR="00125E19" w:rsidRPr="00370164" w:rsidRDefault="00125E19" w:rsidP="00370164">
      <w:pPr>
        <w:spacing w:after="0"/>
        <w:ind w:left="720"/>
        <w:rPr>
          <w:rFonts w:ascii="Arial" w:hAnsi="Arial" w:cs="Arial"/>
          <w:b/>
        </w:rPr>
      </w:pPr>
      <w:r w:rsidRPr="00370164">
        <w:rPr>
          <w:rFonts w:ascii="Arial" w:hAnsi="Arial" w:cs="Arial"/>
          <w:b/>
        </w:rPr>
        <w:t xml:space="preserve">Medical appraisals </w:t>
      </w:r>
    </w:p>
    <w:tbl>
      <w:tblPr>
        <w:tblStyle w:val="TableGrid"/>
        <w:tblW w:w="0" w:type="auto"/>
        <w:tblInd w:w="720" w:type="dxa"/>
        <w:tblLook w:val="04A0" w:firstRow="1" w:lastRow="0" w:firstColumn="1" w:lastColumn="0" w:noHBand="0" w:noVBand="1"/>
      </w:tblPr>
      <w:tblGrid>
        <w:gridCol w:w="2061"/>
        <w:gridCol w:w="1219"/>
        <w:gridCol w:w="1524"/>
        <w:gridCol w:w="1275"/>
      </w:tblGrid>
      <w:tr w:rsidR="00125E19" w:rsidRPr="00370164" w14:paraId="36716B0B" w14:textId="77777777" w:rsidTr="00227D95">
        <w:tc>
          <w:tcPr>
            <w:tcW w:w="2061" w:type="dxa"/>
          </w:tcPr>
          <w:p w14:paraId="4F781237" w14:textId="77777777" w:rsidR="00125E19" w:rsidRPr="00370164" w:rsidRDefault="00125E19" w:rsidP="00370164">
            <w:pPr>
              <w:spacing w:after="0"/>
              <w:rPr>
                <w:rFonts w:ascii="Arial" w:hAnsi="Arial" w:cs="Arial"/>
                <w:b/>
              </w:rPr>
            </w:pPr>
            <w:r w:rsidRPr="00370164">
              <w:rPr>
                <w:rFonts w:ascii="Arial" w:hAnsi="Arial" w:cs="Arial"/>
                <w:b/>
              </w:rPr>
              <w:t>Areas</w:t>
            </w:r>
          </w:p>
        </w:tc>
        <w:tc>
          <w:tcPr>
            <w:tcW w:w="1219" w:type="dxa"/>
          </w:tcPr>
          <w:p w14:paraId="4C5FB5E6" w14:textId="77777777" w:rsidR="00125E19" w:rsidRPr="00370164" w:rsidRDefault="00125E19" w:rsidP="00370164">
            <w:pPr>
              <w:spacing w:after="0"/>
              <w:rPr>
                <w:rFonts w:ascii="Arial" w:hAnsi="Arial" w:cs="Arial"/>
                <w:b/>
              </w:rPr>
            </w:pPr>
            <w:r w:rsidRPr="00370164">
              <w:rPr>
                <w:rFonts w:ascii="Arial" w:hAnsi="Arial" w:cs="Arial"/>
                <w:b/>
              </w:rPr>
              <w:t>Complete</w:t>
            </w:r>
          </w:p>
        </w:tc>
        <w:tc>
          <w:tcPr>
            <w:tcW w:w="1524" w:type="dxa"/>
          </w:tcPr>
          <w:p w14:paraId="0ED2244E" w14:textId="77777777" w:rsidR="00125E19" w:rsidRPr="00370164" w:rsidRDefault="00125E19" w:rsidP="00370164">
            <w:pPr>
              <w:spacing w:after="0"/>
              <w:rPr>
                <w:rFonts w:ascii="Arial" w:hAnsi="Arial" w:cs="Arial"/>
                <w:b/>
              </w:rPr>
            </w:pPr>
            <w:r w:rsidRPr="00370164">
              <w:rPr>
                <w:rFonts w:ascii="Arial" w:hAnsi="Arial" w:cs="Arial"/>
                <w:b/>
              </w:rPr>
              <w:t>In progress</w:t>
            </w:r>
          </w:p>
        </w:tc>
        <w:tc>
          <w:tcPr>
            <w:tcW w:w="1275" w:type="dxa"/>
          </w:tcPr>
          <w:p w14:paraId="2EC77F75" w14:textId="77777777" w:rsidR="00125E19" w:rsidRPr="00370164" w:rsidRDefault="00125E19" w:rsidP="00370164">
            <w:pPr>
              <w:spacing w:after="0"/>
              <w:rPr>
                <w:rFonts w:ascii="Arial" w:hAnsi="Arial" w:cs="Arial"/>
                <w:b/>
              </w:rPr>
            </w:pPr>
            <w:r w:rsidRPr="00370164">
              <w:rPr>
                <w:rFonts w:ascii="Arial" w:hAnsi="Arial" w:cs="Arial"/>
                <w:b/>
              </w:rPr>
              <w:t>No action</w:t>
            </w:r>
          </w:p>
        </w:tc>
      </w:tr>
      <w:tr w:rsidR="00125E19" w:rsidRPr="00370164" w14:paraId="57FB4B50" w14:textId="77777777" w:rsidTr="00227D95">
        <w:tc>
          <w:tcPr>
            <w:tcW w:w="2061" w:type="dxa"/>
          </w:tcPr>
          <w:p w14:paraId="38246009" w14:textId="77777777" w:rsidR="00125E19" w:rsidRPr="00370164" w:rsidRDefault="00125E19" w:rsidP="00370164">
            <w:pPr>
              <w:spacing w:after="0"/>
              <w:rPr>
                <w:rFonts w:ascii="Arial" w:hAnsi="Arial" w:cs="Arial"/>
              </w:rPr>
            </w:pPr>
            <w:r w:rsidRPr="00370164">
              <w:rPr>
                <w:rFonts w:ascii="Arial" w:hAnsi="Arial" w:cs="Arial"/>
              </w:rPr>
              <w:t xml:space="preserve">Anaesthetics </w:t>
            </w:r>
          </w:p>
        </w:tc>
        <w:tc>
          <w:tcPr>
            <w:tcW w:w="1219" w:type="dxa"/>
          </w:tcPr>
          <w:p w14:paraId="66850758" w14:textId="77777777" w:rsidR="00125E19" w:rsidRPr="00370164" w:rsidRDefault="00227D95" w:rsidP="00370164">
            <w:pPr>
              <w:spacing w:after="0"/>
              <w:jc w:val="center"/>
              <w:rPr>
                <w:rFonts w:ascii="Arial" w:hAnsi="Arial" w:cs="Arial"/>
              </w:rPr>
            </w:pPr>
            <w:r w:rsidRPr="00370164">
              <w:rPr>
                <w:rFonts w:ascii="Arial" w:hAnsi="Arial" w:cs="Arial"/>
              </w:rPr>
              <w:t>34</w:t>
            </w:r>
          </w:p>
        </w:tc>
        <w:tc>
          <w:tcPr>
            <w:tcW w:w="1524" w:type="dxa"/>
          </w:tcPr>
          <w:p w14:paraId="18779F27" w14:textId="77777777" w:rsidR="00125E19" w:rsidRPr="00370164" w:rsidRDefault="00227D95" w:rsidP="00370164">
            <w:pPr>
              <w:spacing w:after="0"/>
              <w:jc w:val="center"/>
              <w:rPr>
                <w:rFonts w:ascii="Arial" w:hAnsi="Arial" w:cs="Arial"/>
              </w:rPr>
            </w:pPr>
            <w:r w:rsidRPr="00370164">
              <w:rPr>
                <w:rFonts w:ascii="Arial" w:hAnsi="Arial" w:cs="Arial"/>
              </w:rPr>
              <w:t>2</w:t>
            </w:r>
          </w:p>
        </w:tc>
        <w:tc>
          <w:tcPr>
            <w:tcW w:w="1275" w:type="dxa"/>
          </w:tcPr>
          <w:p w14:paraId="40214906" w14:textId="77777777" w:rsidR="00125E19" w:rsidRPr="00370164" w:rsidRDefault="00227D95" w:rsidP="00370164">
            <w:pPr>
              <w:spacing w:after="0"/>
              <w:jc w:val="center"/>
              <w:rPr>
                <w:rFonts w:ascii="Arial" w:hAnsi="Arial" w:cs="Arial"/>
              </w:rPr>
            </w:pPr>
            <w:r w:rsidRPr="00370164">
              <w:rPr>
                <w:rFonts w:ascii="Arial" w:hAnsi="Arial" w:cs="Arial"/>
              </w:rPr>
              <w:t>1</w:t>
            </w:r>
          </w:p>
        </w:tc>
      </w:tr>
      <w:tr w:rsidR="00125E19" w:rsidRPr="00370164" w14:paraId="479E7AC6" w14:textId="77777777" w:rsidTr="00227D95">
        <w:tc>
          <w:tcPr>
            <w:tcW w:w="2061" w:type="dxa"/>
          </w:tcPr>
          <w:p w14:paraId="5E8517A0" w14:textId="77777777" w:rsidR="00125E19" w:rsidRPr="00370164" w:rsidRDefault="00125E19" w:rsidP="00370164">
            <w:pPr>
              <w:spacing w:after="0"/>
              <w:rPr>
                <w:rFonts w:ascii="Arial" w:hAnsi="Arial" w:cs="Arial"/>
              </w:rPr>
            </w:pPr>
            <w:r w:rsidRPr="00370164">
              <w:rPr>
                <w:rFonts w:ascii="Arial" w:hAnsi="Arial" w:cs="Arial"/>
              </w:rPr>
              <w:t>Cardiology</w:t>
            </w:r>
          </w:p>
        </w:tc>
        <w:tc>
          <w:tcPr>
            <w:tcW w:w="1219" w:type="dxa"/>
          </w:tcPr>
          <w:p w14:paraId="32E82D9E" w14:textId="77777777" w:rsidR="00125E19" w:rsidRPr="00370164" w:rsidRDefault="00227D95" w:rsidP="00370164">
            <w:pPr>
              <w:spacing w:after="0"/>
              <w:jc w:val="center"/>
              <w:rPr>
                <w:rFonts w:ascii="Arial" w:hAnsi="Arial" w:cs="Arial"/>
              </w:rPr>
            </w:pPr>
            <w:r w:rsidRPr="00370164">
              <w:rPr>
                <w:rFonts w:ascii="Arial" w:hAnsi="Arial" w:cs="Arial"/>
              </w:rPr>
              <w:t>31</w:t>
            </w:r>
          </w:p>
        </w:tc>
        <w:tc>
          <w:tcPr>
            <w:tcW w:w="1524" w:type="dxa"/>
          </w:tcPr>
          <w:p w14:paraId="102ACDBC" w14:textId="77777777" w:rsidR="00125E19" w:rsidRPr="00370164" w:rsidRDefault="00227D95" w:rsidP="00370164">
            <w:pPr>
              <w:spacing w:after="0"/>
              <w:jc w:val="center"/>
              <w:rPr>
                <w:rFonts w:ascii="Arial" w:hAnsi="Arial" w:cs="Arial"/>
              </w:rPr>
            </w:pPr>
            <w:r w:rsidRPr="00370164">
              <w:rPr>
                <w:rFonts w:ascii="Arial" w:hAnsi="Arial" w:cs="Arial"/>
              </w:rPr>
              <w:t>1</w:t>
            </w:r>
          </w:p>
        </w:tc>
        <w:tc>
          <w:tcPr>
            <w:tcW w:w="1275" w:type="dxa"/>
          </w:tcPr>
          <w:p w14:paraId="552355C6" w14:textId="77777777" w:rsidR="00125E19" w:rsidRPr="00370164" w:rsidRDefault="00227D95" w:rsidP="00370164">
            <w:pPr>
              <w:spacing w:after="0"/>
              <w:jc w:val="center"/>
              <w:rPr>
                <w:rFonts w:ascii="Arial" w:hAnsi="Arial" w:cs="Arial"/>
              </w:rPr>
            </w:pPr>
            <w:r w:rsidRPr="00370164">
              <w:rPr>
                <w:rFonts w:ascii="Arial" w:hAnsi="Arial" w:cs="Arial"/>
              </w:rPr>
              <w:t>1</w:t>
            </w:r>
          </w:p>
        </w:tc>
      </w:tr>
      <w:tr w:rsidR="00125E19" w:rsidRPr="00370164" w14:paraId="60078D67" w14:textId="77777777" w:rsidTr="00227D95">
        <w:tc>
          <w:tcPr>
            <w:tcW w:w="2061" w:type="dxa"/>
          </w:tcPr>
          <w:p w14:paraId="25D8E2B6" w14:textId="77777777" w:rsidR="00125E19" w:rsidRPr="00370164" w:rsidRDefault="00125E19" w:rsidP="00370164">
            <w:pPr>
              <w:spacing w:after="0"/>
              <w:rPr>
                <w:rFonts w:ascii="Arial" w:hAnsi="Arial" w:cs="Arial"/>
              </w:rPr>
            </w:pPr>
            <w:r w:rsidRPr="00370164">
              <w:rPr>
                <w:rFonts w:ascii="Arial" w:hAnsi="Arial" w:cs="Arial"/>
              </w:rPr>
              <w:t>CT Surgery</w:t>
            </w:r>
          </w:p>
        </w:tc>
        <w:tc>
          <w:tcPr>
            <w:tcW w:w="1219" w:type="dxa"/>
          </w:tcPr>
          <w:p w14:paraId="0C7E1F5C" w14:textId="77777777" w:rsidR="00125E19" w:rsidRPr="00370164" w:rsidRDefault="00227D95" w:rsidP="00370164">
            <w:pPr>
              <w:spacing w:after="0"/>
              <w:jc w:val="center"/>
              <w:rPr>
                <w:rFonts w:ascii="Arial" w:hAnsi="Arial" w:cs="Arial"/>
              </w:rPr>
            </w:pPr>
            <w:r w:rsidRPr="00370164">
              <w:rPr>
                <w:rFonts w:ascii="Arial" w:hAnsi="Arial" w:cs="Arial"/>
              </w:rPr>
              <w:t>25</w:t>
            </w:r>
          </w:p>
        </w:tc>
        <w:tc>
          <w:tcPr>
            <w:tcW w:w="1524" w:type="dxa"/>
          </w:tcPr>
          <w:p w14:paraId="5D85CB96" w14:textId="77777777" w:rsidR="00125E19" w:rsidRPr="00370164" w:rsidRDefault="00227D95" w:rsidP="00370164">
            <w:pPr>
              <w:spacing w:after="0"/>
              <w:jc w:val="center"/>
              <w:rPr>
                <w:rFonts w:ascii="Arial" w:hAnsi="Arial" w:cs="Arial"/>
              </w:rPr>
            </w:pPr>
            <w:r w:rsidRPr="00370164">
              <w:rPr>
                <w:rFonts w:ascii="Arial" w:hAnsi="Arial" w:cs="Arial"/>
              </w:rPr>
              <w:t>1</w:t>
            </w:r>
          </w:p>
        </w:tc>
        <w:tc>
          <w:tcPr>
            <w:tcW w:w="1275" w:type="dxa"/>
          </w:tcPr>
          <w:p w14:paraId="70E0180D" w14:textId="77777777" w:rsidR="00125E19" w:rsidRPr="00370164" w:rsidRDefault="00227D95" w:rsidP="00370164">
            <w:pPr>
              <w:spacing w:after="0"/>
              <w:jc w:val="center"/>
              <w:rPr>
                <w:rFonts w:ascii="Arial" w:hAnsi="Arial" w:cs="Arial"/>
              </w:rPr>
            </w:pPr>
            <w:r w:rsidRPr="00370164">
              <w:rPr>
                <w:rFonts w:ascii="Arial" w:hAnsi="Arial" w:cs="Arial"/>
              </w:rPr>
              <w:t>-</w:t>
            </w:r>
          </w:p>
        </w:tc>
      </w:tr>
      <w:tr w:rsidR="00125E19" w:rsidRPr="00370164" w14:paraId="594F1CA5" w14:textId="77777777" w:rsidTr="00227D95">
        <w:tc>
          <w:tcPr>
            <w:tcW w:w="2061" w:type="dxa"/>
          </w:tcPr>
          <w:p w14:paraId="1CC88ACD" w14:textId="77777777" w:rsidR="00125E19" w:rsidRPr="00370164" w:rsidRDefault="00125E19" w:rsidP="00370164">
            <w:pPr>
              <w:spacing w:after="0"/>
              <w:rPr>
                <w:rFonts w:ascii="Arial" w:hAnsi="Arial" w:cs="Arial"/>
              </w:rPr>
            </w:pPr>
            <w:r w:rsidRPr="00370164">
              <w:rPr>
                <w:rFonts w:ascii="Arial" w:hAnsi="Arial" w:cs="Arial"/>
              </w:rPr>
              <w:t>Miscellaneous</w:t>
            </w:r>
          </w:p>
        </w:tc>
        <w:tc>
          <w:tcPr>
            <w:tcW w:w="1219" w:type="dxa"/>
          </w:tcPr>
          <w:p w14:paraId="5481A0E8" w14:textId="77777777" w:rsidR="00125E19" w:rsidRPr="00370164" w:rsidRDefault="00227D95" w:rsidP="00370164">
            <w:pPr>
              <w:spacing w:after="0"/>
              <w:jc w:val="center"/>
              <w:rPr>
                <w:rFonts w:ascii="Arial" w:hAnsi="Arial" w:cs="Arial"/>
              </w:rPr>
            </w:pPr>
            <w:r w:rsidRPr="00370164">
              <w:rPr>
                <w:rFonts w:ascii="Arial" w:hAnsi="Arial" w:cs="Arial"/>
              </w:rPr>
              <w:t>3</w:t>
            </w:r>
          </w:p>
        </w:tc>
        <w:tc>
          <w:tcPr>
            <w:tcW w:w="1524" w:type="dxa"/>
          </w:tcPr>
          <w:p w14:paraId="0C06B43C" w14:textId="77777777" w:rsidR="00125E19" w:rsidRPr="00370164" w:rsidRDefault="00227D95" w:rsidP="00370164">
            <w:pPr>
              <w:spacing w:after="0"/>
              <w:jc w:val="center"/>
              <w:rPr>
                <w:rFonts w:ascii="Arial" w:hAnsi="Arial" w:cs="Arial"/>
              </w:rPr>
            </w:pPr>
            <w:r w:rsidRPr="00370164">
              <w:rPr>
                <w:rFonts w:ascii="Arial" w:hAnsi="Arial" w:cs="Arial"/>
              </w:rPr>
              <w:t>3</w:t>
            </w:r>
          </w:p>
        </w:tc>
        <w:tc>
          <w:tcPr>
            <w:tcW w:w="1275" w:type="dxa"/>
          </w:tcPr>
          <w:p w14:paraId="783D0E00" w14:textId="77777777" w:rsidR="00125E19" w:rsidRPr="00370164" w:rsidRDefault="00227D95" w:rsidP="00370164">
            <w:pPr>
              <w:spacing w:after="0"/>
              <w:jc w:val="center"/>
              <w:rPr>
                <w:rFonts w:ascii="Arial" w:hAnsi="Arial" w:cs="Arial"/>
              </w:rPr>
            </w:pPr>
            <w:r w:rsidRPr="00370164">
              <w:rPr>
                <w:rFonts w:ascii="Arial" w:hAnsi="Arial" w:cs="Arial"/>
              </w:rPr>
              <w:t>-</w:t>
            </w:r>
          </w:p>
        </w:tc>
      </w:tr>
      <w:tr w:rsidR="00125E19" w:rsidRPr="00370164" w14:paraId="4437E457" w14:textId="77777777" w:rsidTr="00227D95">
        <w:tc>
          <w:tcPr>
            <w:tcW w:w="2061" w:type="dxa"/>
          </w:tcPr>
          <w:p w14:paraId="4B0ACF84" w14:textId="77777777" w:rsidR="00125E19" w:rsidRPr="00370164" w:rsidRDefault="00125E19" w:rsidP="00370164">
            <w:pPr>
              <w:spacing w:after="0"/>
              <w:rPr>
                <w:rFonts w:ascii="Arial" w:hAnsi="Arial" w:cs="Arial"/>
              </w:rPr>
            </w:pPr>
            <w:r w:rsidRPr="00370164">
              <w:rPr>
                <w:rFonts w:ascii="Arial" w:hAnsi="Arial" w:cs="Arial"/>
              </w:rPr>
              <w:t>General Surgery</w:t>
            </w:r>
          </w:p>
        </w:tc>
        <w:tc>
          <w:tcPr>
            <w:tcW w:w="1219" w:type="dxa"/>
          </w:tcPr>
          <w:p w14:paraId="78C7D22B" w14:textId="77777777" w:rsidR="00125E19" w:rsidRPr="00370164" w:rsidRDefault="00227D95" w:rsidP="00370164">
            <w:pPr>
              <w:spacing w:after="0"/>
              <w:jc w:val="center"/>
              <w:rPr>
                <w:rFonts w:ascii="Arial" w:hAnsi="Arial" w:cs="Arial"/>
              </w:rPr>
            </w:pPr>
            <w:r w:rsidRPr="00370164">
              <w:rPr>
                <w:rFonts w:ascii="Arial" w:hAnsi="Arial" w:cs="Arial"/>
              </w:rPr>
              <w:t>2</w:t>
            </w:r>
          </w:p>
        </w:tc>
        <w:tc>
          <w:tcPr>
            <w:tcW w:w="1524" w:type="dxa"/>
          </w:tcPr>
          <w:p w14:paraId="24D6A5F2" w14:textId="77777777" w:rsidR="00125E19" w:rsidRPr="00370164" w:rsidRDefault="00227D95" w:rsidP="00370164">
            <w:pPr>
              <w:spacing w:after="0"/>
              <w:jc w:val="center"/>
              <w:rPr>
                <w:rFonts w:ascii="Arial" w:hAnsi="Arial" w:cs="Arial"/>
              </w:rPr>
            </w:pPr>
            <w:r w:rsidRPr="00370164">
              <w:rPr>
                <w:rFonts w:ascii="Arial" w:hAnsi="Arial" w:cs="Arial"/>
              </w:rPr>
              <w:t>3</w:t>
            </w:r>
          </w:p>
        </w:tc>
        <w:tc>
          <w:tcPr>
            <w:tcW w:w="1275" w:type="dxa"/>
          </w:tcPr>
          <w:p w14:paraId="59A90529" w14:textId="77777777" w:rsidR="00125E19" w:rsidRPr="00370164" w:rsidRDefault="00227D95" w:rsidP="00370164">
            <w:pPr>
              <w:spacing w:after="0"/>
              <w:jc w:val="center"/>
              <w:rPr>
                <w:rFonts w:ascii="Arial" w:hAnsi="Arial" w:cs="Arial"/>
              </w:rPr>
            </w:pPr>
            <w:r w:rsidRPr="00370164">
              <w:rPr>
                <w:rFonts w:ascii="Arial" w:hAnsi="Arial" w:cs="Arial"/>
              </w:rPr>
              <w:t>-</w:t>
            </w:r>
          </w:p>
        </w:tc>
      </w:tr>
      <w:tr w:rsidR="00125E19" w:rsidRPr="00370164" w14:paraId="35373553" w14:textId="77777777" w:rsidTr="00227D95">
        <w:tc>
          <w:tcPr>
            <w:tcW w:w="2061" w:type="dxa"/>
          </w:tcPr>
          <w:p w14:paraId="2F3FAD68" w14:textId="77777777" w:rsidR="00125E19" w:rsidRPr="00370164" w:rsidRDefault="00125E19" w:rsidP="00370164">
            <w:pPr>
              <w:spacing w:after="0"/>
              <w:rPr>
                <w:rFonts w:ascii="Arial" w:hAnsi="Arial" w:cs="Arial"/>
              </w:rPr>
            </w:pPr>
            <w:r w:rsidRPr="00370164">
              <w:rPr>
                <w:rFonts w:ascii="Arial" w:hAnsi="Arial" w:cs="Arial"/>
              </w:rPr>
              <w:t>Ophthalmology</w:t>
            </w:r>
          </w:p>
        </w:tc>
        <w:tc>
          <w:tcPr>
            <w:tcW w:w="1219" w:type="dxa"/>
          </w:tcPr>
          <w:p w14:paraId="38EC336B" w14:textId="77777777" w:rsidR="00125E19" w:rsidRPr="00370164" w:rsidRDefault="00227D95" w:rsidP="00370164">
            <w:pPr>
              <w:spacing w:after="0"/>
              <w:jc w:val="center"/>
              <w:rPr>
                <w:rFonts w:ascii="Arial" w:hAnsi="Arial" w:cs="Arial"/>
              </w:rPr>
            </w:pPr>
            <w:r w:rsidRPr="00370164">
              <w:rPr>
                <w:rFonts w:ascii="Arial" w:hAnsi="Arial" w:cs="Arial"/>
              </w:rPr>
              <w:t>6</w:t>
            </w:r>
          </w:p>
        </w:tc>
        <w:tc>
          <w:tcPr>
            <w:tcW w:w="1524" w:type="dxa"/>
          </w:tcPr>
          <w:p w14:paraId="587D5208" w14:textId="77777777" w:rsidR="00125E19" w:rsidRPr="00370164" w:rsidRDefault="00227D95" w:rsidP="00370164">
            <w:pPr>
              <w:spacing w:after="0"/>
              <w:jc w:val="center"/>
              <w:rPr>
                <w:rFonts w:ascii="Arial" w:hAnsi="Arial" w:cs="Arial"/>
              </w:rPr>
            </w:pPr>
            <w:r w:rsidRPr="00370164">
              <w:rPr>
                <w:rFonts w:ascii="Arial" w:hAnsi="Arial" w:cs="Arial"/>
              </w:rPr>
              <w:t>-</w:t>
            </w:r>
          </w:p>
        </w:tc>
        <w:tc>
          <w:tcPr>
            <w:tcW w:w="1275" w:type="dxa"/>
          </w:tcPr>
          <w:p w14:paraId="5AC0E5A8" w14:textId="77777777" w:rsidR="00125E19" w:rsidRPr="00370164" w:rsidRDefault="00227D95" w:rsidP="00370164">
            <w:pPr>
              <w:spacing w:after="0"/>
              <w:jc w:val="center"/>
              <w:rPr>
                <w:rFonts w:ascii="Arial" w:hAnsi="Arial" w:cs="Arial"/>
              </w:rPr>
            </w:pPr>
            <w:r w:rsidRPr="00370164">
              <w:rPr>
                <w:rFonts w:ascii="Arial" w:hAnsi="Arial" w:cs="Arial"/>
              </w:rPr>
              <w:t>-</w:t>
            </w:r>
          </w:p>
        </w:tc>
      </w:tr>
      <w:tr w:rsidR="00125E19" w:rsidRPr="00370164" w14:paraId="297F8FA3" w14:textId="77777777" w:rsidTr="00227D95">
        <w:tc>
          <w:tcPr>
            <w:tcW w:w="2061" w:type="dxa"/>
            <w:tcBorders>
              <w:bottom w:val="single" w:sz="12" w:space="0" w:color="auto"/>
            </w:tcBorders>
          </w:tcPr>
          <w:p w14:paraId="22057C15" w14:textId="77777777" w:rsidR="00125E19" w:rsidRPr="00370164" w:rsidRDefault="00125E19" w:rsidP="00370164">
            <w:pPr>
              <w:spacing w:after="0"/>
              <w:rPr>
                <w:rFonts w:ascii="Arial" w:hAnsi="Arial" w:cs="Arial"/>
              </w:rPr>
            </w:pPr>
            <w:proofErr w:type="spellStart"/>
            <w:r w:rsidRPr="00370164">
              <w:rPr>
                <w:rFonts w:ascii="Arial" w:hAnsi="Arial" w:cs="Arial"/>
              </w:rPr>
              <w:t>Orthalmology</w:t>
            </w:r>
            <w:proofErr w:type="spellEnd"/>
          </w:p>
        </w:tc>
        <w:tc>
          <w:tcPr>
            <w:tcW w:w="1219" w:type="dxa"/>
            <w:tcBorders>
              <w:bottom w:val="single" w:sz="12" w:space="0" w:color="auto"/>
            </w:tcBorders>
          </w:tcPr>
          <w:p w14:paraId="4775FDAE" w14:textId="77777777" w:rsidR="00125E19" w:rsidRPr="00370164" w:rsidRDefault="00227D95" w:rsidP="00370164">
            <w:pPr>
              <w:spacing w:after="0"/>
              <w:jc w:val="center"/>
              <w:rPr>
                <w:rFonts w:ascii="Arial" w:hAnsi="Arial" w:cs="Arial"/>
              </w:rPr>
            </w:pPr>
            <w:r w:rsidRPr="00370164">
              <w:rPr>
                <w:rFonts w:ascii="Arial" w:hAnsi="Arial" w:cs="Arial"/>
              </w:rPr>
              <w:t>22</w:t>
            </w:r>
          </w:p>
        </w:tc>
        <w:tc>
          <w:tcPr>
            <w:tcW w:w="1524" w:type="dxa"/>
            <w:tcBorders>
              <w:bottom w:val="single" w:sz="12" w:space="0" w:color="auto"/>
            </w:tcBorders>
          </w:tcPr>
          <w:p w14:paraId="1491E411" w14:textId="77777777" w:rsidR="00125E19" w:rsidRPr="00370164" w:rsidRDefault="00227D95" w:rsidP="00370164">
            <w:pPr>
              <w:spacing w:after="0"/>
              <w:jc w:val="center"/>
              <w:rPr>
                <w:rFonts w:ascii="Arial" w:hAnsi="Arial" w:cs="Arial"/>
              </w:rPr>
            </w:pPr>
            <w:r w:rsidRPr="00370164">
              <w:rPr>
                <w:rFonts w:ascii="Arial" w:hAnsi="Arial" w:cs="Arial"/>
              </w:rPr>
              <w:t>-</w:t>
            </w:r>
          </w:p>
        </w:tc>
        <w:tc>
          <w:tcPr>
            <w:tcW w:w="1275" w:type="dxa"/>
            <w:tcBorders>
              <w:bottom w:val="single" w:sz="12" w:space="0" w:color="auto"/>
            </w:tcBorders>
          </w:tcPr>
          <w:p w14:paraId="3BE70A36" w14:textId="77777777" w:rsidR="00125E19" w:rsidRPr="00370164" w:rsidRDefault="00227D95" w:rsidP="00370164">
            <w:pPr>
              <w:spacing w:after="0"/>
              <w:jc w:val="center"/>
              <w:rPr>
                <w:rFonts w:ascii="Arial" w:hAnsi="Arial" w:cs="Arial"/>
              </w:rPr>
            </w:pPr>
            <w:r w:rsidRPr="00370164">
              <w:rPr>
                <w:rFonts w:ascii="Arial" w:hAnsi="Arial" w:cs="Arial"/>
              </w:rPr>
              <w:t>-</w:t>
            </w:r>
          </w:p>
        </w:tc>
      </w:tr>
      <w:tr w:rsidR="00227D95" w:rsidRPr="00370164" w14:paraId="7AEAEFF6" w14:textId="77777777" w:rsidTr="00227D95">
        <w:tc>
          <w:tcPr>
            <w:tcW w:w="2061" w:type="dxa"/>
            <w:tcBorders>
              <w:top w:val="single" w:sz="12" w:space="0" w:color="auto"/>
            </w:tcBorders>
          </w:tcPr>
          <w:p w14:paraId="1DB627C6" w14:textId="77777777" w:rsidR="00227D95" w:rsidRPr="00370164" w:rsidRDefault="00227D95" w:rsidP="00370164">
            <w:pPr>
              <w:spacing w:after="0"/>
              <w:rPr>
                <w:rFonts w:ascii="Arial" w:hAnsi="Arial" w:cs="Arial"/>
                <w:b/>
              </w:rPr>
            </w:pPr>
            <w:r w:rsidRPr="00370164">
              <w:rPr>
                <w:rFonts w:ascii="Arial" w:hAnsi="Arial" w:cs="Arial"/>
                <w:b/>
              </w:rPr>
              <w:t xml:space="preserve">Total                              </w:t>
            </w:r>
          </w:p>
        </w:tc>
        <w:tc>
          <w:tcPr>
            <w:tcW w:w="1219" w:type="dxa"/>
            <w:tcBorders>
              <w:top w:val="single" w:sz="12" w:space="0" w:color="auto"/>
            </w:tcBorders>
          </w:tcPr>
          <w:p w14:paraId="70209C50" w14:textId="77777777" w:rsidR="00227D95" w:rsidRPr="00370164" w:rsidRDefault="00227D95" w:rsidP="00370164">
            <w:pPr>
              <w:spacing w:after="0"/>
              <w:jc w:val="center"/>
              <w:rPr>
                <w:rFonts w:ascii="Arial" w:hAnsi="Arial" w:cs="Arial"/>
                <w:b/>
              </w:rPr>
            </w:pPr>
            <w:r w:rsidRPr="00370164">
              <w:rPr>
                <w:rFonts w:ascii="Arial" w:hAnsi="Arial" w:cs="Arial"/>
                <w:b/>
              </w:rPr>
              <w:t>123</w:t>
            </w:r>
          </w:p>
        </w:tc>
        <w:tc>
          <w:tcPr>
            <w:tcW w:w="1524" w:type="dxa"/>
            <w:tcBorders>
              <w:top w:val="single" w:sz="12" w:space="0" w:color="auto"/>
            </w:tcBorders>
          </w:tcPr>
          <w:p w14:paraId="2E198A8C" w14:textId="77777777" w:rsidR="00227D95" w:rsidRPr="00370164" w:rsidRDefault="00227D95" w:rsidP="00370164">
            <w:pPr>
              <w:spacing w:after="0"/>
              <w:jc w:val="center"/>
              <w:rPr>
                <w:rFonts w:ascii="Arial" w:hAnsi="Arial" w:cs="Arial"/>
                <w:b/>
              </w:rPr>
            </w:pPr>
            <w:r w:rsidRPr="00370164">
              <w:rPr>
                <w:rFonts w:ascii="Arial" w:hAnsi="Arial" w:cs="Arial"/>
                <w:b/>
              </w:rPr>
              <w:t>10</w:t>
            </w:r>
          </w:p>
        </w:tc>
        <w:tc>
          <w:tcPr>
            <w:tcW w:w="1275" w:type="dxa"/>
            <w:tcBorders>
              <w:top w:val="single" w:sz="12" w:space="0" w:color="auto"/>
            </w:tcBorders>
          </w:tcPr>
          <w:p w14:paraId="24E4DC7A" w14:textId="77777777" w:rsidR="00227D95" w:rsidRPr="00370164" w:rsidRDefault="00227D95" w:rsidP="00370164">
            <w:pPr>
              <w:spacing w:after="0"/>
              <w:jc w:val="center"/>
              <w:rPr>
                <w:rFonts w:ascii="Arial" w:hAnsi="Arial" w:cs="Arial"/>
                <w:b/>
              </w:rPr>
            </w:pPr>
            <w:r w:rsidRPr="00370164">
              <w:rPr>
                <w:rFonts w:ascii="Arial" w:hAnsi="Arial" w:cs="Arial"/>
                <w:b/>
              </w:rPr>
              <w:t>2</w:t>
            </w:r>
          </w:p>
        </w:tc>
      </w:tr>
    </w:tbl>
    <w:p w14:paraId="2204A0B0" w14:textId="77777777" w:rsidR="00227D95" w:rsidRPr="00370164" w:rsidRDefault="00227D95" w:rsidP="00370164">
      <w:pPr>
        <w:spacing w:after="0"/>
        <w:ind w:left="720"/>
        <w:rPr>
          <w:rFonts w:ascii="Arial" w:hAnsi="Arial" w:cs="Arial"/>
        </w:rPr>
      </w:pPr>
    </w:p>
    <w:p w14:paraId="26953E34" w14:textId="77777777" w:rsidR="009707C9" w:rsidRPr="00370164" w:rsidRDefault="00370164" w:rsidP="00370164">
      <w:pPr>
        <w:spacing w:after="0"/>
        <w:ind w:left="720"/>
        <w:rPr>
          <w:rFonts w:ascii="Arial" w:hAnsi="Arial" w:cs="Arial"/>
          <w:b/>
        </w:rPr>
      </w:pPr>
      <w:r>
        <w:rPr>
          <w:rFonts w:ascii="Arial" w:hAnsi="Arial" w:cs="Arial"/>
          <w:b/>
        </w:rPr>
        <w:t>Job planning</w:t>
      </w:r>
    </w:p>
    <w:tbl>
      <w:tblPr>
        <w:tblStyle w:val="TableGrid"/>
        <w:tblW w:w="0" w:type="auto"/>
        <w:tblInd w:w="715" w:type="dxa"/>
        <w:tblLook w:val="04A0" w:firstRow="1" w:lastRow="0" w:firstColumn="1" w:lastColumn="0" w:noHBand="0" w:noVBand="1"/>
      </w:tblPr>
      <w:tblGrid>
        <w:gridCol w:w="1639"/>
        <w:gridCol w:w="1335"/>
        <w:gridCol w:w="1219"/>
        <w:gridCol w:w="1218"/>
        <w:gridCol w:w="1218"/>
        <w:gridCol w:w="1127"/>
      </w:tblGrid>
      <w:tr w:rsidR="009707C9" w:rsidRPr="00370164" w14:paraId="76E21FC4" w14:textId="77777777" w:rsidTr="009707C9">
        <w:tc>
          <w:tcPr>
            <w:tcW w:w="1639" w:type="dxa"/>
            <w:tcBorders>
              <w:top w:val="single" w:sz="4" w:space="0" w:color="auto"/>
              <w:left w:val="single" w:sz="4" w:space="0" w:color="auto"/>
              <w:bottom w:val="single" w:sz="4" w:space="0" w:color="auto"/>
              <w:right w:val="single" w:sz="4" w:space="0" w:color="auto"/>
            </w:tcBorders>
          </w:tcPr>
          <w:p w14:paraId="4680288F" w14:textId="77777777" w:rsidR="009707C9" w:rsidRPr="00370164" w:rsidRDefault="009707C9" w:rsidP="00370164">
            <w:pPr>
              <w:spacing w:after="0"/>
              <w:rPr>
                <w:rFonts w:ascii="Arial" w:hAnsi="Arial" w:cs="Arial"/>
                <w:b/>
              </w:rPr>
            </w:pPr>
            <w:r w:rsidRPr="00370164">
              <w:rPr>
                <w:rFonts w:ascii="Arial" w:hAnsi="Arial" w:cs="Arial"/>
                <w:b/>
              </w:rPr>
              <w:t>C</w:t>
            </w:r>
            <w:r w:rsidR="00187D5B" w:rsidRPr="00370164">
              <w:rPr>
                <w:rFonts w:ascii="Arial" w:hAnsi="Arial" w:cs="Arial"/>
                <w:b/>
              </w:rPr>
              <w:t>ompletion rate (73%)</w:t>
            </w:r>
          </w:p>
        </w:tc>
        <w:tc>
          <w:tcPr>
            <w:tcW w:w="1335" w:type="dxa"/>
            <w:tcBorders>
              <w:left w:val="single" w:sz="4" w:space="0" w:color="auto"/>
            </w:tcBorders>
          </w:tcPr>
          <w:p w14:paraId="3DA0BD5B" w14:textId="77777777" w:rsidR="009707C9" w:rsidRPr="00370164" w:rsidRDefault="009707C9" w:rsidP="00370164">
            <w:pPr>
              <w:spacing w:after="0"/>
              <w:rPr>
                <w:rFonts w:ascii="Arial" w:hAnsi="Arial" w:cs="Arial"/>
                <w:b/>
              </w:rPr>
            </w:pPr>
            <w:r w:rsidRPr="00370164">
              <w:rPr>
                <w:rFonts w:ascii="Arial" w:hAnsi="Arial" w:cs="Arial"/>
                <w:b/>
              </w:rPr>
              <w:t>Awaiting 3</w:t>
            </w:r>
            <w:r w:rsidRPr="00370164">
              <w:rPr>
                <w:rFonts w:ascii="Arial" w:hAnsi="Arial" w:cs="Arial"/>
                <w:b/>
                <w:vertAlign w:val="superscript"/>
              </w:rPr>
              <w:t>rd</w:t>
            </w:r>
            <w:r w:rsidRPr="00370164">
              <w:rPr>
                <w:rFonts w:ascii="Arial" w:hAnsi="Arial" w:cs="Arial"/>
                <w:b/>
              </w:rPr>
              <w:t xml:space="preserve"> sign off</w:t>
            </w:r>
          </w:p>
        </w:tc>
        <w:tc>
          <w:tcPr>
            <w:tcW w:w="1219" w:type="dxa"/>
          </w:tcPr>
          <w:p w14:paraId="5A8D29DE" w14:textId="77777777" w:rsidR="009707C9" w:rsidRPr="00370164" w:rsidRDefault="009707C9" w:rsidP="00370164">
            <w:pPr>
              <w:spacing w:after="0"/>
              <w:rPr>
                <w:rFonts w:ascii="Arial" w:hAnsi="Arial" w:cs="Arial"/>
                <w:b/>
              </w:rPr>
            </w:pPr>
            <w:r w:rsidRPr="00370164">
              <w:rPr>
                <w:rFonts w:ascii="Arial" w:hAnsi="Arial" w:cs="Arial"/>
                <w:b/>
              </w:rPr>
              <w:t>Awaiting 2</w:t>
            </w:r>
            <w:r w:rsidRPr="00370164">
              <w:rPr>
                <w:rFonts w:ascii="Arial" w:hAnsi="Arial" w:cs="Arial"/>
                <w:b/>
                <w:vertAlign w:val="superscript"/>
              </w:rPr>
              <w:t>nd</w:t>
            </w:r>
            <w:r w:rsidRPr="00370164">
              <w:rPr>
                <w:rFonts w:ascii="Arial" w:hAnsi="Arial" w:cs="Arial"/>
                <w:b/>
              </w:rPr>
              <w:t xml:space="preserve"> sign off</w:t>
            </w:r>
          </w:p>
        </w:tc>
        <w:tc>
          <w:tcPr>
            <w:tcW w:w="1218" w:type="dxa"/>
          </w:tcPr>
          <w:p w14:paraId="748C135F" w14:textId="77777777" w:rsidR="009707C9" w:rsidRPr="00370164" w:rsidRDefault="009707C9" w:rsidP="00370164">
            <w:pPr>
              <w:spacing w:after="0"/>
              <w:rPr>
                <w:rFonts w:ascii="Arial" w:hAnsi="Arial" w:cs="Arial"/>
                <w:b/>
              </w:rPr>
            </w:pPr>
            <w:r w:rsidRPr="00370164">
              <w:rPr>
                <w:rFonts w:ascii="Arial" w:hAnsi="Arial" w:cs="Arial"/>
                <w:b/>
              </w:rPr>
              <w:t>Awaiting 1</w:t>
            </w:r>
            <w:r w:rsidRPr="00370164">
              <w:rPr>
                <w:rFonts w:ascii="Arial" w:hAnsi="Arial" w:cs="Arial"/>
                <w:b/>
                <w:vertAlign w:val="superscript"/>
              </w:rPr>
              <w:t>st</w:t>
            </w:r>
            <w:r w:rsidRPr="00370164">
              <w:rPr>
                <w:rFonts w:ascii="Arial" w:hAnsi="Arial" w:cs="Arial"/>
                <w:b/>
              </w:rPr>
              <w:t xml:space="preserve"> sign off</w:t>
            </w:r>
          </w:p>
        </w:tc>
        <w:tc>
          <w:tcPr>
            <w:tcW w:w="1218" w:type="dxa"/>
          </w:tcPr>
          <w:p w14:paraId="3CD008AA" w14:textId="77777777" w:rsidR="009707C9" w:rsidRPr="00370164" w:rsidRDefault="009707C9" w:rsidP="00370164">
            <w:pPr>
              <w:spacing w:after="0"/>
              <w:rPr>
                <w:rFonts w:ascii="Arial" w:hAnsi="Arial" w:cs="Arial"/>
                <w:b/>
              </w:rPr>
            </w:pPr>
            <w:r w:rsidRPr="00370164">
              <w:rPr>
                <w:rFonts w:ascii="Arial" w:hAnsi="Arial" w:cs="Arial"/>
                <w:b/>
              </w:rPr>
              <w:t>Awaiting doctor sign off</w:t>
            </w:r>
          </w:p>
        </w:tc>
        <w:tc>
          <w:tcPr>
            <w:tcW w:w="1127" w:type="dxa"/>
          </w:tcPr>
          <w:p w14:paraId="13E943FE" w14:textId="77777777" w:rsidR="009707C9" w:rsidRPr="00370164" w:rsidRDefault="009707C9" w:rsidP="00370164">
            <w:pPr>
              <w:spacing w:after="0"/>
              <w:rPr>
                <w:rFonts w:ascii="Arial" w:hAnsi="Arial" w:cs="Arial"/>
                <w:b/>
              </w:rPr>
            </w:pPr>
            <w:r w:rsidRPr="00370164">
              <w:rPr>
                <w:rFonts w:ascii="Arial" w:hAnsi="Arial" w:cs="Arial"/>
                <w:b/>
              </w:rPr>
              <w:t>No Action</w:t>
            </w:r>
          </w:p>
        </w:tc>
      </w:tr>
      <w:tr w:rsidR="009707C9" w:rsidRPr="00370164" w14:paraId="6E3E23E8" w14:textId="77777777" w:rsidTr="009707C9">
        <w:tc>
          <w:tcPr>
            <w:tcW w:w="1639" w:type="dxa"/>
            <w:tcBorders>
              <w:top w:val="single" w:sz="4" w:space="0" w:color="auto"/>
              <w:left w:val="single" w:sz="4" w:space="0" w:color="auto"/>
              <w:bottom w:val="single" w:sz="4" w:space="0" w:color="auto"/>
              <w:right w:val="single" w:sz="4" w:space="0" w:color="auto"/>
            </w:tcBorders>
          </w:tcPr>
          <w:p w14:paraId="5BE9A0C1" w14:textId="77777777" w:rsidR="009707C9" w:rsidRPr="00370164" w:rsidRDefault="00187D5B" w:rsidP="00370164">
            <w:pPr>
              <w:spacing w:after="0"/>
              <w:jc w:val="center"/>
              <w:rPr>
                <w:rFonts w:ascii="Arial" w:hAnsi="Arial" w:cs="Arial"/>
              </w:rPr>
            </w:pPr>
            <w:r w:rsidRPr="00370164">
              <w:rPr>
                <w:rFonts w:ascii="Arial" w:hAnsi="Arial" w:cs="Arial"/>
              </w:rPr>
              <w:t>33</w:t>
            </w:r>
          </w:p>
        </w:tc>
        <w:tc>
          <w:tcPr>
            <w:tcW w:w="1335" w:type="dxa"/>
            <w:tcBorders>
              <w:left w:val="single" w:sz="4" w:space="0" w:color="auto"/>
            </w:tcBorders>
          </w:tcPr>
          <w:p w14:paraId="2CC90460"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9" w:type="dxa"/>
          </w:tcPr>
          <w:p w14:paraId="36B99ECF" w14:textId="77777777" w:rsidR="009707C9" w:rsidRPr="00370164" w:rsidRDefault="00187D5B" w:rsidP="00370164">
            <w:pPr>
              <w:spacing w:after="0"/>
              <w:jc w:val="center"/>
              <w:rPr>
                <w:rFonts w:ascii="Arial" w:hAnsi="Arial" w:cs="Arial"/>
              </w:rPr>
            </w:pPr>
            <w:r w:rsidRPr="00370164">
              <w:rPr>
                <w:rFonts w:ascii="Arial" w:hAnsi="Arial" w:cs="Arial"/>
              </w:rPr>
              <w:t>2</w:t>
            </w:r>
          </w:p>
        </w:tc>
        <w:tc>
          <w:tcPr>
            <w:tcW w:w="1218" w:type="dxa"/>
          </w:tcPr>
          <w:p w14:paraId="0A0E2D11"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Pr>
          <w:p w14:paraId="5CE38BB0" w14:textId="77777777" w:rsidR="009707C9" w:rsidRPr="00370164" w:rsidRDefault="00187D5B" w:rsidP="00370164">
            <w:pPr>
              <w:spacing w:after="0"/>
              <w:jc w:val="center"/>
              <w:rPr>
                <w:rFonts w:ascii="Arial" w:hAnsi="Arial" w:cs="Arial"/>
              </w:rPr>
            </w:pPr>
            <w:r w:rsidRPr="00370164">
              <w:rPr>
                <w:rFonts w:ascii="Arial" w:hAnsi="Arial" w:cs="Arial"/>
              </w:rPr>
              <w:t>1</w:t>
            </w:r>
          </w:p>
        </w:tc>
        <w:tc>
          <w:tcPr>
            <w:tcW w:w="1127" w:type="dxa"/>
          </w:tcPr>
          <w:p w14:paraId="2072C6B7" w14:textId="77777777" w:rsidR="009707C9" w:rsidRPr="00370164" w:rsidRDefault="00187D5B" w:rsidP="00370164">
            <w:pPr>
              <w:spacing w:after="0"/>
              <w:jc w:val="center"/>
              <w:rPr>
                <w:rFonts w:ascii="Arial" w:hAnsi="Arial" w:cs="Arial"/>
              </w:rPr>
            </w:pPr>
            <w:r w:rsidRPr="00370164">
              <w:rPr>
                <w:rFonts w:ascii="Arial" w:hAnsi="Arial" w:cs="Arial"/>
              </w:rPr>
              <w:t>-</w:t>
            </w:r>
          </w:p>
        </w:tc>
      </w:tr>
      <w:tr w:rsidR="009707C9" w:rsidRPr="00370164" w14:paraId="742D1AE0" w14:textId="77777777" w:rsidTr="009707C9">
        <w:tc>
          <w:tcPr>
            <w:tcW w:w="1639" w:type="dxa"/>
            <w:tcBorders>
              <w:top w:val="single" w:sz="4" w:space="0" w:color="auto"/>
              <w:left w:val="single" w:sz="4" w:space="0" w:color="auto"/>
              <w:bottom w:val="single" w:sz="4" w:space="0" w:color="auto"/>
              <w:right w:val="single" w:sz="4" w:space="0" w:color="auto"/>
            </w:tcBorders>
          </w:tcPr>
          <w:p w14:paraId="60F47BC8" w14:textId="77777777" w:rsidR="009707C9" w:rsidRPr="00370164" w:rsidRDefault="00187D5B" w:rsidP="00370164">
            <w:pPr>
              <w:spacing w:after="0"/>
              <w:jc w:val="center"/>
              <w:rPr>
                <w:rFonts w:ascii="Arial" w:hAnsi="Arial" w:cs="Arial"/>
              </w:rPr>
            </w:pPr>
            <w:r w:rsidRPr="00370164">
              <w:rPr>
                <w:rFonts w:ascii="Arial" w:hAnsi="Arial" w:cs="Arial"/>
              </w:rPr>
              <w:t>25</w:t>
            </w:r>
          </w:p>
        </w:tc>
        <w:tc>
          <w:tcPr>
            <w:tcW w:w="1335" w:type="dxa"/>
            <w:tcBorders>
              <w:left w:val="single" w:sz="4" w:space="0" w:color="auto"/>
            </w:tcBorders>
          </w:tcPr>
          <w:p w14:paraId="1E3D9547"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9" w:type="dxa"/>
          </w:tcPr>
          <w:p w14:paraId="3B9494AB"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Pr>
          <w:p w14:paraId="4E182FB9"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Pr>
          <w:p w14:paraId="10EBB09D"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127" w:type="dxa"/>
          </w:tcPr>
          <w:p w14:paraId="3CE339CC" w14:textId="77777777" w:rsidR="009707C9" w:rsidRPr="00370164" w:rsidRDefault="00187D5B" w:rsidP="00370164">
            <w:pPr>
              <w:spacing w:after="0"/>
              <w:jc w:val="center"/>
              <w:rPr>
                <w:rFonts w:ascii="Arial" w:hAnsi="Arial" w:cs="Arial"/>
              </w:rPr>
            </w:pPr>
            <w:r w:rsidRPr="00370164">
              <w:rPr>
                <w:rFonts w:ascii="Arial" w:hAnsi="Arial" w:cs="Arial"/>
              </w:rPr>
              <w:t>-</w:t>
            </w:r>
          </w:p>
        </w:tc>
      </w:tr>
      <w:tr w:rsidR="009707C9" w:rsidRPr="00370164" w14:paraId="345B5980" w14:textId="77777777" w:rsidTr="009707C9">
        <w:tc>
          <w:tcPr>
            <w:tcW w:w="1639" w:type="dxa"/>
            <w:tcBorders>
              <w:top w:val="single" w:sz="4" w:space="0" w:color="auto"/>
              <w:left w:val="single" w:sz="4" w:space="0" w:color="auto"/>
              <w:bottom w:val="single" w:sz="4" w:space="0" w:color="auto"/>
              <w:right w:val="single" w:sz="4" w:space="0" w:color="auto"/>
            </w:tcBorders>
          </w:tcPr>
          <w:p w14:paraId="016D066E" w14:textId="77777777" w:rsidR="009707C9" w:rsidRPr="00370164" w:rsidRDefault="00187D5B" w:rsidP="00370164">
            <w:pPr>
              <w:spacing w:after="0"/>
              <w:jc w:val="center"/>
              <w:rPr>
                <w:rFonts w:ascii="Arial" w:hAnsi="Arial" w:cs="Arial"/>
              </w:rPr>
            </w:pPr>
            <w:r w:rsidRPr="00370164">
              <w:rPr>
                <w:rFonts w:ascii="Arial" w:hAnsi="Arial" w:cs="Arial"/>
              </w:rPr>
              <w:t>13</w:t>
            </w:r>
          </w:p>
        </w:tc>
        <w:tc>
          <w:tcPr>
            <w:tcW w:w="1335" w:type="dxa"/>
            <w:tcBorders>
              <w:left w:val="single" w:sz="4" w:space="0" w:color="auto"/>
            </w:tcBorders>
          </w:tcPr>
          <w:p w14:paraId="4E9C5199"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9" w:type="dxa"/>
          </w:tcPr>
          <w:p w14:paraId="5DF337CB" w14:textId="77777777" w:rsidR="009707C9" w:rsidRPr="00370164" w:rsidRDefault="00187D5B" w:rsidP="00370164">
            <w:pPr>
              <w:spacing w:after="0"/>
              <w:jc w:val="center"/>
              <w:rPr>
                <w:rFonts w:ascii="Arial" w:hAnsi="Arial" w:cs="Arial"/>
              </w:rPr>
            </w:pPr>
            <w:r w:rsidRPr="00370164">
              <w:rPr>
                <w:rFonts w:ascii="Arial" w:hAnsi="Arial" w:cs="Arial"/>
              </w:rPr>
              <w:t>1</w:t>
            </w:r>
          </w:p>
        </w:tc>
        <w:tc>
          <w:tcPr>
            <w:tcW w:w="1218" w:type="dxa"/>
          </w:tcPr>
          <w:p w14:paraId="56B04A8D" w14:textId="77777777" w:rsidR="009707C9" w:rsidRPr="00370164" w:rsidRDefault="00187D5B" w:rsidP="00370164">
            <w:pPr>
              <w:spacing w:after="0"/>
              <w:jc w:val="center"/>
              <w:rPr>
                <w:rFonts w:ascii="Arial" w:hAnsi="Arial" w:cs="Arial"/>
              </w:rPr>
            </w:pPr>
            <w:r w:rsidRPr="00370164">
              <w:rPr>
                <w:rFonts w:ascii="Arial" w:hAnsi="Arial" w:cs="Arial"/>
              </w:rPr>
              <w:t>1</w:t>
            </w:r>
          </w:p>
        </w:tc>
        <w:tc>
          <w:tcPr>
            <w:tcW w:w="1218" w:type="dxa"/>
          </w:tcPr>
          <w:p w14:paraId="4428DAF7" w14:textId="77777777" w:rsidR="009707C9" w:rsidRPr="00370164" w:rsidRDefault="00187D5B" w:rsidP="00370164">
            <w:pPr>
              <w:spacing w:after="0"/>
              <w:jc w:val="center"/>
              <w:rPr>
                <w:rFonts w:ascii="Arial" w:hAnsi="Arial" w:cs="Arial"/>
              </w:rPr>
            </w:pPr>
            <w:r w:rsidRPr="00370164">
              <w:rPr>
                <w:rFonts w:ascii="Arial" w:hAnsi="Arial" w:cs="Arial"/>
              </w:rPr>
              <w:t>3</w:t>
            </w:r>
          </w:p>
        </w:tc>
        <w:tc>
          <w:tcPr>
            <w:tcW w:w="1127" w:type="dxa"/>
          </w:tcPr>
          <w:p w14:paraId="6E65041A" w14:textId="77777777" w:rsidR="009707C9" w:rsidRPr="00370164" w:rsidRDefault="00187D5B" w:rsidP="00370164">
            <w:pPr>
              <w:spacing w:after="0"/>
              <w:jc w:val="center"/>
              <w:rPr>
                <w:rFonts w:ascii="Arial" w:hAnsi="Arial" w:cs="Arial"/>
              </w:rPr>
            </w:pPr>
            <w:r w:rsidRPr="00370164">
              <w:rPr>
                <w:rFonts w:ascii="Arial" w:hAnsi="Arial" w:cs="Arial"/>
              </w:rPr>
              <w:t>3</w:t>
            </w:r>
          </w:p>
        </w:tc>
      </w:tr>
      <w:tr w:rsidR="009707C9" w:rsidRPr="00370164" w14:paraId="240E2855" w14:textId="77777777" w:rsidTr="009707C9">
        <w:tc>
          <w:tcPr>
            <w:tcW w:w="1639" w:type="dxa"/>
            <w:tcBorders>
              <w:top w:val="single" w:sz="4" w:space="0" w:color="auto"/>
              <w:left w:val="single" w:sz="4" w:space="0" w:color="auto"/>
              <w:bottom w:val="single" w:sz="4" w:space="0" w:color="auto"/>
              <w:right w:val="single" w:sz="4" w:space="0" w:color="auto"/>
            </w:tcBorders>
          </w:tcPr>
          <w:p w14:paraId="2F854750" w14:textId="77777777" w:rsidR="009707C9" w:rsidRPr="00370164" w:rsidRDefault="00187D5B" w:rsidP="00370164">
            <w:pPr>
              <w:spacing w:after="0"/>
              <w:jc w:val="center"/>
              <w:rPr>
                <w:rFonts w:ascii="Arial" w:hAnsi="Arial" w:cs="Arial"/>
              </w:rPr>
            </w:pPr>
            <w:r w:rsidRPr="00370164">
              <w:rPr>
                <w:rFonts w:ascii="Arial" w:hAnsi="Arial" w:cs="Arial"/>
              </w:rPr>
              <w:t>3</w:t>
            </w:r>
          </w:p>
        </w:tc>
        <w:tc>
          <w:tcPr>
            <w:tcW w:w="1335" w:type="dxa"/>
            <w:tcBorders>
              <w:left w:val="single" w:sz="4" w:space="0" w:color="auto"/>
            </w:tcBorders>
          </w:tcPr>
          <w:p w14:paraId="270D8A4D"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9" w:type="dxa"/>
          </w:tcPr>
          <w:p w14:paraId="4D7F7554"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Pr>
          <w:p w14:paraId="2DC4EAB0"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Pr>
          <w:p w14:paraId="766C2D3D"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127" w:type="dxa"/>
          </w:tcPr>
          <w:p w14:paraId="2F106C0E" w14:textId="77777777" w:rsidR="009707C9" w:rsidRPr="00370164" w:rsidRDefault="00187D5B" w:rsidP="00370164">
            <w:pPr>
              <w:spacing w:after="0"/>
              <w:jc w:val="center"/>
              <w:rPr>
                <w:rFonts w:ascii="Arial" w:hAnsi="Arial" w:cs="Arial"/>
              </w:rPr>
            </w:pPr>
            <w:r w:rsidRPr="00370164">
              <w:rPr>
                <w:rFonts w:ascii="Arial" w:hAnsi="Arial" w:cs="Arial"/>
              </w:rPr>
              <w:t>-</w:t>
            </w:r>
          </w:p>
        </w:tc>
      </w:tr>
      <w:tr w:rsidR="009707C9" w:rsidRPr="00370164" w14:paraId="4DB1B89D" w14:textId="77777777" w:rsidTr="009707C9">
        <w:tc>
          <w:tcPr>
            <w:tcW w:w="1639" w:type="dxa"/>
            <w:tcBorders>
              <w:top w:val="single" w:sz="4" w:space="0" w:color="auto"/>
              <w:left w:val="single" w:sz="4" w:space="0" w:color="auto"/>
              <w:bottom w:val="single" w:sz="4" w:space="0" w:color="auto"/>
              <w:right w:val="single" w:sz="4" w:space="0" w:color="auto"/>
            </w:tcBorders>
          </w:tcPr>
          <w:p w14:paraId="4E2E1726" w14:textId="77777777" w:rsidR="009707C9" w:rsidRPr="00370164" w:rsidRDefault="00187D5B" w:rsidP="00370164">
            <w:pPr>
              <w:spacing w:after="0"/>
              <w:jc w:val="center"/>
              <w:rPr>
                <w:rFonts w:ascii="Arial" w:hAnsi="Arial" w:cs="Arial"/>
              </w:rPr>
            </w:pPr>
            <w:r w:rsidRPr="00370164">
              <w:rPr>
                <w:rFonts w:ascii="Arial" w:hAnsi="Arial" w:cs="Arial"/>
              </w:rPr>
              <w:t>4</w:t>
            </w:r>
          </w:p>
        </w:tc>
        <w:tc>
          <w:tcPr>
            <w:tcW w:w="1335" w:type="dxa"/>
            <w:tcBorders>
              <w:left w:val="single" w:sz="4" w:space="0" w:color="auto"/>
            </w:tcBorders>
          </w:tcPr>
          <w:p w14:paraId="593AF794"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9" w:type="dxa"/>
          </w:tcPr>
          <w:p w14:paraId="4638BC63"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Pr>
          <w:p w14:paraId="099FF0B8"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Pr>
          <w:p w14:paraId="57E272A6"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127" w:type="dxa"/>
          </w:tcPr>
          <w:p w14:paraId="25551FCD" w14:textId="77777777" w:rsidR="009707C9" w:rsidRPr="00370164" w:rsidRDefault="00187D5B" w:rsidP="00370164">
            <w:pPr>
              <w:spacing w:after="0"/>
              <w:jc w:val="center"/>
              <w:rPr>
                <w:rFonts w:ascii="Arial" w:hAnsi="Arial" w:cs="Arial"/>
              </w:rPr>
            </w:pPr>
            <w:r w:rsidRPr="00370164">
              <w:rPr>
                <w:rFonts w:ascii="Arial" w:hAnsi="Arial" w:cs="Arial"/>
              </w:rPr>
              <w:t>-</w:t>
            </w:r>
          </w:p>
        </w:tc>
      </w:tr>
      <w:tr w:rsidR="009707C9" w:rsidRPr="00370164" w14:paraId="45E6BE6C" w14:textId="77777777" w:rsidTr="009707C9">
        <w:tc>
          <w:tcPr>
            <w:tcW w:w="1639" w:type="dxa"/>
            <w:tcBorders>
              <w:top w:val="single" w:sz="4" w:space="0" w:color="auto"/>
              <w:left w:val="single" w:sz="4" w:space="0" w:color="auto"/>
              <w:bottom w:val="single" w:sz="4" w:space="0" w:color="auto"/>
              <w:right w:val="single" w:sz="4" w:space="0" w:color="auto"/>
            </w:tcBorders>
          </w:tcPr>
          <w:p w14:paraId="36044144" w14:textId="77777777" w:rsidR="009707C9" w:rsidRPr="00370164" w:rsidRDefault="00187D5B" w:rsidP="00370164">
            <w:pPr>
              <w:spacing w:after="0"/>
              <w:jc w:val="center"/>
              <w:rPr>
                <w:rFonts w:ascii="Arial" w:hAnsi="Arial" w:cs="Arial"/>
              </w:rPr>
            </w:pPr>
            <w:r w:rsidRPr="00370164">
              <w:rPr>
                <w:rFonts w:ascii="Arial" w:hAnsi="Arial" w:cs="Arial"/>
              </w:rPr>
              <w:t>5</w:t>
            </w:r>
          </w:p>
        </w:tc>
        <w:tc>
          <w:tcPr>
            <w:tcW w:w="1335" w:type="dxa"/>
            <w:tcBorders>
              <w:left w:val="single" w:sz="4" w:space="0" w:color="auto"/>
            </w:tcBorders>
          </w:tcPr>
          <w:p w14:paraId="5C48AC90"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9" w:type="dxa"/>
          </w:tcPr>
          <w:p w14:paraId="6B10E880" w14:textId="77777777" w:rsidR="009707C9" w:rsidRPr="00370164" w:rsidRDefault="00187D5B" w:rsidP="00370164">
            <w:pPr>
              <w:spacing w:after="0"/>
              <w:jc w:val="center"/>
              <w:rPr>
                <w:rFonts w:ascii="Arial" w:hAnsi="Arial" w:cs="Arial"/>
              </w:rPr>
            </w:pPr>
            <w:r w:rsidRPr="00370164">
              <w:rPr>
                <w:rFonts w:ascii="Arial" w:hAnsi="Arial" w:cs="Arial"/>
              </w:rPr>
              <w:t>1</w:t>
            </w:r>
          </w:p>
        </w:tc>
        <w:tc>
          <w:tcPr>
            <w:tcW w:w="1218" w:type="dxa"/>
          </w:tcPr>
          <w:p w14:paraId="02B46EB0"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Pr>
          <w:p w14:paraId="5F0716E6"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127" w:type="dxa"/>
          </w:tcPr>
          <w:p w14:paraId="2E0661E8" w14:textId="77777777" w:rsidR="009707C9" w:rsidRPr="00370164" w:rsidRDefault="00187D5B" w:rsidP="00370164">
            <w:pPr>
              <w:spacing w:after="0"/>
              <w:jc w:val="center"/>
              <w:rPr>
                <w:rFonts w:ascii="Arial" w:hAnsi="Arial" w:cs="Arial"/>
              </w:rPr>
            </w:pPr>
            <w:r w:rsidRPr="00370164">
              <w:rPr>
                <w:rFonts w:ascii="Arial" w:hAnsi="Arial" w:cs="Arial"/>
              </w:rPr>
              <w:t>-</w:t>
            </w:r>
          </w:p>
        </w:tc>
      </w:tr>
      <w:tr w:rsidR="009707C9" w:rsidRPr="00370164" w14:paraId="0D8B0267" w14:textId="77777777" w:rsidTr="009707C9">
        <w:tc>
          <w:tcPr>
            <w:tcW w:w="1639" w:type="dxa"/>
            <w:tcBorders>
              <w:top w:val="single" w:sz="4" w:space="0" w:color="auto"/>
              <w:left w:val="single" w:sz="4" w:space="0" w:color="auto"/>
              <w:bottom w:val="single" w:sz="12" w:space="0" w:color="auto"/>
              <w:right w:val="single" w:sz="4" w:space="0" w:color="auto"/>
            </w:tcBorders>
          </w:tcPr>
          <w:p w14:paraId="40241777" w14:textId="77777777" w:rsidR="009707C9" w:rsidRPr="00370164" w:rsidRDefault="00187D5B" w:rsidP="00370164">
            <w:pPr>
              <w:spacing w:after="0"/>
              <w:jc w:val="center"/>
              <w:rPr>
                <w:rFonts w:ascii="Arial" w:hAnsi="Arial" w:cs="Arial"/>
              </w:rPr>
            </w:pPr>
            <w:r w:rsidRPr="00370164">
              <w:rPr>
                <w:rFonts w:ascii="Arial" w:hAnsi="Arial" w:cs="Arial"/>
              </w:rPr>
              <w:t>2</w:t>
            </w:r>
          </w:p>
        </w:tc>
        <w:tc>
          <w:tcPr>
            <w:tcW w:w="1335" w:type="dxa"/>
            <w:tcBorders>
              <w:left w:val="single" w:sz="4" w:space="0" w:color="auto"/>
              <w:bottom w:val="single" w:sz="12" w:space="0" w:color="auto"/>
            </w:tcBorders>
          </w:tcPr>
          <w:p w14:paraId="43A50F17"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9" w:type="dxa"/>
            <w:tcBorders>
              <w:bottom w:val="single" w:sz="12" w:space="0" w:color="auto"/>
            </w:tcBorders>
          </w:tcPr>
          <w:p w14:paraId="2E40BD8C"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218" w:type="dxa"/>
            <w:tcBorders>
              <w:bottom w:val="single" w:sz="12" w:space="0" w:color="auto"/>
            </w:tcBorders>
          </w:tcPr>
          <w:p w14:paraId="04B475AF" w14:textId="77777777" w:rsidR="009707C9" w:rsidRPr="00370164" w:rsidRDefault="00187D5B" w:rsidP="00370164">
            <w:pPr>
              <w:spacing w:after="0"/>
              <w:jc w:val="center"/>
              <w:rPr>
                <w:rFonts w:ascii="Arial" w:hAnsi="Arial" w:cs="Arial"/>
              </w:rPr>
            </w:pPr>
            <w:r w:rsidRPr="00370164">
              <w:rPr>
                <w:rFonts w:ascii="Arial" w:hAnsi="Arial" w:cs="Arial"/>
              </w:rPr>
              <w:t>3</w:t>
            </w:r>
          </w:p>
        </w:tc>
        <w:tc>
          <w:tcPr>
            <w:tcW w:w="1218" w:type="dxa"/>
            <w:tcBorders>
              <w:bottom w:val="single" w:sz="12" w:space="0" w:color="auto"/>
            </w:tcBorders>
          </w:tcPr>
          <w:p w14:paraId="1A137B8A" w14:textId="77777777" w:rsidR="009707C9" w:rsidRPr="00370164" w:rsidRDefault="00187D5B" w:rsidP="00370164">
            <w:pPr>
              <w:spacing w:after="0"/>
              <w:jc w:val="center"/>
              <w:rPr>
                <w:rFonts w:ascii="Arial" w:hAnsi="Arial" w:cs="Arial"/>
              </w:rPr>
            </w:pPr>
            <w:r w:rsidRPr="00370164">
              <w:rPr>
                <w:rFonts w:ascii="Arial" w:hAnsi="Arial" w:cs="Arial"/>
              </w:rPr>
              <w:t>-</w:t>
            </w:r>
          </w:p>
        </w:tc>
        <w:tc>
          <w:tcPr>
            <w:tcW w:w="1127" w:type="dxa"/>
            <w:tcBorders>
              <w:bottom w:val="single" w:sz="12" w:space="0" w:color="auto"/>
            </w:tcBorders>
          </w:tcPr>
          <w:p w14:paraId="7877231D" w14:textId="77777777" w:rsidR="009707C9" w:rsidRPr="00370164" w:rsidRDefault="00187D5B" w:rsidP="00370164">
            <w:pPr>
              <w:spacing w:after="0"/>
              <w:jc w:val="center"/>
              <w:rPr>
                <w:rFonts w:ascii="Arial" w:hAnsi="Arial" w:cs="Arial"/>
              </w:rPr>
            </w:pPr>
            <w:r w:rsidRPr="00370164">
              <w:rPr>
                <w:rFonts w:ascii="Arial" w:hAnsi="Arial" w:cs="Arial"/>
              </w:rPr>
              <w:t>14</w:t>
            </w:r>
          </w:p>
        </w:tc>
      </w:tr>
      <w:tr w:rsidR="009707C9" w:rsidRPr="00370164" w14:paraId="4DE24EC0" w14:textId="77777777" w:rsidTr="009707C9">
        <w:tc>
          <w:tcPr>
            <w:tcW w:w="1639" w:type="dxa"/>
            <w:tcBorders>
              <w:top w:val="single" w:sz="12" w:space="0" w:color="auto"/>
            </w:tcBorders>
          </w:tcPr>
          <w:p w14:paraId="28E7EE6E" w14:textId="77777777" w:rsidR="009707C9" w:rsidRPr="00370164" w:rsidRDefault="009707C9" w:rsidP="00370164">
            <w:pPr>
              <w:spacing w:after="0"/>
              <w:jc w:val="center"/>
              <w:rPr>
                <w:rFonts w:ascii="Arial" w:hAnsi="Arial" w:cs="Arial"/>
                <w:b/>
              </w:rPr>
            </w:pPr>
            <w:r w:rsidRPr="00370164">
              <w:rPr>
                <w:rFonts w:ascii="Arial" w:hAnsi="Arial" w:cs="Arial"/>
                <w:b/>
              </w:rPr>
              <w:t>85</w:t>
            </w:r>
            <w:r w:rsidR="00187D5B" w:rsidRPr="00370164">
              <w:rPr>
                <w:rFonts w:ascii="Arial" w:hAnsi="Arial" w:cs="Arial"/>
                <w:b/>
              </w:rPr>
              <w:t xml:space="preserve"> </w:t>
            </w:r>
          </w:p>
        </w:tc>
        <w:tc>
          <w:tcPr>
            <w:tcW w:w="1335" w:type="dxa"/>
            <w:tcBorders>
              <w:top w:val="single" w:sz="12" w:space="0" w:color="auto"/>
            </w:tcBorders>
          </w:tcPr>
          <w:p w14:paraId="64B2B099" w14:textId="77777777" w:rsidR="009707C9" w:rsidRPr="00370164" w:rsidRDefault="009707C9" w:rsidP="00370164">
            <w:pPr>
              <w:spacing w:after="0"/>
              <w:jc w:val="center"/>
              <w:rPr>
                <w:rFonts w:ascii="Arial" w:hAnsi="Arial" w:cs="Arial"/>
                <w:b/>
              </w:rPr>
            </w:pPr>
            <w:r w:rsidRPr="00370164">
              <w:rPr>
                <w:rFonts w:ascii="Arial" w:hAnsi="Arial" w:cs="Arial"/>
                <w:b/>
              </w:rPr>
              <w:t>0</w:t>
            </w:r>
          </w:p>
        </w:tc>
        <w:tc>
          <w:tcPr>
            <w:tcW w:w="1219" w:type="dxa"/>
            <w:tcBorders>
              <w:top w:val="single" w:sz="12" w:space="0" w:color="auto"/>
            </w:tcBorders>
          </w:tcPr>
          <w:p w14:paraId="362DD817" w14:textId="77777777" w:rsidR="009707C9" w:rsidRPr="00370164" w:rsidRDefault="009707C9" w:rsidP="00370164">
            <w:pPr>
              <w:spacing w:after="0"/>
              <w:jc w:val="center"/>
              <w:rPr>
                <w:rFonts w:ascii="Arial" w:hAnsi="Arial" w:cs="Arial"/>
                <w:b/>
              </w:rPr>
            </w:pPr>
            <w:r w:rsidRPr="00370164">
              <w:rPr>
                <w:rFonts w:ascii="Arial" w:hAnsi="Arial" w:cs="Arial"/>
                <w:b/>
              </w:rPr>
              <w:t>4</w:t>
            </w:r>
          </w:p>
        </w:tc>
        <w:tc>
          <w:tcPr>
            <w:tcW w:w="1218" w:type="dxa"/>
            <w:tcBorders>
              <w:top w:val="single" w:sz="12" w:space="0" w:color="auto"/>
            </w:tcBorders>
          </w:tcPr>
          <w:p w14:paraId="17C7C386" w14:textId="77777777" w:rsidR="009707C9" w:rsidRPr="00370164" w:rsidRDefault="009707C9" w:rsidP="00370164">
            <w:pPr>
              <w:spacing w:after="0"/>
              <w:jc w:val="center"/>
              <w:rPr>
                <w:rFonts w:ascii="Arial" w:hAnsi="Arial" w:cs="Arial"/>
                <w:b/>
              </w:rPr>
            </w:pPr>
            <w:r w:rsidRPr="00370164">
              <w:rPr>
                <w:rFonts w:ascii="Arial" w:hAnsi="Arial" w:cs="Arial"/>
                <w:b/>
              </w:rPr>
              <w:t>4</w:t>
            </w:r>
          </w:p>
        </w:tc>
        <w:tc>
          <w:tcPr>
            <w:tcW w:w="1218" w:type="dxa"/>
            <w:tcBorders>
              <w:top w:val="single" w:sz="12" w:space="0" w:color="auto"/>
            </w:tcBorders>
          </w:tcPr>
          <w:p w14:paraId="65A4A4FF" w14:textId="77777777" w:rsidR="009707C9" w:rsidRPr="00370164" w:rsidRDefault="009707C9" w:rsidP="00370164">
            <w:pPr>
              <w:spacing w:after="0"/>
              <w:jc w:val="center"/>
              <w:rPr>
                <w:rFonts w:ascii="Arial" w:hAnsi="Arial" w:cs="Arial"/>
                <w:b/>
              </w:rPr>
            </w:pPr>
            <w:r w:rsidRPr="00370164">
              <w:rPr>
                <w:rFonts w:ascii="Arial" w:hAnsi="Arial" w:cs="Arial"/>
                <w:b/>
              </w:rPr>
              <w:t>4</w:t>
            </w:r>
          </w:p>
        </w:tc>
        <w:tc>
          <w:tcPr>
            <w:tcW w:w="1127" w:type="dxa"/>
            <w:tcBorders>
              <w:top w:val="single" w:sz="12" w:space="0" w:color="auto"/>
            </w:tcBorders>
          </w:tcPr>
          <w:p w14:paraId="785AC91D" w14:textId="77777777" w:rsidR="009707C9" w:rsidRPr="00370164" w:rsidRDefault="009707C9" w:rsidP="00370164">
            <w:pPr>
              <w:spacing w:after="0"/>
              <w:jc w:val="center"/>
              <w:rPr>
                <w:rFonts w:ascii="Arial" w:hAnsi="Arial" w:cs="Arial"/>
                <w:b/>
              </w:rPr>
            </w:pPr>
            <w:r w:rsidRPr="00370164">
              <w:rPr>
                <w:rFonts w:ascii="Arial" w:hAnsi="Arial" w:cs="Arial"/>
                <w:b/>
              </w:rPr>
              <w:t>17</w:t>
            </w:r>
          </w:p>
        </w:tc>
      </w:tr>
    </w:tbl>
    <w:p w14:paraId="7DF40745" w14:textId="77777777" w:rsidR="00125E19" w:rsidRPr="00370164" w:rsidRDefault="00125E19" w:rsidP="00370164">
      <w:pPr>
        <w:spacing w:after="0"/>
        <w:ind w:left="720"/>
        <w:rPr>
          <w:rFonts w:ascii="Arial" w:hAnsi="Arial" w:cs="Arial"/>
        </w:rPr>
      </w:pPr>
    </w:p>
    <w:p w14:paraId="15C7D502" w14:textId="77777777" w:rsidR="00466E41" w:rsidRDefault="00187D5B" w:rsidP="00370164">
      <w:pPr>
        <w:spacing w:after="0"/>
        <w:ind w:left="720"/>
        <w:rPr>
          <w:rFonts w:ascii="Arial" w:hAnsi="Arial" w:cs="Arial"/>
        </w:rPr>
      </w:pPr>
      <w:r w:rsidRPr="00370164">
        <w:rPr>
          <w:rFonts w:ascii="Arial" w:hAnsi="Arial" w:cs="Arial"/>
        </w:rPr>
        <w:t>Committee noted a substantial improvemen</w:t>
      </w:r>
      <w:r w:rsidR="00466E41">
        <w:rPr>
          <w:rFonts w:ascii="Arial" w:hAnsi="Arial" w:cs="Arial"/>
        </w:rPr>
        <w:t>t to appraisal completion rates since the start of</w:t>
      </w:r>
      <w:r w:rsidRPr="00370164">
        <w:rPr>
          <w:rFonts w:ascii="Arial" w:hAnsi="Arial" w:cs="Arial"/>
        </w:rPr>
        <w:t xml:space="preserve"> the </w:t>
      </w:r>
      <w:r w:rsidR="00466E41">
        <w:rPr>
          <w:rFonts w:ascii="Arial" w:hAnsi="Arial" w:cs="Arial"/>
        </w:rPr>
        <w:t xml:space="preserve">COVID </w:t>
      </w:r>
      <w:r w:rsidRPr="00370164">
        <w:rPr>
          <w:rFonts w:ascii="Arial" w:hAnsi="Arial" w:cs="Arial"/>
        </w:rPr>
        <w:t>pandemic</w:t>
      </w:r>
      <w:r w:rsidR="00466E41">
        <w:rPr>
          <w:rFonts w:ascii="Arial" w:hAnsi="Arial" w:cs="Arial"/>
        </w:rPr>
        <w:t>. Committee also noted Mark MacGregor’s observation that rates of compliance are</w:t>
      </w:r>
      <w:r w:rsidRPr="00370164">
        <w:rPr>
          <w:rFonts w:ascii="Arial" w:hAnsi="Arial" w:cs="Arial"/>
        </w:rPr>
        <w:t xml:space="preserve"> expected to improve in </w:t>
      </w:r>
      <w:r w:rsidR="00466E41">
        <w:rPr>
          <w:rFonts w:ascii="Arial" w:hAnsi="Arial" w:cs="Arial"/>
        </w:rPr>
        <w:t>financial year 2022/</w:t>
      </w:r>
      <w:r w:rsidRPr="00370164">
        <w:rPr>
          <w:rFonts w:ascii="Arial" w:hAnsi="Arial" w:cs="Arial"/>
        </w:rPr>
        <w:t>23. Committee agreed that appraisals be spread over a 5 year period to ensure appraisals are completed in</w:t>
      </w:r>
      <w:r w:rsidR="00466E41">
        <w:rPr>
          <w:rFonts w:ascii="Arial" w:hAnsi="Arial" w:cs="Arial"/>
        </w:rPr>
        <w:t xml:space="preserve"> a</w:t>
      </w:r>
      <w:r w:rsidRPr="00370164">
        <w:rPr>
          <w:rFonts w:ascii="Arial" w:hAnsi="Arial" w:cs="Arial"/>
        </w:rPr>
        <w:t xml:space="preserve"> timely manner</w:t>
      </w:r>
      <w:r w:rsidR="00466E41">
        <w:rPr>
          <w:rFonts w:ascii="Arial" w:hAnsi="Arial" w:cs="Arial"/>
        </w:rPr>
        <w:t>.</w:t>
      </w:r>
    </w:p>
    <w:p w14:paraId="2E4379C8" w14:textId="77777777" w:rsidR="00466E41" w:rsidRDefault="00466E41" w:rsidP="00370164">
      <w:pPr>
        <w:spacing w:after="0"/>
        <w:ind w:left="720"/>
        <w:rPr>
          <w:rFonts w:ascii="Arial" w:hAnsi="Arial" w:cs="Arial"/>
        </w:rPr>
      </w:pPr>
    </w:p>
    <w:p w14:paraId="6DA3AF24" w14:textId="77777777" w:rsidR="00187D5B" w:rsidRPr="00370164" w:rsidRDefault="00466E41" w:rsidP="00370164">
      <w:pPr>
        <w:spacing w:after="0"/>
        <w:ind w:left="720"/>
        <w:rPr>
          <w:rFonts w:ascii="Arial" w:hAnsi="Arial" w:cs="Arial"/>
        </w:rPr>
      </w:pPr>
      <w:r>
        <w:rPr>
          <w:rFonts w:ascii="Arial" w:hAnsi="Arial" w:cs="Arial"/>
        </w:rPr>
        <w:t xml:space="preserve">Committee requested that the </w:t>
      </w:r>
      <w:r w:rsidR="00187D5B" w:rsidRPr="00370164">
        <w:rPr>
          <w:rFonts w:ascii="Arial" w:hAnsi="Arial" w:cs="Arial"/>
        </w:rPr>
        <w:t>Medical Appraisal Rev</w:t>
      </w:r>
      <w:r>
        <w:rPr>
          <w:rFonts w:ascii="Arial" w:hAnsi="Arial" w:cs="Arial"/>
        </w:rPr>
        <w:t xml:space="preserve">alidation 6 Monthly report </w:t>
      </w:r>
      <w:r w:rsidR="00187D5B" w:rsidRPr="00370164">
        <w:rPr>
          <w:rFonts w:ascii="Arial" w:hAnsi="Arial" w:cs="Arial"/>
        </w:rPr>
        <w:t xml:space="preserve">remain on the </w:t>
      </w:r>
      <w:r>
        <w:rPr>
          <w:rFonts w:ascii="Arial" w:hAnsi="Arial" w:cs="Arial"/>
        </w:rPr>
        <w:t>Committee’s work-plan for FY 2022/23</w:t>
      </w:r>
      <w:r w:rsidR="00187D5B" w:rsidRPr="00370164">
        <w:rPr>
          <w:rFonts w:ascii="Arial" w:hAnsi="Arial" w:cs="Arial"/>
        </w:rPr>
        <w:t xml:space="preserve">. </w:t>
      </w:r>
    </w:p>
    <w:p w14:paraId="3B82EED7" w14:textId="77777777" w:rsidR="00187D5B" w:rsidRPr="00370164" w:rsidRDefault="00187D5B" w:rsidP="00370164">
      <w:pPr>
        <w:spacing w:after="0"/>
        <w:ind w:left="720"/>
        <w:rPr>
          <w:rFonts w:ascii="Arial" w:hAnsi="Arial" w:cs="Arial"/>
        </w:rPr>
      </w:pPr>
    </w:p>
    <w:p w14:paraId="29118433" w14:textId="77777777" w:rsidR="00187D5B" w:rsidRPr="00370164" w:rsidRDefault="00187D5B" w:rsidP="00370164">
      <w:pPr>
        <w:spacing w:after="0"/>
        <w:ind w:left="720"/>
        <w:rPr>
          <w:rFonts w:ascii="Arial" w:hAnsi="Arial" w:cs="Arial"/>
          <w:b/>
        </w:rPr>
      </w:pPr>
      <w:r w:rsidRPr="00370164">
        <w:rPr>
          <w:rFonts w:ascii="Arial" w:hAnsi="Arial" w:cs="Arial"/>
        </w:rPr>
        <w:t>Committee noted the Medical Appraisal Revalidation 6 Monthly report.</w:t>
      </w:r>
    </w:p>
    <w:p w14:paraId="2009670E" w14:textId="77777777" w:rsidR="00187D5B" w:rsidRPr="00370164" w:rsidRDefault="00187D5B" w:rsidP="00370164">
      <w:pPr>
        <w:spacing w:after="0"/>
        <w:rPr>
          <w:rFonts w:ascii="Arial" w:hAnsi="Arial" w:cs="Arial"/>
          <w:color w:val="FF0000"/>
        </w:rPr>
      </w:pPr>
    </w:p>
    <w:p w14:paraId="23C3455A"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7</w:t>
      </w:r>
      <w:r w:rsidRPr="00370164">
        <w:rPr>
          <w:rFonts w:ascii="Arial" w:hAnsi="Arial" w:cs="Arial"/>
          <w:b/>
          <w:color w:val="0070C0"/>
        </w:rPr>
        <w:tab/>
      </w:r>
      <w:r w:rsidR="00D90727" w:rsidRPr="00370164">
        <w:rPr>
          <w:rFonts w:ascii="Arial" w:hAnsi="Arial" w:cs="Arial"/>
          <w:b/>
          <w:color w:val="0070C0"/>
        </w:rPr>
        <w:t>Involved in Decisions</w:t>
      </w:r>
      <w:r w:rsidRPr="00370164">
        <w:rPr>
          <w:rFonts w:ascii="Arial" w:hAnsi="Arial" w:cs="Arial"/>
          <w:b/>
          <w:color w:val="0070C0"/>
        </w:rPr>
        <w:t xml:space="preserve"> </w:t>
      </w:r>
    </w:p>
    <w:p w14:paraId="15484931" w14:textId="77777777" w:rsidR="001D4DA7" w:rsidRPr="00370164" w:rsidRDefault="001D4DA7" w:rsidP="00370164">
      <w:pPr>
        <w:spacing w:after="0"/>
        <w:rPr>
          <w:rFonts w:ascii="Arial" w:hAnsi="Arial" w:cs="Arial"/>
          <w:b/>
        </w:rPr>
      </w:pPr>
      <w:r w:rsidRPr="00370164">
        <w:rPr>
          <w:rFonts w:ascii="Arial" w:hAnsi="Arial" w:cs="Arial"/>
          <w:b/>
          <w:color w:val="FF0000"/>
        </w:rPr>
        <w:t xml:space="preserve"> </w:t>
      </w:r>
    </w:p>
    <w:p w14:paraId="112C98D2" w14:textId="77777777" w:rsidR="001D4DA7" w:rsidRPr="00370164" w:rsidRDefault="001D4DA7" w:rsidP="00370164">
      <w:pPr>
        <w:spacing w:after="0"/>
        <w:rPr>
          <w:rFonts w:ascii="Arial" w:hAnsi="Arial" w:cs="Arial"/>
          <w:b/>
        </w:rPr>
      </w:pPr>
      <w:r w:rsidRPr="00370164">
        <w:rPr>
          <w:rFonts w:ascii="Arial" w:hAnsi="Arial" w:cs="Arial"/>
          <w:b/>
        </w:rPr>
        <w:t>7.1</w:t>
      </w:r>
      <w:r w:rsidRPr="00370164">
        <w:rPr>
          <w:rFonts w:ascii="Arial" w:hAnsi="Arial" w:cs="Arial"/>
          <w:b/>
        </w:rPr>
        <w:tab/>
      </w:r>
      <w:r w:rsidR="00D90727" w:rsidRPr="00370164">
        <w:rPr>
          <w:rFonts w:ascii="Arial" w:hAnsi="Arial" w:cs="Arial"/>
          <w:b/>
        </w:rPr>
        <w:t>Partnership Forum Report</w:t>
      </w:r>
    </w:p>
    <w:p w14:paraId="76EF76B8" w14:textId="77777777" w:rsidR="001D4DA7" w:rsidRPr="00370164" w:rsidRDefault="001D4DA7" w:rsidP="00370164">
      <w:pPr>
        <w:spacing w:after="0"/>
        <w:rPr>
          <w:rFonts w:ascii="Arial" w:hAnsi="Arial" w:cs="Arial"/>
          <w:b/>
        </w:rPr>
      </w:pPr>
    </w:p>
    <w:p w14:paraId="5BAA6727" w14:textId="77777777" w:rsidR="00EF67F6" w:rsidRPr="00370164" w:rsidRDefault="0051064E" w:rsidP="00370164">
      <w:pPr>
        <w:spacing w:after="0"/>
        <w:ind w:left="720"/>
        <w:rPr>
          <w:rFonts w:ascii="Arial" w:hAnsi="Arial" w:cs="Arial"/>
        </w:rPr>
      </w:pPr>
      <w:r w:rsidRPr="00370164">
        <w:rPr>
          <w:rFonts w:ascii="Arial" w:hAnsi="Arial" w:cs="Arial"/>
        </w:rPr>
        <w:t xml:space="preserve">Jane Christie-Flight </w:t>
      </w:r>
      <w:r w:rsidR="00466E41">
        <w:rPr>
          <w:rFonts w:ascii="Arial" w:hAnsi="Arial" w:cs="Arial"/>
        </w:rPr>
        <w:t>provided</w:t>
      </w:r>
      <w:r w:rsidRPr="00370164">
        <w:rPr>
          <w:rFonts w:ascii="Arial" w:hAnsi="Arial" w:cs="Arial"/>
        </w:rPr>
        <w:t xml:space="preserve"> an update </w:t>
      </w:r>
      <w:r w:rsidR="00466E41">
        <w:rPr>
          <w:rFonts w:ascii="Arial" w:hAnsi="Arial" w:cs="Arial"/>
        </w:rPr>
        <w:t xml:space="preserve">on </w:t>
      </w:r>
      <w:r w:rsidRPr="00370164">
        <w:rPr>
          <w:rFonts w:ascii="Arial" w:hAnsi="Arial" w:cs="Arial"/>
        </w:rPr>
        <w:t>Partnership Forum</w:t>
      </w:r>
      <w:r w:rsidR="00466E41">
        <w:rPr>
          <w:rFonts w:ascii="Arial" w:hAnsi="Arial" w:cs="Arial"/>
        </w:rPr>
        <w:t xml:space="preserve"> activity</w:t>
      </w:r>
      <w:r w:rsidRPr="00370164">
        <w:rPr>
          <w:rFonts w:ascii="Arial" w:hAnsi="Arial" w:cs="Arial"/>
        </w:rPr>
        <w:t xml:space="preserve">. </w:t>
      </w:r>
      <w:r w:rsidR="00EF67F6" w:rsidRPr="00370164">
        <w:rPr>
          <w:rFonts w:ascii="Arial" w:hAnsi="Arial" w:cs="Arial"/>
        </w:rPr>
        <w:t>Key points of the report were as follows:</w:t>
      </w:r>
    </w:p>
    <w:p w14:paraId="33443C2E" w14:textId="77777777" w:rsidR="00EF67F6" w:rsidRPr="00370164" w:rsidRDefault="00EF67F6" w:rsidP="00370164">
      <w:pPr>
        <w:spacing w:after="0"/>
        <w:ind w:left="720"/>
        <w:rPr>
          <w:rFonts w:ascii="Arial" w:hAnsi="Arial" w:cs="Arial"/>
        </w:rPr>
      </w:pPr>
    </w:p>
    <w:p w14:paraId="5BC57199" w14:textId="77777777" w:rsidR="00EF67F6" w:rsidRPr="00370164" w:rsidRDefault="00EF67F6" w:rsidP="00370164">
      <w:pPr>
        <w:spacing w:after="0"/>
        <w:ind w:left="720"/>
        <w:rPr>
          <w:rFonts w:ascii="Arial" w:hAnsi="Arial" w:cs="Arial"/>
          <w:b/>
        </w:rPr>
      </w:pPr>
      <w:r w:rsidRPr="00370164">
        <w:rPr>
          <w:rFonts w:ascii="Arial" w:hAnsi="Arial" w:cs="Arial"/>
          <w:b/>
        </w:rPr>
        <w:t>Standing items</w:t>
      </w:r>
    </w:p>
    <w:p w14:paraId="40A3DFF6" w14:textId="77777777" w:rsidR="00EF67F6" w:rsidRPr="00370164" w:rsidRDefault="0051064E" w:rsidP="00370164">
      <w:pPr>
        <w:spacing w:after="0"/>
        <w:ind w:firstLine="720"/>
        <w:rPr>
          <w:rFonts w:ascii="Arial" w:hAnsi="Arial" w:cs="Arial"/>
        </w:rPr>
      </w:pPr>
      <w:r w:rsidRPr="00370164">
        <w:rPr>
          <w:rFonts w:ascii="Arial" w:hAnsi="Arial" w:cs="Arial"/>
        </w:rPr>
        <w:lastRenderedPageBreak/>
        <w:t xml:space="preserve">Current standing items on the PF agenda are remobilisation and hospital expansion. </w:t>
      </w:r>
    </w:p>
    <w:p w14:paraId="69D3B0FD" w14:textId="77777777" w:rsidR="00EF67F6" w:rsidRPr="00370164" w:rsidRDefault="00EF67F6" w:rsidP="00370164">
      <w:pPr>
        <w:spacing w:after="0"/>
        <w:ind w:left="720"/>
        <w:rPr>
          <w:rFonts w:ascii="Arial" w:hAnsi="Arial" w:cs="Arial"/>
        </w:rPr>
      </w:pPr>
    </w:p>
    <w:p w14:paraId="7939C4D4" w14:textId="77777777" w:rsidR="00EF67F6" w:rsidRPr="00370164" w:rsidRDefault="0051064E" w:rsidP="00370164">
      <w:pPr>
        <w:spacing w:after="0"/>
        <w:ind w:left="720"/>
        <w:rPr>
          <w:rFonts w:ascii="Arial" w:hAnsi="Arial" w:cs="Arial"/>
          <w:b/>
        </w:rPr>
      </w:pPr>
      <w:r w:rsidRPr="00370164">
        <w:rPr>
          <w:rFonts w:ascii="Arial" w:hAnsi="Arial" w:cs="Arial"/>
          <w:b/>
        </w:rPr>
        <w:t xml:space="preserve">AHP Strategy </w:t>
      </w:r>
    </w:p>
    <w:p w14:paraId="384100F0" w14:textId="77777777" w:rsidR="00EF67F6" w:rsidRPr="00370164" w:rsidRDefault="00EF67F6" w:rsidP="00370164">
      <w:pPr>
        <w:spacing w:after="0"/>
        <w:ind w:left="720"/>
        <w:rPr>
          <w:rFonts w:ascii="Arial" w:hAnsi="Arial" w:cs="Arial"/>
        </w:rPr>
      </w:pPr>
      <w:r w:rsidRPr="00370164">
        <w:rPr>
          <w:rFonts w:ascii="Arial" w:hAnsi="Arial" w:cs="Arial"/>
        </w:rPr>
        <w:t>The Forum was presented with the AHP Strategy update. It was noted that the first Golden Jubilee AHP Strategy was launched in August 2018, running until the end of March 2021, to support the local delivery of the national Active Independent Living Programme in Scotland.</w:t>
      </w:r>
    </w:p>
    <w:p w14:paraId="30CDBDD9" w14:textId="77777777" w:rsidR="00EF67F6" w:rsidRPr="00370164" w:rsidRDefault="00EF67F6" w:rsidP="00370164">
      <w:pPr>
        <w:spacing w:after="0"/>
        <w:ind w:left="720"/>
        <w:rPr>
          <w:rFonts w:ascii="Arial" w:hAnsi="Arial" w:cs="Arial"/>
        </w:rPr>
      </w:pPr>
    </w:p>
    <w:p w14:paraId="5FF8EC52" w14:textId="77777777" w:rsidR="00EF67F6" w:rsidRPr="00370164" w:rsidRDefault="00EF67F6" w:rsidP="00370164">
      <w:pPr>
        <w:spacing w:after="0"/>
        <w:ind w:left="720"/>
        <w:rPr>
          <w:rFonts w:ascii="Arial" w:hAnsi="Arial" w:cs="Arial"/>
          <w:b/>
        </w:rPr>
      </w:pPr>
      <w:r w:rsidRPr="00370164">
        <w:rPr>
          <w:rFonts w:ascii="Arial" w:hAnsi="Arial" w:cs="Arial"/>
          <w:b/>
        </w:rPr>
        <w:t>Digital update</w:t>
      </w:r>
    </w:p>
    <w:p w14:paraId="6B8EF25C" w14:textId="77777777" w:rsidR="00EF67F6" w:rsidRPr="00370164" w:rsidRDefault="00EF67F6" w:rsidP="00370164">
      <w:pPr>
        <w:spacing w:after="0"/>
        <w:ind w:left="720"/>
        <w:rPr>
          <w:rFonts w:ascii="Arial" w:hAnsi="Arial" w:cs="Arial"/>
        </w:rPr>
      </w:pPr>
      <w:r w:rsidRPr="00370164">
        <w:rPr>
          <w:rFonts w:ascii="Arial" w:hAnsi="Arial" w:cs="Arial"/>
        </w:rPr>
        <w:t>The Director of Digital and E-Health had reviewed the systems and processes to understand expectations on workload for the eHealth team. An investment plan has been developed which would allow Digital Workforce capacity and capability to grow and would bring NHS GJ in line with industry commitments.</w:t>
      </w:r>
    </w:p>
    <w:p w14:paraId="65F494D4" w14:textId="77777777" w:rsidR="00EF67F6" w:rsidRPr="00370164" w:rsidRDefault="00EF67F6" w:rsidP="00370164">
      <w:pPr>
        <w:spacing w:after="0"/>
        <w:ind w:left="720"/>
        <w:rPr>
          <w:rFonts w:ascii="Arial" w:hAnsi="Arial" w:cs="Arial"/>
        </w:rPr>
      </w:pPr>
    </w:p>
    <w:p w14:paraId="72FE67F2" w14:textId="77777777" w:rsidR="00EF67F6" w:rsidRPr="00370164" w:rsidRDefault="00EF67F6" w:rsidP="00370164">
      <w:pPr>
        <w:spacing w:after="0"/>
        <w:ind w:left="720"/>
        <w:rPr>
          <w:rFonts w:ascii="Arial" w:hAnsi="Arial" w:cs="Arial"/>
          <w:b/>
        </w:rPr>
      </w:pPr>
      <w:r w:rsidRPr="00370164">
        <w:rPr>
          <w:rFonts w:ascii="Arial" w:hAnsi="Arial" w:cs="Arial"/>
          <w:b/>
        </w:rPr>
        <w:t>Policies</w:t>
      </w:r>
    </w:p>
    <w:p w14:paraId="24E6B470" w14:textId="77777777" w:rsidR="00EF67F6" w:rsidRPr="00370164" w:rsidRDefault="00EF67F6" w:rsidP="00370164">
      <w:pPr>
        <w:spacing w:after="0"/>
        <w:ind w:left="720"/>
        <w:rPr>
          <w:rFonts w:ascii="Arial" w:hAnsi="Arial" w:cs="Arial"/>
        </w:rPr>
      </w:pPr>
      <w:r w:rsidRPr="00370164">
        <w:rPr>
          <w:rFonts w:ascii="Arial" w:hAnsi="Arial" w:cs="Arial"/>
        </w:rPr>
        <w:t>The following policies were approved:</w:t>
      </w:r>
    </w:p>
    <w:p w14:paraId="41A4FA8A" w14:textId="77777777" w:rsidR="00EF67F6" w:rsidRPr="00370164" w:rsidRDefault="00EF67F6" w:rsidP="00370164">
      <w:pPr>
        <w:pStyle w:val="ListParagraph"/>
        <w:numPr>
          <w:ilvl w:val="0"/>
          <w:numId w:val="29"/>
        </w:numPr>
        <w:pBdr>
          <w:top w:val="nil"/>
          <w:left w:val="nil"/>
          <w:bottom w:val="nil"/>
          <w:right w:val="nil"/>
          <w:between w:val="nil"/>
          <w:bar w:val="nil"/>
        </w:pBdr>
        <w:spacing w:after="0" w:line="276" w:lineRule="auto"/>
        <w:contextualSpacing w:val="0"/>
        <w:rPr>
          <w:sz w:val="22"/>
          <w:szCs w:val="22"/>
        </w:rPr>
      </w:pPr>
      <w:r w:rsidRPr="00370164">
        <w:rPr>
          <w:sz w:val="22"/>
          <w:szCs w:val="22"/>
        </w:rPr>
        <w:t xml:space="preserve">Voluntary Retirement &amp; Re-employment </w:t>
      </w:r>
    </w:p>
    <w:p w14:paraId="712C4F67" w14:textId="77777777" w:rsidR="00EF67F6" w:rsidRDefault="00EF67F6" w:rsidP="00370164">
      <w:pPr>
        <w:pStyle w:val="ListParagraph"/>
        <w:numPr>
          <w:ilvl w:val="0"/>
          <w:numId w:val="29"/>
        </w:numPr>
        <w:pBdr>
          <w:top w:val="nil"/>
          <w:left w:val="nil"/>
          <w:bottom w:val="nil"/>
          <w:right w:val="nil"/>
          <w:between w:val="nil"/>
          <w:bar w:val="nil"/>
        </w:pBdr>
        <w:spacing w:after="0" w:line="276" w:lineRule="auto"/>
        <w:contextualSpacing w:val="0"/>
        <w:rPr>
          <w:sz w:val="22"/>
          <w:szCs w:val="22"/>
        </w:rPr>
      </w:pPr>
      <w:r w:rsidRPr="00370164">
        <w:rPr>
          <w:sz w:val="22"/>
          <w:szCs w:val="22"/>
        </w:rPr>
        <w:t>Annexe 21 &amp; Starting Salary Guidance</w:t>
      </w:r>
    </w:p>
    <w:p w14:paraId="4BEF295D" w14:textId="77777777" w:rsidR="00370164" w:rsidRPr="00370164" w:rsidRDefault="00370164" w:rsidP="00370164">
      <w:pPr>
        <w:pStyle w:val="ListParagraph"/>
        <w:pBdr>
          <w:top w:val="nil"/>
          <w:left w:val="nil"/>
          <w:bottom w:val="nil"/>
          <w:right w:val="nil"/>
          <w:between w:val="nil"/>
          <w:bar w:val="nil"/>
        </w:pBdr>
        <w:spacing w:after="0" w:line="276" w:lineRule="auto"/>
        <w:ind w:left="1440"/>
        <w:contextualSpacing w:val="0"/>
        <w:rPr>
          <w:sz w:val="22"/>
          <w:szCs w:val="22"/>
        </w:rPr>
      </w:pPr>
    </w:p>
    <w:p w14:paraId="3112B3DF" w14:textId="77777777" w:rsidR="00EF67F6" w:rsidRPr="00370164" w:rsidRDefault="00EF67F6" w:rsidP="00370164">
      <w:pPr>
        <w:spacing w:after="0"/>
        <w:ind w:left="720"/>
        <w:rPr>
          <w:rFonts w:ascii="Arial" w:hAnsi="Arial" w:cs="Arial"/>
          <w:b/>
        </w:rPr>
      </w:pPr>
      <w:r w:rsidRPr="00370164">
        <w:rPr>
          <w:rFonts w:ascii="Arial" w:hAnsi="Arial" w:cs="Arial"/>
          <w:b/>
        </w:rPr>
        <w:t>Band 2 HSCW Review</w:t>
      </w:r>
    </w:p>
    <w:p w14:paraId="358B38BF" w14:textId="77777777" w:rsidR="00EF67F6" w:rsidRPr="00370164" w:rsidRDefault="00EF67F6" w:rsidP="00370164">
      <w:pPr>
        <w:ind w:left="720"/>
        <w:rPr>
          <w:rFonts w:ascii="Arial" w:hAnsi="Arial" w:cs="Arial"/>
        </w:rPr>
      </w:pPr>
      <w:r w:rsidRPr="00370164">
        <w:rPr>
          <w:rFonts w:ascii="Arial" w:hAnsi="Arial" w:cs="Arial"/>
        </w:rPr>
        <w:t>STAC has instructed boards to work in partnership with their local staff side and agree a process on how they will review all existing Band 2 Nursing Clinical Support Workers job descriptions to ensure that they are up to date and reflect the role and responsibilities post holder as of 1 October 2021.</w:t>
      </w:r>
    </w:p>
    <w:p w14:paraId="390CBCD9" w14:textId="77777777" w:rsidR="00EF67F6" w:rsidRPr="00370164" w:rsidRDefault="00EF67F6" w:rsidP="00370164">
      <w:pPr>
        <w:spacing w:after="0"/>
        <w:ind w:left="720"/>
        <w:rPr>
          <w:rFonts w:ascii="Arial" w:hAnsi="Arial" w:cs="Arial"/>
          <w:b/>
        </w:rPr>
      </w:pPr>
      <w:r w:rsidRPr="00370164">
        <w:rPr>
          <w:rFonts w:ascii="Arial" w:hAnsi="Arial" w:cs="Arial"/>
          <w:b/>
        </w:rPr>
        <w:t>Notice periods</w:t>
      </w:r>
    </w:p>
    <w:p w14:paraId="38B592EB" w14:textId="77777777" w:rsidR="00EF67F6" w:rsidRPr="00370164" w:rsidRDefault="00EF67F6" w:rsidP="00370164">
      <w:pPr>
        <w:spacing w:after="0"/>
        <w:ind w:left="720"/>
        <w:rPr>
          <w:rFonts w:ascii="Arial" w:hAnsi="Arial" w:cs="Arial"/>
        </w:rPr>
      </w:pPr>
      <w:r w:rsidRPr="00370164">
        <w:rPr>
          <w:rFonts w:ascii="Arial" w:hAnsi="Arial" w:cs="Arial"/>
        </w:rPr>
        <w:t>The Partnership forum approved a change to notice periods for new starts with Band 7 posts moving to 2 months’ notice and Band 8A and above moving to 3 months.</w:t>
      </w:r>
    </w:p>
    <w:p w14:paraId="28D22327" w14:textId="77777777" w:rsidR="00EF67F6" w:rsidRPr="00370164" w:rsidRDefault="00EF67F6" w:rsidP="00370164">
      <w:pPr>
        <w:spacing w:after="0"/>
        <w:ind w:left="720"/>
        <w:rPr>
          <w:rFonts w:ascii="Arial" w:hAnsi="Arial" w:cs="Arial"/>
        </w:rPr>
      </w:pPr>
    </w:p>
    <w:p w14:paraId="209B6A95" w14:textId="77777777" w:rsidR="00130758" w:rsidRDefault="00130758" w:rsidP="00370164">
      <w:pPr>
        <w:ind w:left="720"/>
        <w:rPr>
          <w:rFonts w:ascii="Arial" w:hAnsi="Arial" w:cs="Arial"/>
        </w:rPr>
      </w:pPr>
      <w:r>
        <w:rPr>
          <w:rFonts w:ascii="Arial" w:hAnsi="Arial" w:cs="Arial"/>
        </w:rPr>
        <w:t>M Boyle requested that consideration be given to the name of the “Dying to Work” charter, relating to staff who receive a terminal diagnosis. Members unanimously agreed that this should be re-visited, if possible. Jane Christie-Flight noted that this was a Once for Scotland policy, however would feedback the Committee’s perspective on the suitability of the name of the Charter.</w:t>
      </w:r>
    </w:p>
    <w:p w14:paraId="0554A0B0" w14:textId="77777777" w:rsidR="00D90727" w:rsidRPr="00370164" w:rsidRDefault="00EF67F6" w:rsidP="00370164">
      <w:pPr>
        <w:ind w:left="720"/>
        <w:rPr>
          <w:rFonts w:ascii="Arial" w:hAnsi="Arial" w:cs="Arial"/>
        </w:rPr>
      </w:pPr>
      <w:r w:rsidRPr="00370164">
        <w:rPr>
          <w:rFonts w:ascii="Arial" w:hAnsi="Arial" w:cs="Arial"/>
        </w:rPr>
        <w:t xml:space="preserve">Committee noted the Partnership Forum Report. </w:t>
      </w:r>
    </w:p>
    <w:p w14:paraId="1AA52927" w14:textId="77777777" w:rsidR="00D90727" w:rsidRPr="00370164" w:rsidRDefault="00D90727" w:rsidP="00370164">
      <w:pPr>
        <w:spacing w:after="0"/>
        <w:rPr>
          <w:rFonts w:ascii="Arial" w:hAnsi="Arial" w:cs="Arial"/>
          <w:b/>
        </w:rPr>
      </w:pPr>
      <w:r w:rsidRPr="00370164">
        <w:rPr>
          <w:rFonts w:ascii="Arial" w:hAnsi="Arial" w:cs="Arial"/>
          <w:b/>
        </w:rPr>
        <w:t>7.2</w:t>
      </w:r>
      <w:r w:rsidRPr="00370164">
        <w:rPr>
          <w:rFonts w:ascii="Arial" w:hAnsi="Arial" w:cs="Arial"/>
          <w:b/>
        </w:rPr>
        <w:tab/>
      </w:r>
      <w:r w:rsidR="0006514A" w:rsidRPr="00370164">
        <w:rPr>
          <w:rFonts w:ascii="Arial" w:hAnsi="Arial" w:cs="Arial"/>
          <w:b/>
        </w:rPr>
        <w:t>Trade Union Facility Time</w:t>
      </w:r>
      <w:r w:rsidRPr="00370164">
        <w:rPr>
          <w:rFonts w:ascii="Arial" w:hAnsi="Arial" w:cs="Arial"/>
          <w:b/>
        </w:rPr>
        <w:t xml:space="preserve"> Report</w:t>
      </w:r>
    </w:p>
    <w:p w14:paraId="4D286CE6" w14:textId="77777777" w:rsidR="001A5CC4" w:rsidRPr="00370164" w:rsidRDefault="001A5CC4" w:rsidP="00370164">
      <w:pPr>
        <w:spacing w:after="0"/>
        <w:rPr>
          <w:rFonts w:ascii="Arial" w:hAnsi="Arial" w:cs="Arial"/>
          <w:color w:val="FF0000"/>
        </w:rPr>
      </w:pPr>
    </w:p>
    <w:p w14:paraId="22E68215" w14:textId="77777777" w:rsidR="00EF67F6" w:rsidRPr="00370164" w:rsidRDefault="0006514A" w:rsidP="00370164">
      <w:pPr>
        <w:spacing w:after="0"/>
        <w:rPr>
          <w:rFonts w:ascii="Arial" w:hAnsi="Arial" w:cs="Arial"/>
        </w:rPr>
      </w:pPr>
      <w:r w:rsidRPr="00370164">
        <w:rPr>
          <w:rFonts w:ascii="Arial" w:hAnsi="Arial" w:cs="Arial"/>
          <w:color w:val="FF0000"/>
        </w:rPr>
        <w:tab/>
      </w:r>
      <w:r w:rsidR="00EF67F6" w:rsidRPr="00370164">
        <w:rPr>
          <w:rFonts w:ascii="Arial" w:hAnsi="Arial" w:cs="Arial"/>
        </w:rPr>
        <w:t xml:space="preserve">Serena Barnatt presented the Trade Union Facility Time Report to the Committee. </w:t>
      </w:r>
    </w:p>
    <w:p w14:paraId="001920E5" w14:textId="77777777" w:rsidR="00EF67F6" w:rsidRPr="00370164" w:rsidRDefault="00EF67F6" w:rsidP="00370164">
      <w:pPr>
        <w:spacing w:after="0"/>
        <w:rPr>
          <w:rFonts w:ascii="Arial" w:hAnsi="Arial" w:cs="Arial"/>
        </w:rPr>
      </w:pPr>
    </w:p>
    <w:p w14:paraId="5F0FACAF" w14:textId="77777777" w:rsidR="009044A5" w:rsidRPr="00370164" w:rsidRDefault="009044A5" w:rsidP="00370164">
      <w:pPr>
        <w:spacing w:after="0"/>
        <w:ind w:left="720"/>
        <w:rPr>
          <w:rFonts w:ascii="Arial" w:hAnsi="Arial" w:cs="Arial"/>
          <w:bCs/>
        </w:rPr>
      </w:pPr>
      <w:r w:rsidRPr="00370164">
        <w:rPr>
          <w:rFonts w:ascii="Arial" w:hAnsi="Arial" w:cs="Arial"/>
        </w:rPr>
        <w:t>Data collated from the SSTS system showed there were 14 employees</w:t>
      </w:r>
      <w:r w:rsidR="00130758">
        <w:rPr>
          <w:rFonts w:ascii="Arial" w:hAnsi="Arial" w:cs="Arial"/>
        </w:rPr>
        <w:t xml:space="preserve"> who devoted part of their time at work to activities with their occupation of Trade Union roles. This represented</w:t>
      </w:r>
      <w:r w:rsidRPr="00370164">
        <w:rPr>
          <w:rFonts w:ascii="Arial" w:hAnsi="Arial" w:cs="Arial"/>
        </w:rPr>
        <w:t xml:space="preserve"> an increa</w:t>
      </w:r>
      <w:r w:rsidR="00130758">
        <w:rPr>
          <w:rFonts w:ascii="Arial" w:hAnsi="Arial" w:cs="Arial"/>
        </w:rPr>
        <w:t>se of 10 from the previous year</w:t>
      </w:r>
      <w:r w:rsidRPr="00370164">
        <w:rPr>
          <w:rFonts w:ascii="Arial" w:hAnsi="Arial" w:cs="Arial"/>
          <w:bCs/>
        </w:rPr>
        <w:t xml:space="preserve">. Facility time costs totalled £16,680, an increase of £443.92 from the previous year. At present, there are 3 Trade Union Representatives who are trained in Health and Safety. </w:t>
      </w:r>
    </w:p>
    <w:p w14:paraId="776097F4" w14:textId="77777777" w:rsidR="00D90727" w:rsidRPr="00370164" w:rsidRDefault="0006514A" w:rsidP="00370164">
      <w:pPr>
        <w:spacing w:after="0"/>
        <w:rPr>
          <w:rFonts w:ascii="Arial" w:hAnsi="Arial" w:cs="Arial"/>
          <w:color w:val="000000" w:themeColor="text1"/>
        </w:rPr>
      </w:pPr>
      <w:r w:rsidRPr="00370164">
        <w:rPr>
          <w:rFonts w:ascii="Arial" w:hAnsi="Arial" w:cs="Arial"/>
          <w:color w:val="000000" w:themeColor="text1"/>
        </w:rPr>
        <w:t xml:space="preserve"> </w:t>
      </w:r>
    </w:p>
    <w:p w14:paraId="4FB26613" w14:textId="77777777" w:rsidR="00CA6D88" w:rsidRPr="00370164" w:rsidRDefault="00CA6D88" w:rsidP="00370164">
      <w:pPr>
        <w:spacing w:after="0"/>
        <w:rPr>
          <w:rFonts w:ascii="Arial" w:hAnsi="Arial" w:cs="Arial"/>
          <w:color w:val="000000" w:themeColor="text1"/>
        </w:rPr>
      </w:pPr>
      <w:r w:rsidRPr="00370164">
        <w:rPr>
          <w:rFonts w:ascii="Arial" w:hAnsi="Arial" w:cs="Arial"/>
          <w:color w:val="000000" w:themeColor="text1"/>
        </w:rPr>
        <w:tab/>
        <w:t xml:space="preserve">Committee noted the </w:t>
      </w:r>
      <w:r w:rsidRPr="00370164">
        <w:rPr>
          <w:rFonts w:ascii="Arial" w:hAnsi="Arial" w:cs="Arial"/>
        </w:rPr>
        <w:t>Trade Union Facility Time Report.</w:t>
      </w:r>
    </w:p>
    <w:p w14:paraId="0A02B941" w14:textId="77777777" w:rsidR="00D90727" w:rsidRPr="00370164" w:rsidRDefault="00D90727" w:rsidP="00370164">
      <w:pPr>
        <w:spacing w:after="0"/>
        <w:rPr>
          <w:rFonts w:ascii="Arial" w:hAnsi="Arial" w:cs="Arial"/>
          <w:color w:val="FF0000"/>
        </w:rPr>
      </w:pPr>
    </w:p>
    <w:p w14:paraId="258997A1"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lastRenderedPageBreak/>
        <w:t>8</w:t>
      </w:r>
      <w:r w:rsidRPr="00370164">
        <w:rPr>
          <w:rFonts w:ascii="Arial" w:hAnsi="Arial" w:cs="Arial"/>
          <w:b/>
          <w:color w:val="0070C0"/>
        </w:rPr>
        <w:tab/>
      </w:r>
      <w:r w:rsidR="00D90727" w:rsidRPr="00370164">
        <w:rPr>
          <w:rFonts w:ascii="Arial" w:hAnsi="Arial" w:cs="Arial"/>
          <w:b/>
          <w:color w:val="0070C0"/>
        </w:rPr>
        <w:t>Safe Working Environment</w:t>
      </w:r>
    </w:p>
    <w:p w14:paraId="2A8ACAFD" w14:textId="77777777" w:rsidR="001D4DA7" w:rsidRPr="00370164" w:rsidRDefault="001D4DA7" w:rsidP="00370164">
      <w:pPr>
        <w:spacing w:after="0"/>
        <w:rPr>
          <w:rFonts w:ascii="Arial" w:hAnsi="Arial" w:cs="Arial"/>
          <w:b/>
          <w:color w:val="FF0000"/>
        </w:rPr>
      </w:pPr>
    </w:p>
    <w:p w14:paraId="299A1B09" w14:textId="77777777" w:rsidR="001D4DA7" w:rsidRPr="00370164" w:rsidRDefault="001D4DA7" w:rsidP="00370164">
      <w:pPr>
        <w:spacing w:after="0"/>
        <w:rPr>
          <w:rFonts w:ascii="Arial" w:hAnsi="Arial" w:cs="Arial"/>
          <w:b/>
        </w:rPr>
      </w:pPr>
      <w:r w:rsidRPr="00370164">
        <w:rPr>
          <w:rFonts w:ascii="Arial" w:hAnsi="Arial" w:cs="Arial"/>
          <w:b/>
        </w:rPr>
        <w:t>8.1</w:t>
      </w:r>
      <w:r w:rsidRPr="00370164">
        <w:rPr>
          <w:rFonts w:ascii="Arial" w:hAnsi="Arial" w:cs="Arial"/>
          <w:b/>
        </w:rPr>
        <w:tab/>
      </w:r>
      <w:r w:rsidR="00D90727" w:rsidRPr="00370164">
        <w:rPr>
          <w:rFonts w:ascii="Arial" w:hAnsi="Arial" w:cs="Arial"/>
          <w:b/>
        </w:rPr>
        <w:t>Board Risk Register</w:t>
      </w:r>
    </w:p>
    <w:p w14:paraId="180BFAEB" w14:textId="77777777" w:rsidR="001D4DA7" w:rsidRPr="00370164" w:rsidRDefault="001D4DA7" w:rsidP="00370164">
      <w:pPr>
        <w:spacing w:after="0"/>
        <w:rPr>
          <w:rFonts w:ascii="Arial" w:hAnsi="Arial" w:cs="Arial"/>
          <w:b/>
        </w:rPr>
      </w:pPr>
    </w:p>
    <w:p w14:paraId="1EA5CA43" w14:textId="77777777" w:rsidR="00370164" w:rsidRDefault="00CA6D88" w:rsidP="00370164">
      <w:pPr>
        <w:spacing w:after="0"/>
        <w:ind w:left="720"/>
        <w:rPr>
          <w:rFonts w:ascii="Arial" w:hAnsi="Arial" w:cs="Arial"/>
        </w:rPr>
      </w:pPr>
      <w:r w:rsidRPr="00370164">
        <w:rPr>
          <w:rFonts w:ascii="Arial" w:hAnsi="Arial" w:cs="Arial"/>
        </w:rPr>
        <w:t>Gareth Adkins presented the Board Risk Register to the Committee. Committee noted minor updates to the risk register</w:t>
      </w:r>
      <w:r w:rsidR="00130758">
        <w:rPr>
          <w:rFonts w:ascii="Arial" w:hAnsi="Arial" w:cs="Arial"/>
        </w:rPr>
        <w:t xml:space="preserve">, which is </w:t>
      </w:r>
      <w:r w:rsidRPr="00370164">
        <w:rPr>
          <w:rFonts w:ascii="Arial" w:hAnsi="Arial" w:cs="Arial"/>
        </w:rPr>
        <w:t>undergo</w:t>
      </w:r>
      <w:r w:rsidR="00130758">
        <w:rPr>
          <w:rFonts w:ascii="Arial" w:hAnsi="Arial" w:cs="Arial"/>
        </w:rPr>
        <w:t>ing</w:t>
      </w:r>
      <w:r w:rsidRPr="00370164">
        <w:rPr>
          <w:rFonts w:ascii="Arial" w:hAnsi="Arial" w:cs="Arial"/>
        </w:rPr>
        <w:t xml:space="preserve"> a </w:t>
      </w:r>
      <w:r w:rsidR="00130758">
        <w:rPr>
          <w:rFonts w:ascii="Arial" w:hAnsi="Arial" w:cs="Arial"/>
        </w:rPr>
        <w:t xml:space="preserve">substantial review, with reports on progress of the review due to be submitted to the Board of NHS Golden Jubilee at its meeting of 24 May </w:t>
      </w:r>
      <w:r w:rsidRPr="00370164">
        <w:rPr>
          <w:rFonts w:ascii="Arial" w:hAnsi="Arial" w:cs="Arial"/>
        </w:rPr>
        <w:t xml:space="preserve">2022. </w:t>
      </w:r>
    </w:p>
    <w:p w14:paraId="594D2B5A" w14:textId="77777777" w:rsidR="00370164" w:rsidRDefault="00370164" w:rsidP="00370164">
      <w:pPr>
        <w:spacing w:after="0"/>
        <w:ind w:left="720"/>
        <w:rPr>
          <w:rFonts w:ascii="Arial" w:hAnsi="Arial" w:cs="Arial"/>
        </w:rPr>
      </w:pPr>
    </w:p>
    <w:p w14:paraId="008512B0" w14:textId="77777777" w:rsidR="00CA6D88" w:rsidRPr="00370164" w:rsidRDefault="00CA6D88" w:rsidP="00370164">
      <w:pPr>
        <w:spacing w:after="0"/>
        <w:ind w:left="720"/>
        <w:rPr>
          <w:rFonts w:ascii="Arial" w:hAnsi="Arial" w:cs="Arial"/>
        </w:rPr>
      </w:pPr>
      <w:r w:rsidRPr="00370164">
        <w:rPr>
          <w:rFonts w:ascii="Arial" w:hAnsi="Arial" w:cs="Arial"/>
        </w:rPr>
        <w:t xml:space="preserve">Committee agreed that a view of organisational and executive priorities should be provided and to discuss changes with Chairs of committees. </w:t>
      </w:r>
    </w:p>
    <w:p w14:paraId="0C2A8823" w14:textId="77777777" w:rsidR="00370164" w:rsidRPr="00370164" w:rsidRDefault="00370164" w:rsidP="00370164">
      <w:pPr>
        <w:spacing w:after="0"/>
        <w:rPr>
          <w:rFonts w:ascii="Arial" w:hAnsi="Arial" w:cs="Arial"/>
          <w:b/>
        </w:rPr>
      </w:pPr>
    </w:p>
    <w:tbl>
      <w:tblPr>
        <w:tblStyle w:val="TableGrid"/>
        <w:tblW w:w="0" w:type="auto"/>
        <w:jc w:val="center"/>
        <w:tblLook w:val="04A0" w:firstRow="1" w:lastRow="0" w:firstColumn="1" w:lastColumn="0" w:noHBand="0" w:noVBand="1"/>
      </w:tblPr>
      <w:tblGrid>
        <w:gridCol w:w="2122"/>
        <w:gridCol w:w="4677"/>
        <w:gridCol w:w="1843"/>
      </w:tblGrid>
      <w:tr w:rsidR="00CA6D88" w:rsidRPr="00370164" w14:paraId="4B7F7998" w14:textId="77777777" w:rsidTr="001029BE">
        <w:trPr>
          <w:jc w:val="center"/>
        </w:trPr>
        <w:tc>
          <w:tcPr>
            <w:tcW w:w="2122" w:type="dxa"/>
          </w:tcPr>
          <w:p w14:paraId="56B561E9" w14:textId="77777777" w:rsidR="00CA6D88" w:rsidRPr="00370164" w:rsidRDefault="00CA6D88" w:rsidP="00370164">
            <w:pPr>
              <w:spacing w:after="0"/>
              <w:contextualSpacing/>
              <w:rPr>
                <w:rFonts w:ascii="Arial" w:hAnsi="Arial" w:cs="Arial"/>
                <w:b/>
              </w:rPr>
            </w:pPr>
            <w:r w:rsidRPr="00370164">
              <w:rPr>
                <w:rFonts w:ascii="Arial" w:hAnsi="Arial" w:cs="Arial"/>
                <w:b/>
              </w:rPr>
              <w:t>Action No.</w:t>
            </w:r>
          </w:p>
        </w:tc>
        <w:tc>
          <w:tcPr>
            <w:tcW w:w="4677" w:type="dxa"/>
          </w:tcPr>
          <w:p w14:paraId="0779F9A8" w14:textId="77777777" w:rsidR="00CA6D88" w:rsidRPr="00370164" w:rsidRDefault="00CA6D88" w:rsidP="00370164">
            <w:pPr>
              <w:spacing w:after="0"/>
              <w:contextualSpacing/>
              <w:rPr>
                <w:rFonts w:ascii="Arial" w:hAnsi="Arial" w:cs="Arial"/>
                <w:b/>
              </w:rPr>
            </w:pPr>
            <w:r w:rsidRPr="00370164">
              <w:rPr>
                <w:rFonts w:ascii="Arial" w:hAnsi="Arial" w:cs="Arial"/>
                <w:b/>
              </w:rPr>
              <w:t>Action</w:t>
            </w:r>
          </w:p>
        </w:tc>
        <w:tc>
          <w:tcPr>
            <w:tcW w:w="1843" w:type="dxa"/>
          </w:tcPr>
          <w:p w14:paraId="6D6B6145" w14:textId="77777777" w:rsidR="00CA6D88" w:rsidRPr="00370164" w:rsidRDefault="00CA6D88" w:rsidP="00370164">
            <w:pPr>
              <w:spacing w:after="0"/>
              <w:contextualSpacing/>
              <w:rPr>
                <w:rFonts w:ascii="Arial" w:hAnsi="Arial" w:cs="Arial"/>
                <w:b/>
              </w:rPr>
            </w:pPr>
            <w:r w:rsidRPr="00370164">
              <w:rPr>
                <w:rFonts w:ascii="Arial" w:hAnsi="Arial" w:cs="Arial"/>
                <w:b/>
              </w:rPr>
              <w:t>Lead</w:t>
            </w:r>
          </w:p>
        </w:tc>
      </w:tr>
      <w:tr w:rsidR="00CA6D88" w:rsidRPr="00370164" w14:paraId="743C6535" w14:textId="77777777" w:rsidTr="001029BE">
        <w:trPr>
          <w:jc w:val="center"/>
        </w:trPr>
        <w:tc>
          <w:tcPr>
            <w:tcW w:w="2122" w:type="dxa"/>
          </w:tcPr>
          <w:p w14:paraId="74689ADA" w14:textId="77777777" w:rsidR="00CA6D88" w:rsidRPr="00370164" w:rsidRDefault="00CA6D88" w:rsidP="00370164">
            <w:pPr>
              <w:spacing w:after="0"/>
              <w:rPr>
                <w:rFonts w:ascii="Arial" w:hAnsi="Arial" w:cs="Arial"/>
                <w:color w:val="000000"/>
              </w:rPr>
            </w:pPr>
            <w:r w:rsidRPr="00370164">
              <w:rPr>
                <w:rFonts w:ascii="Arial" w:hAnsi="Arial" w:cs="Arial"/>
                <w:color w:val="000000"/>
              </w:rPr>
              <w:t>SGPCC/030522/05</w:t>
            </w:r>
          </w:p>
        </w:tc>
        <w:tc>
          <w:tcPr>
            <w:tcW w:w="4677" w:type="dxa"/>
          </w:tcPr>
          <w:p w14:paraId="6C0986D8" w14:textId="77777777" w:rsidR="00CA6D88" w:rsidRPr="00370164" w:rsidRDefault="00CA6D88" w:rsidP="00130758">
            <w:pPr>
              <w:spacing w:after="0"/>
              <w:rPr>
                <w:rFonts w:ascii="Arial" w:hAnsi="Arial" w:cs="Arial"/>
                <w:b/>
                <w:bCs/>
                <w:color w:val="000000"/>
              </w:rPr>
            </w:pPr>
            <w:r w:rsidRPr="00370164">
              <w:rPr>
                <w:rFonts w:ascii="Arial" w:hAnsi="Arial" w:cs="Arial"/>
                <w:b/>
                <w:bCs/>
                <w:color w:val="000000"/>
              </w:rPr>
              <w:t xml:space="preserve">8.1 Board Risk Register                                                       </w:t>
            </w:r>
            <w:r w:rsidR="00130758">
              <w:rPr>
                <w:rFonts w:ascii="Arial" w:hAnsi="Arial" w:cs="Arial"/>
                <w:color w:val="000000"/>
              </w:rPr>
              <w:t xml:space="preserve">Ensure that </w:t>
            </w:r>
            <w:r w:rsidRPr="00370164">
              <w:rPr>
                <w:rFonts w:ascii="Arial" w:hAnsi="Arial" w:cs="Arial"/>
                <w:color w:val="000000"/>
              </w:rPr>
              <w:t xml:space="preserve">organisational and executive priorities </w:t>
            </w:r>
            <w:r w:rsidR="00130758">
              <w:rPr>
                <w:rFonts w:ascii="Arial" w:hAnsi="Arial" w:cs="Arial"/>
                <w:color w:val="000000"/>
              </w:rPr>
              <w:t xml:space="preserve">feature in the presentation of Risk in the Risk Register, </w:t>
            </w:r>
            <w:r w:rsidRPr="00370164">
              <w:rPr>
                <w:rFonts w:ascii="Arial" w:hAnsi="Arial" w:cs="Arial"/>
                <w:color w:val="000000"/>
              </w:rPr>
              <w:t>and work with Chairs of committees to discuss changes.</w:t>
            </w:r>
          </w:p>
        </w:tc>
        <w:tc>
          <w:tcPr>
            <w:tcW w:w="1843" w:type="dxa"/>
          </w:tcPr>
          <w:p w14:paraId="4486EACE" w14:textId="77777777" w:rsidR="00CA6D88" w:rsidRPr="00370164" w:rsidRDefault="00CA6D88" w:rsidP="00370164">
            <w:pPr>
              <w:spacing w:after="0"/>
              <w:rPr>
                <w:rFonts w:ascii="Arial" w:hAnsi="Arial" w:cs="Arial"/>
                <w:color w:val="000000"/>
              </w:rPr>
            </w:pPr>
            <w:r w:rsidRPr="00370164">
              <w:rPr>
                <w:rFonts w:ascii="Arial" w:hAnsi="Arial" w:cs="Arial"/>
                <w:color w:val="000000"/>
              </w:rPr>
              <w:t>Gareth Adkins</w:t>
            </w:r>
          </w:p>
          <w:p w14:paraId="06EAAEB1" w14:textId="77777777" w:rsidR="00CA6D88" w:rsidRPr="00370164" w:rsidRDefault="00CA6D88" w:rsidP="00370164">
            <w:pPr>
              <w:spacing w:after="0"/>
              <w:rPr>
                <w:rFonts w:ascii="Arial" w:hAnsi="Arial" w:cs="Arial"/>
                <w:color w:val="000000"/>
              </w:rPr>
            </w:pPr>
          </w:p>
        </w:tc>
      </w:tr>
    </w:tbl>
    <w:p w14:paraId="4C03A933" w14:textId="77777777" w:rsidR="00C940EA" w:rsidRPr="00370164" w:rsidRDefault="00C940EA" w:rsidP="00370164">
      <w:pPr>
        <w:spacing w:after="0"/>
        <w:rPr>
          <w:rFonts w:ascii="Arial" w:hAnsi="Arial" w:cs="Arial"/>
        </w:rPr>
      </w:pPr>
    </w:p>
    <w:p w14:paraId="437EE89D" w14:textId="77777777" w:rsidR="00D90727" w:rsidRPr="00370164" w:rsidRDefault="00CA6D88" w:rsidP="00370164">
      <w:pPr>
        <w:spacing w:after="0"/>
        <w:ind w:left="720"/>
        <w:rPr>
          <w:rFonts w:ascii="Arial" w:hAnsi="Arial" w:cs="Arial"/>
        </w:rPr>
      </w:pPr>
      <w:r w:rsidRPr="00370164">
        <w:rPr>
          <w:rFonts w:ascii="Arial" w:hAnsi="Arial" w:cs="Arial"/>
        </w:rPr>
        <w:t>Committee noted the Board Risk Register.</w:t>
      </w:r>
    </w:p>
    <w:p w14:paraId="76AE95C4" w14:textId="77777777" w:rsidR="00D90727" w:rsidRPr="00370164" w:rsidRDefault="00D90727" w:rsidP="00370164">
      <w:pPr>
        <w:spacing w:after="0"/>
        <w:rPr>
          <w:rFonts w:ascii="Arial" w:hAnsi="Arial" w:cs="Arial"/>
          <w:b/>
        </w:rPr>
      </w:pPr>
    </w:p>
    <w:p w14:paraId="22B46C07" w14:textId="77777777" w:rsidR="00D90727" w:rsidRPr="00370164" w:rsidRDefault="00D90727" w:rsidP="00370164">
      <w:pPr>
        <w:spacing w:after="0"/>
        <w:rPr>
          <w:rFonts w:ascii="Arial" w:hAnsi="Arial" w:cs="Arial"/>
          <w:b/>
        </w:rPr>
      </w:pPr>
      <w:r w:rsidRPr="00370164">
        <w:rPr>
          <w:rFonts w:ascii="Arial" w:hAnsi="Arial" w:cs="Arial"/>
          <w:b/>
        </w:rPr>
        <w:t>8.2</w:t>
      </w:r>
      <w:r w:rsidRPr="00370164">
        <w:rPr>
          <w:rFonts w:ascii="Arial" w:hAnsi="Arial" w:cs="Arial"/>
          <w:b/>
        </w:rPr>
        <w:tab/>
        <w:t>Health and Safety Report</w:t>
      </w:r>
    </w:p>
    <w:p w14:paraId="7EA10AB3" w14:textId="77777777" w:rsidR="00D90727" w:rsidRPr="00370164" w:rsidRDefault="00D90727" w:rsidP="00370164">
      <w:pPr>
        <w:spacing w:after="0"/>
        <w:rPr>
          <w:rFonts w:ascii="Arial" w:hAnsi="Arial" w:cs="Arial"/>
          <w:b/>
        </w:rPr>
      </w:pPr>
    </w:p>
    <w:p w14:paraId="03248425" w14:textId="77777777" w:rsidR="002264E5" w:rsidRPr="00370164" w:rsidRDefault="002264E5" w:rsidP="00370164">
      <w:pPr>
        <w:spacing w:after="0"/>
        <w:ind w:left="720"/>
        <w:rPr>
          <w:rFonts w:ascii="Arial" w:hAnsi="Arial" w:cs="Arial"/>
          <w:color w:val="000000" w:themeColor="text1"/>
        </w:rPr>
      </w:pPr>
      <w:r w:rsidRPr="00370164">
        <w:rPr>
          <w:rFonts w:ascii="Arial" w:hAnsi="Arial" w:cs="Arial"/>
          <w:color w:val="000000" w:themeColor="text1"/>
        </w:rPr>
        <w:t xml:space="preserve">Gareth Adkins presented the Health and Safety Report to the Committee. </w:t>
      </w:r>
    </w:p>
    <w:p w14:paraId="2AEE3085" w14:textId="77777777" w:rsidR="002264E5" w:rsidRPr="00370164" w:rsidRDefault="002264E5" w:rsidP="00370164">
      <w:pPr>
        <w:spacing w:after="0"/>
        <w:ind w:left="720"/>
        <w:rPr>
          <w:rFonts w:ascii="Arial" w:hAnsi="Arial" w:cs="Arial"/>
          <w:color w:val="000000" w:themeColor="text1"/>
        </w:rPr>
      </w:pPr>
    </w:p>
    <w:p w14:paraId="0EC83730" w14:textId="77777777" w:rsidR="002264E5" w:rsidRDefault="002264E5" w:rsidP="00370164">
      <w:pPr>
        <w:spacing w:after="0"/>
        <w:ind w:left="720"/>
        <w:rPr>
          <w:rFonts w:ascii="Arial" w:hAnsi="Arial" w:cs="Arial"/>
          <w:color w:val="000000" w:themeColor="text1"/>
        </w:rPr>
      </w:pPr>
      <w:r w:rsidRPr="00370164">
        <w:rPr>
          <w:rFonts w:ascii="Arial" w:hAnsi="Arial" w:cs="Arial"/>
          <w:color w:val="000000" w:themeColor="text1"/>
        </w:rPr>
        <w:t xml:space="preserve">The report highlighted the approval of the Missing Patients policy which outlines roles, responsibilities and procedures. Committee were advised that the Health and Safety team are now at full capacity and will undertake health and safety audits to help identify areas for improvement, themes, and further training and development.  </w:t>
      </w:r>
    </w:p>
    <w:p w14:paraId="31F9E0E3" w14:textId="77777777" w:rsidR="00A035EA" w:rsidRDefault="00A035EA" w:rsidP="00370164">
      <w:pPr>
        <w:spacing w:after="0"/>
        <w:ind w:left="720"/>
        <w:rPr>
          <w:rFonts w:ascii="Arial" w:hAnsi="Arial" w:cs="Arial"/>
          <w:color w:val="000000" w:themeColor="text1"/>
        </w:rPr>
      </w:pPr>
    </w:p>
    <w:p w14:paraId="5A3543FF" w14:textId="77777777" w:rsidR="00A035EA" w:rsidRPr="00370164" w:rsidRDefault="00A035EA" w:rsidP="00370164">
      <w:pPr>
        <w:spacing w:after="0"/>
        <w:ind w:left="720"/>
        <w:rPr>
          <w:rFonts w:ascii="Arial" w:hAnsi="Arial" w:cs="Arial"/>
          <w:color w:val="000000" w:themeColor="text1"/>
        </w:rPr>
      </w:pPr>
      <w:r>
        <w:rPr>
          <w:rFonts w:ascii="Arial" w:hAnsi="Arial" w:cs="Arial"/>
          <w:color w:val="000000" w:themeColor="text1"/>
        </w:rPr>
        <w:t>Gareth Adkins highlighted the strengthened H&amp;S audits which had taken place in the period under report. M Boyle thanked Gareth Adkins for this update, confirming the assurance taken from the quality of report provided to the Committee, and the good rates of attendance at recent meetings of the Health &amp; Safety Committee.</w:t>
      </w:r>
    </w:p>
    <w:p w14:paraId="487E7E2E" w14:textId="77777777" w:rsidR="002264E5" w:rsidRPr="00370164" w:rsidRDefault="002264E5" w:rsidP="00370164">
      <w:pPr>
        <w:spacing w:after="0"/>
        <w:ind w:left="720"/>
        <w:rPr>
          <w:rFonts w:ascii="Arial" w:hAnsi="Arial" w:cs="Arial"/>
          <w:color w:val="000000" w:themeColor="text1"/>
        </w:rPr>
      </w:pPr>
    </w:p>
    <w:p w14:paraId="37BB7DCF" w14:textId="77777777" w:rsidR="00D90727" w:rsidRPr="00370164" w:rsidRDefault="002264E5" w:rsidP="00370164">
      <w:pPr>
        <w:spacing w:after="0"/>
        <w:ind w:left="720"/>
        <w:rPr>
          <w:rFonts w:ascii="Arial" w:hAnsi="Arial" w:cs="Arial"/>
          <w:color w:val="000000" w:themeColor="text1"/>
        </w:rPr>
      </w:pPr>
      <w:r w:rsidRPr="00370164">
        <w:rPr>
          <w:rFonts w:ascii="Arial" w:hAnsi="Arial" w:cs="Arial"/>
          <w:color w:val="000000" w:themeColor="text1"/>
        </w:rPr>
        <w:t xml:space="preserve">Committee noted the Health and Safety Report. </w:t>
      </w:r>
    </w:p>
    <w:p w14:paraId="2ED63289" w14:textId="77777777" w:rsidR="00D90727" w:rsidRPr="00370164" w:rsidRDefault="00D90727" w:rsidP="00370164">
      <w:pPr>
        <w:spacing w:after="0"/>
        <w:rPr>
          <w:rFonts w:ascii="Arial" w:hAnsi="Arial" w:cs="Arial"/>
          <w:b/>
        </w:rPr>
      </w:pPr>
    </w:p>
    <w:p w14:paraId="6A5D7E6B" w14:textId="77777777" w:rsidR="00D90727" w:rsidRPr="00370164" w:rsidRDefault="00D90727" w:rsidP="00370164">
      <w:pPr>
        <w:spacing w:after="0"/>
        <w:rPr>
          <w:rFonts w:ascii="Arial" w:hAnsi="Arial" w:cs="Arial"/>
          <w:b/>
        </w:rPr>
      </w:pPr>
      <w:r w:rsidRPr="00370164">
        <w:rPr>
          <w:rFonts w:ascii="Arial" w:hAnsi="Arial" w:cs="Arial"/>
          <w:b/>
        </w:rPr>
        <w:t>8.3</w:t>
      </w:r>
      <w:r w:rsidRPr="00370164">
        <w:rPr>
          <w:rFonts w:ascii="Arial" w:hAnsi="Arial" w:cs="Arial"/>
          <w:b/>
        </w:rPr>
        <w:tab/>
        <w:t>Occupational Health Report</w:t>
      </w:r>
    </w:p>
    <w:p w14:paraId="1FC7C81B" w14:textId="77777777" w:rsidR="00D90727" w:rsidRPr="00370164" w:rsidRDefault="00D90727" w:rsidP="00370164">
      <w:pPr>
        <w:spacing w:after="0"/>
        <w:rPr>
          <w:rFonts w:ascii="Arial" w:hAnsi="Arial" w:cs="Arial"/>
          <w:b/>
        </w:rPr>
      </w:pPr>
    </w:p>
    <w:p w14:paraId="4E54899A" w14:textId="77777777" w:rsidR="009B0723" w:rsidRPr="00370164" w:rsidRDefault="009B0723" w:rsidP="00370164">
      <w:pPr>
        <w:spacing w:after="0"/>
        <w:ind w:left="720"/>
        <w:rPr>
          <w:rFonts w:ascii="Arial" w:hAnsi="Arial" w:cs="Arial"/>
        </w:rPr>
      </w:pPr>
      <w:r w:rsidRPr="00370164">
        <w:rPr>
          <w:rFonts w:ascii="Arial" w:hAnsi="Arial" w:cs="Arial"/>
        </w:rPr>
        <w:t>Serena Barnatt presented the Occupational Health Report to the Committee. Key points of the report were highlighted below:</w:t>
      </w:r>
    </w:p>
    <w:p w14:paraId="1C2FB1F6" w14:textId="77777777" w:rsidR="009B0723" w:rsidRPr="00370164" w:rsidRDefault="009B0723" w:rsidP="00370164">
      <w:pPr>
        <w:spacing w:after="0"/>
        <w:ind w:left="720"/>
        <w:rPr>
          <w:rFonts w:ascii="Arial" w:hAnsi="Arial" w:cs="Arial"/>
          <w:b/>
        </w:rPr>
      </w:pPr>
    </w:p>
    <w:p w14:paraId="6CCAFC1D" w14:textId="77777777" w:rsidR="009B0723" w:rsidRPr="00370164" w:rsidRDefault="009B0723" w:rsidP="00370164">
      <w:pPr>
        <w:spacing w:after="0"/>
        <w:ind w:left="720"/>
        <w:rPr>
          <w:rFonts w:ascii="Arial" w:hAnsi="Arial" w:cs="Arial"/>
          <w:b/>
        </w:rPr>
      </w:pPr>
      <w:r w:rsidRPr="00370164">
        <w:rPr>
          <w:rFonts w:ascii="Arial" w:hAnsi="Arial" w:cs="Arial"/>
          <w:b/>
        </w:rPr>
        <w:t>Autumn/Winter Vaccination Programme</w:t>
      </w:r>
    </w:p>
    <w:p w14:paraId="4236C4E5" w14:textId="77777777" w:rsidR="009B0723" w:rsidRPr="00370164" w:rsidRDefault="009B0723" w:rsidP="00370164">
      <w:pPr>
        <w:spacing w:after="0"/>
        <w:ind w:left="720"/>
        <w:rPr>
          <w:rFonts w:ascii="Arial" w:hAnsi="Arial" w:cs="Arial"/>
        </w:rPr>
      </w:pPr>
      <w:r w:rsidRPr="00370164">
        <w:rPr>
          <w:rFonts w:ascii="Arial" w:hAnsi="Arial" w:cs="Arial"/>
        </w:rPr>
        <w:t>Official guidanc</w:t>
      </w:r>
      <w:r w:rsidR="00130758">
        <w:rPr>
          <w:rFonts w:ascii="Arial" w:hAnsi="Arial" w:cs="Arial"/>
        </w:rPr>
        <w:t xml:space="preserve">e had not, at the time of the Committee, </w:t>
      </w:r>
      <w:r w:rsidRPr="00370164">
        <w:rPr>
          <w:rFonts w:ascii="Arial" w:hAnsi="Arial" w:cs="Arial"/>
        </w:rPr>
        <w:t xml:space="preserve">been released by the Scottish Government but information will be brought to the Committee when received. </w:t>
      </w:r>
    </w:p>
    <w:p w14:paraId="4A2C4F72" w14:textId="77777777" w:rsidR="009B0723" w:rsidRPr="00370164" w:rsidRDefault="009B0723" w:rsidP="00370164">
      <w:pPr>
        <w:spacing w:after="0"/>
        <w:ind w:left="720"/>
        <w:rPr>
          <w:rFonts w:ascii="Arial" w:hAnsi="Arial" w:cs="Arial"/>
        </w:rPr>
      </w:pPr>
    </w:p>
    <w:p w14:paraId="20F0A27B" w14:textId="77777777" w:rsidR="009B0723" w:rsidRPr="00370164" w:rsidRDefault="009B0723" w:rsidP="00370164">
      <w:pPr>
        <w:spacing w:after="0"/>
        <w:ind w:left="720"/>
        <w:rPr>
          <w:rFonts w:ascii="Arial" w:hAnsi="Arial" w:cs="Arial"/>
          <w:b/>
        </w:rPr>
      </w:pPr>
      <w:r w:rsidRPr="00370164">
        <w:rPr>
          <w:rFonts w:ascii="Arial" w:hAnsi="Arial" w:cs="Arial"/>
          <w:b/>
        </w:rPr>
        <w:t>Student Nurse Vaccinations</w:t>
      </w:r>
    </w:p>
    <w:p w14:paraId="4A9608E6" w14:textId="77777777" w:rsidR="009B0723" w:rsidRPr="00370164" w:rsidRDefault="009B0723" w:rsidP="00370164">
      <w:pPr>
        <w:spacing w:after="0"/>
        <w:ind w:left="720"/>
        <w:rPr>
          <w:rFonts w:ascii="Arial" w:hAnsi="Arial" w:cs="Arial"/>
        </w:rPr>
      </w:pPr>
      <w:r w:rsidRPr="00370164">
        <w:rPr>
          <w:rFonts w:ascii="Arial" w:hAnsi="Arial" w:cs="Arial"/>
        </w:rPr>
        <w:t xml:space="preserve">Pre-employment health screening for student nurses completed. </w:t>
      </w:r>
    </w:p>
    <w:p w14:paraId="78E02C94" w14:textId="77777777" w:rsidR="009B0723" w:rsidRPr="00370164" w:rsidRDefault="009B0723" w:rsidP="00370164">
      <w:pPr>
        <w:spacing w:after="0"/>
        <w:ind w:left="720"/>
        <w:rPr>
          <w:rFonts w:ascii="Arial" w:hAnsi="Arial" w:cs="Arial"/>
        </w:rPr>
      </w:pPr>
    </w:p>
    <w:p w14:paraId="4B1B1F7A" w14:textId="77777777" w:rsidR="009B0723" w:rsidRPr="00370164" w:rsidRDefault="009B0723" w:rsidP="00370164">
      <w:pPr>
        <w:spacing w:after="0"/>
        <w:ind w:left="720"/>
        <w:rPr>
          <w:rFonts w:ascii="Arial" w:hAnsi="Arial" w:cs="Arial"/>
          <w:b/>
        </w:rPr>
      </w:pPr>
      <w:r w:rsidRPr="00370164">
        <w:rPr>
          <w:rFonts w:ascii="Arial" w:hAnsi="Arial" w:cs="Arial"/>
          <w:b/>
        </w:rPr>
        <w:t>Mental Health Services</w:t>
      </w:r>
    </w:p>
    <w:p w14:paraId="6A9372F2" w14:textId="77777777" w:rsidR="009B0723" w:rsidRPr="00370164" w:rsidRDefault="009B0723" w:rsidP="00370164">
      <w:pPr>
        <w:spacing w:after="0"/>
        <w:ind w:left="720"/>
        <w:rPr>
          <w:rFonts w:ascii="Arial" w:hAnsi="Arial" w:cs="Arial"/>
          <w:color w:val="000000"/>
        </w:rPr>
      </w:pPr>
      <w:r w:rsidRPr="00370164">
        <w:rPr>
          <w:rFonts w:ascii="Arial" w:hAnsi="Arial" w:cs="Arial"/>
          <w:color w:val="000000"/>
        </w:rPr>
        <w:t xml:space="preserve">Feedback from all provisions appear to be positive and have been implemented by staff and managers.  </w:t>
      </w:r>
    </w:p>
    <w:p w14:paraId="35AD8FC5" w14:textId="77777777" w:rsidR="009B0723" w:rsidRPr="00370164" w:rsidRDefault="009B0723" w:rsidP="00370164">
      <w:pPr>
        <w:spacing w:after="0"/>
        <w:ind w:left="720"/>
        <w:rPr>
          <w:rFonts w:ascii="Arial" w:hAnsi="Arial" w:cs="Arial"/>
        </w:rPr>
      </w:pPr>
    </w:p>
    <w:p w14:paraId="5E715AF2" w14:textId="77777777" w:rsidR="009B0723" w:rsidRPr="00370164" w:rsidRDefault="009B0723" w:rsidP="00370164">
      <w:pPr>
        <w:spacing w:after="0"/>
        <w:ind w:left="720"/>
        <w:rPr>
          <w:rFonts w:ascii="Arial" w:hAnsi="Arial" w:cs="Arial"/>
          <w:b/>
          <w:color w:val="000000"/>
        </w:rPr>
      </w:pPr>
      <w:r w:rsidRPr="00370164">
        <w:rPr>
          <w:rFonts w:ascii="Arial" w:hAnsi="Arial" w:cs="Arial"/>
          <w:b/>
          <w:color w:val="000000"/>
        </w:rPr>
        <w:t>Management of sharps and inoculation injuries</w:t>
      </w:r>
    </w:p>
    <w:p w14:paraId="3DBAE2B6" w14:textId="77777777" w:rsidR="009B0723" w:rsidRPr="00370164" w:rsidRDefault="009B0723" w:rsidP="00370164">
      <w:pPr>
        <w:spacing w:after="0"/>
        <w:ind w:left="720"/>
        <w:rPr>
          <w:rFonts w:ascii="Arial" w:hAnsi="Arial" w:cs="Arial"/>
          <w:color w:val="000000"/>
        </w:rPr>
      </w:pPr>
      <w:r w:rsidRPr="00370164">
        <w:rPr>
          <w:rFonts w:ascii="Arial" w:hAnsi="Arial" w:cs="Arial"/>
          <w:color w:val="000000"/>
        </w:rPr>
        <w:t xml:space="preserve">Policy rewritten and has been followed appropriately. </w:t>
      </w:r>
    </w:p>
    <w:p w14:paraId="45983011" w14:textId="77777777" w:rsidR="009B0723" w:rsidRPr="00370164" w:rsidRDefault="009B0723" w:rsidP="00370164">
      <w:pPr>
        <w:spacing w:after="0"/>
        <w:ind w:left="720"/>
        <w:rPr>
          <w:rFonts w:ascii="Arial" w:hAnsi="Arial" w:cs="Arial"/>
        </w:rPr>
      </w:pPr>
    </w:p>
    <w:p w14:paraId="7A78CEBE" w14:textId="77777777" w:rsidR="009B0723" w:rsidRPr="00370164" w:rsidRDefault="009B0723" w:rsidP="00370164">
      <w:pPr>
        <w:spacing w:after="0"/>
        <w:ind w:left="720"/>
        <w:rPr>
          <w:rFonts w:ascii="Arial" w:hAnsi="Arial" w:cs="Arial"/>
          <w:b/>
        </w:rPr>
      </w:pPr>
      <w:r w:rsidRPr="00370164">
        <w:rPr>
          <w:rFonts w:ascii="Arial" w:hAnsi="Arial" w:cs="Arial"/>
          <w:b/>
        </w:rPr>
        <w:t>Track and Trace</w:t>
      </w:r>
    </w:p>
    <w:p w14:paraId="07A055AC" w14:textId="77777777" w:rsidR="009B0723" w:rsidRPr="00370164" w:rsidRDefault="009B0723" w:rsidP="00370164">
      <w:pPr>
        <w:spacing w:after="0"/>
        <w:ind w:left="720"/>
        <w:rPr>
          <w:rFonts w:ascii="Arial" w:hAnsi="Arial" w:cs="Arial"/>
        </w:rPr>
      </w:pPr>
      <w:r w:rsidRPr="00370164">
        <w:rPr>
          <w:rFonts w:ascii="Arial" w:hAnsi="Arial" w:cs="Arial"/>
        </w:rPr>
        <w:t xml:space="preserve">Managers educated to understand processes which has reduced volume of queries. </w:t>
      </w:r>
    </w:p>
    <w:p w14:paraId="2D036AB2" w14:textId="77777777" w:rsidR="009B0723" w:rsidRPr="00370164" w:rsidRDefault="009B0723" w:rsidP="00370164">
      <w:pPr>
        <w:spacing w:after="0"/>
        <w:ind w:left="720"/>
        <w:rPr>
          <w:rFonts w:ascii="Arial" w:hAnsi="Arial" w:cs="Arial"/>
        </w:rPr>
      </w:pPr>
    </w:p>
    <w:p w14:paraId="772105E1" w14:textId="77777777" w:rsidR="009B0723" w:rsidRPr="00370164" w:rsidRDefault="009B0723" w:rsidP="00370164">
      <w:pPr>
        <w:spacing w:after="0"/>
        <w:ind w:left="720"/>
        <w:rPr>
          <w:rFonts w:ascii="Arial" w:hAnsi="Arial" w:cs="Arial"/>
          <w:b/>
        </w:rPr>
      </w:pPr>
      <w:r w:rsidRPr="00370164">
        <w:rPr>
          <w:rFonts w:ascii="Arial" w:hAnsi="Arial" w:cs="Arial"/>
          <w:b/>
        </w:rPr>
        <w:t>Recruitment</w:t>
      </w:r>
    </w:p>
    <w:p w14:paraId="48EB7310" w14:textId="5BCCEBF3" w:rsidR="00D22422" w:rsidRPr="00370164" w:rsidRDefault="009B0723" w:rsidP="00370164">
      <w:pPr>
        <w:spacing w:after="0"/>
        <w:ind w:left="720"/>
        <w:rPr>
          <w:rFonts w:ascii="Arial" w:hAnsi="Arial" w:cs="Arial"/>
        </w:rPr>
      </w:pPr>
      <w:r w:rsidRPr="00370164">
        <w:rPr>
          <w:rFonts w:ascii="Arial" w:hAnsi="Arial" w:cs="Arial"/>
        </w:rPr>
        <w:t>Significa</w:t>
      </w:r>
      <w:r w:rsidR="007D6930">
        <w:rPr>
          <w:rFonts w:ascii="Arial" w:hAnsi="Arial" w:cs="Arial"/>
        </w:rPr>
        <w:t>n</w:t>
      </w:r>
      <w:r w:rsidRPr="00370164">
        <w:rPr>
          <w:rFonts w:ascii="Arial" w:hAnsi="Arial" w:cs="Arial"/>
        </w:rPr>
        <w:t xml:space="preserve">t increase in current and expected volume of posts. Recruitment processes to fill posts are being conducted as quickly as possible. </w:t>
      </w:r>
      <w:r w:rsidR="00C57877" w:rsidRPr="00370164">
        <w:rPr>
          <w:rFonts w:ascii="Arial" w:hAnsi="Arial" w:cs="Arial"/>
        </w:rPr>
        <w:t xml:space="preserve">A </w:t>
      </w:r>
      <w:r w:rsidR="003D2871" w:rsidRPr="00370164">
        <w:rPr>
          <w:rFonts w:ascii="Arial" w:hAnsi="Arial" w:cs="Arial"/>
        </w:rPr>
        <w:t xml:space="preserve">resource bid was </w:t>
      </w:r>
      <w:r w:rsidR="0030623A" w:rsidRPr="00370164">
        <w:rPr>
          <w:rFonts w:ascii="Arial" w:hAnsi="Arial" w:cs="Arial"/>
        </w:rPr>
        <w:t xml:space="preserve">recently </w:t>
      </w:r>
      <w:r w:rsidR="003D2871" w:rsidRPr="00370164">
        <w:rPr>
          <w:rFonts w:ascii="Arial" w:hAnsi="Arial" w:cs="Arial"/>
        </w:rPr>
        <w:t xml:space="preserve">successful to assist with </w:t>
      </w:r>
      <w:r w:rsidR="0030623A" w:rsidRPr="00370164">
        <w:rPr>
          <w:rFonts w:ascii="Arial" w:hAnsi="Arial" w:cs="Arial"/>
        </w:rPr>
        <w:t xml:space="preserve">an </w:t>
      </w:r>
      <w:r w:rsidR="003D2871" w:rsidRPr="00370164">
        <w:rPr>
          <w:rFonts w:ascii="Arial" w:hAnsi="Arial" w:cs="Arial"/>
        </w:rPr>
        <w:t xml:space="preserve">increase </w:t>
      </w:r>
      <w:r w:rsidR="0030623A" w:rsidRPr="00370164">
        <w:rPr>
          <w:rFonts w:ascii="Arial" w:hAnsi="Arial" w:cs="Arial"/>
        </w:rPr>
        <w:t xml:space="preserve">of </w:t>
      </w:r>
      <w:r w:rsidR="003D2871" w:rsidRPr="00370164">
        <w:rPr>
          <w:rFonts w:ascii="Arial" w:hAnsi="Arial" w:cs="Arial"/>
        </w:rPr>
        <w:t>employment che</w:t>
      </w:r>
      <w:r w:rsidR="0030623A" w:rsidRPr="00370164">
        <w:rPr>
          <w:rFonts w:ascii="Arial" w:hAnsi="Arial" w:cs="Arial"/>
        </w:rPr>
        <w:t xml:space="preserve">cks for the </w:t>
      </w:r>
      <w:r w:rsidR="003D2871" w:rsidRPr="00370164">
        <w:rPr>
          <w:rFonts w:ascii="Arial" w:hAnsi="Arial" w:cs="Arial"/>
        </w:rPr>
        <w:t xml:space="preserve">hospital expansion. </w:t>
      </w:r>
      <w:r w:rsidR="00D22422" w:rsidRPr="00370164">
        <w:rPr>
          <w:rFonts w:ascii="Arial" w:hAnsi="Arial" w:cs="Arial"/>
        </w:rPr>
        <w:t xml:space="preserve"> </w:t>
      </w:r>
    </w:p>
    <w:p w14:paraId="0BA9FD10" w14:textId="77777777" w:rsidR="0030623A" w:rsidRDefault="0030623A" w:rsidP="00370164">
      <w:pPr>
        <w:spacing w:after="0"/>
        <w:ind w:left="720"/>
        <w:rPr>
          <w:rFonts w:ascii="Arial" w:hAnsi="Arial" w:cs="Arial"/>
        </w:rPr>
      </w:pPr>
    </w:p>
    <w:p w14:paraId="135E16E6" w14:textId="77777777" w:rsidR="00A035EA" w:rsidRDefault="00A035EA" w:rsidP="00370164">
      <w:pPr>
        <w:spacing w:after="0"/>
        <w:ind w:left="720"/>
        <w:rPr>
          <w:rFonts w:ascii="Arial" w:hAnsi="Arial" w:cs="Arial"/>
        </w:rPr>
      </w:pPr>
      <w:r>
        <w:rPr>
          <w:rFonts w:ascii="Arial" w:hAnsi="Arial" w:cs="Arial"/>
        </w:rPr>
        <w:t>J Christie-Flight highlighted the importance of ensuring robust pre-employment checks are carried out, however also noted the potential increase in work-load for members of staff tasked with carrying out these checks. Serena Barnatt confirmed that this would be monitored closely.</w:t>
      </w:r>
    </w:p>
    <w:p w14:paraId="1BA11EFE" w14:textId="77777777" w:rsidR="00A035EA" w:rsidRPr="00370164" w:rsidRDefault="00A035EA" w:rsidP="00370164">
      <w:pPr>
        <w:spacing w:after="0"/>
        <w:ind w:left="720"/>
        <w:rPr>
          <w:rFonts w:ascii="Arial" w:hAnsi="Arial" w:cs="Arial"/>
        </w:rPr>
      </w:pPr>
    </w:p>
    <w:p w14:paraId="0F2EBAE9" w14:textId="77777777" w:rsidR="00D22422" w:rsidRPr="00370164" w:rsidRDefault="0030623A" w:rsidP="00370164">
      <w:pPr>
        <w:spacing w:after="0"/>
        <w:ind w:left="720"/>
        <w:rPr>
          <w:rFonts w:ascii="Arial" w:hAnsi="Arial" w:cs="Arial"/>
        </w:rPr>
      </w:pPr>
      <w:r w:rsidRPr="00370164">
        <w:rPr>
          <w:rFonts w:ascii="Arial" w:hAnsi="Arial" w:cs="Arial"/>
        </w:rPr>
        <w:t xml:space="preserve">Committee noted the Occupational Health Report. </w:t>
      </w:r>
    </w:p>
    <w:p w14:paraId="0EC53ECF" w14:textId="77777777" w:rsidR="00D90727" w:rsidRPr="00370164" w:rsidRDefault="00D90727" w:rsidP="00370164">
      <w:pPr>
        <w:spacing w:after="0"/>
        <w:rPr>
          <w:rFonts w:ascii="Arial" w:hAnsi="Arial" w:cs="Arial"/>
          <w:b/>
        </w:rPr>
      </w:pPr>
    </w:p>
    <w:p w14:paraId="40074D96" w14:textId="77777777" w:rsidR="00D90727" w:rsidRPr="00370164" w:rsidRDefault="00D90727" w:rsidP="00370164">
      <w:pPr>
        <w:spacing w:after="0"/>
        <w:rPr>
          <w:rFonts w:ascii="Arial" w:hAnsi="Arial" w:cs="Arial"/>
          <w:b/>
        </w:rPr>
      </w:pPr>
      <w:r w:rsidRPr="00370164">
        <w:rPr>
          <w:rFonts w:ascii="Arial" w:hAnsi="Arial" w:cs="Arial"/>
          <w:b/>
        </w:rPr>
        <w:t>8.4</w:t>
      </w:r>
      <w:r w:rsidRPr="00370164">
        <w:rPr>
          <w:rFonts w:ascii="Arial" w:hAnsi="Arial" w:cs="Arial"/>
          <w:b/>
        </w:rPr>
        <w:tab/>
        <w:t>Health and Wellbeing Report for Financial Year 2021/2022</w:t>
      </w:r>
    </w:p>
    <w:p w14:paraId="73384AC8" w14:textId="77777777" w:rsidR="00D90727" w:rsidRPr="00370164" w:rsidRDefault="00D90727" w:rsidP="00370164">
      <w:pPr>
        <w:spacing w:after="0"/>
        <w:rPr>
          <w:rFonts w:ascii="Arial" w:hAnsi="Arial" w:cs="Arial"/>
          <w:b/>
        </w:rPr>
      </w:pPr>
    </w:p>
    <w:p w14:paraId="5199CBF2" w14:textId="77777777" w:rsidR="0029018F" w:rsidRPr="00370164" w:rsidRDefault="0029018F" w:rsidP="00370164">
      <w:pPr>
        <w:spacing w:after="0"/>
        <w:ind w:left="720"/>
        <w:rPr>
          <w:rFonts w:ascii="Arial" w:hAnsi="Arial" w:cs="Arial"/>
        </w:rPr>
      </w:pPr>
      <w:r w:rsidRPr="00370164">
        <w:rPr>
          <w:rFonts w:ascii="Arial" w:hAnsi="Arial" w:cs="Arial"/>
        </w:rPr>
        <w:t>Donna Akhal presented the Health and Wellbeing Report for Financial year 2021/2022 to the Committee. Committee noted work completed by Health and Wellbeing Group during the past year, including the implementation of EAP to provide staff physical, social, financial and menta</w:t>
      </w:r>
      <w:r w:rsidR="00547041">
        <w:rPr>
          <w:rFonts w:ascii="Arial" w:hAnsi="Arial" w:cs="Arial"/>
        </w:rPr>
        <w:t xml:space="preserve">l health supports, the </w:t>
      </w:r>
      <w:r w:rsidRPr="00370164">
        <w:rPr>
          <w:rFonts w:ascii="Arial" w:hAnsi="Arial" w:cs="Arial"/>
        </w:rPr>
        <w:t xml:space="preserve">iMatter </w:t>
      </w:r>
      <w:r w:rsidR="00547041">
        <w:rPr>
          <w:rFonts w:ascii="Arial" w:hAnsi="Arial" w:cs="Arial"/>
        </w:rPr>
        <w:t xml:space="preserve">programme </w:t>
      </w:r>
      <w:r w:rsidRPr="00370164">
        <w:rPr>
          <w:rFonts w:ascii="Arial" w:hAnsi="Arial" w:cs="Arial"/>
        </w:rPr>
        <w:t xml:space="preserve">and </w:t>
      </w:r>
      <w:r w:rsidR="00547041">
        <w:rPr>
          <w:rFonts w:ascii="Arial" w:hAnsi="Arial" w:cs="Arial"/>
        </w:rPr>
        <w:t xml:space="preserve">the delivery of enhanced </w:t>
      </w:r>
      <w:r w:rsidRPr="00370164">
        <w:rPr>
          <w:rFonts w:ascii="Arial" w:hAnsi="Arial" w:cs="Arial"/>
        </w:rPr>
        <w:t xml:space="preserve">diversity </w:t>
      </w:r>
      <w:r w:rsidR="00547041">
        <w:rPr>
          <w:rFonts w:ascii="Arial" w:hAnsi="Arial" w:cs="Arial"/>
        </w:rPr>
        <w:t>tr</w:t>
      </w:r>
      <w:r w:rsidRPr="00370164">
        <w:rPr>
          <w:rFonts w:ascii="Arial" w:hAnsi="Arial" w:cs="Arial"/>
        </w:rPr>
        <w:t>a</w:t>
      </w:r>
      <w:r w:rsidR="00547041">
        <w:rPr>
          <w:rFonts w:ascii="Arial" w:hAnsi="Arial" w:cs="Arial"/>
        </w:rPr>
        <w:t>ining</w:t>
      </w:r>
      <w:r w:rsidRPr="00370164">
        <w:rPr>
          <w:rFonts w:ascii="Arial" w:hAnsi="Arial" w:cs="Arial"/>
        </w:rPr>
        <w:t xml:space="preserve">. </w:t>
      </w:r>
    </w:p>
    <w:p w14:paraId="1431F555" w14:textId="77777777" w:rsidR="0029018F" w:rsidRPr="00370164" w:rsidRDefault="0029018F" w:rsidP="00370164">
      <w:pPr>
        <w:spacing w:after="0"/>
        <w:ind w:left="720"/>
        <w:rPr>
          <w:rFonts w:ascii="Arial" w:hAnsi="Arial" w:cs="Arial"/>
        </w:rPr>
      </w:pPr>
    </w:p>
    <w:p w14:paraId="5B9D7F5D" w14:textId="77777777" w:rsidR="0029018F" w:rsidRPr="00370164" w:rsidRDefault="0029018F" w:rsidP="00370164">
      <w:pPr>
        <w:spacing w:after="0"/>
        <w:ind w:left="720"/>
        <w:rPr>
          <w:rFonts w:ascii="Arial" w:hAnsi="Arial" w:cs="Arial"/>
        </w:rPr>
      </w:pPr>
      <w:r w:rsidRPr="00370164">
        <w:rPr>
          <w:rFonts w:ascii="Arial" w:hAnsi="Arial" w:cs="Arial"/>
        </w:rPr>
        <w:t xml:space="preserve">A signification investment from NHS Golden Jubilee Board and Scottish Government was received for the Group, which has been allocated to healthy food initiatives. The Group’s focus on deliverables in the next two years will be presented at future SGG meetings, which includes a reflective garden project that is underway this year to support rest areas. </w:t>
      </w:r>
    </w:p>
    <w:p w14:paraId="442C098C" w14:textId="77777777" w:rsidR="0029018F" w:rsidRPr="00370164" w:rsidRDefault="0029018F" w:rsidP="00370164">
      <w:pPr>
        <w:spacing w:after="0"/>
        <w:ind w:left="720"/>
        <w:rPr>
          <w:rFonts w:ascii="Arial" w:hAnsi="Arial" w:cs="Arial"/>
        </w:rPr>
      </w:pPr>
    </w:p>
    <w:p w14:paraId="687715E0" w14:textId="77777777" w:rsidR="0029018F" w:rsidRDefault="00A035EA" w:rsidP="001029BE">
      <w:pPr>
        <w:spacing w:after="0"/>
        <w:ind w:left="720"/>
        <w:rPr>
          <w:rFonts w:ascii="Arial" w:hAnsi="Arial" w:cs="Arial"/>
        </w:rPr>
      </w:pPr>
      <w:r>
        <w:rPr>
          <w:rFonts w:ascii="Arial" w:hAnsi="Arial" w:cs="Arial"/>
        </w:rPr>
        <w:t>Gareth Adkins highlighted the potential benefits to NHSGJ of exploring links with</w:t>
      </w:r>
      <w:r w:rsidR="0029018F" w:rsidRPr="00370164">
        <w:rPr>
          <w:rFonts w:ascii="Arial" w:hAnsi="Arial" w:cs="Arial"/>
        </w:rPr>
        <w:t xml:space="preserve"> Strathclyde U</w:t>
      </w:r>
      <w:r w:rsidR="00566FFB">
        <w:rPr>
          <w:rFonts w:ascii="Arial" w:hAnsi="Arial" w:cs="Arial"/>
        </w:rPr>
        <w:t>niversity as regards input of psychology students to identify and report on metrics of staff well-being</w:t>
      </w:r>
      <w:r w:rsidR="0029018F" w:rsidRPr="00370164">
        <w:rPr>
          <w:rFonts w:ascii="Arial" w:hAnsi="Arial" w:cs="Arial"/>
        </w:rPr>
        <w:t xml:space="preserve">. The Committee </w:t>
      </w:r>
      <w:r w:rsidR="00566FFB">
        <w:rPr>
          <w:rFonts w:ascii="Arial" w:hAnsi="Arial" w:cs="Arial"/>
        </w:rPr>
        <w:t>requested that this be investigat</w:t>
      </w:r>
      <w:r w:rsidR="0029018F" w:rsidRPr="00370164">
        <w:rPr>
          <w:rFonts w:ascii="Arial" w:hAnsi="Arial" w:cs="Arial"/>
        </w:rPr>
        <w:t>ed</w:t>
      </w:r>
      <w:r w:rsidR="00566FFB">
        <w:rPr>
          <w:rFonts w:ascii="Arial" w:hAnsi="Arial" w:cs="Arial"/>
        </w:rPr>
        <w:t>, and a report brought to Committee at a relevant time</w:t>
      </w:r>
      <w:r w:rsidR="0029018F" w:rsidRPr="00370164">
        <w:rPr>
          <w:rFonts w:ascii="Arial" w:hAnsi="Arial" w:cs="Arial"/>
        </w:rPr>
        <w:t xml:space="preserve">. </w:t>
      </w:r>
    </w:p>
    <w:p w14:paraId="3B8F204C" w14:textId="77777777" w:rsidR="00547041" w:rsidRPr="00370164" w:rsidRDefault="00547041" w:rsidP="001029BE">
      <w:pPr>
        <w:spacing w:after="0"/>
        <w:ind w:left="720"/>
        <w:rPr>
          <w:rFonts w:ascii="Arial" w:hAnsi="Arial" w:cs="Arial"/>
        </w:rPr>
      </w:pPr>
    </w:p>
    <w:tbl>
      <w:tblPr>
        <w:tblStyle w:val="TableGrid"/>
        <w:tblW w:w="0" w:type="auto"/>
        <w:jc w:val="center"/>
        <w:tblLook w:val="04A0" w:firstRow="1" w:lastRow="0" w:firstColumn="1" w:lastColumn="0" w:noHBand="0" w:noVBand="1"/>
      </w:tblPr>
      <w:tblGrid>
        <w:gridCol w:w="2122"/>
        <w:gridCol w:w="4677"/>
        <w:gridCol w:w="1843"/>
      </w:tblGrid>
      <w:tr w:rsidR="0029018F" w:rsidRPr="00370164" w14:paraId="08CBBF5E" w14:textId="77777777" w:rsidTr="001029BE">
        <w:trPr>
          <w:jc w:val="center"/>
        </w:trPr>
        <w:tc>
          <w:tcPr>
            <w:tcW w:w="2122" w:type="dxa"/>
          </w:tcPr>
          <w:p w14:paraId="7CD6C8FD" w14:textId="77777777" w:rsidR="0029018F" w:rsidRPr="00370164" w:rsidRDefault="0029018F" w:rsidP="00370164">
            <w:pPr>
              <w:spacing w:after="0"/>
              <w:contextualSpacing/>
              <w:rPr>
                <w:rFonts w:ascii="Arial" w:hAnsi="Arial" w:cs="Arial"/>
                <w:b/>
              </w:rPr>
            </w:pPr>
            <w:r w:rsidRPr="00370164">
              <w:rPr>
                <w:rFonts w:ascii="Arial" w:hAnsi="Arial" w:cs="Arial"/>
                <w:b/>
              </w:rPr>
              <w:t>Action No.</w:t>
            </w:r>
          </w:p>
        </w:tc>
        <w:tc>
          <w:tcPr>
            <w:tcW w:w="4677" w:type="dxa"/>
          </w:tcPr>
          <w:p w14:paraId="56E999C1" w14:textId="77777777" w:rsidR="0029018F" w:rsidRPr="00370164" w:rsidRDefault="0029018F" w:rsidP="00370164">
            <w:pPr>
              <w:spacing w:after="0"/>
              <w:contextualSpacing/>
              <w:rPr>
                <w:rFonts w:ascii="Arial" w:hAnsi="Arial" w:cs="Arial"/>
                <w:b/>
              </w:rPr>
            </w:pPr>
            <w:r w:rsidRPr="00370164">
              <w:rPr>
                <w:rFonts w:ascii="Arial" w:hAnsi="Arial" w:cs="Arial"/>
                <w:b/>
              </w:rPr>
              <w:t>Action</w:t>
            </w:r>
          </w:p>
        </w:tc>
        <w:tc>
          <w:tcPr>
            <w:tcW w:w="1843" w:type="dxa"/>
          </w:tcPr>
          <w:p w14:paraId="5ABC6717" w14:textId="77777777" w:rsidR="0029018F" w:rsidRPr="00370164" w:rsidRDefault="0029018F" w:rsidP="00370164">
            <w:pPr>
              <w:spacing w:after="0"/>
              <w:contextualSpacing/>
              <w:rPr>
                <w:rFonts w:ascii="Arial" w:hAnsi="Arial" w:cs="Arial"/>
                <w:b/>
              </w:rPr>
            </w:pPr>
            <w:r w:rsidRPr="00370164">
              <w:rPr>
                <w:rFonts w:ascii="Arial" w:hAnsi="Arial" w:cs="Arial"/>
                <w:b/>
              </w:rPr>
              <w:t>Lead</w:t>
            </w:r>
          </w:p>
        </w:tc>
      </w:tr>
      <w:tr w:rsidR="0029018F" w:rsidRPr="00370164" w14:paraId="2603C319" w14:textId="77777777" w:rsidTr="001029BE">
        <w:trPr>
          <w:jc w:val="center"/>
        </w:trPr>
        <w:tc>
          <w:tcPr>
            <w:tcW w:w="2122" w:type="dxa"/>
          </w:tcPr>
          <w:p w14:paraId="0B791CBE" w14:textId="77777777" w:rsidR="0029018F" w:rsidRPr="00370164" w:rsidRDefault="0029018F" w:rsidP="00370164">
            <w:pPr>
              <w:spacing w:after="0"/>
              <w:rPr>
                <w:rFonts w:ascii="Arial" w:hAnsi="Arial" w:cs="Arial"/>
                <w:color w:val="000000"/>
              </w:rPr>
            </w:pPr>
            <w:r w:rsidRPr="00370164">
              <w:rPr>
                <w:rFonts w:ascii="Arial" w:hAnsi="Arial" w:cs="Arial"/>
                <w:color w:val="000000"/>
              </w:rPr>
              <w:t>SGPCC/030522/06</w:t>
            </w:r>
          </w:p>
        </w:tc>
        <w:tc>
          <w:tcPr>
            <w:tcW w:w="4677" w:type="dxa"/>
          </w:tcPr>
          <w:p w14:paraId="40506337" w14:textId="77777777" w:rsidR="0029018F" w:rsidRPr="00370164" w:rsidRDefault="0029018F" w:rsidP="00566FFB">
            <w:pPr>
              <w:spacing w:after="0"/>
              <w:rPr>
                <w:rFonts w:ascii="Arial" w:hAnsi="Arial" w:cs="Arial"/>
                <w:b/>
                <w:bCs/>
                <w:color w:val="000000"/>
              </w:rPr>
            </w:pPr>
            <w:r w:rsidRPr="00370164">
              <w:rPr>
                <w:rFonts w:ascii="Arial" w:hAnsi="Arial" w:cs="Arial"/>
                <w:b/>
                <w:bCs/>
                <w:color w:val="000000"/>
              </w:rPr>
              <w:t xml:space="preserve">8.4 Health and Wellbeing Report for Financial Year 2021/22                           </w:t>
            </w:r>
            <w:r w:rsidRPr="00370164">
              <w:rPr>
                <w:rFonts w:ascii="Arial" w:hAnsi="Arial" w:cs="Arial"/>
                <w:color w:val="000000"/>
              </w:rPr>
              <w:t>Explore</w:t>
            </w:r>
            <w:r w:rsidR="00A035EA">
              <w:rPr>
                <w:rFonts w:ascii="Arial" w:hAnsi="Arial" w:cs="Arial"/>
                <w:color w:val="000000"/>
              </w:rPr>
              <w:t xml:space="preserve"> opportunities to link with</w:t>
            </w:r>
            <w:r w:rsidRPr="00370164">
              <w:rPr>
                <w:rFonts w:ascii="Arial" w:hAnsi="Arial" w:cs="Arial"/>
                <w:b/>
                <w:bCs/>
                <w:color w:val="000000"/>
              </w:rPr>
              <w:t xml:space="preserve"> </w:t>
            </w:r>
            <w:r w:rsidRPr="00370164">
              <w:rPr>
                <w:rFonts w:ascii="Arial" w:hAnsi="Arial" w:cs="Arial"/>
                <w:color w:val="000000"/>
              </w:rPr>
              <w:t xml:space="preserve">student psychology </w:t>
            </w:r>
            <w:r w:rsidR="00A035EA">
              <w:rPr>
                <w:rFonts w:ascii="Arial" w:hAnsi="Arial" w:cs="Arial"/>
                <w:color w:val="000000"/>
              </w:rPr>
              <w:t xml:space="preserve">to assist in </w:t>
            </w:r>
            <w:r w:rsidR="00566FFB">
              <w:rPr>
                <w:rFonts w:ascii="Arial" w:hAnsi="Arial" w:cs="Arial"/>
                <w:color w:val="000000"/>
              </w:rPr>
              <w:t>developing and refining metrics of staff wellbeing.</w:t>
            </w:r>
          </w:p>
        </w:tc>
        <w:tc>
          <w:tcPr>
            <w:tcW w:w="1843" w:type="dxa"/>
          </w:tcPr>
          <w:p w14:paraId="66FB05AD" w14:textId="77777777" w:rsidR="0029018F" w:rsidRPr="00370164" w:rsidRDefault="0029018F" w:rsidP="00370164">
            <w:pPr>
              <w:spacing w:after="0"/>
              <w:rPr>
                <w:rFonts w:ascii="Arial" w:hAnsi="Arial" w:cs="Arial"/>
                <w:color w:val="000000"/>
              </w:rPr>
            </w:pPr>
            <w:r w:rsidRPr="00370164">
              <w:rPr>
                <w:rFonts w:ascii="Arial" w:hAnsi="Arial" w:cs="Arial"/>
                <w:color w:val="000000"/>
              </w:rPr>
              <w:t>Gareth Adkins</w:t>
            </w:r>
          </w:p>
          <w:p w14:paraId="4715AFBD" w14:textId="77777777" w:rsidR="0029018F" w:rsidRPr="00370164" w:rsidRDefault="0029018F" w:rsidP="00370164">
            <w:pPr>
              <w:spacing w:after="0"/>
              <w:rPr>
                <w:rFonts w:ascii="Arial" w:hAnsi="Arial" w:cs="Arial"/>
                <w:color w:val="000000"/>
              </w:rPr>
            </w:pPr>
          </w:p>
        </w:tc>
      </w:tr>
    </w:tbl>
    <w:p w14:paraId="79605CF6" w14:textId="77777777" w:rsidR="0029018F" w:rsidRPr="00370164" w:rsidRDefault="0029018F" w:rsidP="00370164">
      <w:pPr>
        <w:spacing w:after="0"/>
        <w:ind w:left="720"/>
        <w:rPr>
          <w:rFonts w:ascii="Arial" w:hAnsi="Arial" w:cs="Arial"/>
        </w:rPr>
      </w:pPr>
    </w:p>
    <w:p w14:paraId="00DB4321" w14:textId="77777777" w:rsidR="00D90727" w:rsidRPr="00370164" w:rsidRDefault="0029018F" w:rsidP="00370164">
      <w:pPr>
        <w:spacing w:after="0"/>
        <w:rPr>
          <w:rFonts w:ascii="Arial" w:hAnsi="Arial" w:cs="Arial"/>
          <w:b/>
        </w:rPr>
      </w:pPr>
      <w:r w:rsidRPr="00370164">
        <w:rPr>
          <w:rFonts w:ascii="Arial" w:hAnsi="Arial" w:cs="Arial"/>
        </w:rPr>
        <w:lastRenderedPageBreak/>
        <w:tab/>
        <w:t>Committee noted the Health and Wellbeing Report for Financial year 2021/2022.</w:t>
      </w:r>
    </w:p>
    <w:p w14:paraId="76AB02E8" w14:textId="77777777" w:rsidR="00D90727" w:rsidRPr="00370164" w:rsidRDefault="00D90727" w:rsidP="00370164">
      <w:pPr>
        <w:spacing w:after="0"/>
        <w:rPr>
          <w:rFonts w:ascii="Arial" w:hAnsi="Arial" w:cs="Arial"/>
          <w:b/>
        </w:rPr>
      </w:pPr>
    </w:p>
    <w:p w14:paraId="199B67C9" w14:textId="77777777" w:rsidR="00D90727" w:rsidRPr="00370164" w:rsidRDefault="00D90727" w:rsidP="00370164">
      <w:pPr>
        <w:spacing w:after="0"/>
        <w:rPr>
          <w:rFonts w:ascii="Arial" w:hAnsi="Arial" w:cs="Arial"/>
          <w:b/>
        </w:rPr>
      </w:pPr>
      <w:r w:rsidRPr="00370164">
        <w:rPr>
          <w:rFonts w:ascii="Arial" w:hAnsi="Arial" w:cs="Arial"/>
          <w:b/>
        </w:rPr>
        <w:t>8.5</w:t>
      </w:r>
      <w:r w:rsidRPr="00370164">
        <w:rPr>
          <w:rFonts w:ascii="Arial" w:hAnsi="Arial" w:cs="Arial"/>
          <w:b/>
        </w:rPr>
        <w:tab/>
        <w:t>iMatter Deep Dive</w:t>
      </w:r>
    </w:p>
    <w:p w14:paraId="79E93F71" w14:textId="77777777" w:rsidR="00D90727" w:rsidRPr="00370164" w:rsidRDefault="00D90727" w:rsidP="00370164">
      <w:pPr>
        <w:spacing w:after="0"/>
        <w:rPr>
          <w:rFonts w:ascii="Arial" w:hAnsi="Arial" w:cs="Arial"/>
          <w:b/>
        </w:rPr>
      </w:pPr>
    </w:p>
    <w:p w14:paraId="0433BF73" w14:textId="77777777" w:rsidR="009C7FC6" w:rsidRPr="00370164" w:rsidRDefault="009C7FC6" w:rsidP="00370164">
      <w:pPr>
        <w:spacing w:after="0"/>
        <w:ind w:left="720"/>
        <w:rPr>
          <w:rFonts w:ascii="Arial" w:hAnsi="Arial" w:cs="Arial"/>
        </w:rPr>
      </w:pPr>
      <w:r w:rsidRPr="00370164">
        <w:rPr>
          <w:rFonts w:ascii="Arial" w:hAnsi="Arial" w:cs="Arial"/>
        </w:rPr>
        <w:t xml:space="preserve">Lisa Walsh gave a PowerPoint presentation on the iMatter Deep Dive to the Committee. </w:t>
      </w:r>
    </w:p>
    <w:p w14:paraId="504459BF" w14:textId="77777777" w:rsidR="009C7FC6" w:rsidRPr="00370164" w:rsidRDefault="009C7FC6" w:rsidP="00370164">
      <w:pPr>
        <w:spacing w:after="0"/>
        <w:rPr>
          <w:rFonts w:ascii="Arial" w:hAnsi="Arial" w:cs="Arial"/>
          <w:b/>
        </w:rPr>
      </w:pPr>
    </w:p>
    <w:p w14:paraId="6933CC5A" w14:textId="77777777" w:rsidR="006D4695" w:rsidRPr="00370164" w:rsidRDefault="00D0720F" w:rsidP="00370164">
      <w:pPr>
        <w:spacing w:after="0"/>
        <w:rPr>
          <w:rFonts w:ascii="Arial" w:hAnsi="Arial" w:cs="Arial"/>
        </w:rPr>
      </w:pPr>
      <w:r w:rsidRPr="00370164">
        <w:rPr>
          <w:rFonts w:ascii="Arial" w:hAnsi="Arial" w:cs="Arial"/>
          <w:b/>
        </w:rPr>
        <w:tab/>
      </w:r>
      <w:r w:rsidRPr="00370164">
        <w:rPr>
          <w:rFonts w:ascii="Arial" w:hAnsi="Arial" w:cs="Arial"/>
        </w:rPr>
        <w:t xml:space="preserve">The </w:t>
      </w:r>
      <w:r w:rsidR="00A80CC3" w:rsidRPr="00370164">
        <w:rPr>
          <w:rFonts w:ascii="Arial" w:hAnsi="Arial" w:cs="Arial"/>
        </w:rPr>
        <w:t>iMatter results were presented to the committee in the table below:</w:t>
      </w:r>
      <w:r w:rsidRPr="00370164">
        <w:rPr>
          <w:rFonts w:ascii="Arial" w:hAnsi="Arial" w:cs="Arial"/>
        </w:rPr>
        <w:t xml:space="preserve"> </w:t>
      </w:r>
    </w:p>
    <w:p w14:paraId="03337BFB" w14:textId="77777777" w:rsidR="00A80CC3" w:rsidRPr="00370164" w:rsidRDefault="00A80CC3" w:rsidP="00370164">
      <w:pPr>
        <w:spacing w:after="0"/>
        <w:rPr>
          <w:rFonts w:ascii="Arial" w:hAnsi="Arial" w:cs="Arial"/>
        </w:rPr>
      </w:pPr>
    </w:p>
    <w:p w14:paraId="6927F325" w14:textId="77777777" w:rsidR="006D4695" w:rsidRPr="00370164" w:rsidRDefault="006D4695" w:rsidP="00370164">
      <w:pPr>
        <w:spacing w:after="0"/>
        <w:rPr>
          <w:rFonts w:ascii="Arial" w:hAnsi="Arial" w:cs="Arial"/>
          <w:b/>
        </w:rPr>
      </w:pPr>
      <w:proofErr w:type="gramStart"/>
      <w:r w:rsidRPr="00370164">
        <w:rPr>
          <w:rFonts w:ascii="Arial" w:hAnsi="Arial" w:cs="Arial"/>
          <w:b/>
        </w:rPr>
        <w:t>iMatter</w:t>
      </w:r>
      <w:proofErr w:type="gramEnd"/>
      <w:r w:rsidRPr="00370164">
        <w:rPr>
          <w:rFonts w:ascii="Arial" w:hAnsi="Arial" w:cs="Arial"/>
          <w:b/>
        </w:rPr>
        <w:t xml:space="preserve"> results 2019-2021</w:t>
      </w:r>
    </w:p>
    <w:tbl>
      <w:tblPr>
        <w:tblStyle w:val="TableGrid"/>
        <w:tblW w:w="0" w:type="auto"/>
        <w:tblLook w:val="04A0" w:firstRow="1" w:lastRow="0" w:firstColumn="1" w:lastColumn="0" w:noHBand="0" w:noVBand="1"/>
      </w:tblPr>
      <w:tblGrid>
        <w:gridCol w:w="3397"/>
        <w:gridCol w:w="1985"/>
        <w:gridCol w:w="1920"/>
        <w:gridCol w:w="2434"/>
      </w:tblGrid>
      <w:tr w:rsidR="006D4695" w:rsidRPr="00370164" w14:paraId="7ED04955" w14:textId="77777777" w:rsidTr="006D4695">
        <w:tc>
          <w:tcPr>
            <w:tcW w:w="3397" w:type="dxa"/>
          </w:tcPr>
          <w:p w14:paraId="3CA7BDAB" w14:textId="77777777" w:rsidR="006D4695" w:rsidRPr="00370164" w:rsidRDefault="006D4695" w:rsidP="00370164">
            <w:pPr>
              <w:spacing w:after="0"/>
              <w:rPr>
                <w:rFonts w:ascii="Arial" w:hAnsi="Arial" w:cs="Arial"/>
                <w:b/>
              </w:rPr>
            </w:pPr>
            <w:r w:rsidRPr="00370164">
              <w:rPr>
                <w:rFonts w:ascii="Arial" w:hAnsi="Arial" w:cs="Arial"/>
                <w:b/>
              </w:rPr>
              <w:t>Key Performance Indicators</w:t>
            </w:r>
          </w:p>
        </w:tc>
        <w:tc>
          <w:tcPr>
            <w:tcW w:w="1985" w:type="dxa"/>
          </w:tcPr>
          <w:p w14:paraId="0A2410D5" w14:textId="77777777" w:rsidR="006D4695" w:rsidRPr="00370164" w:rsidRDefault="006D4695" w:rsidP="00370164">
            <w:pPr>
              <w:spacing w:after="0"/>
              <w:rPr>
                <w:rFonts w:ascii="Arial" w:hAnsi="Arial" w:cs="Arial"/>
                <w:b/>
              </w:rPr>
            </w:pPr>
            <w:r w:rsidRPr="00370164">
              <w:rPr>
                <w:rFonts w:ascii="Arial" w:hAnsi="Arial" w:cs="Arial"/>
                <w:b/>
              </w:rPr>
              <w:t>2019</w:t>
            </w:r>
          </w:p>
        </w:tc>
        <w:tc>
          <w:tcPr>
            <w:tcW w:w="1920" w:type="dxa"/>
          </w:tcPr>
          <w:p w14:paraId="24A66856" w14:textId="77777777" w:rsidR="006D4695" w:rsidRPr="00370164" w:rsidRDefault="006D4695" w:rsidP="00370164">
            <w:pPr>
              <w:spacing w:after="0"/>
              <w:rPr>
                <w:rFonts w:ascii="Arial" w:hAnsi="Arial" w:cs="Arial"/>
                <w:b/>
              </w:rPr>
            </w:pPr>
            <w:r w:rsidRPr="00370164">
              <w:rPr>
                <w:rFonts w:ascii="Arial" w:hAnsi="Arial" w:cs="Arial"/>
                <w:b/>
              </w:rPr>
              <w:t>2021</w:t>
            </w:r>
          </w:p>
        </w:tc>
        <w:tc>
          <w:tcPr>
            <w:tcW w:w="2434" w:type="dxa"/>
          </w:tcPr>
          <w:p w14:paraId="1EFD847C" w14:textId="77777777" w:rsidR="006D4695" w:rsidRPr="00370164" w:rsidRDefault="006D4695" w:rsidP="00370164">
            <w:pPr>
              <w:spacing w:after="0"/>
              <w:rPr>
                <w:rFonts w:ascii="Arial" w:hAnsi="Arial" w:cs="Arial"/>
                <w:b/>
              </w:rPr>
            </w:pPr>
            <w:r w:rsidRPr="00370164">
              <w:rPr>
                <w:rFonts w:ascii="Arial" w:hAnsi="Arial" w:cs="Arial"/>
                <w:b/>
              </w:rPr>
              <w:t>Comparative</w:t>
            </w:r>
          </w:p>
        </w:tc>
      </w:tr>
      <w:tr w:rsidR="006D4695" w:rsidRPr="00370164" w14:paraId="39456644" w14:textId="77777777" w:rsidTr="006D4695">
        <w:tc>
          <w:tcPr>
            <w:tcW w:w="3397" w:type="dxa"/>
          </w:tcPr>
          <w:p w14:paraId="179A3C3D" w14:textId="77777777" w:rsidR="006D4695" w:rsidRPr="00370164" w:rsidRDefault="006D4695" w:rsidP="00370164">
            <w:pPr>
              <w:spacing w:after="0"/>
              <w:rPr>
                <w:rFonts w:ascii="Arial" w:hAnsi="Arial" w:cs="Arial"/>
              </w:rPr>
            </w:pPr>
            <w:r w:rsidRPr="00370164">
              <w:rPr>
                <w:rFonts w:ascii="Arial" w:hAnsi="Arial" w:cs="Arial"/>
              </w:rPr>
              <w:t>Response rate</w:t>
            </w:r>
          </w:p>
        </w:tc>
        <w:tc>
          <w:tcPr>
            <w:tcW w:w="1985" w:type="dxa"/>
          </w:tcPr>
          <w:p w14:paraId="1305BB77" w14:textId="77777777" w:rsidR="006D4695" w:rsidRPr="00370164" w:rsidRDefault="006D4695" w:rsidP="00370164">
            <w:pPr>
              <w:spacing w:after="0"/>
              <w:jc w:val="center"/>
              <w:rPr>
                <w:rFonts w:ascii="Arial" w:hAnsi="Arial" w:cs="Arial"/>
              </w:rPr>
            </w:pPr>
            <w:r w:rsidRPr="00370164">
              <w:rPr>
                <w:rFonts w:ascii="Arial" w:hAnsi="Arial" w:cs="Arial"/>
              </w:rPr>
              <w:t>67%</w:t>
            </w:r>
          </w:p>
        </w:tc>
        <w:tc>
          <w:tcPr>
            <w:tcW w:w="1920" w:type="dxa"/>
          </w:tcPr>
          <w:p w14:paraId="5DF58CC2" w14:textId="77777777" w:rsidR="006D4695" w:rsidRPr="00370164" w:rsidRDefault="006D4695" w:rsidP="00370164">
            <w:pPr>
              <w:spacing w:after="0"/>
              <w:jc w:val="center"/>
              <w:rPr>
                <w:rFonts w:ascii="Arial" w:hAnsi="Arial" w:cs="Arial"/>
              </w:rPr>
            </w:pPr>
            <w:r w:rsidRPr="00370164">
              <w:rPr>
                <w:rFonts w:ascii="Arial" w:hAnsi="Arial" w:cs="Arial"/>
              </w:rPr>
              <w:t>67%</w:t>
            </w:r>
          </w:p>
        </w:tc>
        <w:tc>
          <w:tcPr>
            <w:tcW w:w="2434" w:type="dxa"/>
          </w:tcPr>
          <w:p w14:paraId="3025E816" w14:textId="77777777" w:rsidR="006D4695" w:rsidRPr="00370164" w:rsidRDefault="006D4695" w:rsidP="00370164">
            <w:pPr>
              <w:spacing w:after="0"/>
              <w:rPr>
                <w:rFonts w:ascii="Arial" w:hAnsi="Arial" w:cs="Arial"/>
              </w:rPr>
            </w:pPr>
            <w:r w:rsidRPr="00370164">
              <w:rPr>
                <w:rFonts w:ascii="Arial" w:hAnsi="Arial" w:cs="Arial"/>
              </w:rPr>
              <w:t>Unchanged</w:t>
            </w:r>
          </w:p>
        </w:tc>
      </w:tr>
      <w:tr w:rsidR="006D4695" w:rsidRPr="00370164" w14:paraId="0AB8A9A6" w14:textId="77777777" w:rsidTr="006D4695">
        <w:tc>
          <w:tcPr>
            <w:tcW w:w="3397" w:type="dxa"/>
          </w:tcPr>
          <w:p w14:paraId="3671031D" w14:textId="77777777" w:rsidR="006D4695" w:rsidRPr="00370164" w:rsidRDefault="006D4695" w:rsidP="00370164">
            <w:pPr>
              <w:spacing w:after="0"/>
              <w:rPr>
                <w:rFonts w:ascii="Arial" w:hAnsi="Arial" w:cs="Arial"/>
              </w:rPr>
            </w:pPr>
            <w:r w:rsidRPr="00370164">
              <w:rPr>
                <w:rFonts w:ascii="Arial" w:hAnsi="Arial" w:cs="Arial"/>
              </w:rPr>
              <w:t>Employee Engagement Index</w:t>
            </w:r>
          </w:p>
        </w:tc>
        <w:tc>
          <w:tcPr>
            <w:tcW w:w="1985" w:type="dxa"/>
          </w:tcPr>
          <w:p w14:paraId="28914328" w14:textId="77777777" w:rsidR="006D4695" w:rsidRPr="00370164" w:rsidRDefault="006D4695" w:rsidP="00370164">
            <w:pPr>
              <w:spacing w:after="0"/>
              <w:jc w:val="center"/>
              <w:rPr>
                <w:rFonts w:ascii="Arial" w:hAnsi="Arial" w:cs="Arial"/>
              </w:rPr>
            </w:pPr>
            <w:r w:rsidRPr="00370164">
              <w:rPr>
                <w:rFonts w:ascii="Arial" w:hAnsi="Arial" w:cs="Arial"/>
              </w:rPr>
              <w:t>77</w:t>
            </w:r>
          </w:p>
        </w:tc>
        <w:tc>
          <w:tcPr>
            <w:tcW w:w="1920" w:type="dxa"/>
          </w:tcPr>
          <w:p w14:paraId="67CA2447" w14:textId="77777777" w:rsidR="006D4695" w:rsidRPr="00370164" w:rsidRDefault="006D4695" w:rsidP="00370164">
            <w:pPr>
              <w:spacing w:after="0"/>
              <w:jc w:val="center"/>
              <w:rPr>
                <w:rFonts w:ascii="Arial" w:hAnsi="Arial" w:cs="Arial"/>
              </w:rPr>
            </w:pPr>
            <w:r w:rsidRPr="00370164">
              <w:rPr>
                <w:rFonts w:ascii="Arial" w:hAnsi="Arial" w:cs="Arial"/>
              </w:rPr>
              <w:t>72</w:t>
            </w:r>
          </w:p>
        </w:tc>
        <w:tc>
          <w:tcPr>
            <w:tcW w:w="2434" w:type="dxa"/>
          </w:tcPr>
          <w:p w14:paraId="50DEB453" w14:textId="77777777" w:rsidR="006D4695" w:rsidRPr="00370164" w:rsidRDefault="006D4695" w:rsidP="00370164">
            <w:pPr>
              <w:spacing w:after="0"/>
              <w:rPr>
                <w:rFonts w:ascii="Arial" w:hAnsi="Arial" w:cs="Arial"/>
              </w:rPr>
            </w:pPr>
            <w:r w:rsidRPr="00370164">
              <w:rPr>
                <w:rFonts w:ascii="Arial" w:hAnsi="Arial" w:cs="Arial"/>
              </w:rPr>
              <w:t>Down 5 points</w:t>
            </w:r>
          </w:p>
        </w:tc>
      </w:tr>
      <w:tr w:rsidR="006D4695" w:rsidRPr="00370164" w14:paraId="43946894" w14:textId="77777777" w:rsidTr="006D4695">
        <w:tc>
          <w:tcPr>
            <w:tcW w:w="3397" w:type="dxa"/>
          </w:tcPr>
          <w:p w14:paraId="69510272" w14:textId="77777777" w:rsidR="006D4695" w:rsidRPr="00370164" w:rsidRDefault="006D4695" w:rsidP="00370164">
            <w:pPr>
              <w:spacing w:after="0"/>
              <w:rPr>
                <w:rFonts w:ascii="Arial" w:hAnsi="Arial" w:cs="Arial"/>
              </w:rPr>
            </w:pPr>
            <w:r w:rsidRPr="00370164">
              <w:rPr>
                <w:rFonts w:ascii="Arial" w:hAnsi="Arial" w:cs="Arial"/>
              </w:rPr>
              <w:t>Thermometer</w:t>
            </w:r>
          </w:p>
        </w:tc>
        <w:tc>
          <w:tcPr>
            <w:tcW w:w="1985" w:type="dxa"/>
          </w:tcPr>
          <w:p w14:paraId="63D7B1A5" w14:textId="77777777" w:rsidR="006D4695" w:rsidRPr="00370164" w:rsidRDefault="006D4695" w:rsidP="00370164">
            <w:pPr>
              <w:spacing w:after="0"/>
              <w:jc w:val="center"/>
              <w:rPr>
                <w:rFonts w:ascii="Arial" w:hAnsi="Arial" w:cs="Arial"/>
              </w:rPr>
            </w:pPr>
            <w:r w:rsidRPr="00370164">
              <w:rPr>
                <w:rFonts w:ascii="Arial" w:hAnsi="Arial" w:cs="Arial"/>
              </w:rPr>
              <w:t>7.4</w:t>
            </w:r>
          </w:p>
        </w:tc>
        <w:tc>
          <w:tcPr>
            <w:tcW w:w="1920" w:type="dxa"/>
          </w:tcPr>
          <w:p w14:paraId="64C6E5CC" w14:textId="77777777" w:rsidR="006D4695" w:rsidRPr="00370164" w:rsidRDefault="006D4695" w:rsidP="00370164">
            <w:pPr>
              <w:spacing w:after="0"/>
              <w:jc w:val="center"/>
              <w:rPr>
                <w:rFonts w:ascii="Arial" w:hAnsi="Arial" w:cs="Arial"/>
              </w:rPr>
            </w:pPr>
            <w:r w:rsidRPr="00370164">
              <w:rPr>
                <w:rFonts w:ascii="Arial" w:hAnsi="Arial" w:cs="Arial"/>
              </w:rPr>
              <w:t>6.5</w:t>
            </w:r>
          </w:p>
        </w:tc>
        <w:tc>
          <w:tcPr>
            <w:tcW w:w="2434" w:type="dxa"/>
          </w:tcPr>
          <w:p w14:paraId="3D6AC1AA" w14:textId="77777777" w:rsidR="006D4695" w:rsidRPr="00370164" w:rsidRDefault="006D4695" w:rsidP="00370164">
            <w:pPr>
              <w:spacing w:after="0"/>
              <w:rPr>
                <w:rFonts w:ascii="Arial" w:hAnsi="Arial" w:cs="Arial"/>
              </w:rPr>
            </w:pPr>
            <w:r w:rsidRPr="00370164">
              <w:rPr>
                <w:rFonts w:ascii="Arial" w:hAnsi="Arial" w:cs="Arial"/>
              </w:rPr>
              <w:t>Down 0.9 of a point</w:t>
            </w:r>
          </w:p>
        </w:tc>
      </w:tr>
      <w:tr w:rsidR="006D4695" w:rsidRPr="00370164" w14:paraId="0EB897AA" w14:textId="77777777" w:rsidTr="006D4695">
        <w:tc>
          <w:tcPr>
            <w:tcW w:w="3397" w:type="dxa"/>
          </w:tcPr>
          <w:p w14:paraId="2F7CDD18" w14:textId="77777777" w:rsidR="006D4695" w:rsidRPr="00370164" w:rsidRDefault="006D4695" w:rsidP="00370164">
            <w:pPr>
              <w:spacing w:after="0"/>
              <w:rPr>
                <w:rFonts w:ascii="Arial" w:hAnsi="Arial" w:cs="Arial"/>
              </w:rPr>
            </w:pPr>
            <w:r w:rsidRPr="00370164">
              <w:rPr>
                <w:rFonts w:ascii="Arial" w:hAnsi="Arial" w:cs="Arial"/>
              </w:rPr>
              <w:t>Action plans</w:t>
            </w:r>
          </w:p>
        </w:tc>
        <w:tc>
          <w:tcPr>
            <w:tcW w:w="1985" w:type="dxa"/>
          </w:tcPr>
          <w:p w14:paraId="643AA7B3" w14:textId="77777777" w:rsidR="006D4695" w:rsidRPr="00370164" w:rsidRDefault="006D4695" w:rsidP="00370164">
            <w:pPr>
              <w:spacing w:after="0"/>
              <w:jc w:val="center"/>
              <w:rPr>
                <w:rFonts w:ascii="Arial" w:hAnsi="Arial" w:cs="Arial"/>
              </w:rPr>
            </w:pPr>
            <w:r w:rsidRPr="00370164">
              <w:rPr>
                <w:rFonts w:ascii="Arial" w:hAnsi="Arial" w:cs="Arial"/>
              </w:rPr>
              <w:t>52%</w:t>
            </w:r>
          </w:p>
        </w:tc>
        <w:tc>
          <w:tcPr>
            <w:tcW w:w="1920" w:type="dxa"/>
          </w:tcPr>
          <w:p w14:paraId="394070E5" w14:textId="77777777" w:rsidR="006D4695" w:rsidRPr="00370164" w:rsidRDefault="006D4695" w:rsidP="00370164">
            <w:pPr>
              <w:spacing w:after="0"/>
              <w:jc w:val="center"/>
              <w:rPr>
                <w:rFonts w:ascii="Arial" w:hAnsi="Arial" w:cs="Arial"/>
              </w:rPr>
            </w:pPr>
            <w:r w:rsidRPr="00370164">
              <w:rPr>
                <w:rFonts w:ascii="Arial" w:hAnsi="Arial" w:cs="Arial"/>
              </w:rPr>
              <w:t>74%</w:t>
            </w:r>
          </w:p>
        </w:tc>
        <w:tc>
          <w:tcPr>
            <w:tcW w:w="2434" w:type="dxa"/>
          </w:tcPr>
          <w:p w14:paraId="7837C61F" w14:textId="77777777" w:rsidR="006D4695" w:rsidRPr="00370164" w:rsidRDefault="006D4695" w:rsidP="00370164">
            <w:pPr>
              <w:spacing w:after="0"/>
              <w:rPr>
                <w:rFonts w:ascii="Arial" w:hAnsi="Arial" w:cs="Arial"/>
              </w:rPr>
            </w:pPr>
            <w:r w:rsidRPr="00370164">
              <w:rPr>
                <w:rFonts w:ascii="Arial" w:hAnsi="Arial" w:cs="Arial"/>
              </w:rPr>
              <w:t>Up 22%</w:t>
            </w:r>
          </w:p>
        </w:tc>
      </w:tr>
      <w:tr w:rsidR="006D4695" w:rsidRPr="00370164" w14:paraId="5969584D" w14:textId="77777777" w:rsidTr="006D4695">
        <w:tc>
          <w:tcPr>
            <w:tcW w:w="3397" w:type="dxa"/>
          </w:tcPr>
          <w:p w14:paraId="5A9F06BC" w14:textId="77777777" w:rsidR="006D4695" w:rsidRPr="00370164" w:rsidRDefault="006D4695" w:rsidP="00370164">
            <w:pPr>
              <w:spacing w:after="0"/>
              <w:rPr>
                <w:rFonts w:ascii="Arial" w:hAnsi="Arial" w:cs="Arial"/>
              </w:rPr>
            </w:pPr>
            <w:r w:rsidRPr="00370164">
              <w:rPr>
                <w:rFonts w:ascii="Arial" w:hAnsi="Arial" w:cs="Arial"/>
              </w:rPr>
              <w:t>Number of teams</w:t>
            </w:r>
          </w:p>
        </w:tc>
        <w:tc>
          <w:tcPr>
            <w:tcW w:w="1985" w:type="dxa"/>
          </w:tcPr>
          <w:p w14:paraId="21D23A0F" w14:textId="77777777" w:rsidR="006D4695" w:rsidRPr="00370164" w:rsidRDefault="006D4695" w:rsidP="00370164">
            <w:pPr>
              <w:spacing w:after="0"/>
              <w:jc w:val="center"/>
              <w:rPr>
                <w:rFonts w:ascii="Arial" w:hAnsi="Arial" w:cs="Arial"/>
              </w:rPr>
            </w:pPr>
            <w:r w:rsidRPr="00370164">
              <w:rPr>
                <w:rFonts w:ascii="Arial" w:hAnsi="Arial" w:cs="Arial"/>
              </w:rPr>
              <w:t>95</w:t>
            </w:r>
          </w:p>
        </w:tc>
        <w:tc>
          <w:tcPr>
            <w:tcW w:w="1920" w:type="dxa"/>
          </w:tcPr>
          <w:p w14:paraId="190A0A2C" w14:textId="77777777" w:rsidR="006D4695" w:rsidRPr="00370164" w:rsidRDefault="006D4695" w:rsidP="00370164">
            <w:pPr>
              <w:spacing w:after="0"/>
              <w:jc w:val="center"/>
              <w:rPr>
                <w:rFonts w:ascii="Arial" w:hAnsi="Arial" w:cs="Arial"/>
              </w:rPr>
            </w:pPr>
            <w:r w:rsidRPr="00370164">
              <w:rPr>
                <w:rFonts w:ascii="Arial" w:hAnsi="Arial" w:cs="Arial"/>
              </w:rPr>
              <w:t>129</w:t>
            </w:r>
          </w:p>
        </w:tc>
        <w:tc>
          <w:tcPr>
            <w:tcW w:w="2434" w:type="dxa"/>
          </w:tcPr>
          <w:p w14:paraId="313500B8" w14:textId="77777777" w:rsidR="006D4695" w:rsidRPr="00370164" w:rsidRDefault="006D4695" w:rsidP="00370164">
            <w:pPr>
              <w:spacing w:after="0"/>
              <w:rPr>
                <w:rFonts w:ascii="Arial" w:hAnsi="Arial" w:cs="Arial"/>
              </w:rPr>
            </w:pPr>
            <w:r w:rsidRPr="00370164">
              <w:rPr>
                <w:rFonts w:ascii="Arial" w:hAnsi="Arial" w:cs="Arial"/>
              </w:rPr>
              <w:t>Increased by 34</w:t>
            </w:r>
          </w:p>
        </w:tc>
      </w:tr>
      <w:tr w:rsidR="006D4695" w:rsidRPr="00370164" w14:paraId="71110076" w14:textId="77777777" w:rsidTr="006D4695">
        <w:tc>
          <w:tcPr>
            <w:tcW w:w="3397" w:type="dxa"/>
          </w:tcPr>
          <w:p w14:paraId="396D6A6C" w14:textId="77777777" w:rsidR="006D4695" w:rsidRPr="00370164" w:rsidRDefault="006D4695" w:rsidP="00370164">
            <w:pPr>
              <w:spacing w:after="0"/>
              <w:rPr>
                <w:rFonts w:ascii="Arial" w:hAnsi="Arial" w:cs="Arial"/>
              </w:rPr>
            </w:pPr>
            <w:r w:rsidRPr="00370164">
              <w:rPr>
                <w:rFonts w:ascii="Arial" w:hAnsi="Arial" w:cs="Arial"/>
              </w:rPr>
              <w:t>‘Strive and Celebrate’</w:t>
            </w:r>
          </w:p>
        </w:tc>
        <w:tc>
          <w:tcPr>
            <w:tcW w:w="1985" w:type="dxa"/>
          </w:tcPr>
          <w:p w14:paraId="35989304" w14:textId="77777777" w:rsidR="006D4695" w:rsidRPr="00370164" w:rsidRDefault="006D4695" w:rsidP="00370164">
            <w:pPr>
              <w:spacing w:after="0"/>
              <w:jc w:val="center"/>
              <w:rPr>
                <w:rFonts w:ascii="Arial" w:hAnsi="Arial" w:cs="Arial"/>
              </w:rPr>
            </w:pPr>
            <w:r w:rsidRPr="00370164">
              <w:rPr>
                <w:rFonts w:ascii="Arial" w:hAnsi="Arial" w:cs="Arial"/>
              </w:rPr>
              <w:t>7</w:t>
            </w:r>
          </w:p>
        </w:tc>
        <w:tc>
          <w:tcPr>
            <w:tcW w:w="1920" w:type="dxa"/>
          </w:tcPr>
          <w:p w14:paraId="394CDBDE" w14:textId="77777777" w:rsidR="006D4695" w:rsidRPr="00370164" w:rsidRDefault="006D4695" w:rsidP="00370164">
            <w:pPr>
              <w:spacing w:after="0"/>
              <w:jc w:val="center"/>
              <w:rPr>
                <w:rFonts w:ascii="Arial" w:hAnsi="Arial" w:cs="Arial"/>
              </w:rPr>
            </w:pPr>
            <w:r w:rsidRPr="00370164">
              <w:rPr>
                <w:rFonts w:ascii="Arial" w:hAnsi="Arial" w:cs="Arial"/>
              </w:rPr>
              <w:t>28</w:t>
            </w:r>
          </w:p>
        </w:tc>
        <w:tc>
          <w:tcPr>
            <w:tcW w:w="2434" w:type="dxa"/>
          </w:tcPr>
          <w:p w14:paraId="549B9E33" w14:textId="77777777" w:rsidR="006D4695" w:rsidRPr="00370164" w:rsidRDefault="00A80CC3" w:rsidP="00370164">
            <w:pPr>
              <w:spacing w:after="0"/>
              <w:rPr>
                <w:rFonts w:ascii="Arial" w:hAnsi="Arial" w:cs="Arial"/>
              </w:rPr>
            </w:pPr>
            <w:r w:rsidRPr="00370164">
              <w:rPr>
                <w:rFonts w:ascii="Arial" w:hAnsi="Arial" w:cs="Arial"/>
              </w:rPr>
              <w:t>Increased by 21</w:t>
            </w:r>
          </w:p>
        </w:tc>
      </w:tr>
      <w:tr w:rsidR="006D4695" w:rsidRPr="00370164" w14:paraId="18B0BA26" w14:textId="77777777" w:rsidTr="006D4695">
        <w:tc>
          <w:tcPr>
            <w:tcW w:w="3397" w:type="dxa"/>
          </w:tcPr>
          <w:p w14:paraId="344BAB53" w14:textId="77777777" w:rsidR="006D4695" w:rsidRPr="00370164" w:rsidRDefault="006D4695" w:rsidP="00370164">
            <w:pPr>
              <w:spacing w:after="0"/>
              <w:rPr>
                <w:rFonts w:ascii="Arial" w:hAnsi="Arial" w:cs="Arial"/>
              </w:rPr>
            </w:pPr>
            <w:r w:rsidRPr="00370164">
              <w:rPr>
                <w:rFonts w:ascii="Arial" w:hAnsi="Arial" w:cs="Arial"/>
              </w:rPr>
              <w:t>‘Monitor to further improve’</w:t>
            </w:r>
          </w:p>
        </w:tc>
        <w:tc>
          <w:tcPr>
            <w:tcW w:w="1985" w:type="dxa"/>
          </w:tcPr>
          <w:p w14:paraId="55F85DC0" w14:textId="77777777" w:rsidR="006D4695" w:rsidRPr="00370164" w:rsidRDefault="006D4695" w:rsidP="00370164">
            <w:pPr>
              <w:spacing w:after="0"/>
              <w:jc w:val="center"/>
              <w:rPr>
                <w:rFonts w:ascii="Arial" w:hAnsi="Arial" w:cs="Arial"/>
              </w:rPr>
            </w:pPr>
            <w:r w:rsidRPr="00370164">
              <w:rPr>
                <w:rFonts w:ascii="Arial" w:hAnsi="Arial" w:cs="Arial"/>
              </w:rPr>
              <w:t>2</w:t>
            </w:r>
          </w:p>
        </w:tc>
        <w:tc>
          <w:tcPr>
            <w:tcW w:w="1920" w:type="dxa"/>
          </w:tcPr>
          <w:p w14:paraId="34317D58" w14:textId="77777777" w:rsidR="006D4695" w:rsidRPr="00370164" w:rsidRDefault="006D4695" w:rsidP="00370164">
            <w:pPr>
              <w:spacing w:after="0"/>
              <w:jc w:val="center"/>
              <w:rPr>
                <w:rFonts w:ascii="Arial" w:hAnsi="Arial" w:cs="Arial"/>
              </w:rPr>
            </w:pPr>
            <w:r w:rsidRPr="00370164">
              <w:rPr>
                <w:rFonts w:ascii="Arial" w:hAnsi="Arial" w:cs="Arial"/>
              </w:rPr>
              <w:t>5</w:t>
            </w:r>
          </w:p>
        </w:tc>
        <w:tc>
          <w:tcPr>
            <w:tcW w:w="2434" w:type="dxa"/>
          </w:tcPr>
          <w:p w14:paraId="69A276B4" w14:textId="77777777" w:rsidR="006D4695" w:rsidRPr="00370164" w:rsidRDefault="00A80CC3" w:rsidP="00370164">
            <w:pPr>
              <w:spacing w:after="0"/>
              <w:rPr>
                <w:rFonts w:ascii="Arial" w:hAnsi="Arial" w:cs="Arial"/>
              </w:rPr>
            </w:pPr>
            <w:r w:rsidRPr="00370164">
              <w:rPr>
                <w:rFonts w:ascii="Arial" w:hAnsi="Arial" w:cs="Arial"/>
              </w:rPr>
              <w:t>Increased by 3</w:t>
            </w:r>
          </w:p>
        </w:tc>
      </w:tr>
      <w:tr w:rsidR="006D4695" w:rsidRPr="00370164" w14:paraId="13BA767F" w14:textId="77777777" w:rsidTr="006D4695">
        <w:tc>
          <w:tcPr>
            <w:tcW w:w="3397" w:type="dxa"/>
          </w:tcPr>
          <w:p w14:paraId="4EE206B7" w14:textId="77777777" w:rsidR="006D4695" w:rsidRPr="00370164" w:rsidRDefault="006D4695" w:rsidP="00370164">
            <w:pPr>
              <w:spacing w:after="0"/>
              <w:rPr>
                <w:rFonts w:ascii="Arial" w:hAnsi="Arial" w:cs="Arial"/>
              </w:rPr>
            </w:pPr>
            <w:r w:rsidRPr="00370164">
              <w:rPr>
                <w:rFonts w:ascii="Arial" w:hAnsi="Arial" w:cs="Arial"/>
              </w:rPr>
              <w:t>‘Improve to monitor’</w:t>
            </w:r>
          </w:p>
        </w:tc>
        <w:tc>
          <w:tcPr>
            <w:tcW w:w="1985" w:type="dxa"/>
          </w:tcPr>
          <w:p w14:paraId="50287C30" w14:textId="77777777" w:rsidR="006D4695" w:rsidRPr="00370164" w:rsidRDefault="006D4695" w:rsidP="00370164">
            <w:pPr>
              <w:spacing w:after="0"/>
              <w:jc w:val="center"/>
              <w:rPr>
                <w:rFonts w:ascii="Arial" w:hAnsi="Arial" w:cs="Arial"/>
              </w:rPr>
            </w:pPr>
            <w:r w:rsidRPr="00370164">
              <w:rPr>
                <w:rFonts w:ascii="Arial" w:hAnsi="Arial" w:cs="Arial"/>
              </w:rPr>
              <w:t>0</w:t>
            </w:r>
          </w:p>
        </w:tc>
        <w:tc>
          <w:tcPr>
            <w:tcW w:w="1920" w:type="dxa"/>
          </w:tcPr>
          <w:p w14:paraId="3C3111E2" w14:textId="77777777" w:rsidR="006D4695" w:rsidRPr="00370164" w:rsidRDefault="006D4695" w:rsidP="00370164">
            <w:pPr>
              <w:spacing w:after="0"/>
              <w:jc w:val="center"/>
              <w:rPr>
                <w:rFonts w:ascii="Arial" w:hAnsi="Arial" w:cs="Arial"/>
              </w:rPr>
            </w:pPr>
            <w:r w:rsidRPr="00370164">
              <w:rPr>
                <w:rFonts w:ascii="Arial" w:hAnsi="Arial" w:cs="Arial"/>
              </w:rPr>
              <w:t>0</w:t>
            </w:r>
          </w:p>
        </w:tc>
        <w:tc>
          <w:tcPr>
            <w:tcW w:w="2434" w:type="dxa"/>
          </w:tcPr>
          <w:p w14:paraId="4187D9C7" w14:textId="77777777" w:rsidR="006D4695" w:rsidRPr="00370164" w:rsidRDefault="00A80CC3" w:rsidP="00370164">
            <w:pPr>
              <w:spacing w:after="0"/>
              <w:rPr>
                <w:rFonts w:ascii="Arial" w:hAnsi="Arial" w:cs="Arial"/>
              </w:rPr>
            </w:pPr>
            <w:r w:rsidRPr="00370164">
              <w:rPr>
                <w:rFonts w:ascii="Arial" w:hAnsi="Arial" w:cs="Arial"/>
              </w:rPr>
              <w:t>Unchanged</w:t>
            </w:r>
          </w:p>
        </w:tc>
      </w:tr>
      <w:tr w:rsidR="006D4695" w:rsidRPr="00370164" w14:paraId="4483C6A8" w14:textId="77777777" w:rsidTr="006D4695">
        <w:tc>
          <w:tcPr>
            <w:tcW w:w="3397" w:type="dxa"/>
          </w:tcPr>
          <w:p w14:paraId="73609963" w14:textId="77777777" w:rsidR="006D4695" w:rsidRPr="00370164" w:rsidRDefault="006D4695" w:rsidP="00370164">
            <w:pPr>
              <w:spacing w:after="0"/>
              <w:rPr>
                <w:rFonts w:ascii="Arial" w:hAnsi="Arial" w:cs="Arial"/>
              </w:rPr>
            </w:pPr>
            <w:r w:rsidRPr="00370164">
              <w:rPr>
                <w:rFonts w:ascii="Arial" w:hAnsi="Arial" w:cs="Arial"/>
              </w:rPr>
              <w:t>‘Focus to improve’</w:t>
            </w:r>
          </w:p>
        </w:tc>
        <w:tc>
          <w:tcPr>
            <w:tcW w:w="1985" w:type="dxa"/>
          </w:tcPr>
          <w:p w14:paraId="5BE94E18" w14:textId="77777777" w:rsidR="006D4695" w:rsidRPr="00370164" w:rsidRDefault="006D4695" w:rsidP="00370164">
            <w:pPr>
              <w:spacing w:after="0"/>
              <w:jc w:val="center"/>
              <w:rPr>
                <w:rFonts w:ascii="Arial" w:hAnsi="Arial" w:cs="Arial"/>
              </w:rPr>
            </w:pPr>
            <w:r w:rsidRPr="00370164">
              <w:rPr>
                <w:rFonts w:ascii="Arial" w:hAnsi="Arial" w:cs="Arial"/>
              </w:rPr>
              <w:t>42</w:t>
            </w:r>
          </w:p>
        </w:tc>
        <w:tc>
          <w:tcPr>
            <w:tcW w:w="1920" w:type="dxa"/>
          </w:tcPr>
          <w:p w14:paraId="2065D48C" w14:textId="77777777" w:rsidR="006D4695" w:rsidRPr="00370164" w:rsidRDefault="006D4695" w:rsidP="00370164">
            <w:pPr>
              <w:spacing w:after="0"/>
              <w:jc w:val="center"/>
              <w:rPr>
                <w:rFonts w:ascii="Arial" w:hAnsi="Arial" w:cs="Arial"/>
              </w:rPr>
            </w:pPr>
            <w:r w:rsidRPr="00370164">
              <w:rPr>
                <w:rFonts w:ascii="Arial" w:hAnsi="Arial" w:cs="Arial"/>
              </w:rPr>
              <w:t>8</w:t>
            </w:r>
          </w:p>
        </w:tc>
        <w:tc>
          <w:tcPr>
            <w:tcW w:w="2434" w:type="dxa"/>
          </w:tcPr>
          <w:p w14:paraId="7D97D2ED" w14:textId="77777777" w:rsidR="006D4695" w:rsidRPr="00370164" w:rsidRDefault="00A80CC3" w:rsidP="00370164">
            <w:pPr>
              <w:spacing w:after="0"/>
              <w:rPr>
                <w:rFonts w:ascii="Arial" w:hAnsi="Arial" w:cs="Arial"/>
              </w:rPr>
            </w:pPr>
            <w:r w:rsidRPr="00370164">
              <w:rPr>
                <w:rFonts w:ascii="Arial" w:hAnsi="Arial" w:cs="Arial"/>
              </w:rPr>
              <w:t>Decreased by 34</w:t>
            </w:r>
          </w:p>
        </w:tc>
      </w:tr>
    </w:tbl>
    <w:p w14:paraId="0E68FEEA" w14:textId="77777777" w:rsidR="00D0720F" w:rsidRPr="00370164" w:rsidRDefault="00D0720F" w:rsidP="00370164">
      <w:pPr>
        <w:spacing w:after="0"/>
        <w:rPr>
          <w:rFonts w:ascii="Arial" w:hAnsi="Arial" w:cs="Arial"/>
        </w:rPr>
      </w:pPr>
    </w:p>
    <w:p w14:paraId="6D080F5A" w14:textId="77777777" w:rsidR="00A80CC3" w:rsidRPr="00370164" w:rsidRDefault="00A80CC3" w:rsidP="00370164">
      <w:pPr>
        <w:ind w:left="720"/>
        <w:rPr>
          <w:rFonts w:ascii="Arial" w:hAnsi="Arial" w:cs="Arial"/>
        </w:rPr>
      </w:pPr>
      <w:r w:rsidRPr="00370164">
        <w:rPr>
          <w:rFonts w:ascii="Arial" w:hAnsi="Arial" w:cs="Arial"/>
        </w:rPr>
        <w:t xml:space="preserve">Compared to NHS Health and Social Care 2021 figures, NHS Golden Jubilee achieved an </w:t>
      </w:r>
      <w:r w:rsidRPr="00370164">
        <w:rPr>
          <w:rFonts w:ascii="Arial" w:hAnsi="Arial" w:cs="Arial"/>
          <w:bCs/>
        </w:rPr>
        <w:t>11% higher response rate</w:t>
      </w:r>
      <w:r w:rsidRPr="00370164">
        <w:rPr>
          <w:rFonts w:ascii="Arial" w:hAnsi="Arial" w:cs="Arial"/>
          <w:b/>
          <w:bCs/>
        </w:rPr>
        <w:t xml:space="preserve"> </w:t>
      </w:r>
      <w:r w:rsidRPr="00370164">
        <w:rPr>
          <w:rFonts w:ascii="Arial" w:hAnsi="Arial" w:cs="Arial"/>
        </w:rPr>
        <w:t xml:space="preserve">and </w:t>
      </w:r>
      <w:r w:rsidRPr="00370164">
        <w:rPr>
          <w:rFonts w:ascii="Arial" w:hAnsi="Arial" w:cs="Arial"/>
          <w:bCs/>
        </w:rPr>
        <w:t>32% more action plan completion</w:t>
      </w:r>
      <w:r w:rsidRPr="00370164">
        <w:rPr>
          <w:rFonts w:ascii="Arial" w:hAnsi="Arial" w:cs="Arial"/>
          <w:b/>
          <w:bCs/>
        </w:rPr>
        <w:t xml:space="preserve"> </w:t>
      </w:r>
      <w:r w:rsidRPr="00370164">
        <w:rPr>
          <w:rFonts w:ascii="Arial" w:hAnsi="Arial" w:cs="Arial"/>
        </w:rPr>
        <w:t xml:space="preserve">within the 8 weeks. </w:t>
      </w:r>
      <w:r w:rsidR="00566FFB">
        <w:rPr>
          <w:rFonts w:ascii="Arial" w:hAnsi="Arial" w:cs="Arial"/>
        </w:rPr>
        <w:t xml:space="preserve">D Akhal confirmed that the </w:t>
      </w:r>
      <w:r w:rsidRPr="00370164">
        <w:rPr>
          <w:rFonts w:ascii="Arial" w:hAnsi="Arial" w:cs="Arial"/>
        </w:rPr>
        <w:t xml:space="preserve">iMatter model is based on the MacLeod enablers and health and wellbeing across staff governance standards, components and KSF dimensions. </w:t>
      </w:r>
    </w:p>
    <w:p w14:paraId="6941E04F" w14:textId="77777777" w:rsidR="00FD4EA8" w:rsidRPr="00370164" w:rsidRDefault="00A80CC3" w:rsidP="00370164">
      <w:pPr>
        <w:ind w:left="720"/>
        <w:rPr>
          <w:rFonts w:ascii="Arial" w:hAnsi="Arial" w:cs="Arial"/>
        </w:rPr>
      </w:pPr>
      <w:r w:rsidRPr="00370164">
        <w:rPr>
          <w:rFonts w:ascii="Arial" w:hAnsi="Arial" w:cs="Arial"/>
        </w:rPr>
        <w:t>There are four key drivers for staff engagement: Strategic narrative, Engaging managers, Employee voice and Integrity. The Committee noted that iMatter Year 1 focus was on embedding structures and processes and were advised that SWAG requested to move the iMatter cycle 2 months forward, which may impact on response rates. Scottish Government were notified of the concerns.</w:t>
      </w:r>
    </w:p>
    <w:p w14:paraId="1F473734" w14:textId="77777777" w:rsidR="00A80CC3" w:rsidRDefault="00A80CC3" w:rsidP="00370164">
      <w:pPr>
        <w:spacing w:after="0"/>
        <w:ind w:left="720"/>
        <w:rPr>
          <w:rFonts w:ascii="Arial" w:hAnsi="Arial" w:cs="Arial"/>
        </w:rPr>
      </w:pPr>
      <w:r w:rsidRPr="00370164">
        <w:rPr>
          <w:rFonts w:ascii="Arial" w:hAnsi="Arial" w:cs="Arial"/>
        </w:rPr>
        <w:t xml:space="preserve">Committee discussed how </w:t>
      </w:r>
      <w:r w:rsidR="00566FFB">
        <w:rPr>
          <w:rFonts w:ascii="Arial" w:hAnsi="Arial" w:cs="Arial"/>
        </w:rPr>
        <w:t xml:space="preserve">the </w:t>
      </w:r>
      <w:r w:rsidRPr="00370164">
        <w:rPr>
          <w:rFonts w:ascii="Arial" w:hAnsi="Arial" w:cs="Arial"/>
        </w:rPr>
        <w:t>Health and Wellbeing Group strategy is interconnected with iM</w:t>
      </w:r>
      <w:r w:rsidR="00152956" w:rsidRPr="00370164">
        <w:rPr>
          <w:rFonts w:ascii="Arial" w:hAnsi="Arial" w:cs="Arial"/>
        </w:rPr>
        <w:t xml:space="preserve">atter and </w:t>
      </w:r>
      <w:r w:rsidR="00566FFB">
        <w:rPr>
          <w:rFonts w:ascii="Arial" w:hAnsi="Arial" w:cs="Arial"/>
        </w:rPr>
        <w:t>sought discussion on how NHS Golden Jubilee can improve reflecting on the results. Committee noted that</w:t>
      </w:r>
      <w:r w:rsidR="00152956" w:rsidRPr="00370164">
        <w:rPr>
          <w:rFonts w:ascii="Arial" w:hAnsi="Arial" w:cs="Arial"/>
        </w:rPr>
        <w:t xml:space="preserve"> response rates </w:t>
      </w:r>
      <w:r w:rsidR="00566FFB">
        <w:rPr>
          <w:rFonts w:ascii="Arial" w:hAnsi="Arial" w:cs="Arial"/>
        </w:rPr>
        <w:t>remain high as against other boards. Committee noted opportunities to maintain this high level of performance.</w:t>
      </w:r>
    </w:p>
    <w:p w14:paraId="0A1D8D13" w14:textId="77777777" w:rsidR="00566FFB" w:rsidRDefault="00566FFB" w:rsidP="00370164">
      <w:pPr>
        <w:spacing w:after="0"/>
        <w:ind w:left="720"/>
        <w:rPr>
          <w:rFonts w:ascii="Arial" w:hAnsi="Arial" w:cs="Arial"/>
        </w:rPr>
      </w:pPr>
    </w:p>
    <w:p w14:paraId="2AB9DACF" w14:textId="77777777" w:rsidR="00566FFB" w:rsidRPr="00370164" w:rsidRDefault="00566FFB" w:rsidP="00370164">
      <w:pPr>
        <w:spacing w:after="0"/>
        <w:ind w:left="720"/>
        <w:rPr>
          <w:rFonts w:ascii="Arial" w:hAnsi="Arial" w:cs="Arial"/>
        </w:rPr>
      </w:pPr>
      <w:r>
        <w:rPr>
          <w:rFonts w:ascii="Arial" w:hAnsi="Arial" w:cs="Arial"/>
        </w:rPr>
        <w:t>J Gardner commended Gareth Adkins and his teams for leadership on this matter. J Gardner reflected on the important role that iMatter had played in ensuring that staff voices and perspectives were heard during the pandemic. Callum Blackburn commented that the iMatter Report disclosed a substantial amount of work aimed at facilitating the ability of staff in providing their perspective on service delivery, personal development well-being. Jane Christie-Flight observed that the high rates of employee engagement were encouraging.</w:t>
      </w:r>
    </w:p>
    <w:p w14:paraId="370C06EC" w14:textId="77777777" w:rsidR="001A7400" w:rsidRPr="00370164" w:rsidRDefault="001A7400" w:rsidP="00370164">
      <w:pPr>
        <w:spacing w:after="0"/>
        <w:ind w:left="720"/>
        <w:rPr>
          <w:rFonts w:ascii="Arial" w:hAnsi="Arial" w:cs="Arial"/>
        </w:rPr>
      </w:pPr>
    </w:p>
    <w:p w14:paraId="63726FC3" w14:textId="77777777" w:rsidR="00D90727" w:rsidRPr="00370164" w:rsidRDefault="00152956" w:rsidP="00370164">
      <w:pPr>
        <w:spacing w:after="0"/>
        <w:rPr>
          <w:rFonts w:ascii="Arial" w:hAnsi="Arial" w:cs="Arial"/>
        </w:rPr>
      </w:pPr>
      <w:r w:rsidRPr="00370164">
        <w:rPr>
          <w:rFonts w:ascii="Arial" w:hAnsi="Arial" w:cs="Arial"/>
          <w:b/>
        </w:rPr>
        <w:tab/>
      </w:r>
      <w:r w:rsidRPr="00370164">
        <w:rPr>
          <w:rFonts w:ascii="Arial" w:hAnsi="Arial" w:cs="Arial"/>
        </w:rPr>
        <w:t>Committee noted the iMatter Deep Dive.</w:t>
      </w:r>
    </w:p>
    <w:p w14:paraId="3836787D" w14:textId="77777777" w:rsidR="00152956" w:rsidRDefault="00152956" w:rsidP="00370164">
      <w:pPr>
        <w:spacing w:after="0"/>
        <w:rPr>
          <w:rFonts w:ascii="Arial" w:hAnsi="Arial" w:cs="Arial"/>
        </w:rPr>
      </w:pPr>
    </w:p>
    <w:p w14:paraId="1CB9156D"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9</w:t>
      </w:r>
      <w:r w:rsidRPr="00370164">
        <w:rPr>
          <w:rFonts w:ascii="Arial" w:hAnsi="Arial" w:cs="Arial"/>
          <w:b/>
          <w:color w:val="0070C0"/>
        </w:rPr>
        <w:tab/>
      </w:r>
      <w:r w:rsidR="00D90727" w:rsidRPr="00370164">
        <w:rPr>
          <w:rFonts w:ascii="Arial" w:hAnsi="Arial" w:cs="Arial"/>
          <w:b/>
          <w:color w:val="0070C0"/>
        </w:rPr>
        <w:t>Person Centred</w:t>
      </w:r>
      <w:r w:rsidRPr="00370164">
        <w:rPr>
          <w:rFonts w:ascii="Arial" w:hAnsi="Arial" w:cs="Arial"/>
          <w:b/>
          <w:color w:val="0070C0"/>
        </w:rPr>
        <w:t xml:space="preserve"> </w:t>
      </w:r>
    </w:p>
    <w:p w14:paraId="0377AB0D" w14:textId="77777777" w:rsidR="001D4DA7" w:rsidRPr="00370164" w:rsidRDefault="001D4DA7" w:rsidP="00370164">
      <w:pPr>
        <w:spacing w:after="0"/>
        <w:rPr>
          <w:rFonts w:ascii="Arial" w:hAnsi="Arial" w:cs="Arial"/>
          <w:b/>
        </w:rPr>
      </w:pPr>
    </w:p>
    <w:p w14:paraId="20E9CAE5" w14:textId="77777777" w:rsidR="001D4DA7" w:rsidRPr="00370164" w:rsidRDefault="001D4DA7" w:rsidP="00370164">
      <w:pPr>
        <w:spacing w:after="0"/>
        <w:rPr>
          <w:rFonts w:ascii="Arial" w:hAnsi="Arial" w:cs="Arial"/>
          <w:color w:val="FF0000"/>
        </w:rPr>
      </w:pPr>
      <w:r w:rsidRPr="00370164">
        <w:rPr>
          <w:rFonts w:ascii="Arial" w:hAnsi="Arial" w:cs="Arial"/>
          <w:b/>
        </w:rPr>
        <w:t>9.1</w:t>
      </w:r>
      <w:r w:rsidRPr="00370164">
        <w:rPr>
          <w:rFonts w:ascii="Arial" w:hAnsi="Arial" w:cs="Arial"/>
          <w:b/>
        </w:rPr>
        <w:tab/>
      </w:r>
      <w:r w:rsidR="00137E4B" w:rsidRPr="00370164">
        <w:rPr>
          <w:rFonts w:ascii="Arial" w:hAnsi="Arial" w:cs="Arial"/>
          <w:b/>
        </w:rPr>
        <w:t>Feedback Report</w:t>
      </w:r>
    </w:p>
    <w:p w14:paraId="44197D5F" w14:textId="77777777" w:rsidR="00D90727" w:rsidRPr="00370164" w:rsidRDefault="00D90727" w:rsidP="00370164">
      <w:pPr>
        <w:spacing w:after="0"/>
        <w:rPr>
          <w:rFonts w:ascii="Arial" w:hAnsi="Arial" w:cs="Arial"/>
          <w:b/>
          <w:color w:val="FF0000"/>
        </w:rPr>
      </w:pPr>
    </w:p>
    <w:p w14:paraId="20EB789C" w14:textId="39954216" w:rsidR="00137E4B" w:rsidRPr="00370164" w:rsidRDefault="00137E4B" w:rsidP="00370164">
      <w:pPr>
        <w:spacing w:after="0"/>
        <w:ind w:left="720"/>
        <w:rPr>
          <w:rFonts w:ascii="Arial" w:hAnsi="Arial" w:cs="Arial"/>
        </w:rPr>
      </w:pPr>
      <w:r w:rsidRPr="00370164">
        <w:rPr>
          <w:rFonts w:ascii="Arial" w:hAnsi="Arial" w:cs="Arial"/>
        </w:rPr>
        <w:t>Anne Marie Cavanagh advised the Committee that Feedback Quarter 4 report will be presented at the next meeting</w:t>
      </w:r>
      <w:r w:rsidR="004A5459">
        <w:rPr>
          <w:rFonts w:ascii="Arial" w:hAnsi="Arial" w:cs="Arial"/>
        </w:rPr>
        <w:t xml:space="preserve"> to align quarterly reporting with bi-</w:t>
      </w:r>
      <w:r w:rsidR="007B6808">
        <w:rPr>
          <w:rFonts w:ascii="Arial" w:hAnsi="Arial" w:cs="Arial"/>
        </w:rPr>
        <w:t>monthly</w:t>
      </w:r>
      <w:r w:rsidR="004A5459">
        <w:rPr>
          <w:rFonts w:ascii="Arial" w:hAnsi="Arial" w:cs="Arial"/>
        </w:rPr>
        <w:t xml:space="preserve"> committee cycle</w:t>
      </w:r>
    </w:p>
    <w:p w14:paraId="047EBD03" w14:textId="77777777" w:rsidR="00137E4B" w:rsidRPr="00370164" w:rsidRDefault="00137E4B" w:rsidP="00370164">
      <w:pPr>
        <w:spacing w:after="0"/>
        <w:rPr>
          <w:rFonts w:ascii="Arial" w:hAnsi="Arial" w:cs="Arial"/>
          <w:b/>
        </w:rPr>
      </w:pPr>
    </w:p>
    <w:p w14:paraId="0D25C262" w14:textId="77777777" w:rsidR="00D90727" w:rsidRPr="00370164" w:rsidRDefault="00137E4B" w:rsidP="00370164">
      <w:pPr>
        <w:spacing w:after="0"/>
        <w:ind w:firstLine="720"/>
        <w:rPr>
          <w:rFonts w:ascii="Arial" w:hAnsi="Arial" w:cs="Arial"/>
        </w:rPr>
      </w:pPr>
      <w:r w:rsidRPr="00370164">
        <w:rPr>
          <w:rFonts w:ascii="Arial" w:hAnsi="Arial" w:cs="Arial"/>
        </w:rPr>
        <w:t>Committee noted the Feedback Report update.</w:t>
      </w:r>
    </w:p>
    <w:p w14:paraId="7C9ED61B" w14:textId="77777777" w:rsidR="001D4DA7" w:rsidRPr="00370164" w:rsidRDefault="00806EB2" w:rsidP="00370164">
      <w:pPr>
        <w:spacing w:after="0"/>
        <w:rPr>
          <w:rFonts w:ascii="Arial" w:hAnsi="Arial" w:cs="Arial"/>
          <w:b/>
        </w:rPr>
      </w:pPr>
      <w:r w:rsidRPr="00370164">
        <w:rPr>
          <w:rFonts w:ascii="Arial" w:hAnsi="Arial" w:cs="Arial"/>
          <w:b/>
        </w:rPr>
        <w:tab/>
      </w:r>
    </w:p>
    <w:p w14:paraId="7488C5F6"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10</w:t>
      </w:r>
      <w:r w:rsidRPr="00370164">
        <w:rPr>
          <w:rFonts w:ascii="Arial" w:hAnsi="Arial" w:cs="Arial"/>
          <w:b/>
          <w:color w:val="0070C0"/>
        </w:rPr>
        <w:tab/>
      </w:r>
      <w:r w:rsidR="00D90727" w:rsidRPr="00370164">
        <w:rPr>
          <w:rFonts w:ascii="Arial" w:hAnsi="Arial" w:cs="Arial"/>
          <w:b/>
          <w:color w:val="0070C0"/>
        </w:rPr>
        <w:t xml:space="preserve">Fair and Consistent </w:t>
      </w:r>
    </w:p>
    <w:p w14:paraId="3E1F6DD2" w14:textId="77777777" w:rsidR="001D4DA7" w:rsidRPr="00370164" w:rsidRDefault="001D4DA7" w:rsidP="00370164">
      <w:pPr>
        <w:spacing w:after="0"/>
        <w:rPr>
          <w:rFonts w:ascii="Arial" w:hAnsi="Arial" w:cs="Arial"/>
          <w:b/>
          <w:color w:val="0070C0"/>
        </w:rPr>
      </w:pPr>
    </w:p>
    <w:p w14:paraId="56C4EA14" w14:textId="77777777" w:rsidR="001D4DA7" w:rsidRPr="00370164" w:rsidRDefault="001D4DA7" w:rsidP="00370164">
      <w:pPr>
        <w:spacing w:after="0"/>
        <w:rPr>
          <w:rFonts w:ascii="Arial" w:hAnsi="Arial" w:cs="Arial"/>
          <w:b/>
        </w:rPr>
      </w:pPr>
      <w:r w:rsidRPr="00370164">
        <w:rPr>
          <w:rFonts w:ascii="Arial" w:hAnsi="Arial" w:cs="Arial"/>
          <w:b/>
        </w:rPr>
        <w:t>10.1</w:t>
      </w:r>
      <w:r w:rsidRPr="00370164">
        <w:rPr>
          <w:rFonts w:ascii="Arial" w:hAnsi="Arial" w:cs="Arial"/>
          <w:b/>
        </w:rPr>
        <w:tab/>
      </w:r>
      <w:r w:rsidR="00D90727" w:rsidRPr="00370164">
        <w:rPr>
          <w:rFonts w:ascii="Arial" w:hAnsi="Arial" w:cs="Arial"/>
          <w:b/>
        </w:rPr>
        <w:t>Staff Governance Self-Assessment Letter</w:t>
      </w:r>
    </w:p>
    <w:p w14:paraId="5B54E478" w14:textId="77777777" w:rsidR="001D4DA7" w:rsidRPr="00370164" w:rsidRDefault="001D4DA7" w:rsidP="00370164">
      <w:pPr>
        <w:spacing w:after="0"/>
        <w:ind w:left="720"/>
        <w:rPr>
          <w:rFonts w:ascii="Arial" w:hAnsi="Arial" w:cs="Arial"/>
        </w:rPr>
      </w:pPr>
    </w:p>
    <w:p w14:paraId="62CDBC50" w14:textId="0EF94C2F" w:rsidR="00566FFB" w:rsidRDefault="00015BFE" w:rsidP="00370164">
      <w:pPr>
        <w:spacing w:after="0"/>
        <w:ind w:left="720"/>
        <w:rPr>
          <w:rFonts w:ascii="Arial" w:hAnsi="Arial" w:cs="Arial"/>
        </w:rPr>
      </w:pPr>
      <w:r w:rsidRPr="00370164">
        <w:rPr>
          <w:rFonts w:ascii="Arial" w:hAnsi="Arial" w:cs="Arial"/>
        </w:rPr>
        <w:t xml:space="preserve">Gareth Adkins advised the Committee that the Staff Governance Self-Assessment Letter is included on the workplan and awaiting further information before responding to the Scottish Government. </w:t>
      </w:r>
      <w:r w:rsidR="00566FFB">
        <w:rPr>
          <w:rFonts w:ascii="Arial" w:hAnsi="Arial" w:cs="Arial"/>
        </w:rPr>
        <w:t xml:space="preserve">Jane Christie-Flight asked whether a self-assessment letter had been received. Gareth Adkins advised </w:t>
      </w:r>
      <w:r w:rsidR="004A5459">
        <w:rPr>
          <w:rFonts w:ascii="Arial" w:hAnsi="Arial" w:cs="Arial"/>
        </w:rPr>
        <w:t>that a letter had been received indicating further information will be provided at a later date.</w:t>
      </w:r>
    </w:p>
    <w:p w14:paraId="09BE3869" w14:textId="77777777" w:rsidR="00566FFB" w:rsidRDefault="00566FFB" w:rsidP="00370164">
      <w:pPr>
        <w:spacing w:after="0"/>
        <w:ind w:left="720"/>
        <w:rPr>
          <w:rFonts w:ascii="Arial" w:hAnsi="Arial" w:cs="Arial"/>
        </w:rPr>
      </w:pPr>
    </w:p>
    <w:p w14:paraId="6186C479" w14:textId="77777777" w:rsidR="00015BFE" w:rsidRPr="00370164" w:rsidRDefault="00566FFB" w:rsidP="00370164">
      <w:pPr>
        <w:spacing w:after="0"/>
        <w:ind w:left="720"/>
        <w:rPr>
          <w:rFonts w:ascii="Arial" w:hAnsi="Arial" w:cs="Arial"/>
        </w:rPr>
      </w:pPr>
      <w:r>
        <w:rPr>
          <w:rFonts w:ascii="Arial" w:hAnsi="Arial" w:cs="Arial"/>
        </w:rPr>
        <w:t xml:space="preserve">Committee requested that the item </w:t>
      </w:r>
      <w:r w:rsidR="00015BFE" w:rsidRPr="00370164">
        <w:rPr>
          <w:rFonts w:ascii="Arial" w:hAnsi="Arial" w:cs="Arial"/>
        </w:rPr>
        <w:t>remain on the agenda</w:t>
      </w:r>
      <w:r>
        <w:rPr>
          <w:rFonts w:ascii="Arial" w:hAnsi="Arial" w:cs="Arial"/>
        </w:rPr>
        <w:t xml:space="preserve"> until the self-assessment is completed</w:t>
      </w:r>
      <w:r w:rsidR="00015BFE" w:rsidRPr="00370164">
        <w:rPr>
          <w:rFonts w:ascii="Arial" w:hAnsi="Arial" w:cs="Arial"/>
        </w:rPr>
        <w:t xml:space="preserve">. </w:t>
      </w:r>
    </w:p>
    <w:p w14:paraId="0A2C35DE" w14:textId="77777777" w:rsidR="00015BFE" w:rsidRPr="00370164" w:rsidRDefault="00015BFE" w:rsidP="00370164">
      <w:pPr>
        <w:spacing w:after="0"/>
        <w:ind w:left="720"/>
        <w:rPr>
          <w:rFonts w:ascii="Arial" w:hAnsi="Arial" w:cs="Arial"/>
        </w:rPr>
      </w:pPr>
    </w:p>
    <w:p w14:paraId="5D1B4C4E" w14:textId="77777777" w:rsidR="00D90727" w:rsidRPr="00370164" w:rsidRDefault="00015BFE" w:rsidP="00370164">
      <w:pPr>
        <w:spacing w:after="0"/>
        <w:rPr>
          <w:rFonts w:ascii="Arial" w:hAnsi="Arial" w:cs="Arial"/>
        </w:rPr>
      </w:pPr>
      <w:r w:rsidRPr="00370164">
        <w:rPr>
          <w:rFonts w:ascii="Arial" w:hAnsi="Arial" w:cs="Arial"/>
        </w:rPr>
        <w:tab/>
        <w:t>Committee noted the Staff Governance Self-Assessment Letter.</w:t>
      </w:r>
    </w:p>
    <w:p w14:paraId="7B4B3130" w14:textId="77777777" w:rsidR="00C94F1C" w:rsidRPr="00370164" w:rsidRDefault="00C94F1C" w:rsidP="00370164">
      <w:pPr>
        <w:spacing w:after="0"/>
        <w:rPr>
          <w:rFonts w:ascii="Arial" w:hAnsi="Arial" w:cs="Arial"/>
          <w:highlight w:val="yellow"/>
        </w:rPr>
      </w:pPr>
    </w:p>
    <w:p w14:paraId="0EAAEB03"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11</w:t>
      </w:r>
      <w:r w:rsidRPr="00370164">
        <w:rPr>
          <w:rFonts w:ascii="Arial" w:hAnsi="Arial" w:cs="Arial"/>
          <w:b/>
          <w:color w:val="0070C0"/>
        </w:rPr>
        <w:tab/>
        <w:t xml:space="preserve">Any Other Competent Business </w:t>
      </w:r>
    </w:p>
    <w:p w14:paraId="4E068D35" w14:textId="77777777" w:rsidR="00C50CCB" w:rsidRPr="00370164" w:rsidRDefault="00C50CCB" w:rsidP="00370164">
      <w:pPr>
        <w:spacing w:after="0"/>
        <w:rPr>
          <w:rFonts w:ascii="Arial" w:hAnsi="Arial" w:cs="Arial"/>
          <w:b/>
        </w:rPr>
      </w:pPr>
    </w:p>
    <w:p w14:paraId="6C641027" w14:textId="77777777" w:rsidR="00C50CCB" w:rsidRPr="00370164" w:rsidRDefault="00C50CCB" w:rsidP="00370164">
      <w:pPr>
        <w:spacing w:after="0"/>
        <w:rPr>
          <w:rFonts w:ascii="Arial" w:hAnsi="Arial" w:cs="Arial"/>
          <w:b/>
        </w:rPr>
      </w:pPr>
      <w:r w:rsidRPr="00370164">
        <w:rPr>
          <w:rFonts w:ascii="Arial" w:hAnsi="Arial" w:cs="Arial"/>
          <w:b/>
        </w:rPr>
        <w:t>11.1</w:t>
      </w:r>
      <w:r w:rsidRPr="00370164">
        <w:rPr>
          <w:rFonts w:ascii="Arial" w:hAnsi="Arial" w:cs="Arial"/>
          <w:b/>
        </w:rPr>
        <w:tab/>
      </w:r>
      <w:r w:rsidR="00956873" w:rsidRPr="00370164">
        <w:rPr>
          <w:rFonts w:ascii="Arial" w:hAnsi="Arial" w:cs="Arial"/>
          <w:b/>
        </w:rPr>
        <w:t xml:space="preserve">DL - </w:t>
      </w:r>
      <w:r w:rsidRPr="00370164">
        <w:rPr>
          <w:rFonts w:ascii="Arial" w:hAnsi="Arial" w:cs="Arial"/>
          <w:b/>
        </w:rPr>
        <w:t xml:space="preserve">Health and Social Care </w:t>
      </w:r>
      <w:r w:rsidR="003749A5" w:rsidRPr="00370164">
        <w:rPr>
          <w:rFonts w:ascii="Arial" w:hAnsi="Arial" w:cs="Arial"/>
          <w:b/>
        </w:rPr>
        <w:t xml:space="preserve">Staff </w:t>
      </w:r>
      <w:r w:rsidRPr="00370164">
        <w:rPr>
          <w:rFonts w:ascii="Arial" w:hAnsi="Arial" w:cs="Arial"/>
          <w:b/>
        </w:rPr>
        <w:t xml:space="preserve">Respiratory </w:t>
      </w:r>
      <w:r w:rsidR="00015BFE" w:rsidRPr="00370164">
        <w:rPr>
          <w:rFonts w:ascii="Arial" w:hAnsi="Arial" w:cs="Arial"/>
          <w:b/>
        </w:rPr>
        <w:t>Infection Guidance</w:t>
      </w:r>
    </w:p>
    <w:p w14:paraId="55CCA991" w14:textId="77777777" w:rsidR="001D4DA7" w:rsidRPr="00370164" w:rsidRDefault="001D4DA7" w:rsidP="00370164">
      <w:pPr>
        <w:spacing w:after="0"/>
        <w:rPr>
          <w:rFonts w:ascii="Arial" w:hAnsi="Arial" w:cs="Arial"/>
          <w:b/>
          <w:color w:val="0070C0"/>
        </w:rPr>
      </w:pPr>
    </w:p>
    <w:p w14:paraId="27921431" w14:textId="77777777" w:rsidR="00AE57DC" w:rsidRPr="00370164" w:rsidRDefault="00015BFE" w:rsidP="00370164">
      <w:pPr>
        <w:spacing w:after="0"/>
        <w:ind w:left="720"/>
        <w:rPr>
          <w:rFonts w:ascii="Arial" w:hAnsi="Arial" w:cs="Arial"/>
        </w:rPr>
      </w:pPr>
      <w:r w:rsidRPr="00370164">
        <w:rPr>
          <w:rFonts w:ascii="Arial" w:hAnsi="Arial" w:cs="Arial"/>
        </w:rPr>
        <w:t>Jann Gardner asked the Committee to note</w:t>
      </w:r>
      <w:r w:rsidR="00956873" w:rsidRPr="00370164">
        <w:rPr>
          <w:rFonts w:ascii="Arial" w:hAnsi="Arial" w:cs="Arial"/>
        </w:rPr>
        <w:t xml:space="preserve"> updated </w:t>
      </w:r>
      <w:r w:rsidR="00AE57DC" w:rsidRPr="00370164">
        <w:rPr>
          <w:rFonts w:ascii="Arial" w:hAnsi="Arial" w:cs="Arial"/>
        </w:rPr>
        <w:t>guidance</w:t>
      </w:r>
      <w:r w:rsidR="00956873" w:rsidRPr="00370164">
        <w:rPr>
          <w:rFonts w:ascii="Arial" w:hAnsi="Arial" w:cs="Arial"/>
        </w:rPr>
        <w:t xml:space="preserve"> </w:t>
      </w:r>
      <w:r w:rsidRPr="00370164">
        <w:rPr>
          <w:rFonts w:ascii="Arial" w:hAnsi="Arial" w:cs="Arial"/>
        </w:rPr>
        <w:t xml:space="preserve">from Scottish Government </w:t>
      </w:r>
      <w:r w:rsidR="003749A5" w:rsidRPr="00370164">
        <w:rPr>
          <w:rFonts w:ascii="Arial" w:hAnsi="Arial" w:cs="Arial"/>
        </w:rPr>
        <w:t>on Health and Social Care S</w:t>
      </w:r>
      <w:r w:rsidRPr="00370164">
        <w:rPr>
          <w:rFonts w:ascii="Arial" w:hAnsi="Arial" w:cs="Arial"/>
        </w:rPr>
        <w:t xml:space="preserve">taff </w:t>
      </w:r>
      <w:r w:rsidR="003749A5" w:rsidRPr="00370164">
        <w:rPr>
          <w:rFonts w:ascii="Arial" w:hAnsi="Arial" w:cs="Arial"/>
        </w:rPr>
        <w:t>Respiratory I</w:t>
      </w:r>
      <w:r w:rsidRPr="00370164">
        <w:rPr>
          <w:rFonts w:ascii="Arial" w:hAnsi="Arial" w:cs="Arial"/>
        </w:rPr>
        <w:t>nfection. Anne Marie Cavanagh advised that the Standard Operating Procedures will be updated to reflect</w:t>
      </w:r>
      <w:r w:rsidR="00566FFB">
        <w:rPr>
          <w:rFonts w:ascii="Arial" w:hAnsi="Arial" w:cs="Arial"/>
        </w:rPr>
        <w:t xml:space="preserve"> this Guidance</w:t>
      </w:r>
      <w:r w:rsidRPr="00370164">
        <w:rPr>
          <w:rFonts w:ascii="Arial" w:hAnsi="Arial" w:cs="Arial"/>
        </w:rPr>
        <w:t xml:space="preserve">. </w:t>
      </w:r>
    </w:p>
    <w:p w14:paraId="2A1D6096" w14:textId="77777777" w:rsidR="001D4DA7" w:rsidRPr="00370164" w:rsidRDefault="001D4DA7" w:rsidP="00370164">
      <w:pPr>
        <w:spacing w:after="0"/>
        <w:rPr>
          <w:rFonts w:ascii="Arial" w:hAnsi="Arial" w:cs="Arial"/>
        </w:rPr>
      </w:pPr>
      <w:r w:rsidRPr="00370164">
        <w:rPr>
          <w:rFonts w:ascii="Arial" w:hAnsi="Arial" w:cs="Arial"/>
        </w:rPr>
        <w:tab/>
        <w:t xml:space="preserve"> </w:t>
      </w:r>
    </w:p>
    <w:p w14:paraId="440F2A97" w14:textId="77777777" w:rsidR="00370164" w:rsidRDefault="00015BFE" w:rsidP="001029BE">
      <w:pPr>
        <w:spacing w:after="0"/>
        <w:ind w:firstLine="720"/>
        <w:rPr>
          <w:rFonts w:ascii="Arial" w:hAnsi="Arial" w:cs="Arial"/>
        </w:rPr>
      </w:pPr>
      <w:r w:rsidRPr="00370164">
        <w:rPr>
          <w:rFonts w:ascii="Arial" w:hAnsi="Arial" w:cs="Arial"/>
        </w:rPr>
        <w:t xml:space="preserve">Committee noted the Health and Social Care </w:t>
      </w:r>
      <w:r w:rsidR="003749A5" w:rsidRPr="00370164">
        <w:rPr>
          <w:rFonts w:ascii="Arial" w:hAnsi="Arial" w:cs="Arial"/>
        </w:rPr>
        <w:t xml:space="preserve">Staff </w:t>
      </w:r>
      <w:r w:rsidRPr="00370164">
        <w:rPr>
          <w:rFonts w:ascii="Arial" w:hAnsi="Arial" w:cs="Arial"/>
        </w:rPr>
        <w:t>Respiratory Infection Guidance.</w:t>
      </w:r>
    </w:p>
    <w:p w14:paraId="14E1C35E" w14:textId="77777777" w:rsidR="001029BE" w:rsidRPr="00370164" w:rsidRDefault="001029BE" w:rsidP="001029BE">
      <w:pPr>
        <w:spacing w:after="0"/>
        <w:ind w:firstLine="720"/>
        <w:rPr>
          <w:rFonts w:ascii="Arial" w:hAnsi="Arial" w:cs="Arial"/>
        </w:rPr>
      </w:pPr>
    </w:p>
    <w:p w14:paraId="34109ED4"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12</w:t>
      </w:r>
      <w:r w:rsidRPr="00370164">
        <w:rPr>
          <w:rFonts w:ascii="Arial" w:hAnsi="Arial" w:cs="Arial"/>
          <w:b/>
          <w:color w:val="0070C0"/>
        </w:rPr>
        <w:tab/>
        <w:t>Items for Board Update Report</w:t>
      </w:r>
    </w:p>
    <w:p w14:paraId="7CA9EEE6" w14:textId="77777777" w:rsidR="001D4DA7" w:rsidRPr="00370164" w:rsidRDefault="001D4DA7" w:rsidP="00370164">
      <w:pPr>
        <w:spacing w:after="0"/>
        <w:ind w:firstLine="720"/>
        <w:rPr>
          <w:rFonts w:ascii="Arial" w:hAnsi="Arial" w:cs="Arial"/>
        </w:rPr>
      </w:pPr>
    </w:p>
    <w:p w14:paraId="1E3EDD20" w14:textId="77777777" w:rsidR="001D4DA7" w:rsidRPr="00370164" w:rsidRDefault="001D4DA7" w:rsidP="00370164">
      <w:pPr>
        <w:spacing w:after="0"/>
        <w:ind w:firstLine="720"/>
        <w:rPr>
          <w:rFonts w:ascii="Arial" w:hAnsi="Arial" w:cs="Arial"/>
        </w:rPr>
      </w:pPr>
      <w:r w:rsidRPr="00370164">
        <w:rPr>
          <w:rFonts w:ascii="Arial" w:hAnsi="Arial" w:cs="Arial"/>
        </w:rPr>
        <w:t>Marcella Boyle gave a summary for the Board Update Report:</w:t>
      </w:r>
    </w:p>
    <w:p w14:paraId="6CB5D9EE" w14:textId="77777777" w:rsidR="00D90727" w:rsidRPr="00370164" w:rsidRDefault="00D90727" w:rsidP="00370164">
      <w:pPr>
        <w:spacing w:after="0"/>
        <w:ind w:firstLine="720"/>
        <w:rPr>
          <w:rFonts w:ascii="Arial" w:hAnsi="Arial" w:cs="Arial"/>
        </w:rPr>
      </w:pPr>
    </w:p>
    <w:p w14:paraId="17768057" w14:textId="77777777" w:rsidR="004776C6" w:rsidRDefault="004776C6" w:rsidP="00370164">
      <w:pPr>
        <w:spacing w:after="0"/>
        <w:rPr>
          <w:rFonts w:ascii="Arial" w:hAnsi="Arial" w:cs="Arial"/>
          <w:b/>
        </w:rPr>
      </w:pPr>
      <w:r>
        <w:rPr>
          <w:rFonts w:ascii="Arial" w:hAnsi="Arial" w:cs="Arial"/>
          <w:b/>
        </w:rPr>
        <w:tab/>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8136"/>
      </w:tblGrid>
      <w:tr w:rsidR="004776C6" w:rsidRPr="00F06CCF" w14:paraId="2E075BBF" w14:textId="77777777" w:rsidTr="00392A64">
        <w:trPr>
          <w:trHeight w:val="415"/>
        </w:trPr>
        <w:tc>
          <w:tcPr>
            <w:tcW w:w="1683" w:type="dxa"/>
            <w:shd w:val="clear" w:color="auto" w:fill="002060"/>
          </w:tcPr>
          <w:p w14:paraId="38264D44" w14:textId="77777777" w:rsidR="004776C6" w:rsidRPr="00F06CCF" w:rsidRDefault="004776C6" w:rsidP="00392A64">
            <w:pPr>
              <w:rPr>
                <w:b/>
                <w:bCs/>
                <w:color w:val="FFFFFF"/>
                <w:lang w:val="en-US"/>
              </w:rPr>
            </w:pPr>
            <w:r w:rsidRPr="00F06CCF">
              <w:rPr>
                <w:b/>
                <w:bCs/>
                <w:color w:val="FFFFFF"/>
                <w:lang w:val="en-US"/>
              </w:rPr>
              <w:t>Item</w:t>
            </w:r>
          </w:p>
        </w:tc>
        <w:tc>
          <w:tcPr>
            <w:tcW w:w="8136" w:type="dxa"/>
            <w:shd w:val="clear" w:color="auto" w:fill="002060"/>
          </w:tcPr>
          <w:p w14:paraId="306F045E" w14:textId="77777777" w:rsidR="004776C6" w:rsidRPr="00F06CCF" w:rsidRDefault="004776C6" w:rsidP="00392A64">
            <w:pPr>
              <w:ind w:left="278" w:hanging="278"/>
              <w:rPr>
                <w:b/>
                <w:bCs/>
                <w:color w:val="FFFFFF"/>
                <w:lang w:val="en-US"/>
              </w:rPr>
            </w:pPr>
            <w:r w:rsidRPr="00F06CCF">
              <w:rPr>
                <w:b/>
                <w:bCs/>
                <w:color w:val="FFFFFF"/>
                <w:lang w:val="en-US"/>
              </w:rPr>
              <w:t>Details</w:t>
            </w:r>
          </w:p>
        </w:tc>
      </w:tr>
      <w:tr w:rsidR="004776C6" w:rsidRPr="00F06CCF" w14:paraId="31CAFDFD" w14:textId="77777777" w:rsidTr="00392A64">
        <w:trPr>
          <w:trHeight w:val="641"/>
        </w:trPr>
        <w:tc>
          <w:tcPr>
            <w:tcW w:w="1683" w:type="dxa"/>
          </w:tcPr>
          <w:p w14:paraId="6B5780CE" w14:textId="77777777" w:rsidR="004776C6" w:rsidRPr="00CA5EF8" w:rsidRDefault="004776C6" w:rsidP="00392A64">
            <w:pPr>
              <w:rPr>
                <w:b/>
                <w:bCs/>
                <w:lang w:val="en-US"/>
              </w:rPr>
            </w:pPr>
            <w:r>
              <w:rPr>
                <w:b/>
                <w:lang w:val="en-US"/>
              </w:rPr>
              <w:t>Safe Working Environment</w:t>
            </w:r>
          </w:p>
        </w:tc>
        <w:tc>
          <w:tcPr>
            <w:tcW w:w="8136" w:type="dxa"/>
          </w:tcPr>
          <w:p w14:paraId="16F5578C" w14:textId="77777777" w:rsidR="004776C6" w:rsidRPr="00370164" w:rsidRDefault="004776C6" w:rsidP="00392A64">
            <w:pPr>
              <w:contextualSpacing/>
            </w:pPr>
            <w:r w:rsidRPr="00370164">
              <w:t xml:space="preserve">Committee discussed resources </w:t>
            </w:r>
            <w:r>
              <w:t xml:space="preserve">allocated </w:t>
            </w:r>
            <w:r w:rsidRPr="00370164">
              <w:t xml:space="preserve">and actions </w:t>
            </w:r>
            <w:r>
              <w:t>under</w:t>
            </w:r>
            <w:r w:rsidRPr="00370164">
              <w:t xml:space="preserve">taken by Occupational Health and Safety and noted </w:t>
            </w:r>
            <w:r>
              <w:t xml:space="preserve">the </w:t>
            </w:r>
            <w:r w:rsidRPr="00370164">
              <w:t xml:space="preserve">work undertaken </w:t>
            </w:r>
            <w:r>
              <w:t>by the Health and Wellbeing Group which</w:t>
            </w:r>
            <w:r w:rsidRPr="00370164">
              <w:t xml:space="preserve"> provide</w:t>
            </w:r>
            <w:r>
              <w:t>d</w:t>
            </w:r>
            <w:r w:rsidRPr="00370164">
              <w:t xml:space="preserve"> a strong delivery for 2021/2022.</w:t>
            </w:r>
          </w:p>
          <w:p w14:paraId="5D2C6150" w14:textId="77777777" w:rsidR="004776C6" w:rsidRPr="00370164" w:rsidRDefault="004776C6" w:rsidP="00392A64">
            <w:pPr>
              <w:contextualSpacing/>
            </w:pPr>
          </w:p>
          <w:p w14:paraId="0A9E1089" w14:textId="77777777" w:rsidR="004776C6" w:rsidRPr="00370164" w:rsidRDefault="004776C6" w:rsidP="00392A64">
            <w:pPr>
              <w:contextualSpacing/>
            </w:pPr>
          </w:p>
          <w:p w14:paraId="6CECFC68" w14:textId="77777777" w:rsidR="004776C6" w:rsidRPr="00370164" w:rsidRDefault="004776C6" w:rsidP="00392A64">
            <w:r w:rsidRPr="00370164">
              <w:t xml:space="preserve">Committee </w:t>
            </w:r>
            <w:r>
              <w:t>commended</w:t>
            </w:r>
            <w:r w:rsidRPr="00370164">
              <w:t xml:space="preserve"> Donna Akhal and Lisa Walsh </w:t>
            </w:r>
            <w:r>
              <w:t xml:space="preserve">for their work on the iMatter deep dive. Committee also </w:t>
            </w:r>
            <w:r w:rsidRPr="00370164">
              <w:t xml:space="preserve">discussed interconnections between iMatter and other </w:t>
            </w:r>
            <w:r>
              <w:t>work-</w:t>
            </w:r>
            <w:r w:rsidRPr="00370164">
              <w:lastRenderedPageBreak/>
              <w:t xml:space="preserve">streams/priorities </w:t>
            </w:r>
            <w:r>
              <w:t xml:space="preserve">aimed at staff well-being, </w:t>
            </w:r>
            <w:r w:rsidRPr="00370164">
              <w:t xml:space="preserve">and noted how </w:t>
            </w:r>
            <w:r>
              <w:t xml:space="preserve">individual team </w:t>
            </w:r>
            <w:r w:rsidRPr="00370164">
              <w:t>action</w:t>
            </w:r>
            <w:r>
              <w:t xml:space="preserve"> plans will support improvement of staff experience. </w:t>
            </w:r>
            <w:r w:rsidRPr="00370164">
              <w:t xml:space="preserve">   </w:t>
            </w:r>
          </w:p>
          <w:p w14:paraId="5A9C1B2A" w14:textId="77777777" w:rsidR="004776C6" w:rsidRPr="00CA5EF8" w:rsidRDefault="004776C6" w:rsidP="00392A64">
            <w:pPr>
              <w:spacing w:line="259" w:lineRule="auto"/>
              <w:contextualSpacing/>
            </w:pPr>
            <w:r>
              <w:t xml:space="preserve"> </w:t>
            </w:r>
          </w:p>
        </w:tc>
      </w:tr>
      <w:tr w:rsidR="004776C6" w:rsidRPr="00F06CCF" w14:paraId="217C7DFF" w14:textId="77777777" w:rsidTr="00392A64">
        <w:tc>
          <w:tcPr>
            <w:tcW w:w="1683" w:type="dxa"/>
          </w:tcPr>
          <w:p w14:paraId="537EA3AF" w14:textId="77777777" w:rsidR="004776C6" w:rsidRDefault="004776C6" w:rsidP="00392A64">
            <w:pPr>
              <w:rPr>
                <w:b/>
                <w:bCs/>
                <w:lang w:val="en-US"/>
              </w:rPr>
            </w:pPr>
            <w:r>
              <w:rPr>
                <w:b/>
                <w:bCs/>
                <w:lang w:val="en-US"/>
              </w:rPr>
              <w:lastRenderedPageBreak/>
              <w:t>Well Informed</w:t>
            </w:r>
          </w:p>
        </w:tc>
        <w:tc>
          <w:tcPr>
            <w:tcW w:w="8136" w:type="dxa"/>
          </w:tcPr>
          <w:p w14:paraId="3C5A4312" w14:textId="77777777" w:rsidR="004776C6" w:rsidRPr="00370164" w:rsidRDefault="004776C6" w:rsidP="00392A64">
            <w:pPr>
              <w:contextualSpacing/>
            </w:pPr>
            <w:r w:rsidRPr="00370164">
              <w:t>Committee noted the Integrated Performance Report</w:t>
            </w:r>
            <w:r>
              <w:t>. Committee</w:t>
            </w:r>
            <w:r w:rsidRPr="00370164">
              <w:t xml:space="preserve"> </w:t>
            </w:r>
            <w:r>
              <w:t xml:space="preserve">requested work to investigate the possibility of identifying mental health absences attributable to work and those attributable to non-worked related mental health issues. </w:t>
            </w:r>
          </w:p>
          <w:p w14:paraId="6DCBE2DA" w14:textId="77777777" w:rsidR="004776C6" w:rsidRDefault="004776C6" w:rsidP="00392A64">
            <w:pPr>
              <w:contextualSpacing/>
            </w:pPr>
          </w:p>
          <w:p w14:paraId="41CAB2D1" w14:textId="77777777" w:rsidR="004776C6" w:rsidRPr="00370164" w:rsidRDefault="004776C6" w:rsidP="00392A64">
            <w:pPr>
              <w:contextualSpacing/>
            </w:pPr>
            <w:r w:rsidRPr="00370164">
              <w:t xml:space="preserve">Committee agreed to undertake a deep dive into </w:t>
            </w:r>
            <w:r>
              <w:t xml:space="preserve">the </w:t>
            </w:r>
            <w:r w:rsidRPr="00370164">
              <w:t xml:space="preserve">Strathclyde University Partnership to assess </w:t>
            </w:r>
            <w:r>
              <w:t>opportunities</w:t>
            </w:r>
            <w:r w:rsidRPr="00370164">
              <w:t xml:space="preserve"> to support </w:t>
            </w:r>
            <w:r>
              <w:t xml:space="preserve">staff </w:t>
            </w:r>
            <w:r w:rsidRPr="00370164">
              <w:t xml:space="preserve">mental health and wellbeing and </w:t>
            </w:r>
            <w:r>
              <w:t xml:space="preserve">monitor how many </w:t>
            </w:r>
            <w:r w:rsidRPr="00370164">
              <w:t xml:space="preserve">financial enquiries </w:t>
            </w:r>
            <w:r>
              <w:t xml:space="preserve">are </w:t>
            </w:r>
            <w:r w:rsidRPr="00370164">
              <w:t>made</w:t>
            </w:r>
            <w:r>
              <w:t xml:space="preserve"> by staff</w:t>
            </w:r>
            <w:r w:rsidRPr="00370164">
              <w:t xml:space="preserve"> to the Empl</w:t>
            </w:r>
            <w:r>
              <w:t>oyee Assistance Programme, following</w:t>
            </w:r>
            <w:r w:rsidRPr="00370164">
              <w:t xml:space="preserve"> </w:t>
            </w:r>
            <w:r>
              <w:t>the current</w:t>
            </w:r>
            <w:r w:rsidRPr="00370164">
              <w:t xml:space="preserve"> financial crisis.   </w:t>
            </w:r>
          </w:p>
          <w:p w14:paraId="183ACBE1" w14:textId="77777777" w:rsidR="004776C6" w:rsidRPr="00370164" w:rsidRDefault="004776C6" w:rsidP="00392A64">
            <w:pPr>
              <w:contextualSpacing/>
            </w:pPr>
          </w:p>
          <w:p w14:paraId="22AC22F3" w14:textId="77777777" w:rsidR="004776C6" w:rsidRPr="00370164" w:rsidRDefault="004776C6" w:rsidP="00392A64">
            <w:pPr>
              <w:contextualSpacing/>
            </w:pPr>
            <w:r w:rsidRPr="00370164">
              <w:t xml:space="preserve">Committee </w:t>
            </w:r>
            <w:r>
              <w:t>commended</w:t>
            </w:r>
            <w:r w:rsidRPr="00370164">
              <w:t xml:space="preserve"> Sandie Scott and </w:t>
            </w:r>
            <w:r>
              <w:t xml:space="preserve">the </w:t>
            </w:r>
            <w:r w:rsidRPr="00370164">
              <w:t xml:space="preserve">Communications team for their contribution during the pandemic. </w:t>
            </w:r>
            <w:r>
              <w:t>Committee noted that s</w:t>
            </w:r>
            <w:r w:rsidRPr="00370164">
              <w:t xml:space="preserve">ocial media </w:t>
            </w:r>
            <w:r>
              <w:t xml:space="preserve">engagement </w:t>
            </w:r>
            <w:r w:rsidRPr="00370164">
              <w:t>statistics w</w:t>
            </w:r>
            <w:r>
              <w:t xml:space="preserve">ould </w:t>
            </w:r>
            <w:r w:rsidRPr="00370164">
              <w:t xml:space="preserve">be presented in the next Committee cycle. </w:t>
            </w:r>
          </w:p>
          <w:p w14:paraId="40C57E32" w14:textId="77777777" w:rsidR="004776C6" w:rsidRPr="00370164" w:rsidRDefault="004776C6" w:rsidP="00392A64">
            <w:pPr>
              <w:contextualSpacing/>
            </w:pPr>
          </w:p>
          <w:p w14:paraId="73872DA9" w14:textId="77777777" w:rsidR="004776C6" w:rsidRPr="00370164" w:rsidRDefault="004776C6" w:rsidP="00392A64">
            <w:pPr>
              <w:contextualSpacing/>
            </w:pPr>
            <w:r>
              <w:t>Committee were informed that</w:t>
            </w:r>
            <w:r w:rsidRPr="00370164">
              <w:t xml:space="preserve"> Long Service Award</w:t>
            </w:r>
            <w:r>
              <w:t>s</w:t>
            </w:r>
            <w:r w:rsidRPr="00370164">
              <w:t xml:space="preserve"> </w:t>
            </w:r>
            <w:r>
              <w:t xml:space="preserve">have experienced </w:t>
            </w:r>
            <w:r w:rsidRPr="00370164">
              <w:t xml:space="preserve">delays and discussed how </w:t>
            </w:r>
            <w:r>
              <w:t xml:space="preserve">to achieve the best outcome recognise the contributions of </w:t>
            </w:r>
            <w:r w:rsidRPr="00370164">
              <w:t>staff and volunteer</w:t>
            </w:r>
            <w:r>
              <w:t>s</w:t>
            </w:r>
            <w:r w:rsidRPr="00370164">
              <w:t xml:space="preserve">. </w:t>
            </w:r>
          </w:p>
          <w:p w14:paraId="23EFA302" w14:textId="77777777" w:rsidR="004776C6" w:rsidRPr="00370164" w:rsidRDefault="004776C6" w:rsidP="00392A64">
            <w:pPr>
              <w:contextualSpacing/>
            </w:pPr>
          </w:p>
          <w:p w14:paraId="3B4D4BE2" w14:textId="77777777" w:rsidR="004776C6" w:rsidRPr="00370164" w:rsidRDefault="004776C6" w:rsidP="00392A64">
            <w:pPr>
              <w:contextualSpacing/>
            </w:pPr>
            <w:r w:rsidRPr="00370164">
              <w:t xml:space="preserve">Committee discussed </w:t>
            </w:r>
            <w:r>
              <w:t>the draft Annual Workforce Plan. Committee noted a number of</w:t>
            </w:r>
            <w:r w:rsidRPr="00370164">
              <w:t xml:space="preserve"> actions </w:t>
            </w:r>
            <w:r>
              <w:t>aimed at developing the workforce strategy with support of n</w:t>
            </w:r>
            <w:r w:rsidRPr="00370164">
              <w:t xml:space="preserve">on-executives if required. </w:t>
            </w:r>
          </w:p>
          <w:p w14:paraId="1F64F3DF" w14:textId="77777777" w:rsidR="004776C6" w:rsidRPr="00370164" w:rsidRDefault="004776C6" w:rsidP="00392A64">
            <w:pPr>
              <w:contextualSpacing/>
            </w:pPr>
          </w:p>
          <w:p w14:paraId="7EEC7285" w14:textId="77777777" w:rsidR="004776C6" w:rsidRDefault="004776C6" w:rsidP="00392A64">
            <w:r w:rsidRPr="00370164">
              <w:t xml:space="preserve">Committee </w:t>
            </w:r>
            <w:r>
              <w:t>approved</w:t>
            </w:r>
            <w:r w:rsidRPr="00370164">
              <w:t xml:space="preserve"> </w:t>
            </w:r>
            <w:r>
              <w:t xml:space="preserve">SGPCC </w:t>
            </w:r>
            <w:r w:rsidRPr="00370164">
              <w:t>Terms of Reference,</w:t>
            </w:r>
            <w:r>
              <w:t xml:space="preserve"> and annual report. Committee requested that consideration be given to the narration of </w:t>
            </w:r>
            <w:r w:rsidRPr="00370164">
              <w:t>member</w:t>
            </w:r>
            <w:r>
              <w:t>s and</w:t>
            </w:r>
            <w:r w:rsidRPr="00370164">
              <w:t xml:space="preserve"> attendance</w:t>
            </w:r>
            <w:r>
              <w:t xml:space="preserve"> across NHSGJ governance committees, and how this is </w:t>
            </w:r>
            <w:proofErr w:type="spellStart"/>
            <w:r>
              <w:t>minuted</w:t>
            </w:r>
            <w:proofErr w:type="spellEnd"/>
            <w:r>
              <w:t xml:space="preserve">. </w:t>
            </w:r>
          </w:p>
          <w:p w14:paraId="4FF26794" w14:textId="77777777" w:rsidR="004776C6" w:rsidRDefault="004776C6" w:rsidP="00392A64"/>
        </w:tc>
      </w:tr>
      <w:tr w:rsidR="004776C6" w:rsidRPr="00F06CCF" w14:paraId="7ECD9C47" w14:textId="77777777" w:rsidTr="00392A64">
        <w:tc>
          <w:tcPr>
            <w:tcW w:w="1683" w:type="dxa"/>
          </w:tcPr>
          <w:p w14:paraId="3FFA6253" w14:textId="77777777" w:rsidR="004776C6" w:rsidRDefault="004776C6" w:rsidP="00392A64">
            <w:r>
              <w:rPr>
                <w:b/>
                <w:bCs/>
                <w:lang w:val="en-US"/>
              </w:rPr>
              <w:t>Appropriately Trained</w:t>
            </w:r>
          </w:p>
          <w:p w14:paraId="039AD6F5" w14:textId="77777777" w:rsidR="004776C6" w:rsidRPr="008A1D76" w:rsidRDefault="004776C6" w:rsidP="00392A64"/>
        </w:tc>
        <w:tc>
          <w:tcPr>
            <w:tcW w:w="8136" w:type="dxa"/>
          </w:tcPr>
          <w:p w14:paraId="66352F72" w14:textId="77777777" w:rsidR="004776C6" w:rsidRPr="00370164" w:rsidRDefault="004776C6" w:rsidP="00392A64">
            <w:r w:rsidRPr="00370164">
              <w:t>Committee discuss</w:t>
            </w:r>
            <w:r>
              <w:t>ed</w:t>
            </w:r>
            <w:r w:rsidRPr="00370164">
              <w:t xml:space="preserve"> </w:t>
            </w:r>
            <w:r>
              <w:t xml:space="preserve">performance against </w:t>
            </w:r>
            <w:r w:rsidRPr="00370164">
              <w:t>manda</w:t>
            </w:r>
            <w:r>
              <w:t>tory training requirements, noting a decline in</w:t>
            </w:r>
            <w:r w:rsidRPr="00370164">
              <w:t xml:space="preserve"> hygiene </w:t>
            </w:r>
            <w:r>
              <w:t>compliance rates. Committee</w:t>
            </w:r>
            <w:r w:rsidRPr="00370164">
              <w:t xml:space="preserve"> discuss</w:t>
            </w:r>
            <w:r>
              <w:t>ed opportunities to categorise training requirements as mandatory as a result of statute or national policy, training which is mandated by NHSGJ, and other forms of training (advisory/optional) within</w:t>
            </w:r>
            <w:r w:rsidRPr="00370164">
              <w:t xml:space="preserve"> the 2022/2033 report.</w:t>
            </w:r>
          </w:p>
          <w:p w14:paraId="216A1C55" w14:textId="77777777" w:rsidR="004776C6" w:rsidRPr="00C8687A" w:rsidRDefault="004776C6" w:rsidP="00392A64">
            <w:pPr>
              <w:spacing w:line="259" w:lineRule="auto"/>
              <w:contextualSpacing/>
            </w:pPr>
          </w:p>
        </w:tc>
      </w:tr>
      <w:tr w:rsidR="004776C6" w:rsidRPr="00F06CCF" w14:paraId="5C48968C" w14:textId="77777777" w:rsidTr="00392A64">
        <w:trPr>
          <w:trHeight w:val="974"/>
        </w:trPr>
        <w:tc>
          <w:tcPr>
            <w:tcW w:w="1683" w:type="dxa"/>
          </w:tcPr>
          <w:p w14:paraId="30F140DC" w14:textId="77777777" w:rsidR="004776C6" w:rsidRPr="00A030E0" w:rsidRDefault="004776C6" w:rsidP="00392A64">
            <w:pPr>
              <w:rPr>
                <w:b/>
                <w:lang w:val="en-US"/>
              </w:rPr>
            </w:pPr>
            <w:r>
              <w:rPr>
                <w:b/>
                <w:lang w:val="en-US"/>
              </w:rPr>
              <w:t>Involved in Decisions</w:t>
            </w:r>
          </w:p>
        </w:tc>
        <w:tc>
          <w:tcPr>
            <w:tcW w:w="8136" w:type="dxa"/>
          </w:tcPr>
          <w:p w14:paraId="32521582" w14:textId="77777777" w:rsidR="004776C6" w:rsidRDefault="004776C6" w:rsidP="00392A64">
            <w:pPr>
              <w:contextualSpacing/>
            </w:pPr>
            <w:r>
              <w:t>Committee noted the Partnership Forum Update, including detail of the evolution of policies on early retirement and re-employment, and starting salaries.</w:t>
            </w:r>
          </w:p>
          <w:p w14:paraId="120FF10C" w14:textId="77777777" w:rsidR="004776C6" w:rsidRDefault="004776C6" w:rsidP="00392A64">
            <w:pPr>
              <w:contextualSpacing/>
            </w:pPr>
          </w:p>
          <w:p w14:paraId="089F2484" w14:textId="77777777" w:rsidR="004776C6" w:rsidRPr="006C1C0F" w:rsidRDefault="004776C6" w:rsidP="00392A64">
            <w:pPr>
              <w:contextualSpacing/>
            </w:pPr>
            <w:r>
              <w:t>Committee also noted a report on the time provided within NHSGJ relating to the performance of Trade Union duties.</w:t>
            </w:r>
          </w:p>
        </w:tc>
      </w:tr>
    </w:tbl>
    <w:p w14:paraId="67C45458" w14:textId="77777777" w:rsidR="00053C20" w:rsidRDefault="00053C20" w:rsidP="00370164">
      <w:pPr>
        <w:spacing w:after="0"/>
        <w:rPr>
          <w:rFonts w:ascii="Arial" w:hAnsi="Arial" w:cs="Arial"/>
          <w:b/>
        </w:rPr>
      </w:pPr>
    </w:p>
    <w:p w14:paraId="71E4ABDA" w14:textId="77777777" w:rsidR="004776C6" w:rsidRPr="00370164" w:rsidRDefault="004776C6" w:rsidP="00370164">
      <w:pPr>
        <w:spacing w:after="0"/>
        <w:rPr>
          <w:rFonts w:ascii="Arial" w:hAnsi="Arial" w:cs="Arial"/>
        </w:rPr>
      </w:pPr>
    </w:p>
    <w:p w14:paraId="6CA1BC02" w14:textId="77777777" w:rsidR="001D4DA7" w:rsidRPr="00370164" w:rsidRDefault="001D4DA7" w:rsidP="00370164">
      <w:pPr>
        <w:spacing w:after="0"/>
        <w:rPr>
          <w:rFonts w:ascii="Arial" w:hAnsi="Arial" w:cs="Arial"/>
          <w:b/>
          <w:color w:val="0070C0"/>
        </w:rPr>
      </w:pPr>
      <w:r w:rsidRPr="00370164">
        <w:rPr>
          <w:rFonts w:ascii="Arial" w:hAnsi="Arial" w:cs="Arial"/>
          <w:b/>
          <w:color w:val="0070C0"/>
        </w:rPr>
        <w:t>13</w:t>
      </w:r>
      <w:r w:rsidRPr="00370164">
        <w:rPr>
          <w:rFonts w:ascii="Arial" w:hAnsi="Arial" w:cs="Arial"/>
          <w:b/>
          <w:color w:val="0070C0"/>
        </w:rPr>
        <w:tab/>
        <w:t xml:space="preserve">Date and Time of Next Meeting </w:t>
      </w:r>
    </w:p>
    <w:p w14:paraId="13B695A3" w14:textId="77777777" w:rsidR="001D4DA7" w:rsidRPr="00370164" w:rsidRDefault="001D4DA7" w:rsidP="00370164">
      <w:pPr>
        <w:spacing w:after="0"/>
        <w:rPr>
          <w:rFonts w:ascii="Arial" w:hAnsi="Arial" w:cs="Arial"/>
        </w:rPr>
      </w:pPr>
    </w:p>
    <w:p w14:paraId="5E9739E6" w14:textId="77777777" w:rsidR="001D4DA7" w:rsidRPr="00370164" w:rsidRDefault="001D4DA7" w:rsidP="00370164">
      <w:pPr>
        <w:spacing w:after="0"/>
        <w:ind w:left="720"/>
        <w:rPr>
          <w:rFonts w:ascii="Arial" w:hAnsi="Arial" w:cs="Arial"/>
        </w:rPr>
      </w:pPr>
      <w:r w:rsidRPr="00370164">
        <w:rPr>
          <w:rFonts w:ascii="Arial" w:hAnsi="Arial" w:cs="Arial"/>
        </w:rPr>
        <w:t>The next scheduled meeting of the Staff Governance an</w:t>
      </w:r>
      <w:r w:rsidR="00D90727" w:rsidRPr="00370164">
        <w:rPr>
          <w:rFonts w:ascii="Arial" w:hAnsi="Arial" w:cs="Arial"/>
        </w:rPr>
        <w:t>d Person Centred Committee is 5 July 2022 at 1:30 pm.</w:t>
      </w:r>
    </w:p>
    <w:p w14:paraId="6A95026C" w14:textId="77777777" w:rsidR="001D4DA7" w:rsidRPr="00370164" w:rsidRDefault="001D4DA7" w:rsidP="00370164">
      <w:pPr>
        <w:spacing w:after="0"/>
        <w:rPr>
          <w:rFonts w:ascii="Arial" w:hAnsi="Arial" w:cs="Arial"/>
        </w:rPr>
      </w:pPr>
    </w:p>
    <w:p w14:paraId="718AC937" w14:textId="77777777" w:rsidR="001D4DA7" w:rsidRPr="00370164" w:rsidRDefault="001D4DA7" w:rsidP="00370164">
      <w:pPr>
        <w:spacing w:after="0"/>
        <w:rPr>
          <w:rFonts w:ascii="Arial" w:hAnsi="Arial" w:cs="Arial"/>
          <w:b/>
        </w:rPr>
      </w:pPr>
    </w:p>
    <w:p w14:paraId="745636F7" w14:textId="77777777" w:rsidR="000957E6" w:rsidRPr="00370164" w:rsidRDefault="004551F8" w:rsidP="00370164">
      <w:pPr>
        <w:spacing w:after="0"/>
        <w:jc w:val="center"/>
        <w:rPr>
          <w:rFonts w:ascii="Arial" w:hAnsi="Arial" w:cs="Arial"/>
          <w:b/>
        </w:rPr>
      </w:pPr>
      <w:r w:rsidRPr="00370164">
        <w:rPr>
          <w:rFonts w:ascii="Arial" w:hAnsi="Arial" w:cs="Arial"/>
          <w:b/>
        </w:rPr>
        <w:t>The meeting closed at 12:05 pm</w:t>
      </w:r>
    </w:p>
    <w:sectPr w:rsidR="000957E6" w:rsidRPr="00370164" w:rsidSect="00E9083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B7C5F" w14:textId="77777777" w:rsidR="00C53B2D" w:rsidRDefault="00C53B2D">
      <w:pPr>
        <w:spacing w:after="0" w:line="240" w:lineRule="auto"/>
      </w:pPr>
      <w:r>
        <w:separator/>
      </w:r>
    </w:p>
  </w:endnote>
  <w:endnote w:type="continuationSeparator" w:id="0">
    <w:p w14:paraId="592009BB" w14:textId="77777777" w:rsidR="00C53B2D" w:rsidRDefault="00C5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743112"/>
      <w:docPartObj>
        <w:docPartGallery w:val="Page Numbers (Bottom of Page)"/>
        <w:docPartUnique/>
      </w:docPartObj>
    </w:sdtPr>
    <w:sdtEndPr>
      <w:rPr>
        <w:noProof/>
      </w:rPr>
    </w:sdtEndPr>
    <w:sdtContent>
      <w:p w14:paraId="40AFDCAD" w14:textId="00933E53" w:rsidR="00392A64" w:rsidRDefault="00392A64">
        <w:pPr>
          <w:pStyle w:val="Footer"/>
          <w:jc w:val="right"/>
        </w:pPr>
        <w:r>
          <w:fldChar w:fldCharType="begin"/>
        </w:r>
        <w:r>
          <w:instrText xml:space="preserve"> PAGE   \* MERGEFORMAT </w:instrText>
        </w:r>
        <w:r>
          <w:fldChar w:fldCharType="separate"/>
        </w:r>
        <w:r w:rsidR="00707CE3">
          <w:rPr>
            <w:noProof/>
          </w:rPr>
          <w:t>1</w:t>
        </w:r>
        <w:r>
          <w:rPr>
            <w:noProof/>
          </w:rPr>
          <w:fldChar w:fldCharType="end"/>
        </w:r>
      </w:p>
    </w:sdtContent>
  </w:sdt>
  <w:p w14:paraId="35B1B0AA" w14:textId="77777777" w:rsidR="00392A64" w:rsidRDefault="0039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4B272" w14:textId="77777777" w:rsidR="00C53B2D" w:rsidRDefault="00C53B2D">
      <w:pPr>
        <w:spacing w:after="0" w:line="240" w:lineRule="auto"/>
      </w:pPr>
      <w:r>
        <w:separator/>
      </w:r>
    </w:p>
  </w:footnote>
  <w:footnote w:type="continuationSeparator" w:id="0">
    <w:p w14:paraId="0BD85C75" w14:textId="77777777" w:rsidR="00C53B2D" w:rsidRDefault="00C53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A2E1C" w14:textId="12595194" w:rsidR="00392A64" w:rsidRPr="00D223A8" w:rsidRDefault="00D223A8" w:rsidP="00D223A8">
    <w:pPr>
      <w:pStyle w:val="Header"/>
      <w:tabs>
        <w:tab w:val="clear" w:pos="4513"/>
        <w:tab w:val="clear" w:pos="9026"/>
      </w:tabs>
      <w:jc w:val="right"/>
      <w:rPr>
        <w:rFonts w:ascii="Arial" w:hAnsi="Arial" w:cs="Arial"/>
        <w:b/>
      </w:rPr>
    </w:pPr>
    <w:r>
      <w:rPr>
        <w:rFonts w:ascii="Arial" w:hAnsi="Arial" w:cs="Arial"/>
        <w:b/>
      </w:rPr>
      <w:t xml:space="preserve">           </w:t>
    </w:r>
    <w:r w:rsidRPr="00D223A8">
      <w:rPr>
        <w:rFonts w:ascii="Arial" w:hAnsi="Arial" w:cs="Arial"/>
        <w:b/>
        <w:color w:val="2E74B5" w:themeColor="accent1" w:themeShade="BF"/>
      </w:rPr>
      <w:t xml:space="preserve">Item </w:t>
    </w:r>
    <w:r w:rsidR="00707CE3">
      <w:rPr>
        <w:rFonts w:ascii="Arial" w:hAnsi="Arial" w:cs="Arial"/>
        <w:b/>
        <w:color w:val="2E74B5" w:themeColor="accent1" w:themeShade="BF"/>
      </w:rPr>
      <w:t>9</w:t>
    </w:r>
    <w:r w:rsidR="00973157">
      <w:rPr>
        <w:rFonts w:ascii="Arial" w:hAnsi="Arial" w:cs="Arial"/>
        <w:b/>
        <w:color w:val="2E74B5" w:themeColor="accent1" w:themeShade="BF"/>
      </w:rPr>
      <w:t>.2</w:t>
    </w:r>
    <w:r w:rsidR="00392A64" w:rsidRPr="00D223A8">
      <w:rPr>
        <w:rFonts w:ascii="Arial" w:hAnsi="Arial" w:cs="Arial"/>
        <w:b/>
      </w:rPr>
      <w:tab/>
    </w:r>
    <w:r w:rsidR="00392A64" w:rsidRPr="00D223A8">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ADF"/>
    <w:multiLevelType w:val="hybridMultilevel"/>
    <w:tmpl w:val="9BE64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ED3F8D"/>
    <w:multiLevelType w:val="hybridMultilevel"/>
    <w:tmpl w:val="87D22B6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A115C5E"/>
    <w:multiLevelType w:val="hybridMultilevel"/>
    <w:tmpl w:val="75B8A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C31CFE"/>
    <w:multiLevelType w:val="hybridMultilevel"/>
    <w:tmpl w:val="09C884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9FE65F3"/>
    <w:multiLevelType w:val="hybridMultilevel"/>
    <w:tmpl w:val="EB18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23A73"/>
    <w:multiLevelType w:val="hybridMultilevel"/>
    <w:tmpl w:val="17FEB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A707ED"/>
    <w:multiLevelType w:val="hybridMultilevel"/>
    <w:tmpl w:val="8626F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446E30"/>
    <w:multiLevelType w:val="hybridMultilevel"/>
    <w:tmpl w:val="EC702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117BD9"/>
    <w:multiLevelType w:val="hybridMultilevel"/>
    <w:tmpl w:val="3A16EF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751830"/>
    <w:multiLevelType w:val="hybridMultilevel"/>
    <w:tmpl w:val="515A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CA5606"/>
    <w:multiLevelType w:val="hybridMultilevel"/>
    <w:tmpl w:val="B3B0061E"/>
    <w:lvl w:ilvl="0" w:tplc="F0DE2C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A32F62"/>
    <w:multiLevelType w:val="hybridMultilevel"/>
    <w:tmpl w:val="00B6B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063D0B"/>
    <w:multiLevelType w:val="hybridMultilevel"/>
    <w:tmpl w:val="3412F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5718CE"/>
    <w:multiLevelType w:val="hybridMultilevel"/>
    <w:tmpl w:val="57ACC138"/>
    <w:lvl w:ilvl="0" w:tplc="E6806F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704CAA"/>
    <w:multiLevelType w:val="hybridMultilevel"/>
    <w:tmpl w:val="A0E85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6744AC0"/>
    <w:multiLevelType w:val="hybridMultilevel"/>
    <w:tmpl w:val="C7942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2E7191"/>
    <w:multiLevelType w:val="hybridMultilevel"/>
    <w:tmpl w:val="3ED2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255461"/>
    <w:multiLevelType w:val="hybridMultilevel"/>
    <w:tmpl w:val="995C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E80B04"/>
    <w:multiLevelType w:val="hybridMultilevel"/>
    <w:tmpl w:val="9B488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92230F"/>
    <w:multiLevelType w:val="hybridMultilevel"/>
    <w:tmpl w:val="4E76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722232"/>
    <w:multiLevelType w:val="hybridMultilevel"/>
    <w:tmpl w:val="0F3CDD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992F27"/>
    <w:multiLevelType w:val="hybridMultilevel"/>
    <w:tmpl w:val="720A6B24"/>
    <w:lvl w:ilvl="0" w:tplc="7278CB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AA37842"/>
    <w:multiLevelType w:val="hybridMultilevel"/>
    <w:tmpl w:val="7C6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363B6D"/>
    <w:multiLevelType w:val="hybridMultilevel"/>
    <w:tmpl w:val="F13AB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E84CAA"/>
    <w:multiLevelType w:val="hybridMultilevel"/>
    <w:tmpl w:val="2BDAB562"/>
    <w:lvl w:ilvl="0" w:tplc="B6100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2F4AE0"/>
    <w:multiLevelType w:val="hybridMultilevel"/>
    <w:tmpl w:val="9230E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142427"/>
    <w:multiLevelType w:val="hybridMultilevel"/>
    <w:tmpl w:val="4CAEF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6FC7132"/>
    <w:multiLevelType w:val="hybridMultilevel"/>
    <w:tmpl w:val="AC56D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D1434F"/>
    <w:multiLevelType w:val="hybridMultilevel"/>
    <w:tmpl w:val="FCACD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19"/>
  </w:num>
  <w:num w:numId="3">
    <w:abstractNumId w:val="20"/>
  </w:num>
  <w:num w:numId="4">
    <w:abstractNumId w:val="8"/>
  </w:num>
  <w:num w:numId="5">
    <w:abstractNumId w:val="6"/>
  </w:num>
  <w:num w:numId="6">
    <w:abstractNumId w:val="15"/>
  </w:num>
  <w:num w:numId="7">
    <w:abstractNumId w:val="16"/>
  </w:num>
  <w:num w:numId="8">
    <w:abstractNumId w:val="9"/>
  </w:num>
  <w:num w:numId="9">
    <w:abstractNumId w:val="12"/>
  </w:num>
  <w:num w:numId="10">
    <w:abstractNumId w:val="17"/>
  </w:num>
  <w:num w:numId="11">
    <w:abstractNumId w:val="14"/>
  </w:num>
  <w:num w:numId="12">
    <w:abstractNumId w:val="22"/>
  </w:num>
  <w:num w:numId="13">
    <w:abstractNumId w:val="4"/>
  </w:num>
  <w:num w:numId="14">
    <w:abstractNumId w:val="21"/>
  </w:num>
  <w:num w:numId="15">
    <w:abstractNumId w:val="3"/>
  </w:num>
  <w:num w:numId="16">
    <w:abstractNumId w:val="1"/>
  </w:num>
  <w:num w:numId="17">
    <w:abstractNumId w:val="27"/>
  </w:num>
  <w:num w:numId="18">
    <w:abstractNumId w:val="26"/>
  </w:num>
  <w:num w:numId="19">
    <w:abstractNumId w:val="0"/>
  </w:num>
  <w:num w:numId="20">
    <w:abstractNumId w:val="11"/>
  </w:num>
  <w:num w:numId="21">
    <w:abstractNumId w:val="25"/>
  </w:num>
  <w:num w:numId="22">
    <w:abstractNumId w:val="13"/>
  </w:num>
  <w:num w:numId="23">
    <w:abstractNumId w:val="10"/>
  </w:num>
  <w:num w:numId="24">
    <w:abstractNumId w:val="28"/>
  </w:num>
  <w:num w:numId="25">
    <w:abstractNumId w:val="5"/>
  </w:num>
  <w:num w:numId="26">
    <w:abstractNumId w:val="18"/>
  </w:num>
  <w:num w:numId="27">
    <w:abstractNumId w:val="7"/>
  </w:num>
  <w:num w:numId="28">
    <w:abstractNumId w:val="29"/>
  </w:num>
  <w:num w:numId="29">
    <w:abstractNumId w:val="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A7"/>
    <w:rsid w:val="00007DA4"/>
    <w:rsid w:val="00015BFE"/>
    <w:rsid w:val="00023847"/>
    <w:rsid w:val="00034DB9"/>
    <w:rsid w:val="00053C20"/>
    <w:rsid w:val="0006514A"/>
    <w:rsid w:val="000727BB"/>
    <w:rsid w:val="00091A4D"/>
    <w:rsid w:val="000957E6"/>
    <w:rsid w:val="000A4BC2"/>
    <w:rsid w:val="000C0A30"/>
    <w:rsid w:val="000C2109"/>
    <w:rsid w:val="000E4075"/>
    <w:rsid w:val="001029BE"/>
    <w:rsid w:val="00111007"/>
    <w:rsid w:val="00125E19"/>
    <w:rsid w:val="00130758"/>
    <w:rsid w:val="00137E4B"/>
    <w:rsid w:val="001428F0"/>
    <w:rsid w:val="00152956"/>
    <w:rsid w:val="00163244"/>
    <w:rsid w:val="00170E5E"/>
    <w:rsid w:val="00181F59"/>
    <w:rsid w:val="00186E14"/>
    <w:rsid w:val="00187C1B"/>
    <w:rsid w:val="00187D5B"/>
    <w:rsid w:val="001A3031"/>
    <w:rsid w:val="001A5CC4"/>
    <w:rsid w:val="001A7400"/>
    <w:rsid w:val="001D4DA7"/>
    <w:rsid w:val="001E16B7"/>
    <w:rsid w:val="00206468"/>
    <w:rsid w:val="00215C60"/>
    <w:rsid w:val="00216674"/>
    <w:rsid w:val="002264E5"/>
    <w:rsid w:val="00227D95"/>
    <w:rsid w:val="00242B43"/>
    <w:rsid w:val="00266009"/>
    <w:rsid w:val="0027273C"/>
    <w:rsid w:val="00277D71"/>
    <w:rsid w:val="0029018F"/>
    <w:rsid w:val="00291DEE"/>
    <w:rsid w:val="00293BDE"/>
    <w:rsid w:val="002C18EC"/>
    <w:rsid w:val="002C7C8E"/>
    <w:rsid w:val="002F6A33"/>
    <w:rsid w:val="0030623A"/>
    <w:rsid w:val="00311DCE"/>
    <w:rsid w:val="003174C4"/>
    <w:rsid w:val="0032467C"/>
    <w:rsid w:val="00343147"/>
    <w:rsid w:val="00370164"/>
    <w:rsid w:val="003749A5"/>
    <w:rsid w:val="00392A64"/>
    <w:rsid w:val="0039499F"/>
    <w:rsid w:val="00397464"/>
    <w:rsid w:val="003D2871"/>
    <w:rsid w:val="003E5171"/>
    <w:rsid w:val="004551F8"/>
    <w:rsid w:val="00466E41"/>
    <w:rsid w:val="004776C6"/>
    <w:rsid w:val="00487226"/>
    <w:rsid w:val="00491DC5"/>
    <w:rsid w:val="004968C7"/>
    <w:rsid w:val="004A5459"/>
    <w:rsid w:val="004A5FC9"/>
    <w:rsid w:val="004C5E98"/>
    <w:rsid w:val="004E528C"/>
    <w:rsid w:val="004E73ED"/>
    <w:rsid w:val="004F652C"/>
    <w:rsid w:val="004F7D14"/>
    <w:rsid w:val="0051064E"/>
    <w:rsid w:val="005114C9"/>
    <w:rsid w:val="0053327A"/>
    <w:rsid w:val="00547041"/>
    <w:rsid w:val="00547F91"/>
    <w:rsid w:val="00566F8C"/>
    <w:rsid w:val="00566FFB"/>
    <w:rsid w:val="005855CD"/>
    <w:rsid w:val="005B1A62"/>
    <w:rsid w:val="005E39C4"/>
    <w:rsid w:val="00602B1C"/>
    <w:rsid w:val="0060777E"/>
    <w:rsid w:val="00627EB6"/>
    <w:rsid w:val="006517B1"/>
    <w:rsid w:val="00653887"/>
    <w:rsid w:val="00670000"/>
    <w:rsid w:val="006727FB"/>
    <w:rsid w:val="00672B1C"/>
    <w:rsid w:val="0068726E"/>
    <w:rsid w:val="006B6AFF"/>
    <w:rsid w:val="006C0C31"/>
    <w:rsid w:val="006D4695"/>
    <w:rsid w:val="00703936"/>
    <w:rsid w:val="00707CE3"/>
    <w:rsid w:val="00716CE4"/>
    <w:rsid w:val="00743BC1"/>
    <w:rsid w:val="00762402"/>
    <w:rsid w:val="00792284"/>
    <w:rsid w:val="007B6808"/>
    <w:rsid w:val="007D6397"/>
    <w:rsid w:val="007D6930"/>
    <w:rsid w:val="007E2689"/>
    <w:rsid w:val="007E6C55"/>
    <w:rsid w:val="007F09E5"/>
    <w:rsid w:val="00806EB2"/>
    <w:rsid w:val="00811485"/>
    <w:rsid w:val="008218D3"/>
    <w:rsid w:val="00822180"/>
    <w:rsid w:val="00853B57"/>
    <w:rsid w:val="00855898"/>
    <w:rsid w:val="00891CA3"/>
    <w:rsid w:val="008B2628"/>
    <w:rsid w:val="008C4EE2"/>
    <w:rsid w:val="008D1601"/>
    <w:rsid w:val="008D3C7D"/>
    <w:rsid w:val="008F2F15"/>
    <w:rsid w:val="009044A5"/>
    <w:rsid w:val="00910B8B"/>
    <w:rsid w:val="00921377"/>
    <w:rsid w:val="00946F20"/>
    <w:rsid w:val="00955D33"/>
    <w:rsid w:val="00956873"/>
    <w:rsid w:val="009707C9"/>
    <w:rsid w:val="009715FB"/>
    <w:rsid w:val="00973157"/>
    <w:rsid w:val="0098548C"/>
    <w:rsid w:val="0099434C"/>
    <w:rsid w:val="009B0723"/>
    <w:rsid w:val="009B5B82"/>
    <w:rsid w:val="009C1005"/>
    <w:rsid w:val="009C2A99"/>
    <w:rsid w:val="009C326F"/>
    <w:rsid w:val="009C7FC6"/>
    <w:rsid w:val="009D3838"/>
    <w:rsid w:val="009F7EE7"/>
    <w:rsid w:val="00A035EA"/>
    <w:rsid w:val="00A32F7A"/>
    <w:rsid w:val="00A372EB"/>
    <w:rsid w:val="00A438C4"/>
    <w:rsid w:val="00A57352"/>
    <w:rsid w:val="00A73300"/>
    <w:rsid w:val="00A75273"/>
    <w:rsid w:val="00A80CC3"/>
    <w:rsid w:val="00A968DB"/>
    <w:rsid w:val="00AA2F92"/>
    <w:rsid w:val="00AC5C45"/>
    <w:rsid w:val="00AE57DC"/>
    <w:rsid w:val="00B15340"/>
    <w:rsid w:val="00B22DA6"/>
    <w:rsid w:val="00B25785"/>
    <w:rsid w:val="00B64381"/>
    <w:rsid w:val="00B96C5D"/>
    <w:rsid w:val="00BB6B4B"/>
    <w:rsid w:val="00BC2142"/>
    <w:rsid w:val="00BC7064"/>
    <w:rsid w:val="00BC78DE"/>
    <w:rsid w:val="00BE1305"/>
    <w:rsid w:val="00BE2DA1"/>
    <w:rsid w:val="00BE7A6B"/>
    <w:rsid w:val="00BF439A"/>
    <w:rsid w:val="00C07246"/>
    <w:rsid w:val="00C07DCA"/>
    <w:rsid w:val="00C24261"/>
    <w:rsid w:val="00C2437C"/>
    <w:rsid w:val="00C50CCB"/>
    <w:rsid w:val="00C53B2D"/>
    <w:rsid w:val="00C57877"/>
    <w:rsid w:val="00C73810"/>
    <w:rsid w:val="00C81212"/>
    <w:rsid w:val="00C940EA"/>
    <w:rsid w:val="00C94F1C"/>
    <w:rsid w:val="00CA6D88"/>
    <w:rsid w:val="00CA7BBF"/>
    <w:rsid w:val="00CC7397"/>
    <w:rsid w:val="00CF7FBA"/>
    <w:rsid w:val="00D0720F"/>
    <w:rsid w:val="00D223A8"/>
    <w:rsid w:val="00D22422"/>
    <w:rsid w:val="00D40C03"/>
    <w:rsid w:val="00D723D8"/>
    <w:rsid w:val="00D90727"/>
    <w:rsid w:val="00DB14C5"/>
    <w:rsid w:val="00E132AF"/>
    <w:rsid w:val="00E149AA"/>
    <w:rsid w:val="00E17676"/>
    <w:rsid w:val="00E24131"/>
    <w:rsid w:val="00E30FC5"/>
    <w:rsid w:val="00E559BD"/>
    <w:rsid w:val="00E7180B"/>
    <w:rsid w:val="00E90835"/>
    <w:rsid w:val="00E944B4"/>
    <w:rsid w:val="00EA09AF"/>
    <w:rsid w:val="00EC139A"/>
    <w:rsid w:val="00ED00C5"/>
    <w:rsid w:val="00EF22DE"/>
    <w:rsid w:val="00EF67F6"/>
    <w:rsid w:val="00F46DFE"/>
    <w:rsid w:val="00F55B75"/>
    <w:rsid w:val="00F76187"/>
    <w:rsid w:val="00F77271"/>
    <w:rsid w:val="00F90398"/>
    <w:rsid w:val="00FC4586"/>
    <w:rsid w:val="00FD4EA8"/>
    <w:rsid w:val="00FD4EC1"/>
    <w:rsid w:val="00FD6672"/>
    <w:rsid w:val="00FF5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0994B"/>
  <w15:chartTrackingRefBased/>
  <w15:docId w15:val="{3E00493E-C6B6-46C6-8BA4-BF91B22E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DA7"/>
  </w:style>
  <w:style w:type="paragraph" w:styleId="Footer">
    <w:name w:val="footer"/>
    <w:basedOn w:val="Normal"/>
    <w:link w:val="FooterChar"/>
    <w:uiPriority w:val="99"/>
    <w:unhideWhenUsed/>
    <w:rsid w:val="001D4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DA7"/>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4DA7"/>
    <w:pPr>
      <w:spacing w:after="160" w:line="259" w:lineRule="auto"/>
      <w:ind w:left="720"/>
      <w:contextualSpacing/>
    </w:pPr>
    <w:rPr>
      <w:rFonts w:ascii="Arial" w:hAnsi="Arial" w:cs="Arial"/>
      <w:sz w:val="24"/>
      <w:szCs w:val="24"/>
    </w:rPr>
  </w:style>
  <w:style w:type="table" w:styleId="TableGrid">
    <w:name w:val="Table Grid"/>
    <w:basedOn w:val="TableNormal"/>
    <w:uiPriority w:val="39"/>
    <w:rsid w:val="001D4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D4DA7"/>
    <w:rPr>
      <w:rFonts w:ascii="Arial" w:hAnsi="Arial" w:cs="Arial"/>
      <w:sz w:val="24"/>
      <w:szCs w:val="24"/>
    </w:rPr>
  </w:style>
  <w:style w:type="paragraph" w:customStyle="1" w:styleId="Style1">
    <w:name w:val="Style1"/>
    <w:basedOn w:val="Normal"/>
    <w:qFormat/>
    <w:rsid w:val="001D4DA7"/>
    <w:pPr>
      <w:spacing w:after="0" w:line="240" w:lineRule="auto"/>
      <w:ind w:left="720"/>
    </w:pPr>
    <w:rPr>
      <w:rFonts w:ascii="Arial" w:hAnsi="Arial"/>
    </w:rPr>
  </w:style>
  <w:style w:type="character" w:styleId="CommentReference">
    <w:name w:val="annotation reference"/>
    <w:basedOn w:val="DefaultParagraphFont"/>
    <w:uiPriority w:val="99"/>
    <w:semiHidden/>
    <w:unhideWhenUsed/>
    <w:rsid w:val="001D4DA7"/>
    <w:rPr>
      <w:sz w:val="16"/>
      <w:szCs w:val="16"/>
    </w:rPr>
  </w:style>
  <w:style w:type="paragraph" w:styleId="CommentText">
    <w:name w:val="annotation text"/>
    <w:basedOn w:val="Normal"/>
    <w:link w:val="CommentTextChar"/>
    <w:uiPriority w:val="99"/>
    <w:semiHidden/>
    <w:unhideWhenUsed/>
    <w:rsid w:val="001D4DA7"/>
    <w:pPr>
      <w:spacing w:line="240" w:lineRule="auto"/>
    </w:pPr>
    <w:rPr>
      <w:sz w:val="20"/>
      <w:szCs w:val="20"/>
    </w:rPr>
  </w:style>
  <w:style w:type="character" w:customStyle="1" w:styleId="CommentTextChar">
    <w:name w:val="Comment Text Char"/>
    <w:basedOn w:val="DefaultParagraphFont"/>
    <w:link w:val="CommentText"/>
    <w:uiPriority w:val="99"/>
    <w:semiHidden/>
    <w:rsid w:val="001D4DA7"/>
    <w:rPr>
      <w:sz w:val="20"/>
      <w:szCs w:val="20"/>
    </w:rPr>
  </w:style>
  <w:style w:type="paragraph" w:styleId="CommentSubject">
    <w:name w:val="annotation subject"/>
    <w:basedOn w:val="CommentText"/>
    <w:next w:val="CommentText"/>
    <w:link w:val="CommentSubjectChar"/>
    <w:uiPriority w:val="99"/>
    <w:semiHidden/>
    <w:unhideWhenUsed/>
    <w:rsid w:val="001D4DA7"/>
    <w:rPr>
      <w:b/>
      <w:bCs/>
    </w:rPr>
  </w:style>
  <w:style w:type="character" w:customStyle="1" w:styleId="CommentSubjectChar">
    <w:name w:val="Comment Subject Char"/>
    <w:basedOn w:val="CommentTextChar"/>
    <w:link w:val="CommentSubject"/>
    <w:uiPriority w:val="99"/>
    <w:semiHidden/>
    <w:rsid w:val="001D4DA7"/>
    <w:rPr>
      <w:b/>
      <w:bCs/>
      <w:sz w:val="20"/>
      <w:szCs w:val="20"/>
    </w:rPr>
  </w:style>
  <w:style w:type="paragraph" w:styleId="BalloonText">
    <w:name w:val="Balloon Text"/>
    <w:basedOn w:val="Normal"/>
    <w:link w:val="BalloonTextChar"/>
    <w:uiPriority w:val="99"/>
    <w:semiHidden/>
    <w:unhideWhenUsed/>
    <w:rsid w:val="001D4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A7"/>
    <w:rPr>
      <w:rFonts w:ascii="Segoe UI" w:hAnsi="Segoe UI" w:cs="Segoe UI"/>
      <w:sz w:val="18"/>
      <w:szCs w:val="18"/>
    </w:rPr>
  </w:style>
  <w:style w:type="paragraph" w:customStyle="1" w:styleId="Default">
    <w:name w:val="Default"/>
    <w:rsid w:val="00BB6B4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80C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291">
      <w:bodyDiv w:val="1"/>
      <w:marLeft w:val="0"/>
      <w:marRight w:val="0"/>
      <w:marTop w:val="0"/>
      <w:marBottom w:val="0"/>
      <w:divBdr>
        <w:top w:val="none" w:sz="0" w:space="0" w:color="auto"/>
        <w:left w:val="none" w:sz="0" w:space="0" w:color="auto"/>
        <w:bottom w:val="none" w:sz="0" w:space="0" w:color="auto"/>
        <w:right w:val="none" w:sz="0" w:space="0" w:color="auto"/>
      </w:divBdr>
    </w:div>
    <w:div w:id="67000234">
      <w:bodyDiv w:val="1"/>
      <w:marLeft w:val="0"/>
      <w:marRight w:val="0"/>
      <w:marTop w:val="0"/>
      <w:marBottom w:val="0"/>
      <w:divBdr>
        <w:top w:val="none" w:sz="0" w:space="0" w:color="auto"/>
        <w:left w:val="none" w:sz="0" w:space="0" w:color="auto"/>
        <w:bottom w:val="none" w:sz="0" w:space="0" w:color="auto"/>
        <w:right w:val="none" w:sz="0" w:space="0" w:color="auto"/>
      </w:divBdr>
    </w:div>
    <w:div w:id="100220754">
      <w:bodyDiv w:val="1"/>
      <w:marLeft w:val="0"/>
      <w:marRight w:val="0"/>
      <w:marTop w:val="0"/>
      <w:marBottom w:val="0"/>
      <w:divBdr>
        <w:top w:val="none" w:sz="0" w:space="0" w:color="auto"/>
        <w:left w:val="none" w:sz="0" w:space="0" w:color="auto"/>
        <w:bottom w:val="none" w:sz="0" w:space="0" w:color="auto"/>
        <w:right w:val="none" w:sz="0" w:space="0" w:color="auto"/>
      </w:divBdr>
    </w:div>
    <w:div w:id="390736650">
      <w:bodyDiv w:val="1"/>
      <w:marLeft w:val="0"/>
      <w:marRight w:val="0"/>
      <w:marTop w:val="0"/>
      <w:marBottom w:val="0"/>
      <w:divBdr>
        <w:top w:val="none" w:sz="0" w:space="0" w:color="auto"/>
        <w:left w:val="none" w:sz="0" w:space="0" w:color="auto"/>
        <w:bottom w:val="none" w:sz="0" w:space="0" w:color="auto"/>
        <w:right w:val="none" w:sz="0" w:space="0" w:color="auto"/>
      </w:divBdr>
    </w:div>
    <w:div w:id="454180111">
      <w:bodyDiv w:val="1"/>
      <w:marLeft w:val="0"/>
      <w:marRight w:val="0"/>
      <w:marTop w:val="0"/>
      <w:marBottom w:val="0"/>
      <w:divBdr>
        <w:top w:val="none" w:sz="0" w:space="0" w:color="auto"/>
        <w:left w:val="none" w:sz="0" w:space="0" w:color="auto"/>
        <w:bottom w:val="none" w:sz="0" w:space="0" w:color="auto"/>
        <w:right w:val="none" w:sz="0" w:space="0" w:color="auto"/>
      </w:divBdr>
    </w:div>
    <w:div w:id="670715072">
      <w:bodyDiv w:val="1"/>
      <w:marLeft w:val="0"/>
      <w:marRight w:val="0"/>
      <w:marTop w:val="0"/>
      <w:marBottom w:val="0"/>
      <w:divBdr>
        <w:top w:val="none" w:sz="0" w:space="0" w:color="auto"/>
        <w:left w:val="none" w:sz="0" w:space="0" w:color="auto"/>
        <w:bottom w:val="none" w:sz="0" w:space="0" w:color="auto"/>
        <w:right w:val="none" w:sz="0" w:space="0" w:color="auto"/>
      </w:divBdr>
    </w:div>
    <w:div w:id="762577667">
      <w:bodyDiv w:val="1"/>
      <w:marLeft w:val="0"/>
      <w:marRight w:val="0"/>
      <w:marTop w:val="0"/>
      <w:marBottom w:val="0"/>
      <w:divBdr>
        <w:top w:val="none" w:sz="0" w:space="0" w:color="auto"/>
        <w:left w:val="none" w:sz="0" w:space="0" w:color="auto"/>
        <w:bottom w:val="none" w:sz="0" w:space="0" w:color="auto"/>
        <w:right w:val="none" w:sz="0" w:space="0" w:color="auto"/>
      </w:divBdr>
    </w:div>
    <w:div w:id="773213091">
      <w:bodyDiv w:val="1"/>
      <w:marLeft w:val="0"/>
      <w:marRight w:val="0"/>
      <w:marTop w:val="0"/>
      <w:marBottom w:val="0"/>
      <w:divBdr>
        <w:top w:val="none" w:sz="0" w:space="0" w:color="auto"/>
        <w:left w:val="none" w:sz="0" w:space="0" w:color="auto"/>
        <w:bottom w:val="none" w:sz="0" w:space="0" w:color="auto"/>
        <w:right w:val="none" w:sz="0" w:space="0" w:color="auto"/>
      </w:divBdr>
    </w:div>
    <w:div w:id="903881008">
      <w:bodyDiv w:val="1"/>
      <w:marLeft w:val="0"/>
      <w:marRight w:val="0"/>
      <w:marTop w:val="0"/>
      <w:marBottom w:val="0"/>
      <w:divBdr>
        <w:top w:val="none" w:sz="0" w:space="0" w:color="auto"/>
        <w:left w:val="none" w:sz="0" w:space="0" w:color="auto"/>
        <w:bottom w:val="none" w:sz="0" w:space="0" w:color="auto"/>
        <w:right w:val="none" w:sz="0" w:space="0" w:color="auto"/>
      </w:divBdr>
    </w:div>
    <w:div w:id="925260531">
      <w:bodyDiv w:val="1"/>
      <w:marLeft w:val="0"/>
      <w:marRight w:val="0"/>
      <w:marTop w:val="0"/>
      <w:marBottom w:val="0"/>
      <w:divBdr>
        <w:top w:val="none" w:sz="0" w:space="0" w:color="auto"/>
        <w:left w:val="none" w:sz="0" w:space="0" w:color="auto"/>
        <w:bottom w:val="none" w:sz="0" w:space="0" w:color="auto"/>
        <w:right w:val="none" w:sz="0" w:space="0" w:color="auto"/>
      </w:divBdr>
    </w:div>
    <w:div w:id="943074502">
      <w:bodyDiv w:val="1"/>
      <w:marLeft w:val="0"/>
      <w:marRight w:val="0"/>
      <w:marTop w:val="0"/>
      <w:marBottom w:val="0"/>
      <w:divBdr>
        <w:top w:val="none" w:sz="0" w:space="0" w:color="auto"/>
        <w:left w:val="none" w:sz="0" w:space="0" w:color="auto"/>
        <w:bottom w:val="none" w:sz="0" w:space="0" w:color="auto"/>
        <w:right w:val="none" w:sz="0" w:space="0" w:color="auto"/>
      </w:divBdr>
    </w:div>
    <w:div w:id="983507541">
      <w:bodyDiv w:val="1"/>
      <w:marLeft w:val="0"/>
      <w:marRight w:val="0"/>
      <w:marTop w:val="0"/>
      <w:marBottom w:val="0"/>
      <w:divBdr>
        <w:top w:val="none" w:sz="0" w:space="0" w:color="auto"/>
        <w:left w:val="none" w:sz="0" w:space="0" w:color="auto"/>
        <w:bottom w:val="none" w:sz="0" w:space="0" w:color="auto"/>
        <w:right w:val="none" w:sz="0" w:space="0" w:color="auto"/>
      </w:divBdr>
    </w:div>
    <w:div w:id="1133476330">
      <w:bodyDiv w:val="1"/>
      <w:marLeft w:val="0"/>
      <w:marRight w:val="0"/>
      <w:marTop w:val="0"/>
      <w:marBottom w:val="0"/>
      <w:divBdr>
        <w:top w:val="none" w:sz="0" w:space="0" w:color="auto"/>
        <w:left w:val="none" w:sz="0" w:space="0" w:color="auto"/>
        <w:bottom w:val="none" w:sz="0" w:space="0" w:color="auto"/>
        <w:right w:val="none" w:sz="0" w:space="0" w:color="auto"/>
      </w:divBdr>
    </w:div>
    <w:div w:id="1240794092">
      <w:bodyDiv w:val="1"/>
      <w:marLeft w:val="0"/>
      <w:marRight w:val="0"/>
      <w:marTop w:val="0"/>
      <w:marBottom w:val="0"/>
      <w:divBdr>
        <w:top w:val="none" w:sz="0" w:space="0" w:color="auto"/>
        <w:left w:val="none" w:sz="0" w:space="0" w:color="auto"/>
        <w:bottom w:val="none" w:sz="0" w:space="0" w:color="auto"/>
        <w:right w:val="none" w:sz="0" w:space="0" w:color="auto"/>
      </w:divBdr>
    </w:div>
    <w:div w:id="1435133384">
      <w:bodyDiv w:val="1"/>
      <w:marLeft w:val="0"/>
      <w:marRight w:val="0"/>
      <w:marTop w:val="0"/>
      <w:marBottom w:val="0"/>
      <w:divBdr>
        <w:top w:val="none" w:sz="0" w:space="0" w:color="auto"/>
        <w:left w:val="none" w:sz="0" w:space="0" w:color="auto"/>
        <w:bottom w:val="none" w:sz="0" w:space="0" w:color="auto"/>
        <w:right w:val="none" w:sz="0" w:space="0" w:color="auto"/>
      </w:divBdr>
    </w:div>
    <w:div w:id="1508207627">
      <w:bodyDiv w:val="1"/>
      <w:marLeft w:val="0"/>
      <w:marRight w:val="0"/>
      <w:marTop w:val="0"/>
      <w:marBottom w:val="0"/>
      <w:divBdr>
        <w:top w:val="none" w:sz="0" w:space="0" w:color="auto"/>
        <w:left w:val="none" w:sz="0" w:space="0" w:color="auto"/>
        <w:bottom w:val="none" w:sz="0" w:space="0" w:color="auto"/>
        <w:right w:val="none" w:sz="0" w:space="0" w:color="auto"/>
      </w:divBdr>
    </w:div>
    <w:div w:id="1665668658">
      <w:bodyDiv w:val="1"/>
      <w:marLeft w:val="0"/>
      <w:marRight w:val="0"/>
      <w:marTop w:val="0"/>
      <w:marBottom w:val="0"/>
      <w:divBdr>
        <w:top w:val="none" w:sz="0" w:space="0" w:color="auto"/>
        <w:left w:val="none" w:sz="0" w:space="0" w:color="auto"/>
        <w:bottom w:val="none" w:sz="0" w:space="0" w:color="auto"/>
        <w:right w:val="none" w:sz="0" w:space="0" w:color="auto"/>
      </w:divBdr>
    </w:div>
    <w:div w:id="1770932949">
      <w:bodyDiv w:val="1"/>
      <w:marLeft w:val="0"/>
      <w:marRight w:val="0"/>
      <w:marTop w:val="0"/>
      <w:marBottom w:val="0"/>
      <w:divBdr>
        <w:top w:val="none" w:sz="0" w:space="0" w:color="auto"/>
        <w:left w:val="none" w:sz="0" w:space="0" w:color="auto"/>
        <w:bottom w:val="none" w:sz="0" w:space="0" w:color="auto"/>
        <w:right w:val="none" w:sz="0" w:space="0" w:color="auto"/>
      </w:divBdr>
    </w:div>
    <w:div w:id="2004433187">
      <w:bodyDiv w:val="1"/>
      <w:marLeft w:val="0"/>
      <w:marRight w:val="0"/>
      <w:marTop w:val="0"/>
      <w:marBottom w:val="0"/>
      <w:divBdr>
        <w:top w:val="none" w:sz="0" w:space="0" w:color="auto"/>
        <w:left w:val="none" w:sz="0" w:space="0" w:color="auto"/>
        <w:bottom w:val="none" w:sz="0" w:space="0" w:color="auto"/>
        <w:right w:val="none" w:sz="0" w:space="0" w:color="auto"/>
      </w:divBdr>
    </w:div>
    <w:div w:id="2008819782">
      <w:bodyDiv w:val="1"/>
      <w:marLeft w:val="0"/>
      <w:marRight w:val="0"/>
      <w:marTop w:val="0"/>
      <w:marBottom w:val="0"/>
      <w:divBdr>
        <w:top w:val="none" w:sz="0" w:space="0" w:color="auto"/>
        <w:left w:val="none" w:sz="0" w:space="0" w:color="auto"/>
        <w:bottom w:val="none" w:sz="0" w:space="0" w:color="auto"/>
        <w:right w:val="none" w:sz="0" w:space="0" w:color="auto"/>
      </w:divBdr>
    </w:div>
    <w:div w:id="2098331981">
      <w:bodyDiv w:val="1"/>
      <w:marLeft w:val="0"/>
      <w:marRight w:val="0"/>
      <w:marTop w:val="0"/>
      <w:marBottom w:val="0"/>
      <w:divBdr>
        <w:top w:val="none" w:sz="0" w:space="0" w:color="auto"/>
        <w:left w:val="none" w:sz="0" w:space="0" w:color="auto"/>
        <w:bottom w:val="none" w:sz="0" w:space="0" w:color="auto"/>
        <w:right w:val="none" w:sz="0" w:space="0" w:color="auto"/>
      </w:divBdr>
    </w:div>
    <w:div w:id="211624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F6BA9-A3C5-45C1-A5FF-031FF35C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4680</Words>
  <Characters>26681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Richardson (NHS GOLDEN JUBILEE)</dc:creator>
  <cp:keywords/>
  <dc:description/>
  <cp:lastModifiedBy>Alison Mackay</cp:lastModifiedBy>
  <cp:revision>10</cp:revision>
  <dcterms:created xsi:type="dcterms:W3CDTF">2022-05-31T16:48:00Z</dcterms:created>
  <dcterms:modified xsi:type="dcterms:W3CDTF">2022-07-21T08:39:00Z</dcterms:modified>
</cp:coreProperties>
</file>