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3B9" w:rsidRDefault="00D11715" w:rsidP="00D11715">
      <w:pPr>
        <w:jc w:val="right"/>
      </w:pPr>
      <w:r>
        <w:rPr>
          <w:rFonts w:ascii="Arial" w:hAnsi="Arial" w:cs="Arial"/>
          <w:noProof/>
          <w:lang w:eastAsia="en-GB"/>
        </w:rPr>
        <w:drawing>
          <wp:inline distT="0" distB="0" distL="0" distR="0" wp14:anchorId="0983D312" wp14:editId="2145109D">
            <wp:extent cx="766141" cy="5304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5803" cy="544017"/>
                    </a:xfrm>
                    <a:prstGeom prst="rect">
                      <a:avLst/>
                    </a:prstGeom>
                    <a:noFill/>
                    <a:ln w="9525">
                      <a:noFill/>
                      <a:miter lim="800000"/>
                      <a:headEnd/>
                      <a:tailEnd/>
                    </a:ln>
                  </pic:spPr>
                </pic:pic>
              </a:graphicData>
            </a:graphic>
          </wp:inline>
        </w:drawing>
      </w:r>
    </w:p>
    <w:tbl>
      <w:tblPr>
        <w:tblW w:w="9356" w:type="dxa"/>
        <w:tblInd w:w="108" w:type="dxa"/>
        <w:tblLayout w:type="fixed"/>
        <w:tblLook w:val="04A0" w:firstRow="1" w:lastRow="0" w:firstColumn="1" w:lastColumn="0" w:noHBand="0" w:noVBand="1"/>
      </w:tblPr>
      <w:tblGrid>
        <w:gridCol w:w="2557"/>
        <w:gridCol w:w="6799"/>
      </w:tblGrid>
      <w:tr w:rsidR="00D11715" w:rsidRPr="005B4BA8" w:rsidTr="00D11715">
        <w:trPr>
          <w:trHeight w:val="1091"/>
        </w:trPr>
        <w:tc>
          <w:tcPr>
            <w:tcW w:w="2557" w:type="dxa"/>
          </w:tcPr>
          <w:p w:rsidR="00D11715" w:rsidRDefault="00D11715" w:rsidP="00ED6921">
            <w:pPr>
              <w:pStyle w:val="Heading1"/>
              <w:ind w:right="183"/>
              <w:contextualSpacing/>
              <w:rPr>
                <w:rFonts w:ascii="Arial" w:hAnsi="Arial" w:cs="Arial"/>
                <w:bCs w:val="0"/>
                <w:sz w:val="24"/>
                <w:szCs w:val="24"/>
              </w:rPr>
            </w:pPr>
            <w:r>
              <w:rPr>
                <w:rFonts w:ascii="Arial" w:hAnsi="Arial" w:cs="Arial"/>
                <w:bCs w:val="0"/>
                <w:sz w:val="24"/>
                <w:szCs w:val="24"/>
              </w:rPr>
              <w:t>Meeting:</w:t>
            </w:r>
          </w:p>
          <w:p w:rsidR="00D11715" w:rsidRDefault="00D11715" w:rsidP="00D11715"/>
          <w:p w:rsidR="00D11715" w:rsidRPr="00D11715" w:rsidRDefault="00D11715" w:rsidP="00D11715">
            <w:pPr>
              <w:rPr>
                <w:rFonts w:ascii="Arial" w:hAnsi="Arial" w:cs="Arial"/>
                <w:b/>
              </w:rPr>
            </w:pPr>
            <w:r w:rsidRPr="00D11715">
              <w:rPr>
                <w:rFonts w:ascii="Arial" w:hAnsi="Arial" w:cs="Arial"/>
                <w:b/>
              </w:rPr>
              <w:t xml:space="preserve">Date: </w:t>
            </w:r>
          </w:p>
        </w:tc>
        <w:tc>
          <w:tcPr>
            <w:tcW w:w="6799" w:type="dxa"/>
          </w:tcPr>
          <w:p w:rsidR="00D11715" w:rsidRDefault="00D11715" w:rsidP="00BB6FE0">
            <w:pPr>
              <w:pStyle w:val="Heading1"/>
              <w:ind w:right="183"/>
              <w:contextualSpacing/>
              <w:rPr>
                <w:rFonts w:ascii="Arial" w:hAnsi="Arial" w:cs="Arial"/>
                <w:b w:val="0"/>
                <w:sz w:val="24"/>
                <w:szCs w:val="24"/>
              </w:rPr>
            </w:pPr>
            <w:r>
              <w:rPr>
                <w:rFonts w:ascii="Arial" w:hAnsi="Arial" w:cs="Arial"/>
                <w:b w:val="0"/>
                <w:sz w:val="24"/>
                <w:szCs w:val="24"/>
              </w:rPr>
              <w:t xml:space="preserve">NHS GJ Board Meeting </w:t>
            </w:r>
          </w:p>
          <w:p w:rsidR="00D11715" w:rsidRDefault="00D11715" w:rsidP="00D11715"/>
          <w:p w:rsidR="00D11715" w:rsidRPr="00D11715" w:rsidRDefault="00D11715" w:rsidP="00D11715">
            <w:pPr>
              <w:rPr>
                <w:rFonts w:ascii="Arial" w:hAnsi="Arial" w:cs="Arial"/>
              </w:rPr>
            </w:pPr>
            <w:r w:rsidRPr="00D11715">
              <w:rPr>
                <w:rFonts w:ascii="Arial" w:hAnsi="Arial" w:cs="Arial"/>
              </w:rPr>
              <w:t>28 July 2022</w:t>
            </w:r>
          </w:p>
        </w:tc>
      </w:tr>
      <w:tr w:rsidR="00D11715" w:rsidRPr="005B4BA8" w:rsidTr="000D094B">
        <w:trPr>
          <w:trHeight w:val="531"/>
        </w:trPr>
        <w:tc>
          <w:tcPr>
            <w:tcW w:w="2557" w:type="dxa"/>
          </w:tcPr>
          <w:p w:rsidR="00D11715" w:rsidRPr="005B4BA8" w:rsidRDefault="00D11715" w:rsidP="00ED6921">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6799" w:type="dxa"/>
          </w:tcPr>
          <w:p w:rsidR="000D094B" w:rsidRPr="000D094B" w:rsidRDefault="00D11715" w:rsidP="000D094B">
            <w:pPr>
              <w:pStyle w:val="Heading1"/>
              <w:ind w:right="183"/>
              <w:contextualSpacing/>
              <w:rPr>
                <w:rFonts w:ascii="Arial" w:hAnsi="Arial" w:cs="Arial"/>
                <w:b w:val="0"/>
                <w:sz w:val="24"/>
                <w:szCs w:val="24"/>
              </w:rPr>
            </w:pPr>
            <w:r>
              <w:rPr>
                <w:rFonts w:ascii="Arial" w:hAnsi="Arial" w:cs="Arial"/>
                <w:b w:val="0"/>
                <w:sz w:val="24"/>
                <w:szCs w:val="24"/>
              </w:rPr>
              <w:t>Workforce Monitoring Report Financial Year 2021 –2022</w:t>
            </w:r>
          </w:p>
        </w:tc>
      </w:tr>
      <w:tr w:rsidR="005B4BA8" w:rsidRPr="005B4BA8" w:rsidTr="005B4BA8">
        <w:trPr>
          <w:trHeight w:val="499"/>
        </w:trPr>
        <w:tc>
          <w:tcPr>
            <w:tcW w:w="2557" w:type="dxa"/>
          </w:tcPr>
          <w:p w:rsidR="005B4BA8" w:rsidRPr="005B4BA8" w:rsidRDefault="005B4BA8" w:rsidP="00ED6921">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tcPr>
          <w:p w:rsidR="005B4BA8" w:rsidRDefault="00EA60BE" w:rsidP="00ED6921">
            <w:pPr>
              <w:pStyle w:val="Heading1"/>
              <w:ind w:right="183"/>
              <w:contextualSpacing/>
              <w:rPr>
                <w:rFonts w:ascii="Arial" w:hAnsi="Arial" w:cs="Arial"/>
                <w:b w:val="0"/>
                <w:sz w:val="24"/>
                <w:szCs w:val="24"/>
              </w:rPr>
            </w:pPr>
            <w:r>
              <w:rPr>
                <w:rFonts w:ascii="Arial" w:hAnsi="Arial" w:cs="Arial"/>
                <w:b w:val="0"/>
                <w:sz w:val="24"/>
                <w:szCs w:val="24"/>
              </w:rPr>
              <w:t>M</w:t>
            </w:r>
            <w:r w:rsidR="005B4BA8" w:rsidRPr="005B4BA8">
              <w:rPr>
                <w:rFonts w:ascii="Arial" w:hAnsi="Arial" w:cs="Arial"/>
                <w:b w:val="0"/>
                <w:sz w:val="24"/>
                <w:szCs w:val="24"/>
              </w:rPr>
              <w:t>embers are asked to:</w:t>
            </w:r>
            <w:bookmarkStart w:id="0" w:name="_GoBack"/>
            <w:bookmarkEnd w:id="0"/>
          </w:p>
          <w:p w:rsidR="005B4BA8" w:rsidRPr="005B4BA8" w:rsidRDefault="005B4BA8" w:rsidP="00ED6921"/>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Pr="00617130" w:rsidRDefault="005B4BA8" w:rsidP="00BB07CA">
                  <w:pPr>
                    <w:contextualSpacing/>
                    <w:jc w:val="center"/>
                    <w:rPr>
                      <w:rFonts w:ascii="Wingdings 2" w:hAnsi="Wingdings 2"/>
                    </w:rPr>
                  </w:pPr>
                </w:p>
              </w:tc>
            </w:tr>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Pr="00617130" w:rsidRDefault="00D56537" w:rsidP="00ED6921">
                  <w:pPr>
                    <w:contextualSpacing/>
                    <w:rPr>
                      <w:rFonts w:ascii="Wingdings 2" w:hAnsi="Wingdings 2"/>
                    </w:rPr>
                  </w:pPr>
                  <w:r>
                    <w:rPr>
                      <w:rFonts w:ascii="Wingdings 2" w:hAnsi="Wingdings 2"/>
                    </w:rPr>
                    <w:t></w:t>
                  </w:r>
                </w:p>
              </w:tc>
            </w:tr>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Pr="00617130" w:rsidRDefault="005B4BA8" w:rsidP="00ED6921">
                  <w:pPr>
                    <w:contextualSpacing/>
                    <w:rPr>
                      <w:rFonts w:ascii="Wingdings 2" w:hAnsi="Wingdings 2"/>
                    </w:rPr>
                  </w:pPr>
                </w:p>
              </w:tc>
            </w:tr>
          </w:tbl>
          <w:p w:rsidR="005B4BA8" w:rsidRPr="0073139D" w:rsidRDefault="005B4BA8" w:rsidP="00ED6921">
            <w:pPr>
              <w:contextualSpacing/>
            </w:pPr>
          </w:p>
        </w:tc>
      </w:tr>
      <w:tr w:rsidR="005B4BA8" w:rsidRPr="005B4BA8" w:rsidTr="00D11715">
        <w:trPr>
          <w:trHeight w:val="121"/>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BB07CA" w:rsidRPr="00BB07CA" w:rsidRDefault="00BB07CA" w:rsidP="00BB07CA"/>
    <w:p w:rsidR="00ED6921" w:rsidRPr="00ED6921" w:rsidRDefault="00BB6FE0" w:rsidP="00ED6921">
      <w:pPr>
        <w:pStyle w:val="Heading2"/>
        <w:numPr>
          <w:ilvl w:val="0"/>
          <w:numId w:val="19"/>
        </w:numPr>
        <w:spacing w:before="0" w:after="0"/>
        <w:ind w:left="567" w:right="181" w:hanging="567"/>
        <w:rPr>
          <w:i w:val="0"/>
          <w:sz w:val="24"/>
          <w:szCs w:val="24"/>
        </w:rPr>
      </w:pPr>
      <w:r>
        <w:rPr>
          <w:i w:val="0"/>
          <w:sz w:val="24"/>
          <w:szCs w:val="24"/>
        </w:rPr>
        <w:t xml:space="preserve">Introduction </w:t>
      </w:r>
    </w:p>
    <w:p w:rsidR="0098351B" w:rsidRDefault="0098351B" w:rsidP="0098351B">
      <w:pPr>
        <w:pStyle w:val="Heading2"/>
        <w:spacing w:before="0" w:after="0"/>
        <w:ind w:left="567" w:right="181"/>
        <w:rPr>
          <w:b w:val="0"/>
          <w:i w:val="0"/>
          <w:sz w:val="24"/>
          <w:szCs w:val="24"/>
        </w:rPr>
      </w:pPr>
    </w:p>
    <w:p w:rsidR="00BB6FE0" w:rsidRDefault="00BB6FE0" w:rsidP="00FF0BA4">
      <w:pPr>
        <w:ind w:left="567"/>
        <w:rPr>
          <w:rFonts w:ascii="Arial" w:hAnsi="Arial" w:cs="Arial"/>
        </w:rPr>
      </w:pPr>
      <w:r w:rsidRPr="00D03DF3">
        <w:rPr>
          <w:rFonts w:ascii="Arial" w:hAnsi="Arial" w:cs="Arial"/>
        </w:rPr>
        <w:t>The Board is required to produce a Workforce Monitoring Re</w:t>
      </w:r>
      <w:r w:rsidR="00FF0BA4">
        <w:rPr>
          <w:rFonts w:ascii="Arial" w:hAnsi="Arial" w:cs="Arial"/>
        </w:rPr>
        <w:t xml:space="preserve">port every twelve months in accordance </w:t>
      </w:r>
      <w:r w:rsidRPr="00D03DF3">
        <w:rPr>
          <w:rFonts w:ascii="Arial" w:hAnsi="Arial" w:cs="Arial"/>
        </w:rPr>
        <w:t xml:space="preserve"> with the Equality Act (Specific Duties) (Scotland) Regulations 2012 and the Partnership Information Network (PIN) Policy “Embracing Equality, Diversity and </w:t>
      </w:r>
      <w:r w:rsidR="00DF2C4E">
        <w:rPr>
          <w:rFonts w:ascii="Arial" w:hAnsi="Arial" w:cs="Arial"/>
        </w:rPr>
        <w:t>Human Rights in NHS Scotlan.</w:t>
      </w:r>
      <w:r w:rsidR="00FF0BA4">
        <w:rPr>
          <w:rFonts w:ascii="Arial" w:hAnsi="Arial" w:cs="Arial"/>
        </w:rPr>
        <w:t xml:space="preserve">  The report also considers</w:t>
      </w:r>
      <w:r w:rsidRPr="00D03DF3">
        <w:rPr>
          <w:rFonts w:ascii="Arial" w:hAnsi="Arial" w:cs="Arial"/>
        </w:rPr>
        <w:t xml:space="preserve"> that sickness absence, employee turnover, employee recruitment and work life balance policies hav</w:t>
      </w:r>
      <w:r>
        <w:rPr>
          <w:rFonts w:ascii="Arial" w:hAnsi="Arial" w:cs="Arial"/>
        </w:rPr>
        <w:t>e on employees and the service.</w:t>
      </w:r>
    </w:p>
    <w:p w:rsidR="00BB6FE0" w:rsidRDefault="00BB6FE0" w:rsidP="00BB6FE0">
      <w:pPr>
        <w:rPr>
          <w:rFonts w:ascii="Arial" w:hAnsi="Arial" w:cs="Arial"/>
        </w:rPr>
      </w:pPr>
    </w:p>
    <w:p w:rsidR="00BB6FE0" w:rsidRPr="00BB6FE0" w:rsidRDefault="00BB6FE0" w:rsidP="00BB6FE0">
      <w:pPr>
        <w:pStyle w:val="ListParagraph"/>
        <w:numPr>
          <w:ilvl w:val="0"/>
          <w:numId w:val="19"/>
        </w:numPr>
        <w:ind w:left="567" w:hanging="567"/>
        <w:rPr>
          <w:rFonts w:ascii="Arial" w:hAnsi="Arial" w:cs="Arial"/>
          <w:b/>
        </w:rPr>
      </w:pPr>
      <w:r w:rsidRPr="00BB6FE0">
        <w:rPr>
          <w:rFonts w:ascii="Arial" w:hAnsi="Arial" w:cs="Arial"/>
          <w:b/>
        </w:rPr>
        <w:t>Background</w:t>
      </w:r>
    </w:p>
    <w:p w:rsidR="00BB6FE0" w:rsidRDefault="00BB6FE0" w:rsidP="00BB6FE0">
      <w:pPr>
        <w:rPr>
          <w:rFonts w:ascii="Arial" w:hAnsi="Arial" w:cs="Arial"/>
        </w:rPr>
      </w:pPr>
    </w:p>
    <w:p w:rsidR="00BB6FE0" w:rsidRDefault="00BB6FE0" w:rsidP="00CC3B4D">
      <w:pPr>
        <w:pStyle w:val="Body"/>
        <w:ind w:left="567"/>
        <w:rPr>
          <w:rFonts w:ascii="Arial" w:eastAsia="Arial" w:hAnsi="Arial" w:cs="Arial"/>
          <w:bCs/>
        </w:rPr>
      </w:pPr>
      <w:r>
        <w:rPr>
          <w:rFonts w:ascii="Arial" w:eastAsia="Arial" w:hAnsi="Arial" w:cs="Arial"/>
          <w:bCs/>
        </w:rPr>
        <w:t>Following on from the first draft of the report, which was presented at the Staff Governance Sub Group meeting on</w:t>
      </w:r>
      <w:r w:rsidR="00CC3B4D">
        <w:rPr>
          <w:rFonts w:ascii="Arial" w:eastAsia="Arial" w:hAnsi="Arial" w:cs="Arial"/>
          <w:bCs/>
        </w:rPr>
        <w:t xml:space="preserve"> 2 June 2022</w:t>
      </w:r>
      <w:r>
        <w:rPr>
          <w:rFonts w:ascii="Arial" w:eastAsia="Arial" w:hAnsi="Arial" w:cs="Arial"/>
          <w:bCs/>
        </w:rPr>
        <w:t xml:space="preserve"> , this version has been updated to take account of recommendations and feedback from those attending the </w:t>
      </w:r>
      <w:r w:rsidR="00CC3B4D">
        <w:rPr>
          <w:rFonts w:ascii="Arial" w:eastAsia="Arial" w:hAnsi="Arial" w:cs="Arial"/>
          <w:bCs/>
        </w:rPr>
        <w:t>2 June</w:t>
      </w:r>
      <w:r>
        <w:rPr>
          <w:rFonts w:ascii="Arial" w:eastAsia="Arial" w:hAnsi="Arial" w:cs="Arial"/>
          <w:bCs/>
        </w:rPr>
        <w:t xml:space="preserve"> meeting</w:t>
      </w:r>
      <w:r w:rsidR="00CC3B4D">
        <w:rPr>
          <w:rFonts w:ascii="Arial" w:eastAsia="Arial" w:hAnsi="Arial" w:cs="Arial"/>
          <w:bCs/>
        </w:rPr>
        <w:t xml:space="preserve">, </w:t>
      </w:r>
      <w:r>
        <w:rPr>
          <w:rFonts w:ascii="Arial" w:eastAsia="Arial" w:hAnsi="Arial" w:cs="Arial"/>
          <w:bCs/>
        </w:rPr>
        <w:t xml:space="preserve">the report was also shared with the partnership forum on the </w:t>
      </w:r>
      <w:r w:rsidR="00CC3B4D">
        <w:rPr>
          <w:rFonts w:ascii="Arial" w:eastAsia="Arial" w:hAnsi="Arial" w:cs="Arial"/>
          <w:bCs/>
        </w:rPr>
        <w:t>17 June 2022</w:t>
      </w:r>
      <w:r>
        <w:rPr>
          <w:rFonts w:ascii="Arial" w:eastAsia="Arial" w:hAnsi="Arial" w:cs="Arial"/>
          <w:bCs/>
        </w:rPr>
        <w:t>.</w:t>
      </w:r>
    </w:p>
    <w:p w:rsidR="00CC3B4D" w:rsidRDefault="00CC3B4D" w:rsidP="00CC3B4D">
      <w:pPr>
        <w:pStyle w:val="Body"/>
        <w:ind w:left="567"/>
        <w:rPr>
          <w:rFonts w:ascii="Arial" w:eastAsia="Arial" w:hAnsi="Arial" w:cs="Arial"/>
          <w:bCs/>
        </w:rPr>
      </w:pPr>
    </w:p>
    <w:p w:rsidR="00CC3B4D" w:rsidRDefault="00CC3B4D" w:rsidP="00CC3B4D">
      <w:pPr>
        <w:pStyle w:val="NoSpacing"/>
        <w:ind w:left="567"/>
        <w:rPr>
          <w:rFonts w:ascii="Arial" w:hAnsi="Arial" w:cs="Arial"/>
          <w:kern w:val="28"/>
          <w:sz w:val="24"/>
          <w:szCs w:val="24"/>
          <w:lang w:eastAsia="en-GB"/>
        </w:rPr>
      </w:pPr>
      <w:r>
        <w:rPr>
          <w:rFonts w:ascii="Arial" w:hAnsi="Arial" w:cs="Arial"/>
          <w:kern w:val="28"/>
          <w:sz w:val="24"/>
          <w:szCs w:val="24"/>
          <w:lang w:eastAsia="en-GB"/>
        </w:rPr>
        <w:t>Last year we included some information and analysis of the gender pay gap.  This year we have also included details of race pay gap and disability pay gap.</w:t>
      </w:r>
    </w:p>
    <w:p w:rsidR="00CC3B4D" w:rsidRDefault="00CC3B4D" w:rsidP="00CC3B4D">
      <w:pPr>
        <w:pStyle w:val="NoSpacing"/>
        <w:rPr>
          <w:rFonts w:ascii="Arial" w:hAnsi="Arial" w:cs="Arial"/>
          <w:kern w:val="28"/>
          <w:sz w:val="24"/>
          <w:szCs w:val="24"/>
          <w:lang w:eastAsia="en-GB"/>
        </w:rPr>
      </w:pPr>
    </w:p>
    <w:p w:rsidR="00CC3B4D" w:rsidRDefault="00CC3B4D" w:rsidP="00CC3B4D">
      <w:pPr>
        <w:pStyle w:val="NoSpacing"/>
        <w:ind w:left="567"/>
        <w:rPr>
          <w:rFonts w:ascii="Arial" w:hAnsi="Arial" w:cs="Arial"/>
          <w:kern w:val="28"/>
          <w:sz w:val="24"/>
          <w:szCs w:val="24"/>
          <w:lang w:eastAsia="en-GB"/>
        </w:rPr>
      </w:pPr>
      <w:r>
        <w:rPr>
          <w:rFonts w:ascii="Arial" w:hAnsi="Arial" w:cs="Arial"/>
          <w:kern w:val="28"/>
          <w:sz w:val="24"/>
          <w:szCs w:val="24"/>
          <w:lang w:eastAsia="en-GB"/>
        </w:rPr>
        <w:t>This year we have been unable to provide information and analysis on job applicants and those shortlisted, as Jobtrain does not yet give us access to reports that would provide the details needed.</w:t>
      </w:r>
    </w:p>
    <w:p w:rsidR="00CC3B4D" w:rsidRDefault="00CC3B4D" w:rsidP="00CC3B4D">
      <w:pPr>
        <w:pStyle w:val="Body"/>
        <w:ind w:left="567"/>
        <w:rPr>
          <w:rFonts w:ascii="Arial" w:eastAsia="Arial" w:hAnsi="Arial" w:cs="Arial"/>
          <w:bCs/>
        </w:rPr>
      </w:pPr>
    </w:p>
    <w:p w:rsidR="00BB6FE0" w:rsidRDefault="00BB6FE0" w:rsidP="00BB6FE0">
      <w:pPr>
        <w:pStyle w:val="Body"/>
        <w:ind w:left="360"/>
        <w:rPr>
          <w:rFonts w:ascii="Arial" w:eastAsia="Arial" w:hAnsi="Arial" w:cs="Arial"/>
          <w:bCs/>
        </w:rPr>
      </w:pPr>
    </w:p>
    <w:p w:rsidR="005239DB"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DF2C4E" w:rsidRPr="00DF2C4E" w:rsidRDefault="00DF2C4E" w:rsidP="00DF2C4E"/>
    <w:p w:rsidR="005239DB" w:rsidRPr="00474707" w:rsidRDefault="00D848F3" w:rsidP="00474707">
      <w:pPr>
        <w:ind w:left="567" w:right="181"/>
        <w:rPr>
          <w:rFonts w:ascii="Arial" w:hAnsi="Arial" w:cs="Arial"/>
          <w:bCs/>
        </w:rPr>
      </w:pPr>
      <w:r>
        <w:rPr>
          <w:rFonts w:ascii="Arial" w:hAnsi="Arial" w:cs="Arial"/>
          <w:bCs/>
        </w:rPr>
        <w:t xml:space="preserve">The </w:t>
      </w:r>
      <w:r w:rsidR="00D11715">
        <w:rPr>
          <w:rFonts w:ascii="Arial" w:hAnsi="Arial" w:cs="Arial"/>
          <w:bCs/>
        </w:rPr>
        <w:t>NHS Golden Jubilee</w:t>
      </w:r>
      <w:r w:rsidR="00D56537">
        <w:rPr>
          <w:rFonts w:ascii="Arial" w:hAnsi="Arial" w:cs="Arial"/>
          <w:bCs/>
        </w:rPr>
        <w:t xml:space="preserve"> are </w:t>
      </w:r>
      <w:r w:rsidR="00474707" w:rsidRPr="00474707">
        <w:rPr>
          <w:rFonts w:ascii="Arial" w:hAnsi="Arial" w:cs="Arial"/>
          <w:bCs/>
        </w:rPr>
        <w:t xml:space="preserve">asked </w:t>
      </w:r>
      <w:r w:rsidR="00D56537">
        <w:rPr>
          <w:rFonts w:ascii="Arial" w:hAnsi="Arial" w:cs="Arial"/>
          <w:bCs/>
        </w:rPr>
        <w:t xml:space="preserve">to discuss and approve the </w:t>
      </w:r>
      <w:r w:rsidR="00474707">
        <w:rPr>
          <w:rFonts w:ascii="Arial" w:hAnsi="Arial" w:cs="Arial"/>
          <w:bCs/>
        </w:rPr>
        <w:t xml:space="preserve">contents of the </w:t>
      </w:r>
      <w:r w:rsidR="00BB6FE0">
        <w:rPr>
          <w:rFonts w:ascii="Arial" w:hAnsi="Arial" w:cs="Arial"/>
          <w:bCs/>
        </w:rPr>
        <w:t>Workforce Monitoring Report</w:t>
      </w:r>
      <w:r w:rsidR="00474707">
        <w:rPr>
          <w:rFonts w:ascii="Arial" w:hAnsi="Arial" w:cs="Arial"/>
          <w:bCs/>
        </w:rPr>
        <w:t>.</w:t>
      </w:r>
    </w:p>
    <w:p w:rsidR="00EA60BE" w:rsidRDefault="00EA60BE" w:rsidP="005239DB">
      <w:pPr>
        <w:ind w:right="183"/>
        <w:rPr>
          <w:rFonts w:ascii="Arial" w:hAnsi="Arial" w:cs="Arial"/>
          <w:bCs/>
        </w:rPr>
      </w:pPr>
    </w:p>
    <w:p w:rsidR="00DF2C4E" w:rsidRPr="00DF2C4E" w:rsidRDefault="00DF2C4E" w:rsidP="005239DB">
      <w:pPr>
        <w:ind w:right="183"/>
        <w:rPr>
          <w:rFonts w:ascii="Arial" w:hAnsi="Arial" w:cs="Arial"/>
          <w:b/>
          <w:bCs/>
        </w:rPr>
      </w:pPr>
      <w:r w:rsidRPr="00DF2C4E">
        <w:rPr>
          <w:rFonts w:ascii="Arial" w:hAnsi="Arial" w:cs="Arial"/>
          <w:b/>
          <w:bCs/>
        </w:rPr>
        <w:t xml:space="preserve">Report Prepared by </w:t>
      </w:r>
    </w:p>
    <w:p w:rsidR="00DF2C4E" w:rsidRPr="00DF2C4E" w:rsidRDefault="00DF2C4E" w:rsidP="005239DB">
      <w:pPr>
        <w:ind w:right="183"/>
        <w:rPr>
          <w:rFonts w:ascii="Arial" w:hAnsi="Arial" w:cs="Arial"/>
          <w:b/>
          <w:bCs/>
        </w:rPr>
      </w:pPr>
      <w:r w:rsidRPr="00DF2C4E">
        <w:rPr>
          <w:rFonts w:ascii="Arial" w:hAnsi="Arial" w:cs="Arial"/>
          <w:b/>
          <w:bCs/>
        </w:rPr>
        <w:t xml:space="preserve">David Wilson </w:t>
      </w:r>
    </w:p>
    <w:p w:rsidR="00DF2C4E" w:rsidRPr="00DF2C4E" w:rsidRDefault="00DF2C4E" w:rsidP="005239DB">
      <w:pPr>
        <w:ind w:right="183"/>
        <w:rPr>
          <w:rFonts w:ascii="Arial" w:hAnsi="Arial" w:cs="Arial"/>
          <w:b/>
          <w:bCs/>
        </w:rPr>
      </w:pPr>
      <w:r w:rsidRPr="00DF2C4E">
        <w:rPr>
          <w:rFonts w:ascii="Arial" w:hAnsi="Arial" w:cs="Arial"/>
          <w:b/>
          <w:bCs/>
        </w:rPr>
        <w:t xml:space="preserve">Workforce Information Advisor </w:t>
      </w:r>
    </w:p>
    <w:sectPr w:rsidR="00DF2C4E" w:rsidRPr="00DF2C4E" w:rsidSect="00D11715">
      <w:footerReference w:type="default" r:id="rId9"/>
      <w:headerReference w:type="first" r:id="rId10"/>
      <w:footerReference w:type="first" r:id="rId11"/>
      <w:pgSz w:w="11906" w:h="16838"/>
      <w:pgMar w:top="709"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113" w:rsidRDefault="00306113">
      <w:r>
        <w:separator/>
      </w:r>
    </w:p>
  </w:endnote>
  <w:endnote w:type="continuationSeparator" w:id="0">
    <w:p w:rsidR="00306113" w:rsidRDefault="0030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D11715">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294974">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113" w:rsidRDefault="00306113">
      <w:r>
        <w:separator/>
      </w:r>
    </w:p>
  </w:footnote>
  <w:footnote w:type="continuationSeparator" w:id="0">
    <w:p w:rsidR="00306113" w:rsidRDefault="00306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715" w:rsidRPr="00D11715" w:rsidRDefault="00D11715" w:rsidP="00D11715">
    <w:pPr>
      <w:pStyle w:val="Header"/>
      <w:jc w:val="center"/>
      <w:rPr>
        <w:rFonts w:ascii="Arial" w:hAnsi="Arial" w:cs="Arial"/>
        <w:b/>
        <w:color w:val="365F91" w:themeColor="accent1" w:themeShade="BF"/>
        <w:sz w:val="20"/>
        <w:szCs w:val="20"/>
      </w:rPr>
    </w:pPr>
    <w:r>
      <w:rPr>
        <w:rFonts w:ascii="Arial" w:hAnsi="Arial" w:cs="Arial"/>
        <w:b/>
        <w:color w:val="365F91" w:themeColor="accent1" w:themeShade="BF"/>
      </w:rPr>
      <w:t xml:space="preserve">                                                                                                                     </w:t>
    </w:r>
    <w:r w:rsidR="00294974">
      <w:rPr>
        <w:rFonts w:ascii="Arial" w:hAnsi="Arial" w:cs="Arial"/>
        <w:b/>
        <w:color w:val="365F91" w:themeColor="accent1" w:themeShade="BF"/>
        <w:sz w:val="20"/>
        <w:szCs w:val="20"/>
      </w:rPr>
      <w:t>Item 5</w:t>
    </w:r>
    <w:r w:rsidRPr="00D11715">
      <w:rPr>
        <w:rFonts w:ascii="Arial" w:hAnsi="Arial" w:cs="Arial"/>
        <w:b/>
        <w:color w:val="365F91" w:themeColor="accent1" w:themeShade="BF"/>
        <w:sz w:val="20"/>
        <w:szCs w:val="20"/>
      </w:rPr>
      <w:t>.3b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3"/>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4"/>
  </w:num>
  <w:num w:numId="13">
    <w:abstractNumId w:val="5"/>
  </w:num>
  <w:num w:numId="14">
    <w:abstractNumId w:val="4"/>
  </w:num>
  <w:num w:numId="15">
    <w:abstractNumId w:val="9"/>
  </w:num>
  <w:num w:numId="16">
    <w:abstractNumId w:val="6"/>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2577B"/>
    <w:rsid w:val="00025277"/>
    <w:rsid w:val="00061CDE"/>
    <w:rsid w:val="00075AAA"/>
    <w:rsid w:val="00097EAE"/>
    <w:rsid w:val="000B5923"/>
    <w:rsid w:val="000D094B"/>
    <w:rsid w:val="000D0952"/>
    <w:rsid w:val="000D400D"/>
    <w:rsid w:val="00115F97"/>
    <w:rsid w:val="001175E5"/>
    <w:rsid w:val="001F4E44"/>
    <w:rsid w:val="0021739B"/>
    <w:rsid w:val="002253CC"/>
    <w:rsid w:val="00294974"/>
    <w:rsid w:val="002A42DD"/>
    <w:rsid w:val="002E763B"/>
    <w:rsid w:val="00306113"/>
    <w:rsid w:val="0031078B"/>
    <w:rsid w:val="003C7F8D"/>
    <w:rsid w:val="003D73B9"/>
    <w:rsid w:val="003E423D"/>
    <w:rsid w:val="003F19CA"/>
    <w:rsid w:val="00416CDF"/>
    <w:rsid w:val="004512CE"/>
    <w:rsid w:val="00474707"/>
    <w:rsid w:val="0050627E"/>
    <w:rsid w:val="00513DB0"/>
    <w:rsid w:val="005239DB"/>
    <w:rsid w:val="00526532"/>
    <w:rsid w:val="005444D8"/>
    <w:rsid w:val="005B4BA8"/>
    <w:rsid w:val="005B69F4"/>
    <w:rsid w:val="005F02B7"/>
    <w:rsid w:val="0060634D"/>
    <w:rsid w:val="00617130"/>
    <w:rsid w:val="00661EF1"/>
    <w:rsid w:val="006A1357"/>
    <w:rsid w:val="006B06E8"/>
    <w:rsid w:val="006D35E9"/>
    <w:rsid w:val="006D6F99"/>
    <w:rsid w:val="00711E7A"/>
    <w:rsid w:val="00715072"/>
    <w:rsid w:val="007B4090"/>
    <w:rsid w:val="007C2D38"/>
    <w:rsid w:val="00815350"/>
    <w:rsid w:val="00825B2D"/>
    <w:rsid w:val="00844E0E"/>
    <w:rsid w:val="008A07AE"/>
    <w:rsid w:val="008C26A2"/>
    <w:rsid w:val="0093700B"/>
    <w:rsid w:val="00937BE5"/>
    <w:rsid w:val="009639E3"/>
    <w:rsid w:val="009742FA"/>
    <w:rsid w:val="00974594"/>
    <w:rsid w:val="0098351B"/>
    <w:rsid w:val="009A480A"/>
    <w:rsid w:val="009E6A39"/>
    <w:rsid w:val="00A2577B"/>
    <w:rsid w:val="00A3124D"/>
    <w:rsid w:val="00A560AF"/>
    <w:rsid w:val="00A76646"/>
    <w:rsid w:val="00AC14D3"/>
    <w:rsid w:val="00B930D8"/>
    <w:rsid w:val="00BB07CA"/>
    <w:rsid w:val="00BB6FE0"/>
    <w:rsid w:val="00C0017D"/>
    <w:rsid w:val="00C047CA"/>
    <w:rsid w:val="00C24B4E"/>
    <w:rsid w:val="00C36974"/>
    <w:rsid w:val="00C956E2"/>
    <w:rsid w:val="00CA6DDF"/>
    <w:rsid w:val="00CC3B4D"/>
    <w:rsid w:val="00CE4B72"/>
    <w:rsid w:val="00CF6461"/>
    <w:rsid w:val="00D05F2C"/>
    <w:rsid w:val="00D11715"/>
    <w:rsid w:val="00D306B6"/>
    <w:rsid w:val="00D56537"/>
    <w:rsid w:val="00D848F3"/>
    <w:rsid w:val="00D92AA6"/>
    <w:rsid w:val="00DD7115"/>
    <w:rsid w:val="00DE5902"/>
    <w:rsid w:val="00DF2C4E"/>
    <w:rsid w:val="00DF7FAF"/>
    <w:rsid w:val="00E04C6D"/>
    <w:rsid w:val="00E24BFC"/>
    <w:rsid w:val="00E95856"/>
    <w:rsid w:val="00EA4869"/>
    <w:rsid w:val="00EA49EC"/>
    <w:rsid w:val="00EA60BE"/>
    <w:rsid w:val="00EB7C07"/>
    <w:rsid w:val="00ED6921"/>
    <w:rsid w:val="00EE11E0"/>
    <w:rsid w:val="00F12826"/>
    <w:rsid w:val="00F459C0"/>
    <w:rsid w:val="00F7206C"/>
    <w:rsid w:val="00FC0B92"/>
    <w:rsid w:val="00FD5E76"/>
    <w:rsid w:val="00FE14F0"/>
    <w:rsid w:val="00FE3A34"/>
    <w:rsid w:val="00FF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A43B2E"/>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customStyle="1" w:styleId="Body">
    <w:name w:val="Body"/>
    <w:rsid w:val="00BB6FE0"/>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NoSpacing">
    <w:name w:val="No Spacing"/>
    <w:uiPriority w:val="1"/>
    <w:qFormat/>
    <w:rsid w:val="00CC3B4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D9DF6-C28B-4F31-86C4-CF15B764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Alison Mackay</cp:lastModifiedBy>
  <cp:revision>5</cp:revision>
  <dcterms:created xsi:type="dcterms:W3CDTF">2022-07-07T15:06:00Z</dcterms:created>
  <dcterms:modified xsi:type="dcterms:W3CDTF">2022-07-21T08:21:00Z</dcterms:modified>
</cp:coreProperties>
</file>