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charts/chart34.xml" ContentType="application/vnd.openxmlformats-officedocument.drawingml.chart+xml"/>
  <Override PartName="/word/charts/style34.xml" ContentType="application/vnd.ms-office.chartstyle+xml"/>
  <Override PartName="/word/charts/colors34.xml" ContentType="application/vnd.ms-office.chartcolorstyle+xml"/>
  <Override PartName="/word/charts/chart35.xml" ContentType="application/vnd.openxmlformats-officedocument.drawingml.chart+xml"/>
  <Override PartName="/word/charts/style35.xml" ContentType="application/vnd.ms-office.chartstyle+xml"/>
  <Override PartName="/word/charts/colors35.xml" ContentType="application/vnd.ms-office.chartcolorstyle+xml"/>
  <Override PartName="/word/charts/chart36.xml" ContentType="application/vnd.openxmlformats-officedocument.drawingml.chart+xml"/>
  <Override PartName="/word/charts/style36.xml" ContentType="application/vnd.ms-office.chartstyle+xml"/>
  <Override PartName="/word/charts/colors36.xml" ContentType="application/vnd.ms-office.chartcolorstyle+xml"/>
  <Override PartName="/word/charts/chart37.xml" ContentType="application/vnd.openxmlformats-officedocument.drawingml.chart+xml"/>
  <Override PartName="/word/charts/style37.xml" ContentType="application/vnd.ms-office.chartstyle+xml"/>
  <Override PartName="/word/charts/colors37.xml" ContentType="application/vnd.ms-office.chartcolorstyle+xml"/>
  <Override PartName="/word/charts/chart38.xml" ContentType="application/vnd.openxmlformats-officedocument.drawingml.chart+xml"/>
  <Override PartName="/word/charts/style38.xml" ContentType="application/vnd.ms-office.chartstyle+xml"/>
  <Override PartName="/word/charts/colors38.xml" ContentType="application/vnd.ms-office.chartcolorstyle+xml"/>
  <Override PartName="/word/charts/chart39.xml" ContentType="application/vnd.openxmlformats-officedocument.drawingml.chart+xml"/>
  <Override PartName="/word/charts/style39.xml" ContentType="application/vnd.ms-office.chartstyle+xml"/>
  <Override PartName="/word/charts/colors39.xml" ContentType="application/vnd.ms-office.chartcolorstyle+xml"/>
  <Override PartName="/word/charts/chart40.xml" ContentType="application/vnd.openxmlformats-officedocument.drawingml.chart+xml"/>
  <Override PartName="/word/charts/style40.xml" ContentType="application/vnd.ms-office.chartstyle+xml"/>
  <Override PartName="/word/charts/colors40.xml" ContentType="application/vnd.ms-office.chartcolorstyle+xml"/>
  <Override PartName="/word/charts/chart41.xml" ContentType="application/vnd.openxmlformats-officedocument.drawingml.chart+xml"/>
  <Override PartName="/word/charts/style41.xml" ContentType="application/vnd.ms-office.chartstyle+xml"/>
  <Override PartName="/word/charts/colors41.xml" ContentType="application/vnd.ms-office.chartcolorstyle+xml"/>
  <Override PartName="/word/charts/chart42.xml" ContentType="application/vnd.openxmlformats-officedocument.drawingml.chart+xml"/>
  <Override PartName="/word/charts/style42.xml" ContentType="application/vnd.ms-office.chartstyle+xml"/>
  <Override PartName="/word/charts/colors42.xml" ContentType="application/vnd.ms-office.chartcolorstyle+xml"/>
  <Override PartName="/word/charts/chart43.xml" ContentType="application/vnd.openxmlformats-officedocument.drawingml.chart+xml"/>
  <Override PartName="/word/charts/style43.xml" ContentType="application/vnd.ms-office.chartstyle+xml"/>
  <Override PartName="/word/charts/colors43.xml" ContentType="application/vnd.ms-office.chartcolorstyle+xml"/>
  <Override PartName="/word/charts/chart44.xml" ContentType="application/vnd.openxmlformats-officedocument.drawingml.chart+xml"/>
  <Override PartName="/word/charts/style44.xml" ContentType="application/vnd.ms-office.chartstyle+xml"/>
  <Override PartName="/word/charts/colors44.xml" ContentType="application/vnd.ms-office.chartcolorstyle+xml"/>
  <Override PartName="/word/charts/chart45.xml" ContentType="application/vnd.openxmlformats-officedocument.drawingml.chart+xml"/>
  <Override PartName="/word/charts/style45.xml" ContentType="application/vnd.ms-office.chartstyle+xml"/>
  <Override PartName="/word/charts/colors45.xml" ContentType="application/vnd.ms-office.chartcolorstyle+xml"/>
  <Override PartName="/word/charts/chart46.xml" ContentType="application/vnd.openxmlformats-officedocument.drawingml.chart+xml"/>
  <Override PartName="/word/charts/style46.xml" ContentType="application/vnd.ms-office.chartstyle+xml"/>
  <Override PartName="/word/charts/colors46.xml" ContentType="application/vnd.ms-office.chartcolorstyle+xml"/>
  <Override PartName="/word/charts/chart47.xml" ContentType="application/vnd.openxmlformats-officedocument.drawingml.chart+xml"/>
  <Override PartName="/word/charts/style47.xml" ContentType="application/vnd.ms-office.chartstyle+xml"/>
  <Override PartName="/word/charts/colors4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C1AD2" w14:textId="77777777" w:rsidR="00F11908" w:rsidRPr="00CD41EF" w:rsidRDefault="00F11908" w:rsidP="00D60E0B">
      <w:pPr>
        <w:widowControl w:val="0"/>
        <w:spacing w:after="200"/>
        <w:jc w:val="right"/>
        <w:rPr>
          <w:rFonts w:cs="Arial"/>
          <w:b/>
          <w:szCs w:val="24"/>
        </w:rPr>
      </w:pPr>
      <w:r>
        <w:rPr>
          <w:rFonts w:cs="Arial"/>
          <w:b/>
          <w:noProof/>
          <w:color w:val="666699"/>
          <w:sz w:val="28"/>
          <w:szCs w:val="28"/>
          <w:lang w:eastAsia="en-GB"/>
        </w:rPr>
        <w:drawing>
          <wp:inline distT="0" distB="0" distL="0" distR="0" wp14:anchorId="1EA74BFE" wp14:editId="131B0F91">
            <wp:extent cx="1270000" cy="876300"/>
            <wp:effectExtent l="0" t="0" r="6350" b="0"/>
            <wp:docPr id="9" name="Picture 9" descr="New NHS G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NHS GJ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0" cy="876300"/>
                    </a:xfrm>
                    <a:prstGeom prst="rect">
                      <a:avLst/>
                    </a:prstGeom>
                    <a:noFill/>
                    <a:ln>
                      <a:noFill/>
                    </a:ln>
                  </pic:spPr>
                </pic:pic>
              </a:graphicData>
            </a:graphic>
          </wp:inline>
        </w:drawing>
      </w:r>
    </w:p>
    <w:p w14:paraId="73BD967F" w14:textId="77777777" w:rsidR="00F11908" w:rsidRDefault="00F11908" w:rsidP="00AC5B73">
      <w:pPr>
        <w:widowControl w:val="0"/>
        <w:rPr>
          <w:b/>
        </w:rPr>
      </w:pPr>
    </w:p>
    <w:p w14:paraId="4B4371EB" w14:textId="77777777" w:rsidR="00F11908" w:rsidRPr="00A00A32" w:rsidRDefault="00F11908" w:rsidP="00AC5B73">
      <w:pPr>
        <w:widowControl w:val="0"/>
        <w:rPr>
          <w:b/>
          <w:color w:val="FF0000"/>
        </w:rPr>
      </w:pPr>
    </w:p>
    <w:p w14:paraId="75760E9F" w14:textId="77777777" w:rsidR="00F11908" w:rsidRDefault="00F11908" w:rsidP="00AC5B73">
      <w:pPr>
        <w:widowControl w:val="0"/>
        <w:rPr>
          <w:b/>
        </w:rPr>
      </w:pPr>
    </w:p>
    <w:p w14:paraId="4D1BEA30" w14:textId="77777777" w:rsidR="00F11908" w:rsidRDefault="00F11908" w:rsidP="00AC5B73">
      <w:pPr>
        <w:widowControl w:val="0"/>
        <w:rPr>
          <w:b/>
        </w:rPr>
      </w:pPr>
    </w:p>
    <w:p w14:paraId="42F41A2A" w14:textId="77777777" w:rsidR="00F11908" w:rsidRDefault="00F11908" w:rsidP="00AC5B73">
      <w:pPr>
        <w:widowControl w:val="0"/>
        <w:rPr>
          <w:b/>
        </w:rPr>
      </w:pPr>
      <w:bookmarkStart w:id="0" w:name="_GoBack"/>
      <w:bookmarkEnd w:id="0"/>
    </w:p>
    <w:p w14:paraId="299C9839" w14:textId="77777777" w:rsidR="00F11908" w:rsidRDefault="00F11908" w:rsidP="00AC5B73">
      <w:pPr>
        <w:widowControl w:val="0"/>
        <w:rPr>
          <w:b/>
        </w:rPr>
      </w:pPr>
    </w:p>
    <w:p w14:paraId="778889D0" w14:textId="77777777" w:rsidR="00F11908" w:rsidRDefault="00F11908" w:rsidP="00AC5B73">
      <w:pPr>
        <w:widowControl w:val="0"/>
        <w:rPr>
          <w:b/>
        </w:rPr>
      </w:pPr>
    </w:p>
    <w:p w14:paraId="4C1BD8DD" w14:textId="77777777" w:rsidR="00F11908" w:rsidRDefault="00F11908" w:rsidP="00AC5B73">
      <w:pPr>
        <w:widowControl w:val="0"/>
        <w:rPr>
          <w:b/>
        </w:rPr>
      </w:pPr>
    </w:p>
    <w:p w14:paraId="635B6A21" w14:textId="77777777" w:rsidR="00F11908" w:rsidRDefault="00F11908" w:rsidP="00AC5B73">
      <w:pPr>
        <w:widowControl w:val="0"/>
        <w:rPr>
          <w:b/>
        </w:rPr>
      </w:pPr>
    </w:p>
    <w:p w14:paraId="450357A5" w14:textId="77777777" w:rsidR="00F11908" w:rsidRDefault="00F11908" w:rsidP="00AC5B73">
      <w:pPr>
        <w:widowControl w:val="0"/>
        <w:rPr>
          <w:b/>
        </w:rPr>
      </w:pPr>
    </w:p>
    <w:p w14:paraId="2C461EBF" w14:textId="77777777" w:rsidR="00F11908" w:rsidRDefault="00F11908" w:rsidP="00AC5B73">
      <w:pPr>
        <w:widowControl w:val="0"/>
        <w:rPr>
          <w:b/>
        </w:rPr>
      </w:pPr>
    </w:p>
    <w:p w14:paraId="19165C02" w14:textId="77777777" w:rsidR="00F11908" w:rsidRPr="00DF1ED7" w:rsidRDefault="00F11908" w:rsidP="00AC5B73">
      <w:pPr>
        <w:widowControl w:val="0"/>
        <w:jc w:val="center"/>
        <w:rPr>
          <w:b/>
          <w:bCs/>
          <w:sz w:val="48"/>
          <w:szCs w:val="48"/>
        </w:rPr>
      </w:pPr>
      <w:r w:rsidRPr="27B9BF41">
        <w:rPr>
          <w:b/>
          <w:bCs/>
          <w:sz w:val="48"/>
          <w:szCs w:val="48"/>
        </w:rPr>
        <w:t>NHS Golden Jubilee</w:t>
      </w:r>
    </w:p>
    <w:p w14:paraId="09D46B4F" w14:textId="77777777" w:rsidR="00F11908" w:rsidRPr="00DF1ED7" w:rsidRDefault="00F11908" w:rsidP="00AC5B73">
      <w:pPr>
        <w:widowControl w:val="0"/>
        <w:jc w:val="center"/>
        <w:rPr>
          <w:b/>
          <w:sz w:val="48"/>
          <w:szCs w:val="48"/>
        </w:rPr>
      </w:pPr>
    </w:p>
    <w:p w14:paraId="35255A1E" w14:textId="77777777" w:rsidR="00F11908" w:rsidRDefault="00F11908" w:rsidP="00AC5B73">
      <w:pPr>
        <w:widowControl w:val="0"/>
        <w:jc w:val="center"/>
        <w:rPr>
          <w:b/>
          <w:sz w:val="48"/>
          <w:szCs w:val="48"/>
        </w:rPr>
      </w:pPr>
      <w:r>
        <w:rPr>
          <w:b/>
          <w:sz w:val="48"/>
          <w:szCs w:val="48"/>
        </w:rPr>
        <w:t>Workforce Monitoring Report</w:t>
      </w:r>
    </w:p>
    <w:p w14:paraId="74FEEF03" w14:textId="77777777" w:rsidR="00F11908" w:rsidRDefault="00F11908" w:rsidP="00AC5B73">
      <w:pPr>
        <w:widowControl w:val="0"/>
        <w:jc w:val="center"/>
        <w:rPr>
          <w:b/>
          <w:sz w:val="48"/>
          <w:szCs w:val="48"/>
        </w:rPr>
      </w:pPr>
      <w:r>
        <w:rPr>
          <w:b/>
          <w:sz w:val="48"/>
          <w:szCs w:val="48"/>
        </w:rPr>
        <w:t>1 April 2021 to 31 March 2022</w:t>
      </w:r>
    </w:p>
    <w:p w14:paraId="7324362E" w14:textId="77777777" w:rsidR="00F11908" w:rsidRDefault="00F11908" w:rsidP="00AC5B73">
      <w:pPr>
        <w:spacing w:after="200" w:line="276" w:lineRule="auto"/>
      </w:pPr>
      <w:r>
        <w:br w:type="page"/>
      </w:r>
    </w:p>
    <w:bookmarkStart w:id="1" w:name="_Toc108076873" w:displacedByCustomXml="next"/>
    <w:sdt>
      <w:sdtPr>
        <w:rPr>
          <w:rFonts w:eastAsiaTheme="minorHAnsi" w:cstheme="minorBidi"/>
          <w:b w:val="0"/>
          <w:bCs w:val="0"/>
          <w:sz w:val="24"/>
          <w:szCs w:val="22"/>
        </w:rPr>
        <w:id w:val="-227842262"/>
        <w:docPartObj>
          <w:docPartGallery w:val="Table of Contents"/>
          <w:docPartUnique/>
        </w:docPartObj>
      </w:sdtPr>
      <w:sdtEndPr>
        <w:rPr>
          <w:noProof/>
        </w:rPr>
      </w:sdtEndPr>
      <w:sdtContent>
        <w:bookmarkStart w:id="2" w:name="_Toc105495993" w:displacedByCustomXml="prev"/>
        <w:p w14:paraId="4F3F78B9" w14:textId="77777777" w:rsidR="004B4834" w:rsidRDefault="004B4834" w:rsidP="00AC5B73">
          <w:pPr>
            <w:pStyle w:val="Heading1"/>
            <w:numPr>
              <w:ilvl w:val="0"/>
              <w:numId w:val="0"/>
            </w:numPr>
            <w:ind w:left="851" w:hanging="851"/>
          </w:pPr>
          <w:r>
            <w:t>Contents</w:t>
          </w:r>
          <w:bookmarkEnd w:id="2"/>
          <w:bookmarkEnd w:id="1"/>
        </w:p>
        <w:p w14:paraId="331085B8" w14:textId="1EFBC12E" w:rsidR="00452065" w:rsidRDefault="004B4834">
          <w:pPr>
            <w:pStyle w:val="TOC1"/>
            <w:rPr>
              <w:rFonts w:asciiTheme="minorHAnsi" w:hAnsiTheme="minorHAnsi"/>
              <w:b w:val="0"/>
              <w:noProof/>
              <w:sz w:val="22"/>
              <w:lang w:val="en-GB" w:eastAsia="en-GB"/>
            </w:rPr>
          </w:pPr>
          <w:r>
            <w:fldChar w:fldCharType="begin"/>
          </w:r>
          <w:r>
            <w:instrText xml:space="preserve"> TOC \o "1-3" \h \z \u </w:instrText>
          </w:r>
          <w:r>
            <w:fldChar w:fldCharType="separate"/>
          </w:r>
          <w:hyperlink w:anchor="_Toc108076873" w:history="1">
            <w:r w:rsidR="00452065" w:rsidRPr="009112DE">
              <w:rPr>
                <w:rStyle w:val="Hyperlink"/>
                <w:noProof/>
              </w:rPr>
              <w:t>Contents</w:t>
            </w:r>
            <w:r w:rsidR="00452065">
              <w:rPr>
                <w:noProof/>
                <w:webHidden/>
              </w:rPr>
              <w:tab/>
            </w:r>
            <w:r w:rsidR="00452065">
              <w:rPr>
                <w:noProof/>
                <w:webHidden/>
              </w:rPr>
              <w:fldChar w:fldCharType="begin"/>
            </w:r>
            <w:r w:rsidR="00452065">
              <w:rPr>
                <w:noProof/>
                <w:webHidden/>
              </w:rPr>
              <w:instrText xml:space="preserve"> PAGEREF _Toc108076873 \h </w:instrText>
            </w:r>
            <w:r w:rsidR="00452065">
              <w:rPr>
                <w:noProof/>
                <w:webHidden/>
              </w:rPr>
            </w:r>
            <w:r w:rsidR="00452065">
              <w:rPr>
                <w:noProof/>
                <w:webHidden/>
              </w:rPr>
              <w:fldChar w:fldCharType="separate"/>
            </w:r>
            <w:r w:rsidR="00452065">
              <w:rPr>
                <w:noProof/>
                <w:webHidden/>
              </w:rPr>
              <w:t>2</w:t>
            </w:r>
            <w:r w:rsidR="00452065">
              <w:rPr>
                <w:noProof/>
                <w:webHidden/>
              </w:rPr>
              <w:fldChar w:fldCharType="end"/>
            </w:r>
          </w:hyperlink>
        </w:p>
        <w:p w14:paraId="1BE6A389" w14:textId="0D816F36" w:rsidR="00452065" w:rsidRDefault="005C2AFB">
          <w:pPr>
            <w:pStyle w:val="TOC1"/>
            <w:rPr>
              <w:rFonts w:asciiTheme="minorHAnsi" w:hAnsiTheme="minorHAnsi"/>
              <w:b w:val="0"/>
              <w:noProof/>
              <w:sz w:val="22"/>
              <w:lang w:val="en-GB" w:eastAsia="en-GB"/>
            </w:rPr>
          </w:pPr>
          <w:hyperlink w:anchor="_Toc108076874" w:history="1">
            <w:r w:rsidR="00452065" w:rsidRPr="009112DE">
              <w:rPr>
                <w:rStyle w:val="Hyperlink"/>
                <w:noProof/>
              </w:rPr>
              <w:t>1</w:t>
            </w:r>
            <w:r w:rsidR="00452065">
              <w:rPr>
                <w:rFonts w:asciiTheme="minorHAnsi" w:hAnsiTheme="minorHAnsi"/>
                <w:b w:val="0"/>
                <w:noProof/>
                <w:sz w:val="22"/>
                <w:lang w:val="en-GB" w:eastAsia="en-GB"/>
              </w:rPr>
              <w:tab/>
            </w:r>
            <w:r w:rsidR="00452065" w:rsidRPr="009112DE">
              <w:rPr>
                <w:rStyle w:val="Hyperlink"/>
                <w:noProof/>
              </w:rPr>
              <w:t>Introduction</w:t>
            </w:r>
            <w:r w:rsidR="00452065">
              <w:rPr>
                <w:noProof/>
                <w:webHidden/>
              </w:rPr>
              <w:tab/>
            </w:r>
            <w:r w:rsidR="00452065">
              <w:rPr>
                <w:noProof/>
                <w:webHidden/>
              </w:rPr>
              <w:fldChar w:fldCharType="begin"/>
            </w:r>
            <w:r w:rsidR="00452065">
              <w:rPr>
                <w:noProof/>
                <w:webHidden/>
              </w:rPr>
              <w:instrText xml:space="preserve"> PAGEREF _Toc108076874 \h </w:instrText>
            </w:r>
            <w:r w:rsidR="00452065">
              <w:rPr>
                <w:noProof/>
                <w:webHidden/>
              </w:rPr>
            </w:r>
            <w:r w:rsidR="00452065">
              <w:rPr>
                <w:noProof/>
                <w:webHidden/>
              </w:rPr>
              <w:fldChar w:fldCharType="separate"/>
            </w:r>
            <w:r w:rsidR="00452065">
              <w:rPr>
                <w:noProof/>
                <w:webHidden/>
              </w:rPr>
              <w:t>5</w:t>
            </w:r>
            <w:r w:rsidR="00452065">
              <w:rPr>
                <w:noProof/>
                <w:webHidden/>
              </w:rPr>
              <w:fldChar w:fldCharType="end"/>
            </w:r>
          </w:hyperlink>
        </w:p>
        <w:p w14:paraId="7A1C8161" w14:textId="20D9DA4C" w:rsidR="00452065" w:rsidRDefault="005C2AFB">
          <w:pPr>
            <w:pStyle w:val="TOC2"/>
            <w:rPr>
              <w:rFonts w:asciiTheme="minorHAnsi" w:hAnsiTheme="minorHAnsi" w:cstheme="minorBidi"/>
              <w:b w:val="0"/>
              <w:sz w:val="22"/>
              <w:lang w:val="en-GB" w:eastAsia="en-GB"/>
            </w:rPr>
          </w:pPr>
          <w:hyperlink w:anchor="_Toc108076875" w:history="1">
            <w:r w:rsidR="00452065" w:rsidRPr="009112DE">
              <w:rPr>
                <w:rStyle w:val="Hyperlink"/>
              </w:rPr>
              <w:t>1.1</w:t>
            </w:r>
            <w:r w:rsidR="00452065">
              <w:rPr>
                <w:rFonts w:asciiTheme="minorHAnsi" w:hAnsiTheme="minorHAnsi" w:cstheme="minorBidi"/>
                <w:b w:val="0"/>
                <w:sz w:val="22"/>
                <w:lang w:val="en-GB" w:eastAsia="en-GB"/>
              </w:rPr>
              <w:tab/>
            </w:r>
            <w:r w:rsidR="00452065" w:rsidRPr="009112DE">
              <w:rPr>
                <w:rStyle w:val="Hyperlink"/>
              </w:rPr>
              <w:t>Key Findings</w:t>
            </w:r>
            <w:r w:rsidR="00452065">
              <w:rPr>
                <w:webHidden/>
              </w:rPr>
              <w:tab/>
            </w:r>
            <w:r w:rsidR="00452065">
              <w:rPr>
                <w:webHidden/>
              </w:rPr>
              <w:fldChar w:fldCharType="begin"/>
            </w:r>
            <w:r w:rsidR="00452065">
              <w:rPr>
                <w:webHidden/>
              </w:rPr>
              <w:instrText xml:space="preserve"> PAGEREF _Toc108076875 \h </w:instrText>
            </w:r>
            <w:r w:rsidR="00452065">
              <w:rPr>
                <w:webHidden/>
              </w:rPr>
            </w:r>
            <w:r w:rsidR="00452065">
              <w:rPr>
                <w:webHidden/>
              </w:rPr>
              <w:fldChar w:fldCharType="separate"/>
            </w:r>
            <w:r w:rsidR="00452065">
              <w:rPr>
                <w:webHidden/>
              </w:rPr>
              <w:t>5</w:t>
            </w:r>
            <w:r w:rsidR="00452065">
              <w:rPr>
                <w:webHidden/>
              </w:rPr>
              <w:fldChar w:fldCharType="end"/>
            </w:r>
          </w:hyperlink>
        </w:p>
        <w:p w14:paraId="329C5270" w14:textId="23E5A34D" w:rsidR="00452065" w:rsidRDefault="005C2AFB">
          <w:pPr>
            <w:pStyle w:val="TOC3"/>
            <w:rPr>
              <w:rFonts w:asciiTheme="minorHAnsi" w:hAnsiTheme="minorHAnsi"/>
              <w:b w:val="0"/>
              <w:noProof/>
              <w:sz w:val="22"/>
              <w:lang w:val="en-GB" w:eastAsia="en-GB"/>
            </w:rPr>
          </w:pPr>
          <w:hyperlink w:anchor="_Toc108076876" w:history="1">
            <w:r w:rsidR="00452065" w:rsidRPr="009112DE">
              <w:rPr>
                <w:rStyle w:val="Hyperlink"/>
                <w:noProof/>
              </w:rPr>
              <w:t>1.1.1</w:t>
            </w:r>
            <w:r w:rsidR="00452065">
              <w:rPr>
                <w:rFonts w:asciiTheme="minorHAnsi" w:hAnsiTheme="minorHAnsi"/>
                <w:b w:val="0"/>
                <w:noProof/>
                <w:sz w:val="22"/>
                <w:lang w:val="en-GB" w:eastAsia="en-GB"/>
              </w:rPr>
              <w:tab/>
            </w:r>
            <w:r w:rsidR="00452065" w:rsidRPr="009112DE">
              <w:rPr>
                <w:rStyle w:val="Hyperlink"/>
                <w:noProof/>
              </w:rPr>
              <w:t>Expanding Workforce</w:t>
            </w:r>
            <w:r w:rsidR="00452065">
              <w:rPr>
                <w:noProof/>
                <w:webHidden/>
              </w:rPr>
              <w:tab/>
            </w:r>
            <w:r w:rsidR="00452065">
              <w:rPr>
                <w:noProof/>
                <w:webHidden/>
              </w:rPr>
              <w:fldChar w:fldCharType="begin"/>
            </w:r>
            <w:r w:rsidR="00452065">
              <w:rPr>
                <w:noProof/>
                <w:webHidden/>
              </w:rPr>
              <w:instrText xml:space="preserve"> PAGEREF _Toc108076876 \h </w:instrText>
            </w:r>
            <w:r w:rsidR="00452065">
              <w:rPr>
                <w:noProof/>
                <w:webHidden/>
              </w:rPr>
            </w:r>
            <w:r w:rsidR="00452065">
              <w:rPr>
                <w:noProof/>
                <w:webHidden/>
              </w:rPr>
              <w:fldChar w:fldCharType="separate"/>
            </w:r>
            <w:r w:rsidR="00452065">
              <w:rPr>
                <w:noProof/>
                <w:webHidden/>
              </w:rPr>
              <w:t>5</w:t>
            </w:r>
            <w:r w:rsidR="00452065">
              <w:rPr>
                <w:noProof/>
                <w:webHidden/>
              </w:rPr>
              <w:fldChar w:fldCharType="end"/>
            </w:r>
          </w:hyperlink>
        </w:p>
        <w:p w14:paraId="32135141" w14:textId="5E05445D" w:rsidR="00452065" w:rsidRDefault="005C2AFB">
          <w:pPr>
            <w:pStyle w:val="TOC3"/>
            <w:rPr>
              <w:rFonts w:asciiTheme="minorHAnsi" w:hAnsiTheme="minorHAnsi"/>
              <w:b w:val="0"/>
              <w:noProof/>
              <w:sz w:val="22"/>
              <w:lang w:val="en-GB" w:eastAsia="en-GB"/>
            </w:rPr>
          </w:pPr>
          <w:hyperlink w:anchor="_Toc108076877" w:history="1">
            <w:r w:rsidR="00452065" w:rsidRPr="009112DE">
              <w:rPr>
                <w:rStyle w:val="Hyperlink"/>
                <w:noProof/>
              </w:rPr>
              <w:t>1.1.2</w:t>
            </w:r>
            <w:r w:rsidR="00452065">
              <w:rPr>
                <w:rFonts w:asciiTheme="minorHAnsi" w:hAnsiTheme="minorHAnsi"/>
                <w:b w:val="0"/>
                <w:noProof/>
                <w:sz w:val="22"/>
                <w:lang w:val="en-GB" w:eastAsia="en-GB"/>
              </w:rPr>
              <w:tab/>
            </w:r>
            <w:r w:rsidR="00452065" w:rsidRPr="009112DE">
              <w:rPr>
                <w:rStyle w:val="Hyperlink"/>
                <w:noProof/>
              </w:rPr>
              <w:t>Sickness Absence</w:t>
            </w:r>
            <w:r w:rsidR="00452065">
              <w:rPr>
                <w:noProof/>
                <w:webHidden/>
              </w:rPr>
              <w:tab/>
            </w:r>
            <w:r w:rsidR="00452065">
              <w:rPr>
                <w:noProof/>
                <w:webHidden/>
              </w:rPr>
              <w:fldChar w:fldCharType="begin"/>
            </w:r>
            <w:r w:rsidR="00452065">
              <w:rPr>
                <w:noProof/>
                <w:webHidden/>
              </w:rPr>
              <w:instrText xml:space="preserve"> PAGEREF _Toc108076877 \h </w:instrText>
            </w:r>
            <w:r w:rsidR="00452065">
              <w:rPr>
                <w:noProof/>
                <w:webHidden/>
              </w:rPr>
            </w:r>
            <w:r w:rsidR="00452065">
              <w:rPr>
                <w:noProof/>
                <w:webHidden/>
              </w:rPr>
              <w:fldChar w:fldCharType="separate"/>
            </w:r>
            <w:r w:rsidR="00452065">
              <w:rPr>
                <w:noProof/>
                <w:webHidden/>
              </w:rPr>
              <w:t>5</w:t>
            </w:r>
            <w:r w:rsidR="00452065">
              <w:rPr>
                <w:noProof/>
                <w:webHidden/>
              </w:rPr>
              <w:fldChar w:fldCharType="end"/>
            </w:r>
          </w:hyperlink>
        </w:p>
        <w:p w14:paraId="2A20F7CB" w14:textId="11239D6F" w:rsidR="00452065" w:rsidRDefault="005C2AFB">
          <w:pPr>
            <w:pStyle w:val="TOC3"/>
            <w:rPr>
              <w:rFonts w:asciiTheme="minorHAnsi" w:hAnsiTheme="minorHAnsi"/>
              <w:b w:val="0"/>
              <w:noProof/>
              <w:sz w:val="22"/>
              <w:lang w:val="en-GB" w:eastAsia="en-GB"/>
            </w:rPr>
          </w:pPr>
          <w:hyperlink w:anchor="_Toc108076878" w:history="1">
            <w:r w:rsidR="00452065" w:rsidRPr="009112DE">
              <w:rPr>
                <w:rStyle w:val="Hyperlink"/>
                <w:noProof/>
              </w:rPr>
              <w:t>1.1.3</w:t>
            </w:r>
            <w:r w:rsidR="00452065">
              <w:rPr>
                <w:rFonts w:asciiTheme="minorHAnsi" w:hAnsiTheme="minorHAnsi"/>
                <w:b w:val="0"/>
                <w:noProof/>
                <w:sz w:val="22"/>
                <w:lang w:val="en-GB" w:eastAsia="en-GB"/>
              </w:rPr>
              <w:tab/>
            </w:r>
            <w:r w:rsidR="00452065" w:rsidRPr="009112DE">
              <w:rPr>
                <w:rStyle w:val="Hyperlink"/>
                <w:noProof/>
              </w:rPr>
              <w:t>COVID-19</w:t>
            </w:r>
            <w:r w:rsidR="00452065">
              <w:rPr>
                <w:noProof/>
                <w:webHidden/>
              </w:rPr>
              <w:tab/>
            </w:r>
            <w:r w:rsidR="00452065">
              <w:rPr>
                <w:noProof/>
                <w:webHidden/>
              </w:rPr>
              <w:fldChar w:fldCharType="begin"/>
            </w:r>
            <w:r w:rsidR="00452065">
              <w:rPr>
                <w:noProof/>
                <w:webHidden/>
              </w:rPr>
              <w:instrText xml:space="preserve"> PAGEREF _Toc108076878 \h </w:instrText>
            </w:r>
            <w:r w:rsidR="00452065">
              <w:rPr>
                <w:noProof/>
                <w:webHidden/>
              </w:rPr>
            </w:r>
            <w:r w:rsidR="00452065">
              <w:rPr>
                <w:noProof/>
                <w:webHidden/>
              </w:rPr>
              <w:fldChar w:fldCharType="separate"/>
            </w:r>
            <w:r w:rsidR="00452065">
              <w:rPr>
                <w:noProof/>
                <w:webHidden/>
              </w:rPr>
              <w:t>5</w:t>
            </w:r>
            <w:r w:rsidR="00452065">
              <w:rPr>
                <w:noProof/>
                <w:webHidden/>
              </w:rPr>
              <w:fldChar w:fldCharType="end"/>
            </w:r>
          </w:hyperlink>
        </w:p>
        <w:p w14:paraId="4DCEDDAB" w14:textId="56464F38" w:rsidR="00452065" w:rsidRDefault="005C2AFB">
          <w:pPr>
            <w:pStyle w:val="TOC3"/>
            <w:rPr>
              <w:rFonts w:asciiTheme="minorHAnsi" w:hAnsiTheme="minorHAnsi"/>
              <w:b w:val="0"/>
              <w:noProof/>
              <w:sz w:val="22"/>
              <w:lang w:val="en-GB" w:eastAsia="en-GB"/>
            </w:rPr>
          </w:pPr>
          <w:hyperlink w:anchor="_Toc108076879" w:history="1">
            <w:r w:rsidR="00452065" w:rsidRPr="009112DE">
              <w:rPr>
                <w:rStyle w:val="Hyperlink"/>
                <w:noProof/>
              </w:rPr>
              <w:t>1.1.4</w:t>
            </w:r>
            <w:r w:rsidR="00452065">
              <w:rPr>
                <w:rFonts w:asciiTheme="minorHAnsi" w:hAnsiTheme="minorHAnsi"/>
                <w:b w:val="0"/>
                <w:noProof/>
                <w:sz w:val="22"/>
                <w:lang w:val="en-GB" w:eastAsia="en-GB"/>
              </w:rPr>
              <w:tab/>
            </w:r>
            <w:r w:rsidR="00452065" w:rsidRPr="009112DE">
              <w:rPr>
                <w:rStyle w:val="Hyperlink"/>
                <w:noProof/>
              </w:rPr>
              <w:t>Ageing Workforce</w:t>
            </w:r>
            <w:r w:rsidR="00452065">
              <w:rPr>
                <w:noProof/>
                <w:webHidden/>
              </w:rPr>
              <w:tab/>
            </w:r>
            <w:r w:rsidR="00452065">
              <w:rPr>
                <w:noProof/>
                <w:webHidden/>
              </w:rPr>
              <w:fldChar w:fldCharType="begin"/>
            </w:r>
            <w:r w:rsidR="00452065">
              <w:rPr>
                <w:noProof/>
                <w:webHidden/>
              </w:rPr>
              <w:instrText xml:space="preserve"> PAGEREF _Toc108076879 \h </w:instrText>
            </w:r>
            <w:r w:rsidR="00452065">
              <w:rPr>
                <w:noProof/>
                <w:webHidden/>
              </w:rPr>
            </w:r>
            <w:r w:rsidR="00452065">
              <w:rPr>
                <w:noProof/>
                <w:webHidden/>
              </w:rPr>
              <w:fldChar w:fldCharType="separate"/>
            </w:r>
            <w:r w:rsidR="00452065">
              <w:rPr>
                <w:noProof/>
                <w:webHidden/>
              </w:rPr>
              <w:t>5</w:t>
            </w:r>
            <w:r w:rsidR="00452065">
              <w:rPr>
                <w:noProof/>
                <w:webHidden/>
              </w:rPr>
              <w:fldChar w:fldCharType="end"/>
            </w:r>
          </w:hyperlink>
        </w:p>
        <w:p w14:paraId="141AC86F" w14:textId="1B2A4077" w:rsidR="00452065" w:rsidRDefault="005C2AFB">
          <w:pPr>
            <w:pStyle w:val="TOC3"/>
            <w:rPr>
              <w:rFonts w:asciiTheme="minorHAnsi" w:hAnsiTheme="minorHAnsi"/>
              <w:b w:val="0"/>
              <w:noProof/>
              <w:sz w:val="22"/>
              <w:lang w:val="en-GB" w:eastAsia="en-GB"/>
            </w:rPr>
          </w:pPr>
          <w:hyperlink w:anchor="_Toc108076880" w:history="1">
            <w:r w:rsidR="00452065" w:rsidRPr="009112DE">
              <w:rPr>
                <w:rStyle w:val="Hyperlink"/>
                <w:noProof/>
              </w:rPr>
              <w:t>1.1.5</w:t>
            </w:r>
            <w:r w:rsidR="00452065">
              <w:rPr>
                <w:rFonts w:asciiTheme="minorHAnsi" w:hAnsiTheme="minorHAnsi"/>
                <w:b w:val="0"/>
                <w:noProof/>
                <w:sz w:val="22"/>
                <w:lang w:val="en-GB" w:eastAsia="en-GB"/>
              </w:rPr>
              <w:tab/>
            </w:r>
            <w:r w:rsidR="00452065" w:rsidRPr="009112DE">
              <w:rPr>
                <w:rStyle w:val="Hyperlink"/>
                <w:noProof/>
              </w:rPr>
              <w:t>Data Quality</w:t>
            </w:r>
            <w:r w:rsidR="00452065">
              <w:rPr>
                <w:noProof/>
                <w:webHidden/>
              </w:rPr>
              <w:tab/>
            </w:r>
            <w:r w:rsidR="00452065">
              <w:rPr>
                <w:noProof/>
                <w:webHidden/>
              </w:rPr>
              <w:fldChar w:fldCharType="begin"/>
            </w:r>
            <w:r w:rsidR="00452065">
              <w:rPr>
                <w:noProof/>
                <w:webHidden/>
              </w:rPr>
              <w:instrText xml:space="preserve"> PAGEREF _Toc108076880 \h </w:instrText>
            </w:r>
            <w:r w:rsidR="00452065">
              <w:rPr>
                <w:noProof/>
                <w:webHidden/>
              </w:rPr>
            </w:r>
            <w:r w:rsidR="00452065">
              <w:rPr>
                <w:noProof/>
                <w:webHidden/>
              </w:rPr>
              <w:fldChar w:fldCharType="separate"/>
            </w:r>
            <w:r w:rsidR="00452065">
              <w:rPr>
                <w:noProof/>
                <w:webHidden/>
              </w:rPr>
              <w:t>6</w:t>
            </w:r>
            <w:r w:rsidR="00452065">
              <w:rPr>
                <w:noProof/>
                <w:webHidden/>
              </w:rPr>
              <w:fldChar w:fldCharType="end"/>
            </w:r>
          </w:hyperlink>
        </w:p>
        <w:p w14:paraId="6287FF99" w14:textId="012D5B97" w:rsidR="00452065" w:rsidRDefault="005C2AFB">
          <w:pPr>
            <w:pStyle w:val="TOC1"/>
            <w:rPr>
              <w:rFonts w:asciiTheme="minorHAnsi" w:hAnsiTheme="minorHAnsi"/>
              <w:b w:val="0"/>
              <w:noProof/>
              <w:sz w:val="22"/>
              <w:lang w:val="en-GB" w:eastAsia="en-GB"/>
            </w:rPr>
          </w:pPr>
          <w:hyperlink w:anchor="_Toc108076881" w:history="1">
            <w:r w:rsidR="00452065" w:rsidRPr="009112DE">
              <w:rPr>
                <w:rStyle w:val="Hyperlink"/>
                <w:noProof/>
              </w:rPr>
              <w:t>2</w:t>
            </w:r>
            <w:r w:rsidR="00452065">
              <w:rPr>
                <w:rFonts w:asciiTheme="minorHAnsi" w:hAnsiTheme="minorHAnsi"/>
                <w:b w:val="0"/>
                <w:noProof/>
                <w:sz w:val="22"/>
                <w:lang w:val="en-GB" w:eastAsia="en-GB"/>
              </w:rPr>
              <w:tab/>
            </w:r>
            <w:r w:rsidR="00452065" w:rsidRPr="009112DE">
              <w:rPr>
                <w:rStyle w:val="Hyperlink"/>
                <w:noProof/>
              </w:rPr>
              <w:t>Current Workforce</w:t>
            </w:r>
            <w:r w:rsidR="00452065">
              <w:rPr>
                <w:noProof/>
                <w:webHidden/>
              </w:rPr>
              <w:tab/>
            </w:r>
            <w:r w:rsidR="00452065">
              <w:rPr>
                <w:noProof/>
                <w:webHidden/>
              </w:rPr>
              <w:fldChar w:fldCharType="begin"/>
            </w:r>
            <w:r w:rsidR="00452065">
              <w:rPr>
                <w:noProof/>
                <w:webHidden/>
              </w:rPr>
              <w:instrText xml:space="preserve"> PAGEREF _Toc108076881 \h </w:instrText>
            </w:r>
            <w:r w:rsidR="00452065">
              <w:rPr>
                <w:noProof/>
                <w:webHidden/>
              </w:rPr>
            </w:r>
            <w:r w:rsidR="00452065">
              <w:rPr>
                <w:noProof/>
                <w:webHidden/>
              </w:rPr>
              <w:fldChar w:fldCharType="separate"/>
            </w:r>
            <w:r w:rsidR="00452065">
              <w:rPr>
                <w:noProof/>
                <w:webHidden/>
              </w:rPr>
              <w:t>7</w:t>
            </w:r>
            <w:r w:rsidR="00452065">
              <w:rPr>
                <w:noProof/>
                <w:webHidden/>
              </w:rPr>
              <w:fldChar w:fldCharType="end"/>
            </w:r>
          </w:hyperlink>
        </w:p>
        <w:p w14:paraId="1665700B" w14:textId="2F4D71F2" w:rsidR="00452065" w:rsidRDefault="005C2AFB">
          <w:pPr>
            <w:pStyle w:val="TOC1"/>
            <w:rPr>
              <w:rFonts w:asciiTheme="minorHAnsi" w:hAnsiTheme="minorHAnsi"/>
              <w:b w:val="0"/>
              <w:noProof/>
              <w:sz w:val="22"/>
              <w:lang w:val="en-GB" w:eastAsia="en-GB"/>
            </w:rPr>
          </w:pPr>
          <w:hyperlink w:anchor="_Toc108076882" w:history="1">
            <w:r w:rsidR="00452065" w:rsidRPr="009112DE">
              <w:rPr>
                <w:rStyle w:val="Hyperlink"/>
                <w:noProof/>
              </w:rPr>
              <w:t>3</w:t>
            </w:r>
            <w:r w:rsidR="00452065">
              <w:rPr>
                <w:rFonts w:asciiTheme="minorHAnsi" w:hAnsiTheme="minorHAnsi"/>
                <w:b w:val="0"/>
                <w:noProof/>
                <w:sz w:val="22"/>
                <w:lang w:val="en-GB" w:eastAsia="en-GB"/>
              </w:rPr>
              <w:tab/>
            </w:r>
            <w:r w:rsidR="00452065" w:rsidRPr="009112DE">
              <w:rPr>
                <w:rStyle w:val="Hyperlink"/>
                <w:noProof/>
              </w:rPr>
              <w:t>Employee Turnover</w:t>
            </w:r>
            <w:r w:rsidR="00452065">
              <w:rPr>
                <w:noProof/>
                <w:webHidden/>
              </w:rPr>
              <w:tab/>
            </w:r>
            <w:r w:rsidR="00452065">
              <w:rPr>
                <w:noProof/>
                <w:webHidden/>
              </w:rPr>
              <w:fldChar w:fldCharType="begin"/>
            </w:r>
            <w:r w:rsidR="00452065">
              <w:rPr>
                <w:noProof/>
                <w:webHidden/>
              </w:rPr>
              <w:instrText xml:space="preserve"> PAGEREF _Toc108076882 \h </w:instrText>
            </w:r>
            <w:r w:rsidR="00452065">
              <w:rPr>
                <w:noProof/>
                <w:webHidden/>
              </w:rPr>
            </w:r>
            <w:r w:rsidR="00452065">
              <w:rPr>
                <w:noProof/>
                <w:webHidden/>
              </w:rPr>
              <w:fldChar w:fldCharType="separate"/>
            </w:r>
            <w:r w:rsidR="00452065">
              <w:rPr>
                <w:noProof/>
                <w:webHidden/>
              </w:rPr>
              <w:t>8</w:t>
            </w:r>
            <w:r w:rsidR="00452065">
              <w:rPr>
                <w:noProof/>
                <w:webHidden/>
              </w:rPr>
              <w:fldChar w:fldCharType="end"/>
            </w:r>
          </w:hyperlink>
        </w:p>
        <w:p w14:paraId="4C881935" w14:textId="615355AD" w:rsidR="00452065" w:rsidRDefault="005C2AFB">
          <w:pPr>
            <w:pStyle w:val="TOC2"/>
            <w:rPr>
              <w:rFonts w:asciiTheme="minorHAnsi" w:hAnsiTheme="minorHAnsi" w:cstheme="minorBidi"/>
              <w:b w:val="0"/>
              <w:sz w:val="22"/>
              <w:lang w:val="en-GB" w:eastAsia="en-GB"/>
            </w:rPr>
          </w:pPr>
          <w:hyperlink w:anchor="_Toc108076883" w:history="1">
            <w:r w:rsidR="00452065" w:rsidRPr="009112DE">
              <w:rPr>
                <w:rStyle w:val="Hyperlink"/>
              </w:rPr>
              <w:t>3.1</w:t>
            </w:r>
            <w:r w:rsidR="00452065">
              <w:rPr>
                <w:rFonts w:asciiTheme="minorHAnsi" w:hAnsiTheme="minorHAnsi" w:cstheme="minorBidi"/>
                <w:b w:val="0"/>
                <w:sz w:val="22"/>
                <w:lang w:val="en-GB" w:eastAsia="en-GB"/>
              </w:rPr>
              <w:tab/>
            </w:r>
            <w:r w:rsidR="00452065" w:rsidRPr="009112DE">
              <w:rPr>
                <w:rStyle w:val="Hyperlink"/>
              </w:rPr>
              <w:t>Turnover Rate</w:t>
            </w:r>
            <w:r w:rsidR="00452065">
              <w:rPr>
                <w:webHidden/>
              </w:rPr>
              <w:tab/>
            </w:r>
            <w:r w:rsidR="00452065">
              <w:rPr>
                <w:webHidden/>
              </w:rPr>
              <w:fldChar w:fldCharType="begin"/>
            </w:r>
            <w:r w:rsidR="00452065">
              <w:rPr>
                <w:webHidden/>
              </w:rPr>
              <w:instrText xml:space="preserve"> PAGEREF _Toc108076883 \h </w:instrText>
            </w:r>
            <w:r w:rsidR="00452065">
              <w:rPr>
                <w:webHidden/>
              </w:rPr>
            </w:r>
            <w:r w:rsidR="00452065">
              <w:rPr>
                <w:webHidden/>
              </w:rPr>
              <w:fldChar w:fldCharType="separate"/>
            </w:r>
            <w:r w:rsidR="00452065">
              <w:rPr>
                <w:webHidden/>
              </w:rPr>
              <w:t>8</w:t>
            </w:r>
            <w:r w:rsidR="00452065">
              <w:rPr>
                <w:webHidden/>
              </w:rPr>
              <w:fldChar w:fldCharType="end"/>
            </w:r>
          </w:hyperlink>
        </w:p>
        <w:p w14:paraId="1C3BDD79" w14:textId="52B67BC8" w:rsidR="00452065" w:rsidRDefault="005C2AFB">
          <w:pPr>
            <w:pStyle w:val="TOC2"/>
            <w:rPr>
              <w:rFonts w:asciiTheme="minorHAnsi" w:hAnsiTheme="minorHAnsi" w:cstheme="minorBidi"/>
              <w:b w:val="0"/>
              <w:sz w:val="22"/>
              <w:lang w:val="en-GB" w:eastAsia="en-GB"/>
            </w:rPr>
          </w:pPr>
          <w:hyperlink w:anchor="_Toc108076884" w:history="1">
            <w:r w:rsidR="00452065" w:rsidRPr="009112DE">
              <w:rPr>
                <w:rStyle w:val="Hyperlink"/>
              </w:rPr>
              <w:t>3.2</w:t>
            </w:r>
            <w:r w:rsidR="00452065">
              <w:rPr>
                <w:rFonts w:asciiTheme="minorHAnsi" w:hAnsiTheme="minorHAnsi" w:cstheme="minorBidi"/>
                <w:b w:val="0"/>
                <w:sz w:val="22"/>
                <w:lang w:val="en-GB" w:eastAsia="en-GB"/>
              </w:rPr>
              <w:tab/>
            </w:r>
            <w:r w:rsidR="00452065" w:rsidRPr="009112DE">
              <w:rPr>
                <w:rStyle w:val="Hyperlink"/>
              </w:rPr>
              <w:t>Reasons for Leaving</w:t>
            </w:r>
            <w:r w:rsidR="00452065">
              <w:rPr>
                <w:webHidden/>
              </w:rPr>
              <w:tab/>
            </w:r>
            <w:r w:rsidR="00452065">
              <w:rPr>
                <w:webHidden/>
              </w:rPr>
              <w:fldChar w:fldCharType="begin"/>
            </w:r>
            <w:r w:rsidR="00452065">
              <w:rPr>
                <w:webHidden/>
              </w:rPr>
              <w:instrText xml:space="preserve"> PAGEREF _Toc108076884 \h </w:instrText>
            </w:r>
            <w:r w:rsidR="00452065">
              <w:rPr>
                <w:webHidden/>
              </w:rPr>
            </w:r>
            <w:r w:rsidR="00452065">
              <w:rPr>
                <w:webHidden/>
              </w:rPr>
              <w:fldChar w:fldCharType="separate"/>
            </w:r>
            <w:r w:rsidR="00452065">
              <w:rPr>
                <w:webHidden/>
              </w:rPr>
              <w:t>8</w:t>
            </w:r>
            <w:r w:rsidR="00452065">
              <w:rPr>
                <w:webHidden/>
              </w:rPr>
              <w:fldChar w:fldCharType="end"/>
            </w:r>
          </w:hyperlink>
        </w:p>
        <w:p w14:paraId="3FAC2EEB" w14:textId="145E2120" w:rsidR="00452065" w:rsidRDefault="005C2AFB">
          <w:pPr>
            <w:pStyle w:val="TOC1"/>
            <w:rPr>
              <w:rFonts w:asciiTheme="minorHAnsi" w:hAnsiTheme="minorHAnsi"/>
              <w:b w:val="0"/>
              <w:noProof/>
              <w:sz w:val="22"/>
              <w:lang w:val="en-GB" w:eastAsia="en-GB"/>
            </w:rPr>
          </w:pPr>
          <w:hyperlink w:anchor="_Toc108076885" w:history="1">
            <w:r w:rsidR="00452065" w:rsidRPr="009112DE">
              <w:rPr>
                <w:rStyle w:val="Hyperlink"/>
                <w:noProof/>
              </w:rPr>
              <w:t>4</w:t>
            </w:r>
            <w:r w:rsidR="00452065">
              <w:rPr>
                <w:rFonts w:asciiTheme="minorHAnsi" w:hAnsiTheme="minorHAnsi"/>
                <w:b w:val="0"/>
                <w:noProof/>
                <w:sz w:val="22"/>
                <w:lang w:val="en-GB" w:eastAsia="en-GB"/>
              </w:rPr>
              <w:tab/>
            </w:r>
            <w:r w:rsidR="00452065" w:rsidRPr="009112DE">
              <w:rPr>
                <w:rStyle w:val="Hyperlink"/>
                <w:noProof/>
              </w:rPr>
              <w:t>Recruitment</w:t>
            </w:r>
            <w:r w:rsidR="00452065">
              <w:rPr>
                <w:noProof/>
                <w:webHidden/>
              </w:rPr>
              <w:tab/>
            </w:r>
            <w:r w:rsidR="00452065">
              <w:rPr>
                <w:noProof/>
                <w:webHidden/>
              </w:rPr>
              <w:fldChar w:fldCharType="begin"/>
            </w:r>
            <w:r w:rsidR="00452065">
              <w:rPr>
                <w:noProof/>
                <w:webHidden/>
              </w:rPr>
              <w:instrText xml:space="preserve"> PAGEREF _Toc108076885 \h </w:instrText>
            </w:r>
            <w:r w:rsidR="00452065">
              <w:rPr>
                <w:noProof/>
                <w:webHidden/>
              </w:rPr>
            </w:r>
            <w:r w:rsidR="00452065">
              <w:rPr>
                <w:noProof/>
                <w:webHidden/>
              </w:rPr>
              <w:fldChar w:fldCharType="separate"/>
            </w:r>
            <w:r w:rsidR="00452065">
              <w:rPr>
                <w:noProof/>
                <w:webHidden/>
              </w:rPr>
              <w:t>10</w:t>
            </w:r>
            <w:r w:rsidR="00452065">
              <w:rPr>
                <w:noProof/>
                <w:webHidden/>
              </w:rPr>
              <w:fldChar w:fldCharType="end"/>
            </w:r>
          </w:hyperlink>
        </w:p>
        <w:p w14:paraId="4B90BD8B" w14:textId="1223C153" w:rsidR="00452065" w:rsidRDefault="005C2AFB">
          <w:pPr>
            <w:pStyle w:val="TOC1"/>
            <w:rPr>
              <w:rFonts w:asciiTheme="minorHAnsi" w:hAnsiTheme="minorHAnsi"/>
              <w:b w:val="0"/>
              <w:noProof/>
              <w:sz w:val="22"/>
              <w:lang w:val="en-GB" w:eastAsia="en-GB"/>
            </w:rPr>
          </w:pPr>
          <w:hyperlink w:anchor="_Toc108076886" w:history="1">
            <w:r w:rsidR="00452065" w:rsidRPr="009112DE">
              <w:rPr>
                <w:rStyle w:val="Hyperlink"/>
                <w:noProof/>
              </w:rPr>
              <w:t>5</w:t>
            </w:r>
            <w:r w:rsidR="00452065">
              <w:rPr>
                <w:rFonts w:asciiTheme="minorHAnsi" w:hAnsiTheme="minorHAnsi"/>
                <w:b w:val="0"/>
                <w:noProof/>
                <w:sz w:val="22"/>
                <w:lang w:val="en-GB" w:eastAsia="en-GB"/>
              </w:rPr>
              <w:tab/>
            </w:r>
            <w:r w:rsidR="00452065" w:rsidRPr="009112DE">
              <w:rPr>
                <w:rStyle w:val="Hyperlink"/>
                <w:noProof/>
              </w:rPr>
              <w:t>Sickness Absence</w:t>
            </w:r>
            <w:r w:rsidR="00452065">
              <w:rPr>
                <w:noProof/>
                <w:webHidden/>
              </w:rPr>
              <w:tab/>
            </w:r>
            <w:r w:rsidR="00452065">
              <w:rPr>
                <w:noProof/>
                <w:webHidden/>
              </w:rPr>
              <w:fldChar w:fldCharType="begin"/>
            </w:r>
            <w:r w:rsidR="00452065">
              <w:rPr>
                <w:noProof/>
                <w:webHidden/>
              </w:rPr>
              <w:instrText xml:space="preserve"> PAGEREF _Toc108076886 \h </w:instrText>
            </w:r>
            <w:r w:rsidR="00452065">
              <w:rPr>
                <w:noProof/>
                <w:webHidden/>
              </w:rPr>
            </w:r>
            <w:r w:rsidR="00452065">
              <w:rPr>
                <w:noProof/>
                <w:webHidden/>
              </w:rPr>
              <w:fldChar w:fldCharType="separate"/>
            </w:r>
            <w:r w:rsidR="00452065">
              <w:rPr>
                <w:noProof/>
                <w:webHidden/>
              </w:rPr>
              <w:t>12</w:t>
            </w:r>
            <w:r w:rsidR="00452065">
              <w:rPr>
                <w:noProof/>
                <w:webHidden/>
              </w:rPr>
              <w:fldChar w:fldCharType="end"/>
            </w:r>
          </w:hyperlink>
        </w:p>
        <w:p w14:paraId="0AC464FA" w14:textId="3E18793A" w:rsidR="00452065" w:rsidRDefault="005C2AFB">
          <w:pPr>
            <w:pStyle w:val="TOC2"/>
            <w:rPr>
              <w:rFonts w:asciiTheme="minorHAnsi" w:hAnsiTheme="minorHAnsi" w:cstheme="minorBidi"/>
              <w:b w:val="0"/>
              <w:sz w:val="22"/>
              <w:lang w:val="en-GB" w:eastAsia="en-GB"/>
            </w:rPr>
          </w:pPr>
          <w:hyperlink w:anchor="_Toc108076887" w:history="1">
            <w:r w:rsidR="00452065" w:rsidRPr="009112DE">
              <w:rPr>
                <w:rStyle w:val="Hyperlink"/>
              </w:rPr>
              <w:t>5.1</w:t>
            </w:r>
            <w:r w:rsidR="00452065">
              <w:rPr>
                <w:rFonts w:asciiTheme="minorHAnsi" w:hAnsiTheme="minorHAnsi" w:cstheme="minorBidi"/>
                <w:b w:val="0"/>
                <w:sz w:val="22"/>
                <w:lang w:val="en-GB" w:eastAsia="en-GB"/>
              </w:rPr>
              <w:tab/>
            </w:r>
            <w:r w:rsidR="00452065" w:rsidRPr="009112DE">
              <w:rPr>
                <w:rStyle w:val="Hyperlink"/>
              </w:rPr>
              <w:t>Board Wide Sickness Absence</w:t>
            </w:r>
            <w:r w:rsidR="00452065">
              <w:rPr>
                <w:webHidden/>
              </w:rPr>
              <w:tab/>
            </w:r>
            <w:r w:rsidR="00452065">
              <w:rPr>
                <w:webHidden/>
              </w:rPr>
              <w:fldChar w:fldCharType="begin"/>
            </w:r>
            <w:r w:rsidR="00452065">
              <w:rPr>
                <w:webHidden/>
              </w:rPr>
              <w:instrText xml:space="preserve"> PAGEREF _Toc108076887 \h </w:instrText>
            </w:r>
            <w:r w:rsidR="00452065">
              <w:rPr>
                <w:webHidden/>
              </w:rPr>
            </w:r>
            <w:r w:rsidR="00452065">
              <w:rPr>
                <w:webHidden/>
              </w:rPr>
              <w:fldChar w:fldCharType="separate"/>
            </w:r>
            <w:r w:rsidR="00452065">
              <w:rPr>
                <w:webHidden/>
              </w:rPr>
              <w:t>12</w:t>
            </w:r>
            <w:r w:rsidR="00452065">
              <w:rPr>
                <w:webHidden/>
              </w:rPr>
              <w:fldChar w:fldCharType="end"/>
            </w:r>
          </w:hyperlink>
        </w:p>
        <w:p w14:paraId="2B627861" w14:textId="6BD5F054" w:rsidR="00452065" w:rsidRDefault="005C2AFB">
          <w:pPr>
            <w:pStyle w:val="TOC3"/>
            <w:rPr>
              <w:rFonts w:asciiTheme="minorHAnsi" w:hAnsiTheme="minorHAnsi"/>
              <w:b w:val="0"/>
              <w:noProof/>
              <w:sz w:val="22"/>
              <w:lang w:val="en-GB" w:eastAsia="en-GB"/>
            </w:rPr>
          </w:pPr>
          <w:hyperlink w:anchor="_Toc108076888" w:history="1">
            <w:r w:rsidR="00452065" w:rsidRPr="009112DE">
              <w:rPr>
                <w:rStyle w:val="Hyperlink"/>
                <w:noProof/>
              </w:rPr>
              <w:t>5.1.1</w:t>
            </w:r>
            <w:r w:rsidR="00452065">
              <w:rPr>
                <w:rFonts w:asciiTheme="minorHAnsi" w:hAnsiTheme="minorHAnsi"/>
                <w:b w:val="0"/>
                <w:noProof/>
                <w:sz w:val="22"/>
                <w:lang w:val="en-GB" w:eastAsia="en-GB"/>
              </w:rPr>
              <w:tab/>
            </w:r>
            <w:r w:rsidR="00452065" w:rsidRPr="009112DE">
              <w:rPr>
                <w:rStyle w:val="Hyperlink"/>
                <w:noProof/>
              </w:rPr>
              <w:t>2021/2022</w:t>
            </w:r>
            <w:r w:rsidR="00452065">
              <w:rPr>
                <w:noProof/>
                <w:webHidden/>
              </w:rPr>
              <w:tab/>
            </w:r>
            <w:r w:rsidR="00452065">
              <w:rPr>
                <w:noProof/>
                <w:webHidden/>
              </w:rPr>
              <w:fldChar w:fldCharType="begin"/>
            </w:r>
            <w:r w:rsidR="00452065">
              <w:rPr>
                <w:noProof/>
                <w:webHidden/>
              </w:rPr>
              <w:instrText xml:space="preserve"> PAGEREF _Toc108076888 \h </w:instrText>
            </w:r>
            <w:r w:rsidR="00452065">
              <w:rPr>
                <w:noProof/>
                <w:webHidden/>
              </w:rPr>
            </w:r>
            <w:r w:rsidR="00452065">
              <w:rPr>
                <w:noProof/>
                <w:webHidden/>
              </w:rPr>
              <w:fldChar w:fldCharType="separate"/>
            </w:r>
            <w:r w:rsidR="00452065">
              <w:rPr>
                <w:noProof/>
                <w:webHidden/>
              </w:rPr>
              <w:t>12</w:t>
            </w:r>
            <w:r w:rsidR="00452065">
              <w:rPr>
                <w:noProof/>
                <w:webHidden/>
              </w:rPr>
              <w:fldChar w:fldCharType="end"/>
            </w:r>
          </w:hyperlink>
        </w:p>
        <w:p w14:paraId="7BB0E57F" w14:textId="5C5904E4" w:rsidR="00452065" w:rsidRDefault="005C2AFB">
          <w:pPr>
            <w:pStyle w:val="TOC3"/>
            <w:rPr>
              <w:rFonts w:asciiTheme="minorHAnsi" w:hAnsiTheme="minorHAnsi"/>
              <w:b w:val="0"/>
              <w:noProof/>
              <w:sz w:val="22"/>
              <w:lang w:val="en-GB" w:eastAsia="en-GB"/>
            </w:rPr>
          </w:pPr>
          <w:hyperlink w:anchor="_Toc108076889" w:history="1">
            <w:r w:rsidR="00452065" w:rsidRPr="009112DE">
              <w:rPr>
                <w:rStyle w:val="Hyperlink"/>
                <w:noProof/>
              </w:rPr>
              <w:t>5.1.2</w:t>
            </w:r>
            <w:r w:rsidR="00452065">
              <w:rPr>
                <w:rFonts w:asciiTheme="minorHAnsi" w:hAnsiTheme="minorHAnsi"/>
                <w:b w:val="0"/>
                <w:noProof/>
                <w:sz w:val="22"/>
                <w:lang w:val="en-GB" w:eastAsia="en-GB"/>
              </w:rPr>
              <w:tab/>
            </w:r>
            <w:r w:rsidR="00452065" w:rsidRPr="009112DE">
              <w:rPr>
                <w:rStyle w:val="Hyperlink"/>
                <w:noProof/>
              </w:rPr>
              <w:t>2015/2016 to 2021/2022</w:t>
            </w:r>
            <w:r w:rsidR="00452065">
              <w:rPr>
                <w:noProof/>
                <w:webHidden/>
              </w:rPr>
              <w:tab/>
            </w:r>
            <w:r w:rsidR="00452065">
              <w:rPr>
                <w:noProof/>
                <w:webHidden/>
              </w:rPr>
              <w:fldChar w:fldCharType="begin"/>
            </w:r>
            <w:r w:rsidR="00452065">
              <w:rPr>
                <w:noProof/>
                <w:webHidden/>
              </w:rPr>
              <w:instrText xml:space="preserve"> PAGEREF _Toc108076889 \h </w:instrText>
            </w:r>
            <w:r w:rsidR="00452065">
              <w:rPr>
                <w:noProof/>
                <w:webHidden/>
              </w:rPr>
            </w:r>
            <w:r w:rsidR="00452065">
              <w:rPr>
                <w:noProof/>
                <w:webHidden/>
              </w:rPr>
              <w:fldChar w:fldCharType="separate"/>
            </w:r>
            <w:r w:rsidR="00452065">
              <w:rPr>
                <w:noProof/>
                <w:webHidden/>
              </w:rPr>
              <w:t>12</w:t>
            </w:r>
            <w:r w:rsidR="00452065">
              <w:rPr>
                <w:noProof/>
                <w:webHidden/>
              </w:rPr>
              <w:fldChar w:fldCharType="end"/>
            </w:r>
          </w:hyperlink>
        </w:p>
        <w:p w14:paraId="4C61252F" w14:textId="4C77027F" w:rsidR="00452065" w:rsidRDefault="005C2AFB">
          <w:pPr>
            <w:pStyle w:val="TOC3"/>
            <w:rPr>
              <w:rFonts w:asciiTheme="minorHAnsi" w:hAnsiTheme="minorHAnsi"/>
              <w:b w:val="0"/>
              <w:noProof/>
              <w:sz w:val="22"/>
              <w:lang w:val="en-GB" w:eastAsia="en-GB"/>
            </w:rPr>
          </w:pPr>
          <w:hyperlink w:anchor="_Toc108076890" w:history="1">
            <w:r w:rsidR="00452065" w:rsidRPr="009112DE">
              <w:rPr>
                <w:rStyle w:val="Hyperlink"/>
                <w:noProof/>
              </w:rPr>
              <w:t>5.1.3</w:t>
            </w:r>
            <w:r w:rsidR="00452065">
              <w:rPr>
                <w:rFonts w:asciiTheme="minorHAnsi" w:hAnsiTheme="minorHAnsi"/>
                <w:b w:val="0"/>
                <w:noProof/>
                <w:sz w:val="22"/>
                <w:lang w:val="en-GB" w:eastAsia="en-GB"/>
              </w:rPr>
              <w:tab/>
            </w:r>
            <w:r w:rsidR="00452065" w:rsidRPr="009112DE">
              <w:rPr>
                <w:rStyle w:val="Hyperlink"/>
                <w:noProof/>
              </w:rPr>
              <w:t>Comparison with Other National Boards and NHS Scotland</w:t>
            </w:r>
            <w:r w:rsidR="00452065">
              <w:rPr>
                <w:noProof/>
                <w:webHidden/>
              </w:rPr>
              <w:tab/>
            </w:r>
            <w:r w:rsidR="00452065">
              <w:rPr>
                <w:noProof/>
                <w:webHidden/>
              </w:rPr>
              <w:fldChar w:fldCharType="begin"/>
            </w:r>
            <w:r w:rsidR="00452065">
              <w:rPr>
                <w:noProof/>
                <w:webHidden/>
              </w:rPr>
              <w:instrText xml:space="preserve"> PAGEREF _Toc108076890 \h </w:instrText>
            </w:r>
            <w:r w:rsidR="00452065">
              <w:rPr>
                <w:noProof/>
                <w:webHidden/>
              </w:rPr>
            </w:r>
            <w:r w:rsidR="00452065">
              <w:rPr>
                <w:noProof/>
                <w:webHidden/>
              </w:rPr>
              <w:fldChar w:fldCharType="separate"/>
            </w:r>
            <w:r w:rsidR="00452065">
              <w:rPr>
                <w:noProof/>
                <w:webHidden/>
              </w:rPr>
              <w:t>12</w:t>
            </w:r>
            <w:r w:rsidR="00452065">
              <w:rPr>
                <w:noProof/>
                <w:webHidden/>
              </w:rPr>
              <w:fldChar w:fldCharType="end"/>
            </w:r>
          </w:hyperlink>
        </w:p>
        <w:p w14:paraId="45DC5337" w14:textId="10830AB3" w:rsidR="00452065" w:rsidRDefault="005C2AFB">
          <w:pPr>
            <w:pStyle w:val="TOC2"/>
            <w:rPr>
              <w:rFonts w:asciiTheme="minorHAnsi" w:hAnsiTheme="minorHAnsi" w:cstheme="minorBidi"/>
              <w:b w:val="0"/>
              <w:sz w:val="22"/>
              <w:lang w:val="en-GB" w:eastAsia="en-GB"/>
            </w:rPr>
          </w:pPr>
          <w:hyperlink w:anchor="_Toc108076891" w:history="1">
            <w:r w:rsidR="00452065" w:rsidRPr="009112DE">
              <w:rPr>
                <w:rStyle w:val="Hyperlink"/>
              </w:rPr>
              <w:t>5.2</w:t>
            </w:r>
            <w:r w:rsidR="00452065">
              <w:rPr>
                <w:rFonts w:asciiTheme="minorHAnsi" w:hAnsiTheme="minorHAnsi" w:cstheme="minorBidi"/>
                <w:b w:val="0"/>
                <w:sz w:val="22"/>
                <w:lang w:val="en-GB" w:eastAsia="en-GB"/>
              </w:rPr>
              <w:tab/>
            </w:r>
            <w:r w:rsidR="00452065" w:rsidRPr="009112DE">
              <w:rPr>
                <w:rStyle w:val="Hyperlink"/>
              </w:rPr>
              <w:t>Long Term and Short Term Sickness Absence</w:t>
            </w:r>
            <w:r w:rsidR="00452065">
              <w:rPr>
                <w:webHidden/>
              </w:rPr>
              <w:tab/>
            </w:r>
            <w:r w:rsidR="00452065">
              <w:rPr>
                <w:webHidden/>
              </w:rPr>
              <w:fldChar w:fldCharType="begin"/>
            </w:r>
            <w:r w:rsidR="00452065">
              <w:rPr>
                <w:webHidden/>
              </w:rPr>
              <w:instrText xml:space="preserve"> PAGEREF _Toc108076891 \h </w:instrText>
            </w:r>
            <w:r w:rsidR="00452065">
              <w:rPr>
                <w:webHidden/>
              </w:rPr>
            </w:r>
            <w:r w:rsidR="00452065">
              <w:rPr>
                <w:webHidden/>
              </w:rPr>
              <w:fldChar w:fldCharType="separate"/>
            </w:r>
            <w:r w:rsidR="00452065">
              <w:rPr>
                <w:webHidden/>
              </w:rPr>
              <w:t>13</w:t>
            </w:r>
            <w:r w:rsidR="00452065">
              <w:rPr>
                <w:webHidden/>
              </w:rPr>
              <w:fldChar w:fldCharType="end"/>
            </w:r>
          </w:hyperlink>
        </w:p>
        <w:p w14:paraId="30714856" w14:textId="0A1D7064" w:rsidR="00452065" w:rsidRDefault="005C2AFB">
          <w:pPr>
            <w:pStyle w:val="TOC2"/>
            <w:rPr>
              <w:rFonts w:asciiTheme="minorHAnsi" w:hAnsiTheme="minorHAnsi" w:cstheme="minorBidi"/>
              <w:b w:val="0"/>
              <w:sz w:val="22"/>
              <w:lang w:val="en-GB" w:eastAsia="en-GB"/>
            </w:rPr>
          </w:pPr>
          <w:hyperlink w:anchor="_Toc108076892" w:history="1">
            <w:r w:rsidR="00452065" w:rsidRPr="009112DE">
              <w:rPr>
                <w:rStyle w:val="Hyperlink"/>
              </w:rPr>
              <w:t>5.3</w:t>
            </w:r>
            <w:r w:rsidR="00452065">
              <w:rPr>
                <w:rFonts w:asciiTheme="minorHAnsi" w:hAnsiTheme="minorHAnsi" w:cstheme="minorBidi"/>
                <w:b w:val="0"/>
                <w:sz w:val="22"/>
                <w:lang w:val="en-GB" w:eastAsia="en-GB"/>
              </w:rPr>
              <w:tab/>
            </w:r>
            <w:r w:rsidR="00452065" w:rsidRPr="009112DE">
              <w:rPr>
                <w:rStyle w:val="Hyperlink"/>
              </w:rPr>
              <w:t>Sickness Absence by Directorate</w:t>
            </w:r>
            <w:r w:rsidR="00452065">
              <w:rPr>
                <w:webHidden/>
              </w:rPr>
              <w:tab/>
            </w:r>
            <w:r w:rsidR="00452065">
              <w:rPr>
                <w:webHidden/>
              </w:rPr>
              <w:fldChar w:fldCharType="begin"/>
            </w:r>
            <w:r w:rsidR="00452065">
              <w:rPr>
                <w:webHidden/>
              </w:rPr>
              <w:instrText xml:space="preserve"> PAGEREF _Toc108076892 \h </w:instrText>
            </w:r>
            <w:r w:rsidR="00452065">
              <w:rPr>
                <w:webHidden/>
              </w:rPr>
            </w:r>
            <w:r w:rsidR="00452065">
              <w:rPr>
                <w:webHidden/>
              </w:rPr>
              <w:fldChar w:fldCharType="separate"/>
            </w:r>
            <w:r w:rsidR="00452065">
              <w:rPr>
                <w:webHidden/>
              </w:rPr>
              <w:t>13</w:t>
            </w:r>
            <w:r w:rsidR="00452065">
              <w:rPr>
                <w:webHidden/>
              </w:rPr>
              <w:fldChar w:fldCharType="end"/>
            </w:r>
          </w:hyperlink>
        </w:p>
        <w:p w14:paraId="04F0DF8A" w14:textId="3739DD0B" w:rsidR="00452065" w:rsidRDefault="005C2AFB">
          <w:pPr>
            <w:pStyle w:val="TOC3"/>
            <w:rPr>
              <w:rFonts w:asciiTheme="minorHAnsi" w:hAnsiTheme="minorHAnsi"/>
              <w:b w:val="0"/>
              <w:noProof/>
              <w:sz w:val="22"/>
              <w:lang w:val="en-GB" w:eastAsia="en-GB"/>
            </w:rPr>
          </w:pPr>
          <w:hyperlink w:anchor="_Toc108076893" w:history="1">
            <w:r w:rsidR="00452065" w:rsidRPr="009112DE">
              <w:rPr>
                <w:rStyle w:val="Hyperlink"/>
                <w:noProof/>
              </w:rPr>
              <w:t>5.3.1</w:t>
            </w:r>
            <w:r w:rsidR="00452065">
              <w:rPr>
                <w:rFonts w:asciiTheme="minorHAnsi" w:hAnsiTheme="minorHAnsi"/>
                <w:b w:val="0"/>
                <w:noProof/>
                <w:sz w:val="22"/>
                <w:lang w:val="en-GB" w:eastAsia="en-GB"/>
              </w:rPr>
              <w:tab/>
            </w:r>
            <w:r w:rsidR="00452065" w:rsidRPr="009112DE">
              <w:rPr>
                <w:rStyle w:val="Hyperlink"/>
                <w:noProof/>
              </w:rPr>
              <w:t>2021/2022</w:t>
            </w:r>
            <w:r w:rsidR="00452065">
              <w:rPr>
                <w:noProof/>
                <w:webHidden/>
              </w:rPr>
              <w:tab/>
            </w:r>
            <w:r w:rsidR="00452065">
              <w:rPr>
                <w:noProof/>
                <w:webHidden/>
              </w:rPr>
              <w:fldChar w:fldCharType="begin"/>
            </w:r>
            <w:r w:rsidR="00452065">
              <w:rPr>
                <w:noProof/>
                <w:webHidden/>
              </w:rPr>
              <w:instrText xml:space="preserve"> PAGEREF _Toc108076893 \h </w:instrText>
            </w:r>
            <w:r w:rsidR="00452065">
              <w:rPr>
                <w:noProof/>
                <w:webHidden/>
              </w:rPr>
            </w:r>
            <w:r w:rsidR="00452065">
              <w:rPr>
                <w:noProof/>
                <w:webHidden/>
              </w:rPr>
              <w:fldChar w:fldCharType="separate"/>
            </w:r>
            <w:r w:rsidR="00452065">
              <w:rPr>
                <w:noProof/>
                <w:webHidden/>
              </w:rPr>
              <w:t>13</w:t>
            </w:r>
            <w:r w:rsidR="00452065">
              <w:rPr>
                <w:noProof/>
                <w:webHidden/>
              </w:rPr>
              <w:fldChar w:fldCharType="end"/>
            </w:r>
          </w:hyperlink>
        </w:p>
        <w:p w14:paraId="27BC71DF" w14:textId="0A7AECC2" w:rsidR="00452065" w:rsidRDefault="005C2AFB">
          <w:pPr>
            <w:pStyle w:val="TOC3"/>
            <w:rPr>
              <w:rFonts w:asciiTheme="minorHAnsi" w:hAnsiTheme="minorHAnsi"/>
              <w:b w:val="0"/>
              <w:noProof/>
              <w:sz w:val="22"/>
              <w:lang w:val="en-GB" w:eastAsia="en-GB"/>
            </w:rPr>
          </w:pPr>
          <w:hyperlink w:anchor="_Toc108076894" w:history="1">
            <w:r w:rsidR="00452065" w:rsidRPr="009112DE">
              <w:rPr>
                <w:rStyle w:val="Hyperlink"/>
                <w:noProof/>
              </w:rPr>
              <w:t>5.3.2</w:t>
            </w:r>
            <w:r w:rsidR="00452065">
              <w:rPr>
                <w:rFonts w:asciiTheme="minorHAnsi" w:hAnsiTheme="minorHAnsi"/>
                <w:b w:val="0"/>
                <w:noProof/>
                <w:sz w:val="22"/>
                <w:lang w:val="en-GB" w:eastAsia="en-GB"/>
              </w:rPr>
              <w:tab/>
            </w:r>
            <w:r w:rsidR="00452065" w:rsidRPr="009112DE">
              <w:rPr>
                <w:rStyle w:val="Hyperlink"/>
                <w:noProof/>
              </w:rPr>
              <w:t>2015/2016 to 2021/2022</w:t>
            </w:r>
            <w:r w:rsidR="00452065">
              <w:rPr>
                <w:noProof/>
                <w:webHidden/>
              </w:rPr>
              <w:tab/>
            </w:r>
            <w:r w:rsidR="00452065">
              <w:rPr>
                <w:noProof/>
                <w:webHidden/>
              </w:rPr>
              <w:fldChar w:fldCharType="begin"/>
            </w:r>
            <w:r w:rsidR="00452065">
              <w:rPr>
                <w:noProof/>
                <w:webHidden/>
              </w:rPr>
              <w:instrText xml:space="preserve"> PAGEREF _Toc108076894 \h </w:instrText>
            </w:r>
            <w:r w:rsidR="00452065">
              <w:rPr>
                <w:noProof/>
                <w:webHidden/>
              </w:rPr>
            </w:r>
            <w:r w:rsidR="00452065">
              <w:rPr>
                <w:noProof/>
                <w:webHidden/>
              </w:rPr>
              <w:fldChar w:fldCharType="separate"/>
            </w:r>
            <w:r w:rsidR="00452065">
              <w:rPr>
                <w:noProof/>
                <w:webHidden/>
              </w:rPr>
              <w:t>14</w:t>
            </w:r>
            <w:r w:rsidR="00452065">
              <w:rPr>
                <w:noProof/>
                <w:webHidden/>
              </w:rPr>
              <w:fldChar w:fldCharType="end"/>
            </w:r>
          </w:hyperlink>
        </w:p>
        <w:p w14:paraId="03694F75" w14:textId="6FFB8AC0" w:rsidR="00452065" w:rsidRDefault="005C2AFB">
          <w:pPr>
            <w:pStyle w:val="TOC2"/>
            <w:rPr>
              <w:rFonts w:asciiTheme="minorHAnsi" w:hAnsiTheme="minorHAnsi" w:cstheme="minorBidi"/>
              <w:b w:val="0"/>
              <w:sz w:val="22"/>
              <w:lang w:val="en-GB" w:eastAsia="en-GB"/>
            </w:rPr>
          </w:pPr>
          <w:hyperlink w:anchor="_Toc108076895" w:history="1">
            <w:r w:rsidR="00452065" w:rsidRPr="009112DE">
              <w:rPr>
                <w:rStyle w:val="Hyperlink"/>
              </w:rPr>
              <w:t>5.4</w:t>
            </w:r>
            <w:r w:rsidR="00452065">
              <w:rPr>
                <w:rFonts w:asciiTheme="minorHAnsi" w:hAnsiTheme="minorHAnsi" w:cstheme="minorBidi"/>
                <w:b w:val="0"/>
                <w:sz w:val="22"/>
                <w:lang w:val="en-GB" w:eastAsia="en-GB"/>
              </w:rPr>
              <w:tab/>
            </w:r>
            <w:r w:rsidR="00452065" w:rsidRPr="009112DE">
              <w:rPr>
                <w:rStyle w:val="Hyperlink"/>
              </w:rPr>
              <w:t>Sickness Absence by Job Family</w:t>
            </w:r>
            <w:r w:rsidR="00452065">
              <w:rPr>
                <w:webHidden/>
              </w:rPr>
              <w:tab/>
            </w:r>
            <w:r w:rsidR="00452065">
              <w:rPr>
                <w:webHidden/>
              </w:rPr>
              <w:fldChar w:fldCharType="begin"/>
            </w:r>
            <w:r w:rsidR="00452065">
              <w:rPr>
                <w:webHidden/>
              </w:rPr>
              <w:instrText xml:space="preserve"> PAGEREF _Toc108076895 \h </w:instrText>
            </w:r>
            <w:r w:rsidR="00452065">
              <w:rPr>
                <w:webHidden/>
              </w:rPr>
            </w:r>
            <w:r w:rsidR="00452065">
              <w:rPr>
                <w:webHidden/>
              </w:rPr>
              <w:fldChar w:fldCharType="separate"/>
            </w:r>
            <w:r w:rsidR="00452065">
              <w:rPr>
                <w:webHidden/>
              </w:rPr>
              <w:t>14</w:t>
            </w:r>
            <w:r w:rsidR="00452065">
              <w:rPr>
                <w:webHidden/>
              </w:rPr>
              <w:fldChar w:fldCharType="end"/>
            </w:r>
          </w:hyperlink>
        </w:p>
        <w:p w14:paraId="7A19EE01" w14:textId="747F943E" w:rsidR="00452065" w:rsidRDefault="005C2AFB">
          <w:pPr>
            <w:pStyle w:val="TOC2"/>
            <w:rPr>
              <w:rFonts w:asciiTheme="minorHAnsi" w:hAnsiTheme="minorHAnsi" w:cstheme="minorBidi"/>
              <w:b w:val="0"/>
              <w:sz w:val="22"/>
              <w:lang w:val="en-GB" w:eastAsia="en-GB"/>
            </w:rPr>
          </w:pPr>
          <w:hyperlink w:anchor="_Toc108076896" w:history="1">
            <w:r w:rsidR="00452065" w:rsidRPr="009112DE">
              <w:rPr>
                <w:rStyle w:val="Hyperlink"/>
              </w:rPr>
              <w:t>5.5</w:t>
            </w:r>
            <w:r w:rsidR="00452065">
              <w:rPr>
                <w:rFonts w:asciiTheme="minorHAnsi" w:hAnsiTheme="minorHAnsi" w:cstheme="minorBidi"/>
                <w:b w:val="0"/>
                <w:sz w:val="22"/>
                <w:lang w:val="en-GB" w:eastAsia="en-GB"/>
              </w:rPr>
              <w:tab/>
            </w:r>
            <w:r w:rsidR="00452065" w:rsidRPr="009112DE">
              <w:rPr>
                <w:rStyle w:val="Hyperlink"/>
              </w:rPr>
              <w:t>Sickness Absence by Age and Gender</w:t>
            </w:r>
            <w:r w:rsidR="00452065">
              <w:rPr>
                <w:webHidden/>
              </w:rPr>
              <w:tab/>
            </w:r>
            <w:r w:rsidR="00452065">
              <w:rPr>
                <w:webHidden/>
              </w:rPr>
              <w:fldChar w:fldCharType="begin"/>
            </w:r>
            <w:r w:rsidR="00452065">
              <w:rPr>
                <w:webHidden/>
              </w:rPr>
              <w:instrText xml:space="preserve"> PAGEREF _Toc108076896 \h </w:instrText>
            </w:r>
            <w:r w:rsidR="00452065">
              <w:rPr>
                <w:webHidden/>
              </w:rPr>
            </w:r>
            <w:r w:rsidR="00452065">
              <w:rPr>
                <w:webHidden/>
              </w:rPr>
              <w:fldChar w:fldCharType="separate"/>
            </w:r>
            <w:r w:rsidR="00452065">
              <w:rPr>
                <w:webHidden/>
              </w:rPr>
              <w:t>15</w:t>
            </w:r>
            <w:r w:rsidR="00452065">
              <w:rPr>
                <w:webHidden/>
              </w:rPr>
              <w:fldChar w:fldCharType="end"/>
            </w:r>
          </w:hyperlink>
        </w:p>
        <w:p w14:paraId="4FCC8689" w14:textId="742A0F94" w:rsidR="00452065" w:rsidRDefault="005C2AFB">
          <w:pPr>
            <w:pStyle w:val="TOC2"/>
            <w:rPr>
              <w:rFonts w:asciiTheme="minorHAnsi" w:hAnsiTheme="minorHAnsi" w:cstheme="minorBidi"/>
              <w:b w:val="0"/>
              <w:sz w:val="22"/>
              <w:lang w:val="en-GB" w:eastAsia="en-GB"/>
            </w:rPr>
          </w:pPr>
          <w:hyperlink w:anchor="_Toc108076897" w:history="1">
            <w:r w:rsidR="00452065" w:rsidRPr="009112DE">
              <w:rPr>
                <w:rStyle w:val="Hyperlink"/>
              </w:rPr>
              <w:t>5.6</w:t>
            </w:r>
            <w:r w:rsidR="00452065">
              <w:rPr>
                <w:rFonts w:asciiTheme="minorHAnsi" w:hAnsiTheme="minorHAnsi" w:cstheme="minorBidi"/>
                <w:b w:val="0"/>
                <w:sz w:val="22"/>
                <w:lang w:val="en-GB" w:eastAsia="en-GB"/>
              </w:rPr>
              <w:tab/>
            </w:r>
            <w:r w:rsidR="00452065" w:rsidRPr="009112DE">
              <w:rPr>
                <w:rStyle w:val="Hyperlink"/>
              </w:rPr>
              <w:t>Reasons for Sickness Absence</w:t>
            </w:r>
            <w:r w:rsidR="00452065">
              <w:rPr>
                <w:webHidden/>
              </w:rPr>
              <w:tab/>
            </w:r>
            <w:r w:rsidR="00452065">
              <w:rPr>
                <w:webHidden/>
              </w:rPr>
              <w:fldChar w:fldCharType="begin"/>
            </w:r>
            <w:r w:rsidR="00452065">
              <w:rPr>
                <w:webHidden/>
              </w:rPr>
              <w:instrText xml:space="preserve"> PAGEREF _Toc108076897 \h </w:instrText>
            </w:r>
            <w:r w:rsidR="00452065">
              <w:rPr>
                <w:webHidden/>
              </w:rPr>
            </w:r>
            <w:r w:rsidR="00452065">
              <w:rPr>
                <w:webHidden/>
              </w:rPr>
              <w:fldChar w:fldCharType="separate"/>
            </w:r>
            <w:r w:rsidR="00452065">
              <w:rPr>
                <w:webHidden/>
              </w:rPr>
              <w:t>16</w:t>
            </w:r>
            <w:r w:rsidR="00452065">
              <w:rPr>
                <w:webHidden/>
              </w:rPr>
              <w:fldChar w:fldCharType="end"/>
            </w:r>
          </w:hyperlink>
        </w:p>
        <w:p w14:paraId="74521E71" w14:textId="54344309" w:rsidR="00452065" w:rsidRDefault="005C2AFB">
          <w:pPr>
            <w:pStyle w:val="TOC1"/>
            <w:rPr>
              <w:rFonts w:asciiTheme="minorHAnsi" w:hAnsiTheme="minorHAnsi"/>
              <w:b w:val="0"/>
              <w:noProof/>
              <w:sz w:val="22"/>
              <w:lang w:val="en-GB" w:eastAsia="en-GB"/>
            </w:rPr>
          </w:pPr>
          <w:hyperlink w:anchor="_Toc108076898" w:history="1">
            <w:r w:rsidR="00452065" w:rsidRPr="009112DE">
              <w:rPr>
                <w:rStyle w:val="Hyperlink"/>
                <w:noProof/>
              </w:rPr>
              <w:t>6</w:t>
            </w:r>
            <w:r w:rsidR="00452065">
              <w:rPr>
                <w:rFonts w:asciiTheme="minorHAnsi" w:hAnsiTheme="minorHAnsi"/>
                <w:b w:val="0"/>
                <w:noProof/>
                <w:sz w:val="22"/>
                <w:lang w:val="en-GB" w:eastAsia="en-GB"/>
              </w:rPr>
              <w:tab/>
            </w:r>
            <w:r w:rsidR="00452065" w:rsidRPr="009112DE">
              <w:rPr>
                <w:rStyle w:val="Hyperlink"/>
                <w:noProof/>
              </w:rPr>
              <w:t>Work Life Balance</w:t>
            </w:r>
            <w:r w:rsidR="00452065">
              <w:rPr>
                <w:noProof/>
                <w:webHidden/>
              </w:rPr>
              <w:tab/>
            </w:r>
            <w:r w:rsidR="00452065">
              <w:rPr>
                <w:noProof/>
                <w:webHidden/>
              </w:rPr>
              <w:fldChar w:fldCharType="begin"/>
            </w:r>
            <w:r w:rsidR="00452065">
              <w:rPr>
                <w:noProof/>
                <w:webHidden/>
              </w:rPr>
              <w:instrText xml:space="preserve"> PAGEREF _Toc108076898 \h </w:instrText>
            </w:r>
            <w:r w:rsidR="00452065">
              <w:rPr>
                <w:noProof/>
                <w:webHidden/>
              </w:rPr>
            </w:r>
            <w:r w:rsidR="00452065">
              <w:rPr>
                <w:noProof/>
                <w:webHidden/>
              </w:rPr>
              <w:fldChar w:fldCharType="separate"/>
            </w:r>
            <w:r w:rsidR="00452065">
              <w:rPr>
                <w:noProof/>
                <w:webHidden/>
              </w:rPr>
              <w:t>18</w:t>
            </w:r>
            <w:r w:rsidR="00452065">
              <w:rPr>
                <w:noProof/>
                <w:webHidden/>
              </w:rPr>
              <w:fldChar w:fldCharType="end"/>
            </w:r>
          </w:hyperlink>
        </w:p>
        <w:p w14:paraId="0D66CBBE" w14:textId="7F9B8A09" w:rsidR="00452065" w:rsidRDefault="005C2AFB">
          <w:pPr>
            <w:pStyle w:val="TOC2"/>
            <w:rPr>
              <w:rFonts w:asciiTheme="minorHAnsi" w:hAnsiTheme="minorHAnsi" w:cstheme="minorBidi"/>
              <w:b w:val="0"/>
              <w:sz w:val="22"/>
              <w:lang w:val="en-GB" w:eastAsia="en-GB"/>
            </w:rPr>
          </w:pPr>
          <w:hyperlink w:anchor="_Toc108076899" w:history="1">
            <w:r w:rsidR="00452065" w:rsidRPr="009112DE">
              <w:rPr>
                <w:rStyle w:val="Hyperlink"/>
              </w:rPr>
              <w:t>6.1</w:t>
            </w:r>
            <w:r w:rsidR="00452065">
              <w:rPr>
                <w:rFonts w:asciiTheme="minorHAnsi" w:hAnsiTheme="minorHAnsi" w:cstheme="minorBidi"/>
                <w:b w:val="0"/>
                <w:sz w:val="22"/>
                <w:lang w:val="en-GB" w:eastAsia="en-GB"/>
              </w:rPr>
              <w:tab/>
            </w:r>
            <w:r w:rsidR="00452065" w:rsidRPr="009112DE">
              <w:rPr>
                <w:rStyle w:val="Hyperlink"/>
              </w:rPr>
              <w:t>Special Leave</w:t>
            </w:r>
            <w:r w:rsidR="00452065">
              <w:rPr>
                <w:webHidden/>
              </w:rPr>
              <w:tab/>
            </w:r>
            <w:r w:rsidR="00452065">
              <w:rPr>
                <w:webHidden/>
              </w:rPr>
              <w:fldChar w:fldCharType="begin"/>
            </w:r>
            <w:r w:rsidR="00452065">
              <w:rPr>
                <w:webHidden/>
              </w:rPr>
              <w:instrText xml:space="preserve"> PAGEREF _Toc108076899 \h </w:instrText>
            </w:r>
            <w:r w:rsidR="00452065">
              <w:rPr>
                <w:webHidden/>
              </w:rPr>
            </w:r>
            <w:r w:rsidR="00452065">
              <w:rPr>
                <w:webHidden/>
              </w:rPr>
              <w:fldChar w:fldCharType="separate"/>
            </w:r>
            <w:r w:rsidR="00452065">
              <w:rPr>
                <w:webHidden/>
              </w:rPr>
              <w:t>18</w:t>
            </w:r>
            <w:r w:rsidR="00452065">
              <w:rPr>
                <w:webHidden/>
              </w:rPr>
              <w:fldChar w:fldCharType="end"/>
            </w:r>
          </w:hyperlink>
        </w:p>
        <w:p w14:paraId="3BA2E0B6" w14:textId="1E555CD2" w:rsidR="00452065" w:rsidRDefault="005C2AFB">
          <w:pPr>
            <w:pStyle w:val="TOC2"/>
            <w:rPr>
              <w:rFonts w:asciiTheme="minorHAnsi" w:hAnsiTheme="minorHAnsi" w:cstheme="minorBidi"/>
              <w:b w:val="0"/>
              <w:sz w:val="22"/>
              <w:lang w:val="en-GB" w:eastAsia="en-GB"/>
            </w:rPr>
          </w:pPr>
          <w:hyperlink w:anchor="_Toc108076900" w:history="1">
            <w:r w:rsidR="00452065" w:rsidRPr="009112DE">
              <w:rPr>
                <w:rStyle w:val="Hyperlink"/>
              </w:rPr>
              <w:t>6.2</w:t>
            </w:r>
            <w:r w:rsidR="00452065">
              <w:rPr>
                <w:rFonts w:asciiTheme="minorHAnsi" w:hAnsiTheme="minorHAnsi" w:cstheme="minorBidi"/>
                <w:b w:val="0"/>
                <w:sz w:val="22"/>
                <w:lang w:val="en-GB" w:eastAsia="en-GB"/>
              </w:rPr>
              <w:tab/>
            </w:r>
            <w:r w:rsidR="00452065" w:rsidRPr="009112DE">
              <w:rPr>
                <w:rStyle w:val="Hyperlink"/>
              </w:rPr>
              <w:t>Parental Leave</w:t>
            </w:r>
            <w:r w:rsidR="00452065">
              <w:rPr>
                <w:webHidden/>
              </w:rPr>
              <w:tab/>
            </w:r>
            <w:r w:rsidR="00452065">
              <w:rPr>
                <w:webHidden/>
              </w:rPr>
              <w:fldChar w:fldCharType="begin"/>
            </w:r>
            <w:r w:rsidR="00452065">
              <w:rPr>
                <w:webHidden/>
              </w:rPr>
              <w:instrText xml:space="preserve"> PAGEREF _Toc108076900 \h </w:instrText>
            </w:r>
            <w:r w:rsidR="00452065">
              <w:rPr>
                <w:webHidden/>
              </w:rPr>
            </w:r>
            <w:r w:rsidR="00452065">
              <w:rPr>
                <w:webHidden/>
              </w:rPr>
              <w:fldChar w:fldCharType="separate"/>
            </w:r>
            <w:r w:rsidR="00452065">
              <w:rPr>
                <w:webHidden/>
              </w:rPr>
              <w:t>19</w:t>
            </w:r>
            <w:r w:rsidR="00452065">
              <w:rPr>
                <w:webHidden/>
              </w:rPr>
              <w:fldChar w:fldCharType="end"/>
            </w:r>
          </w:hyperlink>
        </w:p>
        <w:p w14:paraId="729371CB" w14:textId="2E595F3C" w:rsidR="00452065" w:rsidRDefault="005C2AFB">
          <w:pPr>
            <w:pStyle w:val="TOC2"/>
            <w:rPr>
              <w:rFonts w:asciiTheme="minorHAnsi" w:hAnsiTheme="minorHAnsi" w:cstheme="minorBidi"/>
              <w:b w:val="0"/>
              <w:sz w:val="22"/>
              <w:lang w:val="en-GB" w:eastAsia="en-GB"/>
            </w:rPr>
          </w:pPr>
          <w:hyperlink w:anchor="_Toc108076901" w:history="1">
            <w:r w:rsidR="00452065" w:rsidRPr="009112DE">
              <w:rPr>
                <w:rStyle w:val="Hyperlink"/>
              </w:rPr>
              <w:t>6.3</w:t>
            </w:r>
            <w:r w:rsidR="00452065">
              <w:rPr>
                <w:rFonts w:asciiTheme="minorHAnsi" w:hAnsiTheme="minorHAnsi" w:cstheme="minorBidi"/>
                <w:b w:val="0"/>
                <w:sz w:val="22"/>
                <w:lang w:val="en-GB" w:eastAsia="en-GB"/>
              </w:rPr>
              <w:tab/>
            </w:r>
            <w:r w:rsidR="00452065" w:rsidRPr="009112DE">
              <w:rPr>
                <w:rStyle w:val="Hyperlink"/>
              </w:rPr>
              <w:t>Maternity Support (Paternity) Leave</w:t>
            </w:r>
            <w:r w:rsidR="00452065">
              <w:rPr>
                <w:webHidden/>
              </w:rPr>
              <w:tab/>
            </w:r>
            <w:r w:rsidR="00452065">
              <w:rPr>
                <w:webHidden/>
              </w:rPr>
              <w:fldChar w:fldCharType="begin"/>
            </w:r>
            <w:r w:rsidR="00452065">
              <w:rPr>
                <w:webHidden/>
              </w:rPr>
              <w:instrText xml:space="preserve"> PAGEREF _Toc108076901 \h </w:instrText>
            </w:r>
            <w:r w:rsidR="00452065">
              <w:rPr>
                <w:webHidden/>
              </w:rPr>
            </w:r>
            <w:r w:rsidR="00452065">
              <w:rPr>
                <w:webHidden/>
              </w:rPr>
              <w:fldChar w:fldCharType="separate"/>
            </w:r>
            <w:r w:rsidR="00452065">
              <w:rPr>
                <w:webHidden/>
              </w:rPr>
              <w:t>20</w:t>
            </w:r>
            <w:r w:rsidR="00452065">
              <w:rPr>
                <w:webHidden/>
              </w:rPr>
              <w:fldChar w:fldCharType="end"/>
            </w:r>
          </w:hyperlink>
        </w:p>
        <w:p w14:paraId="1D81641F" w14:textId="511EB569" w:rsidR="00452065" w:rsidRDefault="005C2AFB">
          <w:pPr>
            <w:pStyle w:val="TOC1"/>
            <w:rPr>
              <w:rFonts w:asciiTheme="minorHAnsi" w:hAnsiTheme="minorHAnsi"/>
              <w:b w:val="0"/>
              <w:noProof/>
              <w:sz w:val="22"/>
              <w:lang w:val="en-GB" w:eastAsia="en-GB"/>
            </w:rPr>
          </w:pPr>
          <w:hyperlink w:anchor="_Toc108076902" w:history="1">
            <w:r w:rsidR="00452065" w:rsidRPr="009112DE">
              <w:rPr>
                <w:rStyle w:val="Hyperlink"/>
                <w:noProof/>
              </w:rPr>
              <w:t>7</w:t>
            </w:r>
            <w:r w:rsidR="00452065">
              <w:rPr>
                <w:rFonts w:asciiTheme="minorHAnsi" w:hAnsiTheme="minorHAnsi"/>
                <w:b w:val="0"/>
                <w:noProof/>
                <w:sz w:val="22"/>
                <w:lang w:val="en-GB" w:eastAsia="en-GB"/>
              </w:rPr>
              <w:tab/>
            </w:r>
            <w:r w:rsidR="00452065" w:rsidRPr="009112DE">
              <w:rPr>
                <w:rStyle w:val="Hyperlink"/>
                <w:noProof/>
              </w:rPr>
              <w:t>Diversity and Inclusion</w:t>
            </w:r>
            <w:r w:rsidR="00452065">
              <w:rPr>
                <w:noProof/>
                <w:webHidden/>
              </w:rPr>
              <w:tab/>
            </w:r>
            <w:r w:rsidR="00452065">
              <w:rPr>
                <w:noProof/>
                <w:webHidden/>
              </w:rPr>
              <w:fldChar w:fldCharType="begin"/>
            </w:r>
            <w:r w:rsidR="00452065">
              <w:rPr>
                <w:noProof/>
                <w:webHidden/>
              </w:rPr>
              <w:instrText xml:space="preserve"> PAGEREF _Toc108076902 \h </w:instrText>
            </w:r>
            <w:r w:rsidR="00452065">
              <w:rPr>
                <w:noProof/>
                <w:webHidden/>
              </w:rPr>
            </w:r>
            <w:r w:rsidR="00452065">
              <w:rPr>
                <w:noProof/>
                <w:webHidden/>
              </w:rPr>
              <w:fldChar w:fldCharType="separate"/>
            </w:r>
            <w:r w:rsidR="00452065">
              <w:rPr>
                <w:noProof/>
                <w:webHidden/>
              </w:rPr>
              <w:t>21</w:t>
            </w:r>
            <w:r w:rsidR="00452065">
              <w:rPr>
                <w:noProof/>
                <w:webHidden/>
              </w:rPr>
              <w:fldChar w:fldCharType="end"/>
            </w:r>
          </w:hyperlink>
        </w:p>
        <w:p w14:paraId="07EAB7FB" w14:textId="3CCD61EC" w:rsidR="00452065" w:rsidRDefault="005C2AFB">
          <w:pPr>
            <w:pStyle w:val="TOC2"/>
            <w:rPr>
              <w:rFonts w:asciiTheme="minorHAnsi" w:hAnsiTheme="minorHAnsi" w:cstheme="minorBidi"/>
              <w:b w:val="0"/>
              <w:sz w:val="22"/>
              <w:lang w:val="en-GB" w:eastAsia="en-GB"/>
            </w:rPr>
          </w:pPr>
          <w:hyperlink w:anchor="_Toc108076903" w:history="1">
            <w:r w:rsidR="00452065" w:rsidRPr="009112DE">
              <w:rPr>
                <w:rStyle w:val="Hyperlink"/>
              </w:rPr>
              <w:t>7.1</w:t>
            </w:r>
            <w:r w:rsidR="00452065">
              <w:rPr>
                <w:rFonts w:asciiTheme="minorHAnsi" w:hAnsiTheme="minorHAnsi" w:cstheme="minorBidi"/>
                <w:b w:val="0"/>
                <w:sz w:val="22"/>
                <w:lang w:val="en-GB" w:eastAsia="en-GB"/>
              </w:rPr>
              <w:tab/>
            </w:r>
            <w:r w:rsidR="00452065" w:rsidRPr="009112DE">
              <w:rPr>
                <w:rStyle w:val="Hyperlink"/>
              </w:rPr>
              <w:t>Sex</w:t>
            </w:r>
            <w:r w:rsidR="00452065">
              <w:rPr>
                <w:webHidden/>
              </w:rPr>
              <w:tab/>
            </w:r>
            <w:r w:rsidR="00452065">
              <w:rPr>
                <w:webHidden/>
              </w:rPr>
              <w:fldChar w:fldCharType="begin"/>
            </w:r>
            <w:r w:rsidR="00452065">
              <w:rPr>
                <w:webHidden/>
              </w:rPr>
              <w:instrText xml:space="preserve"> PAGEREF _Toc108076903 \h </w:instrText>
            </w:r>
            <w:r w:rsidR="00452065">
              <w:rPr>
                <w:webHidden/>
              </w:rPr>
            </w:r>
            <w:r w:rsidR="00452065">
              <w:rPr>
                <w:webHidden/>
              </w:rPr>
              <w:fldChar w:fldCharType="separate"/>
            </w:r>
            <w:r w:rsidR="00452065">
              <w:rPr>
                <w:webHidden/>
              </w:rPr>
              <w:t>22</w:t>
            </w:r>
            <w:r w:rsidR="00452065">
              <w:rPr>
                <w:webHidden/>
              </w:rPr>
              <w:fldChar w:fldCharType="end"/>
            </w:r>
          </w:hyperlink>
        </w:p>
        <w:p w14:paraId="52A0CCEF" w14:textId="3CAA298F" w:rsidR="00452065" w:rsidRDefault="005C2AFB">
          <w:pPr>
            <w:pStyle w:val="TOC3"/>
            <w:rPr>
              <w:rFonts w:asciiTheme="minorHAnsi" w:hAnsiTheme="minorHAnsi"/>
              <w:b w:val="0"/>
              <w:noProof/>
              <w:sz w:val="22"/>
              <w:lang w:val="en-GB" w:eastAsia="en-GB"/>
            </w:rPr>
          </w:pPr>
          <w:hyperlink w:anchor="_Toc108076904" w:history="1">
            <w:r w:rsidR="00452065" w:rsidRPr="009112DE">
              <w:rPr>
                <w:rStyle w:val="Hyperlink"/>
                <w:noProof/>
              </w:rPr>
              <w:t>7.1.1</w:t>
            </w:r>
            <w:r w:rsidR="00452065">
              <w:rPr>
                <w:rFonts w:asciiTheme="minorHAnsi" w:hAnsiTheme="minorHAnsi"/>
                <w:b w:val="0"/>
                <w:noProof/>
                <w:sz w:val="22"/>
                <w:lang w:val="en-GB" w:eastAsia="en-GB"/>
              </w:rPr>
              <w:tab/>
            </w:r>
            <w:r w:rsidR="00452065" w:rsidRPr="009112DE">
              <w:rPr>
                <w:rStyle w:val="Hyperlink"/>
                <w:noProof/>
              </w:rPr>
              <w:t>Workforce Breakdown</w:t>
            </w:r>
            <w:r w:rsidR="00452065">
              <w:rPr>
                <w:noProof/>
                <w:webHidden/>
              </w:rPr>
              <w:tab/>
            </w:r>
            <w:r w:rsidR="00452065">
              <w:rPr>
                <w:noProof/>
                <w:webHidden/>
              </w:rPr>
              <w:fldChar w:fldCharType="begin"/>
            </w:r>
            <w:r w:rsidR="00452065">
              <w:rPr>
                <w:noProof/>
                <w:webHidden/>
              </w:rPr>
              <w:instrText xml:space="preserve"> PAGEREF _Toc108076904 \h </w:instrText>
            </w:r>
            <w:r w:rsidR="00452065">
              <w:rPr>
                <w:noProof/>
                <w:webHidden/>
              </w:rPr>
            </w:r>
            <w:r w:rsidR="00452065">
              <w:rPr>
                <w:noProof/>
                <w:webHidden/>
              </w:rPr>
              <w:fldChar w:fldCharType="separate"/>
            </w:r>
            <w:r w:rsidR="00452065">
              <w:rPr>
                <w:noProof/>
                <w:webHidden/>
              </w:rPr>
              <w:t>22</w:t>
            </w:r>
            <w:r w:rsidR="00452065">
              <w:rPr>
                <w:noProof/>
                <w:webHidden/>
              </w:rPr>
              <w:fldChar w:fldCharType="end"/>
            </w:r>
          </w:hyperlink>
        </w:p>
        <w:p w14:paraId="7DE2C1DD" w14:textId="4CB56EE5" w:rsidR="00452065" w:rsidRDefault="005C2AFB">
          <w:pPr>
            <w:pStyle w:val="TOC3"/>
            <w:rPr>
              <w:rFonts w:asciiTheme="minorHAnsi" w:hAnsiTheme="minorHAnsi"/>
              <w:b w:val="0"/>
              <w:noProof/>
              <w:sz w:val="22"/>
              <w:lang w:val="en-GB" w:eastAsia="en-GB"/>
            </w:rPr>
          </w:pPr>
          <w:hyperlink w:anchor="_Toc108076905" w:history="1">
            <w:r w:rsidR="00452065" w:rsidRPr="009112DE">
              <w:rPr>
                <w:rStyle w:val="Hyperlink"/>
                <w:noProof/>
              </w:rPr>
              <w:t>7.1.2</w:t>
            </w:r>
            <w:r w:rsidR="00452065">
              <w:rPr>
                <w:rFonts w:asciiTheme="minorHAnsi" w:hAnsiTheme="minorHAnsi"/>
                <w:b w:val="0"/>
                <w:noProof/>
                <w:sz w:val="22"/>
                <w:lang w:val="en-GB" w:eastAsia="en-GB"/>
              </w:rPr>
              <w:tab/>
            </w:r>
            <w:r w:rsidR="00452065" w:rsidRPr="009112DE">
              <w:rPr>
                <w:rStyle w:val="Hyperlink"/>
                <w:noProof/>
              </w:rPr>
              <w:t>Pay Gap</w:t>
            </w:r>
            <w:r w:rsidR="00452065">
              <w:rPr>
                <w:noProof/>
                <w:webHidden/>
              </w:rPr>
              <w:tab/>
            </w:r>
            <w:r w:rsidR="00452065">
              <w:rPr>
                <w:noProof/>
                <w:webHidden/>
              </w:rPr>
              <w:fldChar w:fldCharType="begin"/>
            </w:r>
            <w:r w:rsidR="00452065">
              <w:rPr>
                <w:noProof/>
                <w:webHidden/>
              </w:rPr>
              <w:instrText xml:space="preserve"> PAGEREF _Toc108076905 \h </w:instrText>
            </w:r>
            <w:r w:rsidR="00452065">
              <w:rPr>
                <w:noProof/>
                <w:webHidden/>
              </w:rPr>
            </w:r>
            <w:r w:rsidR="00452065">
              <w:rPr>
                <w:noProof/>
                <w:webHidden/>
              </w:rPr>
              <w:fldChar w:fldCharType="separate"/>
            </w:r>
            <w:r w:rsidR="00452065">
              <w:rPr>
                <w:noProof/>
                <w:webHidden/>
              </w:rPr>
              <w:t>23</w:t>
            </w:r>
            <w:r w:rsidR="00452065">
              <w:rPr>
                <w:noProof/>
                <w:webHidden/>
              </w:rPr>
              <w:fldChar w:fldCharType="end"/>
            </w:r>
          </w:hyperlink>
        </w:p>
        <w:p w14:paraId="7F3441B4" w14:textId="7947E47F" w:rsidR="00452065" w:rsidRDefault="005C2AFB">
          <w:pPr>
            <w:pStyle w:val="TOC3"/>
            <w:rPr>
              <w:rFonts w:asciiTheme="minorHAnsi" w:hAnsiTheme="minorHAnsi"/>
              <w:b w:val="0"/>
              <w:noProof/>
              <w:sz w:val="22"/>
              <w:lang w:val="en-GB" w:eastAsia="en-GB"/>
            </w:rPr>
          </w:pPr>
          <w:hyperlink w:anchor="_Toc108076906" w:history="1">
            <w:r w:rsidR="00452065" w:rsidRPr="009112DE">
              <w:rPr>
                <w:rStyle w:val="Hyperlink"/>
                <w:noProof/>
              </w:rPr>
              <w:t>7.1.3</w:t>
            </w:r>
            <w:r w:rsidR="00452065">
              <w:rPr>
                <w:rFonts w:asciiTheme="minorHAnsi" w:hAnsiTheme="minorHAnsi"/>
                <w:b w:val="0"/>
                <w:noProof/>
                <w:sz w:val="22"/>
                <w:lang w:val="en-GB" w:eastAsia="en-GB"/>
              </w:rPr>
              <w:tab/>
            </w:r>
            <w:r w:rsidR="00452065" w:rsidRPr="009112DE">
              <w:rPr>
                <w:rStyle w:val="Hyperlink"/>
                <w:noProof/>
              </w:rPr>
              <w:t>Training Activity</w:t>
            </w:r>
            <w:r w:rsidR="00452065">
              <w:rPr>
                <w:noProof/>
                <w:webHidden/>
              </w:rPr>
              <w:tab/>
            </w:r>
            <w:r w:rsidR="00452065">
              <w:rPr>
                <w:noProof/>
                <w:webHidden/>
              </w:rPr>
              <w:fldChar w:fldCharType="begin"/>
            </w:r>
            <w:r w:rsidR="00452065">
              <w:rPr>
                <w:noProof/>
                <w:webHidden/>
              </w:rPr>
              <w:instrText xml:space="preserve"> PAGEREF _Toc108076906 \h </w:instrText>
            </w:r>
            <w:r w:rsidR="00452065">
              <w:rPr>
                <w:noProof/>
                <w:webHidden/>
              </w:rPr>
            </w:r>
            <w:r w:rsidR="00452065">
              <w:rPr>
                <w:noProof/>
                <w:webHidden/>
              </w:rPr>
              <w:fldChar w:fldCharType="separate"/>
            </w:r>
            <w:r w:rsidR="00452065">
              <w:rPr>
                <w:noProof/>
                <w:webHidden/>
              </w:rPr>
              <w:t>24</w:t>
            </w:r>
            <w:r w:rsidR="00452065">
              <w:rPr>
                <w:noProof/>
                <w:webHidden/>
              </w:rPr>
              <w:fldChar w:fldCharType="end"/>
            </w:r>
          </w:hyperlink>
        </w:p>
        <w:p w14:paraId="12C99180" w14:textId="63476DBF" w:rsidR="00452065" w:rsidRDefault="005C2AFB">
          <w:pPr>
            <w:pStyle w:val="TOC3"/>
            <w:rPr>
              <w:rFonts w:asciiTheme="minorHAnsi" w:hAnsiTheme="minorHAnsi"/>
              <w:b w:val="0"/>
              <w:noProof/>
              <w:sz w:val="22"/>
              <w:lang w:val="en-GB" w:eastAsia="en-GB"/>
            </w:rPr>
          </w:pPr>
          <w:hyperlink w:anchor="_Toc108076907" w:history="1">
            <w:r w:rsidR="00452065" w:rsidRPr="009112DE">
              <w:rPr>
                <w:rStyle w:val="Hyperlink"/>
                <w:noProof/>
              </w:rPr>
              <w:t>7.1.4</w:t>
            </w:r>
            <w:r w:rsidR="00452065">
              <w:rPr>
                <w:rFonts w:asciiTheme="minorHAnsi" w:hAnsiTheme="minorHAnsi"/>
                <w:b w:val="0"/>
                <w:noProof/>
                <w:sz w:val="22"/>
                <w:lang w:val="en-GB" w:eastAsia="en-GB"/>
              </w:rPr>
              <w:tab/>
            </w:r>
            <w:r w:rsidR="00452065" w:rsidRPr="009112DE">
              <w:rPr>
                <w:rStyle w:val="Hyperlink"/>
                <w:noProof/>
              </w:rPr>
              <w:t>Career Progression</w:t>
            </w:r>
            <w:r w:rsidR="00452065">
              <w:rPr>
                <w:noProof/>
                <w:webHidden/>
              </w:rPr>
              <w:tab/>
            </w:r>
            <w:r w:rsidR="00452065">
              <w:rPr>
                <w:noProof/>
                <w:webHidden/>
              </w:rPr>
              <w:fldChar w:fldCharType="begin"/>
            </w:r>
            <w:r w:rsidR="00452065">
              <w:rPr>
                <w:noProof/>
                <w:webHidden/>
              </w:rPr>
              <w:instrText xml:space="preserve"> PAGEREF _Toc108076907 \h </w:instrText>
            </w:r>
            <w:r w:rsidR="00452065">
              <w:rPr>
                <w:noProof/>
                <w:webHidden/>
              </w:rPr>
            </w:r>
            <w:r w:rsidR="00452065">
              <w:rPr>
                <w:noProof/>
                <w:webHidden/>
              </w:rPr>
              <w:fldChar w:fldCharType="separate"/>
            </w:r>
            <w:r w:rsidR="00452065">
              <w:rPr>
                <w:noProof/>
                <w:webHidden/>
              </w:rPr>
              <w:t>24</w:t>
            </w:r>
            <w:r w:rsidR="00452065">
              <w:rPr>
                <w:noProof/>
                <w:webHidden/>
              </w:rPr>
              <w:fldChar w:fldCharType="end"/>
            </w:r>
          </w:hyperlink>
        </w:p>
        <w:p w14:paraId="59DF9FC2" w14:textId="1114C05E" w:rsidR="00452065" w:rsidRDefault="005C2AFB">
          <w:pPr>
            <w:pStyle w:val="TOC3"/>
            <w:rPr>
              <w:rFonts w:asciiTheme="minorHAnsi" w:hAnsiTheme="minorHAnsi"/>
              <w:b w:val="0"/>
              <w:noProof/>
              <w:sz w:val="22"/>
              <w:lang w:val="en-GB" w:eastAsia="en-GB"/>
            </w:rPr>
          </w:pPr>
          <w:hyperlink w:anchor="_Toc108076908" w:history="1">
            <w:r w:rsidR="00452065" w:rsidRPr="009112DE">
              <w:rPr>
                <w:rStyle w:val="Hyperlink"/>
                <w:noProof/>
              </w:rPr>
              <w:t>7.1.5</w:t>
            </w:r>
            <w:r w:rsidR="00452065">
              <w:rPr>
                <w:rFonts w:asciiTheme="minorHAnsi" w:hAnsiTheme="minorHAnsi"/>
                <w:b w:val="0"/>
                <w:noProof/>
                <w:sz w:val="22"/>
                <w:lang w:val="en-GB" w:eastAsia="en-GB"/>
              </w:rPr>
              <w:tab/>
            </w:r>
            <w:r w:rsidR="00452065" w:rsidRPr="009112DE">
              <w:rPr>
                <w:rStyle w:val="Hyperlink"/>
                <w:noProof/>
              </w:rPr>
              <w:t>Turnover</w:t>
            </w:r>
            <w:r w:rsidR="00452065">
              <w:rPr>
                <w:noProof/>
                <w:webHidden/>
              </w:rPr>
              <w:tab/>
            </w:r>
            <w:r w:rsidR="00452065">
              <w:rPr>
                <w:noProof/>
                <w:webHidden/>
              </w:rPr>
              <w:fldChar w:fldCharType="begin"/>
            </w:r>
            <w:r w:rsidR="00452065">
              <w:rPr>
                <w:noProof/>
                <w:webHidden/>
              </w:rPr>
              <w:instrText xml:space="preserve"> PAGEREF _Toc108076908 \h </w:instrText>
            </w:r>
            <w:r w:rsidR="00452065">
              <w:rPr>
                <w:noProof/>
                <w:webHidden/>
              </w:rPr>
            </w:r>
            <w:r w:rsidR="00452065">
              <w:rPr>
                <w:noProof/>
                <w:webHidden/>
              </w:rPr>
              <w:fldChar w:fldCharType="separate"/>
            </w:r>
            <w:r w:rsidR="00452065">
              <w:rPr>
                <w:noProof/>
                <w:webHidden/>
              </w:rPr>
              <w:t>24</w:t>
            </w:r>
            <w:r w:rsidR="00452065">
              <w:rPr>
                <w:noProof/>
                <w:webHidden/>
              </w:rPr>
              <w:fldChar w:fldCharType="end"/>
            </w:r>
          </w:hyperlink>
        </w:p>
        <w:p w14:paraId="7300C185" w14:textId="4A24964B" w:rsidR="00452065" w:rsidRDefault="005C2AFB">
          <w:pPr>
            <w:pStyle w:val="TOC2"/>
            <w:rPr>
              <w:rFonts w:asciiTheme="minorHAnsi" w:hAnsiTheme="minorHAnsi" w:cstheme="minorBidi"/>
              <w:b w:val="0"/>
              <w:sz w:val="22"/>
              <w:lang w:val="en-GB" w:eastAsia="en-GB"/>
            </w:rPr>
          </w:pPr>
          <w:hyperlink w:anchor="_Toc108076909" w:history="1">
            <w:r w:rsidR="00452065" w:rsidRPr="009112DE">
              <w:rPr>
                <w:rStyle w:val="Hyperlink"/>
              </w:rPr>
              <w:t>7.2</w:t>
            </w:r>
            <w:r w:rsidR="00452065">
              <w:rPr>
                <w:rFonts w:asciiTheme="minorHAnsi" w:hAnsiTheme="minorHAnsi" w:cstheme="minorBidi"/>
                <w:b w:val="0"/>
                <w:sz w:val="22"/>
                <w:lang w:val="en-GB" w:eastAsia="en-GB"/>
              </w:rPr>
              <w:tab/>
            </w:r>
            <w:r w:rsidR="00452065" w:rsidRPr="009112DE">
              <w:rPr>
                <w:rStyle w:val="Hyperlink"/>
              </w:rPr>
              <w:t>Age</w:t>
            </w:r>
            <w:r w:rsidR="00452065">
              <w:rPr>
                <w:webHidden/>
              </w:rPr>
              <w:tab/>
            </w:r>
            <w:r w:rsidR="00452065">
              <w:rPr>
                <w:webHidden/>
              </w:rPr>
              <w:fldChar w:fldCharType="begin"/>
            </w:r>
            <w:r w:rsidR="00452065">
              <w:rPr>
                <w:webHidden/>
              </w:rPr>
              <w:instrText xml:space="preserve"> PAGEREF _Toc108076909 \h </w:instrText>
            </w:r>
            <w:r w:rsidR="00452065">
              <w:rPr>
                <w:webHidden/>
              </w:rPr>
            </w:r>
            <w:r w:rsidR="00452065">
              <w:rPr>
                <w:webHidden/>
              </w:rPr>
              <w:fldChar w:fldCharType="separate"/>
            </w:r>
            <w:r w:rsidR="00452065">
              <w:rPr>
                <w:webHidden/>
              </w:rPr>
              <w:t>25</w:t>
            </w:r>
            <w:r w:rsidR="00452065">
              <w:rPr>
                <w:webHidden/>
              </w:rPr>
              <w:fldChar w:fldCharType="end"/>
            </w:r>
          </w:hyperlink>
        </w:p>
        <w:p w14:paraId="7F0D08AB" w14:textId="0FC1097B" w:rsidR="00452065" w:rsidRDefault="005C2AFB">
          <w:pPr>
            <w:pStyle w:val="TOC3"/>
            <w:rPr>
              <w:rFonts w:asciiTheme="minorHAnsi" w:hAnsiTheme="minorHAnsi"/>
              <w:b w:val="0"/>
              <w:noProof/>
              <w:sz w:val="22"/>
              <w:lang w:val="en-GB" w:eastAsia="en-GB"/>
            </w:rPr>
          </w:pPr>
          <w:hyperlink w:anchor="_Toc108076910" w:history="1">
            <w:r w:rsidR="00452065" w:rsidRPr="009112DE">
              <w:rPr>
                <w:rStyle w:val="Hyperlink"/>
                <w:noProof/>
              </w:rPr>
              <w:t>7.2.1</w:t>
            </w:r>
            <w:r w:rsidR="00452065">
              <w:rPr>
                <w:rFonts w:asciiTheme="minorHAnsi" w:hAnsiTheme="minorHAnsi"/>
                <w:b w:val="0"/>
                <w:noProof/>
                <w:sz w:val="22"/>
                <w:lang w:val="en-GB" w:eastAsia="en-GB"/>
              </w:rPr>
              <w:tab/>
            </w:r>
            <w:r w:rsidR="00452065" w:rsidRPr="009112DE">
              <w:rPr>
                <w:rStyle w:val="Hyperlink"/>
                <w:noProof/>
              </w:rPr>
              <w:t>Workforce Breakdown</w:t>
            </w:r>
            <w:r w:rsidR="00452065">
              <w:rPr>
                <w:noProof/>
                <w:webHidden/>
              </w:rPr>
              <w:tab/>
            </w:r>
            <w:r w:rsidR="00452065">
              <w:rPr>
                <w:noProof/>
                <w:webHidden/>
              </w:rPr>
              <w:fldChar w:fldCharType="begin"/>
            </w:r>
            <w:r w:rsidR="00452065">
              <w:rPr>
                <w:noProof/>
                <w:webHidden/>
              </w:rPr>
              <w:instrText xml:space="preserve"> PAGEREF _Toc108076910 \h </w:instrText>
            </w:r>
            <w:r w:rsidR="00452065">
              <w:rPr>
                <w:noProof/>
                <w:webHidden/>
              </w:rPr>
            </w:r>
            <w:r w:rsidR="00452065">
              <w:rPr>
                <w:noProof/>
                <w:webHidden/>
              </w:rPr>
              <w:fldChar w:fldCharType="separate"/>
            </w:r>
            <w:r w:rsidR="00452065">
              <w:rPr>
                <w:noProof/>
                <w:webHidden/>
              </w:rPr>
              <w:t>25</w:t>
            </w:r>
            <w:r w:rsidR="00452065">
              <w:rPr>
                <w:noProof/>
                <w:webHidden/>
              </w:rPr>
              <w:fldChar w:fldCharType="end"/>
            </w:r>
          </w:hyperlink>
        </w:p>
        <w:p w14:paraId="321283FB" w14:textId="19ADC5CF" w:rsidR="00452065" w:rsidRDefault="005C2AFB">
          <w:pPr>
            <w:pStyle w:val="TOC3"/>
            <w:rPr>
              <w:rFonts w:asciiTheme="minorHAnsi" w:hAnsiTheme="minorHAnsi"/>
              <w:b w:val="0"/>
              <w:noProof/>
              <w:sz w:val="22"/>
              <w:lang w:val="en-GB" w:eastAsia="en-GB"/>
            </w:rPr>
          </w:pPr>
          <w:hyperlink w:anchor="_Toc108076911" w:history="1">
            <w:r w:rsidR="00452065" w:rsidRPr="009112DE">
              <w:rPr>
                <w:rStyle w:val="Hyperlink"/>
                <w:noProof/>
              </w:rPr>
              <w:t>7.2.2</w:t>
            </w:r>
            <w:r w:rsidR="00452065">
              <w:rPr>
                <w:rFonts w:asciiTheme="minorHAnsi" w:hAnsiTheme="minorHAnsi"/>
                <w:b w:val="0"/>
                <w:noProof/>
                <w:sz w:val="22"/>
                <w:lang w:val="en-GB" w:eastAsia="en-GB"/>
              </w:rPr>
              <w:tab/>
            </w:r>
            <w:r w:rsidR="00452065" w:rsidRPr="009112DE">
              <w:rPr>
                <w:rStyle w:val="Hyperlink"/>
                <w:noProof/>
              </w:rPr>
              <w:t>Recruitment Activity</w:t>
            </w:r>
            <w:r w:rsidR="00452065">
              <w:rPr>
                <w:noProof/>
                <w:webHidden/>
              </w:rPr>
              <w:tab/>
            </w:r>
            <w:r w:rsidR="00452065">
              <w:rPr>
                <w:noProof/>
                <w:webHidden/>
              </w:rPr>
              <w:fldChar w:fldCharType="begin"/>
            </w:r>
            <w:r w:rsidR="00452065">
              <w:rPr>
                <w:noProof/>
                <w:webHidden/>
              </w:rPr>
              <w:instrText xml:space="preserve"> PAGEREF _Toc108076911 \h </w:instrText>
            </w:r>
            <w:r w:rsidR="00452065">
              <w:rPr>
                <w:noProof/>
                <w:webHidden/>
              </w:rPr>
            </w:r>
            <w:r w:rsidR="00452065">
              <w:rPr>
                <w:noProof/>
                <w:webHidden/>
              </w:rPr>
              <w:fldChar w:fldCharType="separate"/>
            </w:r>
            <w:r w:rsidR="00452065">
              <w:rPr>
                <w:noProof/>
                <w:webHidden/>
              </w:rPr>
              <w:t>28</w:t>
            </w:r>
            <w:r w:rsidR="00452065">
              <w:rPr>
                <w:noProof/>
                <w:webHidden/>
              </w:rPr>
              <w:fldChar w:fldCharType="end"/>
            </w:r>
          </w:hyperlink>
        </w:p>
        <w:p w14:paraId="0B5DF167" w14:textId="2A0B968A" w:rsidR="00452065" w:rsidRDefault="005C2AFB">
          <w:pPr>
            <w:pStyle w:val="TOC3"/>
            <w:rPr>
              <w:rFonts w:asciiTheme="minorHAnsi" w:hAnsiTheme="minorHAnsi"/>
              <w:b w:val="0"/>
              <w:noProof/>
              <w:sz w:val="22"/>
              <w:lang w:val="en-GB" w:eastAsia="en-GB"/>
            </w:rPr>
          </w:pPr>
          <w:hyperlink w:anchor="_Toc108076912" w:history="1">
            <w:r w:rsidR="00452065" w:rsidRPr="009112DE">
              <w:rPr>
                <w:rStyle w:val="Hyperlink"/>
                <w:noProof/>
              </w:rPr>
              <w:t>7.2.3</w:t>
            </w:r>
            <w:r w:rsidR="00452065">
              <w:rPr>
                <w:rFonts w:asciiTheme="minorHAnsi" w:hAnsiTheme="minorHAnsi"/>
                <w:b w:val="0"/>
                <w:noProof/>
                <w:sz w:val="22"/>
                <w:lang w:val="en-GB" w:eastAsia="en-GB"/>
              </w:rPr>
              <w:tab/>
            </w:r>
            <w:r w:rsidR="00452065" w:rsidRPr="009112DE">
              <w:rPr>
                <w:rStyle w:val="Hyperlink"/>
                <w:noProof/>
              </w:rPr>
              <w:t>Training Activity</w:t>
            </w:r>
            <w:r w:rsidR="00452065">
              <w:rPr>
                <w:noProof/>
                <w:webHidden/>
              </w:rPr>
              <w:tab/>
            </w:r>
            <w:r w:rsidR="00452065">
              <w:rPr>
                <w:noProof/>
                <w:webHidden/>
              </w:rPr>
              <w:fldChar w:fldCharType="begin"/>
            </w:r>
            <w:r w:rsidR="00452065">
              <w:rPr>
                <w:noProof/>
                <w:webHidden/>
              </w:rPr>
              <w:instrText xml:space="preserve"> PAGEREF _Toc108076912 \h </w:instrText>
            </w:r>
            <w:r w:rsidR="00452065">
              <w:rPr>
                <w:noProof/>
                <w:webHidden/>
              </w:rPr>
            </w:r>
            <w:r w:rsidR="00452065">
              <w:rPr>
                <w:noProof/>
                <w:webHidden/>
              </w:rPr>
              <w:fldChar w:fldCharType="separate"/>
            </w:r>
            <w:r w:rsidR="00452065">
              <w:rPr>
                <w:noProof/>
                <w:webHidden/>
              </w:rPr>
              <w:t>28</w:t>
            </w:r>
            <w:r w:rsidR="00452065">
              <w:rPr>
                <w:noProof/>
                <w:webHidden/>
              </w:rPr>
              <w:fldChar w:fldCharType="end"/>
            </w:r>
          </w:hyperlink>
        </w:p>
        <w:p w14:paraId="2E02BF41" w14:textId="62540F7A" w:rsidR="00452065" w:rsidRDefault="005C2AFB">
          <w:pPr>
            <w:pStyle w:val="TOC3"/>
            <w:rPr>
              <w:rFonts w:asciiTheme="minorHAnsi" w:hAnsiTheme="minorHAnsi"/>
              <w:b w:val="0"/>
              <w:noProof/>
              <w:sz w:val="22"/>
              <w:lang w:val="en-GB" w:eastAsia="en-GB"/>
            </w:rPr>
          </w:pPr>
          <w:hyperlink w:anchor="_Toc108076913" w:history="1">
            <w:r w:rsidR="00452065" w:rsidRPr="009112DE">
              <w:rPr>
                <w:rStyle w:val="Hyperlink"/>
                <w:noProof/>
              </w:rPr>
              <w:t>7.2.4</w:t>
            </w:r>
            <w:r w:rsidR="00452065">
              <w:rPr>
                <w:rFonts w:asciiTheme="minorHAnsi" w:hAnsiTheme="minorHAnsi"/>
                <w:b w:val="0"/>
                <w:noProof/>
                <w:sz w:val="22"/>
                <w:lang w:val="en-GB" w:eastAsia="en-GB"/>
              </w:rPr>
              <w:tab/>
            </w:r>
            <w:r w:rsidR="00452065" w:rsidRPr="009112DE">
              <w:rPr>
                <w:rStyle w:val="Hyperlink"/>
                <w:noProof/>
              </w:rPr>
              <w:t>Career Progression</w:t>
            </w:r>
            <w:r w:rsidR="00452065">
              <w:rPr>
                <w:noProof/>
                <w:webHidden/>
              </w:rPr>
              <w:tab/>
            </w:r>
            <w:r w:rsidR="00452065">
              <w:rPr>
                <w:noProof/>
                <w:webHidden/>
              </w:rPr>
              <w:fldChar w:fldCharType="begin"/>
            </w:r>
            <w:r w:rsidR="00452065">
              <w:rPr>
                <w:noProof/>
                <w:webHidden/>
              </w:rPr>
              <w:instrText xml:space="preserve"> PAGEREF _Toc108076913 \h </w:instrText>
            </w:r>
            <w:r w:rsidR="00452065">
              <w:rPr>
                <w:noProof/>
                <w:webHidden/>
              </w:rPr>
            </w:r>
            <w:r w:rsidR="00452065">
              <w:rPr>
                <w:noProof/>
                <w:webHidden/>
              </w:rPr>
              <w:fldChar w:fldCharType="separate"/>
            </w:r>
            <w:r w:rsidR="00452065">
              <w:rPr>
                <w:noProof/>
                <w:webHidden/>
              </w:rPr>
              <w:t>29</w:t>
            </w:r>
            <w:r w:rsidR="00452065">
              <w:rPr>
                <w:noProof/>
                <w:webHidden/>
              </w:rPr>
              <w:fldChar w:fldCharType="end"/>
            </w:r>
          </w:hyperlink>
        </w:p>
        <w:p w14:paraId="3A6FFB5A" w14:textId="66C1E96B" w:rsidR="00452065" w:rsidRDefault="005C2AFB">
          <w:pPr>
            <w:pStyle w:val="TOC3"/>
            <w:rPr>
              <w:rFonts w:asciiTheme="minorHAnsi" w:hAnsiTheme="minorHAnsi"/>
              <w:b w:val="0"/>
              <w:noProof/>
              <w:sz w:val="22"/>
              <w:lang w:val="en-GB" w:eastAsia="en-GB"/>
            </w:rPr>
          </w:pPr>
          <w:hyperlink w:anchor="_Toc108076914" w:history="1">
            <w:r w:rsidR="00452065" w:rsidRPr="009112DE">
              <w:rPr>
                <w:rStyle w:val="Hyperlink"/>
                <w:noProof/>
              </w:rPr>
              <w:t>7.2.5</w:t>
            </w:r>
            <w:r w:rsidR="00452065">
              <w:rPr>
                <w:rFonts w:asciiTheme="minorHAnsi" w:hAnsiTheme="minorHAnsi"/>
                <w:b w:val="0"/>
                <w:noProof/>
                <w:sz w:val="22"/>
                <w:lang w:val="en-GB" w:eastAsia="en-GB"/>
              </w:rPr>
              <w:tab/>
            </w:r>
            <w:r w:rsidR="00452065" w:rsidRPr="009112DE">
              <w:rPr>
                <w:rStyle w:val="Hyperlink"/>
                <w:noProof/>
              </w:rPr>
              <w:t>Turnover</w:t>
            </w:r>
            <w:r w:rsidR="00452065">
              <w:rPr>
                <w:noProof/>
                <w:webHidden/>
              </w:rPr>
              <w:tab/>
            </w:r>
            <w:r w:rsidR="00452065">
              <w:rPr>
                <w:noProof/>
                <w:webHidden/>
              </w:rPr>
              <w:fldChar w:fldCharType="begin"/>
            </w:r>
            <w:r w:rsidR="00452065">
              <w:rPr>
                <w:noProof/>
                <w:webHidden/>
              </w:rPr>
              <w:instrText xml:space="preserve"> PAGEREF _Toc108076914 \h </w:instrText>
            </w:r>
            <w:r w:rsidR="00452065">
              <w:rPr>
                <w:noProof/>
                <w:webHidden/>
              </w:rPr>
            </w:r>
            <w:r w:rsidR="00452065">
              <w:rPr>
                <w:noProof/>
                <w:webHidden/>
              </w:rPr>
              <w:fldChar w:fldCharType="separate"/>
            </w:r>
            <w:r w:rsidR="00452065">
              <w:rPr>
                <w:noProof/>
                <w:webHidden/>
              </w:rPr>
              <w:t>29</w:t>
            </w:r>
            <w:r w:rsidR="00452065">
              <w:rPr>
                <w:noProof/>
                <w:webHidden/>
              </w:rPr>
              <w:fldChar w:fldCharType="end"/>
            </w:r>
          </w:hyperlink>
        </w:p>
        <w:p w14:paraId="750A8442" w14:textId="43114A53" w:rsidR="00452065" w:rsidRDefault="005C2AFB">
          <w:pPr>
            <w:pStyle w:val="TOC3"/>
            <w:rPr>
              <w:rFonts w:asciiTheme="minorHAnsi" w:hAnsiTheme="minorHAnsi"/>
              <w:b w:val="0"/>
              <w:noProof/>
              <w:sz w:val="22"/>
              <w:lang w:val="en-GB" w:eastAsia="en-GB"/>
            </w:rPr>
          </w:pPr>
          <w:hyperlink w:anchor="_Toc108076915" w:history="1">
            <w:r w:rsidR="00452065" w:rsidRPr="009112DE">
              <w:rPr>
                <w:rStyle w:val="Hyperlink"/>
                <w:noProof/>
              </w:rPr>
              <w:t>7.2.6</w:t>
            </w:r>
            <w:r w:rsidR="00452065">
              <w:rPr>
                <w:rFonts w:asciiTheme="minorHAnsi" w:hAnsiTheme="minorHAnsi"/>
                <w:b w:val="0"/>
                <w:noProof/>
                <w:sz w:val="22"/>
                <w:lang w:val="en-GB" w:eastAsia="en-GB"/>
              </w:rPr>
              <w:tab/>
            </w:r>
            <w:r w:rsidR="00452065" w:rsidRPr="009112DE">
              <w:rPr>
                <w:rStyle w:val="Hyperlink"/>
                <w:noProof/>
              </w:rPr>
              <w:t>Intersectionality</w:t>
            </w:r>
            <w:r w:rsidR="00452065">
              <w:rPr>
                <w:noProof/>
                <w:webHidden/>
              </w:rPr>
              <w:tab/>
            </w:r>
            <w:r w:rsidR="00452065">
              <w:rPr>
                <w:noProof/>
                <w:webHidden/>
              </w:rPr>
              <w:fldChar w:fldCharType="begin"/>
            </w:r>
            <w:r w:rsidR="00452065">
              <w:rPr>
                <w:noProof/>
                <w:webHidden/>
              </w:rPr>
              <w:instrText xml:space="preserve"> PAGEREF _Toc108076915 \h </w:instrText>
            </w:r>
            <w:r w:rsidR="00452065">
              <w:rPr>
                <w:noProof/>
                <w:webHidden/>
              </w:rPr>
            </w:r>
            <w:r w:rsidR="00452065">
              <w:rPr>
                <w:noProof/>
                <w:webHidden/>
              </w:rPr>
              <w:fldChar w:fldCharType="separate"/>
            </w:r>
            <w:r w:rsidR="00452065">
              <w:rPr>
                <w:noProof/>
                <w:webHidden/>
              </w:rPr>
              <w:t>30</w:t>
            </w:r>
            <w:r w:rsidR="00452065">
              <w:rPr>
                <w:noProof/>
                <w:webHidden/>
              </w:rPr>
              <w:fldChar w:fldCharType="end"/>
            </w:r>
          </w:hyperlink>
        </w:p>
        <w:p w14:paraId="2F80CCA4" w14:textId="7DB386BD" w:rsidR="00452065" w:rsidRDefault="005C2AFB">
          <w:pPr>
            <w:pStyle w:val="TOC2"/>
            <w:rPr>
              <w:rFonts w:asciiTheme="minorHAnsi" w:hAnsiTheme="minorHAnsi" w:cstheme="minorBidi"/>
              <w:b w:val="0"/>
              <w:sz w:val="22"/>
              <w:lang w:val="en-GB" w:eastAsia="en-GB"/>
            </w:rPr>
          </w:pPr>
          <w:hyperlink w:anchor="_Toc108076916" w:history="1">
            <w:r w:rsidR="00452065" w:rsidRPr="009112DE">
              <w:rPr>
                <w:rStyle w:val="Hyperlink"/>
              </w:rPr>
              <w:t>7.3</w:t>
            </w:r>
            <w:r w:rsidR="00452065">
              <w:rPr>
                <w:rFonts w:asciiTheme="minorHAnsi" w:hAnsiTheme="minorHAnsi" w:cstheme="minorBidi"/>
                <w:b w:val="0"/>
                <w:sz w:val="22"/>
                <w:lang w:val="en-GB" w:eastAsia="en-GB"/>
              </w:rPr>
              <w:tab/>
            </w:r>
            <w:r w:rsidR="00452065" w:rsidRPr="009112DE">
              <w:rPr>
                <w:rStyle w:val="Hyperlink"/>
              </w:rPr>
              <w:t>Race</w:t>
            </w:r>
            <w:r w:rsidR="00452065">
              <w:rPr>
                <w:webHidden/>
              </w:rPr>
              <w:tab/>
            </w:r>
            <w:r w:rsidR="00452065">
              <w:rPr>
                <w:webHidden/>
              </w:rPr>
              <w:fldChar w:fldCharType="begin"/>
            </w:r>
            <w:r w:rsidR="00452065">
              <w:rPr>
                <w:webHidden/>
              </w:rPr>
              <w:instrText xml:space="preserve"> PAGEREF _Toc108076916 \h </w:instrText>
            </w:r>
            <w:r w:rsidR="00452065">
              <w:rPr>
                <w:webHidden/>
              </w:rPr>
            </w:r>
            <w:r w:rsidR="00452065">
              <w:rPr>
                <w:webHidden/>
              </w:rPr>
              <w:fldChar w:fldCharType="separate"/>
            </w:r>
            <w:r w:rsidR="00452065">
              <w:rPr>
                <w:webHidden/>
              </w:rPr>
              <w:t>31</w:t>
            </w:r>
            <w:r w:rsidR="00452065">
              <w:rPr>
                <w:webHidden/>
              </w:rPr>
              <w:fldChar w:fldCharType="end"/>
            </w:r>
          </w:hyperlink>
        </w:p>
        <w:p w14:paraId="7B37825F" w14:textId="0710A3FD" w:rsidR="00452065" w:rsidRDefault="005C2AFB">
          <w:pPr>
            <w:pStyle w:val="TOC3"/>
            <w:rPr>
              <w:rFonts w:asciiTheme="minorHAnsi" w:hAnsiTheme="minorHAnsi"/>
              <w:b w:val="0"/>
              <w:noProof/>
              <w:sz w:val="22"/>
              <w:lang w:val="en-GB" w:eastAsia="en-GB"/>
            </w:rPr>
          </w:pPr>
          <w:hyperlink w:anchor="_Toc108076917" w:history="1">
            <w:r w:rsidR="00452065" w:rsidRPr="009112DE">
              <w:rPr>
                <w:rStyle w:val="Hyperlink"/>
                <w:noProof/>
              </w:rPr>
              <w:t>7.3.1</w:t>
            </w:r>
            <w:r w:rsidR="00452065">
              <w:rPr>
                <w:rFonts w:asciiTheme="minorHAnsi" w:hAnsiTheme="minorHAnsi"/>
                <w:b w:val="0"/>
                <w:noProof/>
                <w:sz w:val="22"/>
                <w:lang w:val="en-GB" w:eastAsia="en-GB"/>
              </w:rPr>
              <w:tab/>
            </w:r>
            <w:r w:rsidR="00452065" w:rsidRPr="009112DE">
              <w:rPr>
                <w:rStyle w:val="Hyperlink"/>
                <w:noProof/>
              </w:rPr>
              <w:t>Definitions</w:t>
            </w:r>
            <w:r w:rsidR="00452065">
              <w:rPr>
                <w:noProof/>
                <w:webHidden/>
              </w:rPr>
              <w:tab/>
            </w:r>
            <w:r w:rsidR="00452065">
              <w:rPr>
                <w:noProof/>
                <w:webHidden/>
              </w:rPr>
              <w:fldChar w:fldCharType="begin"/>
            </w:r>
            <w:r w:rsidR="00452065">
              <w:rPr>
                <w:noProof/>
                <w:webHidden/>
              </w:rPr>
              <w:instrText xml:space="preserve"> PAGEREF _Toc108076917 \h </w:instrText>
            </w:r>
            <w:r w:rsidR="00452065">
              <w:rPr>
                <w:noProof/>
                <w:webHidden/>
              </w:rPr>
            </w:r>
            <w:r w:rsidR="00452065">
              <w:rPr>
                <w:noProof/>
                <w:webHidden/>
              </w:rPr>
              <w:fldChar w:fldCharType="separate"/>
            </w:r>
            <w:r w:rsidR="00452065">
              <w:rPr>
                <w:noProof/>
                <w:webHidden/>
              </w:rPr>
              <w:t>31</w:t>
            </w:r>
            <w:r w:rsidR="00452065">
              <w:rPr>
                <w:noProof/>
                <w:webHidden/>
              </w:rPr>
              <w:fldChar w:fldCharType="end"/>
            </w:r>
          </w:hyperlink>
        </w:p>
        <w:p w14:paraId="1B916BB4" w14:textId="181C8C8B" w:rsidR="00452065" w:rsidRDefault="005C2AFB">
          <w:pPr>
            <w:pStyle w:val="TOC3"/>
            <w:rPr>
              <w:rFonts w:asciiTheme="minorHAnsi" w:hAnsiTheme="minorHAnsi"/>
              <w:b w:val="0"/>
              <w:noProof/>
              <w:sz w:val="22"/>
              <w:lang w:val="en-GB" w:eastAsia="en-GB"/>
            </w:rPr>
          </w:pPr>
          <w:hyperlink w:anchor="_Toc108076918" w:history="1">
            <w:r w:rsidR="00452065" w:rsidRPr="009112DE">
              <w:rPr>
                <w:rStyle w:val="Hyperlink"/>
                <w:noProof/>
              </w:rPr>
              <w:t>7.3.2</w:t>
            </w:r>
            <w:r w:rsidR="00452065">
              <w:rPr>
                <w:rFonts w:asciiTheme="minorHAnsi" w:hAnsiTheme="minorHAnsi"/>
                <w:b w:val="0"/>
                <w:noProof/>
                <w:sz w:val="22"/>
                <w:lang w:val="en-GB" w:eastAsia="en-GB"/>
              </w:rPr>
              <w:tab/>
            </w:r>
            <w:r w:rsidR="00452065" w:rsidRPr="009112DE">
              <w:rPr>
                <w:rStyle w:val="Hyperlink"/>
                <w:noProof/>
              </w:rPr>
              <w:t>Workforce Breakdown</w:t>
            </w:r>
            <w:r w:rsidR="00452065">
              <w:rPr>
                <w:noProof/>
                <w:webHidden/>
              </w:rPr>
              <w:tab/>
            </w:r>
            <w:r w:rsidR="00452065">
              <w:rPr>
                <w:noProof/>
                <w:webHidden/>
              </w:rPr>
              <w:fldChar w:fldCharType="begin"/>
            </w:r>
            <w:r w:rsidR="00452065">
              <w:rPr>
                <w:noProof/>
                <w:webHidden/>
              </w:rPr>
              <w:instrText xml:space="preserve"> PAGEREF _Toc108076918 \h </w:instrText>
            </w:r>
            <w:r w:rsidR="00452065">
              <w:rPr>
                <w:noProof/>
                <w:webHidden/>
              </w:rPr>
            </w:r>
            <w:r w:rsidR="00452065">
              <w:rPr>
                <w:noProof/>
                <w:webHidden/>
              </w:rPr>
              <w:fldChar w:fldCharType="separate"/>
            </w:r>
            <w:r w:rsidR="00452065">
              <w:rPr>
                <w:noProof/>
                <w:webHidden/>
              </w:rPr>
              <w:t>31</w:t>
            </w:r>
            <w:r w:rsidR="00452065">
              <w:rPr>
                <w:noProof/>
                <w:webHidden/>
              </w:rPr>
              <w:fldChar w:fldCharType="end"/>
            </w:r>
          </w:hyperlink>
        </w:p>
        <w:p w14:paraId="34DD8F2A" w14:textId="2EAF4DD4" w:rsidR="00452065" w:rsidRDefault="005C2AFB">
          <w:pPr>
            <w:pStyle w:val="TOC3"/>
            <w:rPr>
              <w:rFonts w:asciiTheme="minorHAnsi" w:hAnsiTheme="minorHAnsi"/>
              <w:b w:val="0"/>
              <w:noProof/>
              <w:sz w:val="22"/>
              <w:lang w:val="en-GB" w:eastAsia="en-GB"/>
            </w:rPr>
          </w:pPr>
          <w:hyperlink w:anchor="_Toc108076919" w:history="1">
            <w:r w:rsidR="00452065" w:rsidRPr="009112DE">
              <w:rPr>
                <w:rStyle w:val="Hyperlink"/>
                <w:noProof/>
              </w:rPr>
              <w:t>7.3.3</w:t>
            </w:r>
            <w:r w:rsidR="00452065">
              <w:rPr>
                <w:rFonts w:asciiTheme="minorHAnsi" w:hAnsiTheme="minorHAnsi"/>
                <w:b w:val="0"/>
                <w:noProof/>
                <w:sz w:val="22"/>
                <w:lang w:val="en-GB" w:eastAsia="en-GB"/>
              </w:rPr>
              <w:tab/>
            </w:r>
            <w:r w:rsidR="00452065" w:rsidRPr="009112DE">
              <w:rPr>
                <w:rStyle w:val="Hyperlink"/>
                <w:noProof/>
              </w:rPr>
              <w:t>Pay Gap</w:t>
            </w:r>
            <w:r w:rsidR="00452065">
              <w:rPr>
                <w:noProof/>
                <w:webHidden/>
              </w:rPr>
              <w:tab/>
            </w:r>
            <w:r w:rsidR="00452065">
              <w:rPr>
                <w:noProof/>
                <w:webHidden/>
              </w:rPr>
              <w:fldChar w:fldCharType="begin"/>
            </w:r>
            <w:r w:rsidR="00452065">
              <w:rPr>
                <w:noProof/>
                <w:webHidden/>
              </w:rPr>
              <w:instrText xml:space="preserve"> PAGEREF _Toc108076919 \h </w:instrText>
            </w:r>
            <w:r w:rsidR="00452065">
              <w:rPr>
                <w:noProof/>
                <w:webHidden/>
              </w:rPr>
            </w:r>
            <w:r w:rsidR="00452065">
              <w:rPr>
                <w:noProof/>
                <w:webHidden/>
              </w:rPr>
              <w:fldChar w:fldCharType="separate"/>
            </w:r>
            <w:r w:rsidR="00452065">
              <w:rPr>
                <w:noProof/>
                <w:webHidden/>
              </w:rPr>
              <w:t>32</w:t>
            </w:r>
            <w:r w:rsidR="00452065">
              <w:rPr>
                <w:noProof/>
                <w:webHidden/>
              </w:rPr>
              <w:fldChar w:fldCharType="end"/>
            </w:r>
          </w:hyperlink>
        </w:p>
        <w:p w14:paraId="32CA0FA2" w14:textId="5F3E7078" w:rsidR="00452065" w:rsidRDefault="005C2AFB">
          <w:pPr>
            <w:pStyle w:val="TOC3"/>
            <w:rPr>
              <w:rFonts w:asciiTheme="minorHAnsi" w:hAnsiTheme="minorHAnsi"/>
              <w:b w:val="0"/>
              <w:noProof/>
              <w:sz w:val="22"/>
              <w:lang w:val="en-GB" w:eastAsia="en-GB"/>
            </w:rPr>
          </w:pPr>
          <w:hyperlink w:anchor="_Toc108076920" w:history="1">
            <w:r w:rsidR="00452065" w:rsidRPr="009112DE">
              <w:rPr>
                <w:rStyle w:val="Hyperlink"/>
                <w:noProof/>
              </w:rPr>
              <w:t>7.3.4</w:t>
            </w:r>
            <w:r w:rsidR="00452065">
              <w:rPr>
                <w:rFonts w:asciiTheme="minorHAnsi" w:hAnsiTheme="minorHAnsi"/>
                <w:b w:val="0"/>
                <w:noProof/>
                <w:sz w:val="22"/>
                <w:lang w:val="en-GB" w:eastAsia="en-GB"/>
              </w:rPr>
              <w:tab/>
            </w:r>
            <w:r w:rsidR="00452065" w:rsidRPr="009112DE">
              <w:rPr>
                <w:rStyle w:val="Hyperlink"/>
                <w:noProof/>
              </w:rPr>
              <w:t>Recruitment Activity</w:t>
            </w:r>
            <w:r w:rsidR="00452065">
              <w:rPr>
                <w:noProof/>
                <w:webHidden/>
              </w:rPr>
              <w:tab/>
            </w:r>
            <w:r w:rsidR="00452065">
              <w:rPr>
                <w:noProof/>
                <w:webHidden/>
              </w:rPr>
              <w:fldChar w:fldCharType="begin"/>
            </w:r>
            <w:r w:rsidR="00452065">
              <w:rPr>
                <w:noProof/>
                <w:webHidden/>
              </w:rPr>
              <w:instrText xml:space="preserve"> PAGEREF _Toc108076920 \h </w:instrText>
            </w:r>
            <w:r w:rsidR="00452065">
              <w:rPr>
                <w:noProof/>
                <w:webHidden/>
              </w:rPr>
            </w:r>
            <w:r w:rsidR="00452065">
              <w:rPr>
                <w:noProof/>
                <w:webHidden/>
              </w:rPr>
              <w:fldChar w:fldCharType="separate"/>
            </w:r>
            <w:r w:rsidR="00452065">
              <w:rPr>
                <w:noProof/>
                <w:webHidden/>
              </w:rPr>
              <w:t>33</w:t>
            </w:r>
            <w:r w:rsidR="00452065">
              <w:rPr>
                <w:noProof/>
                <w:webHidden/>
              </w:rPr>
              <w:fldChar w:fldCharType="end"/>
            </w:r>
          </w:hyperlink>
        </w:p>
        <w:p w14:paraId="0CC6775F" w14:textId="27959394" w:rsidR="00452065" w:rsidRDefault="005C2AFB">
          <w:pPr>
            <w:pStyle w:val="TOC3"/>
            <w:rPr>
              <w:rFonts w:asciiTheme="minorHAnsi" w:hAnsiTheme="minorHAnsi"/>
              <w:b w:val="0"/>
              <w:noProof/>
              <w:sz w:val="22"/>
              <w:lang w:val="en-GB" w:eastAsia="en-GB"/>
            </w:rPr>
          </w:pPr>
          <w:hyperlink w:anchor="_Toc108076921" w:history="1">
            <w:r w:rsidR="00452065" w:rsidRPr="009112DE">
              <w:rPr>
                <w:rStyle w:val="Hyperlink"/>
                <w:noProof/>
              </w:rPr>
              <w:t>7.3.5</w:t>
            </w:r>
            <w:r w:rsidR="00452065">
              <w:rPr>
                <w:rFonts w:asciiTheme="minorHAnsi" w:hAnsiTheme="minorHAnsi"/>
                <w:b w:val="0"/>
                <w:noProof/>
                <w:sz w:val="22"/>
                <w:lang w:val="en-GB" w:eastAsia="en-GB"/>
              </w:rPr>
              <w:tab/>
            </w:r>
            <w:r w:rsidR="00452065" w:rsidRPr="009112DE">
              <w:rPr>
                <w:rStyle w:val="Hyperlink"/>
                <w:noProof/>
              </w:rPr>
              <w:t>Training Activity</w:t>
            </w:r>
            <w:r w:rsidR="00452065">
              <w:rPr>
                <w:noProof/>
                <w:webHidden/>
              </w:rPr>
              <w:tab/>
            </w:r>
            <w:r w:rsidR="00452065">
              <w:rPr>
                <w:noProof/>
                <w:webHidden/>
              </w:rPr>
              <w:fldChar w:fldCharType="begin"/>
            </w:r>
            <w:r w:rsidR="00452065">
              <w:rPr>
                <w:noProof/>
                <w:webHidden/>
              </w:rPr>
              <w:instrText xml:space="preserve"> PAGEREF _Toc108076921 \h </w:instrText>
            </w:r>
            <w:r w:rsidR="00452065">
              <w:rPr>
                <w:noProof/>
                <w:webHidden/>
              </w:rPr>
            </w:r>
            <w:r w:rsidR="00452065">
              <w:rPr>
                <w:noProof/>
                <w:webHidden/>
              </w:rPr>
              <w:fldChar w:fldCharType="separate"/>
            </w:r>
            <w:r w:rsidR="00452065">
              <w:rPr>
                <w:noProof/>
                <w:webHidden/>
              </w:rPr>
              <w:t>33</w:t>
            </w:r>
            <w:r w:rsidR="00452065">
              <w:rPr>
                <w:noProof/>
                <w:webHidden/>
              </w:rPr>
              <w:fldChar w:fldCharType="end"/>
            </w:r>
          </w:hyperlink>
        </w:p>
        <w:p w14:paraId="34DE2FDC" w14:textId="7A576E24" w:rsidR="00452065" w:rsidRDefault="005C2AFB">
          <w:pPr>
            <w:pStyle w:val="TOC3"/>
            <w:rPr>
              <w:rFonts w:asciiTheme="minorHAnsi" w:hAnsiTheme="minorHAnsi"/>
              <w:b w:val="0"/>
              <w:noProof/>
              <w:sz w:val="22"/>
              <w:lang w:val="en-GB" w:eastAsia="en-GB"/>
            </w:rPr>
          </w:pPr>
          <w:hyperlink w:anchor="_Toc108076922" w:history="1">
            <w:r w:rsidR="00452065" w:rsidRPr="009112DE">
              <w:rPr>
                <w:rStyle w:val="Hyperlink"/>
                <w:noProof/>
              </w:rPr>
              <w:t>7.3.6</w:t>
            </w:r>
            <w:r w:rsidR="00452065">
              <w:rPr>
                <w:rFonts w:asciiTheme="minorHAnsi" w:hAnsiTheme="minorHAnsi"/>
                <w:b w:val="0"/>
                <w:noProof/>
                <w:sz w:val="22"/>
                <w:lang w:val="en-GB" w:eastAsia="en-GB"/>
              </w:rPr>
              <w:tab/>
            </w:r>
            <w:r w:rsidR="00452065" w:rsidRPr="009112DE">
              <w:rPr>
                <w:rStyle w:val="Hyperlink"/>
                <w:noProof/>
              </w:rPr>
              <w:t>Career Progression</w:t>
            </w:r>
            <w:r w:rsidR="00452065">
              <w:rPr>
                <w:noProof/>
                <w:webHidden/>
              </w:rPr>
              <w:tab/>
            </w:r>
            <w:r w:rsidR="00452065">
              <w:rPr>
                <w:noProof/>
                <w:webHidden/>
              </w:rPr>
              <w:fldChar w:fldCharType="begin"/>
            </w:r>
            <w:r w:rsidR="00452065">
              <w:rPr>
                <w:noProof/>
                <w:webHidden/>
              </w:rPr>
              <w:instrText xml:space="preserve"> PAGEREF _Toc108076922 \h </w:instrText>
            </w:r>
            <w:r w:rsidR="00452065">
              <w:rPr>
                <w:noProof/>
                <w:webHidden/>
              </w:rPr>
            </w:r>
            <w:r w:rsidR="00452065">
              <w:rPr>
                <w:noProof/>
                <w:webHidden/>
              </w:rPr>
              <w:fldChar w:fldCharType="separate"/>
            </w:r>
            <w:r w:rsidR="00452065">
              <w:rPr>
                <w:noProof/>
                <w:webHidden/>
              </w:rPr>
              <w:t>33</w:t>
            </w:r>
            <w:r w:rsidR="00452065">
              <w:rPr>
                <w:noProof/>
                <w:webHidden/>
              </w:rPr>
              <w:fldChar w:fldCharType="end"/>
            </w:r>
          </w:hyperlink>
        </w:p>
        <w:p w14:paraId="4ADED52D" w14:textId="08DDC660" w:rsidR="00452065" w:rsidRDefault="005C2AFB">
          <w:pPr>
            <w:pStyle w:val="TOC3"/>
            <w:rPr>
              <w:rFonts w:asciiTheme="minorHAnsi" w:hAnsiTheme="minorHAnsi"/>
              <w:b w:val="0"/>
              <w:noProof/>
              <w:sz w:val="22"/>
              <w:lang w:val="en-GB" w:eastAsia="en-GB"/>
            </w:rPr>
          </w:pPr>
          <w:hyperlink w:anchor="_Toc108076923" w:history="1">
            <w:r w:rsidR="00452065" w:rsidRPr="009112DE">
              <w:rPr>
                <w:rStyle w:val="Hyperlink"/>
                <w:noProof/>
              </w:rPr>
              <w:t>7.3.7</w:t>
            </w:r>
            <w:r w:rsidR="00452065">
              <w:rPr>
                <w:rFonts w:asciiTheme="minorHAnsi" w:hAnsiTheme="minorHAnsi"/>
                <w:b w:val="0"/>
                <w:noProof/>
                <w:sz w:val="22"/>
                <w:lang w:val="en-GB" w:eastAsia="en-GB"/>
              </w:rPr>
              <w:tab/>
            </w:r>
            <w:r w:rsidR="00452065" w:rsidRPr="009112DE">
              <w:rPr>
                <w:rStyle w:val="Hyperlink"/>
                <w:noProof/>
              </w:rPr>
              <w:t>Turnover</w:t>
            </w:r>
            <w:r w:rsidR="00452065">
              <w:rPr>
                <w:noProof/>
                <w:webHidden/>
              </w:rPr>
              <w:tab/>
            </w:r>
            <w:r w:rsidR="00452065">
              <w:rPr>
                <w:noProof/>
                <w:webHidden/>
              </w:rPr>
              <w:fldChar w:fldCharType="begin"/>
            </w:r>
            <w:r w:rsidR="00452065">
              <w:rPr>
                <w:noProof/>
                <w:webHidden/>
              </w:rPr>
              <w:instrText xml:space="preserve"> PAGEREF _Toc108076923 \h </w:instrText>
            </w:r>
            <w:r w:rsidR="00452065">
              <w:rPr>
                <w:noProof/>
                <w:webHidden/>
              </w:rPr>
            </w:r>
            <w:r w:rsidR="00452065">
              <w:rPr>
                <w:noProof/>
                <w:webHidden/>
              </w:rPr>
              <w:fldChar w:fldCharType="separate"/>
            </w:r>
            <w:r w:rsidR="00452065">
              <w:rPr>
                <w:noProof/>
                <w:webHidden/>
              </w:rPr>
              <w:t>34</w:t>
            </w:r>
            <w:r w:rsidR="00452065">
              <w:rPr>
                <w:noProof/>
                <w:webHidden/>
              </w:rPr>
              <w:fldChar w:fldCharType="end"/>
            </w:r>
          </w:hyperlink>
        </w:p>
        <w:p w14:paraId="61A4F969" w14:textId="0F13D15E" w:rsidR="00452065" w:rsidRDefault="005C2AFB">
          <w:pPr>
            <w:pStyle w:val="TOC2"/>
            <w:rPr>
              <w:rFonts w:asciiTheme="minorHAnsi" w:hAnsiTheme="minorHAnsi" w:cstheme="minorBidi"/>
              <w:b w:val="0"/>
              <w:sz w:val="22"/>
              <w:lang w:val="en-GB" w:eastAsia="en-GB"/>
            </w:rPr>
          </w:pPr>
          <w:hyperlink w:anchor="_Toc108076924" w:history="1">
            <w:r w:rsidR="00452065" w:rsidRPr="009112DE">
              <w:rPr>
                <w:rStyle w:val="Hyperlink"/>
              </w:rPr>
              <w:t>7.4</w:t>
            </w:r>
            <w:r w:rsidR="00452065">
              <w:rPr>
                <w:rFonts w:asciiTheme="minorHAnsi" w:hAnsiTheme="minorHAnsi" w:cstheme="minorBidi"/>
                <w:b w:val="0"/>
                <w:sz w:val="22"/>
                <w:lang w:val="en-GB" w:eastAsia="en-GB"/>
              </w:rPr>
              <w:tab/>
            </w:r>
            <w:r w:rsidR="00452065" w:rsidRPr="009112DE">
              <w:rPr>
                <w:rStyle w:val="Hyperlink"/>
              </w:rPr>
              <w:t>Religion and Belief</w:t>
            </w:r>
            <w:r w:rsidR="00452065">
              <w:rPr>
                <w:webHidden/>
              </w:rPr>
              <w:tab/>
            </w:r>
            <w:r w:rsidR="00452065">
              <w:rPr>
                <w:webHidden/>
              </w:rPr>
              <w:fldChar w:fldCharType="begin"/>
            </w:r>
            <w:r w:rsidR="00452065">
              <w:rPr>
                <w:webHidden/>
              </w:rPr>
              <w:instrText xml:space="preserve"> PAGEREF _Toc108076924 \h </w:instrText>
            </w:r>
            <w:r w:rsidR="00452065">
              <w:rPr>
                <w:webHidden/>
              </w:rPr>
            </w:r>
            <w:r w:rsidR="00452065">
              <w:rPr>
                <w:webHidden/>
              </w:rPr>
              <w:fldChar w:fldCharType="separate"/>
            </w:r>
            <w:r w:rsidR="00452065">
              <w:rPr>
                <w:webHidden/>
              </w:rPr>
              <w:t>35</w:t>
            </w:r>
            <w:r w:rsidR="00452065">
              <w:rPr>
                <w:webHidden/>
              </w:rPr>
              <w:fldChar w:fldCharType="end"/>
            </w:r>
          </w:hyperlink>
        </w:p>
        <w:p w14:paraId="110117B9" w14:textId="41896D58" w:rsidR="00452065" w:rsidRDefault="005C2AFB">
          <w:pPr>
            <w:pStyle w:val="TOC3"/>
            <w:rPr>
              <w:rFonts w:asciiTheme="minorHAnsi" w:hAnsiTheme="minorHAnsi"/>
              <w:b w:val="0"/>
              <w:noProof/>
              <w:sz w:val="22"/>
              <w:lang w:val="en-GB" w:eastAsia="en-GB"/>
            </w:rPr>
          </w:pPr>
          <w:hyperlink w:anchor="_Toc108076925" w:history="1">
            <w:r w:rsidR="00452065" w:rsidRPr="009112DE">
              <w:rPr>
                <w:rStyle w:val="Hyperlink"/>
                <w:noProof/>
              </w:rPr>
              <w:t>7.4.1</w:t>
            </w:r>
            <w:r w:rsidR="00452065">
              <w:rPr>
                <w:rFonts w:asciiTheme="minorHAnsi" w:hAnsiTheme="minorHAnsi"/>
                <w:b w:val="0"/>
                <w:noProof/>
                <w:sz w:val="22"/>
                <w:lang w:val="en-GB" w:eastAsia="en-GB"/>
              </w:rPr>
              <w:tab/>
            </w:r>
            <w:r w:rsidR="00452065" w:rsidRPr="009112DE">
              <w:rPr>
                <w:rStyle w:val="Hyperlink"/>
                <w:noProof/>
              </w:rPr>
              <w:t>Workforce Breakdown</w:t>
            </w:r>
            <w:r w:rsidR="00452065">
              <w:rPr>
                <w:noProof/>
                <w:webHidden/>
              </w:rPr>
              <w:tab/>
            </w:r>
            <w:r w:rsidR="00452065">
              <w:rPr>
                <w:noProof/>
                <w:webHidden/>
              </w:rPr>
              <w:fldChar w:fldCharType="begin"/>
            </w:r>
            <w:r w:rsidR="00452065">
              <w:rPr>
                <w:noProof/>
                <w:webHidden/>
              </w:rPr>
              <w:instrText xml:space="preserve"> PAGEREF _Toc108076925 \h </w:instrText>
            </w:r>
            <w:r w:rsidR="00452065">
              <w:rPr>
                <w:noProof/>
                <w:webHidden/>
              </w:rPr>
            </w:r>
            <w:r w:rsidR="00452065">
              <w:rPr>
                <w:noProof/>
                <w:webHidden/>
              </w:rPr>
              <w:fldChar w:fldCharType="separate"/>
            </w:r>
            <w:r w:rsidR="00452065">
              <w:rPr>
                <w:noProof/>
                <w:webHidden/>
              </w:rPr>
              <w:t>35</w:t>
            </w:r>
            <w:r w:rsidR="00452065">
              <w:rPr>
                <w:noProof/>
                <w:webHidden/>
              </w:rPr>
              <w:fldChar w:fldCharType="end"/>
            </w:r>
          </w:hyperlink>
        </w:p>
        <w:p w14:paraId="71F7E13B" w14:textId="18A12CB5" w:rsidR="00452065" w:rsidRDefault="005C2AFB">
          <w:pPr>
            <w:pStyle w:val="TOC3"/>
            <w:rPr>
              <w:rFonts w:asciiTheme="minorHAnsi" w:hAnsiTheme="minorHAnsi"/>
              <w:b w:val="0"/>
              <w:noProof/>
              <w:sz w:val="22"/>
              <w:lang w:val="en-GB" w:eastAsia="en-GB"/>
            </w:rPr>
          </w:pPr>
          <w:hyperlink w:anchor="_Toc108076926" w:history="1">
            <w:r w:rsidR="00452065" w:rsidRPr="009112DE">
              <w:rPr>
                <w:rStyle w:val="Hyperlink"/>
                <w:noProof/>
              </w:rPr>
              <w:t>7.4.2</w:t>
            </w:r>
            <w:r w:rsidR="00452065">
              <w:rPr>
                <w:rFonts w:asciiTheme="minorHAnsi" w:hAnsiTheme="minorHAnsi"/>
                <w:b w:val="0"/>
                <w:noProof/>
                <w:sz w:val="22"/>
                <w:lang w:val="en-GB" w:eastAsia="en-GB"/>
              </w:rPr>
              <w:tab/>
            </w:r>
            <w:r w:rsidR="00452065" w:rsidRPr="009112DE">
              <w:rPr>
                <w:rStyle w:val="Hyperlink"/>
                <w:noProof/>
              </w:rPr>
              <w:t>Recruitment Activity</w:t>
            </w:r>
            <w:r w:rsidR="00452065">
              <w:rPr>
                <w:noProof/>
                <w:webHidden/>
              </w:rPr>
              <w:tab/>
            </w:r>
            <w:r w:rsidR="00452065">
              <w:rPr>
                <w:noProof/>
                <w:webHidden/>
              </w:rPr>
              <w:fldChar w:fldCharType="begin"/>
            </w:r>
            <w:r w:rsidR="00452065">
              <w:rPr>
                <w:noProof/>
                <w:webHidden/>
              </w:rPr>
              <w:instrText xml:space="preserve"> PAGEREF _Toc108076926 \h </w:instrText>
            </w:r>
            <w:r w:rsidR="00452065">
              <w:rPr>
                <w:noProof/>
                <w:webHidden/>
              </w:rPr>
            </w:r>
            <w:r w:rsidR="00452065">
              <w:rPr>
                <w:noProof/>
                <w:webHidden/>
              </w:rPr>
              <w:fldChar w:fldCharType="separate"/>
            </w:r>
            <w:r w:rsidR="00452065">
              <w:rPr>
                <w:noProof/>
                <w:webHidden/>
              </w:rPr>
              <w:t>35</w:t>
            </w:r>
            <w:r w:rsidR="00452065">
              <w:rPr>
                <w:noProof/>
                <w:webHidden/>
              </w:rPr>
              <w:fldChar w:fldCharType="end"/>
            </w:r>
          </w:hyperlink>
        </w:p>
        <w:p w14:paraId="4D888A25" w14:textId="2FA9F5C6" w:rsidR="00452065" w:rsidRDefault="005C2AFB">
          <w:pPr>
            <w:pStyle w:val="TOC3"/>
            <w:rPr>
              <w:rFonts w:asciiTheme="minorHAnsi" w:hAnsiTheme="minorHAnsi"/>
              <w:b w:val="0"/>
              <w:noProof/>
              <w:sz w:val="22"/>
              <w:lang w:val="en-GB" w:eastAsia="en-GB"/>
            </w:rPr>
          </w:pPr>
          <w:hyperlink w:anchor="_Toc108076927" w:history="1">
            <w:r w:rsidR="00452065" w:rsidRPr="009112DE">
              <w:rPr>
                <w:rStyle w:val="Hyperlink"/>
                <w:noProof/>
              </w:rPr>
              <w:t>7.4.3</w:t>
            </w:r>
            <w:r w:rsidR="00452065">
              <w:rPr>
                <w:rFonts w:asciiTheme="minorHAnsi" w:hAnsiTheme="minorHAnsi"/>
                <w:b w:val="0"/>
                <w:noProof/>
                <w:sz w:val="22"/>
                <w:lang w:val="en-GB" w:eastAsia="en-GB"/>
              </w:rPr>
              <w:tab/>
            </w:r>
            <w:r w:rsidR="00452065" w:rsidRPr="009112DE">
              <w:rPr>
                <w:rStyle w:val="Hyperlink"/>
                <w:noProof/>
              </w:rPr>
              <w:t>Training Activity</w:t>
            </w:r>
            <w:r w:rsidR="00452065">
              <w:rPr>
                <w:noProof/>
                <w:webHidden/>
              </w:rPr>
              <w:tab/>
            </w:r>
            <w:r w:rsidR="00452065">
              <w:rPr>
                <w:noProof/>
                <w:webHidden/>
              </w:rPr>
              <w:fldChar w:fldCharType="begin"/>
            </w:r>
            <w:r w:rsidR="00452065">
              <w:rPr>
                <w:noProof/>
                <w:webHidden/>
              </w:rPr>
              <w:instrText xml:space="preserve"> PAGEREF _Toc108076927 \h </w:instrText>
            </w:r>
            <w:r w:rsidR="00452065">
              <w:rPr>
                <w:noProof/>
                <w:webHidden/>
              </w:rPr>
            </w:r>
            <w:r w:rsidR="00452065">
              <w:rPr>
                <w:noProof/>
                <w:webHidden/>
              </w:rPr>
              <w:fldChar w:fldCharType="separate"/>
            </w:r>
            <w:r w:rsidR="00452065">
              <w:rPr>
                <w:noProof/>
                <w:webHidden/>
              </w:rPr>
              <w:t>36</w:t>
            </w:r>
            <w:r w:rsidR="00452065">
              <w:rPr>
                <w:noProof/>
                <w:webHidden/>
              </w:rPr>
              <w:fldChar w:fldCharType="end"/>
            </w:r>
          </w:hyperlink>
        </w:p>
        <w:p w14:paraId="0A289512" w14:textId="268805BF" w:rsidR="00452065" w:rsidRDefault="005C2AFB">
          <w:pPr>
            <w:pStyle w:val="TOC3"/>
            <w:rPr>
              <w:rFonts w:asciiTheme="minorHAnsi" w:hAnsiTheme="minorHAnsi"/>
              <w:b w:val="0"/>
              <w:noProof/>
              <w:sz w:val="22"/>
              <w:lang w:val="en-GB" w:eastAsia="en-GB"/>
            </w:rPr>
          </w:pPr>
          <w:hyperlink w:anchor="_Toc108076928" w:history="1">
            <w:r w:rsidR="00452065" w:rsidRPr="009112DE">
              <w:rPr>
                <w:rStyle w:val="Hyperlink"/>
                <w:noProof/>
              </w:rPr>
              <w:t>7.4.4</w:t>
            </w:r>
            <w:r w:rsidR="00452065">
              <w:rPr>
                <w:rFonts w:asciiTheme="minorHAnsi" w:hAnsiTheme="minorHAnsi"/>
                <w:b w:val="0"/>
                <w:noProof/>
                <w:sz w:val="22"/>
                <w:lang w:val="en-GB" w:eastAsia="en-GB"/>
              </w:rPr>
              <w:tab/>
            </w:r>
            <w:r w:rsidR="00452065" w:rsidRPr="009112DE">
              <w:rPr>
                <w:rStyle w:val="Hyperlink"/>
                <w:noProof/>
              </w:rPr>
              <w:t>Career Progression</w:t>
            </w:r>
            <w:r w:rsidR="00452065">
              <w:rPr>
                <w:noProof/>
                <w:webHidden/>
              </w:rPr>
              <w:tab/>
            </w:r>
            <w:r w:rsidR="00452065">
              <w:rPr>
                <w:noProof/>
                <w:webHidden/>
              </w:rPr>
              <w:fldChar w:fldCharType="begin"/>
            </w:r>
            <w:r w:rsidR="00452065">
              <w:rPr>
                <w:noProof/>
                <w:webHidden/>
              </w:rPr>
              <w:instrText xml:space="preserve"> PAGEREF _Toc108076928 \h </w:instrText>
            </w:r>
            <w:r w:rsidR="00452065">
              <w:rPr>
                <w:noProof/>
                <w:webHidden/>
              </w:rPr>
            </w:r>
            <w:r w:rsidR="00452065">
              <w:rPr>
                <w:noProof/>
                <w:webHidden/>
              </w:rPr>
              <w:fldChar w:fldCharType="separate"/>
            </w:r>
            <w:r w:rsidR="00452065">
              <w:rPr>
                <w:noProof/>
                <w:webHidden/>
              </w:rPr>
              <w:t>36</w:t>
            </w:r>
            <w:r w:rsidR="00452065">
              <w:rPr>
                <w:noProof/>
                <w:webHidden/>
              </w:rPr>
              <w:fldChar w:fldCharType="end"/>
            </w:r>
          </w:hyperlink>
        </w:p>
        <w:p w14:paraId="51EB8F08" w14:textId="148BF088" w:rsidR="00452065" w:rsidRDefault="005C2AFB">
          <w:pPr>
            <w:pStyle w:val="TOC3"/>
            <w:rPr>
              <w:rFonts w:asciiTheme="minorHAnsi" w:hAnsiTheme="minorHAnsi"/>
              <w:b w:val="0"/>
              <w:noProof/>
              <w:sz w:val="22"/>
              <w:lang w:val="en-GB" w:eastAsia="en-GB"/>
            </w:rPr>
          </w:pPr>
          <w:hyperlink w:anchor="_Toc108076929" w:history="1">
            <w:r w:rsidR="00452065" w:rsidRPr="009112DE">
              <w:rPr>
                <w:rStyle w:val="Hyperlink"/>
                <w:noProof/>
              </w:rPr>
              <w:t>7.4.5</w:t>
            </w:r>
            <w:r w:rsidR="00452065">
              <w:rPr>
                <w:rFonts w:asciiTheme="minorHAnsi" w:hAnsiTheme="minorHAnsi"/>
                <w:b w:val="0"/>
                <w:noProof/>
                <w:sz w:val="22"/>
                <w:lang w:val="en-GB" w:eastAsia="en-GB"/>
              </w:rPr>
              <w:tab/>
            </w:r>
            <w:r w:rsidR="00452065" w:rsidRPr="009112DE">
              <w:rPr>
                <w:rStyle w:val="Hyperlink"/>
                <w:noProof/>
              </w:rPr>
              <w:t>Turnover</w:t>
            </w:r>
            <w:r w:rsidR="00452065">
              <w:rPr>
                <w:noProof/>
                <w:webHidden/>
              </w:rPr>
              <w:tab/>
            </w:r>
            <w:r w:rsidR="00452065">
              <w:rPr>
                <w:noProof/>
                <w:webHidden/>
              </w:rPr>
              <w:fldChar w:fldCharType="begin"/>
            </w:r>
            <w:r w:rsidR="00452065">
              <w:rPr>
                <w:noProof/>
                <w:webHidden/>
              </w:rPr>
              <w:instrText xml:space="preserve"> PAGEREF _Toc108076929 \h </w:instrText>
            </w:r>
            <w:r w:rsidR="00452065">
              <w:rPr>
                <w:noProof/>
                <w:webHidden/>
              </w:rPr>
            </w:r>
            <w:r w:rsidR="00452065">
              <w:rPr>
                <w:noProof/>
                <w:webHidden/>
              </w:rPr>
              <w:fldChar w:fldCharType="separate"/>
            </w:r>
            <w:r w:rsidR="00452065">
              <w:rPr>
                <w:noProof/>
                <w:webHidden/>
              </w:rPr>
              <w:t>37</w:t>
            </w:r>
            <w:r w:rsidR="00452065">
              <w:rPr>
                <w:noProof/>
                <w:webHidden/>
              </w:rPr>
              <w:fldChar w:fldCharType="end"/>
            </w:r>
          </w:hyperlink>
        </w:p>
        <w:p w14:paraId="54DB0849" w14:textId="4A301CF7" w:rsidR="00452065" w:rsidRDefault="005C2AFB">
          <w:pPr>
            <w:pStyle w:val="TOC2"/>
            <w:rPr>
              <w:rFonts w:asciiTheme="minorHAnsi" w:hAnsiTheme="minorHAnsi" w:cstheme="minorBidi"/>
              <w:b w:val="0"/>
              <w:sz w:val="22"/>
              <w:lang w:val="en-GB" w:eastAsia="en-GB"/>
            </w:rPr>
          </w:pPr>
          <w:hyperlink w:anchor="_Toc108076930" w:history="1">
            <w:r w:rsidR="00452065" w:rsidRPr="009112DE">
              <w:rPr>
                <w:rStyle w:val="Hyperlink"/>
              </w:rPr>
              <w:t>7.5</w:t>
            </w:r>
            <w:r w:rsidR="00452065">
              <w:rPr>
                <w:rFonts w:asciiTheme="minorHAnsi" w:hAnsiTheme="minorHAnsi" w:cstheme="minorBidi"/>
                <w:b w:val="0"/>
                <w:sz w:val="22"/>
                <w:lang w:val="en-GB" w:eastAsia="en-GB"/>
              </w:rPr>
              <w:tab/>
            </w:r>
            <w:r w:rsidR="00452065" w:rsidRPr="009112DE">
              <w:rPr>
                <w:rStyle w:val="Hyperlink"/>
              </w:rPr>
              <w:t>Disability</w:t>
            </w:r>
            <w:r w:rsidR="00452065">
              <w:rPr>
                <w:webHidden/>
              </w:rPr>
              <w:tab/>
            </w:r>
            <w:r w:rsidR="00452065">
              <w:rPr>
                <w:webHidden/>
              </w:rPr>
              <w:fldChar w:fldCharType="begin"/>
            </w:r>
            <w:r w:rsidR="00452065">
              <w:rPr>
                <w:webHidden/>
              </w:rPr>
              <w:instrText xml:space="preserve"> PAGEREF _Toc108076930 \h </w:instrText>
            </w:r>
            <w:r w:rsidR="00452065">
              <w:rPr>
                <w:webHidden/>
              </w:rPr>
            </w:r>
            <w:r w:rsidR="00452065">
              <w:rPr>
                <w:webHidden/>
              </w:rPr>
              <w:fldChar w:fldCharType="separate"/>
            </w:r>
            <w:r w:rsidR="00452065">
              <w:rPr>
                <w:webHidden/>
              </w:rPr>
              <w:t>38</w:t>
            </w:r>
            <w:r w:rsidR="00452065">
              <w:rPr>
                <w:webHidden/>
              </w:rPr>
              <w:fldChar w:fldCharType="end"/>
            </w:r>
          </w:hyperlink>
        </w:p>
        <w:p w14:paraId="71D9C550" w14:textId="451C8EE1" w:rsidR="00452065" w:rsidRDefault="005C2AFB">
          <w:pPr>
            <w:pStyle w:val="TOC3"/>
            <w:rPr>
              <w:rFonts w:asciiTheme="minorHAnsi" w:hAnsiTheme="minorHAnsi"/>
              <w:b w:val="0"/>
              <w:noProof/>
              <w:sz w:val="22"/>
              <w:lang w:val="en-GB" w:eastAsia="en-GB"/>
            </w:rPr>
          </w:pPr>
          <w:hyperlink w:anchor="_Toc108076931" w:history="1">
            <w:r w:rsidR="00452065" w:rsidRPr="009112DE">
              <w:rPr>
                <w:rStyle w:val="Hyperlink"/>
                <w:noProof/>
              </w:rPr>
              <w:t>7.5.1</w:t>
            </w:r>
            <w:r w:rsidR="00452065">
              <w:rPr>
                <w:rFonts w:asciiTheme="minorHAnsi" w:hAnsiTheme="minorHAnsi"/>
                <w:b w:val="0"/>
                <w:noProof/>
                <w:sz w:val="22"/>
                <w:lang w:val="en-GB" w:eastAsia="en-GB"/>
              </w:rPr>
              <w:tab/>
            </w:r>
            <w:r w:rsidR="00452065" w:rsidRPr="009112DE">
              <w:rPr>
                <w:rStyle w:val="Hyperlink"/>
                <w:noProof/>
              </w:rPr>
              <w:t>Definitions</w:t>
            </w:r>
            <w:r w:rsidR="00452065">
              <w:rPr>
                <w:noProof/>
                <w:webHidden/>
              </w:rPr>
              <w:tab/>
            </w:r>
            <w:r w:rsidR="00452065">
              <w:rPr>
                <w:noProof/>
                <w:webHidden/>
              </w:rPr>
              <w:fldChar w:fldCharType="begin"/>
            </w:r>
            <w:r w:rsidR="00452065">
              <w:rPr>
                <w:noProof/>
                <w:webHidden/>
              </w:rPr>
              <w:instrText xml:space="preserve"> PAGEREF _Toc108076931 \h </w:instrText>
            </w:r>
            <w:r w:rsidR="00452065">
              <w:rPr>
                <w:noProof/>
                <w:webHidden/>
              </w:rPr>
            </w:r>
            <w:r w:rsidR="00452065">
              <w:rPr>
                <w:noProof/>
                <w:webHidden/>
              </w:rPr>
              <w:fldChar w:fldCharType="separate"/>
            </w:r>
            <w:r w:rsidR="00452065">
              <w:rPr>
                <w:noProof/>
                <w:webHidden/>
              </w:rPr>
              <w:t>38</w:t>
            </w:r>
            <w:r w:rsidR="00452065">
              <w:rPr>
                <w:noProof/>
                <w:webHidden/>
              </w:rPr>
              <w:fldChar w:fldCharType="end"/>
            </w:r>
          </w:hyperlink>
        </w:p>
        <w:p w14:paraId="4A738460" w14:textId="118390ED" w:rsidR="00452065" w:rsidRDefault="005C2AFB">
          <w:pPr>
            <w:pStyle w:val="TOC3"/>
            <w:rPr>
              <w:rFonts w:asciiTheme="minorHAnsi" w:hAnsiTheme="minorHAnsi"/>
              <w:b w:val="0"/>
              <w:noProof/>
              <w:sz w:val="22"/>
              <w:lang w:val="en-GB" w:eastAsia="en-GB"/>
            </w:rPr>
          </w:pPr>
          <w:hyperlink w:anchor="_Toc108076932" w:history="1">
            <w:r w:rsidR="00452065" w:rsidRPr="009112DE">
              <w:rPr>
                <w:rStyle w:val="Hyperlink"/>
                <w:noProof/>
              </w:rPr>
              <w:t>7.5.2</w:t>
            </w:r>
            <w:r w:rsidR="00452065">
              <w:rPr>
                <w:rFonts w:asciiTheme="minorHAnsi" w:hAnsiTheme="minorHAnsi"/>
                <w:b w:val="0"/>
                <w:noProof/>
                <w:sz w:val="22"/>
                <w:lang w:val="en-GB" w:eastAsia="en-GB"/>
              </w:rPr>
              <w:tab/>
            </w:r>
            <w:r w:rsidR="00452065" w:rsidRPr="009112DE">
              <w:rPr>
                <w:rStyle w:val="Hyperlink"/>
                <w:noProof/>
              </w:rPr>
              <w:t>Workforce Breakdown</w:t>
            </w:r>
            <w:r w:rsidR="00452065">
              <w:rPr>
                <w:noProof/>
                <w:webHidden/>
              </w:rPr>
              <w:tab/>
            </w:r>
            <w:r w:rsidR="00452065">
              <w:rPr>
                <w:noProof/>
                <w:webHidden/>
              </w:rPr>
              <w:fldChar w:fldCharType="begin"/>
            </w:r>
            <w:r w:rsidR="00452065">
              <w:rPr>
                <w:noProof/>
                <w:webHidden/>
              </w:rPr>
              <w:instrText xml:space="preserve"> PAGEREF _Toc108076932 \h </w:instrText>
            </w:r>
            <w:r w:rsidR="00452065">
              <w:rPr>
                <w:noProof/>
                <w:webHidden/>
              </w:rPr>
            </w:r>
            <w:r w:rsidR="00452065">
              <w:rPr>
                <w:noProof/>
                <w:webHidden/>
              </w:rPr>
              <w:fldChar w:fldCharType="separate"/>
            </w:r>
            <w:r w:rsidR="00452065">
              <w:rPr>
                <w:noProof/>
                <w:webHidden/>
              </w:rPr>
              <w:t>38</w:t>
            </w:r>
            <w:r w:rsidR="00452065">
              <w:rPr>
                <w:noProof/>
                <w:webHidden/>
              </w:rPr>
              <w:fldChar w:fldCharType="end"/>
            </w:r>
          </w:hyperlink>
        </w:p>
        <w:p w14:paraId="4CAA2985" w14:textId="4AFF4F8F" w:rsidR="00452065" w:rsidRDefault="005C2AFB">
          <w:pPr>
            <w:pStyle w:val="TOC3"/>
            <w:rPr>
              <w:rFonts w:asciiTheme="minorHAnsi" w:hAnsiTheme="minorHAnsi"/>
              <w:b w:val="0"/>
              <w:noProof/>
              <w:sz w:val="22"/>
              <w:lang w:val="en-GB" w:eastAsia="en-GB"/>
            </w:rPr>
          </w:pPr>
          <w:hyperlink w:anchor="_Toc108076933" w:history="1">
            <w:r w:rsidR="00452065" w:rsidRPr="009112DE">
              <w:rPr>
                <w:rStyle w:val="Hyperlink"/>
                <w:noProof/>
              </w:rPr>
              <w:t>7.5.3</w:t>
            </w:r>
            <w:r w:rsidR="00452065">
              <w:rPr>
                <w:rFonts w:asciiTheme="minorHAnsi" w:hAnsiTheme="minorHAnsi"/>
                <w:b w:val="0"/>
                <w:noProof/>
                <w:sz w:val="22"/>
                <w:lang w:val="en-GB" w:eastAsia="en-GB"/>
              </w:rPr>
              <w:tab/>
            </w:r>
            <w:r w:rsidR="00452065" w:rsidRPr="009112DE">
              <w:rPr>
                <w:rStyle w:val="Hyperlink"/>
                <w:noProof/>
              </w:rPr>
              <w:t>Pay Gap</w:t>
            </w:r>
            <w:r w:rsidR="00452065">
              <w:rPr>
                <w:noProof/>
                <w:webHidden/>
              </w:rPr>
              <w:tab/>
            </w:r>
            <w:r w:rsidR="00452065">
              <w:rPr>
                <w:noProof/>
                <w:webHidden/>
              </w:rPr>
              <w:fldChar w:fldCharType="begin"/>
            </w:r>
            <w:r w:rsidR="00452065">
              <w:rPr>
                <w:noProof/>
                <w:webHidden/>
              </w:rPr>
              <w:instrText xml:space="preserve"> PAGEREF _Toc108076933 \h </w:instrText>
            </w:r>
            <w:r w:rsidR="00452065">
              <w:rPr>
                <w:noProof/>
                <w:webHidden/>
              </w:rPr>
            </w:r>
            <w:r w:rsidR="00452065">
              <w:rPr>
                <w:noProof/>
                <w:webHidden/>
              </w:rPr>
              <w:fldChar w:fldCharType="separate"/>
            </w:r>
            <w:r w:rsidR="00452065">
              <w:rPr>
                <w:noProof/>
                <w:webHidden/>
              </w:rPr>
              <w:t>39</w:t>
            </w:r>
            <w:r w:rsidR="00452065">
              <w:rPr>
                <w:noProof/>
                <w:webHidden/>
              </w:rPr>
              <w:fldChar w:fldCharType="end"/>
            </w:r>
          </w:hyperlink>
        </w:p>
        <w:p w14:paraId="3707BA92" w14:textId="1B19DEB3" w:rsidR="00452065" w:rsidRDefault="005C2AFB">
          <w:pPr>
            <w:pStyle w:val="TOC3"/>
            <w:rPr>
              <w:rFonts w:asciiTheme="minorHAnsi" w:hAnsiTheme="minorHAnsi"/>
              <w:b w:val="0"/>
              <w:noProof/>
              <w:sz w:val="22"/>
              <w:lang w:val="en-GB" w:eastAsia="en-GB"/>
            </w:rPr>
          </w:pPr>
          <w:hyperlink w:anchor="_Toc108076934" w:history="1">
            <w:r w:rsidR="00452065" w:rsidRPr="009112DE">
              <w:rPr>
                <w:rStyle w:val="Hyperlink"/>
                <w:noProof/>
              </w:rPr>
              <w:t>7.5.4</w:t>
            </w:r>
            <w:r w:rsidR="00452065">
              <w:rPr>
                <w:rFonts w:asciiTheme="minorHAnsi" w:hAnsiTheme="minorHAnsi"/>
                <w:b w:val="0"/>
                <w:noProof/>
                <w:sz w:val="22"/>
                <w:lang w:val="en-GB" w:eastAsia="en-GB"/>
              </w:rPr>
              <w:tab/>
            </w:r>
            <w:r w:rsidR="00452065" w:rsidRPr="009112DE">
              <w:rPr>
                <w:rStyle w:val="Hyperlink"/>
                <w:noProof/>
              </w:rPr>
              <w:t>Recruitment Activity</w:t>
            </w:r>
            <w:r w:rsidR="00452065">
              <w:rPr>
                <w:noProof/>
                <w:webHidden/>
              </w:rPr>
              <w:tab/>
            </w:r>
            <w:r w:rsidR="00452065">
              <w:rPr>
                <w:noProof/>
                <w:webHidden/>
              </w:rPr>
              <w:fldChar w:fldCharType="begin"/>
            </w:r>
            <w:r w:rsidR="00452065">
              <w:rPr>
                <w:noProof/>
                <w:webHidden/>
              </w:rPr>
              <w:instrText xml:space="preserve"> PAGEREF _Toc108076934 \h </w:instrText>
            </w:r>
            <w:r w:rsidR="00452065">
              <w:rPr>
                <w:noProof/>
                <w:webHidden/>
              </w:rPr>
            </w:r>
            <w:r w:rsidR="00452065">
              <w:rPr>
                <w:noProof/>
                <w:webHidden/>
              </w:rPr>
              <w:fldChar w:fldCharType="separate"/>
            </w:r>
            <w:r w:rsidR="00452065">
              <w:rPr>
                <w:noProof/>
                <w:webHidden/>
              </w:rPr>
              <w:t>39</w:t>
            </w:r>
            <w:r w:rsidR="00452065">
              <w:rPr>
                <w:noProof/>
                <w:webHidden/>
              </w:rPr>
              <w:fldChar w:fldCharType="end"/>
            </w:r>
          </w:hyperlink>
        </w:p>
        <w:p w14:paraId="3E8D320E" w14:textId="40FE3981" w:rsidR="00452065" w:rsidRDefault="005C2AFB">
          <w:pPr>
            <w:pStyle w:val="TOC3"/>
            <w:rPr>
              <w:rFonts w:asciiTheme="minorHAnsi" w:hAnsiTheme="minorHAnsi"/>
              <w:b w:val="0"/>
              <w:noProof/>
              <w:sz w:val="22"/>
              <w:lang w:val="en-GB" w:eastAsia="en-GB"/>
            </w:rPr>
          </w:pPr>
          <w:hyperlink w:anchor="_Toc108076935" w:history="1">
            <w:r w:rsidR="00452065" w:rsidRPr="009112DE">
              <w:rPr>
                <w:rStyle w:val="Hyperlink"/>
                <w:noProof/>
              </w:rPr>
              <w:t>7.5.5</w:t>
            </w:r>
            <w:r w:rsidR="00452065">
              <w:rPr>
                <w:rFonts w:asciiTheme="minorHAnsi" w:hAnsiTheme="minorHAnsi"/>
                <w:b w:val="0"/>
                <w:noProof/>
                <w:sz w:val="22"/>
                <w:lang w:val="en-GB" w:eastAsia="en-GB"/>
              </w:rPr>
              <w:tab/>
            </w:r>
            <w:r w:rsidR="00452065" w:rsidRPr="009112DE">
              <w:rPr>
                <w:rStyle w:val="Hyperlink"/>
                <w:noProof/>
              </w:rPr>
              <w:t>Training Activity</w:t>
            </w:r>
            <w:r w:rsidR="00452065">
              <w:rPr>
                <w:noProof/>
                <w:webHidden/>
              </w:rPr>
              <w:tab/>
            </w:r>
            <w:r w:rsidR="00452065">
              <w:rPr>
                <w:noProof/>
                <w:webHidden/>
              </w:rPr>
              <w:fldChar w:fldCharType="begin"/>
            </w:r>
            <w:r w:rsidR="00452065">
              <w:rPr>
                <w:noProof/>
                <w:webHidden/>
              </w:rPr>
              <w:instrText xml:space="preserve"> PAGEREF _Toc108076935 \h </w:instrText>
            </w:r>
            <w:r w:rsidR="00452065">
              <w:rPr>
                <w:noProof/>
                <w:webHidden/>
              </w:rPr>
            </w:r>
            <w:r w:rsidR="00452065">
              <w:rPr>
                <w:noProof/>
                <w:webHidden/>
              </w:rPr>
              <w:fldChar w:fldCharType="separate"/>
            </w:r>
            <w:r w:rsidR="00452065">
              <w:rPr>
                <w:noProof/>
                <w:webHidden/>
              </w:rPr>
              <w:t>39</w:t>
            </w:r>
            <w:r w:rsidR="00452065">
              <w:rPr>
                <w:noProof/>
                <w:webHidden/>
              </w:rPr>
              <w:fldChar w:fldCharType="end"/>
            </w:r>
          </w:hyperlink>
        </w:p>
        <w:p w14:paraId="49C613B5" w14:textId="398BCE89" w:rsidR="00452065" w:rsidRDefault="005C2AFB">
          <w:pPr>
            <w:pStyle w:val="TOC3"/>
            <w:rPr>
              <w:rFonts w:asciiTheme="minorHAnsi" w:hAnsiTheme="minorHAnsi"/>
              <w:b w:val="0"/>
              <w:noProof/>
              <w:sz w:val="22"/>
              <w:lang w:val="en-GB" w:eastAsia="en-GB"/>
            </w:rPr>
          </w:pPr>
          <w:hyperlink w:anchor="_Toc108076936" w:history="1">
            <w:r w:rsidR="00452065" w:rsidRPr="009112DE">
              <w:rPr>
                <w:rStyle w:val="Hyperlink"/>
                <w:noProof/>
              </w:rPr>
              <w:t>7.5.6</w:t>
            </w:r>
            <w:r w:rsidR="00452065">
              <w:rPr>
                <w:rFonts w:asciiTheme="minorHAnsi" w:hAnsiTheme="minorHAnsi"/>
                <w:b w:val="0"/>
                <w:noProof/>
                <w:sz w:val="22"/>
                <w:lang w:val="en-GB" w:eastAsia="en-GB"/>
              </w:rPr>
              <w:tab/>
            </w:r>
            <w:r w:rsidR="00452065" w:rsidRPr="009112DE">
              <w:rPr>
                <w:rStyle w:val="Hyperlink"/>
                <w:noProof/>
              </w:rPr>
              <w:t>Career Progression</w:t>
            </w:r>
            <w:r w:rsidR="00452065">
              <w:rPr>
                <w:noProof/>
                <w:webHidden/>
              </w:rPr>
              <w:tab/>
            </w:r>
            <w:r w:rsidR="00452065">
              <w:rPr>
                <w:noProof/>
                <w:webHidden/>
              </w:rPr>
              <w:fldChar w:fldCharType="begin"/>
            </w:r>
            <w:r w:rsidR="00452065">
              <w:rPr>
                <w:noProof/>
                <w:webHidden/>
              </w:rPr>
              <w:instrText xml:space="preserve"> PAGEREF _Toc108076936 \h </w:instrText>
            </w:r>
            <w:r w:rsidR="00452065">
              <w:rPr>
                <w:noProof/>
                <w:webHidden/>
              </w:rPr>
            </w:r>
            <w:r w:rsidR="00452065">
              <w:rPr>
                <w:noProof/>
                <w:webHidden/>
              </w:rPr>
              <w:fldChar w:fldCharType="separate"/>
            </w:r>
            <w:r w:rsidR="00452065">
              <w:rPr>
                <w:noProof/>
                <w:webHidden/>
              </w:rPr>
              <w:t>39</w:t>
            </w:r>
            <w:r w:rsidR="00452065">
              <w:rPr>
                <w:noProof/>
                <w:webHidden/>
              </w:rPr>
              <w:fldChar w:fldCharType="end"/>
            </w:r>
          </w:hyperlink>
        </w:p>
        <w:p w14:paraId="4EEEF1AD" w14:textId="4B9FC4A8" w:rsidR="00452065" w:rsidRDefault="005C2AFB">
          <w:pPr>
            <w:pStyle w:val="TOC3"/>
            <w:rPr>
              <w:rFonts w:asciiTheme="minorHAnsi" w:hAnsiTheme="minorHAnsi"/>
              <w:b w:val="0"/>
              <w:noProof/>
              <w:sz w:val="22"/>
              <w:lang w:val="en-GB" w:eastAsia="en-GB"/>
            </w:rPr>
          </w:pPr>
          <w:hyperlink w:anchor="_Toc108076937" w:history="1">
            <w:r w:rsidR="00452065" w:rsidRPr="009112DE">
              <w:rPr>
                <w:rStyle w:val="Hyperlink"/>
                <w:noProof/>
              </w:rPr>
              <w:t>7.5.7</w:t>
            </w:r>
            <w:r w:rsidR="00452065">
              <w:rPr>
                <w:rFonts w:asciiTheme="minorHAnsi" w:hAnsiTheme="minorHAnsi"/>
                <w:b w:val="0"/>
                <w:noProof/>
                <w:sz w:val="22"/>
                <w:lang w:val="en-GB" w:eastAsia="en-GB"/>
              </w:rPr>
              <w:tab/>
            </w:r>
            <w:r w:rsidR="00452065" w:rsidRPr="009112DE">
              <w:rPr>
                <w:rStyle w:val="Hyperlink"/>
                <w:noProof/>
              </w:rPr>
              <w:t>Turnover</w:t>
            </w:r>
            <w:r w:rsidR="00452065">
              <w:rPr>
                <w:noProof/>
                <w:webHidden/>
              </w:rPr>
              <w:tab/>
            </w:r>
            <w:r w:rsidR="00452065">
              <w:rPr>
                <w:noProof/>
                <w:webHidden/>
              </w:rPr>
              <w:fldChar w:fldCharType="begin"/>
            </w:r>
            <w:r w:rsidR="00452065">
              <w:rPr>
                <w:noProof/>
                <w:webHidden/>
              </w:rPr>
              <w:instrText xml:space="preserve"> PAGEREF _Toc108076937 \h </w:instrText>
            </w:r>
            <w:r w:rsidR="00452065">
              <w:rPr>
                <w:noProof/>
                <w:webHidden/>
              </w:rPr>
            </w:r>
            <w:r w:rsidR="00452065">
              <w:rPr>
                <w:noProof/>
                <w:webHidden/>
              </w:rPr>
              <w:fldChar w:fldCharType="separate"/>
            </w:r>
            <w:r w:rsidR="00452065">
              <w:rPr>
                <w:noProof/>
                <w:webHidden/>
              </w:rPr>
              <w:t>39</w:t>
            </w:r>
            <w:r w:rsidR="00452065">
              <w:rPr>
                <w:noProof/>
                <w:webHidden/>
              </w:rPr>
              <w:fldChar w:fldCharType="end"/>
            </w:r>
          </w:hyperlink>
        </w:p>
        <w:p w14:paraId="3FBA5B68" w14:textId="33CB048D" w:rsidR="00452065" w:rsidRDefault="005C2AFB">
          <w:pPr>
            <w:pStyle w:val="TOC3"/>
            <w:rPr>
              <w:rFonts w:asciiTheme="minorHAnsi" w:hAnsiTheme="minorHAnsi"/>
              <w:b w:val="0"/>
              <w:noProof/>
              <w:sz w:val="22"/>
              <w:lang w:val="en-GB" w:eastAsia="en-GB"/>
            </w:rPr>
          </w:pPr>
          <w:hyperlink w:anchor="_Toc108076938" w:history="1">
            <w:r w:rsidR="00452065" w:rsidRPr="009112DE">
              <w:rPr>
                <w:rStyle w:val="Hyperlink"/>
                <w:noProof/>
              </w:rPr>
              <w:t>7.5.8</w:t>
            </w:r>
            <w:r w:rsidR="00452065">
              <w:rPr>
                <w:rFonts w:asciiTheme="minorHAnsi" w:hAnsiTheme="minorHAnsi"/>
                <w:b w:val="0"/>
                <w:noProof/>
                <w:sz w:val="22"/>
                <w:lang w:val="en-GB" w:eastAsia="en-GB"/>
              </w:rPr>
              <w:tab/>
            </w:r>
            <w:r w:rsidR="00452065" w:rsidRPr="009112DE">
              <w:rPr>
                <w:rStyle w:val="Hyperlink"/>
                <w:noProof/>
              </w:rPr>
              <w:t>Intersectionality</w:t>
            </w:r>
            <w:r w:rsidR="00452065">
              <w:rPr>
                <w:noProof/>
                <w:webHidden/>
              </w:rPr>
              <w:tab/>
            </w:r>
            <w:r w:rsidR="00452065">
              <w:rPr>
                <w:noProof/>
                <w:webHidden/>
              </w:rPr>
              <w:fldChar w:fldCharType="begin"/>
            </w:r>
            <w:r w:rsidR="00452065">
              <w:rPr>
                <w:noProof/>
                <w:webHidden/>
              </w:rPr>
              <w:instrText xml:space="preserve"> PAGEREF _Toc108076938 \h </w:instrText>
            </w:r>
            <w:r w:rsidR="00452065">
              <w:rPr>
                <w:noProof/>
                <w:webHidden/>
              </w:rPr>
            </w:r>
            <w:r w:rsidR="00452065">
              <w:rPr>
                <w:noProof/>
                <w:webHidden/>
              </w:rPr>
              <w:fldChar w:fldCharType="separate"/>
            </w:r>
            <w:r w:rsidR="00452065">
              <w:rPr>
                <w:noProof/>
                <w:webHidden/>
              </w:rPr>
              <w:t>40</w:t>
            </w:r>
            <w:r w:rsidR="00452065">
              <w:rPr>
                <w:noProof/>
                <w:webHidden/>
              </w:rPr>
              <w:fldChar w:fldCharType="end"/>
            </w:r>
          </w:hyperlink>
        </w:p>
        <w:p w14:paraId="6B516B49" w14:textId="71035294" w:rsidR="00452065" w:rsidRDefault="005C2AFB">
          <w:pPr>
            <w:pStyle w:val="TOC2"/>
            <w:rPr>
              <w:rFonts w:asciiTheme="minorHAnsi" w:hAnsiTheme="minorHAnsi" w:cstheme="minorBidi"/>
              <w:b w:val="0"/>
              <w:sz w:val="22"/>
              <w:lang w:val="en-GB" w:eastAsia="en-GB"/>
            </w:rPr>
          </w:pPr>
          <w:hyperlink w:anchor="_Toc108076939" w:history="1">
            <w:r w:rsidR="00452065" w:rsidRPr="009112DE">
              <w:rPr>
                <w:rStyle w:val="Hyperlink"/>
              </w:rPr>
              <w:t>7.6</w:t>
            </w:r>
            <w:r w:rsidR="00452065">
              <w:rPr>
                <w:rFonts w:asciiTheme="minorHAnsi" w:hAnsiTheme="minorHAnsi" w:cstheme="minorBidi"/>
                <w:b w:val="0"/>
                <w:sz w:val="22"/>
                <w:lang w:val="en-GB" w:eastAsia="en-GB"/>
              </w:rPr>
              <w:tab/>
            </w:r>
            <w:r w:rsidR="00452065" w:rsidRPr="009112DE">
              <w:rPr>
                <w:rStyle w:val="Hyperlink"/>
              </w:rPr>
              <w:t>Sexual Orientation</w:t>
            </w:r>
            <w:r w:rsidR="00452065">
              <w:rPr>
                <w:webHidden/>
              </w:rPr>
              <w:tab/>
            </w:r>
            <w:r w:rsidR="00452065">
              <w:rPr>
                <w:webHidden/>
              </w:rPr>
              <w:fldChar w:fldCharType="begin"/>
            </w:r>
            <w:r w:rsidR="00452065">
              <w:rPr>
                <w:webHidden/>
              </w:rPr>
              <w:instrText xml:space="preserve"> PAGEREF _Toc108076939 \h </w:instrText>
            </w:r>
            <w:r w:rsidR="00452065">
              <w:rPr>
                <w:webHidden/>
              </w:rPr>
            </w:r>
            <w:r w:rsidR="00452065">
              <w:rPr>
                <w:webHidden/>
              </w:rPr>
              <w:fldChar w:fldCharType="separate"/>
            </w:r>
            <w:r w:rsidR="00452065">
              <w:rPr>
                <w:webHidden/>
              </w:rPr>
              <w:t>41</w:t>
            </w:r>
            <w:r w:rsidR="00452065">
              <w:rPr>
                <w:webHidden/>
              </w:rPr>
              <w:fldChar w:fldCharType="end"/>
            </w:r>
          </w:hyperlink>
        </w:p>
        <w:p w14:paraId="2D8DCCCD" w14:textId="3B9E1BF0" w:rsidR="00452065" w:rsidRDefault="005C2AFB">
          <w:pPr>
            <w:pStyle w:val="TOC3"/>
            <w:rPr>
              <w:rFonts w:asciiTheme="minorHAnsi" w:hAnsiTheme="minorHAnsi"/>
              <w:b w:val="0"/>
              <w:noProof/>
              <w:sz w:val="22"/>
              <w:lang w:val="en-GB" w:eastAsia="en-GB"/>
            </w:rPr>
          </w:pPr>
          <w:hyperlink w:anchor="_Toc108076940" w:history="1">
            <w:r w:rsidR="00452065" w:rsidRPr="009112DE">
              <w:rPr>
                <w:rStyle w:val="Hyperlink"/>
                <w:noProof/>
              </w:rPr>
              <w:t>7.6.1</w:t>
            </w:r>
            <w:r w:rsidR="00452065">
              <w:rPr>
                <w:rFonts w:asciiTheme="minorHAnsi" w:hAnsiTheme="minorHAnsi"/>
                <w:b w:val="0"/>
                <w:noProof/>
                <w:sz w:val="22"/>
                <w:lang w:val="en-GB" w:eastAsia="en-GB"/>
              </w:rPr>
              <w:tab/>
            </w:r>
            <w:r w:rsidR="00452065" w:rsidRPr="009112DE">
              <w:rPr>
                <w:rStyle w:val="Hyperlink"/>
                <w:noProof/>
              </w:rPr>
              <w:t>Workforce Breakdown</w:t>
            </w:r>
            <w:r w:rsidR="00452065">
              <w:rPr>
                <w:noProof/>
                <w:webHidden/>
              </w:rPr>
              <w:tab/>
            </w:r>
            <w:r w:rsidR="00452065">
              <w:rPr>
                <w:noProof/>
                <w:webHidden/>
              </w:rPr>
              <w:fldChar w:fldCharType="begin"/>
            </w:r>
            <w:r w:rsidR="00452065">
              <w:rPr>
                <w:noProof/>
                <w:webHidden/>
              </w:rPr>
              <w:instrText xml:space="preserve"> PAGEREF _Toc108076940 \h </w:instrText>
            </w:r>
            <w:r w:rsidR="00452065">
              <w:rPr>
                <w:noProof/>
                <w:webHidden/>
              </w:rPr>
            </w:r>
            <w:r w:rsidR="00452065">
              <w:rPr>
                <w:noProof/>
                <w:webHidden/>
              </w:rPr>
              <w:fldChar w:fldCharType="separate"/>
            </w:r>
            <w:r w:rsidR="00452065">
              <w:rPr>
                <w:noProof/>
                <w:webHidden/>
              </w:rPr>
              <w:t>41</w:t>
            </w:r>
            <w:r w:rsidR="00452065">
              <w:rPr>
                <w:noProof/>
                <w:webHidden/>
              </w:rPr>
              <w:fldChar w:fldCharType="end"/>
            </w:r>
          </w:hyperlink>
        </w:p>
        <w:p w14:paraId="33F6A2EC" w14:textId="35643F0F" w:rsidR="00452065" w:rsidRDefault="005C2AFB">
          <w:pPr>
            <w:pStyle w:val="TOC3"/>
            <w:rPr>
              <w:rFonts w:asciiTheme="minorHAnsi" w:hAnsiTheme="minorHAnsi"/>
              <w:b w:val="0"/>
              <w:noProof/>
              <w:sz w:val="22"/>
              <w:lang w:val="en-GB" w:eastAsia="en-GB"/>
            </w:rPr>
          </w:pPr>
          <w:hyperlink w:anchor="_Toc108076941" w:history="1">
            <w:r w:rsidR="00452065" w:rsidRPr="009112DE">
              <w:rPr>
                <w:rStyle w:val="Hyperlink"/>
                <w:noProof/>
              </w:rPr>
              <w:t>7.6.2</w:t>
            </w:r>
            <w:r w:rsidR="00452065">
              <w:rPr>
                <w:rFonts w:asciiTheme="minorHAnsi" w:hAnsiTheme="minorHAnsi"/>
                <w:b w:val="0"/>
                <w:noProof/>
                <w:sz w:val="22"/>
                <w:lang w:val="en-GB" w:eastAsia="en-GB"/>
              </w:rPr>
              <w:tab/>
            </w:r>
            <w:r w:rsidR="00452065" w:rsidRPr="009112DE">
              <w:rPr>
                <w:rStyle w:val="Hyperlink"/>
                <w:noProof/>
              </w:rPr>
              <w:t>Recruitment Activity</w:t>
            </w:r>
            <w:r w:rsidR="00452065">
              <w:rPr>
                <w:noProof/>
                <w:webHidden/>
              </w:rPr>
              <w:tab/>
            </w:r>
            <w:r w:rsidR="00452065">
              <w:rPr>
                <w:noProof/>
                <w:webHidden/>
              </w:rPr>
              <w:fldChar w:fldCharType="begin"/>
            </w:r>
            <w:r w:rsidR="00452065">
              <w:rPr>
                <w:noProof/>
                <w:webHidden/>
              </w:rPr>
              <w:instrText xml:space="preserve"> PAGEREF _Toc108076941 \h </w:instrText>
            </w:r>
            <w:r w:rsidR="00452065">
              <w:rPr>
                <w:noProof/>
                <w:webHidden/>
              </w:rPr>
            </w:r>
            <w:r w:rsidR="00452065">
              <w:rPr>
                <w:noProof/>
                <w:webHidden/>
              </w:rPr>
              <w:fldChar w:fldCharType="separate"/>
            </w:r>
            <w:r w:rsidR="00452065">
              <w:rPr>
                <w:noProof/>
                <w:webHidden/>
              </w:rPr>
              <w:t>41</w:t>
            </w:r>
            <w:r w:rsidR="00452065">
              <w:rPr>
                <w:noProof/>
                <w:webHidden/>
              </w:rPr>
              <w:fldChar w:fldCharType="end"/>
            </w:r>
          </w:hyperlink>
        </w:p>
        <w:p w14:paraId="17D51865" w14:textId="180DC017" w:rsidR="00452065" w:rsidRDefault="005C2AFB">
          <w:pPr>
            <w:pStyle w:val="TOC3"/>
            <w:rPr>
              <w:rFonts w:asciiTheme="minorHAnsi" w:hAnsiTheme="minorHAnsi"/>
              <w:b w:val="0"/>
              <w:noProof/>
              <w:sz w:val="22"/>
              <w:lang w:val="en-GB" w:eastAsia="en-GB"/>
            </w:rPr>
          </w:pPr>
          <w:hyperlink w:anchor="_Toc108076942" w:history="1">
            <w:r w:rsidR="00452065" w:rsidRPr="009112DE">
              <w:rPr>
                <w:rStyle w:val="Hyperlink"/>
                <w:noProof/>
              </w:rPr>
              <w:t>7.6.3</w:t>
            </w:r>
            <w:r w:rsidR="00452065">
              <w:rPr>
                <w:rFonts w:asciiTheme="minorHAnsi" w:hAnsiTheme="minorHAnsi"/>
                <w:b w:val="0"/>
                <w:noProof/>
                <w:sz w:val="22"/>
                <w:lang w:val="en-GB" w:eastAsia="en-GB"/>
              </w:rPr>
              <w:tab/>
            </w:r>
            <w:r w:rsidR="00452065" w:rsidRPr="009112DE">
              <w:rPr>
                <w:rStyle w:val="Hyperlink"/>
                <w:noProof/>
              </w:rPr>
              <w:t>Training Activity</w:t>
            </w:r>
            <w:r w:rsidR="00452065">
              <w:rPr>
                <w:noProof/>
                <w:webHidden/>
              </w:rPr>
              <w:tab/>
            </w:r>
            <w:r w:rsidR="00452065">
              <w:rPr>
                <w:noProof/>
                <w:webHidden/>
              </w:rPr>
              <w:fldChar w:fldCharType="begin"/>
            </w:r>
            <w:r w:rsidR="00452065">
              <w:rPr>
                <w:noProof/>
                <w:webHidden/>
              </w:rPr>
              <w:instrText xml:space="preserve"> PAGEREF _Toc108076942 \h </w:instrText>
            </w:r>
            <w:r w:rsidR="00452065">
              <w:rPr>
                <w:noProof/>
                <w:webHidden/>
              </w:rPr>
            </w:r>
            <w:r w:rsidR="00452065">
              <w:rPr>
                <w:noProof/>
                <w:webHidden/>
              </w:rPr>
              <w:fldChar w:fldCharType="separate"/>
            </w:r>
            <w:r w:rsidR="00452065">
              <w:rPr>
                <w:noProof/>
                <w:webHidden/>
              </w:rPr>
              <w:t>41</w:t>
            </w:r>
            <w:r w:rsidR="00452065">
              <w:rPr>
                <w:noProof/>
                <w:webHidden/>
              </w:rPr>
              <w:fldChar w:fldCharType="end"/>
            </w:r>
          </w:hyperlink>
        </w:p>
        <w:p w14:paraId="65159A4E" w14:textId="4A9932AD" w:rsidR="00452065" w:rsidRDefault="005C2AFB">
          <w:pPr>
            <w:pStyle w:val="TOC3"/>
            <w:rPr>
              <w:rFonts w:asciiTheme="minorHAnsi" w:hAnsiTheme="minorHAnsi"/>
              <w:b w:val="0"/>
              <w:noProof/>
              <w:sz w:val="22"/>
              <w:lang w:val="en-GB" w:eastAsia="en-GB"/>
            </w:rPr>
          </w:pPr>
          <w:hyperlink w:anchor="_Toc108076943" w:history="1">
            <w:r w:rsidR="00452065" w:rsidRPr="009112DE">
              <w:rPr>
                <w:rStyle w:val="Hyperlink"/>
                <w:noProof/>
              </w:rPr>
              <w:t>7.6.4</w:t>
            </w:r>
            <w:r w:rsidR="00452065">
              <w:rPr>
                <w:rFonts w:asciiTheme="minorHAnsi" w:hAnsiTheme="minorHAnsi"/>
                <w:b w:val="0"/>
                <w:noProof/>
                <w:sz w:val="22"/>
                <w:lang w:val="en-GB" w:eastAsia="en-GB"/>
              </w:rPr>
              <w:tab/>
            </w:r>
            <w:r w:rsidR="00452065" w:rsidRPr="009112DE">
              <w:rPr>
                <w:rStyle w:val="Hyperlink"/>
                <w:noProof/>
              </w:rPr>
              <w:t>Career Progression</w:t>
            </w:r>
            <w:r w:rsidR="00452065">
              <w:rPr>
                <w:noProof/>
                <w:webHidden/>
              </w:rPr>
              <w:tab/>
            </w:r>
            <w:r w:rsidR="00452065">
              <w:rPr>
                <w:noProof/>
                <w:webHidden/>
              </w:rPr>
              <w:fldChar w:fldCharType="begin"/>
            </w:r>
            <w:r w:rsidR="00452065">
              <w:rPr>
                <w:noProof/>
                <w:webHidden/>
              </w:rPr>
              <w:instrText xml:space="preserve"> PAGEREF _Toc108076943 \h </w:instrText>
            </w:r>
            <w:r w:rsidR="00452065">
              <w:rPr>
                <w:noProof/>
                <w:webHidden/>
              </w:rPr>
            </w:r>
            <w:r w:rsidR="00452065">
              <w:rPr>
                <w:noProof/>
                <w:webHidden/>
              </w:rPr>
              <w:fldChar w:fldCharType="separate"/>
            </w:r>
            <w:r w:rsidR="00452065">
              <w:rPr>
                <w:noProof/>
                <w:webHidden/>
              </w:rPr>
              <w:t>42</w:t>
            </w:r>
            <w:r w:rsidR="00452065">
              <w:rPr>
                <w:noProof/>
                <w:webHidden/>
              </w:rPr>
              <w:fldChar w:fldCharType="end"/>
            </w:r>
          </w:hyperlink>
        </w:p>
        <w:p w14:paraId="08CD8459" w14:textId="48C1E4D2" w:rsidR="00452065" w:rsidRDefault="005C2AFB">
          <w:pPr>
            <w:pStyle w:val="TOC3"/>
            <w:rPr>
              <w:rFonts w:asciiTheme="minorHAnsi" w:hAnsiTheme="minorHAnsi"/>
              <w:b w:val="0"/>
              <w:noProof/>
              <w:sz w:val="22"/>
              <w:lang w:val="en-GB" w:eastAsia="en-GB"/>
            </w:rPr>
          </w:pPr>
          <w:hyperlink w:anchor="_Toc108076944" w:history="1">
            <w:r w:rsidR="00452065" w:rsidRPr="009112DE">
              <w:rPr>
                <w:rStyle w:val="Hyperlink"/>
                <w:noProof/>
              </w:rPr>
              <w:t>7.6.5</w:t>
            </w:r>
            <w:r w:rsidR="00452065">
              <w:rPr>
                <w:rFonts w:asciiTheme="minorHAnsi" w:hAnsiTheme="minorHAnsi"/>
                <w:b w:val="0"/>
                <w:noProof/>
                <w:sz w:val="22"/>
                <w:lang w:val="en-GB" w:eastAsia="en-GB"/>
              </w:rPr>
              <w:tab/>
            </w:r>
            <w:r w:rsidR="00452065" w:rsidRPr="009112DE">
              <w:rPr>
                <w:rStyle w:val="Hyperlink"/>
                <w:noProof/>
              </w:rPr>
              <w:t>Turnover</w:t>
            </w:r>
            <w:r w:rsidR="00452065">
              <w:rPr>
                <w:noProof/>
                <w:webHidden/>
              </w:rPr>
              <w:tab/>
            </w:r>
            <w:r w:rsidR="00452065">
              <w:rPr>
                <w:noProof/>
                <w:webHidden/>
              </w:rPr>
              <w:fldChar w:fldCharType="begin"/>
            </w:r>
            <w:r w:rsidR="00452065">
              <w:rPr>
                <w:noProof/>
                <w:webHidden/>
              </w:rPr>
              <w:instrText xml:space="preserve"> PAGEREF _Toc108076944 \h </w:instrText>
            </w:r>
            <w:r w:rsidR="00452065">
              <w:rPr>
                <w:noProof/>
                <w:webHidden/>
              </w:rPr>
            </w:r>
            <w:r w:rsidR="00452065">
              <w:rPr>
                <w:noProof/>
                <w:webHidden/>
              </w:rPr>
              <w:fldChar w:fldCharType="separate"/>
            </w:r>
            <w:r w:rsidR="00452065">
              <w:rPr>
                <w:noProof/>
                <w:webHidden/>
              </w:rPr>
              <w:t>42</w:t>
            </w:r>
            <w:r w:rsidR="00452065">
              <w:rPr>
                <w:noProof/>
                <w:webHidden/>
              </w:rPr>
              <w:fldChar w:fldCharType="end"/>
            </w:r>
          </w:hyperlink>
        </w:p>
        <w:p w14:paraId="4F5AEDEC" w14:textId="5D595EB1" w:rsidR="00452065" w:rsidRDefault="005C2AFB">
          <w:pPr>
            <w:pStyle w:val="TOC2"/>
            <w:rPr>
              <w:rFonts w:asciiTheme="minorHAnsi" w:hAnsiTheme="minorHAnsi" w:cstheme="minorBidi"/>
              <w:b w:val="0"/>
              <w:sz w:val="22"/>
              <w:lang w:val="en-GB" w:eastAsia="en-GB"/>
            </w:rPr>
          </w:pPr>
          <w:hyperlink w:anchor="_Toc108076945" w:history="1">
            <w:r w:rsidR="00452065" w:rsidRPr="009112DE">
              <w:rPr>
                <w:rStyle w:val="Hyperlink"/>
              </w:rPr>
              <w:t>7.7</w:t>
            </w:r>
            <w:r w:rsidR="00452065">
              <w:rPr>
                <w:rFonts w:asciiTheme="minorHAnsi" w:hAnsiTheme="minorHAnsi" w:cstheme="minorBidi"/>
                <w:b w:val="0"/>
                <w:sz w:val="22"/>
                <w:lang w:val="en-GB" w:eastAsia="en-GB"/>
              </w:rPr>
              <w:tab/>
            </w:r>
            <w:r w:rsidR="00452065" w:rsidRPr="009112DE">
              <w:rPr>
                <w:rStyle w:val="Hyperlink"/>
              </w:rPr>
              <w:t>Marriage and Civil Partnership</w:t>
            </w:r>
            <w:r w:rsidR="00452065">
              <w:rPr>
                <w:webHidden/>
              </w:rPr>
              <w:tab/>
            </w:r>
            <w:r w:rsidR="00452065">
              <w:rPr>
                <w:webHidden/>
              </w:rPr>
              <w:fldChar w:fldCharType="begin"/>
            </w:r>
            <w:r w:rsidR="00452065">
              <w:rPr>
                <w:webHidden/>
              </w:rPr>
              <w:instrText xml:space="preserve"> PAGEREF _Toc108076945 \h </w:instrText>
            </w:r>
            <w:r w:rsidR="00452065">
              <w:rPr>
                <w:webHidden/>
              </w:rPr>
            </w:r>
            <w:r w:rsidR="00452065">
              <w:rPr>
                <w:webHidden/>
              </w:rPr>
              <w:fldChar w:fldCharType="separate"/>
            </w:r>
            <w:r w:rsidR="00452065">
              <w:rPr>
                <w:webHidden/>
              </w:rPr>
              <w:t>43</w:t>
            </w:r>
            <w:r w:rsidR="00452065">
              <w:rPr>
                <w:webHidden/>
              </w:rPr>
              <w:fldChar w:fldCharType="end"/>
            </w:r>
          </w:hyperlink>
        </w:p>
        <w:p w14:paraId="6E665B49" w14:textId="4E0719FC" w:rsidR="00452065" w:rsidRDefault="005C2AFB">
          <w:pPr>
            <w:pStyle w:val="TOC2"/>
            <w:rPr>
              <w:rFonts w:asciiTheme="minorHAnsi" w:hAnsiTheme="minorHAnsi" w:cstheme="minorBidi"/>
              <w:b w:val="0"/>
              <w:sz w:val="22"/>
              <w:lang w:val="en-GB" w:eastAsia="en-GB"/>
            </w:rPr>
          </w:pPr>
          <w:hyperlink w:anchor="_Toc108076946" w:history="1">
            <w:r w:rsidR="00452065" w:rsidRPr="009112DE">
              <w:rPr>
                <w:rStyle w:val="Hyperlink"/>
              </w:rPr>
              <w:t>7.8</w:t>
            </w:r>
            <w:r w:rsidR="00452065">
              <w:rPr>
                <w:rFonts w:asciiTheme="minorHAnsi" w:hAnsiTheme="minorHAnsi" w:cstheme="minorBidi"/>
                <w:b w:val="0"/>
                <w:sz w:val="22"/>
                <w:lang w:val="en-GB" w:eastAsia="en-GB"/>
              </w:rPr>
              <w:tab/>
            </w:r>
            <w:r w:rsidR="00452065" w:rsidRPr="009112DE">
              <w:rPr>
                <w:rStyle w:val="Hyperlink"/>
              </w:rPr>
              <w:t>Trans Staff</w:t>
            </w:r>
            <w:r w:rsidR="00452065">
              <w:rPr>
                <w:webHidden/>
              </w:rPr>
              <w:tab/>
            </w:r>
            <w:r w:rsidR="00452065">
              <w:rPr>
                <w:webHidden/>
              </w:rPr>
              <w:fldChar w:fldCharType="begin"/>
            </w:r>
            <w:r w:rsidR="00452065">
              <w:rPr>
                <w:webHidden/>
              </w:rPr>
              <w:instrText xml:space="preserve"> PAGEREF _Toc108076946 \h </w:instrText>
            </w:r>
            <w:r w:rsidR="00452065">
              <w:rPr>
                <w:webHidden/>
              </w:rPr>
            </w:r>
            <w:r w:rsidR="00452065">
              <w:rPr>
                <w:webHidden/>
              </w:rPr>
              <w:fldChar w:fldCharType="separate"/>
            </w:r>
            <w:r w:rsidR="00452065">
              <w:rPr>
                <w:webHidden/>
              </w:rPr>
              <w:t>43</w:t>
            </w:r>
            <w:r w:rsidR="00452065">
              <w:rPr>
                <w:webHidden/>
              </w:rPr>
              <w:fldChar w:fldCharType="end"/>
            </w:r>
          </w:hyperlink>
        </w:p>
        <w:p w14:paraId="67C8F694" w14:textId="478F67EA" w:rsidR="00452065" w:rsidRDefault="005C2AFB">
          <w:pPr>
            <w:pStyle w:val="TOC2"/>
            <w:rPr>
              <w:rFonts w:asciiTheme="minorHAnsi" w:hAnsiTheme="minorHAnsi" w:cstheme="minorBidi"/>
              <w:b w:val="0"/>
              <w:sz w:val="22"/>
              <w:lang w:val="en-GB" w:eastAsia="en-GB"/>
            </w:rPr>
          </w:pPr>
          <w:hyperlink w:anchor="_Toc108076947" w:history="1">
            <w:r w:rsidR="00452065" w:rsidRPr="009112DE">
              <w:rPr>
                <w:rStyle w:val="Hyperlink"/>
              </w:rPr>
              <w:t>7.9</w:t>
            </w:r>
            <w:r w:rsidR="00452065">
              <w:rPr>
                <w:rFonts w:asciiTheme="minorHAnsi" w:hAnsiTheme="minorHAnsi" w:cstheme="minorBidi"/>
                <w:b w:val="0"/>
                <w:sz w:val="22"/>
                <w:lang w:val="en-GB" w:eastAsia="en-GB"/>
              </w:rPr>
              <w:tab/>
            </w:r>
            <w:r w:rsidR="00452065" w:rsidRPr="009112DE">
              <w:rPr>
                <w:rStyle w:val="Hyperlink"/>
              </w:rPr>
              <w:t>Pregnancy and Maternity</w:t>
            </w:r>
            <w:r w:rsidR="00452065">
              <w:rPr>
                <w:webHidden/>
              </w:rPr>
              <w:tab/>
            </w:r>
            <w:r w:rsidR="00452065">
              <w:rPr>
                <w:webHidden/>
              </w:rPr>
              <w:fldChar w:fldCharType="begin"/>
            </w:r>
            <w:r w:rsidR="00452065">
              <w:rPr>
                <w:webHidden/>
              </w:rPr>
              <w:instrText xml:space="preserve"> PAGEREF _Toc108076947 \h </w:instrText>
            </w:r>
            <w:r w:rsidR="00452065">
              <w:rPr>
                <w:webHidden/>
              </w:rPr>
            </w:r>
            <w:r w:rsidR="00452065">
              <w:rPr>
                <w:webHidden/>
              </w:rPr>
              <w:fldChar w:fldCharType="separate"/>
            </w:r>
            <w:r w:rsidR="00452065">
              <w:rPr>
                <w:webHidden/>
              </w:rPr>
              <w:t>43</w:t>
            </w:r>
            <w:r w:rsidR="00452065">
              <w:rPr>
                <w:webHidden/>
              </w:rPr>
              <w:fldChar w:fldCharType="end"/>
            </w:r>
          </w:hyperlink>
        </w:p>
        <w:p w14:paraId="23A87DBC" w14:textId="4C492D11" w:rsidR="00452065" w:rsidRDefault="005C2AFB">
          <w:pPr>
            <w:pStyle w:val="TOC1"/>
            <w:rPr>
              <w:rFonts w:asciiTheme="minorHAnsi" w:hAnsiTheme="minorHAnsi"/>
              <w:b w:val="0"/>
              <w:noProof/>
              <w:sz w:val="22"/>
              <w:lang w:val="en-GB" w:eastAsia="en-GB"/>
            </w:rPr>
          </w:pPr>
          <w:hyperlink w:anchor="_Toc108076948" w:history="1">
            <w:r w:rsidR="00452065" w:rsidRPr="009112DE">
              <w:rPr>
                <w:rStyle w:val="Hyperlink"/>
                <w:noProof/>
              </w:rPr>
              <w:t>8</w:t>
            </w:r>
            <w:r w:rsidR="00452065">
              <w:rPr>
                <w:rFonts w:asciiTheme="minorHAnsi" w:hAnsiTheme="minorHAnsi"/>
                <w:b w:val="0"/>
                <w:noProof/>
                <w:sz w:val="22"/>
                <w:lang w:val="en-GB" w:eastAsia="en-GB"/>
              </w:rPr>
              <w:tab/>
            </w:r>
            <w:r w:rsidR="00452065" w:rsidRPr="009112DE">
              <w:rPr>
                <w:rStyle w:val="Hyperlink"/>
                <w:noProof/>
              </w:rPr>
              <w:t>Developments</w:t>
            </w:r>
            <w:r w:rsidR="00452065">
              <w:rPr>
                <w:noProof/>
                <w:webHidden/>
              </w:rPr>
              <w:tab/>
            </w:r>
            <w:r w:rsidR="00452065">
              <w:rPr>
                <w:noProof/>
                <w:webHidden/>
              </w:rPr>
              <w:fldChar w:fldCharType="begin"/>
            </w:r>
            <w:r w:rsidR="00452065">
              <w:rPr>
                <w:noProof/>
                <w:webHidden/>
              </w:rPr>
              <w:instrText xml:space="preserve"> PAGEREF _Toc108076948 \h </w:instrText>
            </w:r>
            <w:r w:rsidR="00452065">
              <w:rPr>
                <w:noProof/>
                <w:webHidden/>
              </w:rPr>
            </w:r>
            <w:r w:rsidR="00452065">
              <w:rPr>
                <w:noProof/>
                <w:webHidden/>
              </w:rPr>
              <w:fldChar w:fldCharType="separate"/>
            </w:r>
            <w:r w:rsidR="00452065">
              <w:rPr>
                <w:noProof/>
                <w:webHidden/>
              </w:rPr>
              <w:t>45</w:t>
            </w:r>
            <w:r w:rsidR="00452065">
              <w:rPr>
                <w:noProof/>
                <w:webHidden/>
              </w:rPr>
              <w:fldChar w:fldCharType="end"/>
            </w:r>
          </w:hyperlink>
        </w:p>
        <w:p w14:paraId="251FEC45" w14:textId="3353DB4A" w:rsidR="001F7566" w:rsidRDefault="004B4834" w:rsidP="00AC5B73">
          <w:pPr>
            <w:rPr>
              <w:b/>
              <w:bCs/>
              <w:noProof/>
            </w:rPr>
          </w:pPr>
          <w:r>
            <w:rPr>
              <w:b/>
              <w:bCs/>
              <w:noProof/>
            </w:rPr>
            <w:fldChar w:fldCharType="end"/>
          </w:r>
        </w:p>
      </w:sdtContent>
    </w:sdt>
    <w:p w14:paraId="54B7E7E2" w14:textId="415C2B53" w:rsidR="00F11908" w:rsidRPr="001F7566" w:rsidRDefault="00F11908" w:rsidP="00AC5B73">
      <w:r>
        <w:br w:type="page"/>
      </w:r>
    </w:p>
    <w:p w14:paraId="2E47BA9F" w14:textId="28A77464" w:rsidR="008602C7" w:rsidRPr="00AF255D" w:rsidRDefault="00BD2D87" w:rsidP="00AC5B73">
      <w:pPr>
        <w:pStyle w:val="Heading1"/>
      </w:pPr>
      <w:bookmarkStart w:id="3" w:name="_Toc76025076"/>
      <w:bookmarkStart w:id="4" w:name="_Toc108076874"/>
      <w:r w:rsidRPr="00AF255D">
        <w:lastRenderedPageBreak/>
        <w:t>Introduction</w:t>
      </w:r>
      <w:bookmarkEnd w:id="3"/>
      <w:bookmarkEnd w:id="4"/>
    </w:p>
    <w:p w14:paraId="10CF205C" w14:textId="77777777" w:rsidR="00C859AF" w:rsidRPr="00AF255D" w:rsidRDefault="00C859AF" w:rsidP="00AC5B73">
      <w:pPr>
        <w:rPr>
          <w:rFonts w:cs="Arial"/>
          <w:szCs w:val="24"/>
        </w:rPr>
      </w:pPr>
    </w:p>
    <w:p w14:paraId="75191E8B" w14:textId="5ECB9B51" w:rsidR="00BD27E2" w:rsidRPr="00AF255D" w:rsidRDefault="00BD2D87" w:rsidP="00AC5B73">
      <w:pPr>
        <w:rPr>
          <w:rFonts w:cs="Arial"/>
          <w:szCs w:val="24"/>
        </w:rPr>
      </w:pPr>
      <w:r w:rsidRPr="00AF255D">
        <w:rPr>
          <w:rFonts w:cs="Arial"/>
          <w:szCs w:val="24"/>
        </w:rPr>
        <w:t xml:space="preserve">This Workforce Monitoring Report covers the period from </w:t>
      </w:r>
      <w:r w:rsidR="006A617E" w:rsidRPr="00AF255D">
        <w:rPr>
          <w:rFonts w:cs="Arial"/>
          <w:szCs w:val="24"/>
        </w:rPr>
        <w:t>1</w:t>
      </w:r>
      <w:r w:rsidR="008A2727">
        <w:rPr>
          <w:rFonts w:cs="Arial"/>
          <w:szCs w:val="24"/>
        </w:rPr>
        <w:t xml:space="preserve"> April 2021</w:t>
      </w:r>
      <w:r w:rsidRPr="00AF255D">
        <w:rPr>
          <w:rFonts w:cs="Arial"/>
          <w:szCs w:val="24"/>
        </w:rPr>
        <w:t xml:space="preserve"> to </w:t>
      </w:r>
      <w:r w:rsidR="00A22DA6" w:rsidRPr="00AF255D">
        <w:rPr>
          <w:rFonts w:cs="Arial"/>
          <w:szCs w:val="24"/>
        </w:rPr>
        <w:t xml:space="preserve">31 </w:t>
      </w:r>
      <w:r w:rsidR="008A2727">
        <w:rPr>
          <w:rFonts w:cs="Arial"/>
          <w:szCs w:val="24"/>
        </w:rPr>
        <w:t>March 2022</w:t>
      </w:r>
      <w:r w:rsidR="006A617E" w:rsidRPr="00AF255D">
        <w:rPr>
          <w:rFonts w:cs="Arial"/>
          <w:szCs w:val="24"/>
        </w:rPr>
        <w:t>.</w:t>
      </w:r>
      <w:r w:rsidR="00901CC7" w:rsidRPr="00AF255D">
        <w:rPr>
          <w:rFonts w:cs="Arial"/>
          <w:szCs w:val="24"/>
        </w:rPr>
        <w:t xml:space="preserve"> </w:t>
      </w:r>
      <w:r w:rsidR="00407A34" w:rsidRPr="00AF255D">
        <w:rPr>
          <w:rFonts w:cs="Arial"/>
          <w:szCs w:val="24"/>
        </w:rPr>
        <w:t xml:space="preserve">Every twelve months a Workforce Monitoring Report is presented to </w:t>
      </w:r>
      <w:r w:rsidR="004A69EA" w:rsidRPr="00AF255D">
        <w:rPr>
          <w:rFonts w:cs="Arial"/>
          <w:szCs w:val="24"/>
        </w:rPr>
        <w:t>NHS</w:t>
      </w:r>
      <w:r w:rsidR="00CF0F31" w:rsidRPr="00AF255D">
        <w:rPr>
          <w:rFonts w:cs="Arial"/>
          <w:szCs w:val="24"/>
        </w:rPr>
        <w:t xml:space="preserve"> Golden Jubilee’s (NHS GJ</w:t>
      </w:r>
      <w:r w:rsidR="00234296" w:rsidRPr="00AF255D">
        <w:rPr>
          <w:rFonts w:cs="Arial"/>
          <w:szCs w:val="24"/>
        </w:rPr>
        <w:t xml:space="preserve">) </w:t>
      </w:r>
      <w:r w:rsidR="00407A34" w:rsidRPr="00AF255D">
        <w:rPr>
          <w:rFonts w:cs="Arial"/>
          <w:szCs w:val="24"/>
        </w:rPr>
        <w:t>Senior Management Team and the Board in line with the Equality Act (Specific Duties) (Scotland) Regulations 2012 and the Partnership Information Network (PIN) Policy “</w:t>
      </w:r>
      <w:hyperlink r:id="rId12" w:history="1">
        <w:r w:rsidR="00407A34" w:rsidRPr="00AF255D">
          <w:rPr>
            <w:rStyle w:val="Hyperlink"/>
            <w:rFonts w:cs="Arial"/>
            <w:szCs w:val="24"/>
          </w:rPr>
          <w:t>Embracing Equality, Diversity and Human Rights in NHS Scotland</w:t>
        </w:r>
      </w:hyperlink>
      <w:r w:rsidR="00407A34" w:rsidRPr="00AF255D">
        <w:rPr>
          <w:rFonts w:cs="Arial"/>
          <w:szCs w:val="24"/>
        </w:rPr>
        <w:t>”.</w:t>
      </w:r>
      <w:r w:rsidR="00901CC7" w:rsidRPr="00AF255D">
        <w:rPr>
          <w:rFonts w:cs="Arial"/>
          <w:szCs w:val="24"/>
        </w:rPr>
        <w:t xml:space="preserve"> </w:t>
      </w:r>
      <w:r w:rsidR="00407A34" w:rsidRPr="00AF255D">
        <w:rPr>
          <w:rFonts w:cs="Arial"/>
          <w:szCs w:val="24"/>
        </w:rPr>
        <w:t>The PIN policy supports monitoring of the protected characteristics of sex, age, race, religion and belief, disability, sexual orientation, marriage and civil partnership, gender reassignment, and pregnancy and maternity, as d</w:t>
      </w:r>
      <w:r w:rsidR="00243C01">
        <w:rPr>
          <w:rFonts w:cs="Arial"/>
          <w:szCs w:val="24"/>
        </w:rPr>
        <w:t>efined in the Equality Act,</w:t>
      </w:r>
      <w:r w:rsidR="00BD27E2" w:rsidRPr="00AF255D">
        <w:rPr>
          <w:rFonts w:cs="Arial"/>
          <w:szCs w:val="24"/>
        </w:rPr>
        <w:t xml:space="preserve"> and highlights key findings in relation to these protected characteristics</w:t>
      </w:r>
      <w:r w:rsidR="00C32A13" w:rsidRPr="00AF255D">
        <w:rPr>
          <w:rFonts w:cs="Arial"/>
          <w:szCs w:val="24"/>
        </w:rPr>
        <w:t>.</w:t>
      </w:r>
      <w:r w:rsidR="00901CC7" w:rsidRPr="00AF255D">
        <w:rPr>
          <w:rFonts w:cs="Arial"/>
          <w:szCs w:val="24"/>
        </w:rPr>
        <w:t xml:space="preserve"> </w:t>
      </w:r>
      <w:r w:rsidR="00BD27E2" w:rsidRPr="00AF255D">
        <w:rPr>
          <w:rFonts w:cs="Arial"/>
          <w:szCs w:val="24"/>
        </w:rPr>
        <w:t xml:space="preserve">The report also looks at the effect </w:t>
      </w:r>
      <w:r w:rsidR="00C32A13" w:rsidRPr="00AF255D">
        <w:rPr>
          <w:rFonts w:cs="Arial"/>
          <w:szCs w:val="24"/>
        </w:rPr>
        <w:t>that</w:t>
      </w:r>
      <w:r w:rsidR="00BD27E2" w:rsidRPr="00AF255D">
        <w:rPr>
          <w:rFonts w:cs="Arial"/>
          <w:szCs w:val="24"/>
        </w:rPr>
        <w:t xml:space="preserve"> sickness absence, employee turnover, employee recruitment and work life balance policies have on employees and the service. </w:t>
      </w:r>
    </w:p>
    <w:p w14:paraId="5FB5B261" w14:textId="77777777" w:rsidR="00BD2D87" w:rsidRPr="00AF255D" w:rsidRDefault="00BD2D87" w:rsidP="00AC5B73">
      <w:pPr>
        <w:rPr>
          <w:rFonts w:cs="Arial"/>
          <w:szCs w:val="24"/>
        </w:rPr>
      </w:pPr>
    </w:p>
    <w:p w14:paraId="5889250E" w14:textId="77777777" w:rsidR="00676610" w:rsidRDefault="00407A34" w:rsidP="00AC5B73">
      <w:pPr>
        <w:pStyle w:val="Heading2"/>
      </w:pPr>
      <w:bookmarkStart w:id="5" w:name="_Toc76025077"/>
      <w:bookmarkStart w:id="6" w:name="_Toc108076875"/>
      <w:r w:rsidRPr="00AF255D">
        <w:t>Key Findings</w:t>
      </w:r>
      <w:bookmarkEnd w:id="5"/>
      <w:bookmarkEnd w:id="6"/>
    </w:p>
    <w:p w14:paraId="205F608E" w14:textId="77777777" w:rsidR="00D66CBC" w:rsidRDefault="00D66CBC" w:rsidP="00AC5B73">
      <w:pPr>
        <w:pStyle w:val="Heading3"/>
      </w:pPr>
      <w:bookmarkStart w:id="7" w:name="_Toc76025078"/>
      <w:bookmarkStart w:id="8" w:name="_Toc108076876"/>
      <w:r>
        <w:t>Expanding Workforce</w:t>
      </w:r>
      <w:bookmarkEnd w:id="7"/>
      <w:bookmarkEnd w:id="8"/>
    </w:p>
    <w:p w14:paraId="0607F298" w14:textId="33587595" w:rsidR="00D66CBC" w:rsidRDefault="00D66CBC" w:rsidP="00AC5B73">
      <w:r>
        <w:t xml:space="preserve">The ongoing hospital expansions and our remobilisation efforts post-COVID-19 have contributed to an increase in headcount of </w:t>
      </w:r>
      <w:r w:rsidR="00740980">
        <w:t>62</w:t>
      </w:r>
      <w:r>
        <w:t xml:space="preserve"> when com</w:t>
      </w:r>
      <w:r w:rsidR="00740980">
        <w:t>pared to the previous year (2134</w:t>
      </w:r>
      <w:r>
        <w:t xml:space="preserve"> v </w:t>
      </w:r>
      <w:r w:rsidR="00740980">
        <w:t>2072</w:t>
      </w:r>
      <w:r>
        <w:t>).</w:t>
      </w:r>
    </w:p>
    <w:p w14:paraId="79F25DDF" w14:textId="77777777" w:rsidR="00D66CBC" w:rsidRPr="00D66CBC" w:rsidRDefault="00D66CBC" w:rsidP="00AC5B73">
      <w:pPr>
        <w:pStyle w:val="NoSpacing"/>
      </w:pPr>
    </w:p>
    <w:p w14:paraId="62083E1A" w14:textId="77777777" w:rsidR="007D4F3A" w:rsidRPr="00AF255D" w:rsidRDefault="00BD27E2" w:rsidP="00AC5B73">
      <w:pPr>
        <w:pStyle w:val="Heading3"/>
      </w:pPr>
      <w:bookmarkStart w:id="9" w:name="_Toc76025079"/>
      <w:bookmarkStart w:id="10" w:name="_Toc108076877"/>
      <w:r w:rsidRPr="00AF255D">
        <w:t>Sickness Absence</w:t>
      </w:r>
      <w:bookmarkEnd w:id="9"/>
      <w:bookmarkEnd w:id="10"/>
    </w:p>
    <w:p w14:paraId="714362A7" w14:textId="4998FD34" w:rsidR="008215CA" w:rsidRPr="00AF255D" w:rsidRDefault="00D247EF" w:rsidP="00AC5B73">
      <w:pPr>
        <w:rPr>
          <w:rFonts w:cs="Arial"/>
        </w:rPr>
      </w:pPr>
      <w:r w:rsidRPr="00AF255D">
        <w:rPr>
          <w:rFonts w:cs="Arial"/>
          <w:szCs w:val="24"/>
        </w:rPr>
        <w:t>During the monitored period</w:t>
      </w:r>
      <w:r w:rsidR="00C32A13" w:rsidRPr="00AF255D">
        <w:rPr>
          <w:rFonts w:cs="Arial"/>
          <w:szCs w:val="24"/>
        </w:rPr>
        <w:t xml:space="preserve"> the average sickness absence </w:t>
      </w:r>
      <w:r w:rsidR="00402620">
        <w:rPr>
          <w:rFonts w:cs="Arial"/>
        </w:rPr>
        <w:t>stood at 5.7</w:t>
      </w:r>
      <w:r w:rsidR="008215CA" w:rsidRPr="00AF255D">
        <w:rPr>
          <w:rFonts w:cs="Arial"/>
        </w:rPr>
        <w:t>% of contracted hours. Th</w:t>
      </w:r>
      <w:r w:rsidR="00264EA7">
        <w:rPr>
          <w:rFonts w:cs="Arial"/>
        </w:rPr>
        <w:t xml:space="preserve">is </w:t>
      </w:r>
      <w:r w:rsidR="00402620">
        <w:rPr>
          <w:rFonts w:cs="Arial"/>
        </w:rPr>
        <w:t>is higher than</w:t>
      </w:r>
      <w:r w:rsidR="00264EA7">
        <w:rPr>
          <w:rFonts w:cs="Arial"/>
        </w:rPr>
        <w:t xml:space="preserve"> 2020-2021</w:t>
      </w:r>
      <w:r w:rsidR="008215CA" w:rsidRPr="00AF255D">
        <w:rPr>
          <w:rFonts w:cs="Arial"/>
        </w:rPr>
        <w:t xml:space="preserve">, when it came in </w:t>
      </w:r>
      <w:r w:rsidR="00402620">
        <w:rPr>
          <w:rFonts w:cs="Arial"/>
        </w:rPr>
        <w:t>at 4.4%, and 2019-2020, when it stood at 4.9</w:t>
      </w:r>
      <w:r w:rsidR="008215CA" w:rsidRPr="00AF255D">
        <w:rPr>
          <w:rFonts w:cs="Arial"/>
        </w:rPr>
        <w:t xml:space="preserve">%, </w:t>
      </w:r>
      <w:r w:rsidR="00BB55B6">
        <w:rPr>
          <w:rFonts w:cs="Arial"/>
        </w:rPr>
        <w:t>and is</w:t>
      </w:r>
      <w:r w:rsidR="008215CA" w:rsidRPr="00AF255D">
        <w:rPr>
          <w:rFonts w:cs="Arial"/>
        </w:rPr>
        <w:t xml:space="preserve"> higher than the national target of 4.0%.</w:t>
      </w:r>
      <w:r w:rsidR="00DD3FC6">
        <w:rPr>
          <w:rFonts w:cs="Arial"/>
        </w:rPr>
        <w:t xml:space="preserve"> Of all sickness absence, 6</w:t>
      </w:r>
      <w:r w:rsidR="00F865A8">
        <w:rPr>
          <w:rFonts w:cs="Arial"/>
        </w:rPr>
        <w:t>2.3</w:t>
      </w:r>
      <w:r w:rsidR="00DD3FC6">
        <w:rPr>
          <w:rFonts w:cs="Arial"/>
        </w:rPr>
        <w:t xml:space="preserve">% </w:t>
      </w:r>
      <w:r w:rsidR="00860508">
        <w:rPr>
          <w:rFonts w:cs="Arial"/>
        </w:rPr>
        <w:t xml:space="preserve">came under the Nursing and Midwifery job family, which comprises </w:t>
      </w:r>
      <w:r w:rsidR="009E6E16">
        <w:rPr>
          <w:rFonts w:cs="Arial"/>
        </w:rPr>
        <w:t>43.5</w:t>
      </w:r>
      <w:r w:rsidR="00860508">
        <w:rPr>
          <w:rFonts w:cs="Arial"/>
        </w:rPr>
        <w:t>% of the workforce.</w:t>
      </w:r>
    </w:p>
    <w:p w14:paraId="412CA07F" w14:textId="77777777" w:rsidR="00DD3FC6" w:rsidRPr="00AF255D" w:rsidRDefault="00DD3FC6" w:rsidP="00AC5B73">
      <w:pPr>
        <w:rPr>
          <w:rFonts w:cs="Arial"/>
        </w:rPr>
      </w:pPr>
    </w:p>
    <w:p w14:paraId="6815FD7A" w14:textId="2E1089AA" w:rsidR="00DD3FC6" w:rsidRDefault="001A04B0" w:rsidP="00AC5B73">
      <w:pPr>
        <w:widowControl w:val="0"/>
        <w:autoSpaceDE w:val="0"/>
        <w:autoSpaceDN w:val="0"/>
        <w:adjustRightInd w:val="0"/>
        <w:rPr>
          <w:rFonts w:cs="Arial"/>
          <w:color w:val="1A1A1A"/>
          <w:szCs w:val="24"/>
        </w:rPr>
      </w:pPr>
      <w:r>
        <w:rPr>
          <w:rFonts w:cs="Arial"/>
        </w:rPr>
        <w:t>Between 1 April 2021</w:t>
      </w:r>
      <w:r w:rsidR="008215CA" w:rsidRPr="00AF255D">
        <w:rPr>
          <w:rFonts w:cs="Arial"/>
        </w:rPr>
        <w:t xml:space="preserve"> and 31 March 2</w:t>
      </w:r>
      <w:r>
        <w:rPr>
          <w:rFonts w:cs="Arial"/>
        </w:rPr>
        <w:t>022</w:t>
      </w:r>
      <w:r w:rsidR="008215CA" w:rsidRPr="00AF255D">
        <w:rPr>
          <w:rFonts w:cs="Arial"/>
        </w:rPr>
        <w:t xml:space="preserve"> the main reason for sickness absence, as recorded on SSTS, was “Anxiety/stress/depression/other psychiatric illness”. It acco</w:t>
      </w:r>
      <w:r>
        <w:rPr>
          <w:rFonts w:cs="Arial"/>
        </w:rPr>
        <w:t>unted for 1.5</w:t>
      </w:r>
      <w:r w:rsidR="008215CA" w:rsidRPr="00AF255D">
        <w:rPr>
          <w:rFonts w:cs="Arial"/>
        </w:rPr>
        <w:t xml:space="preserve">% of contracted hours and </w:t>
      </w:r>
      <w:r>
        <w:rPr>
          <w:rFonts w:cs="Arial"/>
        </w:rPr>
        <w:t>27.0</w:t>
      </w:r>
      <w:r w:rsidR="008215CA" w:rsidRPr="00AF255D">
        <w:rPr>
          <w:rFonts w:cs="Arial"/>
        </w:rPr>
        <w:t xml:space="preserve">% of total sickness absence. This is </w:t>
      </w:r>
      <w:r>
        <w:rPr>
          <w:rFonts w:cs="Arial"/>
        </w:rPr>
        <w:t>a decrease</w:t>
      </w:r>
      <w:r w:rsidR="008215CA" w:rsidRPr="00AF255D">
        <w:rPr>
          <w:rFonts w:cs="Arial"/>
        </w:rPr>
        <w:t xml:space="preserve"> on the previous </w:t>
      </w:r>
      <w:r>
        <w:rPr>
          <w:rFonts w:cs="Arial"/>
        </w:rPr>
        <w:t>year</w:t>
      </w:r>
      <w:r w:rsidR="008215CA" w:rsidRPr="00AF255D">
        <w:rPr>
          <w:rFonts w:cs="Arial"/>
        </w:rPr>
        <w:t xml:space="preserve">, when it accounted for </w:t>
      </w:r>
      <w:r>
        <w:rPr>
          <w:rFonts w:cs="Arial"/>
        </w:rPr>
        <w:t>28.8%</w:t>
      </w:r>
      <w:r w:rsidR="008215CA" w:rsidRPr="00AF255D">
        <w:rPr>
          <w:rFonts w:cs="Arial"/>
        </w:rPr>
        <w:t xml:space="preserve"> of all sickness absence. Supporting staff mental health is a key priority</w:t>
      </w:r>
      <w:r w:rsidR="00901CC7" w:rsidRPr="00AF255D">
        <w:rPr>
          <w:rFonts w:cs="Arial"/>
        </w:rPr>
        <w:t>,</w:t>
      </w:r>
      <w:r w:rsidR="008215CA" w:rsidRPr="00AF255D">
        <w:rPr>
          <w:rFonts w:cs="Arial"/>
        </w:rPr>
        <w:t xml:space="preserve"> and our </w:t>
      </w:r>
      <w:hyperlink r:id="rId13" w:history="1">
        <w:r w:rsidR="008215CA" w:rsidRPr="00A803C7">
          <w:rPr>
            <w:rStyle w:val="Hyperlink"/>
            <w:rFonts w:cs="Arial"/>
          </w:rPr>
          <w:t xml:space="preserve">Health and Wellbeing </w:t>
        </w:r>
        <w:r w:rsidR="008215CA" w:rsidRPr="00A803C7">
          <w:rPr>
            <w:rStyle w:val="Hyperlink"/>
            <w:rFonts w:cs="Arial"/>
            <w:szCs w:val="24"/>
          </w:rPr>
          <w:t>Strategy</w:t>
        </w:r>
        <w:r w:rsidR="00A803C7" w:rsidRPr="00A803C7">
          <w:rPr>
            <w:rStyle w:val="Hyperlink"/>
            <w:rFonts w:cs="Arial"/>
            <w:szCs w:val="24"/>
          </w:rPr>
          <w:t xml:space="preserve"> 2020-2023</w:t>
        </w:r>
      </w:hyperlink>
      <w:r w:rsidR="008215CA" w:rsidRPr="00AF255D">
        <w:rPr>
          <w:rFonts w:cs="Arial"/>
          <w:szCs w:val="24"/>
        </w:rPr>
        <w:t xml:space="preserve"> provides </w:t>
      </w:r>
      <w:r w:rsidR="008215CA" w:rsidRPr="00AF255D">
        <w:rPr>
          <w:rFonts w:cs="Arial"/>
          <w:color w:val="1A1A1A"/>
          <w:szCs w:val="24"/>
        </w:rPr>
        <w:t>support to allow people to develop good mental health habits in the same way it promotes the benefits of physical exercise and a balanced diet.</w:t>
      </w:r>
    </w:p>
    <w:p w14:paraId="3D23B310" w14:textId="77777777" w:rsidR="00C32A13" w:rsidRPr="00AF255D" w:rsidRDefault="00C32A13" w:rsidP="00AC5B73"/>
    <w:p w14:paraId="1D995065" w14:textId="77777777" w:rsidR="00C32A13" w:rsidRPr="00AF255D" w:rsidRDefault="003570A3" w:rsidP="00AC5B73">
      <w:pPr>
        <w:pStyle w:val="Heading3"/>
      </w:pPr>
      <w:bookmarkStart w:id="11" w:name="_COVID-19"/>
      <w:bookmarkStart w:id="12" w:name="_Toc76025080"/>
      <w:bookmarkStart w:id="13" w:name="_Toc108076878"/>
      <w:bookmarkEnd w:id="11"/>
      <w:r w:rsidRPr="00AF255D">
        <w:t>COVID-19</w:t>
      </w:r>
      <w:bookmarkEnd w:id="12"/>
      <w:bookmarkEnd w:id="13"/>
    </w:p>
    <w:p w14:paraId="1DADF588" w14:textId="73C9CC09" w:rsidR="003570A3" w:rsidRPr="00AF255D" w:rsidRDefault="00E30F55" w:rsidP="00AC5B73">
      <w:r>
        <w:t>The amount of absence due to the COVID-19 pandemic fell considerably in 2021/2022 when compared to the previous year.</w:t>
      </w:r>
      <w:r w:rsidR="00544D39">
        <w:t xml:space="preserve"> </w:t>
      </w:r>
      <w:r>
        <w:t>The number of hours of special leave taken due to COVID-19 reasons stood at 75404.7 in the period under review, accounting for 2.0% of contracted hours.</w:t>
      </w:r>
      <w:r w:rsidR="00544D39">
        <w:t xml:space="preserve"> </w:t>
      </w:r>
      <w:r>
        <w:t xml:space="preserve">The previous year the rate was 3.1%. </w:t>
      </w:r>
      <w:r w:rsidR="00BC6B75" w:rsidRPr="00AF255D">
        <w:t xml:space="preserve">A </w:t>
      </w:r>
      <w:r w:rsidR="007E1CC6">
        <w:t xml:space="preserve">more </w:t>
      </w:r>
      <w:r w:rsidR="00BC6B75" w:rsidRPr="00AF255D">
        <w:t xml:space="preserve">detailed breakdown of COVID-19 absences is given in </w:t>
      </w:r>
      <w:hyperlink w:anchor="_Special_Leave" w:history="1">
        <w:r w:rsidR="00BC6B75" w:rsidRPr="00AF255D">
          <w:rPr>
            <w:rStyle w:val="Hyperlink"/>
          </w:rPr>
          <w:t>Section 6.1</w:t>
        </w:r>
      </w:hyperlink>
      <w:r w:rsidR="00BC6B75" w:rsidRPr="00AF255D">
        <w:t xml:space="preserve"> of this report.</w:t>
      </w:r>
    </w:p>
    <w:p w14:paraId="23F18C02" w14:textId="77777777" w:rsidR="00BD27E2" w:rsidRPr="00AF255D" w:rsidRDefault="00BD27E2" w:rsidP="00AC5B73"/>
    <w:p w14:paraId="0494FB74" w14:textId="77777777" w:rsidR="00006574" w:rsidRPr="00AF255D" w:rsidRDefault="00006574" w:rsidP="00AC5B73">
      <w:pPr>
        <w:pStyle w:val="Heading3"/>
      </w:pPr>
      <w:bookmarkStart w:id="14" w:name="_Toc76025081"/>
      <w:bookmarkStart w:id="15" w:name="_Toc108076879"/>
      <w:r w:rsidRPr="00AF255D">
        <w:t>Ageing Workforce</w:t>
      </w:r>
      <w:bookmarkEnd w:id="14"/>
      <w:bookmarkEnd w:id="15"/>
    </w:p>
    <w:p w14:paraId="627F32A2" w14:textId="77777777" w:rsidR="00006574" w:rsidRPr="00AF255D" w:rsidRDefault="00451C9E" w:rsidP="00AC5B73">
      <w:r w:rsidRPr="00AF255D">
        <w:t>Our wo</w:t>
      </w:r>
      <w:r w:rsidR="00756AA7" w:rsidRPr="00AF255D">
        <w:t xml:space="preserve">rkforce </w:t>
      </w:r>
      <w:r w:rsidR="0058211A" w:rsidRPr="00AF255D">
        <w:t>continues to get</w:t>
      </w:r>
      <w:r w:rsidR="00756AA7" w:rsidRPr="00AF255D">
        <w:t xml:space="preserve"> older:</w:t>
      </w:r>
    </w:p>
    <w:p w14:paraId="44C6521C" w14:textId="527AA88D" w:rsidR="00756AA7" w:rsidRPr="00AF255D" w:rsidRDefault="00756AA7" w:rsidP="00AC5B73">
      <w:pPr>
        <w:pStyle w:val="ListParagraph"/>
        <w:numPr>
          <w:ilvl w:val="0"/>
          <w:numId w:val="4"/>
        </w:numPr>
      </w:pPr>
      <w:r w:rsidRPr="00AF255D">
        <w:t>the proportion of those aged 50 to 59 has incr</w:t>
      </w:r>
      <w:r w:rsidR="00751A1C" w:rsidRPr="00AF255D">
        <w:t xml:space="preserve">eased from 22.2% in 2012 to </w:t>
      </w:r>
      <w:r w:rsidR="00E30F55">
        <w:t>26.7% in 2022;</w:t>
      </w:r>
    </w:p>
    <w:p w14:paraId="0748CD2C" w14:textId="4967AB31" w:rsidR="00756AA7" w:rsidRPr="00AF255D" w:rsidRDefault="00756AA7" w:rsidP="00AC5B73">
      <w:pPr>
        <w:pStyle w:val="ListParagraph"/>
        <w:numPr>
          <w:ilvl w:val="0"/>
          <w:numId w:val="4"/>
        </w:numPr>
      </w:pPr>
      <w:r w:rsidRPr="00AF255D">
        <w:t xml:space="preserve">the proportion of those working aged over 60 has </w:t>
      </w:r>
      <w:r w:rsidR="00751A1C" w:rsidRPr="00AF255D">
        <w:t>more than</w:t>
      </w:r>
      <w:r w:rsidRPr="00AF255D">
        <w:t xml:space="preserve"> doubled i</w:t>
      </w:r>
      <w:r w:rsidR="00E30F55">
        <w:t>n that time, up from 3.4% to 7.9</w:t>
      </w:r>
      <w:r w:rsidRPr="00AF255D">
        <w:t>%</w:t>
      </w:r>
      <w:r w:rsidR="00A73139" w:rsidRPr="00AF255D">
        <w:t xml:space="preserve"> (up 0.1% in a year)</w:t>
      </w:r>
      <w:r w:rsidRPr="00AF255D">
        <w:t>;</w:t>
      </w:r>
    </w:p>
    <w:p w14:paraId="0EF3D207" w14:textId="2A72EAE0" w:rsidR="00756AA7" w:rsidRPr="00AF255D" w:rsidRDefault="00756AA7" w:rsidP="00AC5B73">
      <w:pPr>
        <w:pStyle w:val="ListParagraph"/>
        <w:numPr>
          <w:ilvl w:val="0"/>
          <w:numId w:val="4"/>
        </w:numPr>
      </w:pPr>
      <w:r w:rsidRPr="00AF255D">
        <w:t xml:space="preserve">the proportion of those in the 30 to 39 age bracket has fallen </w:t>
      </w:r>
      <w:r w:rsidR="0058211A" w:rsidRPr="00AF255D">
        <w:t xml:space="preserve">by just </w:t>
      </w:r>
      <w:r w:rsidR="00E30F55">
        <w:t>under</w:t>
      </w:r>
      <w:r w:rsidR="0058211A" w:rsidRPr="00AF255D">
        <w:t xml:space="preserve"> 5% </w:t>
      </w:r>
      <w:r w:rsidRPr="00AF255D">
        <w:t xml:space="preserve">from 29.6% to </w:t>
      </w:r>
      <w:r w:rsidR="00E30F55">
        <w:t>25.0</w:t>
      </w:r>
      <w:r w:rsidRPr="00AF255D">
        <w:t>%</w:t>
      </w:r>
      <w:r w:rsidR="00E30F55">
        <w:t>.</w:t>
      </w:r>
      <w:r w:rsidR="00544D39">
        <w:t xml:space="preserve"> </w:t>
      </w:r>
      <w:r w:rsidR="00E30F55">
        <w:t>This is an increase of 0.8% on the previous year, when it stood at 24.2%</w:t>
      </w:r>
      <w:r w:rsidRPr="00AF255D">
        <w:t>; and</w:t>
      </w:r>
    </w:p>
    <w:p w14:paraId="3ACCFD22" w14:textId="199CF073" w:rsidR="00756AA7" w:rsidRPr="00AF255D" w:rsidRDefault="00756AA7" w:rsidP="00AC5B73">
      <w:pPr>
        <w:pStyle w:val="ListParagraph"/>
        <w:numPr>
          <w:ilvl w:val="0"/>
          <w:numId w:val="4"/>
        </w:numPr>
      </w:pPr>
      <w:r w:rsidRPr="00AF255D">
        <w:t>the proportion of those in the 40 to 49 age brack</w:t>
      </w:r>
      <w:r w:rsidR="00A73139" w:rsidRPr="00AF255D">
        <w:t xml:space="preserve">et has fallen from 31.6% to </w:t>
      </w:r>
      <w:r w:rsidR="00E30F55">
        <w:t xml:space="preserve">25.5% (down from </w:t>
      </w:r>
      <w:r w:rsidR="00A73139" w:rsidRPr="00AF255D">
        <w:t>26.7</w:t>
      </w:r>
      <w:r w:rsidRPr="00AF255D">
        <w:t>%</w:t>
      </w:r>
      <w:r w:rsidR="00E30F55">
        <w:t xml:space="preserve"> in 2021)</w:t>
      </w:r>
      <w:r w:rsidRPr="00AF255D">
        <w:t>.</w:t>
      </w:r>
    </w:p>
    <w:p w14:paraId="6517C9BB" w14:textId="77777777" w:rsidR="00756AA7" w:rsidRPr="00AF255D" w:rsidRDefault="00756AA7" w:rsidP="00AC5B73"/>
    <w:p w14:paraId="5CA2F69B" w14:textId="0F185B36" w:rsidR="00756AA7" w:rsidRPr="00AF255D" w:rsidRDefault="00756AA7" w:rsidP="00AC5B73">
      <w:r w:rsidRPr="00AF255D">
        <w:t>Some job families are more affected by the a</w:t>
      </w:r>
      <w:r w:rsidR="0058211A" w:rsidRPr="00AF255D">
        <w:t>ge</w:t>
      </w:r>
      <w:r w:rsidR="002866A5">
        <w:t>ing population than others: 48.4</w:t>
      </w:r>
      <w:r w:rsidRPr="00AF255D">
        <w:t xml:space="preserve">% of staff in </w:t>
      </w:r>
      <w:r w:rsidR="0058211A" w:rsidRPr="00AF255D">
        <w:t>Support</w:t>
      </w:r>
      <w:r w:rsidRPr="00AF255D">
        <w:t xml:space="preserve"> Services are aged over 50</w:t>
      </w:r>
      <w:r w:rsidR="002866A5">
        <w:t xml:space="preserve"> (up 0.4% on the previous year)</w:t>
      </w:r>
      <w:r w:rsidRPr="00AF255D">
        <w:t xml:space="preserve">; </w:t>
      </w:r>
      <w:r w:rsidR="0058211A" w:rsidRPr="00AF255D">
        <w:t xml:space="preserve">as are </w:t>
      </w:r>
      <w:r w:rsidR="002866A5">
        <w:t>88</w:t>
      </w:r>
      <w:r w:rsidR="000A707C" w:rsidRPr="00AF255D">
        <w:t>.9% of S</w:t>
      </w:r>
      <w:r w:rsidR="000F2A28" w:rsidRPr="00AF255D">
        <w:t xml:space="preserve">enior </w:t>
      </w:r>
      <w:r w:rsidR="000A707C" w:rsidRPr="00AF255D">
        <w:t>M</w:t>
      </w:r>
      <w:r w:rsidR="000F2A28" w:rsidRPr="00AF255D">
        <w:t>anager</w:t>
      </w:r>
      <w:r w:rsidR="000A707C" w:rsidRPr="00AF255D">
        <w:t>s</w:t>
      </w:r>
      <w:r w:rsidR="000F2A28" w:rsidRPr="00AF255D">
        <w:t xml:space="preserve">; and </w:t>
      </w:r>
      <w:r w:rsidR="002866A5">
        <w:t>41.1</w:t>
      </w:r>
      <w:r w:rsidR="000F2A28" w:rsidRPr="00AF255D">
        <w:t xml:space="preserve">% of those in </w:t>
      </w:r>
      <w:r w:rsidR="0058211A" w:rsidRPr="00AF255D">
        <w:t>Administrative</w:t>
      </w:r>
      <w:r w:rsidR="000F2A28" w:rsidRPr="00AF255D">
        <w:t xml:space="preserve"> Services.</w:t>
      </w:r>
    </w:p>
    <w:p w14:paraId="72DB72D2" w14:textId="77777777" w:rsidR="000F2A28" w:rsidRPr="00AF255D" w:rsidRDefault="000F2A28" w:rsidP="00AC5B73"/>
    <w:p w14:paraId="67D0CC4F" w14:textId="77777777" w:rsidR="000A707C" w:rsidRPr="00AF255D" w:rsidRDefault="000A707C" w:rsidP="00AC5B73">
      <w:pPr>
        <w:widowControl w:val="0"/>
        <w:rPr>
          <w:rFonts w:cs="Arial"/>
        </w:rPr>
      </w:pPr>
      <w:r w:rsidRPr="00AF255D">
        <w:rPr>
          <w:rFonts w:cs="Arial"/>
        </w:rPr>
        <w:t>An understanding of retirement profiles and robust succession planning to ensure sustainability are key workforce priorities.</w:t>
      </w:r>
      <w:r w:rsidR="00AB473A" w:rsidRPr="00AF255D">
        <w:rPr>
          <w:rFonts w:cs="Arial"/>
        </w:rPr>
        <w:t xml:space="preserve"> </w:t>
      </w:r>
      <w:r w:rsidRPr="00AF255D">
        <w:rPr>
          <w:rFonts w:cs="Arial"/>
        </w:rPr>
        <w:t>To overcome the risks posed by an ageing workforce HR works closely with managers to develop an integrated approach to workforce planning.</w:t>
      </w:r>
    </w:p>
    <w:p w14:paraId="503AF3CD" w14:textId="77777777" w:rsidR="000A707C" w:rsidRPr="00AF255D" w:rsidRDefault="000A707C" w:rsidP="00AC5B73">
      <w:pPr>
        <w:widowControl w:val="0"/>
        <w:rPr>
          <w:rFonts w:cs="Arial"/>
        </w:rPr>
      </w:pPr>
    </w:p>
    <w:p w14:paraId="00A7D80B" w14:textId="6172E42C" w:rsidR="000A707C" w:rsidRPr="00AF255D" w:rsidRDefault="000A707C" w:rsidP="00AC5B73">
      <w:pPr>
        <w:widowControl w:val="0"/>
        <w:rPr>
          <w:rFonts w:cs="Arial"/>
        </w:rPr>
      </w:pPr>
      <w:r w:rsidRPr="00AF255D">
        <w:rPr>
          <w:rFonts w:cs="Arial"/>
        </w:rPr>
        <w:t>The current potential retirement profile (those aged 6</w:t>
      </w:r>
      <w:r w:rsidR="002866A5">
        <w:rPr>
          <w:rFonts w:cs="Arial"/>
        </w:rPr>
        <w:t>0 plus) is 7.9</w:t>
      </w:r>
      <w:r w:rsidRPr="00AF255D">
        <w:rPr>
          <w:rFonts w:cs="Arial"/>
        </w:rPr>
        <w:t>% (up 0.1% on</w:t>
      </w:r>
      <w:r w:rsidR="002866A5">
        <w:rPr>
          <w:rFonts w:cs="Arial"/>
        </w:rPr>
        <w:t xml:space="preserve"> the previous year), but by 2027 this would rise to 34.58</w:t>
      </w:r>
      <w:r w:rsidRPr="00AF255D">
        <w:rPr>
          <w:rFonts w:cs="Arial"/>
        </w:rPr>
        <w:t>%.</w:t>
      </w:r>
      <w:r w:rsidR="00AB473A" w:rsidRPr="00AF255D">
        <w:rPr>
          <w:rFonts w:cs="Arial"/>
        </w:rPr>
        <w:t xml:space="preserve"> </w:t>
      </w:r>
      <w:r w:rsidRPr="00AF255D">
        <w:rPr>
          <w:rFonts w:cs="Arial"/>
        </w:rPr>
        <w:t>Over a 5-year period this is a potential significant loss of workforce skills and experience across a wide degree of disciplines.</w:t>
      </w:r>
      <w:r w:rsidR="00AB473A" w:rsidRPr="00AF255D">
        <w:rPr>
          <w:rFonts w:cs="Arial"/>
        </w:rPr>
        <w:t xml:space="preserve"> </w:t>
      </w:r>
      <w:r w:rsidRPr="00AF255D">
        <w:rPr>
          <w:rFonts w:cs="Arial"/>
        </w:rPr>
        <w:t>The biggest area of impact is within Administrative Services and Support Services.</w:t>
      </w:r>
    </w:p>
    <w:p w14:paraId="4217C5EF" w14:textId="77777777" w:rsidR="00234296" w:rsidRPr="00AF255D" w:rsidRDefault="00234296" w:rsidP="00AC5B73"/>
    <w:p w14:paraId="2511348C" w14:textId="77777777" w:rsidR="0091514F" w:rsidRPr="00AF255D" w:rsidRDefault="0091514F" w:rsidP="00AC5B73">
      <w:pPr>
        <w:pStyle w:val="Heading3"/>
      </w:pPr>
      <w:bookmarkStart w:id="16" w:name="_Toc76025082"/>
      <w:bookmarkStart w:id="17" w:name="_Toc108076880"/>
      <w:r w:rsidRPr="00AF255D">
        <w:t xml:space="preserve">Data </w:t>
      </w:r>
      <w:r w:rsidR="00140C70" w:rsidRPr="00AF255D">
        <w:t>Quality</w:t>
      </w:r>
      <w:bookmarkEnd w:id="16"/>
      <w:bookmarkEnd w:id="17"/>
    </w:p>
    <w:p w14:paraId="2019B22F" w14:textId="08B17DAF" w:rsidR="0091514F" w:rsidRDefault="0091514F" w:rsidP="00AC5B73">
      <w:pPr>
        <w:rPr>
          <w:rFonts w:cs="Arial"/>
          <w:szCs w:val="24"/>
        </w:rPr>
      </w:pPr>
      <w:r w:rsidRPr="00AF255D">
        <w:rPr>
          <w:rFonts w:cs="Arial"/>
          <w:szCs w:val="24"/>
        </w:rPr>
        <w:t xml:space="preserve">The quality of information held in relation to the protected characteristics of </w:t>
      </w:r>
      <w:r w:rsidR="00CF0F31" w:rsidRPr="00AF255D">
        <w:rPr>
          <w:rFonts w:cs="Arial"/>
          <w:szCs w:val="24"/>
        </w:rPr>
        <w:t>NHS GJ</w:t>
      </w:r>
      <w:r w:rsidRPr="00AF255D">
        <w:rPr>
          <w:rFonts w:cs="Arial"/>
          <w:szCs w:val="24"/>
        </w:rPr>
        <w:t xml:space="preserve"> employees has improved considerably </w:t>
      </w:r>
      <w:r w:rsidR="00C61403" w:rsidRPr="00AF255D">
        <w:rPr>
          <w:rFonts w:cs="Arial"/>
          <w:szCs w:val="24"/>
        </w:rPr>
        <w:t>since 2013</w:t>
      </w:r>
      <w:r w:rsidRPr="00AF255D">
        <w:rPr>
          <w:rFonts w:cs="Arial"/>
          <w:szCs w:val="24"/>
        </w:rPr>
        <w:t xml:space="preserve">, with a significant decrease in the proportion of staff for whom no information has been provided in regard to the protected characteristics, as can be seen in the </w:t>
      </w:r>
      <w:r w:rsidR="00AB473A" w:rsidRPr="00AF255D">
        <w:rPr>
          <w:rFonts w:cs="Arial"/>
          <w:szCs w:val="24"/>
        </w:rPr>
        <w:t>chart</w:t>
      </w:r>
      <w:r w:rsidRPr="00AF255D">
        <w:rPr>
          <w:rFonts w:cs="Arial"/>
          <w:szCs w:val="24"/>
        </w:rPr>
        <w:t xml:space="preserve"> below.</w:t>
      </w:r>
      <w:r w:rsidR="00901CC7" w:rsidRPr="00AF255D">
        <w:rPr>
          <w:rFonts w:cs="Arial"/>
          <w:szCs w:val="24"/>
        </w:rPr>
        <w:t xml:space="preserve"> </w:t>
      </w:r>
      <w:r w:rsidR="000F5640">
        <w:rPr>
          <w:rFonts w:cs="Arial"/>
          <w:szCs w:val="24"/>
        </w:rPr>
        <w:t xml:space="preserve">Each characteristic shows a slight “wobble” in data quality, associated with the implementation of the </w:t>
      </w:r>
      <w:r w:rsidR="0027651E">
        <w:rPr>
          <w:rFonts w:cs="Arial"/>
          <w:szCs w:val="24"/>
        </w:rPr>
        <w:t xml:space="preserve">HR </w:t>
      </w:r>
      <w:r w:rsidR="00D50A76">
        <w:rPr>
          <w:rFonts w:cs="Arial"/>
          <w:szCs w:val="24"/>
        </w:rPr>
        <w:t>E</w:t>
      </w:r>
      <w:r w:rsidR="0027651E">
        <w:rPr>
          <w:rFonts w:cs="Arial"/>
          <w:szCs w:val="24"/>
        </w:rPr>
        <w:t>lectronic Employee Support System (</w:t>
      </w:r>
      <w:r w:rsidR="000F5640">
        <w:rPr>
          <w:rFonts w:cs="Arial"/>
          <w:szCs w:val="24"/>
        </w:rPr>
        <w:t>eESS</w:t>
      </w:r>
      <w:r w:rsidR="0027651E">
        <w:rPr>
          <w:rFonts w:cs="Arial"/>
          <w:szCs w:val="24"/>
        </w:rPr>
        <w:t>)</w:t>
      </w:r>
      <w:r w:rsidR="000F5640">
        <w:rPr>
          <w:rFonts w:cs="Arial"/>
          <w:szCs w:val="24"/>
        </w:rPr>
        <w:t xml:space="preserve"> in 2018-2019. The most significant of these wobbles was with Disability, </w:t>
      </w:r>
      <w:r w:rsidR="00AB473A" w:rsidRPr="00AF255D">
        <w:rPr>
          <w:rFonts w:cs="Arial"/>
          <w:szCs w:val="24"/>
        </w:rPr>
        <w:t xml:space="preserve">but </w:t>
      </w:r>
      <w:r w:rsidR="000F5640">
        <w:rPr>
          <w:rFonts w:cs="Arial"/>
          <w:szCs w:val="24"/>
        </w:rPr>
        <w:t>the data quality</w:t>
      </w:r>
      <w:r w:rsidR="00AB473A" w:rsidRPr="00AF255D">
        <w:rPr>
          <w:rFonts w:cs="Arial"/>
          <w:szCs w:val="24"/>
        </w:rPr>
        <w:t xml:space="preserve"> is heading in the right direction again</w:t>
      </w:r>
      <w:r w:rsidR="0086735E" w:rsidRPr="00AF255D">
        <w:rPr>
          <w:rFonts w:cs="Arial"/>
          <w:szCs w:val="24"/>
        </w:rPr>
        <w:t>.</w:t>
      </w:r>
    </w:p>
    <w:p w14:paraId="1332C815" w14:textId="57969375" w:rsidR="002866A5" w:rsidRDefault="002866A5" w:rsidP="00AC5B73">
      <w:pPr>
        <w:rPr>
          <w:rFonts w:cs="Arial"/>
          <w:szCs w:val="24"/>
        </w:rPr>
      </w:pPr>
    </w:p>
    <w:p w14:paraId="72A478D8" w14:textId="11522588" w:rsidR="002866A5" w:rsidRDefault="002866A5" w:rsidP="00AC5B73">
      <w:pPr>
        <w:rPr>
          <w:rFonts w:cs="Arial"/>
          <w:szCs w:val="24"/>
        </w:rPr>
      </w:pPr>
      <w:r>
        <w:rPr>
          <w:noProof/>
          <w:lang w:eastAsia="en-GB"/>
        </w:rPr>
        <w:drawing>
          <wp:inline distT="0" distB="0" distL="0" distR="0" wp14:anchorId="04C8E049" wp14:editId="1489E882">
            <wp:extent cx="6840220" cy="214503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776953F" w14:textId="77777777" w:rsidR="006E1D74" w:rsidRPr="00AF255D" w:rsidRDefault="006E1D74" w:rsidP="00AC5B73">
      <w:pPr>
        <w:rPr>
          <w:rFonts w:cs="Arial"/>
          <w:szCs w:val="24"/>
        </w:rPr>
      </w:pPr>
    </w:p>
    <w:p w14:paraId="0F936D75" w14:textId="2909C823" w:rsidR="00F7238B" w:rsidRPr="00AF255D" w:rsidRDefault="00F7238B" w:rsidP="00AC5B73">
      <w:pPr>
        <w:rPr>
          <w:rFonts w:cs="Arial"/>
          <w:szCs w:val="24"/>
        </w:rPr>
      </w:pPr>
      <w:r w:rsidRPr="00AF255D">
        <w:rPr>
          <w:rFonts w:cs="Arial"/>
          <w:szCs w:val="24"/>
        </w:rPr>
        <w:br w:type="page"/>
      </w:r>
    </w:p>
    <w:p w14:paraId="25DAECBC" w14:textId="77777777" w:rsidR="00AE140D" w:rsidRPr="00AF255D" w:rsidRDefault="00AE140D" w:rsidP="00AC5B73">
      <w:pPr>
        <w:pStyle w:val="Heading1"/>
      </w:pPr>
      <w:bookmarkStart w:id="18" w:name="_Toc76025083"/>
      <w:bookmarkStart w:id="19" w:name="_Toc108076881"/>
      <w:r w:rsidRPr="00AF255D">
        <w:lastRenderedPageBreak/>
        <w:t>Current Workforce</w:t>
      </w:r>
      <w:bookmarkEnd w:id="18"/>
      <w:bookmarkEnd w:id="19"/>
    </w:p>
    <w:p w14:paraId="5AB8A9DC" w14:textId="77777777" w:rsidR="0049190C" w:rsidRPr="00AF255D" w:rsidRDefault="0049190C" w:rsidP="00AC5B73">
      <w:pPr>
        <w:rPr>
          <w:rFonts w:cs="Arial"/>
          <w:szCs w:val="24"/>
        </w:rPr>
      </w:pPr>
    </w:p>
    <w:p w14:paraId="79593449" w14:textId="1EA15DE5" w:rsidR="002D6269" w:rsidRDefault="00D736F2" w:rsidP="00AC5B73">
      <w:pPr>
        <w:rPr>
          <w:rFonts w:cs="Arial"/>
          <w:szCs w:val="24"/>
        </w:rPr>
      </w:pPr>
      <w:r w:rsidRPr="00AF255D">
        <w:rPr>
          <w:rFonts w:cs="Arial"/>
          <w:szCs w:val="24"/>
        </w:rPr>
        <w:t xml:space="preserve">As at </w:t>
      </w:r>
      <w:r w:rsidR="00A22DA6" w:rsidRPr="00AF255D">
        <w:rPr>
          <w:rFonts w:cs="Arial"/>
          <w:szCs w:val="24"/>
        </w:rPr>
        <w:t xml:space="preserve">31 </w:t>
      </w:r>
      <w:r w:rsidR="00476FBC" w:rsidRPr="00AF255D">
        <w:rPr>
          <w:rFonts w:cs="Arial"/>
          <w:szCs w:val="24"/>
        </w:rPr>
        <w:t>March 20</w:t>
      </w:r>
      <w:r w:rsidR="00A62FD9">
        <w:rPr>
          <w:rFonts w:cs="Arial"/>
          <w:szCs w:val="24"/>
        </w:rPr>
        <w:t>22</w:t>
      </w:r>
      <w:r w:rsidR="002866A5">
        <w:rPr>
          <w:rFonts w:cs="Arial"/>
          <w:szCs w:val="24"/>
        </w:rPr>
        <w:t xml:space="preserve"> the Board employed 2134</w:t>
      </w:r>
      <w:r w:rsidRPr="00AF255D">
        <w:rPr>
          <w:rFonts w:cs="Arial"/>
          <w:szCs w:val="24"/>
        </w:rPr>
        <w:t xml:space="preserve"> headcount (</w:t>
      </w:r>
      <w:r w:rsidR="00A62FD9">
        <w:rPr>
          <w:rFonts w:cs="Arial"/>
          <w:szCs w:val="24"/>
        </w:rPr>
        <w:t>1937.9</w:t>
      </w:r>
      <w:r w:rsidR="00983D1F" w:rsidRPr="00AF255D">
        <w:rPr>
          <w:rFonts w:cs="Arial"/>
          <w:szCs w:val="24"/>
        </w:rPr>
        <w:t xml:space="preserve"> </w:t>
      </w:r>
      <w:r w:rsidRPr="00AF255D">
        <w:rPr>
          <w:rFonts w:cs="Arial"/>
          <w:szCs w:val="24"/>
        </w:rPr>
        <w:t>WTE) members of staff</w:t>
      </w:r>
      <w:r w:rsidR="0095658E" w:rsidRPr="00AF255D">
        <w:rPr>
          <w:rFonts w:cs="Arial"/>
          <w:szCs w:val="24"/>
        </w:rPr>
        <w:t xml:space="preserve">, excluding </w:t>
      </w:r>
      <w:r w:rsidR="00D508ED" w:rsidRPr="00AF255D">
        <w:rPr>
          <w:rFonts w:cs="Arial"/>
          <w:szCs w:val="24"/>
        </w:rPr>
        <w:t>“B</w:t>
      </w:r>
      <w:r w:rsidR="0095658E" w:rsidRPr="00AF255D">
        <w:rPr>
          <w:rFonts w:cs="Arial"/>
          <w:szCs w:val="24"/>
        </w:rPr>
        <w:t>ank</w:t>
      </w:r>
      <w:r w:rsidR="00D508ED" w:rsidRPr="00AF255D">
        <w:rPr>
          <w:rFonts w:cs="Arial"/>
          <w:szCs w:val="24"/>
        </w:rPr>
        <w:t>”</w:t>
      </w:r>
      <w:r w:rsidR="0095658E" w:rsidRPr="00AF255D">
        <w:rPr>
          <w:rFonts w:cs="Arial"/>
          <w:szCs w:val="24"/>
        </w:rPr>
        <w:t xml:space="preserve"> </w:t>
      </w:r>
      <w:r w:rsidR="00F33C7A" w:rsidRPr="00AF255D">
        <w:rPr>
          <w:rFonts w:cs="Arial"/>
          <w:szCs w:val="24"/>
        </w:rPr>
        <w:t>workers</w:t>
      </w:r>
      <w:r w:rsidR="00AA5466" w:rsidRPr="00AF255D">
        <w:rPr>
          <w:rFonts w:cs="Arial"/>
          <w:szCs w:val="24"/>
        </w:rPr>
        <w:t xml:space="preserve"> and Non-Executive Director posts</w:t>
      </w:r>
      <w:r w:rsidRPr="00AF255D">
        <w:rPr>
          <w:rFonts w:cs="Arial"/>
          <w:szCs w:val="24"/>
        </w:rPr>
        <w:t>.</w:t>
      </w:r>
      <w:r w:rsidR="00901CC7" w:rsidRPr="00AF255D">
        <w:rPr>
          <w:rFonts w:cs="Arial"/>
          <w:szCs w:val="24"/>
        </w:rPr>
        <w:t xml:space="preserve"> </w:t>
      </w:r>
      <w:r w:rsidRPr="00AF255D">
        <w:rPr>
          <w:rFonts w:cs="Arial"/>
          <w:szCs w:val="24"/>
        </w:rPr>
        <w:t xml:space="preserve">The majority of these </w:t>
      </w:r>
      <w:r w:rsidR="00B65EEE" w:rsidRPr="00AF255D">
        <w:rPr>
          <w:rFonts w:cs="Arial"/>
          <w:szCs w:val="24"/>
        </w:rPr>
        <w:t>are</w:t>
      </w:r>
      <w:r w:rsidRPr="00AF255D">
        <w:rPr>
          <w:rFonts w:cs="Arial"/>
          <w:szCs w:val="24"/>
        </w:rPr>
        <w:t xml:space="preserve"> in substantive permanent post</w:t>
      </w:r>
      <w:r w:rsidR="00B20D0D" w:rsidRPr="00AF255D">
        <w:rPr>
          <w:rFonts w:cs="Arial"/>
          <w:szCs w:val="24"/>
        </w:rPr>
        <w:t>s</w:t>
      </w:r>
      <w:r w:rsidRPr="00AF255D">
        <w:rPr>
          <w:rFonts w:cs="Arial"/>
          <w:szCs w:val="24"/>
        </w:rPr>
        <w:t>,</w:t>
      </w:r>
      <w:r w:rsidR="00443E76" w:rsidRPr="00AF255D">
        <w:rPr>
          <w:rFonts w:cs="Arial"/>
          <w:szCs w:val="24"/>
        </w:rPr>
        <w:t xml:space="preserve"> but a small number </w:t>
      </w:r>
      <w:r w:rsidR="00B65EEE" w:rsidRPr="00AF255D">
        <w:rPr>
          <w:rFonts w:cs="Arial"/>
          <w:szCs w:val="24"/>
        </w:rPr>
        <w:t xml:space="preserve">are </w:t>
      </w:r>
      <w:r w:rsidR="00443E76" w:rsidRPr="00AF255D">
        <w:rPr>
          <w:rFonts w:cs="Arial"/>
          <w:szCs w:val="24"/>
        </w:rPr>
        <w:t>in fixed term posts, such as Locum Consultants or Clinical Fellows in the Medical and Dental job fa</w:t>
      </w:r>
      <w:r w:rsidR="00B65EEE" w:rsidRPr="00AF255D">
        <w:rPr>
          <w:rFonts w:cs="Arial"/>
          <w:szCs w:val="24"/>
        </w:rPr>
        <w:t>mily.</w:t>
      </w:r>
      <w:r w:rsidR="00901CC7" w:rsidRPr="00AF255D">
        <w:rPr>
          <w:rFonts w:cs="Arial"/>
          <w:szCs w:val="24"/>
        </w:rPr>
        <w:t xml:space="preserve"> </w:t>
      </w:r>
      <w:r w:rsidR="00B65EEE" w:rsidRPr="00AF255D">
        <w:rPr>
          <w:rFonts w:cs="Arial"/>
          <w:szCs w:val="24"/>
        </w:rPr>
        <w:t>The total number is</w:t>
      </w:r>
      <w:r w:rsidR="00892543" w:rsidRPr="00AF255D">
        <w:rPr>
          <w:rFonts w:cs="Arial"/>
          <w:szCs w:val="24"/>
        </w:rPr>
        <w:t xml:space="preserve"> </w:t>
      </w:r>
      <w:r w:rsidR="009B1395" w:rsidRPr="00AF255D">
        <w:rPr>
          <w:rFonts w:cs="Arial"/>
          <w:szCs w:val="24"/>
        </w:rPr>
        <w:t>an increase</w:t>
      </w:r>
      <w:r w:rsidR="00AA5466" w:rsidRPr="00AF255D">
        <w:rPr>
          <w:rFonts w:cs="Arial"/>
          <w:szCs w:val="24"/>
        </w:rPr>
        <w:t xml:space="preserve"> of </w:t>
      </w:r>
      <w:r w:rsidR="00A62FD9">
        <w:rPr>
          <w:rFonts w:cs="Arial"/>
          <w:szCs w:val="24"/>
        </w:rPr>
        <w:t>62</w:t>
      </w:r>
      <w:r w:rsidR="00E830AA" w:rsidRPr="00AF255D">
        <w:rPr>
          <w:rFonts w:cs="Arial"/>
          <w:szCs w:val="24"/>
        </w:rPr>
        <w:t xml:space="preserve"> in headcount</w:t>
      </w:r>
      <w:r w:rsidR="00DE1799" w:rsidRPr="00AF255D">
        <w:rPr>
          <w:rFonts w:cs="Arial"/>
          <w:szCs w:val="24"/>
        </w:rPr>
        <w:t xml:space="preserve"> </w:t>
      </w:r>
      <w:r w:rsidR="00892543" w:rsidRPr="00AF255D">
        <w:rPr>
          <w:rFonts w:cs="Arial"/>
          <w:szCs w:val="24"/>
        </w:rPr>
        <w:t>on the previous year</w:t>
      </w:r>
      <w:r w:rsidR="009B1395" w:rsidRPr="00AF255D">
        <w:rPr>
          <w:rFonts w:cs="Arial"/>
          <w:szCs w:val="24"/>
        </w:rPr>
        <w:t xml:space="preserve"> (</w:t>
      </w:r>
      <w:r w:rsidR="00A62FD9">
        <w:rPr>
          <w:rFonts w:cs="Arial"/>
          <w:szCs w:val="24"/>
        </w:rPr>
        <w:t>62.2</w:t>
      </w:r>
      <w:r w:rsidR="009B1395" w:rsidRPr="00AF255D">
        <w:rPr>
          <w:rFonts w:cs="Arial"/>
          <w:szCs w:val="24"/>
        </w:rPr>
        <w:t xml:space="preserve"> WTE)</w:t>
      </w:r>
      <w:r w:rsidR="00443E76" w:rsidRPr="00AF255D">
        <w:rPr>
          <w:rFonts w:cs="Arial"/>
          <w:szCs w:val="24"/>
        </w:rPr>
        <w:t>.</w:t>
      </w:r>
      <w:r w:rsidR="00901CC7" w:rsidRPr="00AF255D">
        <w:rPr>
          <w:rFonts w:cs="Arial"/>
          <w:szCs w:val="24"/>
        </w:rPr>
        <w:t xml:space="preserve"> </w:t>
      </w:r>
      <w:r w:rsidR="00443E76" w:rsidRPr="00AF255D">
        <w:rPr>
          <w:rFonts w:cs="Arial"/>
          <w:szCs w:val="24"/>
        </w:rPr>
        <w:t>The chart</w:t>
      </w:r>
      <w:r w:rsidR="00892543" w:rsidRPr="00AF255D">
        <w:rPr>
          <w:rFonts w:cs="Arial"/>
          <w:szCs w:val="24"/>
        </w:rPr>
        <w:t>s</w:t>
      </w:r>
      <w:r w:rsidR="00443E76" w:rsidRPr="00AF255D">
        <w:rPr>
          <w:rFonts w:cs="Arial"/>
          <w:szCs w:val="24"/>
        </w:rPr>
        <w:t xml:space="preserve"> below represent how these </w:t>
      </w:r>
      <w:r w:rsidR="00B86291" w:rsidRPr="00AF255D">
        <w:rPr>
          <w:rFonts w:cs="Arial"/>
          <w:szCs w:val="24"/>
        </w:rPr>
        <w:t>were</w:t>
      </w:r>
      <w:r w:rsidR="00443E76" w:rsidRPr="00AF255D">
        <w:rPr>
          <w:rFonts w:cs="Arial"/>
          <w:szCs w:val="24"/>
        </w:rPr>
        <w:t xml:space="preserve"> split by </w:t>
      </w:r>
      <w:r w:rsidR="00FF07D4" w:rsidRPr="00AF255D">
        <w:rPr>
          <w:rFonts w:cs="Arial"/>
          <w:szCs w:val="24"/>
        </w:rPr>
        <w:t>Directorate</w:t>
      </w:r>
      <w:r w:rsidR="00F01B83" w:rsidRPr="00AF255D">
        <w:rPr>
          <w:rFonts w:cs="Arial"/>
          <w:szCs w:val="24"/>
        </w:rPr>
        <w:t xml:space="preserve"> </w:t>
      </w:r>
      <w:r w:rsidR="00892543" w:rsidRPr="00AF255D">
        <w:rPr>
          <w:rFonts w:cs="Arial"/>
          <w:szCs w:val="24"/>
        </w:rPr>
        <w:t>as at 31</w:t>
      </w:r>
      <w:r w:rsidR="00476FBC" w:rsidRPr="00AF255D">
        <w:rPr>
          <w:rFonts w:cs="Arial"/>
          <w:szCs w:val="24"/>
          <w:vertAlign w:val="superscript"/>
        </w:rPr>
        <w:t xml:space="preserve"> </w:t>
      </w:r>
      <w:r w:rsidR="00476FBC" w:rsidRPr="00AF255D">
        <w:rPr>
          <w:rFonts w:cs="Arial"/>
          <w:szCs w:val="24"/>
        </w:rPr>
        <w:t xml:space="preserve">March </w:t>
      </w:r>
      <w:r w:rsidR="000C0052" w:rsidRPr="00AF255D">
        <w:rPr>
          <w:rFonts w:cs="Arial"/>
          <w:szCs w:val="24"/>
        </w:rPr>
        <w:t>each year</w:t>
      </w:r>
      <w:r w:rsidR="00684C79" w:rsidRPr="00AF255D">
        <w:rPr>
          <w:rFonts w:cs="Arial"/>
          <w:szCs w:val="24"/>
        </w:rPr>
        <w:t>.</w:t>
      </w:r>
    </w:p>
    <w:p w14:paraId="39181368" w14:textId="2C1D74E0" w:rsidR="00A62FD9" w:rsidRDefault="00A62FD9" w:rsidP="00AC5B73">
      <w:pPr>
        <w:rPr>
          <w:rFonts w:cs="Arial"/>
          <w:szCs w:val="24"/>
        </w:rPr>
      </w:pPr>
    </w:p>
    <w:p w14:paraId="01198614" w14:textId="33FC46B6" w:rsidR="00A62FD9" w:rsidRPr="00AF255D" w:rsidRDefault="00A62FD9" w:rsidP="00AC5B73">
      <w:pPr>
        <w:rPr>
          <w:rFonts w:cs="Arial"/>
          <w:szCs w:val="24"/>
        </w:rPr>
      </w:pPr>
      <w:r>
        <w:rPr>
          <w:noProof/>
          <w:lang w:eastAsia="en-GB"/>
        </w:rPr>
        <w:drawing>
          <wp:inline distT="0" distB="0" distL="0" distR="0" wp14:anchorId="7031717B" wp14:editId="5FC52A34">
            <wp:extent cx="6840000" cy="2160000"/>
            <wp:effectExtent l="0" t="0" r="18415" b="12065"/>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11BD596" w14:textId="03190152" w:rsidR="000C0052" w:rsidRPr="00AF255D" w:rsidRDefault="000C0052" w:rsidP="00AC5B73">
      <w:pPr>
        <w:rPr>
          <w:rFonts w:cs="Arial"/>
          <w:szCs w:val="24"/>
        </w:rPr>
      </w:pPr>
    </w:p>
    <w:p w14:paraId="73DD9DA7" w14:textId="0FC8162A" w:rsidR="00802DEE" w:rsidRPr="00AF255D" w:rsidRDefault="00FF07D4" w:rsidP="00AC5B73">
      <w:pPr>
        <w:rPr>
          <w:rFonts w:cs="Arial"/>
          <w:szCs w:val="24"/>
        </w:rPr>
      </w:pPr>
      <w:r w:rsidRPr="00AF255D">
        <w:rPr>
          <w:rFonts w:cs="Arial"/>
          <w:szCs w:val="24"/>
        </w:rPr>
        <w:t>At the e</w:t>
      </w:r>
      <w:r w:rsidR="003C1983">
        <w:rPr>
          <w:rFonts w:cs="Arial"/>
          <w:szCs w:val="24"/>
        </w:rPr>
        <w:t>nd of the period under review 43</w:t>
      </w:r>
      <w:r w:rsidRPr="00AF255D">
        <w:rPr>
          <w:rFonts w:cs="Arial"/>
          <w:szCs w:val="24"/>
        </w:rPr>
        <w:t xml:space="preserve">.5% of the workforce was in the </w:t>
      </w:r>
      <w:r w:rsidR="00802DEE" w:rsidRPr="00AF255D">
        <w:rPr>
          <w:rFonts w:cs="Arial"/>
          <w:szCs w:val="24"/>
        </w:rPr>
        <w:t>Nursing and Midwifery job family</w:t>
      </w:r>
      <w:r w:rsidR="003C1983">
        <w:rPr>
          <w:rFonts w:cs="Arial"/>
          <w:szCs w:val="24"/>
        </w:rPr>
        <w:t xml:space="preserve"> (1.0% lower than the previous year)</w:t>
      </w:r>
      <w:r w:rsidR="00802DEE" w:rsidRPr="00AF255D">
        <w:rPr>
          <w:rFonts w:cs="Arial"/>
          <w:szCs w:val="24"/>
        </w:rPr>
        <w:t>, as can be seen from the table below.</w:t>
      </w:r>
      <w:r w:rsidR="00901CC7" w:rsidRPr="00AF255D">
        <w:rPr>
          <w:rFonts w:cs="Arial"/>
          <w:szCs w:val="24"/>
        </w:rPr>
        <w:t xml:space="preserve"> </w:t>
      </w:r>
      <w:r w:rsidR="00802DEE" w:rsidRPr="00AF255D">
        <w:rPr>
          <w:rFonts w:cs="Arial"/>
          <w:szCs w:val="24"/>
        </w:rPr>
        <w:t xml:space="preserve">The next largest job family, </w:t>
      </w:r>
      <w:r w:rsidR="00813E81" w:rsidRPr="00AF255D">
        <w:rPr>
          <w:rFonts w:cs="Arial"/>
          <w:szCs w:val="24"/>
        </w:rPr>
        <w:t xml:space="preserve">at </w:t>
      </w:r>
      <w:r w:rsidR="003C1983">
        <w:rPr>
          <w:rFonts w:cs="Arial"/>
          <w:szCs w:val="24"/>
        </w:rPr>
        <w:t>20.5</w:t>
      </w:r>
      <w:r w:rsidR="00802DEE" w:rsidRPr="00AF255D">
        <w:rPr>
          <w:rFonts w:cs="Arial"/>
          <w:szCs w:val="24"/>
        </w:rPr>
        <w:t>% was Administrative Services</w:t>
      </w:r>
      <w:r w:rsidR="003C1983">
        <w:rPr>
          <w:rFonts w:cs="Arial"/>
          <w:szCs w:val="24"/>
        </w:rPr>
        <w:t xml:space="preserve"> (1.1% higher than the previous year)</w:t>
      </w:r>
      <w:r w:rsidR="00802DEE" w:rsidRPr="00AF255D">
        <w:rPr>
          <w:rFonts w:cs="Arial"/>
          <w:szCs w:val="24"/>
        </w:rPr>
        <w:t>.</w:t>
      </w:r>
    </w:p>
    <w:p w14:paraId="17F5F86C" w14:textId="77777777" w:rsidR="00802DEE" w:rsidRPr="00AF255D" w:rsidRDefault="00802DEE" w:rsidP="00AC5B73">
      <w:pPr>
        <w:rPr>
          <w:rFonts w:cs="Arial"/>
          <w:szCs w:val="24"/>
        </w:rPr>
      </w:pPr>
    </w:p>
    <w:tbl>
      <w:tblPr>
        <w:tblW w:w="10778" w:type="dxa"/>
        <w:tblInd w:w="103" w:type="dxa"/>
        <w:tblLayout w:type="fixed"/>
        <w:tblLook w:val="04A0" w:firstRow="1" w:lastRow="0" w:firstColumn="1" w:lastColumn="0" w:noHBand="0" w:noVBand="1"/>
      </w:tblPr>
      <w:tblGrid>
        <w:gridCol w:w="3549"/>
        <w:gridCol w:w="1807"/>
        <w:gridCol w:w="1807"/>
        <w:gridCol w:w="1807"/>
        <w:gridCol w:w="1808"/>
      </w:tblGrid>
      <w:tr w:rsidR="006268DB" w:rsidRPr="00AF255D" w14:paraId="77085A90" w14:textId="77777777" w:rsidTr="00F568FA">
        <w:trPr>
          <w:trHeight w:val="300"/>
        </w:trPr>
        <w:tc>
          <w:tcPr>
            <w:tcW w:w="35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7F850" w14:textId="77777777" w:rsidR="006268DB" w:rsidRPr="00AF255D" w:rsidRDefault="006268DB" w:rsidP="00AC5B73">
            <w:pPr>
              <w:rPr>
                <w:rFonts w:cs="Arial"/>
                <w:b/>
                <w:bCs/>
                <w:color w:val="000000"/>
                <w:szCs w:val="24"/>
              </w:rPr>
            </w:pPr>
            <w:r w:rsidRPr="00AF255D">
              <w:rPr>
                <w:rFonts w:cs="Arial"/>
                <w:b/>
                <w:bCs/>
                <w:color w:val="000000"/>
                <w:szCs w:val="24"/>
              </w:rPr>
              <w:t>Job Family</w:t>
            </w:r>
          </w:p>
        </w:tc>
        <w:tc>
          <w:tcPr>
            <w:tcW w:w="1807" w:type="dxa"/>
            <w:tcBorders>
              <w:top w:val="single" w:sz="4" w:space="0" w:color="auto"/>
              <w:left w:val="nil"/>
              <w:bottom w:val="single" w:sz="4" w:space="0" w:color="auto"/>
              <w:right w:val="single" w:sz="4" w:space="0" w:color="auto"/>
            </w:tcBorders>
            <w:shd w:val="clear" w:color="auto" w:fill="auto"/>
            <w:noWrap/>
            <w:vAlign w:val="center"/>
            <w:hideMark/>
          </w:tcPr>
          <w:p w14:paraId="2E0DEDEE" w14:textId="77777777" w:rsidR="006268DB" w:rsidRPr="00AF255D" w:rsidRDefault="006268DB" w:rsidP="00AC5B73">
            <w:pPr>
              <w:rPr>
                <w:rFonts w:cs="Arial"/>
                <w:b/>
                <w:bCs/>
                <w:color w:val="000000"/>
                <w:szCs w:val="24"/>
              </w:rPr>
            </w:pPr>
            <w:r w:rsidRPr="00AF255D">
              <w:rPr>
                <w:rFonts w:cs="Arial"/>
                <w:b/>
                <w:bCs/>
                <w:color w:val="000000"/>
                <w:szCs w:val="24"/>
              </w:rPr>
              <w:t>Headcount</w:t>
            </w:r>
          </w:p>
        </w:tc>
        <w:tc>
          <w:tcPr>
            <w:tcW w:w="1807" w:type="dxa"/>
            <w:tcBorders>
              <w:top w:val="single" w:sz="4" w:space="0" w:color="auto"/>
              <w:left w:val="nil"/>
              <w:bottom w:val="single" w:sz="4" w:space="0" w:color="auto"/>
              <w:right w:val="single" w:sz="4" w:space="0" w:color="auto"/>
            </w:tcBorders>
            <w:shd w:val="clear" w:color="auto" w:fill="auto"/>
            <w:noWrap/>
            <w:vAlign w:val="center"/>
            <w:hideMark/>
          </w:tcPr>
          <w:p w14:paraId="676D8745" w14:textId="77777777" w:rsidR="006268DB" w:rsidRPr="00AF255D" w:rsidRDefault="006268DB" w:rsidP="00AC5B73">
            <w:pPr>
              <w:rPr>
                <w:rFonts w:cs="Arial"/>
                <w:b/>
                <w:bCs/>
                <w:color w:val="000000"/>
                <w:szCs w:val="24"/>
              </w:rPr>
            </w:pPr>
            <w:r w:rsidRPr="00AF255D">
              <w:rPr>
                <w:rFonts w:cs="Arial"/>
                <w:b/>
                <w:bCs/>
                <w:color w:val="000000"/>
                <w:szCs w:val="24"/>
              </w:rPr>
              <w:t>% Headcount</w:t>
            </w:r>
          </w:p>
        </w:tc>
        <w:tc>
          <w:tcPr>
            <w:tcW w:w="1807" w:type="dxa"/>
            <w:tcBorders>
              <w:top w:val="single" w:sz="4" w:space="0" w:color="auto"/>
              <w:left w:val="nil"/>
              <w:bottom w:val="single" w:sz="4" w:space="0" w:color="auto"/>
              <w:right w:val="single" w:sz="4" w:space="0" w:color="auto"/>
            </w:tcBorders>
            <w:shd w:val="clear" w:color="auto" w:fill="auto"/>
            <w:noWrap/>
            <w:vAlign w:val="center"/>
            <w:hideMark/>
          </w:tcPr>
          <w:p w14:paraId="6FEB4AAA" w14:textId="77777777" w:rsidR="006268DB" w:rsidRPr="00AF255D" w:rsidRDefault="006268DB" w:rsidP="00AC5B73">
            <w:pPr>
              <w:rPr>
                <w:rFonts w:cs="Arial"/>
                <w:b/>
                <w:bCs/>
                <w:color w:val="000000"/>
                <w:szCs w:val="24"/>
              </w:rPr>
            </w:pPr>
            <w:r w:rsidRPr="00AF255D">
              <w:rPr>
                <w:rFonts w:cs="Arial"/>
                <w:b/>
                <w:bCs/>
                <w:color w:val="000000"/>
                <w:szCs w:val="24"/>
              </w:rPr>
              <w:t>WTE</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309C4B7A" w14:textId="77777777" w:rsidR="006268DB" w:rsidRPr="00AF255D" w:rsidRDefault="006268DB" w:rsidP="00AC5B73">
            <w:pPr>
              <w:rPr>
                <w:rFonts w:cs="Arial"/>
                <w:b/>
                <w:bCs/>
                <w:color w:val="000000"/>
                <w:szCs w:val="24"/>
              </w:rPr>
            </w:pPr>
            <w:r w:rsidRPr="00AF255D">
              <w:rPr>
                <w:rFonts w:cs="Arial"/>
                <w:b/>
                <w:bCs/>
                <w:color w:val="000000"/>
                <w:szCs w:val="24"/>
              </w:rPr>
              <w:t>% WTE</w:t>
            </w:r>
          </w:p>
        </w:tc>
      </w:tr>
      <w:tr w:rsidR="003C1983" w:rsidRPr="00AF255D" w14:paraId="7F027664"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16873EF3" w14:textId="6A6A3D32" w:rsidR="003C1983" w:rsidRPr="00AF255D" w:rsidRDefault="003C1983" w:rsidP="00AC5B73">
            <w:pPr>
              <w:rPr>
                <w:rFonts w:cs="Arial"/>
                <w:color w:val="000000"/>
              </w:rPr>
            </w:pPr>
            <w:r w:rsidRPr="001425F1">
              <w:t>Nursing and Midwifery</w:t>
            </w:r>
          </w:p>
        </w:tc>
        <w:tc>
          <w:tcPr>
            <w:tcW w:w="1807" w:type="dxa"/>
            <w:tcBorders>
              <w:top w:val="nil"/>
              <w:left w:val="nil"/>
              <w:bottom w:val="single" w:sz="4" w:space="0" w:color="auto"/>
              <w:right w:val="single" w:sz="4" w:space="0" w:color="auto"/>
            </w:tcBorders>
            <w:shd w:val="clear" w:color="auto" w:fill="auto"/>
            <w:noWrap/>
            <w:hideMark/>
          </w:tcPr>
          <w:p w14:paraId="5D86B4D6" w14:textId="266B957A" w:rsidR="003C1983" w:rsidRPr="00AF255D" w:rsidRDefault="003C1983" w:rsidP="00AC5B73">
            <w:pPr>
              <w:jc w:val="right"/>
              <w:rPr>
                <w:rFonts w:cs="Arial"/>
                <w:color w:val="000000"/>
              </w:rPr>
            </w:pPr>
            <w:r w:rsidRPr="001425F1">
              <w:t>929</w:t>
            </w:r>
          </w:p>
        </w:tc>
        <w:tc>
          <w:tcPr>
            <w:tcW w:w="1807" w:type="dxa"/>
            <w:tcBorders>
              <w:top w:val="nil"/>
              <w:left w:val="nil"/>
              <w:bottom w:val="single" w:sz="4" w:space="0" w:color="auto"/>
              <w:right w:val="single" w:sz="4" w:space="0" w:color="auto"/>
            </w:tcBorders>
            <w:shd w:val="clear" w:color="auto" w:fill="auto"/>
            <w:noWrap/>
          </w:tcPr>
          <w:p w14:paraId="13D4574D" w14:textId="066B65B1" w:rsidR="003C1983" w:rsidRPr="00AF255D" w:rsidRDefault="003C1983" w:rsidP="00AC5B73">
            <w:pPr>
              <w:jc w:val="right"/>
              <w:rPr>
                <w:rFonts w:cs="Arial"/>
                <w:color w:val="000000"/>
              </w:rPr>
            </w:pPr>
            <w:r w:rsidRPr="00720129">
              <w:t>43.5%</w:t>
            </w:r>
          </w:p>
        </w:tc>
        <w:tc>
          <w:tcPr>
            <w:tcW w:w="1807" w:type="dxa"/>
            <w:tcBorders>
              <w:top w:val="nil"/>
              <w:left w:val="nil"/>
              <w:bottom w:val="single" w:sz="4" w:space="0" w:color="auto"/>
              <w:right w:val="single" w:sz="4" w:space="0" w:color="auto"/>
            </w:tcBorders>
            <w:shd w:val="clear" w:color="auto" w:fill="auto"/>
            <w:noWrap/>
            <w:hideMark/>
          </w:tcPr>
          <w:p w14:paraId="5425EB7B" w14:textId="7929E3EA" w:rsidR="003C1983" w:rsidRPr="00AF255D" w:rsidRDefault="003C1983" w:rsidP="00AC5B73">
            <w:pPr>
              <w:jc w:val="right"/>
              <w:rPr>
                <w:rFonts w:cs="Arial"/>
                <w:color w:val="000000"/>
              </w:rPr>
            </w:pPr>
            <w:r w:rsidRPr="00E01935">
              <w:t>847.2</w:t>
            </w:r>
          </w:p>
        </w:tc>
        <w:tc>
          <w:tcPr>
            <w:tcW w:w="1808" w:type="dxa"/>
            <w:tcBorders>
              <w:top w:val="nil"/>
              <w:left w:val="nil"/>
              <w:bottom w:val="single" w:sz="4" w:space="0" w:color="auto"/>
              <w:right w:val="single" w:sz="4" w:space="0" w:color="auto"/>
            </w:tcBorders>
            <w:shd w:val="clear" w:color="auto" w:fill="auto"/>
            <w:noWrap/>
            <w:hideMark/>
          </w:tcPr>
          <w:p w14:paraId="4DC7A49A" w14:textId="7D456615" w:rsidR="003C1983" w:rsidRPr="00AF255D" w:rsidRDefault="003C1983" w:rsidP="00AC5B73">
            <w:pPr>
              <w:jc w:val="right"/>
              <w:rPr>
                <w:rFonts w:cs="Arial"/>
                <w:color w:val="000000"/>
              </w:rPr>
            </w:pPr>
            <w:r w:rsidRPr="004015D0">
              <w:t>43.7%</w:t>
            </w:r>
          </w:p>
        </w:tc>
      </w:tr>
      <w:tr w:rsidR="003C1983" w:rsidRPr="00AF255D" w14:paraId="2EE19C23"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1C84E15A" w14:textId="25E5D5BC" w:rsidR="003C1983" w:rsidRPr="00AF255D" w:rsidRDefault="003C1983" w:rsidP="00AC5B73">
            <w:pPr>
              <w:rPr>
                <w:rFonts w:cs="Arial"/>
                <w:color w:val="000000"/>
              </w:rPr>
            </w:pPr>
            <w:r w:rsidRPr="001425F1">
              <w:t>Administrative Services</w:t>
            </w:r>
          </w:p>
        </w:tc>
        <w:tc>
          <w:tcPr>
            <w:tcW w:w="1807" w:type="dxa"/>
            <w:tcBorders>
              <w:top w:val="nil"/>
              <w:left w:val="nil"/>
              <w:bottom w:val="single" w:sz="4" w:space="0" w:color="auto"/>
              <w:right w:val="single" w:sz="4" w:space="0" w:color="auto"/>
            </w:tcBorders>
            <w:shd w:val="clear" w:color="auto" w:fill="auto"/>
            <w:noWrap/>
            <w:hideMark/>
          </w:tcPr>
          <w:p w14:paraId="30C5F976" w14:textId="6B7C19DA" w:rsidR="003C1983" w:rsidRPr="00AF255D" w:rsidRDefault="003C1983" w:rsidP="00AC5B73">
            <w:pPr>
              <w:jc w:val="right"/>
              <w:rPr>
                <w:rFonts w:cs="Arial"/>
                <w:color w:val="000000"/>
              </w:rPr>
            </w:pPr>
            <w:r w:rsidRPr="001425F1">
              <w:t>438</w:t>
            </w:r>
          </w:p>
        </w:tc>
        <w:tc>
          <w:tcPr>
            <w:tcW w:w="1807" w:type="dxa"/>
            <w:tcBorders>
              <w:top w:val="nil"/>
              <w:left w:val="nil"/>
              <w:bottom w:val="single" w:sz="4" w:space="0" w:color="auto"/>
              <w:right w:val="single" w:sz="4" w:space="0" w:color="auto"/>
            </w:tcBorders>
            <w:shd w:val="clear" w:color="auto" w:fill="auto"/>
            <w:noWrap/>
          </w:tcPr>
          <w:p w14:paraId="35FFED73" w14:textId="6128F198" w:rsidR="003C1983" w:rsidRPr="00AF255D" w:rsidRDefault="003C1983" w:rsidP="00AC5B73">
            <w:pPr>
              <w:jc w:val="right"/>
              <w:rPr>
                <w:rFonts w:cs="Arial"/>
                <w:color w:val="000000"/>
              </w:rPr>
            </w:pPr>
            <w:r w:rsidRPr="00720129">
              <w:t>20.5%</w:t>
            </w:r>
          </w:p>
        </w:tc>
        <w:tc>
          <w:tcPr>
            <w:tcW w:w="1807" w:type="dxa"/>
            <w:tcBorders>
              <w:top w:val="nil"/>
              <w:left w:val="nil"/>
              <w:bottom w:val="single" w:sz="4" w:space="0" w:color="auto"/>
              <w:right w:val="single" w:sz="4" w:space="0" w:color="auto"/>
            </w:tcBorders>
            <w:shd w:val="clear" w:color="auto" w:fill="auto"/>
            <w:noWrap/>
            <w:hideMark/>
          </w:tcPr>
          <w:p w14:paraId="3645167E" w14:textId="062178AF" w:rsidR="003C1983" w:rsidRPr="00AF255D" w:rsidRDefault="003C1983" w:rsidP="00AC5B73">
            <w:pPr>
              <w:jc w:val="right"/>
              <w:rPr>
                <w:rFonts w:cs="Arial"/>
                <w:color w:val="000000"/>
              </w:rPr>
            </w:pPr>
            <w:r w:rsidRPr="00E01935">
              <w:t>400.7</w:t>
            </w:r>
          </w:p>
        </w:tc>
        <w:tc>
          <w:tcPr>
            <w:tcW w:w="1808" w:type="dxa"/>
            <w:tcBorders>
              <w:top w:val="nil"/>
              <w:left w:val="nil"/>
              <w:bottom w:val="single" w:sz="4" w:space="0" w:color="auto"/>
              <w:right w:val="single" w:sz="4" w:space="0" w:color="auto"/>
            </w:tcBorders>
            <w:shd w:val="clear" w:color="auto" w:fill="auto"/>
            <w:noWrap/>
            <w:hideMark/>
          </w:tcPr>
          <w:p w14:paraId="137C9EB7" w14:textId="62F32BD7" w:rsidR="003C1983" w:rsidRPr="00AF255D" w:rsidRDefault="003C1983" w:rsidP="00AC5B73">
            <w:pPr>
              <w:jc w:val="right"/>
              <w:rPr>
                <w:rFonts w:cs="Arial"/>
                <w:color w:val="000000"/>
              </w:rPr>
            </w:pPr>
            <w:r w:rsidRPr="004015D0">
              <w:t>20.7%</w:t>
            </w:r>
          </w:p>
        </w:tc>
      </w:tr>
      <w:tr w:rsidR="003C1983" w:rsidRPr="00AF255D" w14:paraId="20F75B0B"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202FB366" w14:textId="20832A1C" w:rsidR="003C1983" w:rsidRPr="00AF255D" w:rsidRDefault="003C1983" w:rsidP="00AC5B73">
            <w:pPr>
              <w:rPr>
                <w:rFonts w:cs="Arial"/>
                <w:color w:val="000000"/>
              </w:rPr>
            </w:pPr>
            <w:r w:rsidRPr="001425F1">
              <w:t>Support Services</w:t>
            </w:r>
          </w:p>
        </w:tc>
        <w:tc>
          <w:tcPr>
            <w:tcW w:w="1807" w:type="dxa"/>
            <w:tcBorders>
              <w:top w:val="nil"/>
              <w:left w:val="nil"/>
              <w:bottom w:val="single" w:sz="4" w:space="0" w:color="auto"/>
              <w:right w:val="single" w:sz="4" w:space="0" w:color="auto"/>
            </w:tcBorders>
            <w:shd w:val="clear" w:color="auto" w:fill="auto"/>
            <w:noWrap/>
            <w:hideMark/>
          </w:tcPr>
          <w:p w14:paraId="61020ADF" w14:textId="0D78A45A" w:rsidR="003C1983" w:rsidRPr="00AF255D" w:rsidRDefault="003C1983" w:rsidP="00AC5B73">
            <w:pPr>
              <w:jc w:val="right"/>
              <w:rPr>
                <w:rFonts w:cs="Arial"/>
                <w:color w:val="000000"/>
              </w:rPr>
            </w:pPr>
            <w:r w:rsidRPr="001425F1">
              <w:t>225</w:t>
            </w:r>
          </w:p>
        </w:tc>
        <w:tc>
          <w:tcPr>
            <w:tcW w:w="1807" w:type="dxa"/>
            <w:tcBorders>
              <w:top w:val="nil"/>
              <w:left w:val="nil"/>
              <w:bottom w:val="single" w:sz="4" w:space="0" w:color="auto"/>
              <w:right w:val="single" w:sz="4" w:space="0" w:color="auto"/>
            </w:tcBorders>
            <w:shd w:val="clear" w:color="auto" w:fill="auto"/>
            <w:noWrap/>
          </w:tcPr>
          <w:p w14:paraId="2667FD68" w14:textId="7AC93A31" w:rsidR="003C1983" w:rsidRPr="00AF255D" w:rsidRDefault="003C1983" w:rsidP="00AC5B73">
            <w:pPr>
              <w:jc w:val="right"/>
              <w:rPr>
                <w:rFonts w:cs="Arial"/>
                <w:color w:val="000000"/>
              </w:rPr>
            </w:pPr>
            <w:r w:rsidRPr="00720129">
              <w:t>10.5%</w:t>
            </w:r>
          </w:p>
        </w:tc>
        <w:tc>
          <w:tcPr>
            <w:tcW w:w="1807" w:type="dxa"/>
            <w:tcBorders>
              <w:top w:val="nil"/>
              <w:left w:val="nil"/>
              <w:bottom w:val="single" w:sz="4" w:space="0" w:color="auto"/>
              <w:right w:val="single" w:sz="4" w:space="0" w:color="auto"/>
            </w:tcBorders>
            <w:shd w:val="clear" w:color="auto" w:fill="auto"/>
            <w:noWrap/>
            <w:hideMark/>
          </w:tcPr>
          <w:p w14:paraId="7E7143F0" w14:textId="4C4040E7" w:rsidR="003C1983" w:rsidRPr="00AF255D" w:rsidRDefault="003C1983" w:rsidP="00AC5B73">
            <w:pPr>
              <w:jc w:val="right"/>
              <w:rPr>
                <w:rFonts w:cs="Arial"/>
                <w:color w:val="000000"/>
              </w:rPr>
            </w:pPr>
            <w:r w:rsidRPr="00E01935">
              <w:t>207.6</w:t>
            </w:r>
          </w:p>
        </w:tc>
        <w:tc>
          <w:tcPr>
            <w:tcW w:w="1808" w:type="dxa"/>
            <w:tcBorders>
              <w:top w:val="nil"/>
              <w:left w:val="nil"/>
              <w:bottom w:val="single" w:sz="4" w:space="0" w:color="auto"/>
              <w:right w:val="single" w:sz="4" w:space="0" w:color="auto"/>
            </w:tcBorders>
            <w:shd w:val="clear" w:color="auto" w:fill="auto"/>
            <w:noWrap/>
            <w:hideMark/>
          </w:tcPr>
          <w:p w14:paraId="5A484120" w14:textId="7C27DE2C" w:rsidR="003C1983" w:rsidRPr="00AF255D" w:rsidRDefault="003C1983" w:rsidP="00AC5B73">
            <w:pPr>
              <w:jc w:val="right"/>
              <w:rPr>
                <w:rFonts w:cs="Arial"/>
                <w:color w:val="000000"/>
              </w:rPr>
            </w:pPr>
            <w:r w:rsidRPr="004015D0">
              <w:t>10.7%</w:t>
            </w:r>
          </w:p>
        </w:tc>
      </w:tr>
      <w:tr w:rsidR="003C1983" w:rsidRPr="00AF255D" w14:paraId="58626887"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4C6C767C" w14:textId="78F8CEF1" w:rsidR="003C1983" w:rsidRPr="00AF255D" w:rsidRDefault="003C1983" w:rsidP="00AC5B73">
            <w:pPr>
              <w:rPr>
                <w:rFonts w:cs="Arial"/>
                <w:color w:val="000000"/>
              </w:rPr>
            </w:pPr>
            <w:r w:rsidRPr="001425F1">
              <w:t>Medical and Dental</w:t>
            </w:r>
          </w:p>
        </w:tc>
        <w:tc>
          <w:tcPr>
            <w:tcW w:w="1807" w:type="dxa"/>
            <w:tcBorders>
              <w:top w:val="nil"/>
              <w:left w:val="nil"/>
              <w:bottom w:val="single" w:sz="4" w:space="0" w:color="auto"/>
              <w:right w:val="single" w:sz="4" w:space="0" w:color="auto"/>
            </w:tcBorders>
            <w:shd w:val="clear" w:color="auto" w:fill="auto"/>
            <w:noWrap/>
            <w:hideMark/>
          </w:tcPr>
          <w:p w14:paraId="780A4371" w14:textId="78B13D74" w:rsidR="003C1983" w:rsidRPr="00AF255D" w:rsidRDefault="003C1983" w:rsidP="00AC5B73">
            <w:pPr>
              <w:jc w:val="right"/>
              <w:rPr>
                <w:rFonts w:cs="Arial"/>
                <w:color w:val="000000"/>
              </w:rPr>
            </w:pPr>
            <w:r w:rsidRPr="001425F1">
              <w:t>152</w:t>
            </w:r>
          </w:p>
        </w:tc>
        <w:tc>
          <w:tcPr>
            <w:tcW w:w="1807" w:type="dxa"/>
            <w:tcBorders>
              <w:top w:val="nil"/>
              <w:left w:val="nil"/>
              <w:bottom w:val="single" w:sz="4" w:space="0" w:color="auto"/>
              <w:right w:val="single" w:sz="4" w:space="0" w:color="auto"/>
            </w:tcBorders>
            <w:shd w:val="clear" w:color="auto" w:fill="auto"/>
            <w:noWrap/>
          </w:tcPr>
          <w:p w14:paraId="3CCA426F" w14:textId="14CA722C" w:rsidR="003C1983" w:rsidRPr="00AF255D" w:rsidRDefault="003C1983" w:rsidP="00AC5B73">
            <w:pPr>
              <w:jc w:val="right"/>
              <w:rPr>
                <w:rFonts w:cs="Arial"/>
                <w:color w:val="000000"/>
              </w:rPr>
            </w:pPr>
            <w:r w:rsidRPr="00720129">
              <w:t>7.1%</w:t>
            </w:r>
          </w:p>
        </w:tc>
        <w:tc>
          <w:tcPr>
            <w:tcW w:w="1807" w:type="dxa"/>
            <w:tcBorders>
              <w:top w:val="nil"/>
              <w:left w:val="nil"/>
              <w:bottom w:val="single" w:sz="4" w:space="0" w:color="auto"/>
              <w:right w:val="single" w:sz="4" w:space="0" w:color="auto"/>
            </w:tcBorders>
            <w:shd w:val="clear" w:color="auto" w:fill="auto"/>
            <w:noWrap/>
            <w:hideMark/>
          </w:tcPr>
          <w:p w14:paraId="366363E2" w14:textId="17EC1AD0" w:rsidR="003C1983" w:rsidRPr="00AF255D" w:rsidRDefault="003C1983" w:rsidP="00AC5B73">
            <w:pPr>
              <w:jc w:val="right"/>
              <w:rPr>
                <w:rFonts w:cs="Arial"/>
                <w:color w:val="000000"/>
              </w:rPr>
            </w:pPr>
            <w:r w:rsidRPr="00E01935">
              <w:t>143.5</w:t>
            </w:r>
          </w:p>
        </w:tc>
        <w:tc>
          <w:tcPr>
            <w:tcW w:w="1808" w:type="dxa"/>
            <w:tcBorders>
              <w:top w:val="nil"/>
              <w:left w:val="nil"/>
              <w:bottom w:val="single" w:sz="4" w:space="0" w:color="auto"/>
              <w:right w:val="single" w:sz="4" w:space="0" w:color="auto"/>
            </w:tcBorders>
            <w:shd w:val="clear" w:color="auto" w:fill="auto"/>
            <w:noWrap/>
            <w:hideMark/>
          </w:tcPr>
          <w:p w14:paraId="1DFB9A7D" w14:textId="2CD16ABE" w:rsidR="003C1983" w:rsidRPr="00AF255D" w:rsidRDefault="003C1983" w:rsidP="00AC5B73">
            <w:pPr>
              <w:jc w:val="right"/>
              <w:rPr>
                <w:rFonts w:cs="Arial"/>
                <w:color w:val="000000"/>
              </w:rPr>
            </w:pPr>
            <w:r w:rsidRPr="004015D0">
              <w:t>7.4%</w:t>
            </w:r>
          </w:p>
        </w:tc>
      </w:tr>
      <w:tr w:rsidR="003C1983" w:rsidRPr="00AF255D" w14:paraId="005A7E2C"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5250E8F2" w14:textId="11275415" w:rsidR="003C1983" w:rsidRPr="00AF255D" w:rsidRDefault="003C1983" w:rsidP="00AC5B73">
            <w:pPr>
              <w:rPr>
                <w:rFonts w:cs="Arial"/>
                <w:color w:val="000000"/>
              </w:rPr>
            </w:pPr>
            <w:r w:rsidRPr="001425F1">
              <w:t>Allied Health Professions</w:t>
            </w:r>
          </w:p>
        </w:tc>
        <w:tc>
          <w:tcPr>
            <w:tcW w:w="1807" w:type="dxa"/>
            <w:tcBorders>
              <w:top w:val="nil"/>
              <w:left w:val="nil"/>
              <w:bottom w:val="single" w:sz="4" w:space="0" w:color="auto"/>
              <w:right w:val="single" w:sz="4" w:space="0" w:color="auto"/>
            </w:tcBorders>
            <w:shd w:val="clear" w:color="auto" w:fill="auto"/>
            <w:noWrap/>
            <w:hideMark/>
          </w:tcPr>
          <w:p w14:paraId="050566F5" w14:textId="5B8144CD" w:rsidR="003C1983" w:rsidRPr="00AF255D" w:rsidRDefault="003C1983" w:rsidP="00AC5B73">
            <w:pPr>
              <w:jc w:val="right"/>
              <w:rPr>
                <w:rFonts w:cs="Arial"/>
                <w:color w:val="000000"/>
              </w:rPr>
            </w:pPr>
            <w:r w:rsidRPr="001425F1">
              <w:t>150</w:t>
            </w:r>
          </w:p>
        </w:tc>
        <w:tc>
          <w:tcPr>
            <w:tcW w:w="1807" w:type="dxa"/>
            <w:tcBorders>
              <w:top w:val="nil"/>
              <w:left w:val="nil"/>
              <w:bottom w:val="single" w:sz="4" w:space="0" w:color="auto"/>
              <w:right w:val="single" w:sz="4" w:space="0" w:color="auto"/>
            </w:tcBorders>
            <w:shd w:val="clear" w:color="auto" w:fill="auto"/>
            <w:noWrap/>
          </w:tcPr>
          <w:p w14:paraId="3B4B6CB7" w14:textId="358ACBF1" w:rsidR="003C1983" w:rsidRPr="00AF255D" w:rsidRDefault="003C1983" w:rsidP="00AC5B73">
            <w:pPr>
              <w:jc w:val="right"/>
              <w:rPr>
                <w:rFonts w:cs="Arial"/>
                <w:color w:val="000000"/>
              </w:rPr>
            </w:pPr>
            <w:r w:rsidRPr="00720129">
              <w:t>7.0%</w:t>
            </w:r>
          </w:p>
        </w:tc>
        <w:tc>
          <w:tcPr>
            <w:tcW w:w="1807" w:type="dxa"/>
            <w:tcBorders>
              <w:top w:val="nil"/>
              <w:left w:val="nil"/>
              <w:bottom w:val="single" w:sz="4" w:space="0" w:color="auto"/>
              <w:right w:val="single" w:sz="4" w:space="0" w:color="auto"/>
            </w:tcBorders>
            <w:shd w:val="clear" w:color="auto" w:fill="auto"/>
            <w:noWrap/>
            <w:hideMark/>
          </w:tcPr>
          <w:p w14:paraId="57968CA9" w14:textId="79886B5D" w:rsidR="003C1983" w:rsidRPr="00AF255D" w:rsidRDefault="003C1983" w:rsidP="00AC5B73">
            <w:pPr>
              <w:jc w:val="right"/>
              <w:rPr>
                <w:rFonts w:cs="Arial"/>
                <w:color w:val="000000"/>
              </w:rPr>
            </w:pPr>
            <w:r w:rsidRPr="00E01935">
              <w:t>129.4</w:t>
            </w:r>
          </w:p>
        </w:tc>
        <w:tc>
          <w:tcPr>
            <w:tcW w:w="1808" w:type="dxa"/>
            <w:tcBorders>
              <w:top w:val="nil"/>
              <w:left w:val="nil"/>
              <w:bottom w:val="single" w:sz="4" w:space="0" w:color="auto"/>
              <w:right w:val="single" w:sz="4" w:space="0" w:color="auto"/>
            </w:tcBorders>
            <w:shd w:val="clear" w:color="auto" w:fill="auto"/>
            <w:noWrap/>
            <w:hideMark/>
          </w:tcPr>
          <w:p w14:paraId="459F039D" w14:textId="6EFD9418" w:rsidR="003C1983" w:rsidRPr="00AF255D" w:rsidRDefault="003C1983" w:rsidP="00AC5B73">
            <w:pPr>
              <w:jc w:val="right"/>
              <w:rPr>
                <w:rFonts w:cs="Arial"/>
                <w:color w:val="000000"/>
              </w:rPr>
            </w:pPr>
            <w:r w:rsidRPr="004015D0">
              <w:t>6.7%</w:t>
            </w:r>
          </w:p>
        </w:tc>
      </w:tr>
      <w:tr w:rsidR="003C1983" w:rsidRPr="00AF255D" w14:paraId="5979F12D"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2AA7132F" w14:textId="03B5C2C4" w:rsidR="003C1983" w:rsidRPr="00AF255D" w:rsidRDefault="003C1983" w:rsidP="00AC5B73">
            <w:pPr>
              <w:rPr>
                <w:rFonts w:cs="Arial"/>
                <w:color w:val="000000"/>
              </w:rPr>
            </w:pPr>
            <w:r w:rsidRPr="001425F1">
              <w:t>Healthcare Sciences</w:t>
            </w:r>
          </w:p>
        </w:tc>
        <w:tc>
          <w:tcPr>
            <w:tcW w:w="1807" w:type="dxa"/>
            <w:tcBorders>
              <w:top w:val="nil"/>
              <w:left w:val="nil"/>
              <w:bottom w:val="single" w:sz="4" w:space="0" w:color="auto"/>
              <w:right w:val="single" w:sz="4" w:space="0" w:color="auto"/>
            </w:tcBorders>
            <w:shd w:val="clear" w:color="auto" w:fill="auto"/>
            <w:noWrap/>
            <w:hideMark/>
          </w:tcPr>
          <w:p w14:paraId="6697CA90" w14:textId="27625E8A" w:rsidR="003C1983" w:rsidRPr="00AF255D" w:rsidRDefault="003C1983" w:rsidP="00AC5B73">
            <w:pPr>
              <w:jc w:val="right"/>
              <w:rPr>
                <w:rFonts w:cs="Arial"/>
                <w:color w:val="000000"/>
              </w:rPr>
            </w:pPr>
            <w:r w:rsidRPr="001425F1">
              <w:t>140</w:t>
            </w:r>
          </w:p>
        </w:tc>
        <w:tc>
          <w:tcPr>
            <w:tcW w:w="1807" w:type="dxa"/>
            <w:tcBorders>
              <w:top w:val="nil"/>
              <w:left w:val="nil"/>
              <w:bottom w:val="single" w:sz="4" w:space="0" w:color="auto"/>
              <w:right w:val="single" w:sz="4" w:space="0" w:color="auto"/>
            </w:tcBorders>
            <w:shd w:val="clear" w:color="auto" w:fill="auto"/>
            <w:noWrap/>
          </w:tcPr>
          <w:p w14:paraId="6842F264" w14:textId="28BE9ABE" w:rsidR="003C1983" w:rsidRPr="00AF255D" w:rsidRDefault="003C1983" w:rsidP="00AC5B73">
            <w:pPr>
              <w:jc w:val="right"/>
              <w:rPr>
                <w:rFonts w:cs="Arial"/>
                <w:color w:val="000000"/>
              </w:rPr>
            </w:pPr>
            <w:r w:rsidRPr="00720129">
              <w:t>6.6%</w:t>
            </w:r>
          </w:p>
        </w:tc>
        <w:tc>
          <w:tcPr>
            <w:tcW w:w="1807" w:type="dxa"/>
            <w:tcBorders>
              <w:top w:val="nil"/>
              <w:left w:val="nil"/>
              <w:bottom w:val="single" w:sz="4" w:space="0" w:color="auto"/>
              <w:right w:val="single" w:sz="4" w:space="0" w:color="auto"/>
            </w:tcBorders>
            <w:shd w:val="clear" w:color="auto" w:fill="auto"/>
            <w:noWrap/>
            <w:hideMark/>
          </w:tcPr>
          <w:p w14:paraId="6B59DEBC" w14:textId="6AA1FC50" w:rsidR="003C1983" w:rsidRPr="00AF255D" w:rsidRDefault="003C1983" w:rsidP="00AC5B73">
            <w:pPr>
              <w:jc w:val="right"/>
              <w:rPr>
                <w:rFonts w:cs="Arial"/>
                <w:color w:val="000000"/>
              </w:rPr>
            </w:pPr>
            <w:r w:rsidRPr="00E01935">
              <w:t>128.9</w:t>
            </w:r>
          </w:p>
        </w:tc>
        <w:tc>
          <w:tcPr>
            <w:tcW w:w="1808" w:type="dxa"/>
            <w:tcBorders>
              <w:top w:val="nil"/>
              <w:left w:val="nil"/>
              <w:bottom w:val="single" w:sz="4" w:space="0" w:color="auto"/>
              <w:right w:val="single" w:sz="4" w:space="0" w:color="auto"/>
            </w:tcBorders>
            <w:shd w:val="clear" w:color="auto" w:fill="auto"/>
            <w:noWrap/>
            <w:hideMark/>
          </w:tcPr>
          <w:p w14:paraId="71C2CE86" w14:textId="483A6807" w:rsidR="003C1983" w:rsidRPr="00AF255D" w:rsidRDefault="003C1983" w:rsidP="00AC5B73">
            <w:pPr>
              <w:jc w:val="right"/>
              <w:rPr>
                <w:rFonts w:cs="Arial"/>
                <w:color w:val="000000"/>
              </w:rPr>
            </w:pPr>
            <w:r w:rsidRPr="004015D0">
              <w:t>6.7%</w:t>
            </w:r>
          </w:p>
        </w:tc>
      </w:tr>
      <w:tr w:rsidR="003C1983" w:rsidRPr="00AF255D" w14:paraId="30785217"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362626FC" w14:textId="6DF4179A" w:rsidR="003C1983" w:rsidRPr="00AF255D" w:rsidRDefault="003C1983" w:rsidP="00AC5B73">
            <w:pPr>
              <w:rPr>
                <w:rFonts w:cs="Arial"/>
                <w:color w:val="000000"/>
              </w:rPr>
            </w:pPr>
            <w:r w:rsidRPr="001425F1">
              <w:t>Other Therapeutic</w:t>
            </w:r>
          </w:p>
        </w:tc>
        <w:tc>
          <w:tcPr>
            <w:tcW w:w="1807" w:type="dxa"/>
            <w:tcBorders>
              <w:top w:val="nil"/>
              <w:left w:val="nil"/>
              <w:bottom w:val="single" w:sz="4" w:space="0" w:color="auto"/>
              <w:right w:val="single" w:sz="4" w:space="0" w:color="auto"/>
            </w:tcBorders>
            <w:shd w:val="clear" w:color="auto" w:fill="auto"/>
            <w:noWrap/>
            <w:hideMark/>
          </w:tcPr>
          <w:p w14:paraId="70B27101" w14:textId="54BBC28D" w:rsidR="003C1983" w:rsidRPr="00AF255D" w:rsidRDefault="003C1983" w:rsidP="00AC5B73">
            <w:pPr>
              <w:jc w:val="right"/>
              <w:rPr>
                <w:rFonts w:cs="Arial"/>
                <w:color w:val="000000"/>
              </w:rPr>
            </w:pPr>
            <w:r w:rsidRPr="001425F1">
              <w:t>63</w:t>
            </w:r>
          </w:p>
        </w:tc>
        <w:tc>
          <w:tcPr>
            <w:tcW w:w="1807" w:type="dxa"/>
            <w:tcBorders>
              <w:top w:val="nil"/>
              <w:left w:val="nil"/>
              <w:bottom w:val="single" w:sz="4" w:space="0" w:color="auto"/>
              <w:right w:val="single" w:sz="4" w:space="0" w:color="auto"/>
            </w:tcBorders>
            <w:shd w:val="clear" w:color="auto" w:fill="auto"/>
            <w:noWrap/>
          </w:tcPr>
          <w:p w14:paraId="08A61CF1" w14:textId="33433BB9" w:rsidR="003C1983" w:rsidRPr="00AF255D" w:rsidRDefault="003C1983" w:rsidP="00AC5B73">
            <w:pPr>
              <w:jc w:val="right"/>
              <w:rPr>
                <w:rFonts w:cs="Arial"/>
                <w:color w:val="000000"/>
              </w:rPr>
            </w:pPr>
            <w:r w:rsidRPr="00720129">
              <w:t>3.0%</w:t>
            </w:r>
          </w:p>
        </w:tc>
        <w:tc>
          <w:tcPr>
            <w:tcW w:w="1807" w:type="dxa"/>
            <w:tcBorders>
              <w:top w:val="nil"/>
              <w:left w:val="nil"/>
              <w:bottom w:val="single" w:sz="4" w:space="0" w:color="auto"/>
              <w:right w:val="single" w:sz="4" w:space="0" w:color="auto"/>
            </w:tcBorders>
            <w:shd w:val="clear" w:color="auto" w:fill="auto"/>
            <w:noWrap/>
            <w:hideMark/>
          </w:tcPr>
          <w:p w14:paraId="67B0FA7A" w14:textId="7C66F92C" w:rsidR="003C1983" w:rsidRPr="00AF255D" w:rsidRDefault="003C1983" w:rsidP="00AC5B73">
            <w:pPr>
              <w:jc w:val="right"/>
              <w:rPr>
                <w:rFonts w:cs="Arial"/>
                <w:color w:val="000000"/>
              </w:rPr>
            </w:pPr>
            <w:r w:rsidRPr="00E01935">
              <w:t>46.9</w:t>
            </w:r>
          </w:p>
        </w:tc>
        <w:tc>
          <w:tcPr>
            <w:tcW w:w="1808" w:type="dxa"/>
            <w:tcBorders>
              <w:top w:val="nil"/>
              <w:left w:val="nil"/>
              <w:bottom w:val="single" w:sz="4" w:space="0" w:color="auto"/>
              <w:right w:val="single" w:sz="4" w:space="0" w:color="auto"/>
            </w:tcBorders>
            <w:shd w:val="clear" w:color="auto" w:fill="auto"/>
            <w:noWrap/>
            <w:hideMark/>
          </w:tcPr>
          <w:p w14:paraId="0B860B9E" w14:textId="392F7DA6" w:rsidR="003C1983" w:rsidRPr="00AF255D" w:rsidRDefault="003C1983" w:rsidP="00AC5B73">
            <w:pPr>
              <w:jc w:val="right"/>
              <w:rPr>
                <w:rFonts w:cs="Arial"/>
                <w:color w:val="000000"/>
              </w:rPr>
            </w:pPr>
            <w:r w:rsidRPr="004015D0">
              <w:t>2.4%</w:t>
            </w:r>
          </w:p>
        </w:tc>
      </w:tr>
      <w:tr w:rsidR="003C1983" w:rsidRPr="00AF255D" w14:paraId="0DF32893"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12F1FDD9" w14:textId="7AD42F82" w:rsidR="003C1983" w:rsidRPr="00AF255D" w:rsidRDefault="003C1983" w:rsidP="00AC5B73">
            <w:pPr>
              <w:rPr>
                <w:rFonts w:cs="Arial"/>
                <w:color w:val="000000"/>
              </w:rPr>
            </w:pPr>
            <w:r w:rsidRPr="001425F1">
              <w:t>Medical Support</w:t>
            </w:r>
          </w:p>
        </w:tc>
        <w:tc>
          <w:tcPr>
            <w:tcW w:w="1807" w:type="dxa"/>
            <w:tcBorders>
              <w:top w:val="nil"/>
              <w:left w:val="nil"/>
              <w:bottom w:val="single" w:sz="4" w:space="0" w:color="auto"/>
              <w:right w:val="single" w:sz="4" w:space="0" w:color="auto"/>
            </w:tcBorders>
            <w:shd w:val="clear" w:color="auto" w:fill="auto"/>
            <w:noWrap/>
            <w:hideMark/>
          </w:tcPr>
          <w:p w14:paraId="68A417DD" w14:textId="1A67F586" w:rsidR="003C1983" w:rsidRPr="00AF255D" w:rsidRDefault="003C1983" w:rsidP="00AC5B73">
            <w:pPr>
              <w:jc w:val="right"/>
              <w:rPr>
                <w:rFonts w:cs="Arial"/>
                <w:color w:val="000000"/>
              </w:rPr>
            </w:pPr>
            <w:r w:rsidRPr="001425F1">
              <w:t>26</w:t>
            </w:r>
          </w:p>
        </w:tc>
        <w:tc>
          <w:tcPr>
            <w:tcW w:w="1807" w:type="dxa"/>
            <w:tcBorders>
              <w:top w:val="nil"/>
              <w:left w:val="nil"/>
              <w:bottom w:val="single" w:sz="4" w:space="0" w:color="auto"/>
              <w:right w:val="single" w:sz="4" w:space="0" w:color="auto"/>
            </w:tcBorders>
            <w:shd w:val="clear" w:color="auto" w:fill="auto"/>
            <w:noWrap/>
          </w:tcPr>
          <w:p w14:paraId="7A3475AA" w14:textId="3556F3BC" w:rsidR="003C1983" w:rsidRPr="00AF255D" w:rsidRDefault="003C1983" w:rsidP="00AC5B73">
            <w:pPr>
              <w:jc w:val="right"/>
              <w:rPr>
                <w:rFonts w:cs="Arial"/>
                <w:color w:val="000000"/>
              </w:rPr>
            </w:pPr>
            <w:r w:rsidRPr="00720129">
              <w:t>1.2%</w:t>
            </w:r>
          </w:p>
        </w:tc>
        <w:tc>
          <w:tcPr>
            <w:tcW w:w="1807" w:type="dxa"/>
            <w:tcBorders>
              <w:top w:val="nil"/>
              <w:left w:val="nil"/>
              <w:bottom w:val="single" w:sz="4" w:space="0" w:color="auto"/>
              <w:right w:val="single" w:sz="4" w:space="0" w:color="auto"/>
            </w:tcBorders>
            <w:shd w:val="clear" w:color="auto" w:fill="auto"/>
            <w:noWrap/>
            <w:hideMark/>
          </w:tcPr>
          <w:p w14:paraId="4992E8AD" w14:textId="53AFF957" w:rsidR="003C1983" w:rsidRPr="00AF255D" w:rsidRDefault="003C1983" w:rsidP="00AC5B73">
            <w:pPr>
              <w:jc w:val="right"/>
              <w:rPr>
                <w:rFonts w:cs="Arial"/>
                <w:color w:val="000000"/>
              </w:rPr>
            </w:pPr>
            <w:r w:rsidRPr="00E01935">
              <w:t>23.2</w:t>
            </w:r>
          </w:p>
        </w:tc>
        <w:tc>
          <w:tcPr>
            <w:tcW w:w="1808" w:type="dxa"/>
            <w:tcBorders>
              <w:top w:val="nil"/>
              <w:left w:val="nil"/>
              <w:bottom w:val="single" w:sz="4" w:space="0" w:color="auto"/>
              <w:right w:val="single" w:sz="4" w:space="0" w:color="auto"/>
            </w:tcBorders>
            <w:shd w:val="clear" w:color="auto" w:fill="auto"/>
            <w:noWrap/>
            <w:hideMark/>
          </w:tcPr>
          <w:p w14:paraId="23F520AC" w14:textId="030F3E43" w:rsidR="003C1983" w:rsidRPr="00AF255D" w:rsidRDefault="003C1983" w:rsidP="00AC5B73">
            <w:pPr>
              <w:jc w:val="right"/>
              <w:rPr>
                <w:rFonts w:cs="Arial"/>
                <w:color w:val="000000"/>
              </w:rPr>
            </w:pPr>
            <w:r w:rsidRPr="004015D0">
              <w:t>1.2%</w:t>
            </w:r>
          </w:p>
        </w:tc>
      </w:tr>
      <w:tr w:rsidR="003C1983" w:rsidRPr="00AF255D" w14:paraId="418E1926"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hideMark/>
          </w:tcPr>
          <w:p w14:paraId="44684AD2" w14:textId="4D7B022C" w:rsidR="003C1983" w:rsidRPr="00AF255D" w:rsidRDefault="003C1983" w:rsidP="00AC5B73">
            <w:pPr>
              <w:rPr>
                <w:rFonts w:cs="Arial"/>
                <w:color w:val="000000"/>
              </w:rPr>
            </w:pPr>
            <w:r w:rsidRPr="001425F1">
              <w:t>Senior Managers</w:t>
            </w:r>
          </w:p>
        </w:tc>
        <w:tc>
          <w:tcPr>
            <w:tcW w:w="1807" w:type="dxa"/>
            <w:tcBorders>
              <w:top w:val="nil"/>
              <w:left w:val="nil"/>
              <w:bottom w:val="single" w:sz="4" w:space="0" w:color="auto"/>
              <w:right w:val="single" w:sz="4" w:space="0" w:color="auto"/>
            </w:tcBorders>
            <w:shd w:val="clear" w:color="auto" w:fill="auto"/>
            <w:noWrap/>
            <w:hideMark/>
          </w:tcPr>
          <w:p w14:paraId="700B35B3" w14:textId="3127BE7D" w:rsidR="003C1983" w:rsidRPr="00AF255D" w:rsidRDefault="003C1983" w:rsidP="00AC5B73">
            <w:pPr>
              <w:jc w:val="right"/>
              <w:rPr>
                <w:rFonts w:cs="Arial"/>
                <w:color w:val="000000"/>
              </w:rPr>
            </w:pPr>
            <w:r w:rsidRPr="001425F1">
              <w:t>9</w:t>
            </w:r>
          </w:p>
        </w:tc>
        <w:tc>
          <w:tcPr>
            <w:tcW w:w="1807" w:type="dxa"/>
            <w:tcBorders>
              <w:top w:val="nil"/>
              <w:left w:val="nil"/>
              <w:bottom w:val="single" w:sz="4" w:space="0" w:color="auto"/>
              <w:right w:val="single" w:sz="4" w:space="0" w:color="auto"/>
            </w:tcBorders>
            <w:shd w:val="clear" w:color="auto" w:fill="auto"/>
            <w:noWrap/>
          </w:tcPr>
          <w:p w14:paraId="791804F1" w14:textId="63D150BB" w:rsidR="003C1983" w:rsidRPr="00AF255D" w:rsidRDefault="003C1983" w:rsidP="00AC5B73">
            <w:pPr>
              <w:jc w:val="right"/>
              <w:rPr>
                <w:rFonts w:cs="Arial"/>
                <w:color w:val="000000"/>
              </w:rPr>
            </w:pPr>
            <w:r w:rsidRPr="00720129">
              <w:t>0.4%</w:t>
            </w:r>
          </w:p>
        </w:tc>
        <w:tc>
          <w:tcPr>
            <w:tcW w:w="1807" w:type="dxa"/>
            <w:tcBorders>
              <w:top w:val="nil"/>
              <w:left w:val="nil"/>
              <w:bottom w:val="single" w:sz="4" w:space="0" w:color="auto"/>
              <w:right w:val="single" w:sz="4" w:space="0" w:color="auto"/>
            </w:tcBorders>
            <w:shd w:val="clear" w:color="auto" w:fill="auto"/>
            <w:noWrap/>
            <w:hideMark/>
          </w:tcPr>
          <w:p w14:paraId="29828791" w14:textId="311A4BE4" w:rsidR="003C1983" w:rsidRPr="00AF255D" w:rsidRDefault="003C1983" w:rsidP="00AC5B73">
            <w:pPr>
              <w:jc w:val="right"/>
              <w:rPr>
                <w:rFonts w:cs="Arial"/>
                <w:color w:val="000000"/>
              </w:rPr>
            </w:pPr>
            <w:r w:rsidRPr="00E01935">
              <w:t>8.4</w:t>
            </w:r>
          </w:p>
        </w:tc>
        <w:tc>
          <w:tcPr>
            <w:tcW w:w="1808" w:type="dxa"/>
            <w:tcBorders>
              <w:top w:val="nil"/>
              <w:left w:val="nil"/>
              <w:bottom w:val="single" w:sz="4" w:space="0" w:color="auto"/>
              <w:right w:val="single" w:sz="4" w:space="0" w:color="auto"/>
            </w:tcBorders>
            <w:shd w:val="clear" w:color="auto" w:fill="auto"/>
            <w:noWrap/>
            <w:hideMark/>
          </w:tcPr>
          <w:p w14:paraId="0F977C74" w14:textId="7DF224CF" w:rsidR="003C1983" w:rsidRPr="00AF255D" w:rsidRDefault="003C1983" w:rsidP="00AC5B73">
            <w:pPr>
              <w:jc w:val="right"/>
              <w:rPr>
                <w:rFonts w:cs="Arial"/>
                <w:color w:val="000000"/>
              </w:rPr>
            </w:pPr>
            <w:r w:rsidRPr="004015D0">
              <w:t>0.4%</w:t>
            </w:r>
          </w:p>
        </w:tc>
      </w:tr>
      <w:tr w:rsidR="003C1983" w:rsidRPr="00AF255D" w14:paraId="6CFEE9BC" w14:textId="77777777" w:rsidTr="00147011">
        <w:trPr>
          <w:trHeight w:val="300"/>
        </w:trPr>
        <w:tc>
          <w:tcPr>
            <w:tcW w:w="3549" w:type="dxa"/>
            <w:tcBorders>
              <w:top w:val="nil"/>
              <w:left w:val="single" w:sz="4" w:space="0" w:color="auto"/>
              <w:bottom w:val="single" w:sz="4" w:space="0" w:color="auto"/>
              <w:right w:val="single" w:sz="4" w:space="0" w:color="auto"/>
            </w:tcBorders>
            <w:shd w:val="clear" w:color="auto" w:fill="auto"/>
            <w:noWrap/>
          </w:tcPr>
          <w:p w14:paraId="684C0D95" w14:textId="77EA98BB" w:rsidR="003C1983" w:rsidRPr="00AF255D" w:rsidRDefault="003C1983" w:rsidP="00AC5B73">
            <w:pPr>
              <w:rPr>
                <w:rFonts w:cs="Arial"/>
                <w:color w:val="000000"/>
              </w:rPr>
            </w:pPr>
            <w:r w:rsidRPr="001425F1">
              <w:t>Personal and Social Care</w:t>
            </w:r>
          </w:p>
        </w:tc>
        <w:tc>
          <w:tcPr>
            <w:tcW w:w="1807" w:type="dxa"/>
            <w:tcBorders>
              <w:top w:val="nil"/>
              <w:left w:val="nil"/>
              <w:bottom w:val="single" w:sz="4" w:space="0" w:color="auto"/>
              <w:right w:val="single" w:sz="4" w:space="0" w:color="auto"/>
            </w:tcBorders>
            <w:shd w:val="clear" w:color="auto" w:fill="auto"/>
            <w:noWrap/>
          </w:tcPr>
          <w:p w14:paraId="48B1FD72" w14:textId="7AACF34E" w:rsidR="003C1983" w:rsidRPr="00AF255D" w:rsidRDefault="003C1983" w:rsidP="00AC5B73">
            <w:pPr>
              <w:jc w:val="right"/>
              <w:rPr>
                <w:rFonts w:cs="Arial"/>
                <w:color w:val="000000"/>
              </w:rPr>
            </w:pPr>
            <w:r w:rsidRPr="001425F1">
              <w:t>2</w:t>
            </w:r>
          </w:p>
        </w:tc>
        <w:tc>
          <w:tcPr>
            <w:tcW w:w="1807" w:type="dxa"/>
            <w:tcBorders>
              <w:top w:val="nil"/>
              <w:left w:val="nil"/>
              <w:bottom w:val="single" w:sz="4" w:space="0" w:color="auto"/>
              <w:right w:val="single" w:sz="4" w:space="0" w:color="auto"/>
            </w:tcBorders>
            <w:shd w:val="clear" w:color="auto" w:fill="auto"/>
            <w:noWrap/>
          </w:tcPr>
          <w:p w14:paraId="6F54E2F7" w14:textId="7013032D" w:rsidR="003C1983" w:rsidRPr="00AF255D" w:rsidRDefault="003C1983" w:rsidP="00AC5B73">
            <w:pPr>
              <w:jc w:val="right"/>
              <w:rPr>
                <w:rFonts w:cs="Arial"/>
                <w:color w:val="000000"/>
              </w:rPr>
            </w:pPr>
            <w:r w:rsidRPr="00720129">
              <w:t>0.1%</w:t>
            </w:r>
          </w:p>
        </w:tc>
        <w:tc>
          <w:tcPr>
            <w:tcW w:w="1807" w:type="dxa"/>
            <w:tcBorders>
              <w:top w:val="nil"/>
              <w:left w:val="nil"/>
              <w:bottom w:val="single" w:sz="4" w:space="0" w:color="auto"/>
              <w:right w:val="single" w:sz="4" w:space="0" w:color="auto"/>
            </w:tcBorders>
            <w:shd w:val="clear" w:color="auto" w:fill="auto"/>
            <w:noWrap/>
          </w:tcPr>
          <w:p w14:paraId="269414CB" w14:textId="5FAC01C0" w:rsidR="003C1983" w:rsidRPr="00AF255D" w:rsidRDefault="003C1983" w:rsidP="00AC5B73">
            <w:pPr>
              <w:jc w:val="right"/>
              <w:rPr>
                <w:rFonts w:cs="Arial"/>
                <w:color w:val="000000"/>
              </w:rPr>
            </w:pPr>
            <w:r w:rsidRPr="00E01935">
              <w:t>2.0</w:t>
            </w:r>
          </w:p>
        </w:tc>
        <w:tc>
          <w:tcPr>
            <w:tcW w:w="1808" w:type="dxa"/>
            <w:tcBorders>
              <w:top w:val="nil"/>
              <w:left w:val="nil"/>
              <w:bottom w:val="single" w:sz="4" w:space="0" w:color="auto"/>
              <w:right w:val="single" w:sz="4" w:space="0" w:color="auto"/>
            </w:tcBorders>
            <w:shd w:val="clear" w:color="auto" w:fill="auto"/>
            <w:noWrap/>
          </w:tcPr>
          <w:p w14:paraId="19EE7B5A" w14:textId="5FC3DC63" w:rsidR="003C1983" w:rsidRPr="00AF255D" w:rsidRDefault="003C1983" w:rsidP="00AC5B73">
            <w:pPr>
              <w:jc w:val="right"/>
              <w:rPr>
                <w:rFonts w:cs="Arial"/>
                <w:color w:val="000000"/>
              </w:rPr>
            </w:pPr>
            <w:r w:rsidRPr="004015D0">
              <w:t>0.1%</w:t>
            </w:r>
          </w:p>
        </w:tc>
      </w:tr>
      <w:tr w:rsidR="00813E81" w:rsidRPr="00AF255D" w14:paraId="18F1DF39" w14:textId="77777777" w:rsidTr="00B04A6E">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14:paraId="0367AAB0" w14:textId="77777777" w:rsidR="00813E81" w:rsidRPr="00AF255D" w:rsidRDefault="00813E81" w:rsidP="00AC5B73">
            <w:pPr>
              <w:rPr>
                <w:rFonts w:cs="Arial"/>
                <w:b/>
                <w:bCs/>
                <w:color w:val="000000"/>
                <w:szCs w:val="24"/>
              </w:rPr>
            </w:pPr>
            <w:r w:rsidRPr="00AF255D">
              <w:rPr>
                <w:rFonts w:cs="Arial"/>
                <w:b/>
                <w:bCs/>
                <w:color w:val="000000"/>
                <w:szCs w:val="24"/>
              </w:rPr>
              <w:t>Total</w:t>
            </w:r>
          </w:p>
        </w:tc>
        <w:tc>
          <w:tcPr>
            <w:tcW w:w="1807" w:type="dxa"/>
            <w:tcBorders>
              <w:top w:val="nil"/>
              <w:left w:val="nil"/>
              <w:bottom w:val="single" w:sz="4" w:space="0" w:color="auto"/>
              <w:right w:val="single" w:sz="4" w:space="0" w:color="auto"/>
            </w:tcBorders>
            <w:shd w:val="clear" w:color="auto" w:fill="auto"/>
            <w:noWrap/>
            <w:vAlign w:val="bottom"/>
            <w:hideMark/>
          </w:tcPr>
          <w:p w14:paraId="3B0BDA49" w14:textId="77777777" w:rsidR="00813E81" w:rsidRPr="00AF255D" w:rsidRDefault="00813E81" w:rsidP="00AC5B73">
            <w:pPr>
              <w:jc w:val="right"/>
              <w:rPr>
                <w:rFonts w:cs="Arial"/>
                <w:b/>
                <w:bCs/>
                <w:color w:val="000000"/>
              </w:rPr>
            </w:pPr>
            <w:r w:rsidRPr="00AF255D">
              <w:rPr>
                <w:rFonts w:cs="Arial"/>
                <w:b/>
                <w:bCs/>
                <w:color w:val="000000"/>
              </w:rPr>
              <w:t>2072</w:t>
            </w:r>
          </w:p>
        </w:tc>
        <w:tc>
          <w:tcPr>
            <w:tcW w:w="1807" w:type="dxa"/>
            <w:tcBorders>
              <w:top w:val="nil"/>
              <w:left w:val="nil"/>
              <w:bottom w:val="single" w:sz="4" w:space="0" w:color="auto"/>
              <w:right w:val="single" w:sz="4" w:space="0" w:color="auto"/>
            </w:tcBorders>
            <w:shd w:val="clear" w:color="auto" w:fill="auto"/>
            <w:noWrap/>
            <w:vAlign w:val="bottom"/>
            <w:hideMark/>
          </w:tcPr>
          <w:p w14:paraId="50C1ECC6" w14:textId="77777777" w:rsidR="00813E81" w:rsidRPr="00AF255D" w:rsidRDefault="00813E81" w:rsidP="00AC5B73">
            <w:pPr>
              <w:jc w:val="right"/>
              <w:rPr>
                <w:rFonts w:cs="Arial"/>
                <w:b/>
                <w:bCs/>
                <w:color w:val="000000"/>
              </w:rPr>
            </w:pPr>
            <w:r w:rsidRPr="00AF255D">
              <w:rPr>
                <w:rFonts w:cs="Arial"/>
                <w:b/>
                <w:bCs/>
                <w:color w:val="000000"/>
              </w:rPr>
              <w:t>100.0%</w:t>
            </w:r>
          </w:p>
        </w:tc>
        <w:tc>
          <w:tcPr>
            <w:tcW w:w="1807" w:type="dxa"/>
            <w:tcBorders>
              <w:top w:val="nil"/>
              <w:left w:val="nil"/>
              <w:bottom w:val="single" w:sz="4" w:space="0" w:color="auto"/>
              <w:right w:val="single" w:sz="4" w:space="0" w:color="auto"/>
            </w:tcBorders>
            <w:shd w:val="clear" w:color="auto" w:fill="auto"/>
            <w:noWrap/>
            <w:vAlign w:val="bottom"/>
            <w:hideMark/>
          </w:tcPr>
          <w:p w14:paraId="3AA541FF" w14:textId="77777777" w:rsidR="00813E81" w:rsidRPr="00AF255D" w:rsidRDefault="00813E81" w:rsidP="00AC5B73">
            <w:pPr>
              <w:jc w:val="right"/>
              <w:rPr>
                <w:rFonts w:cs="Arial"/>
                <w:b/>
                <w:bCs/>
                <w:color w:val="000000"/>
              </w:rPr>
            </w:pPr>
            <w:r w:rsidRPr="00AF255D">
              <w:rPr>
                <w:rFonts w:cs="Arial"/>
                <w:b/>
                <w:bCs/>
                <w:color w:val="000000"/>
              </w:rPr>
              <w:t>1875.7</w:t>
            </w:r>
          </w:p>
        </w:tc>
        <w:tc>
          <w:tcPr>
            <w:tcW w:w="1808" w:type="dxa"/>
            <w:tcBorders>
              <w:top w:val="nil"/>
              <w:left w:val="nil"/>
              <w:bottom w:val="single" w:sz="4" w:space="0" w:color="auto"/>
              <w:right w:val="single" w:sz="4" w:space="0" w:color="auto"/>
            </w:tcBorders>
            <w:shd w:val="clear" w:color="auto" w:fill="auto"/>
            <w:noWrap/>
            <w:vAlign w:val="bottom"/>
            <w:hideMark/>
          </w:tcPr>
          <w:p w14:paraId="70E193D9" w14:textId="77777777" w:rsidR="00813E81" w:rsidRPr="00AF255D" w:rsidRDefault="00813E81" w:rsidP="00AC5B73">
            <w:pPr>
              <w:jc w:val="right"/>
              <w:rPr>
                <w:rFonts w:cs="Arial"/>
                <w:b/>
                <w:bCs/>
                <w:color w:val="000000"/>
              </w:rPr>
            </w:pPr>
            <w:r w:rsidRPr="00AF255D">
              <w:rPr>
                <w:rFonts w:cs="Arial"/>
                <w:b/>
                <w:bCs/>
                <w:color w:val="000000"/>
              </w:rPr>
              <w:t>100.0%</w:t>
            </w:r>
          </w:p>
        </w:tc>
      </w:tr>
    </w:tbl>
    <w:p w14:paraId="120D5D0F" w14:textId="77777777" w:rsidR="00802DEE" w:rsidRPr="00AF255D" w:rsidRDefault="00802DEE" w:rsidP="00AC5B73">
      <w:pPr>
        <w:rPr>
          <w:rFonts w:cs="Arial"/>
          <w:szCs w:val="24"/>
        </w:rPr>
      </w:pPr>
    </w:p>
    <w:p w14:paraId="25B7C9A4" w14:textId="2AF15BC1" w:rsidR="00AF1898" w:rsidRPr="00F825B7" w:rsidRDefault="002D6269" w:rsidP="00AC5B73">
      <w:pPr>
        <w:rPr>
          <w:rFonts w:eastAsiaTheme="majorEastAsia" w:cs="Arial"/>
          <w:b/>
          <w:bCs/>
          <w:szCs w:val="24"/>
        </w:rPr>
      </w:pPr>
      <w:r w:rsidRPr="00AF255D">
        <w:rPr>
          <w:rFonts w:cs="Arial"/>
          <w:szCs w:val="24"/>
        </w:rPr>
        <w:t xml:space="preserve">As well as substantive and fixed term members of staff the Board also uses “Bank” </w:t>
      </w:r>
      <w:r w:rsidR="009A2FFF" w:rsidRPr="00AF255D">
        <w:rPr>
          <w:rFonts w:cs="Arial"/>
          <w:szCs w:val="24"/>
        </w:rPr>
        <w:t>workers</w:t>
      </w:r>
      <w:r w:rsidRPr="00AF255D">
        <w:rPr>
          <w:rFonts w:cs="Arial"/>
          <w:szCs w:val="24"/>
        </w:rPr>
        <w:t>, which provides flexibility to increase staff over and above its core staff cohort at busier times and to cover unexpected absences, such as sick leave.</w:t>
      </w:r>
      <w:r w:rsidR="00901CC7" w:rsidRPr="00AF255D">
        <w:rPr>
          <w:rFonts w:cs="Arial"/>
          <w:szCs w:val="24"/>
        </w:rPr>
        <w:t xml:space="preserve"> </w:t>
      </w:r>
      <w:r w:rsidRPr="00AF255D">
        <w:rPr>
          <w:rFonts w:cs="Arial"/>
          <w:szCs w:val="24"/>
        </w:rPr>
        <w:t xml:space="preserve">As at </w:t>
      </w:r>
      <w:r w:rsidR="00813E81" w:rsidRPr="00AF255D">
        <w:rPr>
          <w:rFonts w:cs="Arial"/>
          <w:szCs w:val="24"/>
        </w:rPr>
        <w:t>31 March 202</w:t>
      </w:r>
      <w:r w:rsidR="003C1983">
        <w:rPr>
          <w:rFonts w:cs="Arial"/>
          <w:szCs w:val="24"/>
        </w:rPr>
        <w:t>2 there were 803</w:t>
      </w:r>
      <w:r w:rsidR="00B86291" w:rsidRPr="00AF255D">
        <w:rPr>
          <w:rFonts w:cs="Arial"/>
          <w:szCs w:val="24"/>
        </w:rPr>
        <w:t xml:space="preserve"> bank </w:t>
      </w:r>
      <w:r w:rsidR="009A2FFF" w:rsidRPr="00AF255D">
        <w:rPr>
          <w:rFonts w:cs="Arial"/>
          <w:szCs w:val="24"/>
        </w:rPr>
        <w:t>workers</w:t>
      </w:r>
      <w:r w:rsidR="00B86291" w:rsidRPr="00AF255D">
        <w:rPr>
          <w:rFonts w:cs="Arial"/>
          <w:szCs w:val="24"/>
        </w:rPr>
        <w:t xml:space="preserve"> providing the</w:t>
      </w:r>
      <w:r w:rsidR="00DF7892" w:rsidRPr="00AF255D">
        <w:rPr>
          <w:rFonts w:cs="Arial"/>
          <w:szCs w:val="24"/>
        </w:rPr>
        <w:t xml:space="preserve"> </w:t>
      </w:r>
      <w:r w:rsidR="00A22DA6" w:rsidRPr="00AF255D">
        <w:rPr>
          <w:rFonts w:cs="Arial"/>
          <w:szCs w:val="24"/>
        </w:rPr>
        <w:t xml:space="preserve">Board with service, of which </w:t>
      </w:r>
      <w:r w:rsidR="003C1983">
        <w:rPr>
          <w:rFonts w:cs="Arial"/>
          <w:szCs w:val="24"/>
        </w:rPr>
        <w:t>609</w:t>
      </w:r>
      <w:r w:rsidR="00B86291" w:rsidRPr="00AF255D">
        <w:rPr>
          <w:rFonts w:cs="Arial"/>
          <w:szCs w:val="24"/>
        </w:rPr>
        <w:t xml:space="preserve"> ca</w:t>
      </w:r>
      <w:r w:rsidR="00EC453A" w:rsidRPr="00AF255D">
        <w:rPr>
          <w:rFonts w:cs="Arial"/>
          <w:szCs w:val="24"/>
        </w:rPr>
        <w:t>m</w:t>
      </w:r>
      <w:r w:rsidR="000E4E2A" w:rsidRPr="00AF255D">
        <w:rPr>
          <w:rFonts w:cs="Arial"/>
          <w:szCs w:val="24"/>
        </w:rPr>
        <w:t>e</w:t>
      </w:r>
      <w:r w:rsidR="003C1983">
        <w:rPr>
          <w:rFonts w:cs="Arial"/>
          <w:szCs w:val="24"/>
        </w:rPr>
        <w:t xml:space="preserve"> under Agenda for Change and 194</w:t>
      </w:r>
      <w:r w:rsidR="00B86291" w:rsidRPr="00AF255D">
        <w:rPr>
          <w:rFonts w:cs="Arial"/>
          <w:szCs w:val="24"/>
        </w:rPr>
        <w:t xml:space="preserve"> were in the Medical and Dental job family.</w:t>
      </w:r>
      <w:r w:rsidR="00AF1898" w:rsidRPr="00F825B7">
        <w:rPr>
          <w:rFonts w:cs="Arial"/>
          <w:szCs w:val="24"/>
        </w:rPr>
        <w:br w:type="page"/>
      </w:r>
    </w:p>
    <w:p w14:paraId="16BF4D1B" w14:textId="77777777" w:rsidR="00AE140D" w:rsidRPr="00CA5CFF" w:rsidRDefault="00AE140D" w:rsidP="00AC5B73">
      <w:pPr>
        <w:pStyle w:val="Heading1"/>
      </w:pPr>
      <w:bookmarkStart w:id="20" w:name="_Toc76025084"/>
      <w:bookmarkStart w:id="21" w:name="_Toc108076882"/>
      <w:r w:rsidRPr="00CA5CFF">
        <w:lastRenderedPageBreak/>
        <w:t>Employee Turnover</w:t>
      </w:r>
      <w:bookmarkEnd w:id="20"/>
      <w:bookmarkEnd w:id="21"/>
    </w:p>
    <w:p w14:paraId="43FDC4F3" w14:textId="77777777" w:rsidR="00D2410B" w:rsidRPr="00F825B7" w:rsidRDefault="00D2410B" w:rsidP="00AC5B73">
      <w:pPr>
        <w:pStyle w:val="NoSpacing"/>
        <w:rPr>
          <w:rFonts w:ascii="Arial" w:hAnsi="Arial" w:cs="Arial"/>
          <w:szCs w:val="24"/>
        </w:rPr>
      </w:pPr>
    </w:p>
    <w:p w14:paraId="79796455" w14:textId="77777777" w:rsidR="00162F0A" w:rsidRPr="00AF255D" w:rsidRDefault="00162F0A" w:rsidP="00AC5B73">
      <w:pPr>
        <w:rPr>
          <w:rFonts w:cs="Arial"/>
          <w:szCs w:val="24"/>
        </w:rPr>
      </w:pPr>
      <w:r w:rsidRPr="00AF255D">
        <w:rPr>
          <w:rFonts w:cs="Arial"/>
          <w:szCs w:val="24"/>
        </w:rPr>
        <w:t>Turnover is calculated using the following formula:</w:t>
      </w:r>
    </w:p>
    <w:tbl>
      <w:tblPr>
        <w:tblW w:w="9978" w:type="dxa"/>
        <w:tblInd w:w="93" w:type="dxa"/>
        <w:tblLook w:val="04A0" w:firstRow="1" w:lastRow="0" w:firstColumn="1" w:lastColumn="0" w:noHBand="0" w:noVBand="1"/>
      </w:tblPr>
      <w:tblGrid>
        <w:gridCol w:w="1461"/>
        <w:gridCol w:w="8517"/>
      </w:tblGrid>
      <w:tr w:rsidR="00162F0A" w:rsidRPr="00AF255D" w14:paraId="15422B8F" w14:textId="77777777" w:rsidTr="00DD1241">
        <w:trPr>
          <w:trHeight w:val="465"/>
        </w:trPr>
        <w:tc>
          <w:tcPr>
            <w:tcW w:w="1461" w:type="dxa"/>
            <w:vMerge w:val="restart"/>
            <w:tcBorders>
              <w:top w:val="nil"/>
              <w:left w:val="nil"/>
              <w:bottom w:val="nil"/>
              <w:right w:val="nil"/>
            </w:tcBorders>
            <w:shd w:val="clear" w:color="auto" w:fill="auto"/>
            <w:noWrap/>
            <w:vAlign w:val="center"/>
            <w:hideMark/>
          </w:tcPr>
          <w:p w14:paraId="5FA6CF71" w14:textId="77777777" w:rsidR="00162F0A" w:rsidRPr="00AF255D" w:rsidRDefault="00162F0A" w:rsidP="00AC5B73">
            <w:pPr>
              <w:rPr>
                <w:rFonts w:eastAsia="Times New Roman" w:cs="Arial"/>
                <w:color w:val="000000"/>
                <w:szCs w:val="24"/>
                <w:lang w:eastAsia="en-GB"/>
              </w:rPr>
            </w:pPr>
            <w:r w:rsidRPr="00AF255D">
              <w:rPr>
                <w:rFonts w:eastAsia="Times New Roman" w:cs="Arial"/>
                <w:color w:val="000000"/>
                <w:szCs w:val="24"/>
                <w:lang w:eastAsia="en-GB"/>
              </w:rPr>
              <w:t xml:space="preserve">Turnover = </w:t>
            </w:r>
          </w:p>
        </w:tc>
        <w:tc>
          <w:tcPr>
            <w:tcW w:w="8517" w:type="dxa"/>
            <w:tcBorders>
              <w:top w:val="nil"/>
              <w:left w:val="nil"/>
              <w:bottom w:val="single" w:sz="4" w:space="0" w:color="auto"/>
              <w:right w:val="nil"/>
            </w:tcBorders>
            <w:shd w:val="clear" w:color="auto" w:fill="auto"/>
            <w:noWrap/>
            <w:vAlign w:val="bottom"/>
            <w:hideMark/>
          </w:tcPr>
          <w:p w14:paraId="1D710E66" w14:textId="209188AE" w:rsidR="00162F0A" w:rsidRPr="00AF255D" w:rsidRDefault="00D6305D" w:rsidP="00AC5B73">
            <w:pPr>
              <w:jc w:val="center"/>
              <w:rPr>
                <w:rFonts w:eastAsia="Times New Roman" w:cs="Arial"/>
                <w:color w:val="000000"/>
                <w:szCs w:val="24"/>
                <w:lang w:eastAsia="en-GB"/>
              </w:rPr>
            </w:pPr>
            <w:r w:rsidRPr="00AF255D">
              <w:rPr>
                <w:rFonts w:eastAsia="Times New Roman" w:cs="Arial"/>
                <w:color w:val="000000"/>
                <w:szCs w:val="24"/>
                <w:lang w:eastAsia="en-GB"/>
              </w:rPr>
              <w:t>Headcount n</w:t>
            </w:r>
            <w:r w:rsidR="00162F0A" w:rsidRPr="00AF255D">
              <w:rPr>
                <w:rFonts w:eastAsia="Times New Roman" w:cs="Arial"/>
                <w:color w:val="000000"/>
                <w:szCs w:val="24"/>
                <w:lang w:eastAsia="en-GB"/>
              </w:rPr>
              <w:t>u</w:t>
            </w:r>
            <w:r w:rsidR="003545F2">
              <w:rPr>
                <w:rFonts w:eastAsia="Times New Roman" w:cs="Arial"/>
                <w:color w:val="000000"/>
                <w:szCs w:val="24"/>
                <w:lang w:eastAsia="en-GB"/>
              </w:rPr>
              <w:t>mber of leavers between 01.04.21 and 31.03.22</w:t>
            </w:r>
          </w:p>
        </w:tc>
      </w:tr>
      <w:tr w:rsidR="00162F0A" w:rsidRPr="00F825B7" w14:paraId="529A7BFB" w14:textId="77777777" w:rsidTr="00DD1241">
        <w:trPr>
          <w:trHeight w:val="465"/>
        </w:trPr>
        <w:tc>
          <w:tcPr>
            <w:tcW w:w="1461" w:type="dxa"/>
            <w:vMerge/>
            <w:tcBorders>
              <w:top w:val="nil"/>
              <w:left w:val="nil"/>
              <w:bottom w:val="nil"/>
              <w:right w:val="nil"/>
            </w:tcBorders>
            <w:vAlign w:val="center"/>
            <w:hideMark/>
          </w:tcPr>
          <w:p w14:paraId="268DD1E3" w14:textId="77777777" w:rsidR="00162F0A" w:rsidRPr="00AF255D" w:rsidRDefault="00162F0A" w:rsidP="00AC5B73">
            <w:pPr>
              <w:rPr>
                <w:rFonts w:eastAsia="Times New Roman" w:cs="Arial"/>
                <w:color w:val="000000"/>
                <w:szCs w:val="24"/>
                <w:lang w:eastAsia="en-GB"/>
              </w:rPr>
            </w:pPr>
          </w:p>
        </w:tc>
        <w:tc>
          <w:tcPr>
            <w:tcW w:w="8517" w:type="dxa"/>
            <w:tcBorders>
              <w:top w:val="nil"/>
              <w:left w:val="nil"/>
              <w:bottom w:val="nil"/>
              <w:right w:val="nil"/>
            </w:tcBorders>
            <w:shd w:val="clear" w:color="auto" w:fill="auto"/>
            <w:noWrap/>
            <w:vAlign w:val="bottom"/>
            <w:hideMark/>
          </w:tcPr>
          <w:p w14:paraId="29B9A923" w14:textId="438D52F9" w:rsidR="00162F0A" w:rsidRPr="00F825B7" w:rsidRDefault="00162F0A" w:rsidP="00AC5B73">
            <w:pPr>
              <w:jc w:val="center"/>
              <w:rPr>
                <w:rFonts w:eastAsia="Times New Roman" w:cs="Arial"/>
                <w:color w:val="000000"/>
                <w:szCs w:val="24"/>
                <w:lang w:eastAsia="en-GB"/>
              </w:rPr>
            </w:pPr>
            <w:r w:rsidRPr="00AF255D">
              <w:rPr>
                <w:rFonts w:eastAsia="Times New Roman" w:cs="Arial"/>
                <w:color w:val="000000"/>
                <w:szCs w:val="24"/>
                <w:lang w:eastAsia="en-GB"/>
              </w:rPr>
              <w:t>((</w:t>
            </w:r>
            <w:r w:rsidR="00D6305D" w:rsidRPr="00AF255D">
              <w:rPr>
                <w:rFonts w:eastAsia="Times New Roman" w:cs="Arial"/>
                <w:color w:val="000000"/>
                <w:szCs w:val="24"/>
                <w:lang w:eastAsia="en-GB"/>
              </w:rPr>
              <w:t>Headcount s</w:t>
            </w:r>
            <w:r w:rsidR="003C5E16" w:rsidRPr="00AF255D">
              <w:rPr>
                <w:rFonts w:eastAsia="Times New Roman" w:cs="Arial"/>
                <w:color w:val="000000"/>
                <w:szCs w:val="24"/>
                <w:lang w:eastAsia="en-GB"/>
              </w:rPr>
              <w:t>t</w:t>
            </w:r>
            <w:r w:rsidR="003545F2">
              <w:rPr>
                <w:rFonts w:eastAsia="Times New Roman" w:cs="Arial"/>
                <w:color w:val="000000"/>
                <w:szCs w:val="24"/>
                <w:lang w:eastAsia="en-GB"/>
              </w:rPr>
              <w:t>aff in post 01.04.21</w:t>
            </w:r>
            <w:r w:rsidRPr="00AF255D">
              <w:rPr>
                <w:rFonts w:eastAsia="Times New Roman" w:cs="Arial"/>
                <w:color w:val="000000"/>
                <w:szCs w:val="24"/>
                <w:lang w:eastAsia="en-GB"/>
              </w:rPr>
              <w:t xml:space="preserve"> </w:t>
            </w:r>
            <w:r w:rsidR="00D6305D" w:rsidRPr="00AF255D">
              <w:rPr>
                <w:rFonts w:eastAsia="Times New Roman" w:cs="Arial"/>
                <w:color w:val="000000"/>
                <w:szCs w:val="24"/>
                <w:lang w:eastAsia="en-GB"/>
              </w:rPr>
              <w:t>–</w:t>
            </w:r>
            <w:r w:rsidRPr="00AF255D">
              <w:rPr>
                <w:rFonts w:eastAsia="Times New Roman" w:cs="Arial"/>
                <w:color w:val="000000"/>
                <w:szCs w:val="24"/>
                <w:lang w:eastAsia="en-GB"/>
              </w:rPr>
              <w:t xml:space="preserve"> </w:t>
            </w:r>
            <w:r w:rsidR="00D6305D" w:rsidRPr="00AF255D">
              <w:rPr>
                <w:rFonts w:eastAsia="Times New Roman" w:cs="Arial"/>
                <w:color w:val="000000"/>
                <w:szCs w:val="24"/>
                <w:lang w:eastAsia="en-GB"/>
              </w:rPr>
              <w:t>headcount s</w:t>
            </w:r>
            <w:r w:rsidR="003545F2">
              <w:rPr>
                <w:rFonts w:eastAsia="Times New Roman" w:cs="Arial"/>
                <w:color w:val="000000"/>
                <w:szCs w:val="24"/>
                <w:lang w:eastAsia="en-GB"/>
              </w:rPr>
              <w:t>taff in post 31.03.22</w:t>
            </w:r>
            <w:r w:rsidRPr="00AF255D">
              <w:rPr>
                <w:rFonts w:eastAsia="Times New Roman" w:cs="Arial"/>
                <w:color w:val="000000"/>
                <w:szCs w:val="24"/>
                <w:lang w:eastAsia="en-GB"/>
              </w:rPr>
              <w:t>)/2)*100)</w:t>
            </w:r>
          </w:p>
        </w:tc>
      </w:tr>
    </w:tbl>
    <w:p w14:paraId="0B9324FA" w14:textId="77777777" w:rsidR="00162F0A" w:rsidRDefault="00162F0A" w:rsidP="00AC5B73">
      <w:pPr>
        <w:rPr>
          <w:rFonts w:cs="Arial"/>
          <w:szCs w:val="24"/>
        </w:rPr>
      </w:pPr>
    </w:p>
    <w:p w14:paraId="26FE47AA" w14:textId="77777777" w:rsidR="000B220B" w:rsidRPr="00A37F81" w:rsidRDefault="000B220B" w:rsidP="00AC5B73">
      <w:pPr>
        <w:pStyle w:val="Heading2"/>
      </w:pPr>
      <w:bookmarkStart w:id="22" w:name="_Toc76025085"/>
      <w:bookmarkStart w:id="23" w:name="_Toc108076883"/>
      <w:r w:rsidRPr="00A37F81">
        <w:t>Turnover Rate</w:t>
      </w:r>
      <w:bookmarkEnd w:id="22"/>
      <w:bookmarkEnd w:id="23"/>
    </w:p>
    <w:p w14:paraId="04100B1F" w14:textId="0A34ACC5" w:rsidR="009B5232" w:rsidRDefault="00191FA2" w:rsidP="00AC5B73">
      <w:pPr>
        <w:rPr>
          <w:rFonts w:cs="Arial"/>
          <w:szCs w:val="24"/>
        </w:rPr>
      </w:pPr>
      <w:r w:rsidRPr="00A37F81">
        <w:rPr>
          <w:rFonts w:cs="Arial"/>
          <w:szCs w:val="24"/>
        </w:rPr>
        <w:t>For the year</w:t>
      </w:r>
      <w:r w:rsidR="009B5232" w:rsidRPr="00A37F81">
        <w:rPr>
          <w:rFonts w:cs="Arial"/>
          <w:szCs w:val="24"/>
        </w:rPr>
        <w:t xml:space="preserve"> under review</w:t>
      </w:r>
      <w:r w:rsidRPr="00A37F81">
        <w:rPr>
          <w:rFonts w:cs="Arial"/>
          <w:szCs w:val="24"/>
        </w:rPr>
        <w:t xml:space="preserve"> the</w:t>
      </w:r>
      <w:r w:rsidR="009B5232" w:rsidRPr="00A37F81">
        <w:rPr>
          <w:rFonts w:cs="Arial"/>
          <w:szCs w:val="24"/>
        </w:rPr>
        <w:t xml:space="preserve"> proportion of leavers was </w:t>
      </w:r>
      <w:r w:rsidR="003545F2">
        <w:rPr>
          <w:rFonts w:cs="Arial"/>
          <w:szCs w:val="24"/>
        </w:rPr>
        <w:t>11.4</w:t>
      </w:r>
      <w:r w:rsidR="00FF598F">
        <w:rPr>
          <w:rFonts w:cs="Arial"/>
          <w:szCs w:val="24"/>
        </w:rPr>
        <w:t>%</w:t>
      </w:r>
      <w:r w:rsidR="003545F2">
        <w:rPr>
          <w:rStyle w:val="FootnoteReference"/>
          <w:rFonts w:cs="Arial"/>
          <w:szCs w:val="24"/>
        </w:rPr>
        <w:footnoteReference w:id="2"/>
      </w:r>
      <w:r w:rsidR="003545F2">
        <w:rPr>
          <w:rFonts w:cs="Arial"/>
          <w:szCs w:val="24"/>
        </w:rPr>
        <w:t>, an increase of 4.2</w:t>
      </w:r>
      <w:r w:rsidR="00A37F81" w:rsidRPr="00A37F81">
        <w:rPr>
          <w:rFonts w:cs="Arial"/>
          <w:szCs w:val="24"/>
        </w:rPr>
        <w:t>% on the previous year</w:t>
      </w:r>
      <w:r w:rsidRPr="00A37F81">
        <w:rPr>
          <w:rFonts w:cs="Arial"/>
          <w:szCs w:val="24"/>
        </w:rPr>
        <w:t>, as c</w:t>
      </w:r>
      <w:r w:rsidR="00B5523E" w:rsidRPr="00A37F81">
        <w:rPr>
          <w:rFonts w:cs="Arial"/>
          <w:szCs w:val="24"/>
        </w:rPr>
        <w:t>an be seen below.</w:t>
      </w:r>
      <w:r w:rsidR="00901CC7" w:rsidRPr="00A37F81">
        <w:rPr>
          <w:rFonts w:cs="Arial"/>
          <w:szCs w:val="24"/>
        </w:rPr>
        <w:t xml:space="preserve"> </w:t>
      </w:r>
      <w:r w:rsidR="009B5232" w:rsidRPr="00A37F81">
        <w:rPr>
          <w:rFonts w:cs="Arial"/>
          <w:szCs w:val="24"/>
        </w:rPr>
        <w:t xml:space="preserve">The </w:t>
      </w:r>
      <w:r w:rsidR="00A22DA6" w:rsidRPr="00A37F81">
        <w:rPr>
          <w:rFonts w:cs="Arial"/>
          <w:szCs w:val="24"/>
        </w:rPr>
        <w:t>ongoing</w:t>
      </w:r>
      <w:r w:rsidRPr="00A37F81">
        <w:rPr>
          <w:rFonts w:cs="Arial"/>
          <w:szCs w:val="24"/>
        </w:rPr>
        <w:t xml:space="preserve"> trend since April 2011 has been for a</w:t>
      </w:r>
      <w:r w:rsidR="003545F2">
        <w:rPr>
          <w:rFonts w:cs="Arial"/>
          <w:szCs w:val="24"/>
        </w:rPr>
        <w:t>n</w:t>
      </w:r>
      <w:r w:rsidRPr="00A37F81">
        <w:rPr>
          <w:rFonts w:cs="Arial"/>
          <w:szCs w:val="24"/>
        </w:rPr>
        <w:t xml:space="preserve"> increase in employee turnover.</w:t>
      </w:r>
      <w:r w:rsidR="00901CC7" w:rsidRPr="00A37F81">
        <w:rPr>
          <w:rFonts w:cs="Arial"/>
          <w:szCs w:val="24"/>
        </w:rPr>
        <w:t xml:space="preserve"> </w:t>
      </w:r>
      <w:r w:rsidR="00402FD3" w:rsidRPr="00A37F81">
        <w:rPr>
          <w:rFonts w:cs="Arial"/>
          <w:szCs w:val="24"/>
        </w:rPr>
        <w:t>This turnover is greater than f</w:t>
      </w:r>
      <w:r w:rsidR="00A87758" w:rsidRPr="00A37F81">
        <w:rPr>
          <w:rFonts w:cs="Arial"/>
          <w:szCs w:val="24"/>
        </w:rPr>
        <w:t>o</w:t>
      </w:r>
      <w:r w:rsidR="00A22DA6" w:rsidRPr="00A37F81">
        <w:rPr>
          <w:rFonts w:cs="Arial"/>
          <w:szCs w:val="24"/>
        </w:rPr>
        <w:t xml:space="preserve">r the other </w:t>
      </w:r>
      <w:r w:rsidR="001C1A2D" w:rsidRPr="00A37F81">
        <w:rPr>
          <w:rFonts w:cs="Arial"/>
          <w:szCs w:val="24"/>
        </w:rPr>
        <w:t>National</w:t>
      </w:r>
      <w:r w:rsidR="00A22DA6" w:rsidRPr="00A37F81">
        <w:rPr>
          <w:rFonts w:cs="Arial"/>
          <w:szCs w:val="24"/>
        </w:rPr>
        <w:t xml:space="preserve"> Boards (</w:t>
      </w:r>
      <w:r w:rsidR="00FF598F">
        <w:rPr>
          <w:rFonts w:cs="Arial"/>
          <w:szCs w:val="24"/>
        </w:rPr>
        <w:t>10.9</w:t>
      </w:r>
      <w:r w:rsidR="00402FD3" w:rsidRPr="00A37F81">
        <w:rPr>
          <w:rFonts w:cs="Arial"/>
          <w:szCs w:val="24"/>
        </w:rPr>
        <w:t>%</w:t>
      </w:r>
      <w:r w:rsidR="009B5232" w:rsidRPr="00A37F81">
        <w:rPr>
          <w:rFonts w:cs="Arial"/>
          <w:szCs w:val="24"/>
        </w:rPr>
        <w:t xml:space="preserve"> </w:t>
      </w:r>
      <w:r w:rsidR="00FF598F">
        <w:rPr>
          <w:rFonts w:cs="Arial"/>
          <w:szCs w:val="24"/>
        </w:rPr>
        <w:t>for 01.04.21 to 31.03.22</w:t>
      </w:r>
      <w:r w:rsidR="00A37F81">
        <w:rPr>
          <w:rFonts w:cs="Arial"/>
          <w:szCs w:val="24"/>
        </w:rPr>
        <w:t xml:space="preserve">, which </w:t>
      </w:r>
      <w:r w:rsidR="00FF598F">
        <w:rPr>
          <w:rFonts w:cs="Arial"/>
          <w:szCs w:val="24"/>
        </w:rPr>
        <w:t>just short of double the 5.5% it was the previous year</w:t>
      </w:r>
      <w:r w:rsidR="00402FD3" w:rsidRPr="00A37F81">
        <w:rPr>
          <w:rFonts w:cs="Arial"/>
          <w:szCs w:val="24"/>
        </w:rPr>
        <w:t>) and the o</w:t>
      </w:r>
      <w:r w:rsidR="00A37F81">
        <w:rPr>
          <w:rFonts w:cs="Arial"/>
          <w:szCs w:val="24"/>
        </w:rPr>
        <w:t>v</w:t>
      </w:r>
      <w:r w:rsidR="00FF598F">
        <w:rPr>
          <w:rFonts w:cs="Arial"/>
          <w:szCs w:val="24"/>
        </w:rPr>
        <w:t>erall NHS Scotland turnover (8.1</w:t>
      </w:r>
      <w:r w:rsidR="00402FD3" w:rsidRPr="00A37F81">
        <w:rPr>
          <w:rFonts w:cs="Arial"/>
          <w:szCs w:val="24"/>
        </w:rPr>
        <w:t>%</w:t>
      </w:r>
      <w:r w:rsidR="009B5232" w:rsidRPr="00A37F81">
        <w:rPr>
          <w:rFonts w:cs="Arial"/>
          <w:szCs w:val="24"/>
        </w:rPr>
        <w:t xml:space="preserve"> at </w:t>
      </w:r>
      <w:r w:rsidR="00FF598F">
        <w:rPr>
          <w:rFonts w:cs="Arial"/>
          <w:szCs w:val="24"/>
        </w:rPr>
        <w:t>31 March 2022</w:t>
      </w:r>
      <w:r w:rsidR="00A37F81">
        <w:rPr>
          <w:rFonts w:cs="Arial"/>
          <w:szCs w:val="24"/>
        </w:rPr>
        <w:t xml:space="preserve">, </w:t>
      </w:r>
      <w:r w:rsidR="00FF598F">
        <w:rPr>
          <w:rFonts w:cs="Arial"/>
          <w:szCs w:val="24"/>
        </w:rPr>
        <w:t>up from 5.2% in 2022/2021</w:t>
      </w:r>
      <w:r w:rsidR="00402FD3" w:rsidRPr="00A37F81">
        <w:rPr>
          <w:rFonts w:cs="Arial"/>
          <w:szCs w:val="24"/>
        </w:rPr>
        <w:t>).</w:t>
      </w:r>
      <w:r w:rsidR="000B220B" w:rsidRPr="00A37F81">
        <w:rPr>
          <w:rFonts w:cs="Arial"/>
          <w:szCs w:val="24"/>
        </w:rPr>
        <w:t xml:space="preserve"> </w:t>
      </w:r>
      <w:r w:rsidR="00FF598F">
        <w:rPr>
          <w:rFonts w:cs="Arial"/>
          <w:szCs w:val="24"/>
        </w:rPr>
        <w:t>It may be the case that turnover was lower during 2020/2021 due to the initial waves of the COVID-19 pandemic, and staff were less willing to leave the security of their posts, but too</w:t>
      </w:r>
      <w:r w:rsidR="00CA0DE1">
        <w:rPr>
          <w:rFonts w:cs="Arial"/>
          <w:szCs w:val="24"/>
        </w:rPr>
        <w:t>k</w:t>
      </w:r>
      <w:r w:rsidR="00FF598F">
        <w:rPr>
          <w:rFonts w:cs="Arial"/>
          <w:szCs w:val="24"/>
        </w:rPr>
        <w:t xml:space="preserve"> that opportunity in 2021/2022.</w:t>
      </w:r>
    </w:p>
    <w:p w14:paraId="390246A6" w14:textId="0A366B06" w:rsidR="00FF598F" w:rsidRDefault="00FF598F" w:rsidP="00AC5B73">
      <w:pPr>
        <w:rPr>
          <w:rFonts w:cs="Arial"/>
          <w:szCs w:val="24"/>
        </w:rPr>
      </w:pPr>
    </w:p>
    <w:p w14:paraId="64B46DCA" w14:textId="14771962" w:rsidR="00FF598F" w:rsidRDefault="00FF598F" w:rsidP="00AC5B73">
      <w:pPr>
        <w:rPr>
          <w:rFonts w:cs="Arial"/>
          <w:szCs w:val="24"/>
        </w:rPr>
      </w:pPr>
      <w:r>
        <w:rPr>
          <w:noProof/>
          <w:lang w:eastAsia="en-GB"/>
        </w:rPr>
        <w:drawing>
          <wp:inline distT="0" distB="0" distL="0" distR="0" wp14:anchorId="38156E90" wp14:editId="76000C69">
            <wp:extent cx="6840000" cy="2160000"/>
            <wp:effectExtent l="0" t="0" r="18415" b="1206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CFEE7F3" w14:textId="105C95E4" w:rsidR="00DA3373" w:rsidRDefault="00DA3373" w:rsidP="00AC5B73">
      <w:pPr>
        <w:rPr>
          <w:rFonts w:cs="Arial"/>
          <w:szCs w:val="24"/>
        </w:rPr>
      </w:pPr>
    </w:p>
    <w:p w14:paraId="4AEEF8A3" w14:textId="0C432799" w:rsidR="00FF598F" w:rsidRDefault="00FF598F" w:rsidP="00AC5B73">
      <w:pPr>
        <w:rPr>
          <w:rFonts w:cs="Arial"/>
          <w:szCs w:val="24"/>
        </w:rPr>
      </w:pPr>
      <w:r>
        <w:rPr>
          <w:noProof/>
          <w:lang w:eastAsia="en-GB"/>
        </w:rPr>
        <w:drawing>
          <wp:inline distT="0" distB="0" distL="0" distR="0" wp14:anchorId="0752C937" wp14:editId="5B6B9FD7">
            <wp:extent cx="6840000" cy="2160000"/>
            <wp:effectExtent l="0" t="0" r="18415" b="1206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C033AD7" w14:textId="2D6B6971" w:rsidR="00E93C1E" w:rsidRDefault="00E93C1E" w:rsidP="00AC5B73">
      <w:pPr>
        <w:rPr>
          <w:rFonts w:cs="Arial"/>
          <w:szCs w:val="24"/>
        </w:rPr>
      </w:pPr>
    </w:p>
    <w:p w14:paraId="7DF87D3A" w14:textId="77777777" w:rsidR="000B220B" w:rsidRPr="00F825B7" w:rsidRDefault="000B220B" w:rsidP="00AC5B73">
      <w:pPr>
        <w:pStyle w:val="Heading2"/>
      </w:pPr>
      <w:bookmarkStart w:id="24" w:name="_Toc76025086"/>
      <w:bookmarkStart w:id="25" w:name="_Toc108076884"/>
      <w:r>
        <w:t>Reasons for Leaving</w:t>
      </w:r>
      <w:bookmarkEnd w:id="24"/>
      <w:bookmarkEnd w:id="25"/>
    </w:p>
    <w:p w14:paraId="40E91E52" w14:textId="5AC3B172" w:rsidR="00B31F15" w:rsidRPr="00AF255D" w:rsidRDefault="00BF1FDD" w:rsidP="00AC5B73">
      <w:pPr>
        <w:rPr>
          <w:rFonts w:cs="Arial"/>
          <w:szCs w:val="24"/>
        </w:rPr>
      </w:pPr>
      <w:r w:rsidRPr="00AF255D">
        <w:rPr>
          <w:rFonts w:cs="Arial"/>
          <w:szCs w:val="24"/>
        </w:rPr>
        <w:t>When a member of staff leaves the Board’s employment the reason for leaving is entered onto eESS, the HR system, if that member of staff provides a reason for leaving</w:t>
      </w:r>
      <w:r w:rsidR="00B5523E" w:rsidRPr="00AF255D">
        <w:rPr>
          <w:rFonts w:cs="Arial"/>
          <w:szCs w:val="24"/>
        </w:rPr>
        <w:t>.</w:t>
      </w:r>
      <w:r w:rsidR="00901CC7" w:rsidRPr="00AF255D">
        <w:rPr>
          <w:rFonts w:cs="Arial"/>
          <w:szCs w:val="24"/>
        </w:rPr>
        <w:t xml:space="preserve"> </w:t>
      </w:r>
      <w:r w:rsidR="004F0380" w:rsidRPr="00AF255D">
        <w:rPr>
          <w:rFonts w:cs="Arial"/>
          <w:szCs w:val="24"/>
        </w:rPr>
        <w:t>The chart below highlight</w:t>
      </w:r>
      <w:r w:rsidR="00F37488" w:rsidRPr="00AF255D">
        <w:rPr>
          <w:rFonts w:cs="Arial"/>
          <w:szCs w:val="24"/>
        </w:rPr>
        <w:t>s</w:t>
      </w:r>
      <w:r w:rsidR="004F0380" w:rsidRPr="00AF255D">
        <w:rPr>
          <w:rFonts w:cs="Arial"/>
          <w:szCs w:val="24"/>
        </w:rPr>
        <w:t xml:space="preserve"> reasons for leaving </w:t>
      </w:r>
      <w:r w:rsidR="00305EA0" w:rsidRPr="00305EA0">
        <w:rPr>
          <w:rFonts w:cs="Arial"/>
          <w:szCs w:val="24"/>
        </w:rPr>
        <w:t>recorded</w:t>
      </w:r>
      <w:r w:rsidRPr="00305EA0">
        <w:rPr>
          <w:rFonts w:cs="Arial"/>
          <w:szCs w:val="24"/>
        </w:rPr>
        <w:t xml:space="preserve"> for those</w:t>
      </w:r>
      <w:r w:rsidR="004F0380" w:rsidRPr="00305EA0">
        <w:rPr>
          <w:rFonts w:cs="Arial"/>
          <w:szCs w:val="24"/>
        </w:rPr>
        <w:t xml:space="preserve"> who left the Boar</w:t>
      </w:r>
      <w:r w:rsidR="00D41A9D" w:rsidRPr="00305EA0">
        <w:rPr>
          <w:rFonts w:cs="Arial"/>
          <w:szCs w:val="24"/>
        </w:rPr>
        <w:t>d</w:t>
      </w:r>
      <w:r w:rsidR="00685296" w:rsidRPr="00305EA0">
        <w:rPr>
          <w:rFonts w:cs="Arial"/>
          <w:szCs w:val="24"/>
        </w:rPr>
        <w:t>’s employment</w:t>
      </w:r>
      <w:r w:rsidR="00685296">
        <w:rPr>
          <w:rFonts w:cs="Arial"/>
          <w:szCs w:val="24"/>
        </w:rPr>
        <w:t xml:space="preserve"> between April 2021 and March 2022</w:t>
      </w:r>
      <w:r w:rsidR="004F0380" w:rsidRPr="00AF255D">
        <w:rPr>
          <w:rFonts w:cs="Arial"/>
          <w:szCs w:val="24"/>
        </w:rPr>
        <w:t>.</w:t>
      </w:r>
      <w:r w:rsidR="00901CC7" w:rsidRPr="00AF255D">
        <w:rPr>
          <w:rFonts w:cs="Arial"/>
          <w:szCs w:val="24"/>
        </w:rPr>
        <w:t xml:space="preserve"> </w:t>
      </w:r>
      <w:r w:rsidR="00F37488" w:rsidRPr="00AF255D">
        <w:rPr>
          <w:rFonts w:cs="Arial"/>
          <w:szCs w:val="24"/>
        </w:rPr>
        <w:t>It</w:t>
      </w:r>
      <w:r w:rsidR="00A652F6" w:rsidRPr="00AF255D">
        <w:rPr>
          <w:rFonts w:cs="Arial"/>
          <w:szCs w:val="24"/>
        </w:rPr>
        <w:t xml:space="preserve"> shows the reasons for leaving as a percentage of the total </w:t>
      </w:r>
      <w:r w:rsidR="00A75944" w:rsidRPr="00AF255D">
        <w:rPr>
          <w:rFonts w:cs="Arial"/>
          <w:szCs w:val="24"/>
        </w:rPr>
        <w:t>number of leavers</w:t>
      </w:r>
      <w:r w:rsidR="00F37488" w:rsidRPr="00AF255D">
        <w:rPr>
          <w:rFonts w:cs="Arial"/>
          <w:szCs w:val="24"/>
        </w:rPr>
        <w:t xml:space="preserve">. The </w:t>
      </w:r>
      <w:r w:rsidR="00F37488" w:rsidRPr="00AF255D">
        <w:rPr>
          <w:rFonts w:cs="Arial"/>
          <w:szCs w:val="24"/>
        </w:rPr>
        <w:lastRenderedPageBreak/>
        <w:t xml:space="preserve">most common reason for leaving </w:t>
      </w:r>
      <w:r w:rsidR="00D41A9D" w:rsidRPr="00AF255D">
        <w:rPr>
          <w:rFonts w:cs="Arial"/>
          <w:szCs w:val="24"/>
        </w:rPr>
        <w:t>was because the person had gained new employment with another Board within NHS</w:t>
      </w:r>
      <w:r w:rsidR="00685296">
        <w:rPr>
          <w:rFonts w:cs="Arial"/>
          <w:szCs w:val="24"/>
        </w:rPr>
        <w:t xml:space="preserve"> </w:t>
      </w:r>
      <w:r w:rsidR="00D41A9D" w:rsidRPr="00AF255D">
        <w:rPr>
          <w:rFonts w:cs="Arial"/>
          <w:szCs w:val="24"/>
        </w:rPr>
        <w:t>Scotland</w:t>
      </w:r>
      <w:r w:rsidR="00F104AB" w:rsidRPr="00AF255D">
        <w:rPr>
          <w:rFonts w:cs="Arial"/>
          <w:szCs w:val="24"/>
        </w:rPr>
        <w:t>.</w:t>
      </w:r>
      <w:r w:rsidR="00901CC7" w:rsidRPr="00AF255D">
        <w:rPr>
          <w:rFonts w:cs="Arial"/>
          <w:szCs w:val="24"/>
        </w:rPr>
        <w:t xml:space="preserve"> </w:t>
      </w:r>
      <w:r w:rsidR="00685296">
        <w:rPr>
          <w:rFonts w:cs="Arial"/>
          <w:szCs w:val="24"/>
        </w:rPr>
        <w:t>This represents 34</w:t>
      </w:r>
      <w:r w:rsidR="00D41A9D" w:rsidRPr="00AF255D">
        <w:rPr>
          <w:rFonts w:cs="Arial"/>
          <w:szCs w:val="24"/>
        </w:rPr>
        <w:t>.1</w:t>
      </w:r>
      <w:r w:rsidR="00047BED" w:rsidRPr="00AF255D">
        <w:rPr>
          <w:rFonts w:cs="Arial"/>
          <w:szCs w:val="24"/>
        </w:rPr>
        <w:t>% of leavers</w:t>
      </w:r>
      <w:r w:rsidR="00685296">
        <w:rPr>
          <w:rFonts w:cs="Arial"/>
          <w:szCs w:val="24"/>
        </w:rPr>
        <w:t xml:space="preserve"> (down 2.0% on the previous year)</w:t>
      </w:r>
      <w:r w:rsidR="00706B37">
        <w:rPr>
          <w:rStyle w:val="FootnoteReference"/>
          <w:rFonts w:cs="Arial"/>
          <w:szCs w:val="24"/>
        </w:rPr>
        <w:footnoteReference w:customMarkFollows="1" w:id="3"/>
        <w:t>2</w:t>
      </w:r>
      <w:r w:rsidR="00D41A9D" w:rsidRPr="00AF255D">
        <w:rPr>
          <w:rFonts w:cs="Arial"/>
          <w:szCs w:val="24"/>
        </w:rPr>
        <w:t>.</w:t>
      </w:r>
    </w:p>
    <w:p w14:paraId="4A3D111F" w14:textId="40E05399" w:rsidR="00D41A9D" w:rsidRDefault="00D41A9D" w:rsidP="00AC5B73">
      <w:pPr>
        <w:rPr>
          <w:rFonts w:cs="Arial"/>
          <w:szCs w:val="24"/>
        </w:rPr>
      </w:pPr>
    </w:p>
    <w:p w14:paraId="3E668806" w14:textId="7E8F550D" w:rsidR="00FE0244" w:rsidRPr="00916C1B" w:rsidRDefault="00CF70F1" w:rsidP="00AC5B73">
      <w:pPr>
        <w:rPr>
          <w:rFonts w:cs="Arial"/>
          <w:szCs w:val="24"/>
        </w:rPr>
      </w:pPr>
      <w:r>
        <w:rPr>
          <w:noProof/>
          <w:lang w:eastAsia="en-GB"/>
        </w:rPr>
        <w:drawing>
          <wp:inline distT="0" distB="0" distL="0" distR="0" wp14:anchorId="6ACD294A" wp14:editId="37F65FC0">
            <wp:extent cx="6840000" cy="2160000"/>
            <wp:effectExtent l="0" t="0" r="18415" b="1206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FE0244" w:rsidRPr="00F825B7">
        <w:rPr>
          <w:rFonts w:cs="Arial"/>
          <w:szCs w:val="24"/>
        </w:rPr>
        <w:br w:type="page"/>
      </w:r>
    </w:p>
    <w:p w14:paraId="7E7D1309" w14:textId="77777777" w:rsidR="00AE140D" w:rsidRPr="007E390C" w:rsidRDefault="00AE140D" w:rsidP="00AC5B73">
      <w:pPr>
        <w:pStyle w:val="Heading1"/>
      </w:pPr>
      <w:bookmarkStart w:id="26" w:name="_Toc76025087"/>
      <w:bookmarkStart w:id="27" w:name="_Toc108076885"/>
      <w:r w:rsidRPr="007E390C">
        <w:lastRenderedPageBreak/>
        <w:t>Recruitment</w:t>
      </w:r>
      <w:bookmarkEnd w:id="26"/>
      <w:bookmarkEnd w:id="27"/>
    </w:p>
    <w:p w14:paraId="1F503DB4" w14:textId="77777777" w:rsidR="00C859AF" w:rsidRPr="00A926FA" w:rsidRDefault="00C859AF" w:rsidP="00AC5B73">
      <w:pPr>
        <w:pStyle w:val="NoSpacing"/>
        <w:rPr>
          <w:rFonts w:ascii="Arial" w:hAnsi="Arial" w:cs="Arial"/>
          <w:highlight w:val="yellow"/>
        </w:rPr>
      </w:pPr>
    </w:p>
    <w:p w14:paraId="38928354" w14:textId="42094648" w:rsidR="00AC41A9" w:rsidRDefault="00AC41A9" w:rsidP="00AC5B73">
      <w:pPr>
        <w:pStyle w:val="NoSpacing"/>
        <w:rPr>
          <w:rFonts w:ascii="Arial" w:hAnsi="Arial" w:cs="Arial"/>
        </w:rPr>
      </w:pPr>
      <w:r>
        <w:rPr>
          <w:rFonts w:ascii="Arial" w:hAnsi="Arial" w:cs="Arial"/>
        </w:rPr>
        <w:t xml:space="preserve">Over the period under review the Recruitment Team has been busy, and has added extra members to their team to take account of the upturn in vacancies and applications in response to Phase 2 of the hospital expansion and other recruitment activity across NHS </w:t>
      </w:r>
      <w:r w:rsidR="0018616E">
        <w:rPr>
          <w:rFonts w:ascii="Arial" w:hAnsi="Arial" w:cs="Arial"/>
        </w:rPr>
        <w:t>GJ</w:t>
      </w:r>
      <w:r>
        <w:rPr>
          <w:rFonts w:ascii="Arial" w:hAnsi="Arial" w:cs="Arial"/>
        </w:rPr>
        <w:t>.</w:t>
      </w:r>
      <w:r w:rsidR="00544D39">
        <w:rPr>
          <w:rFonts w:ascii="Arial" w:hAnsi="Arial" w:cs="Arial"/>
        </w:rPr>
        <w:t xml:space="preserve"> </w:t>
      </w:r>
      <w:r>
        <w:rPr>
          <w:rFonts w:ascii="Arial" w:hAnsi="Arial" w:cs="Arial"/>
        </w:rPr>
        <w:t>The table below shows the state of play on Job Train as at 31 March 2022, taking into account the activity for the previous year:</w:t>
      </w:r>
    </w:p>
    <w:p w14:paraId="7D3282AC" w14:textId="03D2CB35" w:rsidR="00AC41A9" w:rsidRDefault="00AC41A9" w:rsidP="00AC5B73">
      <w:pPr>
        <w:pStyle w:val="NoSpacing"/>
        <w:rPr>
          <w:rFonts w:ascii="Arial" w:hAnsi="Arial" w:cs="Arial"/>
        </w:rPr>
      </w:pPr>
    </w:p>
    <w:tbl>
      <w:tblPr>
        <w:tblStyle w:val="TableGrid"/>
        <w:tblW w:w="0" w:type="auto"/>
        <w:tblLook w:val="04A0" w:firstRow="1" w:lastRow="0" w:firstColumn="1" w:lastColumn="0" w:noHBand="0" w:noVBand="1"/>
      </w:tblPr>
      <w:tblGrid>
        <w:gridCol w:w="8504"/>
        <w:gridCol w:w="2484"/>
      </w:tblGrid>
      <w:tr w:rsidR="00AC41A9" w:rsidRPr="00AC41A9" w14:paraId="30B4DE74" w14:textId="77777777" w:rsidTr="00AC41A9">
        <w:tc>
          <w:tcPr>
            <w:tcW w:w="8504" w:type="dxa"/>
          </w:tcPr>
          <w:p w14:paraId="1F8A72D7" w14:textId="556EFE05" w:rsidR="00AC41A9" w:rsidRPr="00AC41A9" w:rsidRDefault="00AC41A9" w:rsidP="00AC5B73">
            <w:pPr>
              <w:pStyle w:val="NoSpacing"/>
              <w:rPr>
                <w:rFonts w:ascii="Arial" w:hAnsi="Arial" w:cs="Arial"/>
                <w:b/>
                <w:lang w:eastAsia="en-GB"/>
              </w:rPr>
            </w:pPr>
            <w:r w:rsidRPr="00AC41A9">
              <w:rPr>
                <w:rFonts w:ascii="Arial" w:hAnsi="Arial" w:cs="Arial"/>
                <w:b/>
                <w:lang w:eastAsia="en-GB"/>
              </w:rPr>
              <w:t>Jobtrain status</w:t>
            </w:r>
          </w:p>
        </w:tc>
        <w:tc>
          <w:tcPr>
            <w:tcW w:w="2484" w:type="dxa"/>
          </w:tcPr>
          <w:p w14:paraId="1D646CF6" w14:textId="2D822E72" w:rsidR="00AC41A9" w:rsidRPr="00AC41A9" w:rsidRDefault="00AC41A9" w:rsidP="00AC5B73">
            <w:pPr>
              <w:pStyle w:val="NoSpacing"/>
              <w:rPr>
                <w:rFonts w:ascii="Arial" w:hAnsi="Arial" w:cs="Arial"/>
                <w:b/>
                <w:lang w:eastAsia="en-GB"/>
              </w:rPr>
            </w:pPr>
            <w:r w:rsidRPr="00AC41A9">
              <w:rPr>
                <w:rFonts w:ascii="Arial" w:hAnsi="Arial" w:cs="Arial"/>
                <w:b/>
                <w:lang w:eastAsia="en-GB"/>
              </w:rPr>
              <w:t>Headcount</w:t>
            </w:r>
          </w:p>
        </w:tc>
      </w:tr>
      <w:tr w:rsidR="00AC41A9" w14:paraId="2710BE0D" w14:textId="77777777" w:rsidTr="00AC41A9">
        <w:tc>
          <w:tcPr>
            <w:tcW w:w="8504" w:type="dxa"/>
          </w:tcPr>
          <w:p w14:paraId="4EBED098" w14:textId="0AA3E20E" w:rsidR="00AC41A9" w:rsidRDefault="00AC41A9" w:rsidP="00AC5B73">
            <w:pPr>
              <w:pStyle w:val="NoSpacing"/>
              <w:rPr>
                <w:rFonts w:ascii="Arial" w:hAnsi="Arial" w:cs="Arial"/>
              </w:rPr>
            </w:pPr>
            <w:r>
              <w:rPr>
                <w:rFonts w:ascii="Arial" w:hAnsi="Arial" w:cs="Arial"/>
                <w:lang w:eastAsia="en-GB"/>
              </w:rPr>
              <w:t>Live adverts</w:t>
            </w:r>
          </w:p>
        </w:tc>
        <w:tc>
          <w:tcPr>
            <w:tcW w:w="2484" w:type="dxa"/>
          </w:tcPr>
          <w:p w14:paraId="095543A5" w14:textId="20976C57" w:rsidR="00AC41A9" w:rsidRDefault="006226E9" w:rsidP="00AC5B73">
            <w:pPr>
              <w:pStyle w:val="NoSpacing"/>
              <w:jc w:val="right"/>
              <w:rPr>
                <w:rFonts w:ascii="Arial" w:hAnsi="Arial" w:cs="Arial"/>
              </w:rPr>
            </w:pPr>
            <w:r>
              <w:rPr>
                <w:rFonts w:ascii="Arial" w:hAnsi="Arial" w:cs="Arial"/>
                <w:lang w:eastAsia="en-GB"/>
              </w:rPr>
              <w:t xml:space="preserve">       </w:t>
            </w:r>
            <w:r w:rsidR="00544D39">
              <w:rPr>
                <w:rFonts w:ascii="Arial" w:hAnsi="Arial" w:cs="Arial"/>
                <w:lang w:eastAsia="en-GB"/>
              </w:rPr>
              <w:t xml:space="preserve"> </w:t>
            </w:r>
            <w:r w:rsidR="00AC41A9">
              <w:rPr>
                <w:rFonts w:ascii="Arial" w:hAnsi="Arial" w:cs="Arial"/>
                <w:lang w:eastAsia="en-GB"/>
              </w:rPr>
              <w:t>29</w:t>
            </w:r>
          </w:p>
        </w:tc>
      </w:tr>
      <w:tr w:rsidR="00AC41A9" w14:paraId="02CF0875" w14:textId="77777777" w:rsidTr="00AC41A9">
        <w:tc>
          <w:tcPr>
            <w:tcW w:w="8504" w:type="dxa"/>
          </w:tcPr>
          <w:p w14:paraId="4857B989" w14:textId="021E0367" w:rsidR="00AC41A9" w:rsidRDefault="00AC41A9" w:rsidP="00AC5B73">
            <w:pPr>
              <w:pStyle w:val="NoSpacing"/>
              <w:rPr>
                <w:rFonts w:ascii="Arial" w:hAnsi="Arial" w:cs="Arial"/>
              </w:rPr>
            </w:pPr>
            <w:r>
              <w:rPr>
                <w:rFonts w:ascii="Arial" w:hAnsi="Arial" w:cs="Arial"/>
                <w:lang w:eastAsia="en-GB"/>
              </w:rPr>
              <w:t>Closing date past, awaiting shortlisting from hiring manager</w:t>
            </w:r>
          </w:p>
        </w:tc>
        <w:tc>
          <w:tcPr>
            <w:tcW w:w="2484" w:type="dxa"/>
          </w:tcPr>
          <w:p w14:paraId="68759B2D" w14:textId="58BF0623" w:rsidR="00AC41A9" w:rsidRDefault="00AC41A9" w:rsidP="00AC5B73">
            <w:pPr>
              <w:pStyle w:val="NoSpacing"/>
              <w:jc w:val="right"/>
              <w:rPr>
                <w:rFonts w:ascii="Arial" w:hAnsi="Arial" w:cs="Arial"/>
              </w:rPr>
            </w:pPr>
            <w:r>
              <w:rPr>
                <w:rFonts w:ascii="Arial" w:hAnsi="Arial" w:cs="Arial"/>
                <w:lang w:eastAsia="en-GB"/>
              </w:rPr>
              <w:t>20</w:t>
            </w:r>
          </w:p>
        </w:tc>
      </w:tr>
      <w:tr w:rsidR="00AC41A9" w14:paraId="0DC07093" w14:textId="77777777" w:rsidTr="00AC41A9">
        <w:tc>
          <w:tcPr>
            <w:tcW w:w="8504" w:type="dxa"/>
          </w:tcPr>
          <w:p w14:paraId="5B8434B0" w14:textId="53B0DC4A" w:rsidR="00AC41A9" w:rsidRDefault="00AC41A9" w:rsidP="00AC5B73">
            <w:pPr>
              <w:pStyle w:val="NoSpacing"/>
              <w:rPr>
                <w:rFonts w:ascii="Arial" w:hAnsi="Arial" w:cs="Arial"/>
              </w:rPr>
            </w:pPr>
            <w:r>
              <w:rPr>
                <w:rFonts w:ascii="Arial" w:hAnsi="Arial" w:cs="Arial"/>
                <w:lang w:eastAsia="en-GB"/>
              </w:rPr>
              <w:t>Shortlisting complete, awaiting interview (date planned)</w:t>
            </w:r>
          </w:p>
        </w:tc>
        <w:tc>
          <w:tcPr>
            <w:tcW w:w="2484" w:type="dxa"/>
          </w:tcPr>
          <w:p w14:paraId="79E62904" w14:textId="530720B8" w:rsidR="00AC41A9" w:rsidRDefault="00AC41A9" w:rsidP="00AC5B73">
            <w:pPr>
              <w:pStyle w:val="NoSpacing"/>
              <w:jc w:val="right"/>
              <w:rPr>
                <w:rFonts w:ascii="Arial" w:hAnsi="Arial" w:cs="Arial"/>
              </w:rPr>
            </w:pPr>
            <w:r>
              <w:rPr>
                <w:rFonts w:ascii="Arial" w:hAnsi="Arial" w:cs="Arial"/>
                <w:lang w:eastAsia="en-GB"/>
              </w:rPr>
              <w:t>20</w:t>
            </w:r>
          </w:p>
        </w:tc>
      </w:tr>
      <w:tr w:rsidR="00AC41A9" w14:paraId="31EB5EE1" w14:textId="77777777" w:rsidTr="00AC41A9">
        <w:tc>
          <w:tcPr>
            <w:tcW w:w="8504" w:type="dxa"/>
          </w:tcPr>
          <w:p w14:paraId="7FB2724F" w14:textId="537F0BC8" w:rsidR="00AC41A9" w:rsidRDefault="00AC41A9" w:rsidP="00AC5B73">
            <w:pPr>
              <w:pStyle w:val="NoSpacing"/>
              <w:rPr>
                <w:rFonts w:ascii="Arial" w:hAnsi="Arial" w:cs="Arial"/>
              </w:rPr>
            </w:pPr>
            <w:r>
              <w:rPr>
                <w:rFonts w:ascii="Arial" w:hAnsi="Arial" w:cs="Arial"/>
                <w:lang w:eastAsia="en-GB"/>
              </w:rPr>
              <w:t>No suitable applicants</w:t>
            </w:r>
          </w:p>
        </w:tc>
        <w:tc>
          <w:tcPr>
            <w:tcW w:w="2484" w:type="dxa"/>
          </w:tcPr>
          <w:p w14:paraId="7BD83EBA" w14:textId="4BF3E8CC" w:rsidR="00AC41A9" w:rsidRDefault="00AC41A9" w:rsidP="00AC5B73">
            <w:pPr>
              <w:pStyle w:val="NoSpacing"/>
              <w:jc w:val="right"/>
              <w:rPr>
                <w:rFonts w:ascii="Arial" w:hAnsi="Arial" w:cs="Arial"/>
              </w:rPr>
            </w:pPr>
            <w:r>
              <w:rPr>
                <w:rFonts w:ascii="Arial" w:hAnsi="Arial" w:cs="Arial"/>
                <w:lang w:eastAsia="en-GB"/>
              </w:rPr>
              <w:t>31</w:t>
            </w:r>
          </w:p>
        </w:tc>
      </w:tr>
      <w:tr w:rsidR="00AC41A9" w14:paraId="0E6DE6E8" w14:textId="77777777" w:rsidTr="00AC41A9">
        <w:tc>
          <w:tcPr>
            <w:tcW w:w="8504" w:type="dxa"/>
          </w:tcPr>
          <w:p w14:paraId="3684D6E7" w14:textId="27210A7C" w:rsidR="00AC41A9" w:rsidRDefault="00AC41A9" w:rsidP="00AC5B73">
            <w:pPr>
              <w:pStyle w:val="NoSpacing"/>
              <w:rPr>
                <w:rFonts w:ascii="Arial" w:hAnsi="Arial" w:cs="Arial"/>
              </w:rPr>
            </w:pPr>
            <w:r>
              <w:rPr>
                <w:rFonts w:ascii="Arial" w:hAnsi="Arial" w:cs="Arial"/>
                <w:lang w:eastAsia="en-GB"/>
              </w:rPr>
              <w:t>Interview complete, awaiting interview records</w:t>
            </w:r>
          </w:p>
        </w:tc>
        <w:tc>
          <w:tcPr>
            <w:tcW w:w="2484" w:type="dxa"/>
          </w:tcPr>
          <w:p w14:paraId="21352234" w14:textId="3A3A7096" w:rsidR="00AC41A9" w:rsidRDefault="00AC41A9" w:rsidP="00AC5B73">
            <w:pPr>
              <w:pStyle w:val="NoSpacing"/>
              <w:jc w:val="right"/>
              <w:rPr>
                <w:rFonts w:ascii="Arial" w:hAnsi="Arial" w:cs="Arial"/>
              </w:rPr>
            </w:pPr>
            <w:r>
              <w:rPr>
                <w:rFonts w:ascii="Arial" w:hAnsi="Arial" w:cs="Arial"/>
                <w:lang w:eastAsia="en-GB"/>
              </w:rPr>
              <w:t>16</w:t>
            </w:r>
          </w:p>
        </w:tc>
      </w:tr>
      <w:tr w:rsidR="00AC41A9" w14:paraId="650B01E5" w14:textId="77777777" w:rsidTr="00AC41A9">
        <w:tc>
          <w:tcPr>
            <w:tcW w:w="8504" w:type="dxa"/>
          </w:tcPr>
          <w:p w14:paraId="4557BEB5" w14:textId="6EFDFA23" w:rsidR="00AC41A9" w:rsidRDefault="00AC41A9" w:rsidP="00AC5B73">
            <w:pPr>
              <w:pStyle w:val="NoSpacing"/>
              <w:rPr>
                <w:rFonts w:ascii="Arial" w:hAnsi="Arial" w:cs="Arial"/>
              </w:rPr>
            </w:pPr>
            <w:r>
              <w:rPr>
                <w:rFonts w:ascii="Arial" w:hAnsi="Arial" w:cs="Arial"/>
                <w:lang w:eastAsia="en-GB"/>
              </w:rPr>
              <w:t>No appointable candidate</w:t>
            </w:r>
          </w:p>
        </w:tc>
        <w:tc>
          <w:tcPr>
            <w:tcW w:w="2484" w:type="dxa"/>
          </w:tcPr>
          <w:p w14:paraId="523C0EA7" w14:textId="20721424" w:rsidR="00AC41A9" w:rsidRDefault="00AC41A9" w:rsidP="00AC5B73">
            <w:pPr>
              <w:pStyle w:val="NoSpacing"/>
              <w:jc w:val="right"/>
              <w:rPr>
                <w:rFonts w:ascii="Arial" w:hAnsi="Arial" w:cs="Arial"/>
              </w:rPr>
            </w:pPr>
            <w:r>
              <w:rPr>
                <w:rFonts w:ascii="Arial" w:hAnsi="Arial" w:cs="Arial"/>
                <w:lang w:eastAsia="en-GB"/>
              </w:rPr>
              <w:t>36</w:t>
            </w:r>
          </w:p>
        </w:tc>
      </w:tr>
      <w:tr w:rsidR="00AC41A9" w14:paraId="5F213568" w14:textId="77777777" w:rsidTr="00AC41A9">
        <w:tc>
          <w:tcPr>
            <w:tcW w:w="8504" w:type="dxa"/>
          </w:tcPr>
          <w:p w14:paraId="05DA72A2" w14:textId="74CAAADC" w:rsidR="00AC41A9" w:rsidRDefault="00AC41A9" w:rsidP="00AC5B73">
            <w:pPr>
              <w:pStyle w:val="NoSpacing"/>
              <w:rPr>
                <w:rFonts w:ascii="Arial" w:hAnsi="Arial" w:cs="Arial"/>
              </w:rPr>
            </w:pPr>
            <w:r>
              <w:rPr>
                <w:rFonts w:ascii="Arial" w:hAnsi="Arial" w:cs="Arial"/>
                <w:lang w:eastAsia="en-GB"/>
              </w:rPr>
              <w:t>Conditional offer made, pre-employment checks in progress</w:t>
            </w:r>
          </w:p>
        </w:tc>
        <w:tc>
          <w:tcPr>
            <w:tcW w:w="2484" w:type="dxa"/>
          </w:tcPr>
          <w:p w14:paraId="286C55B8" w14:textId="420FDD6D" w:rsidR="00AC41A9" w:rsidRDefault="00AC41A9" w:rsidP="00AC5B73">
            <w:pPr>
              <w:pStyle w:val="NoSpacing"/>
              <w:jc w:val="right"/>
              <w:rPr>
                <w:rFonts w:ascii="Arial" w:hAnsi="Arial" w:cs="Arial"/>
              </w:rPr>
            </w:pPr>
            <w:r>
              <w:rPr>
                <w:rFonts w:ascii="Arial" w:hAnsi="Arial" w:cs="Arial"/>
                <w:lang w:eastAsia="en-GB"/>
              </w:rPr>
              <w:t>79</w:t>
            </w:r>
          </w:p>
        </w:tc>
      </w:tr>
      <w:tr w:rsidR="00AC41A9" w14:paraId="4413A776" w14:textId="77777777" w:rsidTr="00AC41A9">
        <w:tc>
          <w:tcPr>
            <w:tcW w:w="8504" w:type="dxa"/>
          </w:tcPr>
          <w:p w14:paraId="5EBC8148" w14:textId="5D695C10" w:rsidR="00AC41A9" w:rsidRDefault="00AC41A9" w:rsidP="00AC5B73">
            <w:pPr>
              <w:pStyle w:val="NoSpacing"/>
              <w:rPr>
                <w:rFonts w:ascii="Arial" w:hAnsi="Arial" w:cs="Arial"/>
              </w:rPr>
            </w:pPr>
            <w:r>
              <w:rPr>
                <w:rFonts w:ascii="Arial" w:hAnsi="Arial" w:cs="Arial"/>
                <w:lang w:eastAsia="en-GB"/>
              </w:rPr>
              <w:t>Candidates withdrawing from the process once offer is made</w:t>
            </w:r>
          </w:p>
        </w:tc>
        <w:tc>
          <w:tcPr>
            <w:tcW w:w="2484" w:type="dxa"/>
          </w:tcPr>
          <w:p w14:paraId="00B89408" w14:textId="40BF78D3" w:rsidR="00AC41A9" w:rsidRDefault="00AC41A9" w:rsidP="00AC5B73">
            <w:pPr>
              <w:pStyle w:val="NoSpacing"/>
              <w:jc w:val="right"/>
              <w:rPr>
                <w:rFonts w:ascii="Arial" w:hAnsi="Arial" w:cs="Arial"/>
              </w:rPr>
            </w:pPr>
            <w:r>
              <w:rPr>
                <w:rFonts w:ascii="Arial" w:hAnsi="Arial" w:cs="Arial"/>
                <w:lang w:eastAsia="en-GB"/>
              </w:rPr>
              <w:t>43</w:t>
            </w:r>
          </w:p>
        </w:tc>
      </w:tr>
      <w:tr w:rsidR="00AC41A9" w14:paraId="449678A7" w14:textId="77777777" w:rsidTr="00AC41A9">
        <w:tc>
          <w:tcPr>
            <w:tcW w:w="8504" w:type="dxa"/>
          </w:tcPr>
          <w:p w14:paraId="2AAB5D18" w14:textId="0C8B1E48" w:rsidR="00AC41A9" w:rsidRDefault="00AC41A9" w:rsidP="00AC5B73">
            <w:pPr>
              <w:pStyle w:val="NoSpacing"/>
              <w:rPr>
                <w:rFonts w:ascii="Arial" w:hAnsi="Arial" w:cs="Arial"/>
              </w:rPr>
            </w:pPr>
            <w:r>
              <w:rPr>
                <w:rFonts w:ascii="Arial" w:hAnsi="Arial" w:cs="Arial"/>
                <w:lang w:eastAsia="en-GB"/>
              </w:rPr>
              <w:t>Offer withdrawn by the organisation</w:t>
            </w:r>
          </w:p>
        </w:tc>
        <w:tc>
          <w:tcPr>
            <w:tcW w:w="2484" w:type="dxa"/>
          </w:tcPr>
          <w:p w14:paraId="0B1F2336" w14:textId="50156BA6" w:rsidR="00AC41A9" w:rsidRDefault="00AC41A9" w:rsidP="00AC5B73">
            <w:pPr>
              <w:pStyle w:val="NoSpacing"/>
              <w:jc w:val="right"/>
              <w:rPr>
                <w:rFonts w:ascii="Arial" w:hAnsi="Arial" w:cs="Arial"/>
              </w:rPr>
            </w:pPr>
            <w:r>
              <w:rPr>
                <w:rFonts w:ascii="Arial" w:hAnsi="Arial" w:cs="Arial"/>
                <w:lang w:eastAsia="en-GB"/>
              </w:rPr>
              <w:t>18</w:t>
            </w:r>
          </w:p>
        </w:tc>
      </w:tr>
      <w:tr w:rsidR="00AC41A9" w14:paraId="7CF90C84" w14:textId="77777777" w:rsidTr="00AC41A9">
        <w:tc>
          <w:tcPr>
            <w:tcW w:w="8504" w:type="dxa"/>
          </w:tcPr>
          <w:p w14:paraId="5B9F74AF" w14:textId="60CFA1AF" w:rsidR="00AC41A9" w:rsidRDefault="00AC41A9" w:rsidP="00AC5B73">
            <w:pPr>
              <w:pStyle w:val="NoSpacing"/>
              <w:rPr>
                <w:rFonts w:ascii="Arial" w:hAnsi="Arial" w:cs="Arial"/>
              </w:rPr>
            </w:pPr>
            <w:r>
              <w:rPr>
                <w:rFonts w:ascii="Arial" w:hAnsi="Arial" w:cs="Arial"/>
                <w:lang w:eastAsia="en-GB"/>
              </w:rPr>
              <w:t xml:space="preserve">On hold </w:t>
            </w:r>
          </w:p>
        </w:tc>
        <w:tc>
          <w:tcPr>
            <w:tcW w:w="2484" w:type="dxa"/>
          </w:tcPr>
          <w:p w14:paraId="0F4C4B7F" w14:textId="187AA35F" w:rsidR="00AC41A9" w:rsidRDefault="00AC41A9" w:rsidP="00AC5B73">
            <w:pPr>
              <w:pStyle w:val="NoSpacing"/>
              <w:jc w:val="right"/>
              <w:rPr>
                <w:rFonts w:ascii="Arial" w:hAnsi="Arial" w:cs="Arial"/>
              </w:rPr>
            </w:pPr>
            <w:r>
              <w:rPr>
                <w:rFonts w:ascii="Arial" w:hAnsi="Arial" w:cs="Arial"/>
                <w:lang w:eastAsia="en-GB"/>
              </w:rPr>
              <w:t>12</w:t>
            </w:r>
          </w:p>
        </w:tc>
      </w:tr>
      <w:tr w:rsidR="00AC41A9" w14:paraId="4A7D8913" w14:textId="77777777" w:rsidTr="00AC41A9">
        <w:tc>
          <w:tcPr>
            <w:tcW w:w="8504" w:type="dxa"/>
          </w:tcPr>
          <w:p w14:paraId="79622BCC" w14:textId="0B464BA4" w:rsidR="00AC41A9" w:rsidRDefault="00AC41A9" w:rsidP="00AC5B73">
            <w:pPr>
              <w:pStyle w:val="NoSpacing"/>
              <w:rPr>
                <w:rFonts w:ascii="Arial" w:hAnsi="Arial" w:cs="Arial"/>
              </w:rPr>
            </w:pPr>
            <w:r>
              <w:rPr>
                <w:rFonts w:ascii="Arial" w:hAnsi="Arial" w:cs="Arial"/>
                <w:lang w:eastAsia="en-GB"/>
              </w:rPr>
              <w:t>Pre-employment checks complete, awaiting agreement of a start date</w:t>
            </w:r>
          </w:p>
        </w:tc>
        <w:tc>
          <w:tcPr>
            <w:tcW w:w="2484" w:type="dxa"/>
          </w:tcPr>
          <w:p w14:paraId="46371716" w14:textId="575AD870" w:rsidR="00AC41A9" w:rsidRDefault="00AC41A9" w:rsidP="00AC5B73">
            <w:pPr>
              <w:pStyle w:val="NoSpacing"/>
              <w:jc w:val="right"/>
              <w:rPr>
                <w:rFonts w:ascii="Arial" w:hAnsi="Arial" w:cs="Arial"/>
              </w:rPr>
            </w:pPr>
            <w:r>
              <w:rPr>
                <w:rFonts w:ascii="Arial" w:hAnsi="Arial" w:cs="Arial"/>
                <w:lang w:eastAsia="en-GB"/>
              </w:rPr>
              <w:t>12</w:t>
            </w:r>
          </w:p>
        </w:tc>
      </w:tr>
      <w:tr w:rsidR="00AC41A9" w14:paraId="6DA09E10" w14:textId="77777777" w:rsidTr="00AC41A9">
        <w:tc>
          <w:tcPr>
            <w:tcW w:w="8504" w:type="dxa"/>
          </w:tcPr>
          <w:p w14:paraId="4D006ED3" w14:textId="19C9A636" w:rsidR="00AC41A9" w:rsidRDefault="00AC41A9" w:rsidP="00AC5B73">
            <w:pPr>
              <w:pStyle w:val="NoSpacing"/>
              <w:rPr>
                <w:rFonts w:ascii="Arial" w:hAnsi="Arial" w:cs="Arial"/>
              </w:rPr>
            </w:pPr>
            <w:r>
              <w:rPr>
                <w:rFonts w:ascii="Arial" w:hAnsi="Arial" w:cs="Arial"/>
                <w:lang w:eastAsia="en-GB"/>
              </w:rPr>
              <w:t>Start date agreed (recruitment journey complete)</w:t>
            </w:r>
          </w:p>
        </w:tc>
        <w:tc>
          <w:tcPr>
            <w:tcW w:w="2484" w:type="dxa"/>
          </w:tcPr>
          <w:p w14:paraId="24A87516" w14:textId="2BB3B398" w:rsidR="00AC41A9" w:rsidRDefault="00AC41A9" w:rsidP="00AC5B73">
            <w:pPr>
              <w:pStyle w:val="NoSpacing"/>
              <w:jc w:val="right"/>
              <w:rPr>
                <w:rFonts w:ascii="Arial" w:hAnsi="Arial" w:cs="Arial"/>
              </w:rPr>
            </w:pPr>
            <w:r>
              <w:rPr>
                <w:rFonts w:ascii="Arial" w:hAnsi="Arial" w:cs="Arial"/>
                <w:lang w:eastAsia="en-GB"/>
              </w:rPr>
              <w:t>41</w:t>
            </w:r>
          </w:p>
        </w:tc>
      </w:tr>
      <w:tr w:rsidR="00AC41A9" w14:paraId="78581DE7" w14:textId="77777777" w:rsidTr="00AC41A9">
        <w:tc>
          <w:tcPr>
            <w:tcW w:w="8504" w:type="dxa"/>
          </w:tcPr>
          <w:p w14:paraId="45DCBA2F" w14:textId="3889DAC6" w:rsidR="00AC41A9" w:rsidRDefault="00AC41A9" w:rsidP="00AC5B73">
            <w:pPr>
              <w:pStyle w:val="NoSpacing"/>
              <w:rPr>
                <w:rFonts w:ascii="Arial" w:hAnsi="Arial" w:cs="Arial"/>
              </w:rPr>
            </w:pPr>
            <w:r>
              <w:rPr>
                <w:rFonts w:ascii="Arial" w:hAnsi="Arial" w:cs="Arial"/>
                <w:lang w:eastAsia="en-GB"/>
              </w:rPr>
              <w:t>Started work</w:t>
            </w:r>
          </w:p>
        </w:tc>
        <w:tc>
          <w:tcPr>
            <w:tcW w:w="2484" w:type="dxa"/>
          </w:tcPr>
          <w:p w14:paraId="3FDF65FB" w14:textId="47B529AD" w:rsidR="00AC41A9" w:rsidRDefault="00AC41A9" w:rsidP="00AC5B73">
            <w:pPr>
              <w:pStyle w:val="NoSpacing"/>
              <w:jc w:val="right"/>
              <w:rPr>
                <w:rFonts w:ascii="Arial" w:hAnsi="Arial" w:cs="Arial"/>
              </w:rPr>
            </w:pPr>
            <w:r>
              <w:rPr>
                <w:rFonts w:ascii="Arial" w:hAnsi="Arial" w:cs="Arial"/>
                <w:lang w:eastAsia="en-GB"/>
              </w:rPr>
              <w:t>482</w:t>
            </w:r>
          </w:p>
        </w:tc>
      </w:tr>
    </w:tbl>
    <w:p w14:paraId="48CA5618" w14:textId="31EEE00E" w:rsidR="00AC41A9" w:rsidRDefault="00AC41A9" w:rsidP="00AC5B73">
      <w:pPr>
        <w:pStyle w:val="NoSpacing"/>
        <w:rPr>
          <w:rFonts w:ascii="Arial" w:hAnsi="Arial" w:cs="Arial"/>
        </w:rPr>
      </w:pPr>
    </w:p>
    <w:p w14:paraId="34163421" w14:textId="21AF1CCD" w:rsidR="00AC41A9" w:rsidRDefault="00AC41A9" w:rsidP="00AC5B73">
      <w:pPr>
        <w:pStyle w:val="NoSpacing"/>
        <w:rPr>
          <w:rFonts w:ascii="Arial" w:hAnsi="Arial" w:cs="Arial"/>
        </w:rPr>
      </w:pPr>
      <w:r>
        <w:rPr>
          <w:rFonts w:ascii="Arial" w:hAnsi="Arial" w:cs="Arial"/>
        </w:rPr>
        <w:t xml:space="preserve">The reader should note that </w:t>
      </w:r>
      <w:r w:rsidR="0018616E">
        <w:rPr>
          <w:rFonts w:ascii="Arial" w:hAnsi="Arial" w:cs="Arial"/>
        </w:rPr>
        <w:t>the activity on job train does not equate to the number of vacancies, as there is some double counting in these figures: “candidates withdrawing from the process” and “offer withdrawn by the organisation” will also be counted within other numbers on the list. The number who “started work” also does not equate to the number of starters, as some will have been in post at NHS GJ and have applied for advertised posts. Finally, a small number of posts advertised on Jobtrain are bank posts, which are not counted within the starters and within workforce numbers throughout the rest of this document.</w:t>
      </w:r>
      <w:r w:rsidR="00544D39">
        <w:rPr>
          <w:rFonts w:ascii="Arial" w:hAnsi="Arial" w:cs="Arial"/>
        </w:rPr>
        <w:t xml:space="preserve"> </w:t>
      </w:r>
      <w:r w:rsidR="0018616E">
        <w:rPr>
          <w:rFonts w:ascii="Arial" w:hAnsi="Arial" w:cs="Arial"/>
        </w:rPr>
        <w:t>It is not possible at this time to remove these from the status list.</w:t>
      </w:r>
    </w:p>
    <w:p w14:paraId="7E20782C" w14:textId="3F075F45" w:rsidR="00AC41A9" w:rsidRDefault="00AC41A9" w:rsidP="00AC5B73">
      <w:pPr>
        <w:pStyle w:val="NoSpacing"/>
        <w:rPr>
          <w:rFonts w:ascii="Arial" w:hAnsi="Arial" w:cs="Arial"/>
        </w:rPr>
      </w:pPr>
    </w:p>
    <w:p w14:paraId="2AEB668E" w14:textId="0B01EB71" w:rsidR="00AC41A9" w:rsidRDefault="0018616E" w:rsidP="00AC5B73">
      <w:pPr>
        <w:pStyle w:val="NoSpacing"/>
        <w:rPr>
          <w:rFonts w:ascii="Arial" w:hAnsi="Arial" w:cs="Arial"/>
        </w:rPr>
      </w:pPr>
      <w:r>
        <w:rPr>
          <w:rFonts w:ascii="Arial" w:hAnsi="Arial" w:cs="Arial"/>
        </w:rPr>
        <w:t>At this time we do not yet have a suite of standard management reports, which would provide us with information on the breakdown of vacancies by, say, Directorate or job family.</w:t>
      </w:r>
      <w:r w:rsidR="00544D39">
        <w:rPr>
          <w:rFonts w:ascii="Arial" w:hAnsi="Arial" w:cs="Arial"/>
        </w:rPr>
        <w:t xml:space="preserve"> </w:t>
      </w:r>
      <w:r>
        <w:rPr>
          <w:rFonts w:ascii="Arial" w:hAnsi="Arial" w:cs="Arial"/>
        </w:rPr>
        <w:t>However, a report writing function is currently being put together, with Recruitment working with colleagues in Performance and Planning to produce this.</w:t>
      </w:r>
    </w:p>
    <w:p w14:paraId="45B89778" w14:textId="3E6C3FD4" w:rsidR="00AC41A9" w:rsidRDefault="00AC41A9" w:rsidP="00AC5B73">
      <w:pPr>
        <w:pStyle w:val="NoSpacing"/>
        <w:rPr>
          <w:rFonts w:ascii="Arial" w:hAnsi="Arial" w:cs="Arial"/>
        </w:rPr>
      </w:pPr>
    </w:p>
    <w:p w14:paraId="59D9775D" w14:textId="11A64D57" w:rsidR="00305EA0" w:rsidRDefault="00305EA0" w:rsidP="00AC5B73">
      <w:pPr>
        <w:pStyle w:val="NoSpacing"/>
        <w:rPr>
          <w:rFonts w:ascii="Arial" w:hAnsi="Arial" w:cs="Arial"/>
        </w:rPr>
      </w:pPr>
      <w:r w:rsidRPr="00305EA0">
        <w:rPr>
          <w:rFonts w:ascii="Arial" w:hAnsi="Arial" w:cs="Arial"/>
        </w:rPr>
        <w:t>While we cannot provide a breakdown of vacancies by Directorate and job family, eESS allows us to provide this breakdown for starters who are new to the organisation. There was a headcount total of 305 starters in the year. The Directorate split of vacancies and new starters are shown below:</w:t>
      </w:r>
    </w:p>
    <w:p w14:paraId="02C36F08" w14:textId="77777777" w:rsidR="0018616E" w:rsidRPr="0068630B" w:rsidRDefault="0018616E" w:rsidP="00305EA0"/>
    <w:p w14:paraId="2FD17359" w14:textId="210BCEE4" w:rsidR="00826319" w:rsidRDefault="00826319" w:rsidP="00AC5B73">
      <w:pPr>
        <w:rPr>
          <w:rFonts w:cs="Arial"/>
          <w:szCs w:val="24"/>
          <w:highlight w:val="yellow"/>
        </w:rPr>
      </w:pPr>
      <w:r>
        <w:rPr>
          <w:noProof/>
          <w:lang w:eastAsia="en-GB"/>
        </w:rPr>
        <w:drawing>
          <wp:inline distT="0" distB="0" distL="0" distR="0" wp14:anchorId="5D0CBC05" wp14:editId="6E6F53C5">
            <wp:extent cx="6840000" cy="2160000"/>
            <wp:effectExtent l="0" t="0" r="18415" b="12065"/>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BEAE1FE" w14:textId="32CD7FE9" w:rsidR="00826319" w:rsidRDefault="00826319" w:rsidP="00AC5B73">
      <w:pPr>
        <w:rPr>
          <w:rFonts w:cs="Arial"/>
          <w:szCs w:val="24"/>
        </w:rPr>
      </w:pPr>
    </w:p>
    <w:p w14:paraId="10B0E517" w14:textId="20744B41" w:rsidR="0018616E" w:rsidRDefault="0018616E" w:rsidP="00AC5B73">
      <w:pPr>
        <w:rPr>
          <w:rFonts w:cs="Arial"/>
          <w:szCs w:val="24"/>
        </w:rPr>
      </w:pPr>
      <w:r>
        <w:rPr>
          <w:rFonts w:cs="Arial"/>
          <w:szCs w:val="24"/>
        </w:rPr>
        <w:t>The breakdown of starters by job family is shown in the following chart:</w:t>
      </w:r>
    </w:p>
    <w:p w14:paraId="2877BF4D" w14:textId="77777777" w:rsidR="0018616E" w:rsidRDefault="0018616E" w:rsidP="00AC5B73">
      <w:pPr>
        <w:rPr>
          <w:rFonts w:cs="Arial"/>
          <w:szCs w:val="24"/>
        </w:rPr>
      </w:pPr>
    </w:p>
    <w:p w14:paraId="49E50F2E" w14:textId="4F07BFDD" w:rsidR="00826319" w:rsidRDefault="00826319" w:rsidP="00AC5B73">
      <w:pPr>
        <w:rPr>
          <w:rFonts w:cs="Arial"/>
          <w:szCs w:val="24"/>
        </w:rPr>
      </w:pPr>
      <w:r>
        <w:rPr>
          <w:noProof/>
          <w:lang w:eastAsia="en-GB"/>
        </w:rPr>
        <w:drawing>
          <wp:inline distT="0" distB="0" distL="0" distR="0" wp14:anchorId="77585760" wp14:editId="00873ED2">
            <wp:extent cx="6840000" cy="2160000"/>
            <wp:effectExtent l="0" t="0" r="18415" b="12065"/>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3610D85" w14:textId="77777777" w:rsidR="00251999" w:rsidRDefault="00251999" w:rsidP="00AC5B73"/>
    <w:p w14:paraId="0D507612" w14:textId="61E85CF9" w:rsidR="007F5F30" w:rsidRPr="00F825B7" w:rsidRDefault="00251999" w:rsidP="00AC5B73">
      <w:pPr>
        <w:rPr>
          <w:rFonts w:eastAsiaTheme="majorEastAsia"/>
          <w:b/>
          <w:bCs/>
        </w:rPr>
      </w:pPr>
      <w:r>
        <w:t>It should not be a surprise that the job family with by far the larges</w:t>
      </w:r>
      <w:r w:rsidR="003E5ECD">
        <w:t>t number of new starts in the monitored period was Nursing and Midwifery.</w:t>
      </w:r>
      <w:r w:rsidR="00CA40E1">
        <w:t xml:space="preserve"> </w:t>
      </w:r>
      <w:r w:rsidR="00AC249E">
        <w:t>It</w:t>
      </w:r>
      <w:r w:rsidR="003E5ECD">
        <w:t xml:space="preserve"> accounted for </w:t>
      </w:r>
      <w:r w:rsidR="00AC249E">
        <w:t>35.7</w:t>
      </w:r>
      <w:r w:rsidR="003E5ECD">
        <w:t>% of starters.</w:t>
      </w:r>
      <w:r w:rsidR="007F5F30" w:rsidRPr="00F825B7">
        <w:br w:type="page"/>
      </w:r>
    </w:p>
    <w:p w14:paraId="62CE4057" w14:textId="77777777" w:rsidR="00AE140D" w:rsidRPr="00F825B7" w:rsidRDefault="00C06EE9" w:rsidP="00AC5B73">
      <w:pPr>
        <w:pStyle w:val="Heading1"/>
      </w:pPr>
      <w:bookmarkStart w:id="28" w:name="_Toc76025088"/>
      <w:bookmarkStart w:id="29" w:name="_Toc108076886"/>
      <w:r w:rsidRPr="00F825B7">
        <w:lastRenderedPageBreak/>
        <w:t>Sickness Absence</w:t>
      </w:r>
      <w:bookmarkEnd w:id="28"/>
      <w:bookmarkEnd w:id="29"/>
    </w:p>
    <w:p w14:paraId="1D874577" w14:textId="77777777" w:rsidR="00C06EE9" w:rsidRPr="00F825B7" w:rsidRDefault="00C06EE9" w:rsidP="00AC5B73">
      <w:pPr>
        <w:rPr>
          <w:rFonts w:cs="Arial"/>
          <w:szCs w:val="24"/>
        </w:rPr>
      </w:pPr>
    </w:p>
    <w:p w14:paraId="6980A35F" w14:textId="74AD7DC1" w:rsidR="005F2546" w:rsidRDefault="005F2546" w:rsidP="00AC5B73">
      <w:pPr>
        <w:pStyle w:val="Heading2"/>
        <w:rPr>
          <w:rFonts w:cs="Arial"/>
        </w:rPr>
      </w:pPr>
      <w:bookmarkStart w:id="30" w:name="_Toc76025089"/>
      <w:bookmarkStart w:id="31" w:name="_Toc108076887"/>
      <w:r w:rsidRPr="00F825B7">
        <w:rPr>
          <w:rFonts w:cs="Arial"/>
        </w:rPr>
        <w:t>Board</w:t>
      </w:r>
      <w:r w:rsidR="00D867DB">
        <w:rPr>
          <w:rFonts w:cs="Arial"/>
        </w:rPr>
        <w:t xml:space="preserve"> W</w:t>
      </w:r>
      <w:r w:rsidRPr="00F825B7">
        <w:rPr>
          <w:rFonts w:cs="Arial"/>
        </w:rPr>
        <w:t>ide Sickness Absence</w:t>
      </w:r>
      <w:bookmarkEnd w:id="30"/>
      <w:bookmarkEnd w:id="31"/>
    </w:p>
    <w:p w14:paraId="070855BF" w14:textId="4FDA2215" w:rsidR="00AA0FEF" w:rsidRPr="00AA0FEF" w:rsidRDefault="0038600E" w:rsidP="00AC5B73">
      <w:pPr>
        <w:pStyle w:val="Heading3"/>
      </w:pPr>
      <w:bookmarkStart w:id="32" w:name="_Toc76025090"/>
      <w:bookmarkStart w:id="33" w:name="_Toc108076888"/>
      <w:r>
        <w:t>2021</w:t>
      </w:r>
      <w:r w:rsidR="00AA0FEF">
        <w:t>/202</w:t>
      </w:r>
      <w:bookmarkEnd w:id="32"/>
      <w:r>
        <w:t>2</w:t>
      </w:r>
      <w:bookmarkEnd w:id="33"/>
    </w:p>
    <w:p w14:paraId="65CE38E1" w14:textId="39E33271" w:rsidR="00751D63" w:rsidRPr="00AF255D" w:rsidRDefault="00C654EE" w:rsidP="00AC5B73">
      <w:pPr>
        <w:rPr>
          <w:rFonts w:cs="Arial"/>
          <w:szCs w:val="24"/>
        </w:rPr>
      </w:pPr>
      <w:r w:rsidRPr="00AF255D">
        <w:rPr>
          <w:rFonts w:cs="Arial"/>
          <w:szCs w:val="24"/>
        </w:rPr>
        <w:t xml:space="preserve">Sickness absence is recorded by the service on the Scottish Standard Time System (SSTS) and statistics relating to the levels of sickness absence at a Departmental, </w:t>
      </w:r>
      <w:r w:rsidR="003040B3" w:rsidRPr="00AF255D">
        <w:rPr>
          <w:rFonts w:cs="Arial"/>
          <w:szCs w:val="24"/>
        </w:rPr>
        <w:t>Directorate</w:t>
      </w:r>
      <w:r w:rsidRPr="00AF255D">
        <w:rPr>
          <w:rFonts w:cs="Arial"/>
          <w:szCs w:val="24"/>
        </w:rPr>
        <w:t xml:space="preserve"> and Board level are reported monthly to stakeholders by t</w:t>
      </w:r>
      <w:r w:rsidR="000C09D2" w:rsidRPr="00AF255D">
        <w:rPr>
          <w:rFonts w:cs="Arial"/>
          <w:szCs w:val="24"/>
        </w:rPr>
        <w:t>he Human Resources Department.</w:t>
      </w:r>
      <w:r w:rsidR="00901CC7" w:rsidRPr="00AF255D">
        <w:rPr>
          <w:rFonts w:cs="Arial"/>
          <w:szCs w:val="24"/>
        </w:rPr>
        <w:t xml:space="preserve"> </w:t>
      </w:r>
      <w:r w:rsidRPr="00AF255D">
        <w:rPr>
          <w:rFonts w:cs="Arial"/>
          <w:szCs w:val="24"/>
        </w:rPr>
        <w:t xml:space="preserve">The long term </w:t>
      </w:r>
      <w:r w:rsidR="00E85B5C" w:rsidRPr="00AF255D">
        <w:rPr>
          <w:rFonts w:cs="Arial"/>
          <w:szCs w:val="24"/>
        </w:rPr>
        <w:t>national standard</w:t>
      </w:r>
      <w:r w:rsidRPr="00AF255D">
        <w:rPr>
          <w:rFonts w:cs="Arial"/>
          <w:szCs w:val="24"/>
        </w:rPr>
        <w:t xml:space="preserve"> for sickness absence is 4</w:t>
      </w:r>
      <w:r w:rsidR="006D492C" w:rsidRPr="00AF255D">
        <w:rPr>
          <w:rFonts w:cs="Arial"/>
          <w:szCs w:val="24"/>
        </w:rPr>
        <w:t>.0</w:t>
      </w:r>
      <w:r w:rsidRPr="00AF255D">
        <w:rPr>
          <w:rFonts w:cs="Arial"/>
          <w:szCs w:val="24"/>
        </w:rPr>
        <w:t>%.</w:t>
      </w:r>
      <w:r w:rsidR="00901CC7" w:rsidRPr="00AF255D">
        <w:rPr>
          <w:rFonts w:cs="Arial"/>
          <w:szCs w:val="24"/>
        </w:rPr>
        <w:t xml:space="preserve"> </w:t>
      </w:r>
      <w:r w:rsidRPr="00AF255D">
        <w:rPr>
          <w:rFonts w:cs="Arial"/>
          <w:szCs w:val="24"/>
        </w:rPr>
        <w:t xml:space="preserve">Over the monitored period the levels of sickness absence </w:t>
      </w:r>
      <w:r w:rsidR="00F17E7D" w:rsidRPr="00AF255D">
        <w:rPr>
          <w:rFonts w:cs="Arial"/>
          <w:szCs w:val="24"/>
        </w:rPr>
        <w:t xml:space="preserve">for the Board </w:t>
      </w:r>
      <w:r w:rsidRPr="00AF255D">
        <w:rPr>
          <w:rFonts w:cs="Arial"/>
          <w:szCs w:val="24"/>
        </w:rPr>
        <w:t xml:space="preserve">were higher than the </w:t>
      </w:r>
      <w:r w:rsidR="00E85B5C" w:rsidRPr="00AF255D">
        <w:rPr>
          <w:rFonts w:cs="Arial"/>
          <w:szCs w:val="24"/>
        </w:rPr>
        <w:t>national standard</w:t>
      </w:r>
      <w:r w:rsidRPr="00AF255D">
        <w:rPr>
          <w:rFonts w:cs="Arial"/>
          <w:szCs w:val="24"/>
        </w:rPr>
        <w:t xml:space="preserve"> </w:t>
      </w:r>
      <w:r w:rsidR="00F17E7D" w:rsidRPr="00AF255D">
        <w:rPr>
          <w:rFonts w:cs="Arial"/>
          <w:szCs w:val="24"/>
        </w:rPr>
        <w:t>each month</w:t>
      </w:r>
      <w:r w:rsidRPr="00AF255D">
        <w:rPr>
          <w:rFonts w:cs="Arial"/>
          <w:szCs w:val="24"/>
        </w:rPr>
        <w:t xml:space="preserve">, </w:t>
      </w:r>
      <w:r w:rsidR="00F91166" w:rsidRPr="00AF255D">
        <w:rPr>
          <w:rFonts w:cs="Arial"/>
          <w:szCs w:val="24"/>
        </w:rPr>
        <w:t>as can be seen in the chart below.</w:t>
      </w:r>
      <w:r w:rsidR="00901CC7" w:rsidRPr="00AF255D">
        <w:rPr>
          <w:rFonts w:cs="Arial"/>
          <w:szCs w:val="24"/>
        </w:rPr>
        <w:t xml:space="preserve"> </w:t>
      </w:r>
      <w:r w:rsidR="00F17E7D" w:rsidRPr="00AF255D">
        <w:rPr>
          <w:rFonts w:cs="Arial"/>
          <w:szCs w:val="24"/>
        </w:rPr>
        <w:t>T</w:t>
      </w:r>
      <w:r w:rsidR="00751D63" w:rsidRPr="00AF255D">
        <w:rPr>
          <w:rFonts w:cs="Arial"/>
          <w:szCs w:val="24"/>
        </w:rPr>
        <w:t xml:space="preserve">he </w:t>
      </w:r>
      <w:r w:rsidR="00792495" w:rsidRPr="00AF255D">
        <w:rPr>
          <w:rFonts w:cs="Arial"/>
          <w:szCs w:val="24"/>
        </w:rPr>
        <w:t>annual</w:t>
      </w:r>
      <w:r w:rsidR="00751D63" w:rsidRPr="00AF255D">
        <w:rPr>
          <w:rFonts w:cs="Arial"/>
          <w:szCs w:val="24"/>
        </w:rPr>
        <w:t xml:space="preserve"> r</w:t>
      </w:r>
      <w:r w:rsidR="00F17E7D" w:rsidRPr="00AF255D">
        <w:rPr>
          <w:rFonts w:cs="Arial"/>
          <w:szCs w:val="24"/>
        </w:rPr>
        <w:t xml:space="preserve">ate of sickness absence for </w:t>
      </w:r>
      <w:r w:rsidR="00601931">
        <w:rPr>
          <w:rFonts w:cs="Arial"/>
          <w:szCs w:val="24"/>
        </w:rPr>
        <w:t>2021/2022</w:t>
      </w:r>
      <w:r w:rsidR="00751D63" w:rsidRPr="00AF255D">
        <w:rPr>
          <w:rFonts w:cs="Arial"/>
          <w:szCs w:val="24"/>
        </w:rPr>
        <w:t xml:space="preserve"> c</w:t>
      </w:r>
      <w:r w:rsidR="00F17E7D" w:rsidRPr="00AF255D">
        <w:rPr>
          <w:rFonts w:cs="Arial"/>
          <w:szCs w:val="24"/>
        </w:rPr>
        <w:t xml:space="preserve">ame in at </w:t>
      </w:r>
      <w:r w:rsidR="00601931">
        <w:rPr>
          <w:rFonts w:cs="Arial"/>
          <w:szCs w:val="24"/>
        </w:rPr>
        <w:t>5.7</w:t>
      </w:r>
      <w:r w:rsidR="00F17E7D" w:rsidRPr="00AF255D">
        <w:rPr>
          <w:rFonts w:cs="Arial"/>
          <w:szCs w:val="24"/>
        </w:rPr>
        <w:t xml:space="preserve">%, compared to </w:t>
      </w:r>
      <w:r w:rsidR="00804D6A">
        <w:rPr>
          <w:rFonts w:cs="Arial"/>
          <w:szCs w:val="24"/>
        </w:rPr>
        <w:t>4.4</w:t>
      </w:r>
      <w:r w:rsidR="00751D63" w:rsidRPr="00AF255D">
        <w:rPr>
          <w:rFonts w:cs="Arial"/>
          <w:szCs w:val="24"/>
        </w:rPr>
        <w:t>% for the previous year.</w:t>
      </w:r>
      <w:r w:rsidR="00142A82" w:rsidRPr="00AF255D">
        <w:rPr>
          <w:rFonts w:cs="Arial"/>
          <w:szCs w:val="24"/>
        </w:rPr>
        <w:t xml:space="preserve"> </w:t>
      </w:r>
      <w:r w:rsidR="00AD27FC" w:rsidRPr="00AF255D">
        <w:rPr>
          <w:rFonts w:cs="Arial"/>
          <w:szCs w:val="24"/>
        </w:rPr>
        <w:t xml:space="preserve">The sickness absence trend over the year is slightly </w:t>
      </w:r>
      <w:r w:rsidR="00804D6A">
        <w:rPr>
          <w:rFonts w:cs="Arial"/>
          <w:szCs w:val="24"/>
        </w:rPr>
        <w:t>upward</w:t>
      </w:r>
      <w:r w:rsidR="00AD27FC" w:rsidRPr="00AF255D">
        <w:rPr>
          <w:rFonts w:cs="Arial"/>
          <w:szCs w:val="24"/>
        </w:rPr>
        <w:t xml:space="preserve">, whereas the previous year it was a shallow </w:t>
      </w:r>
      <w:r w:rsidR="00804D6A">
        <w:rPr>
          <w:rFonts w:cs="Arial"/>
          <w:szCs w:val="24"/>
        </w:rPr>
        <w:t>downwards</w:t>
      </w:r>
      <w:r w:rsidR="00AD27FC" w:rsidRPr="00AF255D">
        <w:rPr>
          <w:rFonts w:cs="Arial"/>
          <w:szCs w:val="24"/>
        </w:rPr>
        <w:t xml:space="preserve"> trend.</w:t>
      </w:r>
    </w:p>
    <w:p w14:paraId="33690E4B" w14:textId="77777777" w:rsidR="00F17E7D" w:rsidRPr="00AF255D" w:rsidRDefault="00F17E7D" w:rsidP="00AC5B73">
      <w:pPr>
        <w:rPr>
          <w:rFonts w:cs="Arial"/>
          <w:szCs w:val="24"/>
        </w:rPr>
      </w:pPr>
    </w:p>
    <w:p w14:paraId="60562511" w14:textId="77777777" w:rsidR="00F17E7D" w:rsidRPr="00AF255D" w:rsidRDefault="00F17E7D" w:rsidP="00AC5B73">
      <w:pPr>
        <w:rPr>
          <w:rFonts w:cs="Arial"/>
          <w:szCs w:val="24"/>
        </w:rPr>
      </w:pPr>
      <w:r w:rsidRPr="00AF255D">
        <w:rPr>
          <w:rFonts w:cs="Arial"/>
          <w:szCs w:val="24"/>
        </w:rPr>
        <w:t>Human Resources continues to work closely with service management to manage sickness absence across the organisation, with the aims of supporting those on sick leave during their absence, providing assistance to enable those on sick leave to return to work, and helping managers to ensure that their staff remain at work.</w:t>
      </w:r>
    </w:p>
    <w:p w14:paraId="63D8E480" w14:textId="711A7D11" w:rsidR="00AD27FC" w:rsidRDefault="00AD27FC" w:rsidP="00AC5B73">
      <w:pPr>
        <w:rPr>
          <w:rFonts w:cs="Arial"/>
          <w:szCs w:val="24"/>
        </w:rPr>
      </w:pPr>
    </w:p>
    <w:p w14:paraId="12C2EED9" w14:textId="768A6393" w:rsidR="00AD27FC" w:rsidRPr="00AF255D" w:rsidRDefault="00804D6A" w:rsidP="00AC5B73">
      <w:pPr>
        <w:rPr>
          <w:rFonts w:cs="Arial"/>
          <w:szCs w:val="24"/>
        </w:rPr>
      </w:pPr>
      <w:r>
        <w:rPr>
          <w:noProof/>
          <w:lang w:eastAsia="en-GB"/>
        </w:rPr>
        <w:drawing>
          <wp:inline distT="0" distB="0" distL="0" distR="0" wp14:anchorId="73AAED06" wp14:editId="451E3945">
            <wp:extent cx="6840000" cy="2160000"/>
            <wp:effectExtent l="0" t="0" r="18415" b="12065"/>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B51C755" w14:textId="77777777" w:rsidR="00FA7A47" w:rsidRPr="00AF255D" w:rsidRDefault="00FA7A47" w:rsidP="00AC5B73">
      <w:pPr>
        <w:rPr>
          <w:rFonts w:cs="Arial"/>
          <w:szCs w:val="24"/>
        </w:rPr>
      </w:pPr>
    </w:p>
    <w:p w14:paraId="6B58F32D" w14:textId="135B2217" w:rsidR="00AA0FEF" w:rsidRPr="00AF255D" w:rsidRDefault="00AA0FEF" w:rsidP="00AC5B73">
      <w:pPr>
        <w:pStyle w:val="Heading3"/>
      </w:pPr>
      <w:bookmarkStart w:id="34" w:name="_Toc76025091"/>
      <w:bookmarkStart w:id="35" w:name="_Toc108076889"/>
      <w:r w:rsidRPr="00AF255D">
        <w:t>2015/2016 to 202</w:t>
      </w:r>
      <w:r w:rsidR="00804D6A">
        <w:t>1</w:t>
      </w:r>
      <w:r w:rsidRPr="00AF255D">
        <w:t>/202</w:t>
      </w:r>
      <w:bookmarkEnd w:id="34"/>
      <w:r w:rsidR="00804D6A">
        <w:t>2</w:t>
      </w:r>
      <w:bookmarkEnd w:id="35"/>
    </w:p>
    <w:p w14:paraId="4E75E362" w14:textId="5B84F294" w:rsidR="00AA0FEF" w:rsidRPr="00AF255D" w:rsidRDefault="00AA0FEF" w:rsidP="00AC5B73">
      <w:pPr>
        <w:pStyle w:val="NoSpacing"/>
        <w:rPr>
          <w:rFonts w:ascii="Arial" w:hAnsi="Arial" w:cs="Arial"/>
          <w:szCs w:val="24"/>
        </w:rPr>
      </w:pPr>
      <w:r w:rsidRPr="00AF255D">
        <w:rPr>
          <w:rFonts w:ascii="Arial" w:hAnsi="Arial" w:cs="Arial"/>
          <w:szCs w:val="24"/>
        </w:rPr>
        <w:t>We started to produce the annual Workforce Monitoring Reports to cover 2015/2016.</w:t>
      </w:r>
      <w:r w:rsidR="00142A82" w:rsidRPr="00AF255D">
        <w:rPr>
          <w:rFonts w:ascii="Arial" w:hAnsi="Arial" w:cs="Arial"/>
          <w:szCs w:val="24"/>
        </w:rPr>
        <w:t xml:space="preserve"> </w:t>
      </w:r>
      <w:r w:rsidRPr="00AF255D">
        <w:rPr>
          <w:rFonts w:ascii="Arial" w:hAnsi="Arial" w:cs="Arial"/>
          <w:szCs w:val="24"/>
        </w:rPr>
        <w:t xml:space="preserve">Since that year sickness absence rates for the Board </w:t>
      </w:r>
      <w:r w:rsidR="00804D6A">
        <w:rPr>
          <w:rFonts w:ascii="Arial" w:hAnsi="Arial" w:cs="Arial"/>
          <w:szCs w:val="24"/>
        </w:rPr>
        <w:t>have ranged between 4.7% and 5.7</w:t>
      </w:r>
      <w:r w:rsidRPr="00AF255D">
        <w:rPr>
          <w:rFonts w:ascii="Arial" w:hAnsi="Arial" w:cs="Arial"/>
          <w:szCs w:val="24"/>
        </w:rPr>
        <w:t>%.</w:t>
      </w:r>
      <w:r w:rsidR="00142A82" w:rsidRPr="00AF255D">
        <w:rPr>
          <w:rFonts w:ascii="Arial" w:hAnsi="Arial" w:cs="Arial"/>
          <w:szCs w:val="24"/>
        </w:rPr>
        <w:t xml:space="preserve"> </w:t>
      </w:r>
      <w:r w:rsidRPr="00AF255D">
        <w:rPr>
          <w:rFonts w:ascii="Arial" w:hAnsi="Arial" w:cs="Arial"/>
          <w:szCs w:val="24"/>
        </w:rPr>
        <w:t xml:space="preserve">At </w:t>
      </w:r>
      <w:r w:rsidR="00804D6A">
        <w:rPr>
          <w:rFonts w:ascii="Arial" w:hAnsi="Arial" w:cs="Arial"/>
          <w:szCs w:val="24"/>
        </w:rPr>
        <w:t>5.7</w:t>
      </w:r>
      <w:r w:rsidRPr="00AF255D">
        <w:rPr>
          <w:rFonts w:ascii="Arial" w:hAnsi="Arial" w:cs="Arial"/>
          <w:szCs w:val="24"/>
        </w:rPr>
        <w:t>% 202</w:t>
      </w:r>
      <w:r w:rsidR="00804D6A">
        <w:rPr>
          <w:rFonts w:ascii="Arial" w:hAnsi="Arial" w:cs="Arial"/>
          <w:szCs w:val="24"/>
        </w:rPr>
        <w:t>1/2022</w:t>
      </w:r>
      <w:r w:rsidRPr="00AF255D">
        <w:rPr>
          <w:rFonts w:ascii="Arial" w:hAnsi="Arial" w:cs="Arial"/>
          <w:szCs w:val="24"/>
        </w:rPr>
        <w:t xml:space="preserve"> has had the </w:t>
      </w:r>
      <w:r w:rsidR="00804D6A">
        <w:rPr>
          <w:rFonts w:ascii="Arial" w:hAnsi="Arial" w:cs="Arial"/>
          <w:szCs w:val="24"/>
        </w:rPr>
        <w:t>highest</w:t>
      </w:r>
      <w:r w:rsidRPr="00AF255D">
        <w:rPr>
          <w:rFonts w:ascii="Arial" w:hAnsi="Arial" w:cs="Arial"/>
          <w:szCs w:val="24"/>
        </w:rPr>
        <w:t xml:space="preserve"> rate of sickness absence since 2015/2016, and the trend for sickness absence since then has been </w:t>
      </w:r>
      <w:r w:rsidR="00824D39">
        <w:rPr>
          <w:rFonts w:ascii="Arial" w:hAnsi="Arial" w:cs="Arial"/>
          <w:szCs w:val="24"/>
        </w:rPr>
        <w:t>flat</w:t>
      </w:r>
      <w:r w:rsidRPr="00AF255D">
        <w:rPr>
          <w:rFonts w:ascii="Arial" w:hAnsi="Arial" w:cs="Arial"/>
          <w:szCs w:val="24"/>
        </w:rPr>
        <w:t>, as can be seen in the chart below.</w:t>
      </w:r>
    </w:p>
    <w:p w14:paraId="1BA0FEF2" w14:textId="0EC340EC" w:rsidR="00AA0FEF" w:rsidRDefault="00AA0FEF" w:rsidP="00AC5B73">
      <w:pPr>
        <w:pStyle w:val="NoSpacing"/>
        <w:rPr>
          <w:rFonts w:ascii="Arial" w:hAnsi="Arial" w:cs="Arial"/>
          <w:szCs w:val="24"/>
        </w:rPr>
      </w:pPr>
    </w:p>
    <w:p w14:paraId="739E545B" w14:textId="5FE9506B" w:rsidR="00824D39" w:rsidRDefault="00824D39" w:rsidP="00AC5B73">
      <w:pPr>
        <w:pStyle w:val="NoSpacing"/>
        <w:rPr>
          <w:rFonts w:ascii="Arial" w:hAnsi="Arial" w:cs="Arial"/>
          <w:szCs w:val="24"/>
        </w:rPr>
      </w:pPr>
      <w:r>
        <w:rPr>
          <w:noProof/>
          <w:lang w:eastAsia="en-GB"/>
        </w:rPr>
        <w:drawing>
          <wp:inline distT="0" distB="0" distL="0" distR="0" wp14:anchorId="14BEFD6E" wp14:editId="3784CB1B">
            <wp:extent cx="6840000" cy="2160000"/>
            <wp:effectExtent l="0" t="0" r="18415" b="12065"/>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1659393" w14:textId="77777777" w:rsidR="003B6936" w:rsidRPr="00AF255D" w:rsidRDefault="003B6936" w:rsidP="00AC5B73">
      <w:pPr>
        <w:rPr>
          <w:rFonts w:cs="Arial"/>
          <w:szCs w:val="24"/>
        </w:rPr>
      </w:pPr>
    </w:p>
    <w:p w14:paraId="0FD741C1" w14:textId="74FA0F34" w:rsidR="009A73F1" w:rsidRPr="00AF255D" w:rsidRDefault="009A73F1" w:rsidP="00AC5B73">
      <w:pPr>
        <w:pStyle w:val="Heading3"/>
      </w:pPr>
      <w:bookmarkStart w:id="36" w:name="_Toc76025092"/>
      <w:bookmarkStart w:id="37" w:name="_Toc108076890"/>
      <w:r w:rsidRPr="00AF255D">
        <w:t xml:space="preserve">Comparison with Other National Boards and </w:t>
      </w:r>
      <w:r w:rsidR="00352966" w:rsidRPr="00AF255D">
        <w:t>NHS</w:t>
      </w:r>
      <w:r w:rsidR="008338EC">
        <w:t xml:space="preserve"> </w:t>
      </w:r>
      <w:r w:rsidRPr="00AF255D">
        <w:t>Scotland</w:t>
      </w:r>
      <w:bookmarkEnd w:id="36"/>
      <w:bookmarkEnd w:id="37"/>
    </w:p>
    <w:p w14:paraId="50024E92" w14:textId="3059906C" w:rsidR="009A73F1" w:rsidRPr="00AF255D" w:rsidRDefault="00390E19" w:rsidP="00AC5B73">
      <w:pPr>
        <w:widowControl w:val="0"/>
        <w:rPr>
          <w:rFonts w:cs="Arial"/>
          <w:szCs w:val="24"/>
        </w:rPr>
      </w:pPr>
      <w:r w:rsidRPr="00AF255D">
        <w:rPr>
          <w:rFonts w:cs="Arial"/>
          <w:szCs w:val="24"/>
        </w:rPr>
        <w:lastRenderedPageBreak/>
        <w:t xml:space="preserve">Since 2015/2016 sickness absence rates for NHS GJ have tended to be lower than for the National Boards and </w:t>
      </w:r>
      <w:r w:rsidR="008338EC">
        <w:rPr>
          <w:rFonts w:cs="Arial"/>
          <w:szCs w:val="24"/>
        </w:rPr>
        <w:t>NHS Scotland</w:t>
      </w:r>
      <w:r w:rsidRPr="00AF255D">
        <w:rPr>
          <w:rFonts w:cs="Arial"/>
          <w:szCs w:val="24"/>
        </w:rPr>
        <w:t xml:space="preserve"> as a whole, as can be seen in the chart below.</w:t>
      </w:r>
      <w:r w:rsidR="00142A82" w:rsidRPr="00AF255D">
        <w:rPr>
          <w:rFonts w:cs="Arial"/>
          <w:szCs w:val="24"/>
        </w:rPr>
        <w:t xml:space="preserve"> </w:t>
      </w:r>
      <w:r w:rsidRPr="00AF255D">
        <w:rPr>
          <w:rFonts w:cs="Arial"/>
          <w:szCs w:val="24"/>
        </w:rPr>
        <w:t xml:space="preserve">As well as NHS GJ, the National Boards and </w:t>
      </w:r>
      <w:r w:rsidR="008338EC">
        <w:rPr>
          <w:rFonts w:cs="Arial"/>
          <w:szCs w:val="24"/>
        </w:rPr>
        <w:t>NHS Scotland</w:t>
      </w:r>
      <w:r w:rsidRPr="00AF255D">
        <w:rPr>
          <w:rFonts w:cs="Arial"/>
          <w:szCs w:val="24"/>
        </w:rPr>
        <w:t xml:space="preserve"> have also experienced </w:t>
      </w:r>
      <w:r w:rsidR="003B6936">
        <w:rPr>
          <w:rFonts w:cs="Arial"/>
          <w:szCs w:val="24"/>
        </w:rPr>
        <w:t>an increase in sickness absence in 2021/2022 when compared to the previous year</w:t>
      </w:r>
      <w:r w:rsidRPr="00AF255D">
        <w:rPr>
          <w:rFonts w:cs="Arial"/>
          <w:szCs w:val="24"/>
        </w:rPr>
        <w:t>.</w:t>
      </w:r>
    </w:p>
    <w:p w14:paraId="038D1F7E" w14:textId="0695C4B4" w:rsidR="00390E19" w:rsidRDefault="00390E19" w:rsidP="00AC5B73">
      <w:pPr>
        <w:rPr>
          <w:rFonts w:cs="Arial"/>
          <w:szCs w:val="24"/>
        </w:rPr>
      </w:pPr>
    </w:p>
    <w:p w14:paraId="3AA7EDD4" w14:textId="43B72974" w:rsidR="003B6936" w:rsidRDefault="003B6936" w:rsidP="00AC5B73">
      <w:pPr>
        <w:rPr>
          <w:rFonts w:cs="Arial"/>
          <w:szCs w:val="24"/>
        </w:rPr>
      </w:pPr>
      <w:r>
        <w:rPr>
          <w:noProof/>
          <w:lang w:eastAsia="en-GB"/>
        </w:rPr>
        <w:drawing>
          <wp:inline distT="0" distB="0" distL="0" distR="0" wp14:anchorId="64BE1763" wp14:editId="451BB3D9">
            <wp:extent cx="6840000" cy="2160000"/>
            <wp:effectExtent l="0" t="0" r="18415" b="1206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18E9337" w14:textId="25373EFE" w:rsidR="009A73F1" w:rsidRPr="00AF255D" w:rsidRDefault="009A73F1" w:rsidP="00AC5B73">
      <w:pPr>
        <w:rPr>
          <w:rFonts w:cs="Arial"/>
          <w:szCs w:val="24"/>
        </w:rPr>
      </w:pPr>
    </w:p>
    <w:p w14:paraId="15B26F89" w14:textId="77777777" w:rsidR="005F2546" w:rsidRPr="00AF255D" w:rsidRDefault="00BB6112" w:rsidP="00AC5B73">
      <w:pPr>
        <w:pStyle w:val="Heading2"/>
        <w:rPr>
          <w:rFonts w:cs="Arial"/>
        </w:rPr>
      </w:pPr>
      <w:bookmarkStart w:id="38" w:name="_Toc76025093"/>
      <w:bookmarkStart w:id="39" w:name="_Toc108076891"/>
      <w:r w:rsidRPr="00AF255D">
        <w:rPr>
          <w:rFonts w:cs="Arial"/>
        </w:rPr>
        <w:t>Long</w:t>
      </w:r>
      <w:r w:rsidR="005F2546" w:rsidRPr="00AF255D">
        <w:rPr>
          <w:rFonts w:cs="Arial"/>
        </w:rPr>
        <w:t xml:space="preserve"> Term and </w:t>
      </w:r>
      <w:r w:rsidRPr="00AF255D">
        <w:rPr>
          <w:rFonts w:cs="Arial"/>
        </w:rPr>
        <w:t>Short</w:t>
      </w:r>
      <w:r w:rsidR="005F2546" w:rsidRPr="00AF255D">
        <w:rPr>
          <w:rFonts w:cs="Arial"/>
        </w:rPr>
        <w:t xml:space="preserve"> Term Sickness Absence</w:t>
      </w:r>
      <w:bookmarkEnd w:id="38"/>
      <w:bookmarkEnd w:id="39"/>
    </w:p>
    <w:p w14:paraId="796DAA57" w14:textId="54DF19C1" w:rsidR="00F91166" w:rsidRPr="00AF255D" w:rsidRDefault="00EB04CB" w:rsidP="00AC5B73">
      <w:pPr>
        <w:rPr>
          <w:rFonts w:cs="Arial"/>
          <w:szCs w:val="24"/>
        </w:rPr>
      </w:pPr>
      <w:r w:rsidRPr="00AF255D">
        <w:rPr>
          <w:rFonts w:cs="Arial"/>
          <w:szCs w:val="24"/>
        </w:rPr>
        <w:t xml:space="preserve">Further analysis </w:t>
      </w:r>
      <w:r w:rsidR="00C12721" w:rsidRPr="00AF255D">
        <w:rPr>
          <w:rFonts w:cs="Arial"/>
          <w:szCs w:val="24"/>
        </w:rPr>
        <w:t xml:space="preserve">splits absences down into </w:t>
      </w:r>
      <w:r w:rsidR="00BB6112" w:rsidRPr="00AF255D">
        <w:rPr>
          <w:rFonts w:cs="Arial"/>
          <w:szCs w:val="24"/>
        </w:rPr>
        <w:t>long</w:t>
      </w:r>
      <w:r w:rsidR="00C12721" w:rsidRPr="00AF255D">
        <w:rPr>
          <w:rFonts w:cs="Arial"/>
          <w:szCs w:val="24"/>
        </w:rPr>
        <w:t xml:space="preserve"> </w:t>
      </w:r>
      <w:r w:rsidRPr="00AF255D">
        <w:rPr>
          <w:rFonts w:cs="Arial"/>
          <w:szCs w:val="24"/>
        </w:rPr>
        <w:t xml:space="preserve">term and </w:t>
      </w:r>
      <w:r w:rsidR="00BB6112" w:rsidRPr="00AF255D">
        <w:rPr>
          <w:rFonts w:cs="Arial"/>
          <w:szCs w:val="24"/>
        </w:rPr>
        <w:t>short</w:t>
      </w:r>
      <w:r w:rsidR="00C12721" w:rsidRPr="00AF255D">
        <w:rPr>
          <w:rFonts w:cs="Arial"/>
          <w:szCs w:val="24"/>
        </w:rPr>
        <w:t xml:space="preserve"> </w:t>
      </w:r>
      <w:r w:rsidRPr="00AF255D">
        <w:rPr>
          <w:rFonts w:cs="Arial"/>
          <w:szCs w:val="24"/>
        </w:rPr>
        <w:t>term, with long</w:t>
      </w:r>
      <w:r w:rsidR="00C12721" w:rsidRPr="00AF255D">
        <w:rPr>
          <w:rFonts w:cs="Arial"/>
          <w:szCs w:val="24"/>
        </w:rPr>
        <w:t xml:space="preserve"> </w:t>
      </w:r>
      <w:r w:rsidRPr="00AF255D">
        <w:rPr>
          <w:rFonts w:cs="Arial"/>
          <w:szCs w:val="24"/>
        </w:rPr>
        <w:t xml:space="preserve">term representing absences </w:t>
      </w:r>
      <w:r w:rsidR="00CD48A7">
        <w:rPr>
          <w:rFonts w:cs="Arial"/>
          <w:szCs w:val="24"/>
        </w:rPr>
        <w:t>of 29 days or more</w:t>
      </w:r>
      <w:r w:rsidRPr="00AF255D">
        <w:rPr>
          <w:rFonts w:cs="Arial"/>
          <w:szCs w:val="24"/>
        </w:rPr>
        <w:t>.</w:t>
      </w:r>
      <w:r w:rsidR="00901CC7" w:rsidRPr="00AF255D">
        <w:rPr>
          <w:rFonts w:cs="Arial"/>
          <w:szCs w:val="24"/>
        </w:rPr>
        <w:t xml:space="preserve"> </w:t>
      </w:r>
      <w:r w:rsidR="00181D13">
        <w:rPr>
          <w:rFonts w:cs="Arial"/>
          <w:szCs w:val="24"/>
        </w:rPr>
        <w:t>The chart below shows monthly sickness absence for all, long- and short-term sickness absence</w:t>
      </w:r>
      <w:r w:rsidR="008F3F75" w:rsidRPr="00AF255D">
        <w:rPr>
          <w:rFonts w:cs="Arial"/>
          <w:szCs w:val="24"/>
        </w:rPr>
        <w:t>.</w:t>
      </w:r>
    </w:p>
    <w:p w14:paraId="7F2CC80F" w14:textId="2E271FC5" w:rsidR="005F2546" w:rsidRDefault="005F2546" w:rsidP="00AC5B73">
      <w:pPr>
        <w:rPr>
          <w:rFonts w:cs="Arial"/>
          <w:szCs w:val="24"/>
        </w:rPr>
      </w:pPr>
    </w:p>
    <w:p w14:paraId="2DFA820A" w14:textId="5F97F740" w:rsidR="00181D13" w:rsidRDefault="00181D13" w:rsidP="00AC5B73">
      <w:pPr>
        <w:rPr>
          <w:rFonts w:cs="Arial"/>
          <w:szCs w:val="24"/>
        </w:rPr>
      </w:pPr>
      <w:r>
        <w:rPr>
          <w:noProof/>
          <w:lang w:eastAsia="en-GB"/>
        </w:rPr>
        <w:drawing>
          <wp:inline distT="0" distB="0" distL="0" distR="0" wp14:anchorId="63F54B08" wp14:editId="6F040648">
            <wp:extent cx="6840000" cy="2160000"/>
            <wp:effectExtent l="0" t="0" r="18415" b="12065"/>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32B96D0" w14:textId="77777777" w:rsidR="000E5083" w:rsidRPr="00AF255D" w:rsidRDefault="000E5083" w:rsidP="00AC5B73">
      <w:pPr>
        <w:rPr>
          <w:rFonts w:cs="Arial"/>
          <w:szCs w:val="24"/>
        </w:rPr>
      </w:pPr>
    </w:p>
    <w:p w14:paraId="4A458E57" w14:textId="77777777" w:rsidR="005F2546" w:rsidRPr="00AF255D" w:rsidRDefault="005F2546" w:rsidP="00AC5B73">
      <w:pPr>
        <w:pStyle w:val="Heading2"/>
        <w:rPr>
          <w:rFonts w:cs="Arial"/>
        </w:rPr>
      </w:pPr>
      <w:bookmarkStart w:id="40" w:name="_Toc76025094"/>
      <w:bookmarkStart w:id="41" w:name="_Toc108076892"/>
      <w:r w:rsidRPr="00AF255D">
        <w:rPr>
          <w:rFonts w:cs="Arial"/>
        </w:rPr>
        <w:t xml:space="preserve">Sickness Absence by </w:t>
      </w:r>
      <w:r w:rsidR="00217F76" w:rsidRPr="00AF255D">
        <w:rPr>
          <w:rFonts w:cs="Arial"/>
        </w:rPr>
        <w:t>Directorate</w:t>
      </w:r>
      <w:bookmarkEnd w:id="40"/>
      <w:bookmarkEnd w:id="41"/>
    </w:p>
    <w:p w14:paraId="69728535" w14:textId="4562D226" w:rsidR="005E4741" w:rsidRPr="00AF255D" w:rsidRDefault="002A1469" w:rsidP="00AC5B73">
      <w:pPr>
        <w:pStyle w:val="Heading3"/>
      </w:pPr>
      <w:bookmarkStart w:id="42" w:name="_Toc76025095"/>
      <w:bookmarkStart w:id="43" w:name="_Toc108076893"/>
      <w:r>
        <w:t>2021</w:t>
      </w:r>
      <w:r w:rsidR="005E4741" w:rsidRPr="00AF255D">
        <w:t>/202</w:t>
      </w:r>
      <w:bookmarkEnd w:id="42"/>
      <w:r>
        <w:t>2</w:t>
      </w:r>
      <w:bookmarkEnd w:id="43"/>
    </w:p>
    <w:p w14:paraId="696D27C8" w14:textId="3F81197A" w:rsidR="002C2005" w:rsidRPr="00AF255D" w:rsidRDefault="00614175" w:rsidP="00AC5B73">
      <w:pPr>
        <w:rPr>
          <w:rFonts w:cs="Arial"/>
          <w:szCs w:val="24"/>
        </w:rPr>
      </w:pPr>
      <w:r w:rsidRPr="00AF255D">
        <w:rPr>
          <w:rFonts w:cs="Arial"/>
          <w:szCs w:val="24"/>
        </w:rPr>
        <w:t>The chart below highlights</w:t>
      </w:r>
      <w:r w:rsidR="00CF1E27" w:rsidRPr="00AF255D">
        <w:rPr>
          <w:rFonts w:cs="Arial"/>
          <w:szCs w:val="24"/>
        </w:rPr>
        <w:t xml:space="preserve"> the t</w:t>
      </w:r>
      <w:r w:rsidRPr="00AF255D">
        <w:rPr>
          <w:rFonts w:cs="Arial"/>
          <w:szCs w:val="24"/>
        </w:rPr>
        <w:t xml:space="preserve">otal, </w:t>
      </w:r>
      <w:r w:rsidR="00C709B1">
        <w:rPr>
          <w:rFonts w:cs="Arial"/>
          <w:szCs w:val="24"/>
        </w:rPr>
        <w:t>long</w:t>
      </w:r>
      <w:r w:rsidRPr="00AF255D">
        <w:rPr>
          <w:rFonts w:cs="Arial"/>
          <w:szCs w:val="24"/>
        </w:rPr>
        <w:t xml:space="preserve"> </w:t>
      </w:r>
      <w:r w:rsidR="00CF1E27" w:rsidRPr="00AF255D">
        <w:rPr>
          <w:rFonts w:cs="Arial"/>
          <w:szCs w:val="24"/>
        </w:rPr>
        <w:t xml:space="preserve">term and </w:t>
      </w:r>
      <w:r w:rsidR="00C709B1">
        <w:rPr>
          <w:rFonts w:cs="Arial"/>
          <w:szCs w:val="24"/>
        </w:rPr>
        <w:t>short</w:t>
      </w:r>
      <w:r w:rsidRPr="00AF255D">
        <w:rPr>
          <w:rFonts w:cs="Arial"/>
          <w:szCs w:val="24"/>
        </w:rPr>
        <w:t xml:space="preserve"> </w:t>
      </w:r>
      <w:r w:rsidR="00CF1E27" w:rsidRPr="00AF255D">
        <w:rPr>
          <w:rFonts w:cs="Arial"/>
          <w:szCs w:val="24"/>
        </w:rPr>
        <w:t>t</w:t>
      </w:r>
      <w:r w:rsidRPr="00AF255D">
        <w:rPr>
          <w:rFonts w:cs="Arial"/>
          <w:szCs w:val="24"/>
        </w:rPr>
        <w:t xml:space="preserve">erm sickness absence </w:t>
      </w:r>
      <w:r w:rsidR="004816C2" w:rsidRPr="00AF255D">
        <w:rPr>
          <w:rFonts w:cs="Arial"/>
          <w:szCs w:val="24"/>
        </w:rPr>
        <w:t>rates</w:t>
      </w:r>
      <w:r w:rsidRPr="00AF255D">
        <w:rPr>
          <w:rFonts w:cs="Arial"/>
          <w:szCs w:val="24"/>
        </w:rPr>
        <w:t xml:space="preserve"> for each of the four </w:t>
      </w:r>
      <w:r w:rsidR="005C4355" w:rsidRPr="00AF255D">
        <w:rPr>
          <w:rFonts w:cs="Arial"/>
          <w:szCs w:val="24"/>
        </w:rPr>
        <w:t>Directorates</w:t>
      </w:r>
      <w:r w:rsidRPr="00AF255D">
        <w:rPr>
          <w:rFonts w:cs="Arial"/>
          <w:szCs w:val="24"/>
        </w:rPr>
        <w:t xml:space="preserve"> over the monitored period.</w:t>
      </w:r>
      <w:r w:rsidR="00901CC7" w:rsidRPr="00AF255D">
        <w:rPr>
          <w:rFonts w:cs="Arial"/>
          <w:szCs w:val="24"/>
        </w:rPr>
        <w:t xml:space="preserve"> </w:t>
      </w:r>
      <w:r w:rsidR="005C4355" w:rsidRPr="00AF255D">
        <w:rPr>
          <w:rFonts w:cs="Arial"/>
          <w:szCs w:val="24"/>
        </w:rPr>
        <w:t>The s</w:t>
      </w:r>
      <w:r w:rsidR="00C709B1">
        <w:rPr>
          <w:rFonts w:cs="Arial"/>
          <w:szCs w:val="24"/>
        </w:rPr>
        <w:t>ickness absence rate</w:t>
      </w:r>
      <w:r w:rsidR="005C4355" w:rsidRPr="00AF255D">
        <w:rPr>
          <w:rFonts w:cs="Arial"/>
          <w:szCs w:val="24"/>
        </w:rPr>
        <w:t xml:space="preserve"> in </w:t>
      </w:r>
      <w:r w:rsidR="002C2005" w:rsidRPr="00AF255D">
        <w:rPr>
          <w:rFonts w:cs="Arial"/>
          <w:szCs w:val="24"/>
        </w:rPr>
        <w:t xml:space="preserve">Corporate </w:t>
      </w:r>
      <w:r w:rsidR="00C709B1">
        <w:rPr>
          <w:rFonts w:cs="Arial"/>
          <w:szCs w:val="24"/>
        </w:rPr>
        <w:t>is the same as the national target of 4.0%, while that in the Go</w:t>
      </w:r>
      <w:r w:rsidR="002C2005" w:rsidRPr="00AF255D">
        <w:rPr>
          <w:rFonts w:cs="Arial"/>
          <w:szCs w:val="24"/>
        </w:rPr>
        <w:t xml:space="preserve">lden Jubilee Conference Hotel </w:t>
      </w:r>
      <w:r w:rsidR="00C709B1">
        <w:rPr>
          <w:rFonts w:cs="Arial"/>
          <w:szCs w:val="24"/>
        </w:rPr>
        <w:t>is</w:t>
      </w:r>
      <w:r w:rsidR="002C2005" w:rsidRPr="00AF255D">
        <w:rPr>
          <w:rFonts w:cs="Arial"/>
          <w:szCs w:val="24"/>
        </w:rPr>
        <w:t xml:space="preserve"> lower t</w:t>
      </w:r>
      <w:r w:rsidR="00C709B1">
        <w:rPr>
          <w:rFonts w:cs="Arial"/>
          <w:szCs w:val="24"/>
        </w:rPr>
        <w:t>han the national target</w:t>
      </w:r>
      <w:r w:rsidR="005E4741" w:rsidRPr="00AF255D">
        <w:rPr>
          <w:rFonts w:cs="Arial"/>
          <w:szCs w:val="24"/>
        </w:rPr>
        <w:t xml:space="preserve">, coming in at </w:t>
      </w:r>
      <w:r w:rsidR="00C709B1">
        <w:rPr>
          <w:rFonts w:cs="Arial"/>
          <w:szCs w:val="24"/>
        </w:rPr>
        <w:t>2.0%</w:t>
      </w:r>
      <w:r w:rsidR="005E4741" w:rsidRPr="00AF255D">
        <w:rPr>
          <w:rFonts w:cs="Arial"/>
          <w:szCs w:val="24"/>
        </w:rPr>
        <w:t>.</w:t>
      </w:r>
      <w:r w:rsidR="00142A82" w:rsidRPr="00AF255D">
        <w:rPr>
          <w:rFonts w:cs="Arial"/>
          <w:szCs w:val="24"/>
        </w:rPr>
        <w:t xml:space="preserve"> </w:t>
      </w:r>
      <w:r w:rsidR="005E4741" w:rsidRPr="00AF255D">
        <w:rPr>
          <w:rFonts w:cs="Arial"/>
          <w:szCs w:val="24"/>
        </w:rPr>
        <w:t xml:space="preserve">In both of the clinical Directorates the rate of sickness absence was higher than the national target: Heart, Lung and </w:t>
      </w:r>
      <w:r w:rsidR="00C709B1">
        <w:rPr>
          <w:rFonts w:cs="Arial"/>
          <w:szCs w:val="24"/>
        </w:rPr>
        <w:t>Diagnostic Services came in at 6</w:t>
      </w:r>
      <w:r w:rsidR="005E4741" w:rsidRPr="00AF255D">
        <w:rPr>
          <w:rFonts w:cs="Arial"/>
          <w:szCs w:val="24"/>
        </w:rPr>
        <w:t xml:space="preserve">.5%; and National Elective Services sat at </w:t>
      </w:r>
      <w:r w:rsidR="00C709B1">
        <w:rPr>
          <w:rFonts w:cs="Arial"/>
          <w:szCs w:val="24"/>
        </w:rPr>
        <w:t>6.6</w:t>
      </w:r>
      <w:r w:rsidR="005E4741" w:rsidRPr="00AF255D">
        <w:rPr>
          <w:rFonts w:cs="Arial"/>
          <w:szCs w:val="24"/>
        </w:rPr>
        <w:t>%.</w:t>
      </w:r>
      <w:r w:rsidR="006226E9">
        <w:rPr>
          <w:rFonts w:cs="Arial"/>
          <w:szCs w:val="24"/>
        </w:rPr>
        <w:t xml:space="preserve"> </w:t>
      </w:r>
      <w:r w:rsidR="00C709B1">
        <w:rPr>
          <w:rFonts w:cs="Arial"/>
          <w:szCs w:val="24"/>
        </w:rPr>
        <w:t>In Corporate, HLDS and NES long term absence accounted for most of the sickness absence (2.6%, 4.3% and 4.3% respectively), while in the Hotel short term sickness absence caused most of the absence (1.2%).</w:t>
      </w:r>
    </w:p>
    <w:p w14:paraId="1B9C0238" w14:textId="0E954C53" w:rsidR="00A670DF" w:rsidRDefault="002C2005" w:rsidP="00AC5B73">
      <w:pPr>
        <w:rPr>
          <w:rFonts w:cs="Arial"/>
          <w:szCs w:val="24"/>
        </w:rPr>
      </w:pPr>
      <w:r w:rsidRPr="00AF255D">
        <w:rPr>
          <w:rFonts w:cs="Arial"/>
          <w:szCs w:val="24"/>
        </w:rPr>
        <w:t xml:space="preserve"> </w:t>
      </w:r>
    </w:p>
    <w:p w14:paraId="109DD4E9" w14:textId="0ACF2C16" w:rsidR="0018514B" w:rsidRDefault="0018514B" w:rsidP="00AC5B73">
      <w:pPr>
        <w:rPr>
          <w:rFonts w:cs="Arial"/>
          <w:szCs w:val="24"/>
        </w:rPr>
      </w:pPr>
      <w:r>
        <w:rPr>
          <w:noProof/>
          <w:lang w:eastAsia="en-GB"/>
        </w:rPr>
        <w:lastRenderedPageBreak/>
        <w:drawing>
          <wp:inline distT="0" distB="0" distL="0" distR="0" wp14:anchorId="48DAF3E6" wp14:editId="1C4D3A3B">
            <wp:extent cx="6840000" cy="2160000"/>
            <wp:effectExtent l="0" t="0" r="18415" b="12065"/>
            <wp:docPr id="64" name="Chart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11A172C8" w14:textId="5F7F26A9" w:rsidR="0018514B" w:rsidRPr="00AF255D" w:rsidRDefault="0018514B" w:rsidP="00AC5B73">
      <w:pPr>
        <w:rPr>
          <w:rFonts w:cs="Arial"/>
          <w:szCs w:val="24"/>
        </w:rPr>
      </w:pPr>
    </w:p>
    <w:p w14:paraId="71B923DA" w14:textId="165245ED" w:rsidR="005E4741" w:rsidRPr="00AF255D" w:rsidRDefault="005E4741" w:rsidP="00AC5B73">
      <w:pPr>
        <w:pStyle w:val="Heading3"/>
      </w:pPr>
      <w:bookmarkStart w:id="44" w:name="_Toc76025096"/>
      <w:bookmarkStart w:id="45" w:name="_Toc108076894"/>
      <w:r w:rsidRPr="00AF255D">
        <w:t>2015/2016 to 20</w:t>
      </w:r>
      <w:r w:rsidR="009A225C">
        <w:t>21</w:t>
      </w:r>
      <w:r w:rsidRPr="00AF255D">
        <w:t>/202</w:t>
      </w:r>
      <w:bookmarkEnd w:id="44"/>
      <w:r w:rsidR="009A225C">
        <w:t>2</w:t>
      </w:r>
      <w:bookmarkEnd w:id="45"/>
    </w:p>
    <w:p w14:paraId="66A15CB3" w14:textId="4166ED65" w:rsidR="005E4741" w:rsidRDefault="00C07FA4" w:rsidP="00AC5B73">
      <w:pPr>
        <w:rPr>
          <w:rFonts w:cs="Arial"/>
          <w:szCs w:val="24"/>
        </w:rPr>
      </w:pPr>
      <w:r w:rsidRPr="00AF255D">
        <w:rPr>
          <w:rFonts w:cs="Arial"/>
          <w:szCs w:val="24"/>
        </w:rPr>
        <w:t>The tables below show for each Directorate their sickness absence rates for each year from 2015/2016 to 2020/2021, along with the trend for sickness absence for each Directorate.</w:t>
      </w:r>
      <w:r w:rsidR="00142A82" w:rsidRPr="00AF255D">
        <w:rPr>
          <w:rFonts w:cs="Arial"/>
          <w:szCs w:val="24"/>
        </w:rPr>
        <w:t xml:space="preserve"> </w:t>
      </w:r>
      <w:r w:rsidR="0052169F">
        <w:rPr>
          <w:rFonts w:cs="Arial"/>
          <w:szCs w:val="24"/>
        </w:rPr>
        <w:t xml:space="preserve">In Corporate and </w:t>
      </w:r>
      <w:r w:rsidRPr="00AF255D">
        <w:rPr>
          <w:rFonts w:cs="Arial"/>
          <w:szCs w:val="24"/>
        </w:rPr>
        <w:t xml:space="preserve">the </w:t>
      </w:r>
      <w:r w:rsidR="00D11D71" w:rsidRPr="00AF255D">
        <w:rPr>
          <w:rFonts w:cs="Arial"/>
          <w:szCs w:val="24"/>
        </w:rPr>
        <w:t xml:space="preserve">Golden Jubilee Conference </w:t>
      </w:r>
      <w:r w:rsidRPr="00AF255D">
        <w:rPr>
          <w:rFonts w:cs="Arial"/>
          <w:szCs w:val="24"/>
        </w:rPr>
        <w:t xml:space="preserve">Hotel </w:t>
      </w:r>
      <w:r w:rsidR="00D11D71" w:rsidRPr="00AF255D">
        <w:rPr>
          <w:rFonts w:cs="Arial"/>
          <w:szCs w:val="24"/>
        </w:rPr>
        <w:t xml:space="preserve">that period saw </w:t>
      </w:r>
      <w:r w:rsidR="0052169F">
        <w:rPr>
          <w:rFonts w:cs="Arial"/>
          <w:szCs w:val="24"/>
        </w:rPr>
        <w:t>a decreasing trend</w:t>
      </w:r>
      <w:r w:rsidR="00D11D71" w:rsidRPr="00AF255D">
        <w:rPr>
          <w:rFonts w:cs="Arial"/>
          <w:szCs w:val="24"/>
        </w:rPr>
        <w:t xml:space="preserve"> in sick</w:t>
      </w:r>
      <w:r w:rsidR="0052169F">
        <w:rPr>
          <w:rFonts w:cs="Arial"/>
          <w:szCs w:val="24"/>
        </w:rPr>
        <w:t>ness absence, while there was an</w:t>
      </w:r>
      <w:r w:rsidR="00D11D71" w:rsidRPr="00AF255D">
        <w:rPr>
          <w:rFonts w:cs="Arial"/>
          <w:szCs w:val="24"/>
        </w:rPr>
        <w:t xml:space="preserve"> increase in Heart, Lung and Diagnostic Services.</w:t>
      </w:r>
      <w:r w:rsidR="00544D39">
        <w:rPr>
          <w:rFonts w:cs="Arial"/>
          <w:szCs w:val="24"/>
        </w:rPr>
        <w:t xml:space="preserve"> </w:t>
      </w:r>
      <w:r w:rsidR="0052169F">
        <w:rPr>
          <w:rFonts w:cs="Arial"/>
          <w:szCs w:val="24"/>
        </w:rPr>
        <w:t>The trend line for National Elective Services is flat.</w:t>
      </w:r>
    </w:p>
    <w:p w14:paraId="1FBFFBB4" w14:textId="0174A729" w:rsidR="009A225C" w:rsidRDefault="009A225C" w:rsidP="00AC5B73">
      <w:pPr>
        <w:rPr>
          <w:rFonts w:cs="Arial"/>
          <w:szCs w:val="24"/>
        </w:rPr>
      </w:pPr>
    </w:p>
    <w:p w14:paraId="733D8A43" w14:textId="65F28091" w:rsidR="009A225C" w:rsidRDefault="009A225C" w:rsidP="00AC5B73">
      <w:pPr>
        <w:rPr>
          <w:rFonts w:cs="Arial"/>
          <w:szCs w:val="24"/>
        </w:rPr>
      </w:pPr>
      <w:r>
        <w:rPr>
          <w:noProof/>
          <w:lang w:eastAsia="en-GB"/>
        </w:rPr>
        <w:drawing>
          <wp:inline distT="0" distB="0" distL="0" distR="0" wp14:anchorId="1653D67D" wp14:editId="644E3A8B">
            <wp:extent cx="3240000" cy="2160000"/>
            <wp:effectExtent l="0" t="0" r="0" b="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6226E9">
        <w:rPr>
          <w:rFonts w:cs="Arial"/>
          <w:szCs w:val="24"/>
        </w:rPr>
        <w:t xml:space="preserve"> </w:t>
      </w:r>
      <w:r w:rsidR="00544D39">
        <w:rPr>
          <w:rFonts w:cs="Arial"/>
          <w:szCs w:val="24"/>
        </w:rPr>
        <w:t xml:space="preserve"> </w:t>
      </w:r>
      <w:r>
        <w:rPr>
          <w:noProof/>
          <w:lang w:eastAsia="en-GB"/>
        </w:rPr>
        <w:drawing>
          <wp:inline distT="0" distB="0" distL="0" distR="0" wp14:anchorId="0E8FC1A8" wp14:editId="6007D67E">
            <wp:extent cx="3240000" cy="2160000"/>
            <wp:effectExtent l="0" t="0" r="0" b="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028D72C" w14:textId="4D719C53" w:rsidR="009A225C" w:rsidRDefault="009A225C" w:rsidP="00AC5B73">
      <w:pPr>
        <w:rPr>
          <w:rFonts w:cs="Arial"/>
          <w:szCs w:val="24"/>
        </w:rPr>
      </w:pPr>
    </w:p>
    <w:p w14:paraId="1A86ED61" w14:textId="2F23FFE2" w:rsidR="009A225C" w:rsidRPr="00AF255D" w:rsidRDefault="009A225C" w:rsidP="00AC5B73">
      <w:pPr>
        <w:rPr>
          <w:rFonts w:cs="Arial"/>
          <w:szCs w:val="24"/>
        </w:rPr>
      </w:pPr>
      <w:r>
        <w:rPr>
          <w:noProof/>
          <w:lang w:eastAsia="en-GB"/>
        </w:rPr>
        <w:drawing>
          <wp:inline distT="0" distB="0" distL="0" distR="0" wp14:anchorId="12EB2F0F" wp14:editId="50F392F2">
            <wp:extent cx="3240000" cy="21600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6226E9">
        <w:rPr>
          <w:rFonts w:cs="Arial"/>
          <w:szCs w:val="24"/>
        </w:rPr>
        <w:t xml:space="preserve"> </w:t>
      </w:r>
      <w:r w:rsidR="00544D39">
        <w:rPr>
          <w:rFonts w:cs="Arial"/>
          <w:szCs w:val="24"/>
        </w:rPr>
        <w:t xml:space="preserve"> </w:t>
      </w:r>
      <w:r>
        <w:rPr>
          <w:noProof/>
          <w:lang w:eastAsia="en-GB"/>
        </w:rPr>
        <w:drawing>
          <wp:inline distT="0" distB="0" distL="0" distR="0" wp14:anchorId="08FFC423" wp14:editId="2A88228E">
            <wp:extent cx="3240000" cy="2160000"/>
            <wp:effectExtent l="0" t="0" r="0" b="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576E3EA1" w14:textId="77777777" w:rsidR="00D11D71" w:rsidRPr="00AF255D" w:rsidRDefault="00D11D71" w:rsidP="00AC5B73">
      <w:pPr>
        <w:rPr>
          <w:rFonts w:cs="Arial"/>
          <w:szCs w:val="24"/>
        </w:rPr>
      </w:pPr>
    </w:p>
    <w:p w14:paraId="76C3BB72" w14:textId="77777777" w:rsidR="002B6861" w:rsidRDefault="002B6861" w:rsidP="00AC5B73">
      <w:pPr>
        <w:pStyle w:val="Heading2"/>
      </w:pPr>
      <w:bookmarkStart w:id="46" w:name="_Toc76025097"/>
      <w:bookmarkStart w:id="47" w:name="_Toc108076895"/>
      <w:r>
        <w:t>Sickness Absence by Job Family</w:t>
      </w:r>
      <w:bookmarkEnd w:id="46"/>
      <w:bookmarkEnd w:id="47"/>
    </w:p>
    <w:p w14:paraId="4DFB03A4" w14:textId="16625ADC" w:rsidR="002B6861" w:rsidRDefault="0066288E" w:rsidP="00AC5B73">
      <w:pPr>
        <w:rPr>
          <w:rFonts w:cs="Arial"/>
          <w:szCs w:val="24"/>
        </w:rPr>
      </w:pPr>
      <w:r>
        <w:rPr>
          <w:rFonts w:cs="Arial"/>
          <w:szCs w:val="24"/>
        </w:rPr>
        <w:t xml:space="preserve">Of the total </w:t>
      </w:r>
      <w:r w:rsidR="00F86A63">
        <w:rPr>
          <w:rFonts w:cs="Arial"/>
          <w:szCs w:val="24"/>
        </w:rPr>
        <w:t>215367.0</w:t>
      </w:r>
      <w:r>
        <w:rPr>
          <w:rFonts w:cs="Arial"/>
          <w:szCs w:val="24"/>
        </w:rPr>
        <w:t xml:space="preserve"> h</w:t>
      </w:r>
      <w:r w:rsidR="00F86A63">
        <w:rPr>
          <w:rFonts w:cs="Arial"/>
          <w:szCs w:val="24"/>
        </w:rPr>
        <w:t>ours of sickness absence in 2021-2022</w:t>
      </w:r>
      <w:r>
        <w:rPr>
          <w:rFonts w:cs="Arial"/>
          <w:szCs w:val="24"/>
        </w:rPr>
        <w:t xml:space="preserve">, </w:t>
      </w:r>
      <w:r w:rsidR="00F86A63">
        <w:rPr>
          <w:rFonts w:cs="Arial"/>
          <w:szCs w:val="24"/>
        </w:rPr>
        <w:t>134204.7</w:t>
      </w:r>
      <w:r>
        <w:rPr>
          <w:rFonts w:cs="Arial"/>
          <w:szCs w:val="24"/>
        </w:rPr>
        <w:t xml:space="preserve"> hours (</w:t>
      </w:r>
      <w:r w:rsidR="00F86A63">
        <w:rPr>
          <w:rFonts w:cs="Arial"/>
          <w:szCs w:val="24"/>
        </w:rPr>
        <w:t>62.3</w:t>
      </w:r>
      <w:r>
        <w:rPr>
          <w:rFonts w:cs="Arial"/>
          <w:szCs w:val="24"/>
        </w:rPr>
        <w:t>%) affected the Nursing and Midwifery job family.</w:t>
      </w:r>
      <w:r w:rsidR="00544D39">
        <w:rPr>
          <w:rFonts w:cs="Arial"/>
          <w:szCs w:val="24"/>
        </w:rPr>
        <w:t xml:space="preserve"> </w:t>
      </w:r>
      <w:r>
        <w:rPr>
          <w:rFonts w:cs="Arial"/>
          <w:szCs w:val="24"/>
        </w:rPr>
        <w:t>As can be seen from the chart below this is well above the 4</w:t>
      </w:r>
      <w:r w:rsidR="00F86A63">
        <w:rPr>
          <w:rFonts w:cs="Arial"/>
          <w:szCs w:val="24"/>
        </w:rPr>
        <w:t>3.7</w:t>
      </w:r>
      <w:r>
        <w:rPr>
          <w:rFonts w:cs="Arial"/>
          <w:szCs w:val="24"/>
        </w:rPr>
        <w:t>% of the workforce that they represent.</w:t>
      </w:r>
      <w:r w:rsidR="00544D39">
        <w:rPr>
          <w:rFonts w:cs="Arial"/>
          <w:szCs w:val="24"/>
        </w:rPr>
        <w:t xml:space="preserve"> </w:t>
      </w:r>
      <w:r>
        <w:rPr>
          <w:rFonts w:cs="Arial"/>
          <w:szCs w:val="24"/>
        </w:rPr>
        <w:t xml:space="preserve">Both Administrative Services and Medical and Dental have </w:t>
      </w:r>
      <w:r>
        <w:rPr>
          <w:rFonts w:cs="Arial"/>
          <w:szCs w:val="24"/>
        </w:rPr>
        <w:lastRenderedPageBreak/>
        <w:t>considerably less sickness absence than might be expected compared to the proportions of the workforce they represent.</w:t>
      </w:r>
    </w:p>
    <w:p w14:paraId="745F7C66" w14:textId="25739080" w:rsidR="006514AF" w:rsidRDefault="006514AF" w:rsidP="00AC5B73">
      <w:pPr>
        <w:rPr>
          <w:rFonts w:cs="Arial"/>
          <w:szCs w:val="24"/>
        </w:rPr>
      </w:pPr>
    </w:p>
    <w:p w14:paraId="5D7B57E3" w14:textId="160774DD" w:rsidR="006514AF" w:rsidRDefault="00F86A63" w:rsidP="00AC5B73">
      <w:pPr>
        <w:rPr>
          <w:rFonts w:cs="Arial"/>
          <w:szCs w:val="24"/>
        </w:rPr>
      </w:pPr>
      <w:r>
        <w:rPr>
          <w:noProof/>
          <w:lang w:eastAsia="en-GB"/>
        </w:rPr>
        <w:drawing>
          <wp:inline distT="0" distB="0" distL="0" distR="0" wp14:anchorId="371B0040" wp14:editId="19EB4705">
            <wp:extent cx="6840000" cy="2160000"/>
            <wp:effectExtent l="0" t="0" r="18415" b="12065"/>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5F9683D4" w14:textId="77777777" w:rsidR="002B6861" w:rsidRPr="00AF255D" w:rsidRDefault="002B6861" w:rsidP="00AC5B73">
      <w:pPr>
        <w:rPr>
          <w:rFonts w:cs="Arial"/>
          <w:szCs w:val="24"/>
        </w:rPr>
      </w:pPr>
    </w:p>
    <w:p w14:paraId="2C4C564D" w14:textId="77777777" w:rsidR="0018378F" w:rsidRPr="00AF255D" w:rsidRDefault="0018378F" w:rsidP="00AC5B73">
      <w:pPr>
        <w:pStyle w:val="Heading2"/>
        <w:rPr>
          <w:rFonts w:cs="Arial"/>
        </w:rPr>
      </w:pPr>
      <w:bookmarkStart w:id="48" w:name="_Toc76025098"/>
      <w:bookmarkStart w:id="49" w:name="_Toc108076896"/>
      <w:r w:rsidRPr="00AF255D">
        <w:rPr>
          <w:rFonts w:cs="Arial"/>
        </w:rPr>
        <w:t>Sickness Absence by Age and Gender</w:t>
      </w:r>
      <w:bookmarkEnd w:id="48"/>
      <w:bookmarkEnd w:id="49"/>
    </w:p>
    <w:p w14:paraId="07978C3C" w14:textId="1CFF934D" w:rsidR="00DC3018" w:rsidRPr="00AF255D" w:rsidRDefault="008F7381" w:rsidP="00AC5B73">
      <w:pPr>
        <w:rPr>
          <w:rFonts w:cs="Arial"/>
          <w:szCs w:val="24"/>
        </w:rPr>
      </w:pPr>
      <w:r w:rsidRPr="00AF255D">
        <w:rPr>
          <w:rFonts w:cs="Arial"/>
          <w:szCs w:val="24"/>
        </w:rPr>
        <w:t xml:space="preserve">The two charts below look at the proportion of sickness absence by age range and gender </w:t>
      </w:r>
      <w:r w:rsidR="00DC3018" w:rsidRPr="00AF255D">
        <w:rPr>
          <w:rFonts w:cs="Arial"/>
          <w:szCs w:val="24"/>
        </w:rPr>
        <w:t xml:space="preserve">for the period under review </w:t>
      </w:r>
      <w:r w:rsidRPr="00AF255D">
        <w:rPr>
          <w:rFonts w:cs="Arial"/>
          <w:szCs w:val="24"/>
        </w:rPr>
        <w:t xml:space="preserve">and compare that with the proportion of </w:t>
      </w:r>
      <w:r w:rsidR="0066288E">
        <w:rPr>
          <w:rFonts w:cs="Arial"/>
          <w:szCs w:val="24"/>
        </w:rPr>
        <w:t>the workforce</w:t>
      </w:r>
      <w:r w:rsidRPr="00AF255D">
        <w:rPr>
          <w:rFonts w:cs="Arial"/>
          <w:szCs w:val="24"/>
        </w:rPr>
        <w:t xml:space="preserve"> by ag</w:t>
      </w:r>
      <w:r w:rsidR="00A83B48" w:rsidRPr="00AF255D">
        <w:rPr>
          <w:rFonts w:cs="Arial"/>
          <w:szCs w:val="24"/>
        </w:rPr>
        <w:t>e range and gender</w:t>
      </w:r>
      <w:r w:rsidR="005B34D4" w:rsidRPr="00AF255D">
        <w:rPr>
          <w:rFonts w:cs="Arial"/>
          <w:szCs w:val="24"/>
        </w:rPr>
        <w:t xml:space="preserve"> as</w:t>
      </w:r>
      <w:r w:rsidR="00E00249" w:rsidRPr="00AF255D">
        <w:rPr>
          <w:rFonts w:cs="Arial"/>
          <w:szCs w:val="24"/>
        </w:rPr>
        <w:t xml:space="preserve"> at 31 March 202</w:t>
      </w:r>
      <w:r w:rsidR="00AB5F96">
        <w:rPr>
          <w:rFonts w:cs="Arial"/>
          <w:szCs w:val="24"/>
        </w:rPr>
        <w:t>2</w:t>
      </w:r>
      <w:r w:rsidR="00DC3018" w:rsidRPr="00AF255D">
        <w:rPr>
          <w:rFonts w:cs="Arial"/>
          <w:szCs w:val="24"/>
        </w:rPr>
        <w:t>.</w:t>
      </w:r>
      <w:r w:rsidR="00901CC7" w:rsidRPr="00AF255D">
        <w:rPr>
          <w:rFonts w:cs="Arial"/>
          <w:szCs w:val="24"/>
        </w:rPr>
        <w:t xml:space="preserve"> </w:t>
      </w:r>
      <w:r w:rsidR="00AB5F96">
        <w:rPr>
          <w:rFonts w:cs="Arial"/>
          <w:szCs w:val="24"/>
        </w:rPr>
        <w:t>There are no huge discrepancies between the proportion of sickness absence that each age range and gender within that age range represent when compared to the proportion of the workforce that they represent.</w:t>
      </w:r>
      <w:r w:rsidR="00544D39">
        <w:rPr>
          <w:rFonts w:cs="Arial"/>
          <w:szCs w:val="24"/>
        </w:rPr>
        <w:t xml:space="preserve"> </w:t>
      </w:r>
      <w:r w:rsidR="00AB5F96">
        <w:rPr>
          <w:rFonts w:cs="Arial"/>
          <w:szCs w:val="24"/>
        </w:rPr>
        <w:t>Females aged 40 – 44 and females aged 50 – 54 each have a 2.1% greater share of sickness absence than the percentage of the workforce that age range and gender combination makes up, but those are the biggest discrepancies.</w:t>
      </w:r>
    </w:p>
    <w:p w14:paraId="17E63D84" w14:textId="4E0D9676" w:rsidR="000F5640" w:rsidRDefault="000F5640" w:rsidP="00AC5B73">
      <w:pPr>
        <w:rPr>
          <w:rFonts w:cs="Arial"/>
          <w:szCs w:val="24"/>
        </w:rPr>
      </w:pPr>
    </w:p>
    <w:p w14:paraId="76D2A913" w14:textId="77777777" w:rsidR="000F5640" w:rsidRPr="00AF255D" w:rsidRDefault="000F5640" w:rsidP="00AC5B73">
      <w:pPr>
        <w:rPr>
          <w:rFonts w:cs="Arial"/>
          <w:szCs w:val="24"/>
        </w:rPr>
      </w:pPr>
      <w:r>
        <w:rPr>
          <w:rFonts w:cs="Arial"/>
          <w:szCs w:val="24"/>
        </w:rPr>
        <w:t>eESS does not allow for non-binary or third genders, and the charts only show Female and Male.</w:t>
      </w:r>
    </w:p>
    <w:p w14:paraId="0AAD309F" w14:textId="08389CB6" w:rsidR="005173C0" w:rsidRDefault="005173C0" w:rsidP="00AC5B73">
      <w:pPr>
        <w:rPr>
          <w:rFonts w:cs="Arial"/>
          <w:szCs w:val="24"/>
        </w:rPr>
      </w:pPr>
    </w:p>
    <w:p w14:paraId="7EE09674" w14:textId="7F8D5FB2" w:rsidR="00A92AD4" w:rsidRDefault="00A92AD4" w:rsidP="00AC5B73">
      <w:pPr>
        <w:rPr>
          <w:rFonts w:cs="Arial"/>
          <w:szCs w:val="24"/>
        </w:rPr>
      </w:pPr>
      <w:r>
        <w:rPr>
          <w:noProof/>
          <w:lang w:eastAsia="en-GB"/>
        </w:rPr>
        <w:drawing>
          <wp:inline distT="0" distB="0" distL="0" distR="0" wp14:anchorId="6D9D3D0D" wp14:editId="294A354D">
            <wp:extent cx="6840000" cy="2160000"/>
            <wp:effectExtent l="0" t="0" r="18415" b="12065"/>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2D373D75" w14:textId="3E3284C8" w:rsidR="00A92AD4" w:rsidRDefault="00A92AD4" w:rsidP="00AC5B73">
      <w:pPr>
        <w:rPr>
          <w:rFonts w:cs="Arial"/>
          <w:szCs w:val="24"/>
        </w:rPr>
      </w:pPr>
    </w:p>
    <w:p w14:paraId="331CB1E4" w14:textId="0E8B79A4" w:rsidR="00AB5F96" w:rsidRDefault="00AB5F96" w:rsidP="00AC5B73">
      <w:pPr>
        <w:rPr>
          <w:rFonts w:cs="Arial"/>
          <w:szCs w:val="24"/>
        </w:rPr>
      </w:pPr>
      <w:r>
        <w:rPr>
          <w:noProof/>
          <w:lang w:eastAsia="en-GB"/>
        </w:rPr>
        <w:lastRenderedPageBreak/>
        <w:drawing>
          <wp:inline distT="0" distB="0" distL="0" distR="0" wp14:anchorId="31F70486" wp14:editId="212D6D2B">
            <wp:extent cx="6840000" cy="2160000"/>
            <wp:effectExtent l="0" t="0" r="18415" b="12065"/>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3ED5C19A" w14:textId="77777777" w:rsidR="001A2CCA" w:rsidRPr="00AF255D" w:rsidRDefault="001A2CCA" w:rsidP="00AC5B73">
      <w:pPr>
        <w:rPr>
          <w:rFonts w:cs="Arial"/>
          <w:szCs w:val="24"/>
        </w:rPr>
      </w:pPr>
    </w:p>
    <w:p w14:paraId="2970F428" w14:textId="77777777" w:rsidR="00543403" w:rsidRPr="00AF255D" w:rsidRDefault="00543403" w:rsidP="00AC5B73">
      <w:pPr>
        <w:pStyle w:val="Heading2"/>
        <w:rPr>
          <w:rFonts w:cs="Arial"/>
        </w:rPr>
      </w:pPr>
      <w:bookmarkStart w:id="50" w:name="_Toc76025099"/>
      <w:bookmarkStart w:id="51" w:name="_Toc108076897"/>
      <w:r w:rsidRPr="00AF255D">
        <w:rPr>
          <w:rFonts w:cs="Arial"/>
        </w:rPr>
        <w:t>Reasons for Sickness Absence</w:t>
      </w:r>
      <w:bookmarkEnd w:id="50"/>
      <w:bookmarkEnd w:id="51"/>
    </w:p>
    <w:p w14:paraId="71C3DF89" w14:textId="77777777" w:rsidR="00544D39" w:rsidRDefault="00543403" w:rsidP="00AC5B73">
      <w:pPr>
        <w:rPr>
          <w:rFonts w:cs="Arial"/>
          <w:szCs w:val="24"/>
        </w:rPr>
      </w:pPr>
      <w:r w:rsidRPr="00AF255D">
        <w:rPr>
          <w:rFonts w:cs="Arial"/>
          <w:szCs w:val="24"/>
        </w:rPr>
        <w:t>When sickness absence is recorded on SSTS an absence reason has to be entered on to the system.</w:t>
      </w:r>
      <w:r w:rsidR="00901CC7" w:rsidRPr="00AF255D">
        <w:rPr>
          <w:rFonts w:cs="Arial"/>
          <w:szCs w:val="24"/>
        </w:rPr>
        <w:t xml:space="preserve"> </w:t>
      </w:r>
      <w:r w:rsidRPr="00AF255D">
        <w:rPr>
          <w:rFonts w:cs="Arial"/>
          <w:szCs w:val="24"/>
        </w:rPr>
        <w:t xml:space="preserve">The proportionate absence breakdown is shown in the </w:t>
      </w:r>
      <w:r w:rsidR="00544D39">
        <w:rPr>
          <w:rFonts w:cs="Arial"/>
          <w:szCs w:val="24"/>
        </w:rPr>
        <w:t>chart</w:t>
      </w:r>
      <w:r w:rsidRPr="00AF255D">
        <w:rPr>
          <w:rFonts w:cs="Arial"/>
          <w:szCs w:val="24"/>
        </w:rPr>
        <w:t xml:space="preserve"> below</w:t>
      </w:r>
      <w:r w:rsidR="0085076E" w:rsidRPr="00AF255D">
        <w:rPr>
          <w:rFonts w:cs="Arial"/>
          <w:szCs w:val="24"/>
        </w:rPr>
        <w:t xml:space="preserve"> for </w:t>
      </w:r>
      <w:r w:rsidR="00147011">
        <w:rPr>
          <w:rFonts w:cs="Arial"/>
          <w:szCs w:val="24"/>
        </w:rPr>
        <w:t>all of the</w:t>
      </w:r>
      <w:r w:rsidR="00041915" w:rsidRPr="00AF255D">
        <w:rPr>
          <w:rFonts w:cs="Arial"/>
          <w:szCs w:val="24"/>
        </w:rPr>
        <w:t xml:space="preserve"> reasons for sickness absence</w:t>
      </w:r>
      <w:r w:rsidR="00544D39">
        <w:rPr>
          <w:rFonts w:cs="Arial"/>
          <w:szCs w:val="24"/>
        </w:rPr>
        <w:t xml:space="preserve"> that caused more than 1.0% of sickness absence</w:t>
      </w:r>
      <w:r w:rsidRPr="00AF255D">
        <w:rPr>
          <w:rFonts w:cs="Arial"/>
          <w:szCs w:val="24"/>
        </w:rPr>
        <w:t>.</w:t>
      </w:r>
      <w:r w:rsidR="00901CC7" w:rsidRPr="00AF255D">
        <w:rPr>
          <w:rFonts w:cs="Arial"/>
          <w:szCs w:val="24"/>
        </w:rPr>
        <w:t xml:space="preserve"> </w:t>
      </w:r>
    </w:p>
    <w:p w14:paraId="4908B922" w14:textId="77777777" w:rsidR="00544D39" w:rsidRDefault="00544D39" w:rsidP="00AC5B73">
      <w:pPr>
        <w:rPr>
          <w:rFonts w:cs="Arial"/>
          <w:szCs w:val="24"/>
        </w:rPr>
      </w:pPr>
    </w:p>
    <w:p w14:paraId="7ADC9BE8" w14:textId="376947DF" w:rsidR="00544D39" w:rsidRDefault="00544D39" w:rsidP="00AC5B73">
      <w:pPr>
        <w:rPr>
          <w:rFonts w:cs="Arial"/>
          <w:szCs w:val="24"/>
        </w:rPr>
      </w:pPr>
      <w:r>
        <w:rPr>
          <w:noProof/>
          <w:lang w:eastAsia="en-GB"/>
        </w:rPr>
        <w:drawing>
          <wp:inline distT="0" distB="0" distL="0" distR="0" wp14:anchorId="5CF6F852" wp14:editId="548EB107">
            <wp:extent cx="6840000" cy="2772000"/>
            <wp:effectExtent l="0" t="0" r="18415" b="9525"/>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75CE77EF" w14:textId="77777777" w:rsidR="00544D39" w:rsidRDefault="00544D39" w:rsidP="00AC5B73">
      <w:pPr>
        <w:rPr>
          <w:rFonts w:cs="Arial"/>
          <w:szCs w:val="24"/>
        </w:rPr>
      </w:pPr>
    </w:p>
    <w:p w14:paraId="6D5379BF" w14:textId="426D4835" w:rsidR="00041915" w:rsidRPr="00AF255D" w:rsidRDefault="000E01BC" w:rsidP="00AC5B73">
      <w:pPr>
        <w:rPr>
          <w:rFonts w:cs="Arial"/>
          <w:szCs w:val="24"/>
        </w:rPr>
      </w:pPr>
      <w:r w:rsidRPr="00AF255D">
        <w:rPr>
          <w:rFonts w:cs="Arial"/>
          <w:szCs w:val="24"/>
        </w:rPr>
        <w:t>The most commonly cited reason for sickness absence during the monitored period was “Anxiety/stress/depression/other psychiatric illnesses”, whi</w:t>
      </w:r>
      <w:r w:rsidR="00BF0FC9" w:rsidRPr="00AF255D">
        <w:rPr>
          <w:rFonts w:cs="Arial"/>
          <w:szCs w:val="24"/>
        </w:rPr>
        <w:t xml:space="preserve">ch </w:t>
      </w:r>
      <w:r w:rsidR="00041915" w:rsidRPr="00AF255D">
        <w:rPr>
          <w:rFonts w:cs="Arial"/>
          <w:szCs w:val="24"/>
        </w:rPr>
        <w:t>caused 2</w:t>
      </w:r>
      <w:r w:rsidR="00544D39">
        <w:rPr>
          <w:rFonts w:cs="Arial"/>
          <w:szCs w:val="24"/>
        </w:rPr>
        <w:t>7.0</w:t>
      </w:r>
      <w:r w:rsidR="00041915" w:rsidRPr="00AF255D">
        <w:rPr>
          <w:rFonts w:cs="Arial"/>
          <w:szCs w:val="24"/>
        </w:rPr>
        <w:t xml:space="preserve">% of all sickness absence, </w:t>
      </w:r>
      <w:r w:rsidR="00544D39">
        <w:rPr>
          <w:rFonts w:cs="Arial"/>
          <w:szCs w:val="24"/>
        </w:rPr>
        <w:t>down from 28.8</w:t>
      </w:r>
      <w:r w:rsidR="00041915" w:rsidRPr="00AF255D">
        <w:rPr>
          <w:rFonts w:cs="Arial"/>
          <w:szCs w:val="24"/>
        </w:rPr>
        <w:t>% the year before</w:t>
      </w:r>
      <w:r w:rsidRPr="00AF255D">
        <w:rPr>
          <w:rFonts w:cs="Arial"/>
          <w:szCs w:val="24"/>
        </w:rPr>
        <w:t>.</w:t>
      </w:r>
      <w:r w:rsidR="00544D39">
        <w:rPr>
          <w:rFonts w:cs="Arial"/>
          <w:szCs w:val="24"/>
        </w:rPr>
        <w:t xml:space="preserve"> The second most common reason, “Other musculoskeletal problems” was much lower, accounting for 11.0% of hours lost.</w:t>
      </w:r>
    </w:p>
    <w:p w14:paraId="36727EB6" w14:textId="77777777" w:rsidR="00041915" w:rsidRPr="00AF255D" w:rsidRDefault="00041915" w:rsidP="00AC5B73">
      <w:pPr>
        <w:rPr>
          <w:rFonts w:cs="Arial"/>
          <w:szCs w:val="24"/>
        </w:rPr>
      </w:pPr>
    </w:p>
    <w:p w14:paraId="6173DC5D" w14:textId="5AE52BF2" w:rsidR="008F7381" w:rsidRPr="00AF255D" w:rsidRDefault="00041915" w:rsidP="00AC5B73">
      <w:pPr>
        <w:rPr>
          <w:rFonts w:cs="Arial"/>
          <w:szCs w:val="24"/>
        </w:rPr>
      </w:pPr>
      <w:r w:rsidRPr="00AF255D">
        <w:rPr>
          <w:rFonts w:cs="Arial"/>
          <w:szCs w:val="24"/>
        </w:rPr>
        <w:t xml:space="preserve">In recognition of the impact of anxiety and stress on members of staff, be it work related or otherwise, and especially in light of COVID-19, the Board has established a Health and Wellbeing Group and has produced a </w:t>
      </w:r>
      <w:hyperlink r:id="rId34" w:history="1">
        <w:r w:rsidRPr="00544D39">
          <w:rPr>
            <w:rStyle w:val="Hyperlink"/>
            <w:rFonts w:cs="Arial"/>
            <w:szCs w:val="24"/>
          </w:rPr>
          <w:t>Health and Wellbeing Strategy</w:t>
        </w:r>
      </w:hyperlink>
      <w:r w:rsidR="00A803C7">
        <w:rPr>
          <w:rStyle w:val="Hyperlink"/>
          <w:rFonts w:cs="Arial"/>
          <w:szCs w:val="24"/>
        </w:rPr>
        <w:t xml:space="preserve"> 2020-2023</w:t>
      </w:r>
      <w:r w:rsidRPr="00AF255D">
        <w:rPr>
          <w:rFonts w:cs="Arial"/>
          <w:szCs w:val="24"/>
        </w:rPr>
        <w:t>.</w:t>
      </w:r>
      <w:r w:rsidR="00142A82" w:rsidRPr="00AF255D">
        <w:rPr>
          <w:rFonts w:cs="Arial"/>
          <w:szCs w:val="24"/>
        </w:rPr>
        <w:t xml:space="preserve"> </w:t>
      </w:r>
      <w:r w:rsidRPr="00AF255D">
        <w:rPr>
          <w:rFonts w:cs="Arial"/>
          <w:szCs w:val="24"/>
        </w:rPr>
        <w:t>The Group identifies trends that impact on staff health and wellbeing, and implements measures to reduce any adverse effects of these.</w:t>
      </w:r>
    </w:p>
    <w:p w14:paraId="34D9CA3B" w14:textId="77777777" w:rsidR="00041915" w:rsidRPr="00AF255D" w:rsidRDefault="00041915" w:rsidP="00AC5B73">
      <w:pPr>
        <w:rPr>
          <w:rFonts w:cs="Arial"/>
          <w:szCs w:val="24"/>
        </w:rPr>
      </w:pPr>
    </w:p>
    <w:p w14:paraId="2230093C" w14:textId="041F1602" w:rsidR="00041915" w:rsidRDefault="00041915" w:rsidP="00AC5B73">
      <w:pPr>
        <w:widowControl w:val="0"/>
        <w:rPr>
          <w:rFonts w:cs="Arial"/>
        </w:rPr>
      </w:pPr>
      <w:r w:rsidRPr="00AF255D">
        <w:rPr>
          <w:rFonts w:cs="Arial"/>
          <w:szCs w:val="24"/>
        </w:rPr>
        <w:t xml:space="preserve">The </w:t>
      </w:r>
      <w:hyperlink r:id="rId35" w:history="1">
        <w:r w:rsidRPr="00A803C7">
          <w:rPr>
            <w:rStyle w:val="Hyperlink"/>
            <w:rFonts w:cs="Arial"/>
            <w:szCs w:val="24"/>
          </w:rPr>
          <w:t>Health and Wellbeing Strategy</w:t>
        </w:r>
        <w:r w:rsidR="00047201">
          <w:rPr>
            <w:rStyle w:val="Hyperlink"/>
            <w:rFonts w:cs="Arial"/>
            <w:szCs w:val="24"/>
          </w:rPr>
          <w:t xml:space="preserve"> </w:t>
        </w:r>
        <w:r w:rsidR="00A803C7" w:rsidRPr="00A803C7">
          <w:rPr>
            <w:rStyle w:val="Hyperlink"/>
            <w:rFonts w:cs="Arial"/>
            <w:szCs w:val="24"/>
          </w:rPr>
          <w:t>2020-2023</w:t>
        </w:r>
      </w:hyperlink>
      <w:r w:rsidRPr="00AF255D">
        <w:rPr>
          <w:rFonts w:cs="Arial"/>
          <w:szCs w:val="24"/>
        </w:rPr>
        <w:t xml:space="preserve"> describes the Board’s ambition to </w:t>
      </w:r>
      <w:r w:rsidRPr="00AF255D">
        <w:rPr>
          <w:rFonts w:cs="Arial"/>
        </w:rPr>
        <w:t xml:space="preserve">“be a leader in promoting and maintaining a healthy workplace and provide support for our people which maximises their health and wellbeing”. The strategy was approved in November 2020, with the Board’s Health and Wellbeing Group supporting its delivery. The strategy focuses on a holistic approach to wellbeing, addressing the inter-connected elements of physical, mental, </w:t>
      </w:r>
      <w:r w:rsidR="0066288E">
        <w:rPr>
          <w:rFonts w:cs="Arial"/>
        </w:rPr>
        <w:t>social and financial wellbeing.</w:t>
      </w:r>
    </w:p>
    <w:p w14:paraId="27DF076F" w14:textId="77777777" w:rsidR="0066288E" w:rsidRPr="00AF255D" w:rsidRDefault="0066288E" w:rsidP="00AC5B73">
      <w:pPr>
        <w:widowControl w:val="0"/>
      </w:pPr>
    </w:p>
    <w:p w14:paraId="0FF3DA65" w14:textId="03D54010" w:rsidR="00544D39" w:rsidRDefault="00041915" w:rsidP="00AC5B73">
      <w:pPr>
        <w:rPr>
          <w:rFonts w:eastAsiaTheme="majorEastAsia"/>
          <w:sz w:val="32"/>
        </w:rPr>
      </w:pPr>
      <w:r w:rsidRPr="00AF255D">
        <w:lastRenderedPageBreak/>
        <w:t xml:space="preserve">The strategy </w:t>
      </w:r>
      <w:r w:rsidR="00544D39">
        <w:t>is</w:t>
      </w:r>
      <w:r w:rsidRPr="00AF255D">
        <w:t xml:space="preserve"> delivered through an annual delivery plan. The delivery plan describe</w:t>
      </w:r>
      <w:r w:rsidR="00544D39">
        <w:t>s</w:t>
      </w:r>
      <w:r w:rsidRPr="00AF255D">
        <w:t xml:space="preserve"> how actions will be achieved, key stakeholders, key outputs, outcomes, timelines and evidence of measurement. Progress </w:t>
      </w:r>
      <w:r w:rsidR="00544D39">
        <w:t>is</w:t>
      </w:r>
      <w:r w:rsidRPr="00AF255D">
        <w:t xml:space="preserve"> presented by the Health and Wellbeing Group to the Executive Management Team, Staff Governance Group, Partnership Forum, and Staff Governance and Person Centred Committee. An annual update </w:t>
      </w:r>
      <w:r w:rsidR="00544D39">
        <w:t xml:space="preserve">is provided, </w:t>
      </w:r>
      <w:r w:rsidRPr="00AF255D">
        <w:t>which focus</w:t>
      </w:r>
      <w:r w:rsidR="00544D39">
        <w:t>es on</w:t>
      </w:r>
      <w:r w:rsidRPr="00AF255D">
        <w:t xml:space="preserve"> monitoring objectives against outputs in the Strategy, and provide</w:t>
      </w:r>
      <w:r w:rsidR="00544D39">
        <w:t>s</w:t>
      </w:r>
      <w:r w:rsidRPr="00AF255D">
        <w:t xml:space="preserve"> an updated annual plan. Specific project updates </w:t>
      </w:r>
      <w:r w:rsidR="00544D39">
        <w:t>are</w:t>
      </w:r>
      <w:r w:rsidRPr="00AF255D">
        <w:t xml:space="preserve"> shared with relevant committees or groups.</w:t>
      </w:r>
      <w:bookmarkStart w:id="52" w:name="_Toc76025100"/>
      <w:r w:rsidR="00544D39">
        <w:br w:type="page"/>
      </w:r>
    </w:p>
    <w:p w14:paraId="10EB8054" w14:textId="32194EE1" w:rsidR="00C06EE9" w:rsidRPr="00F825B7" w:rsidRDefault="00C06EE9" w:rsidP="00AC5B73">
      <w:pPr>
        <w:pStyle w:val="Heading1"/>
      </w:pPr>
      <w:bookmarkStart w:id="53" w:name="_Toc108076898"/>
      <w:r w:rsidRPr="00F825B7">
        <w:lastRenderedPageBreak/>
        <w:t>Work Life Balance</w:t>
      </w:r>
      <w:bookmarkEnd w:id="52"/>
      <w:bookmarkEnd w:id="53"/>
    </w:p>
    <w:p w14:paraId="35A6C7F8" w14:textId="77777777" w:rsidR="00C06EE9" w:rsidRPr="00F825B7" w:rsidRDefault="00C06EE9" w:rsidP="00AC5B73">
      <w:pPr>
        <w:rPr>
          <w:rFonts w:cs="Arial"/>
          <w:szCs w:val="24"/>
        </w:rPr>
      </w:pPr>
    </w:p>
    <w:p w14:paraId="5A524A70" w14:textId="77777777" w:rsidR="002D3A73" w:rsidRPr="009C7DF1" w:rsidRDefault="00566BF5" w:rsidP="00AC5B73">
      <w:pPr>
        <w:rPr>
          <w:rFonts w:cs="Arial"/>
          <w:szCs w:val="24"/>
        </w:rPr>
      </w:pPr>
      <w:r w:rsidRPr="009C7DF1">
        <w:rPr>
          <w:rFonts w:cs="Arial"/>
          <w:szCs w:val="24"/>
        </w:rPr>
        <w:t xml:space="preserve">The Board has a suite of policies, which </w:t>
      </w:r>
      <w:r w:rsidR="00675D70" w:rsidRPr="009C7DF1">
        <w:rPr>
          <w:rFonts w:cs="Arial"/>
          <w:szCs w:val="24"/>
        </w:rPr>
        <w:t>have been developed to provide members of staff with a range of flexible working options and leave arrangements to help them to balance their lifestyle, whilst maintaining and promoting the best possible service to patients.</w:t>
      </w:r>
      <w:r w:rsidR="00901CC7" w:rsidRPr="009C7DF1">
        <w:rPr>
          <w:rFonts w:cs="Arial"/>
          <w:szCs w:val="24"/>
        </w:rPr>
        <w:t xml:space="preserve"> </w:t>
      </w:r>
      <w:r w:rsidR="003D4465" w:rsidRPr="009C7DF1">
        <w:rPr>
          <w:rFonts w:cs="Arial"/>
          <w:szCs w:val="24"/>
        </w:rPr>
        <w:t>These policies are based on the Partnership Information Network’s “</w:t>
      </w:r>
      <w:hyperlink r:id="rId36" w:history="1">
        <w:r w:rsidR="003D4465" w:rsidRPr="009C7DF1">
          <w:rPr>
            <w:rStyle w:val="Hyperlink"/>
            <w:rFonts w:cs="Arial"/>
            <w:szCs w:val="24"/>
          </w:rPr>
          <w:t>Supporting the Work-Life Balance PIN Policy</w:t>
        </w:r>
      </w:hyperlink>
      <w:r w:rsidR="003D4465" w:rsidRPr="009C7DF1">
        <w:rPr>
          <w:rFonts w:cs="Arial"/>
          <w:szCs w:val="24"/>
        </w:rPr>
        <w:t>”,</w:t>
      </w:r>
      <w:r w:rsidR="004A05B9" w:rsidRPr="009C7DF1">
        <w:rPr>
          <w:rFonts w:cs="Arial"/>
          <w:szCs w:val="24"/>
        </w:rPr>
        <w:t xml:space="preserve"> which should help the Board to ensure effective recruitment and retention of staff, improve quality of life for its staff by assisting them to balance life and work responsibilities, increase motivation and job satisfaction, reduce absenteeism, improve performance, increase productivity and staff engagement, and ultimately improve service delivery.</w:t>
      </w:r>
      <w:r w:rsidR="00901CC7" w:rsidRPr="009C7DF1">
        <w:rPr>
          <w:rFonts w:cs="Arial"/>
          <w:szCs w:val="24"/>
        </w:rPr>
        <w:t xml:space="preserve"> </w:t>
      </w:r>
      <w:r w:rsidR="002D3A73" w:rsidRPr="009C7DF1">
        <w:rPr>
          <w:rFonts w:cs="Arial"/>
          <w:szCs w:val="24"/>
        </w:rPr>
        <w:t xml:space="preserve">The </w:t>
      </w:r>
      <w:r w:rsidR="00CF0F31" w:rsidRPr="009C7DF1">
        <w:rPr>
          <w:rFonts w:cs="Arial"/>
          <w:szCs w:val="24"/>
        </w:rPr>
        <w:t>NHS GJ</w:t>
      </w:r>
      <w:r w:rsidR="002D3A73" w:rsidRPr="009C7DF1">
        <w:rPr>
          <w:rFonts w:cs="Arial"/>
          <w:szCs w:val="24"/>
        </w:rPr>
        <w:t>’s “</w:t>
      </w:r>
      <w:hyperlink r:id="rId37" w:history="1">
        <w:r w:rsidR="002D3A73" w:rsidRPr="009C7DF1">
          <w:rPr>
            <w:rStyle w:val="Hyperlink"/>
            <w:rFonts w:cs="Arial"/>
            <w:szCs w:val="24"/>
          </w:rPr>
          <w:t>Carers Guide</w:t>
        </w:r>
      </w:hyperlink>
      <w:r w:rsidR="002D3A73" w:rsidRPr="009C7DF1">
        <w:rPr>
          <w:rFonts w:cs="Arial"/>
          <w:szCs w:val="24"/>
        </w:rPr>
        <w:t>” can be found by clicking the link.</w:t>
      </w:r>
    </w:p>
    <w:p w14:paraId="21FE8042" w14:textId="77777777" w:rsidR="00460FC3" w:rsidRPr="009C7DF1" w:rsidRDefault="00460FC3" w:rsidP="00AC5B73">
      <w:pPr>
        <w:rPr>
          <w:rFonts w:cs="Arial"/>
          <w:szCs w:val="24"/>
        </w:rPr>
      </w:pPr>
    </w:p>
    <w:p w14:paraId="3B8B2816" w14:textId="77777777" w:rsidR="00C06EE9" w:rsidRPr="009C7DF1" w:rsidRDefault="00C06EE9" w:rsidP="00AC5B73">
      <w:pPr>
        <w:pStyle w:val="Heading2"/>
        <w:rPr>
          <w:rFonts w:cs="Arial"/>
        </w:rPr>
      </w:pPr>
      <w:bookmarkStart w:id="54" w:name="_Special_Leave"/>
      <w:bookmarkStart w:id="55" w:name="_Toc76025101"/>
      <w:bookmarkStart w:id="56" w:name="_Toc108076899"/>
      <w:bookmarkEnd w:id="54"/>
      <w:r w:rsidRPr="009C7DF1">
        <w:rPr>
          <w:rFonts w:cs="Arial"/>
        </w:rPr>
        <w:t>Special Leave</w:t>
      </w:r>
      <w:bookmarkEnd w:id="55"/>
      <w:bookmarkEnd w:id="56"/>
    </w:p>
    <w:p w14:paraId="648DB21A" w14:textId="77777777" w:rsidR="00C06EE9" w:rsidRPr="009C7DF1" w:rsidRDefault="00F421BD" w:rsidP="00AC5B73">
      <w:pPr>
        <w:rPr>
          <w:rFonts w:cs="Arial"/>
          <w:szCs w:val="24"/>
        </w:rPr>
      </w:pPr>
      <w:r w:rsidRPr="009C7DF1">
        <w:rPr>
          <w:rFonts w:cs="Arial"/>
          <w:szCs w:val="24"/>
        </w:rPr>
        <w:t>Special leave allows management to pursue an appropriate response to a variety of situations, which are not covered by other types of leave available to members of staff, including amongst others:</w:t>
      </w:r>
    </w:p>
    <w:p w14:paraId="2AF66EAE" w14:textId="77777777" w:rsidR="00F421BD" w:rsidRPr="009C7DF1" w:rsidRDefault="00F421BD" w:rsidP="00AC5B73">
      <w:pPr>
        <w:pStyle w:val="ListParagraph"/>
        <w:numPr>
          <w:ilvl w:val="0"/>
          <w:numId w:val="1"/>
        </w:numPr>
        <w:rPr>
          <w:rFonts w:cs="Arial"/>
          <w:szCs w:val="24"/>
        </w:rPr>
      </w:pPr>
      <w:r w:rsidRPr="009C7DF1">
        <w:rPr>
          <w:rFonts w:cs="Arial"/>
          <w:szCs w:val="24"/>
        </w:rPr>
        <w:t>the necessary and unexpected need for a member of staff to provide care to any person who reasonably relies on the employee for assistance on an occasion where the person falls ill or is injured;</w:t>
      </w:r>
    </w:p>
    <w:p w14:paraId="4B00DDE1" w14:textId="77777777" w:rsidR="00F421BD" w:rsidRPr="009C7DF1" w:rsidRDefault="00F421BD" w:rsidP="00AC5B73">
      <w:pPr>
        <w:pStyle w:val="ListParagraph"/>
        <w:numPr>
          <w:ilvl w:val="0"/>
          <w:numId w:val="1"/>
        </w:numPr>
        <w:rPr>
          <w:rFonts w:cs="Arial"/>
          <w:szCs w:val="24"/>
        </w:rPr>
      </w:pPr>
      <w:r w:rsidRPr="009C7DF1">
        <w:rPr>
          <w:rFonts w:cs="Arial"/>
          <w:szCs w:val="24"/>
        </w:rPr>
        <w:t>an employee who suffers a bereavement; and</w:t>
      </w:r>
    </w:p>
    <w:p w14:paraId="7B4CE451" w14:textId="77777777" w:rsidR="00F421BD" w:rsidRPr="009C7DF1" w:rsidRDefault="00F421BD" w:rsidP="00AC5B73">
      <w:pPr>
        <w:pStyle w:val="ListParagraph"/>
        <w:numPr>
          <w:ilvl w:val="0"/>
          <w:numId w:val="1"/>
        </w:numPr>
        <w:rPr>
          <w:rFonts w:cs="Arial"/>
          <w:szCs w:val="24"/>
        </w:rPr>
      </w:pPr>
      <w:r w:rsidRPr="009C7DF1">
        <w:rPr>
          <w:rFonts w:cs="Arial"/>
          <w:szCs w:val="24"/>
        </w:rPr>
        <w:t>members of staff who perform civic and public duties.</w:t>
      </w:r>
    </w:p>
    <w:p w14:paraId="4FDFE0A0" w14:textId="77777777" w:rsidR="008D512F" w:rsidRPr="009C7DF1" w:rsidRDefault="008D512F" w:rsidP="00AC5B73">
      <w:pPr>
        <w:rPr>
          <w:rFonts w:cs="Arial"/>
          <w:szCs w:val="24"/>
        </w:rPr>
      </w:pPr>
    </w:p>
    <w:p w14:paraId="5AB934DD" w14:textId="77777777" w:rsidR="001E20A3" w:rsidRPr="009C7DF1" w:rsidRDefault="00F65570" w:rsidP="00AC5B73">
      <w:pPr>
        <w:rPr>
          <w:rFonts w:cs="Arial"/>
          <w:szCs w:val="24"/>
        </w:rPr>
      </w:pPr>
      <w:r w:rsidRPr="009C7DF1">
        <w:rPr>
          <w:rFonts w:cs="Arial"/>
          <w:szCs w:val="24"/>
        </w:rPr>
        <w:t xml:space="preserve">In response to the COVID-19 pandemic </w:t>
      </w:r>
      <w:r w:rsidR="001E20A3" w:rsidRPr="009C7DF1">
        <w:rPr>
          <w:rFonts w:cs="Arial"/>
          <w:szCs w:val="24"/>
        </w:rPr>
        <w:t>extra reasons for special leave were add</w:t>
      </w:r>
      <w:r w:rsidRPr="009C7DF1">
        <w:rPr>
          <w:rFonts w:cs="Arial"/>
          <w:szCs w:val="24"/>
        </w:rPr>
        <w:t>ed to account for staff absence:</w:t>
      </w:r>
    </w:p>
    <w:p w14:paraId="0E2DDADB" w14:textId="77777777" w:rsidR="001E20A3" w:rsidRPr="009C7DF1" w:rsidRDefault="001E20A3" w:rsidP="00AC5B73">
      <w:pPr>
        <w:rPr>
          <w:rFonts w:cs="Arial"/>
          <w:szCs w:val="24"/>
        </w:rPr>
      </w:pPr>
    </w:p>
    <w:tbl>
      <w:tblPr>
        <w:tblStyle w:val="TableGrid"/>
        <w:tblW w:w="0" w:type="auto"/>
        <w:tblLook w:val="04A0" w:firstRow="1" w:lastRow="0" w:firstColumn="1" w:lastColumn="0" w:noHBand="0" w:noVBand="1"/>
      </w:tblPr>
      <w:tblGrid>
        <w:gridCol w:w="3369"/>
        <w:gridCol w:w="7619"/>
      </w:tblGrid>
      <w:tr w:rsidR="001E20A3" w:rsidRPr="009C7DF1" w14:paraId="275A34C8" w14:textId="77777777" w:rsidTr="00EC5BC8">
        <w:tc>
          <w:tcPr>
            <w:tcW w:w="3369" w:type="dxa"/>
          </w:tcPr>
          <w:p w14:paraId="1031AB80" w14:textId="77777777" w:rsidR="001E20A3" w:rsidRPr="009C7DF1" w:rsidRDefault="001E20A3" w:rsidP="00AC5B73">
            <w:pPr>
              <w:rPr>
                <w:rFonts w:cs="Arial"/>
                <w:b/>
                <w:szCs w:val="24"/>
              </w:rPr>
            </w:pPr>
            <w:r w:rsidRPr="009C7DF1">
              <w:rPr>
                <w:rFonts w:cs="Arial"/>
                <w:b/>
                <w:szCs w:val="24"/>
              </w:rPr>
              <w:t>Reason for Special Leave</w:t>
            </w:r>
          </w:p>
        </w:tc>
        <w:tc>
          <w:tcPr>
            <w:tcW w:w="7619" w:type="dxa"/>
          </w:tcPr>
          <w:p w14:paraId="5C8CF9DB" w14:textId="77777777" w:rsidR="001E20A3" w:rsidRPr="009C7DF1" w:rsidRDefault="001E20A3" w:rsidP="00AC5B73">
            <w:pPr>
              <w:rPr>
                <w:rFonts w:cs="Arial"/>
                <w:b/>
                <w:szCs w:val="24"/>
              </w:rPr>
            </w:pPr>
            <w:r w:rsidRPr="009C7DF1">
              <w:rPr>
                <w:rFonts w:cs="Arial"/>
                <w:b/>
                <w:szCs w:val="24"/>
              </w:rPr>
              <w:t>Descriptor of Reason for Special Leave</w:t>
            </w:r>
          </w:p>
        </w:tc>
      </w:tr>
      <w:tr w:rsidR="00F65570" w:rsidRPr="009C7DF1" w14:paraId="0166C4C0" w14:textId="77777777" w:rsidTr="00EC5BC8">
        <w:trPr>
          <w:trHeight w:val="506"/>
        </w:trPr>
        <w:tc>
          <w:tcPr>
            <w:tcW w:w="3369" w:type="dxa"/>
          </w:tcPr>
          <w:p w14:paraId="4AA7978D" w14:textId="77777777" w:rsidR="00F65570" w:rsidRPr="009C7DF1" w:rsidRDefault="00F65570" w:rsidP="00AC5B73">
            <w:pPr>
              <w:rPr>
                <w:rFonts w:cs="Arial"/>
                <w:sz w:val="24"/>
                <w:szCs w:val="24"/>
              </w:rPr>
            </w:pPr>
            <w:r w:rsidRPr="009C7DF1">
              <w:rPr>
                <w:rFonts w:cs="Arial"/>
                <w:sz w:val="24"/>
                <w:szCs w:val="24"/>
              </w:rPr>
              <w:t>Coronavirus</w:t>
            </w:r>
          </w:p>
        </w:tc>
        <w:tc>
          <w:tcPr>
            <w:tcW w:w="7619" w:type="dxa"/>
          </w:tcPr>
          <w:p w14:paraId="1A6DCD39" w14:textId="77777777" w:rsidR="00F65570" w:rsidRPr="009C7DF1" w:rsidRDefault="00F65570" w:rsidP="00AC5B73">
            <w:pPr>
              <w:rPr>
                <w:rFonts w:cs="Arial"/>
                <w:sz w:val="24"/>
                <w:szCs w:val="24"/>
              </w:rPr>
            </w:pPr>
            <w:r w:rsidRPr="009C7DF1">
              <w:rPr>
                <w:rFonts w:cs="Arial"/>
                <w:sz w:val="24"/>
                <w:szCs w:val="24"/>
              </w:rPr>
              <w:t>This will record those who have caring responsibilities and are absent due to these.</w:t>
            </w:r>
          </w:p>
        </w:tc>
      </w:tr>
      <w:tr w:rsidR="00F65570" w:rsidRPr="009C7DF1" w14:paraId="20FD47AF" w14:textId="77777777" w:rsidTr="00EC5BC8">
        <w:trPr>
          <w:trHeight w:val="506"/>
        </w:trPr>
        <w:tc>
          <w:tcPr>
            <w:tcW w:w="3369" w:type="dxa"/>
          </w:tcPr>
          <w:p w14:paraId="5E96A056" w14:textId="77777777" w:rsidR="00F65570" w:rsidRPr="009C7DF1" w:rsidRDefault="00303ACB" w:rsidP="00AC5B73">
            <w:pPr>
              <w:rPr>
                <w:rFonts w:cs="Arial"/>
                <w:sz w:val="24"/>
                <w:szCs w:val="24"/>
              </w:rPr>
            </w:pPr>
            <w:r w:rsidRPr="009C7DF1">
              <w:rPr>
                <w:rFonts w:cs="Arial"/>
                <w:sz w:val="24"/>
                <w:szCs w:val="24"/>
              </w:rPr>
              <w:t xml:space="preserve">Coronavirus – COVID </w:t>
            </w:r>
            <w:r w:rsidR="00F65570" w:rsidRPr="009C7DF1">
              <w:rPr>
                <w:rFonts w:cs="Arial"/>
                <w:sz w:val="24"/>
                <w:szCs w:val="24"/>
              </w:rPr>
              <w:t>positive</w:t>
            </w:r>
          </w:p>
        </w:tc>
        <w:tc>
          <w:tcPr>
            <w:tcW w:w="7619" w:type="dxa"/>
          </w:tcPr>
          <w:p w14:paraId="5391F1FD" w14:textId="77777777" w:rsidR="00F65570" w:rsidRPr="009C7DF1" w:rsidRDefault="00F65570" w:rsidP="00AC5B73">
            <w:pPr>
              <w:rPr>
                <w:rFonts w:cs="Arial"/>
                <w:sz w:val="24"/>
                <w:szCs w:val="24"/>
              </w:rPr>
            </w:pPr>
            <w:r w:rsidRPr="009C7DF1">
              <w:rPr>
                <w:rFonts w:cs="Arial"/>
                <w:sz w:val="24"/>
                <w:szCs w:val="24"/>
              </w:rPr>
              <w:t>As it says employees who have tested positive for the virus.</w:t>
            </w:r>
          </w:p>
        </w:tc>
      </w:tr>
      <w:tr w:rsidR="00F65570" w:rsidRPr="009C7DF1" w14:paraId="6163E6D0" w14:textId="77777777" w:rsidTr="00EC5BC8">
        <w:trPr>
          <w:trHeight w:val="506"/>
        </w:trPr>
        <w:tc>
          <w:tcPr>
            <w:tcW w:w="3369" w:type="dxa"/>
          </w:tcPr>
          <w:p w14:paraId="2FB3D712" w14:textId="77777777" w:rsidR="00F65570" w:rsidRPr="009C7DF1" w:rsidRDefault="00F65570" w:rsidP="00AC5B73">
            <w:pPr>
              <w:rPr>
                <w:rFonts w:cs="Arial"/>
                <w:sz w:val="24"/>
                <w:szCs w:val="24"/>
              </w:rPr>
            </w:pPr>
            <w:r w:rsidRPr="009C7DF1">
              <w:rPr>
                <w:rFonts w:cs="Arial"/>
                <w:sz w:val="24"/>
                <w:szCs w:val="24"/>
              </w:rPr>
              <w:t>Coronavirus – household related – self isolating</w:t>
            </w:r>
          </w:p>
        </w:tc>
        <w:tc>
          <w:tcPr>
            <w:tcW w:w="7619" w:type="dxa"/>
          </w:tcPr>
          <w:p w14:paraId="214EA6DB" w14:textId="77777777" w:rsidR="00F65570" w:rsidRPr="009C7DF1" w:rsidRDefault="00F65570" w:rsidP="00AC5B73">
            <w:pPr>
              <w:rPr>
                <w:rFonts w:cs="Arial"/>
                <w:sz w:val="24"/>
                <w:szCs w:val="24"/>
              </w:rPr>
            </w:pPr>
            <w:r w:rsidRPr="009C7DF1">
              <w:rPr>
                <w:rFonts w:cs="Arial"/>
                <w:sz w:val="24"/>
                <w:szCs w:val="24"/>
              </w:rPr>
              <w:t>Someone in the household of the staff member is displaying symptoms.</w:t>
            </w:r>
          </w:p>
        </w:tc>
      </w:tr>
      <w:tr w:rsidR="00F65570" w:rsidRPr="009C7DF1" w14:paraId="7D1D184E" w14:textId="77777777" w:rsidTr="00EC5BC8">
        <w:trPr>
          <w:trHeight w:val="506"/>
        </w:trPr>
        <w:tc>
          <w:tcPr>
            <w:tcW w:w="3369" w:type="dxa"/>
          </w:tcPr>
          <w:p w14:paraId="509AAFCC" w14:textId="77777777" w:rsidR="00F65570" w:rsidRPr="009C7DF1" w:rsidRDefault="00F65570" w:rsidP="00AC5B73">
            <w:pPr>
              <w:rPr>
                <w:rFonts w:cs="Arial"/>
                <w:sz w:val="24"/>
                <w:szCs w:val="24"/>
              </w:rPr>
            </w:pPr>
            <w:r w:rsidRPr="009C7DF1">
              <w:rPr>
                <w:rFonts w:cs="Arial"/>
                <w:sz w:val="24"/>
                <w:szCs w:val="24"/>
              </w:rPr>
              <w:t>Coronavirus – self displaying systems – self isolating</w:t>
            </w:r>
          </w:p>
        </w:tc>
        <w:tc>
          <w:tcPr>
            <w:tcW w:w="7619" w:type="dxa"/>
          </w:tcPr>
          <w:p w14:paraId="59571713" w14:textId="77777777" w:rsidR="00F65570" w:rsidRPr="009C7DF1" w:rsidRDefault="00F65570" w:rsidP="00AC5B73">
            <w:pPr>
              <w:rPr>
                <w:rFonts w:cs="Arial"/>
                <w:sz w:val="24"/>
                <w:szCs w:val="24"/>
              </w:rPr>
            </w:pPr>
            <w:r w:rsidRPr="009C7DF1">
              <w:rPr>
                <w:rFonts w:cs="Arial"/>
                <w:sz w:val="24"/>
                <w:szCs w:val="24"/>
              </w:rPr>
              <w:t>This will record a staff member who is displaying symptoms and allow testing of key workers to be targeted.</w:t>
            </w:r>
          </w:p>
        </w:tc>
      </w:tr>
      <w:tr w:rsidR="00F65570" w:rsidRPr="009C7DF1" w14:paraId="071FFCC7" w14:textId="77777777" w:rsidTr="00EC5BC8">
        <w:trPr>
          <w:trHeight w:val="506"/>
        </w:trPr>
        <w:tc>
          <w:tcPr>
            <w:tcW w:w="3369" w:type="dxa"/>
          </w:tcPr>
          <w:p w14:paraId="603A5175" w14:textId="77777777" w:rsidR="00F65570" w:rsidRPr="009C7DF1" w:rsidRDefault="00F65570" w:rsidP="00AC5B73">
            <w:pPr>
              <w:rPr>
                <w:rFonts w:cs="Arial"/>
                <w:sz w:val="24"/>
                <w:szCs w:val="24"/>
              </w:rPr>
            </w:pPr>
            <w:r w:rsidRPr="009C7DF1">
              <w:rPr>
                <w:rFonts w:cs="Arial"/>
                <w:sz w:val="24"/>
                <w:szCs w:val="24"/>
              </w:rPr>
              <w:t>Coronavirus – long COVID</w:t>
            </w:r>
          </w:p>
        </w:tc>
        <w:tc>
          <w:tcPr>
            <w:tcW w:w="7619" w:type="dxa"/>
          </w:tcPr>
          <w:p w14:paraId="3853EFB6" w14:textId="77777777" w:rsidR="00F65570" w:rsidRPr="009C7DF1" w:rsidRDefault="00F65570" w:rsidP="00AC5B73">
            <w:pPr>
              <w:rPr>
                <w:rFonts w:cs="Arial"/>
                <w:sz w:val="24"/>
                <w:szCs w:val="24"/>
              </w:rPr>
            </w:pPr>
            <w:r w:rsidRPr="009C7DF1">
              <w:rPr>
                <w:rFonts w:cs="Arial"/>
                <w:sz w:val="24"/>
                <w:szCs w:val="24"/>
              </w:rPr>
              <w:t>If an employee has tested positive, after the self-isolation period they would move onto long COVID if they remain unfit to return to work.</w:t>
            </w:r>
            <w:r w:rsidR="00142A82" w:rsidRPr="009C7DF1">
              <w:rPr>
                <w:rFonts w:cs="Arial"/>
                <w:sz w:val="24"/>
                <w:szCs w:val="24"/>
              </w:rPr>
              <w:t xml:space="preserve"> </w:t>
            </w:r>
            <w:r w:rsidRPr="009C7DF1">
              <w:rPr>
                <w:rFonts w:cs="Arial"/>
                <w:sz w:val="24"/>
                <w:szCs w:val="24"/>
              </w:rPr>
              <w:t>This employee would be expected to seek medical advice.</w:t>
            </w:r>
          </w:p>
        </w:tc>
      </w:tr>
      <w:tr w:rsidR="00F65570" w:rsidRPr="009C7DF1" w14:paraId="5B986CF2" w14:textId="77777777" w:rsidTr="00EC5BC8">
        <w:trPr>
          <w:trHeight w:val="506"/>
        </w:trPr>
        <w:tc>
          <w:tcPr>
            <w:tcW w:w="3369" w:type="dxa"/>
          </w:tcPr>
          <w:p w14:paraId="713101BB" w14:textId="77777777" w:rsidR="00F65570" w:rsidRPr="009C7DF1" w:rsidRDefault="00F65570" w:rsidP="00AC5B73">
            <w:pPr>
              <w:rPr>
                <w:rFonts w:cs="Arial"/>
                <w:sz w:val="24"/>
                <w:szCs w:val="24"/>
              </w:rPr>
            </w:pPr>
            <w:r w:rsidRPr="009C7DF1">
              <w:rPr>
                <w:rFonts w:cs="Arial"/>
                <w:sz w:val="24"/>
                <w:szCs w:val="24"/>
              </w:rPr>
              <w:t>Coronavirus – underlying health conditions</w:t>
            </w:r>
          </w:p>
        </w:tc>
        <w:tc>
          <w:tcPr>
            <w:tcW w:w="7619" w:type="dxa"/>
          </w:tcPr>
          <w:p w14:paraId="001C5FEB" w14:textId="77777777" w:rsidR="00F65570" w:rsidRPr="009C7DF1" w:rsidRDefault="00F65570" w:rsidP="00AC5B73">
            <w:pPr>
              <w:rPr>
                <w:rFonts w:cs="Arial"/>
                <w:sz w:val="24"/>
                <w:szCs w:val="24"/>
              </w:rPr>
            </w:pPr>
            <w:r w:rsidRPr="009C7DF1">
              <w:rPr>
                <w:rFonts w:cs="Arial"/>
                <w:sz w:val="24"/>
                <w:szCs w:val="24"/>
              </w:rPr>
              <w:t>Staff member has underlying health conditions putting them in the at risk category.</w:t>
            </w:r>
          </w:p>
        </w:tc>
      </w:tr>
      <w:tr w:rsidR="00F65570" w:rsidRPr="009C7DF1" w14:paraId="46680D93" w14:textId="77777777" w:rsidTr="00EC5BC8">
        <w:trPr>
          <w:trHeight w:val="506"/>
        </w:trPr>
        <w:tc>
          <w:tcPr>
            <w:tcW w:w="3369" w:type="dxa"/>
          </w:tcPr>
          <w:p w14:paraId="01987110" w14:textId="77777777" w:rsidR="00F65570" w:rsidRPr="009C7DF1" w:rsidRDefault="00F65570" w:rsidP="00AC5B73">
            <w:pPr>
              <w:rPr>
                <w:rFonts w:cs="Arial"/>
                <w:sz w:val="24"/>
                <w:szCs w:val="24"/>
              </w:rPr>
            </w:pPr>
            <w:r w:rsidRPr="009C7DF1">
              <w:rPr>
                <w:rFonts w:cs="Arial"/>
                <w:sz w:val="24"/>
                <w:szCs w:val="24"/>
              </w:rPr>
              <w:t>Coronavirus – test and protect isolation</w:t>
            </w:r>
          </w:p>
        </w:tc>
        <w:tc>
          <w:tcPr>
            <w:tcW w:w="7619" w:type="dxa"/>
          </w:tcPr>
          <w:p w14:paraId="503618F3" w14:textId="77777777" w:rsidR="00F65570" w:rsidRPr="009C7DF1" w:rsidRDefault="00F65570" w:rsidP="00AC5B73">
            <w:pPr>
              <w:rPr>
                <w:rFonts w:cs="Arial"/>
                <w:sz w:val="24"/>
                <w:szCs w:val="24"/>
              </w:rPr>
            </w:pPr>
            <w:r w:rsidRPr="009C7DF1">
              <w:rPr>
                <w:rFonts w:cs="Arial"/>
                <w:sz w:val="24"/>
                <w:szCs w:val="24"/>
              </w:rPr>
              <w:t>Staff member has been told to isolate following contact by test and protect staff</w:t>
            </w:r>
          </w:p>
        </w:tc>
      </w:tr>
      <w:tr w:rsidR="00F65570" w:rsidRPr="009C7DF1" w14:paraId="1070E0B5" w14:textId="77777777" w:rsidTr="00EC5BC8">
        <w:trPr>
          <w:trHeight w:val="506"/>
        </w:trPr>
        <w:tc>
          <w:tcPr>
            <w:tcW w:w="3369" w:type="dxa"/>
          </w:tcPr>
          <w:p w14:paraId="20DDA9E7" w14:textId="77777777" w:rsidR="00F65570" w:rsidRPr="000A612E" w:rsidRDefault="00F65570" w:rsidP="00AC5B73">
            <w:pPr>
              <w:rPr>
                <w:rFonts w:cs="Arial"/>
                <w:sz w:val="24"/>
                <w:szCs w:val="24"/>
              </w:rPr>
            </w:pPr>
            <w:r w:rsidRPr="000A612E">
              <w:rPr>
                <w:rFonts w:cs="Arial"/>
                <w:sz w:val="24"/>
                <w:szCs w:val="24"/>
              </w:rPr>
              <w:t>Coronavirus – quarantine</w:t>
            </w:r>
          </w:p>
        </w:tc>
        <w:tc>
          <w:tcPr>
            <w:tcW w:w="7619" w:type="dxa"/>
          </w:tcPr>
          <w:p w14:paraId="72CBD32A" w14:textId="77777777" w:rsidR="00F65570" w:rsidRPr="000A612E" w:rsidRDefault="00F65570" w:rsidP="00AC5B73">
            <w:pPr>
              <w:rPr>
                <w:rFonts w:cs="Arial"/>
                <w:sz w:val="24"/>
                <w:szCs w:val="24"/>
              </w:rPr>
            </w:pPr>
            <w:r w:rsidRPr="000A612E">
              <w:rPr>
                <w:rFonts w:cs="Arial"/>
                <w:sz w:val="24"/>
                <w:szCs w:val="24"/>
              </w:rPr>
              <w:t>Staff member is required to isolate following their return from a country on the quarantine list</w:t>
            </w:r>
          </w:p>
        </w:tc>
      </w:tr>
      <w:tr w:rsidR="000A612E" w:rsidRPr="009C7DF1" w14:paraId="3F843102" w14:textId="77777777" w:rsidTr="00EC5BC8">
        <w:trPr>
          <w:trHeight w:val="506"/>
        </w:trPr>
        <w:tc>
          <w:tcPr>
            <w:tcW w:w="3369" w:type="dxa"/>
          </w:tcPr>
          <w:p w14:paraId="298F06FF" w14:textId="37818A1A" w:rsidR="000A612E" w:rsidRPr="000A612E" w:rsidRDefault="000A612E" w:rsidP="00AC5B73">
            <w:pPr>
              <w:rPr>
                <w:rFonts w:cs="Arial"/>
                <w:sz w:val="24"/>
                <w:szCs w:val="24"/>
              </w:rPr>
            </w:pPr>
            <w:r w:rsidRPr="000A612E">
              <w:rPr>
                <w:sz w:val="24"/>
                <w:szCs w:val="24"/>
              </w:rPr>
              <w:t>Coronavirus – vaccination reaction</w:t>
            </w:r>
          </w:p>
        </w:tc>
        <w:tc>
          <w:tcPr>
            <w:tcW w:w="7619" w:type="dxa"/>
          </w:tcPr>
          <w:p w14:paraId="6F0C2213" w14:textId="666478F7" w:rsidR="000A612E" w:rsidRPr="000A612E" w:rsidRDefault="000A612E" w:rsidP="00AC5B73">
            <w:pPr>
              <w:rPr>
                <w:rFonts w:cs="Arial"/>
                <w:sz w:val="24"/>
                <w:szCs w:val="24"/>
              </w:rPr>
            </w:pPr>
            <w:r w:rsidRPr="000A612E">
              <w:rPr>
                <w:sz w:val="24"/>
                <w:szCs w:val="24"/>
              </w:rPr>
              <w:t>Staff member needs to take time off work in the 48 hours following vaccination as a result of an adverse reaction.</w:t>
            </w:r>
          </w:p>
        </w:tc>
      </w:tr>
    </w:tbl>
    <w:p w14:paraId="55692957" w14:textId="77777777" w:rsidR="001E20A3" w:rsidRPr="009C7DF1" w:rsidRDefault="001E20A3" w:rsidP="00AC5B73">
      <w:pPr>
        <w:rPr>
          <w:rFonts w:cs="Arial"/>
          <w:szCs w:val="24"/>
        </w:rPr>
      </w:pPr>
    </w:p>
    <w:p w14:paraId="3E63C12D" w14:textId="6514B45C" w:rsidR="00EC5BC8" w:rsidRPr="009C7DF1" w:rsidRDefault="00EC5BC8" w:rsidP="00AC5B73">
      <w:pPr>
        <w:rPr>
          <w:rFonts w:cs="Arial"/>
          <w:szCs w:val="24"/>
        </w:rPr>
      </w:pPr>
      <w:r w:rsidRPr="009C7DF1">
        <w:rPr>
          <w:rFonts w:cs="Arial"/>
          <w:szCs w:val="24"/>
        </w:rPr>
        <w:t xml:space="preserve">In the monitored period a total of </w:t>
      </w:r>
      <w:r w:rsidR="00836EC0" w:rsidRPr="00836EC0">
        <w:rPr>
          <w:rFonts w:cs="Arial"/>
          <w:szCs w:val="24"/>
        </w:rPr>
        <w:t>96457.8</w:t>
      </w:r>
      <w:r w:rsidR="00836EC0">
        <w:rPr>
          <w:rFonts w:cs="Arial"/>
          <w:szCs w:val="24"/>
        </w:rPr>
        <w:t xml:space="preserve"> </w:t>
      </w:r>
      <w:r w:rsidRPr="009C7DF1">
        <w:rPr>
          <w:rFonts w:cs="Arial"/>
          <w:szCs w:val="24"/>
        </w:rPr>
        <w:t xml:space="preserve">hours of special leave were taken, compared with </w:t>
      </w:r>
      <w:r w:rsidR="00836EC0">
        <w:rPr>
          <w:rFonts w:cs="Arial"/>
          <w:szCs w:val="24"/>
        </w:rPr>
        <w:t>128268.8</w:t>
      </w:r>
      <w:r w:rsidRPr="009C7DF1">
        <w:rPr>
          <w:rFonts w:cs="Arial"/>
          <w:szCs w:val="24"/>
        </w:rPr>
        <w:t xml:space="preserve"> hours the previous year, broken up by Directorate as shown below:</w:t>
      </w:r>
    </w:p>
    <w:p w14:paraId="13F6BBA2" w14:textId="77777777" w:rsidR="00723B3B" w:rsidRPr="009C7DF1" w:rsidRDefault="00723B3B" w:rsidP="00AC5B73">
      <w:pPr>
        <w:rPr>
          <w:rFonts w:cs="Arial"/>
          <w:szCs w:val="24"/>
        </w:rPr>
      </w:pPr>
    </w:p>
    <w:tbl>
      <w:tblPr>
        <w:tblStyle w:val="TableGrid"/>
        <w:tblW w:w="0" w:type="auto"/>
        <w:jc w:val="center"/>
        <w:tblLook w:val="04A0" w:firstRow="1" w:lastRow="0" w:firstColumn="1" w:lastColumn="0" w:noHBand="0" w:noVBand="1"/>
      </w:tblPr>
      <w:tblGrid>
        <w:gridCol w:w="4219"/>
        <w:gridCol w:w="2705"/>
      </w:tblGrid>
      <w:tr w:rsidR="00EC5BC8" w:rsidRPr="009C7DF1" w14:paraId="29BF370D" w14:textId="77777777" w:rsidTr="00EC5BC8">
        <w:trPr>
          <w:jc w:val="center"/>
        </w:trPr>
        <w:tc>
          <w:tcPr>
            <w:tcW w:w="4219" w:type="dxa"/>
          </w:tcPr>
          <w:p w14:paraId="7B88F8FC" w14:textId="77777777" w:rsidR="00EC5BC8" w:rsidRPr="009C7DF1" w:rsidRDefault="00EC5BC8" w:rsidP="00AC5B73">
            <w:pPr>
              <w:rPr>
                <w:rFonts w:cs="Arial"/>
                <w:b/>
                <w:sz w:val="24"/>
                <w:szCs w:val="24"/>
              </w:rPr>
            </w:pPr>
            <w:r w:rsidRPr="009C7DF1">
              <w:rPr>
                <w:rFonts w:cs="Arial"/>
                <w:b/>
                <w:sz w:val="24"/>
                <w:szCs w:val="24"/>
              </w:rPr>
              <w:t>Directorate</w:t>
            </w:r>
          </w:p>
        </w:tc>
        <w:tc>
          <w:tcPr>
            <w:tcW w:w="2705" w:type="dxa"/>
          </w:tcPr>
          <w:p w14:paraId="50C4D228" w14:textId="77777777" w:rsidR="00EC5BC8" w:rsidRPr="009C7DF1" w:rsidRDefault="00EC5BC8" w:rsidP="00AC5B73">
            <w:pPr>
              <w:rPr>
                <w:rFonts w:cs="Arial"/>
                <w:b/>
                <w:sz w:val="24"/>
                <w:szCs w:val="24"/>
              </w:rPr>
            </w:pPr>
            <w:r w:rsidRPr="009C7DF1">
              <w:rPr>
                <w:rFonts w:cs="Arial"/>
                <w:b/>
                <w:sz w:val="24"/>
                <w:szCs w:val="24"/>
              </w:rPr>
              <w:t>Special Leave Hours</w:t>
            </w:r>
          </w:p>
        </w:tc>
      </w:tr>
      <w:tr w:rsidR="00EC5BC8" w:rsidRPr="009C7DF1" w14:paraId="5056976B" w14:textId="77777777" w:rsidTr="00EC5BC8">
        <w:trPr>
          <w:jc w:val="center"/>
        </w:trPr>
        <w:tc>
          <w:tcPr>
            <w:tcW w:w="4219" w:type="dxa"/>
          </w:tcPr>
          <w:p w14:paraId="27AFC47E" w14:textId="77777777" w:rsidR="00EC5BC8" w:rsidRPr="009C7DF1" w:rsidRDefault="00EC5BC8" w:rsidP="00AC5B73">
            <w:pPr>
              <w:rPr>
                <w:rFonts w:cs="Arial"/>
                <w:sz w:val="24"/>
                <w:szCs w:val="24"/>
              </w:rPr>
            </w:pPr>
            <w:r w:rsidRPr="009C7DF1">
              <w:rPr>
                <w:rFonts w:cs="Arial"/>
                <w:sz w:val="24"/>
                <w:szCs w:val="24"/>
              </w:rPr>
              <w:t>Corporate</w:t>
            </w:r>
          </w:p>
        </w:tc>
        <w:tc>
          <w:tcPr>
            <w:tcW w:w="2705" w:type="dxa"/>
            <w:vAlign w:val="bottom"/>
          </w:tcPr>
          <w:p w14:paraId="1D11D64A" w14:textId="03B323D8" w:rsidR="00EC5BC8" w:rsidRPr="009C7DF1" w:rsidRDefault="00836EC0" w:rsidP="00AC5B73">
            <w:pPr>
              <w:jc w:val="right"/>
              <w:rPr>
                <w:rFonts w:cs="Arial"/>
                <w:color w:val="000000"/>
                <w:sz w:val="24"/>
              </w:rPr>
            </w:pPr>
            <w:r>
              <w:rPr>
                <w:rFonts w:cs="Arial"/>
                <w:color w:val="000000"/>
                <w:sz w:val="24"/>
              </w:rPr>
              <w:t>18566.2</w:t>
            </w:r>
          </w:p>
        </w:tc>
      </w:tr>
      <w:tr w:rsidR="00EC5BC8" w:rsidRPr="009C7DF1" w14:paraId="4D24BE27" w14:textId="77777777" w:rsidTr="00EC5BC8">
        <w:trPr>
          <w:jc w:val="center"/>
        </w:trPr>
        <w:tc>
          <w:tcPr>
            <w:tcW w:w="4219" w:type="dxa"/>
          </w:tcPr>
          <w:p w14:paraId="24FBC91A" w14:textId="77777777" w:rsidR="00EC5BC8" w:rsidRPr="009C7DF1" w:rsidRDefault="00EC5BC8" w:rsidP="00AC5B73">
            <w:pPr>
              <w:rPr>
                <w:rFonts w:cs="Arial"/>
                <w:sz w:val="24"/>
                <w:szCs w:val="24"/>
              </w:rPr>
            </w:pPr>
            <w:r w:rsidRPr="009C7DF1">
              <w:rPr>
                <w:rFonts w:cs="Arial"/>
                <w:sz w:val="24"/>
                <w:szCs w:val="24"/>
              </w:rPr>
              <w:t>Golden Jubilee Conference Hotel</w:t>
            </w:r>
          </w:p>
        </w:tc>
        <w:tc>
          <w:tcPr>
            <w:tcW w:w="2705" w:type="dxa"/>
            <w:vAlign w:val="bottom"/>
          </w:tcPr>
          <w:p w14:paraId="6A5EAD21" w14:textId="251993C0" w:rsidR="00EC5BC8" w:rsidRPr="009C7DF1" w:rsidRDefault="00836EC0" w:rsidP="00AC5B73">
            <w:pPr>
              <w:jc w:val="right"/>
              <w:rPr>
                <w:rFonts w:cs="Arial"/>
                <w:color w:val="000000"/>
                <w:sz w:val="24"/>
              </w:rPr>
            </w:pPr>
            <w:r>
              <w:rPr>
                <w:rFonts w:cs="Arial"/>
                <w:color w:val="000000"/>
                <w:sz w:val="24"/>
              </w:rPr>
              <w:t>2737.9</w:t>
            </w:r>
          </w:p>
        </w:tc>
      </w:tr>
      <w:tr w:rsidR="00EC5BC8" w:rsidRPr="009C7DF1" w14:paraId="1E27F847" w14:textId="77777777" w:rsidTr="00EC5BC8">
        <w:trPr>
          <w:jc w:val="center"/>
        </w:trPr>
        <w:tc>
          <w:tcPr>
            <w:tcW w:w="4219" w:type="dxa"/>
          </w:tcPr>
          <w:p w14:paraId="159FBEFA" w14:textId="77777777" w:rsidR="00EC5BC8" w:rsidRPr="009C7DF1" w:rsidRDefault="00EC5BC8" w:rsidP="00AC5B73">
            <w:pPr>
              <w:rPr>
                <w:rFonts w:cs="Arial"/>
                <w:sz w:val="24"/>
                <w:szCs w:val="24"/>
              </w:rPr>
            </w:pPr>
            <w:r w:rsidRPr="009C7DF1">
              <w:rPr>
                <w:rFonts w:cs="Arial"/>
                <w:sz w:val="24"/>
                <w:szCs w:val="24"/>
              </w:rPr>
              <w:t>Heart, Lung and Diagnostic Services</w:t>
            </w:r>
          </w:p>
        </w:tc>
        <w:tc>
          <w:tcPr>
            <w:tcW w:w="2705" w:type="dxa"/>
            <w:vAlign w:val="bottom"/>
          </w:tcPr>
          <w:p w14:paraId="2C6E4A5F" w14:textId="132BF0D8" w:rsidR="00EC5BC8" w:rsidRPr="009C7DF1" w:rsidRDefault="00836EC0" w:rsidP="00AC5B73">
            <w:pPr>
              <w:jc w:val="right"/>
              <w:rPr>
                <w:rFonts w:cs="Arial"/>
                <w:color w:val="000000"/>
                <w:sz w:val="24"/>
              </w:rPr>
            </w:pPr>
            <w:r>
              <w:rPr>
                <w:rFonts w:cs="Arial"/>
                <w:color w:val="000000"/>
                <w:sz w:val="24"/>
              </w:rPr>
              <w:t>38910.5</w:t>
            </w:r>
          </w:p>
        </w:tc>
      </w:tr>
      <w:tr w:rsidR="00EC5BC8" w:rsidRPr="009C7DF1" w14:paraId="0DDD1529" w14:textId="77777777" w:rsidTr="00EC5BC8">
        <w:trPr>
          <w:jc w:val="center"/>
        </w:trPr>
        <w:tc>
          <w:tcPr>
            <w:tcW w:w="4219" w:type="dxa"/>
          </w:tcPr>
          <w:p w14:paraId="7E6C867E" w14:textId="77777777" w:rsidR="00EC5BC8" w:rsidRPr="009C7DF1" w:rsidRDefault="00EC5BC8" w:rsidP="00AC5B73">
            <w:pPr>
              <w:rPr>
                <w:rFonts w:cs="Arial"/>
                <w:sz w:val="24"/>
                <w:szCs w:val="24"/>
              </w:rPr>
            </w:pPr>
            <w:r w:rsidRPr="009C7DF1">
              <w:rPr>
                <w:rFonts w:cs="Arial"/>
                <w:sz w:val="24"/>
                <w:szCs w:val="24"/>
              </w:rPr>
              <w:lastRenderedPageBreak/>
              <w:t>National Elective Services</w:t>
            </w:r>
          </w:p>
        </w:tc>
        <w:tc>
          <w:tcPr>
            <w:tcW w:w="2705" w:type="dxa"/>
            <w:vAlign w:val="bottom"/>
          </w:tcPr>
          <w:p w14:paraId="247093A6" w14:textId="153A5749" w:rsidR="00EC5BC8" w:rsidRPr="009C7DF1" w:rsidRDefault="00836EC0" w:rsidP="00AC5B73">
            <w:pPr>
              <w:jc w:val="right"/>
              <w:rPr>
                <w:rFonts w:cs="Arial"/>
                <w:color w:val="000000"/>
                <w:sz w:val="24"/>
              </w:rPr>
            </w:pPr>
            <w:r>
              <w:rPr>
                <w:rFonts w:cs="Arial"/>
                <w:color w:val="000000"/>
                <w:sz w:val="24"/>
              </w:rPr>
              <w:t>36243.2</w:t>
            </w:r>
          </w:p>
        </w:tc>
      </w:tr>
      <w:tr w:rsidR="00EC5BC8" w:rsidRPr="009C7DF1" w14:paraId="5B30A8F4" w14:textId="77777777" w:rsidTr="00EC5BC8">
        <w:trPr>
          <w:jc w:val="center"/>
        </w:trPr>
        <w:tc>
          <w:tcPr>
            <w:tcW w:w="4219" w:type="dxa"/>
          </w:tcPr>
          <w:p w14:paraId="75816ECD" w14:textId="77777777" w:rsidR="00EC5BC8" w:rsidRPr="009C7DF1" w:rsidRDefault="00EC5BC8" w:rsidP="00AC5B73">
            <w:pPr>
              <w:rPr>
                <w:rFonts w:cs="Arial"/>
                <w:b/>
                <w:sz w:val="24"/>
                <w:szCs w:val="24"/>
              </w:rPr>
            </w:pPr>
            <w:r w:rsidRPr="009C7DF1">
              <w:rPr>
                <w:rFonts w:cs="Arial"/>
                <w:b/>
                <w:sz w:val="24"/>
                <w:szCs w:val="24"/>
              </w:rPr>
              <w:t>Board Total</w:t>
            </w:r>
          </w:p>
        </w:tc>
        <w:tc>
          <w:tcPr>
            <w:tcW w:w="2705" w:type="dxa"/>
            <w:vAlign w:val="bottom"/>
          </w:tcPr>
          <w:p w14:paraId="0184B56C" w14:textId="234ADEC4" w:rsidR="00EC5BC8" w:rsidRPr="009C7DF1" w:rsidRDefault="00836EC0" w:rsidP="00AC5B73">
            <w:pPr>
              <w:jc w:val="right"/>
              <w:rPr>
                <w:rFonts w:cs="Arial"/>
                <w:b/>
                <w:bCs/>
                <w:color w:val="000000"/>
                <w:sz w:val="24"/>
              </w:rPr>
            </w:pPr>
            <w:r w:rsidRPr="00836EC0">
              <w:rPr>
                <w:rFonts w:cs="Arial"/>
                <w:b/>
                <w:bCs/>
                <w:color w:val="000000"/>
                <w:sz w:val="24"/>
              </w:rPr>
              <w:t>96457.8</w:t>
            </w:r>
          </w:p>
        </w:tc>
      </w:tr>
    </w:tbl>
    <w:p w14:paraId="74CE85BC" w14:textId="77777777" w:rsidR="00EC5BC8" w:rsidRPr="009C7DF1" w:rsidRDefault="00EC5BC8" w:rsidP="00AC5B73">
      <w:pPr>
        <w:rPr>
          <w:rFonts w:cs="Arial"/>
          <w:szCs w:val="24"/>
        </w:rPr>
      </w:pPr>
    </w:p>
    <w:p w14:paraId="31ED7495" w14:textId="273C066D" w:rsidR="00F16A92" w:rsidRPr="009C7DF1" w:rsidRDefault="00836EC0" w:rsidP="00AC5B73">
      <w:pPr>
        <w:rPr>
          <w:rFonts w:cs="Arial"/>
          <w:szCs w:val="24"/>
        </w:rPr>
      </w:pPr>
      <w:r>
        <w:rPr>
          <w:rFonts w:cs="Arial"/>
          <w:szCs w:val="24"/>
        </w:rPr>
        <w:t xml:space="preserve">The </w:t>
      </w:r>
      <w:r w:rsidR="00EC5BC8" w:rsidRPr="009C7DF1">
        <w:rPr>
          <w:rFonts w:cs="Arial"/>
          <w:szCs w:val="24"/>
        </w:rPr>
        <w:t>top ten</w:t>
      </w:r>
      <w:r w:rsidR="00723B3B" w:rsidRPr="009C7DF1">
        <w:rPr>
          <w:rFonts w:cs="Arial"/>
          <w:szCs w:val="24"/>
        </w:rPr>
        <w:t xml:space="preserve"> reasons for special leave are shown below:</w:t>
      </w:r>
    </w:p>
    <w:p w14:paraId="7D9E588F" w14:textId="77777777" w:rsidR="00F16A92" w:rsidRPr="009C7DF1" w:rsidRDefault="00F16A92" w:rsidP="00AC5B73">
      <w:pPr>
        <w:rPr>
          <w:rFonts w:cs="Arial"/>
          <w:szCs w:val="24"/>
        </w:rPr>
      </w:pPr>
    </w:p>
    <w:tbl>
      <w:tblPr>
        <w:tblStyle w:val="TableGrid"/>
        <w:tblW w:w="0" w:type="auto"/>
        <w:tblLook w:val="04A0" w:firstRow="1" w:lastRow="0" w:firstColumn="1" w:lastColumn="0" w:noHBand="0" w:noVBand="1"/>
      </w:tblPr>
      <w:tblGrid>
        <w:gridCol w:w="6062"/>
        <w:gridCol w:w="2693"/>
        <w:gridCol w:w="2233"/>
      </w:tblGrid>
      <w:tr w:rsidR="00723B3B" w:rsidRPr="00836EC0" w14:paraId="0066DE6C" w14:textId="77777777" w:rsidTr="00942467">
        <w:tc>
          <w:tcPr>
            <w:tcW w:w="6062" w:type="dxa"/>
            <w:vAlign w:val="bottom"/>
          </w:tcPr>
          <w:p w14:paraId="3EB85D63" w14:textId="77777777" w:rsidR="00723B3B" w:rsidRPr="00836EC0" w:rsidRDefault="00723B3B" w:rsidP="00AC5B73">
            <w:pPr>
              <w:rPr>
                <w:rFonts w:cs="Arial"/>
                <w:b/>
                <w:color w:val="000000"/>
                <w:sz w:val="24"/>
                <w:szCs w:val="24"/>
              </w:rPr>
            </w:pPr>
            <w:r w:rsidRPr="00836EC0">
              <w:rPr>
                <w:rFonts w:cs="Arial"/>
                <w:b/>
                <w:color w:val="000000"/>
                <w:sz w:val="24"/>
                <w:szCs w:val="24"/>
              </w:rPr>
              <w:t>Reason for Special Leave</w:t>
            </w:r>
          </w:p>
        </w:tc>
        <w:tc>
          <w:tcPr>
            <w:tcW w:w="2693" w:type="dxa"/>
            <w:vAlign w:val="bottom"/>
          </w:tcPr>
          <w:p w14:paraId="41E3671F" w14:textId="77777777" w:rsidR="00723B3B" w:rsidRPr="00836EC0" w:rsidRDefault="00723B3B" w:rsidP="00AC5B73">
            <w:pPr>
              <w:rPr>
                <w:rFonts w:cs="Arial"/>
                <w:b/>
                <w:color w:val="000000"/>
                <w:sz w:val="24"/>
                <w:szCs w:val="24"/>
              </w:rPr>
            </w:pPr>
            <w:r w:rsidRPr="00836EC0">
              <w:rPr>
                <w:rFonts w:cs="Arial"/>
                <w:b/>
                <w:color w:val="000000"/>
                <w:sz w:val="24"/>
                <w:szCs w:val="24"/>
              </w:rPr>
              <w:t>Special Leave Hours</w:t>
            </w:r>
          </w:p>
        </w:tc>
        <w:tc>
          <w:tcPr>
            <w:tcW w:w="2233" w:type="dxa"/>
            <w:vAlign w:val="bottom"/>
          </w:tcPr>
          <w:p w14:paraId="4BF7E707" w14:textId="77777777" w:rsidR="00723B3B" w:rsidRPr="00836EC0" w:rsidRDefault="00942467" w:rsidP="00AC5B73">
            <w:pPr>
              <w:rPr>
                <w:rFonts w:cs="Arial"/>
                <w:b/>
                <w:color w:val="000000"/>
                <w:sz w:val="24"/>
                <w:szCs w:val="24"/>
              </w:rPr>
            </w:pPr>
            <w:r w:rsidRPr="00836EC0">
              <w:rPr>
                <w:rFonts w:cs="Arial"/>
                <w:b/>
                <w:color w:val="000000"/>
                <w:sz w:val="24"/>
                <w:szCs w:val="24"/>
              </w:rPr>
              <w:t xml:space="preserve">% </w:t>
            </w:r>
            <w:r w:rsidR="00723B3B" w:rsidRPr="00836EC0">
              <w:rPr>
                <w:rFonts w:cs="Arial"/>
                <w:b/>
                <w:color w:val="000000"/>
                <w:sz w:val="24"/>
                <w:szCs w:val="24"/>
              </w:rPr>
              <w:t>Special Leave</w:t>
            </w:r>
          </w:p>
        </w:tc>
      </w:tr>
      <w:tr w:rsidR="00836EC0" w:rsidRPr="00836EC0" w14:paraId="633D6D19" w14:textId="77777777" w:rsidTr="00F76F5D">
        <w:tc>
          <w:tcPr>
            <w:tcW w:w="6062" w:type="dxa"/>
          </w:tcPr>
          <w:p w14:paraId="056F97C6" w14:textId="6C2E16C0" w:rsidR="00836EC0" w:rsidRPr="00836EC0" w:rsidRDefault="00836EC0" w:rsidP="00AC5B73">
            <w:pPr>
              <w:rPr>
                <w:rFonts w:cs="Arial"/>
                <w:color w:val="000000"/>
                <w:sz w:val="24"/>
                <w:szCs w:val="24"/>
              </w:rPr>
            </w:pPr>
            <w:r w:rsidRPr="00836EC0">
              <w:rPr>
                <w:sz w:val="24"/>
                <w:szCs w:val="24"/>
              </w:rPr>
              <w:t>Coronavirus - Covid Positive</w:t>
            </w:r>
          </w:p>
        </w:tc>
        <w:tc>
          <w:tcPr>
            <w:tcW w:w="2693" w:type="dxa"/>
          </w:tcPr>
          <w:p w14:paraId="251E45CC" w14:textId="08912CDD" w:rsidR="00836EC0" w:rsidRPr="00836EC0" w:rsidRDefault="00836EC0" w:rsidP="00AC5B73">
            <w:pPr>
              <w:jc w:val="right"/>
              <w:rPr>
                <w:rFonts w:cs="Arial"/>
                <w:color w:val="000000"/>
                <w:sz w:val="24"/>
                <w:szCs w:val="24"/>
              </w:rPr>
            </w:pPr>
            <w:r w:rsidRPr="00836EC0">
              <w:rPr>
                <w:sz w:val="24"/>
                <w:szCs w:val="24"/>
              </w:rPr>
              <w:t>31318.6</w:t>
            </w:r>
          </w:p>
        </w:tc>
        <w:tc>
          <w:tcPr>
            <w:tcW w:w="2233" w:type="dxa"/>
          </w:tcPr>
          <w:p w14:paraId="1568742C" w14:textId="02DC688F" w:rsidR="00836EC0" w:rsidRPr="00836EC0" w:rsidRDefault="00836EC0" w:rsidP="00AC5B73">
            <w:pPr>
              <w:jc w:val="right"/>
              <w:rPr>
                <w:rFonts w:cs="Arial"/>
                <w:color w:val="000000"/>
                <w:sz w:val="24"/>
                <w:szCs w:val="24"/>
              </w:rPr>
            </w:pPr>
            <w:r w:rsidRPr="00836EC0">
              <w:rPr>
                <w:sz w:val="24"/>
                <w:szCs w:val="24"/>
              </w:rPr>
              <w:t>32.5%</w:t>
            </w:r>
          </w:p>
        </w:tc>
      </w:tr>
      <w:tr w:rsidR="00836EC0" w:rsidRPr="00836EC0" w14:paraId="7D6D7CDB" w14:textId="77777777" w:rsidTr="00F76F5D">
        <w:tc>
          <w:tcPr>
            <w:tcW w:w="6062" w:type="dxa"/>
          </w:tcPr>
          <w:p w14:paraId="468F479D" w14:textId="18446082" w:rsidR="00836EC0" w:rsidRPr="00836EC0" w:rsidRDefault="00836EC0" w:rsidP="00AC5B73">
            <w:pPr>
              <w:rPr>
                <w:rFonts w:cs="Arial"/>
                <w:color w:val="000000"/>
                <w:sz w:val="24"/>
                <w:szCs w:val="24"/>
              </w:rPr>
            </w:pPr>
            <w:r w:rsidRPr="00836EC0">
              <w:rPr>
                <w:sz w:val="24"/>
                <w:szCs w:val="24"/>
              </w:rPr>
              <w:t>Coronavirus - Household Related - Self Isolating</w:t>
            </w:r>
          </w:p>
        </w:tc>
        <w:tc>
          <w:tcPr>
            <w:tcW w:w="2693" w:type="dxa"/>
          </w:tcPr>
          <w:p w14:paraId="01BB2702" w14:textId="6427ED7A" w:rsidR="00836EC0" w:rsidRPr="00836EC0" w:rsidRDefault="00836EC0" w:rsidP="00AC5B73">
            <w:pPr>
              <w:jc w:val="right"/>
              <w:rPr>
                <w:rFonts w:cs="Arial"/>
                <w:color w:val="000000"/>
                <w:sz w:val="24"/>
                <w:szCs w:val="24"/>
              </w:rPr>
            </w:pPr>
            <w:r w:rsidRPr="00836EC0">
              <w:rPr>
                <w:sz w:val="24"/>
                <w:szCs w:val="24"/>
              </w:rPr>
              <w:t>12499.8</w:t>
            </w:r>
          </w:p>
        </w:tc>
        <w:tc>
          <w:tcPr>
            <w:tcW w:w="2233" w:type="dxa"/>
          </w:tcPr>
          <w:p w14:paraId="03D42A75" w14:textId="067B11A7" w:rsidR="00836EC0" w:rsidRPr="00836EC0" w:rsidRDefault="00836EC0" w:rsidP="00AC5B73">
            <w:pPr>
              <w:jc w:val="right"/>
              <w:rPr>
                <w:rFonts w:cs="Arial"/>
                <w:color w:val="000000"/>
                <w:sz w:val="24"/>
                <w:szCs w:val="24"/>
              </w:rPr>
            </w:pPr>
            <w:r w:rsidRPr="00836EC0">
              <w:rPr>
                <w:sz w:val="24"/>
                <w:szCs w:val="24"/>
              </w:rPr>
              <w:t>13.0%</w:t>
            </w:r>
          </w:p>
        </w:tc>
      </w:tr>
      <w:tr w:rsidR="00836EC0" w:rsidRPr="00836EC0" w14:paraId="4D2B773F" w14:textId="77777777" w:rsidTr="00F76F5D">
        <w:tc>
          <w:tcPr>
            <w:tcW w:w="6062" w:type="dxa"/>
          </w:tcPr>
          <w:p w14:paraId="6C5BD0C9" w14:textId="351FAAA1" w:rsidR="00836EC0" w:rsidRPr="00836EC0" w:rsidRDefault="00836EC0" w:rsidP="00AC5B73">
            <w:pPr>
              <w:rPr>
                <w:rFonts w:cs="Arial"/>
                <w:color w:val="000000"/>
                <w:sz w:val="24"/>
                <w:szCs w:val="24"/>
              </w:rPr>
            </w:pPr>
            <w:r w:rsidRPr="00836EC0">
              <w:rPr>
                <w:sz w:val="24"/>
                <w:szCs w:val="24"/>
              </w:rPr>
              <w:t>Coronavirus - Long Covid</w:t>
            </w:r>
          </w:p>
        </w:tc>
        <w:tc>
          <w:tcPr>
            <w:tcW w:w="2693" w:type="dxa"/>
          </w:tcPr>
          <w:p w14:paraId="1965AE07" w14:textId="5E1D158D" w:rsidR="00836EC0" w:rsidRPr="00836EC0" w:rsidRDefault="00836EC0" w:rsidP="00AC5B73">
            <w:pPr>
              <w:jc w:val="right"/>
              <w:rPr>
                <w:rFonts w:cs="Arial"/>
                <w:color w:val="000000"/>
                <w:sz w:val="24"/>
                <w:szCs w:val="24"/>
              </w:rPr>
            </w:pPr>
            <w:r w:rsidRPr="00836EC0">
              <w:rPr>
                <w:sz w:val="24"/>
                <w:szCs w:val="24"/>
              </w:rPr>
              <w:t>8774.4</w:t>
            </w:r>
          </w:p>
        </w:tc>
        <w:tc>
          <w:tcPr>
            <w:tcW w:w="2233" w:type="dxa"/>
          </w:tcPr>
          <w:p w14:paraId="6CD1F185" w14:textId="0E0AB4EE" w:rsidR="00836EC0" w:rsidRPr="00836EC0" w:rsidRDefault="00836EC0" w:rsidP="00AC5B73">
            <w:pPr>
              <w:jc w:val="right"/>
              <w:rPr>
                <w:rFonts w:cs="Arial"/>
                <w:color w:val="000000"/>
                <w:sz w:val="24"/>
                <w:szCs w:val="24"/>
              </w:rPr>
            </w:pPr>
            <w:r w:rsidRPr="00836EC0">
              <w:rPr>
                <w:sz w:val="24"/>
                <w:szCs w:val="24"/>
              </w:rPr>
              <w:t>9.1%</w:t>
            </w:r>
          </w:p>
        </w:tc>
      </w:tr>
      <w:tr w:rsidR="00836EC0" w:rsidRPr="00836EC0" w14:paraId="576F55A7" w14:textId="77777777" w:rsidTr="00F76F5D">
        <w:tc>
          <w:tcPr>
            <w:tcW w:w="6062" w:type="dxa"/>
          </w:tcPr>
          <w:p w14:paraId="178A9683" w14:textId="64AD90E8" w:rsidR="00836EC0" w:rsidRPr="00836EC0" w:rsidRDefault="00836EC0" w:rsidP="00AC5B73">
            <w:pPr>
              <w:rPr>
                <w:rFonts w:cs="Arial"/>
                <w:color w:val="000000"/>
                <w:sz w:val="24"/>
                <w:szCs w:val="24"/>
              </w:rPr>
            </w:pPr>
            <w:r w:rsidRPr="00836EC0">
              <w:rPr>
                <w:sz w:val="24"/>
                <w:szCs w:val="24"/>
              </w:rPr>
              <w:t>Coronavirus - Underlying Health Condition</w:t>
            </w:r>
          </w:p>
        </w:tc>
        <w:tc>
          <w:tcPr>
            <w:tcW w:w="2693" w:type="dxa"/>
          </w:tcPr>
          <w:p w14:paraId="3ABCE546" w14:textId="2FC64623" w:rsidR="00836EC0" w:rsidRPr="00836EC0" w:rsidRDefault="00836EC0" w:rsidP="00AC5B73">
            <w:pPr>
              <w:jc w:val="right"/>
              <w:rPr>
                <w:rFonts w:cs="Arial"/>
                <w:color w:val="000000"/>
                <w:sz w:val="24"/>
                <w:szCs w:val="24"/>
              </w:rPr>
            </w:pPr>
            <w:r w:rsidRPr="00836EC0">
              <w:rPr>
                <w:sz w:val="24"/>
                <w:szCs w:val="24"/>
              </w:rPr>
              <w:t>7316.4</w:t>
            </w:r>
          </w:p>
        </w:tc>
        <w:tc>
          <w:tcPr>
            <w:tcW w:w="2233" w:type="dxa"/>
          </w:tcPr>
          <w:p w14:paraId="7BB4856B" w14:textId="3D46D6C7" w:rsidR="00836EC0" w:rsidRPr="00836EC0" w:rsidRDefault="00836EC0" w:rsidP="00AC5B73">
            <w:pPr>
              <w:jc w:val="right"/>
              <w:rPr>
                <w:rFonts w:cs="Arial"/>
                <w:color w:val="000000"/>
                <w:sz w:val="24"/>
                <w:szCs w:val="24"/>
              </w:rPr>
            </w:pPr>
            <w:r w:rsidRPr="00836EC0">
              <w:rPr>
                <w:sz w:val="24"/>
                <w:szCs w:val="24"/>
              </w:rPr>
              <w:t>7.6%</w:t>
            </w:r>
          </w:p>
        </w:tc>
      </w:tr>
      <w:tr w:rsidR="00836EC0" w:rsidRPr="00836EC0" w14:paraId="5C48DA70" w14:textId="77777777" w:rsidTr="00F76F5D">
        <w:tc>
          <w:tcPr>
            <w:tcW w:w="6062" w:type="dxa"/>
          </w:tcPr>
          <w:p w14:paraId="6535C434" w14:textId="6104340A" w:rsidR="00836EC0" w:rsidRPr="00836EC0" w:rsidRDefault="00836EC0" w:rsidP="00AC5B73">
            <w:pPr>
              <w:rPr>
                <w:rFonts w:cs="Arial"/>
                <w:color w:val="000000"/>
                <w:sz w:val="24"/>
                <w:szCs w:val="24"/>
              </w:rPr>
            </w:pPr>
            <w:r w:rsidRPr="00836EC0">
              <w:rPr>
                <w:sz w:val="24"/>
                <w:szCs w:val="24"/>
              </w:rPr>
              <w:t>Phased Return</w:t>
            </w:r>
          </w:p>
        </w:tc>
        <w:tc>
          <w:tcPr>
            <w:tcW w:w="2693" w:type="dxa"/>
          </w:tcPr>
          <w:p w14:paraId="5AB4E53E" w14:textId="26F671B2" w:rsidR="00836EC0" w:rsidRPr="00836EC0" w:rsidRDefault="00836EC0" w:rsidP="00AC5B73">
            <w:pPr>
              <w:jc w:val="right"/>
              <w:rPr>
                <w:rFonts w:cs="Arial"/>
                <w:color w:val="000000"/>
                <w:sz w:val="24"/>
                <w:szCs w:val="24"/>
              </w:rPr>
            </w:pPr>
            <w:r w:rsidRPr="00836EC0">
              <w:rPr>
                <w:sz w:val="24"/>
                <w:szCs w:val="24"/>
              </w:rPr>
              <w:t>6322.9</w:t>
            </w:r>
          </w:p>
        </w:tc>
        <w:tc>
          <w:tcPr>
            <w:tcW w:w="2233" w:type="dxa"/>
          </w:tcPr>
          <w:p w14:paraId="68CB5A01" w14:textId="2A6EBA06" w:rsidR="00836EC0" w:rsidRPr="00836EC0" w:rsidRDefault="00836EC0" w:rsidP="00AC5B73">
            <w:pPr>
              <w:jc w:val="right"/>
              <w:rPr>
                <w:rFonts w:cs="Arial"/>
                <w:color w:val="000000"/>
                <w:sz w:val="24"/>
                <w:szCs w:val="24"/>
              </w:rPr>
            </w:pPr>
            <w:r w:rsidRPr="00836EC0">
              <w:rPr>
                <w:sz w:val="24"/>
                <w:szCs w:val="24"/>
              </w:rPr>
              <w:t>6.6%</w:t>
            </w:r>
          </w:p>
        </w:tc>
      </w:tr>
      <w:tr w:rsidR="00836EC0" w:rsidRPr="00836EC0" w14:paraId="5F4A3C0B" w14:textId="77777777" w:rsidTr="00F76F5D">
        <w:tc>
          <w:tcPr>
            <w:tcW w:w="6062" w:type="dxa"/>
          </w:tcPr>
          <w:p w14:paraId="71F0E11D" w14:textId="4F781F5E" w:rsidR="00836EC0" w:rsidRPr="00836EC0" w:rsidRDefault="00836EC0" w:rsidP="00AC5B73">
            <w:pPr>
              <w:rPr>
                <w:rFonts w:cs="Arial"/>
                <w:color w:val="000000"/>
                <w:sz w:val="24"/>
                <w:szCs w:val="24"/>
              </w:rPr>
            </w:pPr>
            <w:r w:rsidRPr="00836EC0">
              <w:rPr>
                <w:sz w:val="24"/>
                <w:szCs w:val="24"/>
              </w:rPr>
              <w:t>Coronavirus - Self displaying symptoms - Self Isolating</w:t>
            </w:r>
          </w:p>
        </w:tc>
        <w:tc>
          <w:tcPr>
            <w:tcW w:w="2693" w:type="dxa"/>
          </w:tcPr>
          <w:p w14:paraId="40F8FAFD" w14:textId="29DF579E" w:rsidR="00836EC0" w:rsidRPr="00836EC0" w:rsidRDefault="00836EC0" w:rsidP="00AC5B73">
            <w:pPr>
              <w:jc w:val="right"/>
              <w:rPr>
                <w:rFonts w:cs="Arial"/>
                <w:color w:val="000000"/>
                <w:sz w:val="24"/>
                <w:szCs w:val="24"/>
              </w:rPr>
            </w:pPr>
            <w:r w:rsidRPr="00836EC0">
              <w:rPr>
                <w:sz w:val="24"/>
                <w:szCs w:val="24"/>
              </w:rPr>
              <w:t>6303.5</w:t>
            </w:r>
          </w:p>
        </w:tc>
        <w:tc>
          <w:tcPr>
            <w:tcW w:w="2233" w:type="dxa"/>
          </w:tcPr>
          <w:p w14:paraId="2AC193A7" w14:textId="0C74B872" w:rsidR="00836EC0" w:rsidRPr="00836EC0" w:rsidRDefault="00836EC0" w:rsidP="00AC5B73">
            <w:pPr>
              <w:jc w:val="right"/>
              <w:rPr>
                <w:rFonts w:cs="Arial"/>
                <w:color w:val="000000"/>
                <w:sz w:val="24"/>
                <w:szCs w:val="24"/>
              </w:rPr>
            </w:pPr>
            <w:r w:rsidRPr="00836EC0">
              <w:rPr>
                <w:sz w:val="24"/>
                <w:szCs w:val="24"/>
              </w:rPr>
              <w:t>6.5%</w:t>
            </w:r>
          </w:p>
        </w:tc>
      </w:tr>
      <w:tr w:rsidR="00836EC0" w:rsidRPr="00836EC0" w14:paraId="39DD4673" w14:textId="77777777" w:rsidTr="00F76F5D">
        <w:tc>
          <w:tcPr>
            <w:tcW w:w="6062" w:type="dxa"/>
          </w:tcPr>
          <w:p w14:paraId="3DEE4BB0" w14:textId="1A8F2F20" w:rsidR="00836EC0" w:rsidRPr="00836EC0" w:rsidRDefault="00836EC0" w:rsidP="00AC5B73">
            <w:pPr>
              <w:rPr>
                <w:rFonts w:cs="Arial"/>
                <w:color w:val="000000"/>
                <w:sz w:val="24"/>
                <w:szCs w:val="24"/>
              </w:rPr>
            </w:pPr>
            <w:r w:rsidRPr="00836EC0">
              <w:rPr>
                <w:sz w:val="24"/>
                <w:szCs w:val="24"/>
              </w:rPr>
              <w:t>Coronavirus - Test and Protect Isolation</w:t>
            </w:r>
          </w:p>
        </w:tc>
        <w:tc>
          <w:tcPr>
            <w:tcW w:w="2693" w:type="dxa"/>
          </w:tcPr>
          <w:p w14:paraId="79DA62AB" w14:textId="2D0B2299" w:rsidR="00836EC0" w:rsidRPr="00836EC0" w:rsidRDefault="00836EC0" w:rsidP="00AC5B73">
            <w:pPr>
              <w:jc w:val="right"/>
              <w:rPr>
                <w:rFonts w:cs="Arial"/>
                <w:color w:val="000000"/>
                <w:sz w:val="24"/>
                <w:szCs w:val="24"/>
              </w:rPr>
            </w:pPr>
            <w:r w:rsidRPr="00836EC0">
              <w:rPr>
                <w:sz w:val="24"/>
                <w:szCs w:val="24"/>
              </w:rPr>
              <w:t>5026.5</w:t>
            </w:r>
          </w:p>
        </w:tc>
        <w:tc>
          <w:tcPr>
            <w:tcW w:w="2233" w:type="dxa"/>
          </w:tcPr>
          <w:p w14:paraId="4A08421E" w14:textId="38676CF7" w:rsidR="00836EC0" w:rsidRPr="00836EC0" w:rsidRDefault="00836EC0" w:rsidP="00AC5B73">
            <w:pPr>
              <w:jc w:val="right"/>
              <w:rPr>
                <w:rFonts w:cs="Arial"/>
                <w:color w:val="000000"/>
                <w:sz w:val="24"/>
                <w:szCs w:val="24"/>
              </w:rPr>
            </w:pPr>
            <w:r w:rsidRPr="00836EC0">
              <w:rPr>
                <w:sz w:val="24"/>
                <w:szCs w:val="24"/>
              </w:rPr>
              <w:t>5.2%</w:t>
            </w:r>
          </w:p>
        </w:tc>
      </w:tr>
      <w:tr w:rsidR="00836EC0" w:rsidRPr="00836EC0" w14:paraId="1967CD6E" w14:textId="77777777" w:rsidTr="00F76F5D">
        <w:tc>
          <w:tcPr>
            <w:tcW w:w="6062" w:type="dxa"/>
          </w:tcPr>
          <w:p w14:paraId="78E4838A" w14:textId="1973F96E" w:rsidR="00836EC0" w:rsidRPr="00836EC0" w:rsidRDefault="00836EC0" w:rsidP="00AC5B73">
            <w:pPr>
              <w:rPr>
                <w:rFonts w:cs="Arial"/>
                <w:color w:val="000000"/>
                <w:sz w:val="24"/>
                <w:szCs w:val="24"/>
              </w:rPr>
            </w:pPr>
            <w:r w:rsidRPr="00836EC0">
              <w:rPr>
                <w:sz w:val="24"/>
                <w:szCs w:val="24"/>
              </w:rPr>
              <w:t>Carer</w:t>
            </w:r>
          </w:p>
        </w:tc>
        <w:tc>
          <w:tcPr>
            <w:tcW w:w="2693" w:type="dxa"/>
          </w:tcPr>
          <w:p w14:paraId="71973632" w14:textId="2FA5BF8B" w:rsidR="00836EC0" w:rsidRPr="00836EC0" w:rsidRDefault="00836EC0" w:rsidP="00AC5B73">
            <w:pPr>
              <w:jc w:val="right"/>
              <w:rPr>
                <w:rFonts w:cs="Arial"/>
                <w:color w:val="000000"/>
                <w:sz w:val="24"/>
                <w:szCs w:val="24"/>
              </w:rPr>
            </w:pPr>
            <w:r w:rsidRPr="00836EC0">
              <w:rPr>
                <w:sz w:val="24"/>
                <w:szCs w:val="24"/>
              </w:rPr>
              <w:t>3587.6</w:t>
            </w:r>
          </w:p>
        </w:tc>
        <w:tc>
          <w:tcPr>
            <w:tcW w:w="2233" w:type="dxa"/>
          </w:tcPr>
          <w:p w14:paraId="5107201D" w14:textId="3EE55B31" w:rsidR="00836EC0" w:rsidRPr="00836EC0" w:rsidRDefault="00836EC0" w:rsidP="00AC5B73">
            <w:pPr>
              <w:jc w:val="right"/>
              <w:rPr>
                <w:rFonts w:cs="Arial"/>
                <w:color w:val="000000"/>
                <w:sz w:val="24"/>
                <w:szCs w:val="24"/>
              </w:rPr>
            </w:pPr>
            <w:r w:rsidRPr="00836EC0">
              <w:rPr>
                <w:sz w:val="24"/>
                <w:szCs w:val="24"/>
              </w:rPr>
              <w:t>3.7%</w:t>
            </w:r>
          </w:p>
        </w:tc>
      </w:tr>
      <w:tr w:rsidR="00836EC0" w:rsidRPr="00836EC0" w14:paraId="6A4428B8" w14:textId="77777777" w:rsidTr="00F76F5D">
        <w:tc>
          <w:tcPr>
            <w:tcW w:w="6062" w:type="dxa"/>
          </w:tcPr>
          <w:p w14:paraId="3E40C715" w14:textId="08950CD4" w:rsidR="00836EC0" w:rsidRPr="00836EC0" w:rsidRDefault="00836EC0" w:rsidP="00AC5B73">
            <w:pPr>
              <w:rPr>
                <w:rFonts w:cs="Arial"/>
                <w:color w:val="000000"/>
                <w:sz w:val="24"/>
                <w:szCs w:val="24"/>
              </w:rPr>
            </w:pPr>
            <w:r w:rsidRPr="00836EC0">
              <w:rPr>
                <w:sz w:val="24"/>
                <w:szCs w:val="24"/>
              </w:rPr>
              <w:t>Bereavement</w:t>
            </w:r>
          </w:p>
        </w:tc>
        <w:tc>
          <w:tcPr>
            <w:tcW w:w="2693" w:type="dxa"/>
          </w:tcPr>
          <w:p w14:paraId="56224D77" w14:textId="4E2AC0C2" w:rsidR="00836EC0" w:rsidRPr="00836EC0" w:rsidRDefault="00836EC0" w:rsidP="00AC5B73">
            <w:pPr>
              <w:jc w:val="right"/>
              <w:rPr>
                <w:rFonts w:cs="Arial"/>
                <w:color w:val="000000"/>
                <w:sz w:val="24"/>
                <w:szCs w:val="24"/>
              </w:rPr>
            </w:pPr>
            <w:r w:rsidRPr="00836EC0">
              <w:rPr>
                <w:sz w:val="24"/>
                <w:szCs w:val="24"/>
              </w:rPr>
              <w:t>3301.6</w:t>
            </w:r>
          </w:p>
        </w:tc>
        <w:tc>
          <w:tcPr>
            <w:tcW w:w="2233" w:type="dxa"/>
          </w:tcPr>
          <w:p w14:paraId="7D02AA17" w14:textId="60144376" w:rsidR="00836EC0" w:rsidRPr="00836EC0" w:rsidRDefault="00836EC0" w:rsidP="00AC5B73">
            <w:pPr>
              <w:jc w:val="right"/>
              <w:rPr>
                <w:rFonts w:cs="Arial"/>
                <w:color w:val="000000"/>
                <w:sz w:val="24"/>
                <w:szCs w:val="24"/>
              </w:rPr>
            </w:pPr>
            <w:r w:rsidRPr="00836EC0">
              <w:rPr>
                <w:sz w:val="24"/>
                <w:szCs w:val="24"/>
              </w:rPr>
              <w:t>3.4%</w:t>
            </w:r>
          </w:p>
        </w:tc>
      </w:tr>
      <w:tr w:rsidR="00836EC0" w:rsidRPr="00836EC0" w14:paraId="00902459" w14:textId="77777777" w:rsidTr="00F76F5D">
        <w:tc>
          <w:tcPr>
            <w:tcW w:w="6062" w:type="dxa"/>
          </w:tcPr>
          <w:p w14:paraId="53DAF821" w14:textId="61336463" w:rsidR="00836EC0" w:rsidRPr="00836EC0" w:rsidRDefault="00836EC0" w:rsidP="00AC5B73">
            <w:pPr>
              <w:rPr>
                <w:rFonts w:cs="Arial"/>
                <w:color w:val="000000"/>
                <w:sz w:val="24"/>
                <w:szCs w:val="24"/>
              </w:rPr>
            </w:pPr>
            <w:r w:rsidRPr="00836EC0">
              <w:rPr>
                <w:sz w:val="24"/>
                <w:szCs w:val="24"/>
              </w:rPr>
              <w:t>Coronavirus</w:t>
            </w:r>
          </w:p>
        </w:tc>
        <w:tc>
          <w:tcPr>
            <w:tcW w:w="2693" w:type="dxa"/>
          </w:tcPr>
          <w:p w14:paraId="126DE94D" w14:textId="7238DB47" w:rsidR="00836EC0" w:rsidRPr="00836EC0" w:rsidRDefault="00836EC0" w:rsidP="00AC5B73">
            <w:pPr>
              <w:jc w:val="right"/>
              <w:rPr>
                <w:rFonts w:cs="Arial"/>
                <w:color w:val="000000"/>
                <w:sz w:val="24"/>
                <w:szCs w:val="24"/>
              </w:rPr>
            </w:pPr>
            <w:r w:rsidRPr="00836EC0">
              <w:rPr>
                <w:sz w:val="24"/>
                <w:szCs w:val="24"/>
              </w:rPr>
              <w:t>1996.6</w:t>
            </w:r>
          </w:p>
        </w:tc>
        <w:tc>
          <w:tcPr>
            <w:tcW w:w="2233" w:type="dxa"/>
          </w:tcPr>
          <w:p w14:paraId="1D9BE440" w14:textId="7DFE640B" w:rsidR="00836EC0" w:rsidRPr="00836EC0" w:rsidRDefault="00836EC0" w:rsidP="00AC5B73">
            <w:pPr>
              <w:jc w:val="right"/>
              <w:rPr>
                <w:rFonts w:cs="Arial"/>
                <w:color w:val="000000"/>
                <w:sz w:val="24"/>
                <w:szCs w:val="24"/>
              </w:rPr>
            </w:pPr>
            <w:r w:rsidRPr="00836EC0">
              <w:rPr>
                <w:sz w:val="24"/>
                <w:szCs w:val="24"/>
              </w:rPr>
              <w:t>2.1%</w:t>
            </w:r>
          </w:p>
        </w:tc>
      </w:tr>
    </w:tbl>
    <w:p w14:paraId="34CF2D8B" w14:textId="77777777" w:rsidR="00723B3B" w:rsidRPr="009C7DF1" w:rsidRDefault="00723B3B" w:rsidP="00AC5B73">
      <w:pPr>
        <w:rPr>
          <w:rFonts w:cs="Arial"/>
          <w:szCs w:val="24"/>
        </w:rPr>
      </w:pPr>
    </w:p>
    <w:p w14:paraId="29728F60" w14:textId="77777777" w:rsidR="00C06EE9" w:rsidRPr="009C7DF1" w:rsidRDefault="00C06EE9" w:rsidP="00AC5B73">
      <w:pPr>
        <w:pStyle w:val="Heading2"/>
        <w:rPr>
          <w:rFonts w:cs="Arial"/>
        </w:rPr>
      </w:pPr>
      <w:bookmarkStart w:id="57" w:name="_Toc76025102"/>
      <w:bookmarkStart w:id="58" w:name="_Toc108076900"/>
      <w:r w:rsidRPr="009C7DF1">
        <w:rPr>
          <w:rFonts w:cs="Arial"/>
        </w:rPr>
        <w:t>Parental Leave</w:t>
      </w:r>
      <w:bookmarkEnd w:id="57"/>
      <w:bookmarkEnd w:id="58"/>
    </w:p>
    <w:p w14:paraId="2AF31770" w14:textId="77777777" w:rsidR="00C06EE9" w:rsidRPr="009C7DF1" w:rsidRDefault="00730AB2" w:rsidP="00AC5B73">
      <w:pPr>
        <w:rPr>
          <w:rFonts w:cs="Arial"/>
          <w:szCs w:val="24"/>
        </w:rPr>
      </w:pPr>
      <w:r w:rsidRPr="009C7DF1">
        <w:rPr>
          <w:rFonts w:cs="Arial"/>
          <w:szCs w:val="24"/>
        </w:rPr>
        <w:t>Parental leave is expressly for the purpose of allowing parents to spend time with their children and to assist in balancing this with work commitments, thus improving their participation in the workplace.</w:t>
      </w:r>
    </w:p>
    <w:p w14:paraId="4AD6FB0E" w14:textId="77777777" w:rsidR="005D6164" w:rsidRPr="009C7DF1" w:rsidRDefault="005D6164" w:rsidP="00AC5B73">
      <w:pPr>
        <w:rPr>
          <w:rFonts w:cs="Arial"/>
          <w:szCs w:val="24"/>
        </w:rPr>
      </w:pPr>
    </w:p>
    <w:p w14:paraId="346A19FC" w14:textId="4E74A1CC" w:rsidR="00A50B8A" w:rsidRPr="009C7DF1" w:rsidRDefault="005D6164" w:rsidP="00AC5B73">
      <w:pPr>
        <w:rPr>
          <w:rFonts w:cs="Arial"/>
          <w:szCs w:val="24"/>
        </w:rPr>
      </w:pPr>
      <w:r w:rsidRPr="009C7DF1">
        <w:rPr>
          <w:rFonts w:cs="Arial"/>
          <w:szCs w:val="24"/>
        </w:rPr>
        <w:t xml:space="preserve">Between </w:t>
      </w:r>
      <w:r w:rsidR="00836EC0">
        <w:rPr>
          <w:rFonts w:cs="Arial"/>
          <w:szCs w:val="24"/>
        </w:rPr>
        <w:t>1 April 2021</w:t>
      </w:r>
      <w:r w:rsidRPr="009C7DF1">
        <w:rPr>
          <w:rFonts w:cs="Arial"/>
          <w:szCs w:val="24"/>
        </w:rPr>
        <w:t xml:space="preserve"> and </w:t>
      </w:r>
      <w:r w:rsidR="00A22DA6" w:rsidRPr="009C7DF1">
        <w:rPr>
          <w:rFonts w:cs="Arial"/>
          <w:szCs w:val="24"/>
        </w:rPr>
        <w:t xml:space="preserve">31 </w:t>
      </w:r>
      <w:r w:rsidR="00F16A92" w:rsidRPr="009C7DF1">
        <w:rPr>
          <w:rFonts w:cs="Arial"/>
          <w:szCs w:val="24"/>
        </w:rPr>
        <w:t>March 202</w:t>
      </w:r>
      <w:r w:rsidR="00836EC0">
        <w:rPr>
          <w:rFonts w:cs="Arial"/>
          <w:szCs w:val="24"/>
        </w:rPr>
        <w:t>2</w:t>
      </w:r>
      <w:r w:rsidR="00A50B8A" w:rsidRPr="009C7DF1">
        <w:rPr>
          <w:rFonts w:cs="Arial"/>
          <w:szCs w:val="24"/>
        </w:rPr>
        <w:t xml:space="preserve"> </w:t>
      </w:r>
      <w:r w:rsidRPr="009C7DF1">
        <w:rPr>
          <w:rFonts w:cs="Arial"/>
          <w:szCs w:val="24"/>
        </w:rPr>
        <w:t xml:space="preserve">a total of </w:t>
      </w:r>
      <w:r w:rsidR="00836EC0">
        <w:rPr>
          <w:rFonts w:cs="Arial"/>
          <w:szCs w:val="24"/>
        </w:rPr>
        <w:t>6858.7</w:t>
      </w:r>
      <w:r w:rsidR="00A50B8A" w:rsidRPr="009C7DF1">
        <w:rPr>
          <w:rFonts w:cs="Arial"/>
          <w:szCs w:val="24"/>
        </w:rPr>
        <w:t xml:space="preserve"> hours of</w:t>
      </w:r>
      <w:r w:rsidR="00B33168" w:rsidRPr="009C7DF1">
        <w:rPr>
          <w:rFonts w:cs="Arial"/>
          <w:szCs w:val="24"/>
        </w:rPr>
        <w:t xml:space="preserve"> parental leave were used, a</w:t>
      </w:r>
      <w:r w:rsidR="00ED2150" w:rsidRPr="009C7DF1">
        <w:rPr>
          <w:rFonts w:cs="Arial"/>
          <w:szCs w:val="24"/>
        </w:rPr>
        <w:t xml:space="preserve"> de</w:t>
      </w:r>
      <w:r w:rsidR="00B04A6E" w:rsidRPr="009C7DF1">
        <w:rPr>
          <w:rFonts w:cs="Arial"/>
          <w:szCs w:val="24"/>
        </w:rPr>
        <w:t>crease</w:t>
      </w:r>
      <w:r w:rsidR="00A50B8A" w:rsidRPr="009C7DF1">
        <w:rPr>
          <w:rFonts w:cs="Arial"/>
          <w:szCs w:val="24"/>
        </w:rPr>
        <w:t xml:space="preserve"> of </w:t>
      </w:r>
      <w:r w:rsidR="00836EC0">
        <w:rPr>
          <w:rFonts w:cs="Arial"/>
          <w:szCs w:val="24"/>
        </w:rPr>
        <w:t>132.4</w:t>
      </w:r>
      <w:r w:rsidR="00A50B8A" w:rsidRPr="009C7DF1">
        <w:rPr>
          <w:rFonts w:cs="Arial"/>
          <w:szCs w:val="24"/>
        </w:rPr>
        <w:t xml:space="preserve"> hours on the previous year.</w:t>
      </w:r>
      <w:r w:rsidR="00901CC7" w:rsidRPr="009C7DF1">
        <w:rPr>
          <w:rFonts w:cs="Arial"/>
          <w:szCs w:val="24"/>
        </w:rPr>
        <w:t xml:space="preserve"> </w:t>
      </w:r>
      <w:r w:rsidR="00A50B8A" w:rsidRPr="009C7DF1">
        <w:rPr>
          <w:rFonts w:cs="Arial"/>
          <w:szCs w:val="24"/>
        </w:rPr>
        <w:t xml:space="preserve">The breakdown of parental leave by </w:t>
      </w:r>
      <w:r w:rsidR="00B33168" w:rsidRPr="009C7DF1">
        <w:rPr>
          <w:rFonts w:cs="Arial"/>
          <w:szCs w:val="24"/>
        </w:rPr>
        <w:t>Directorate</w:t>
      </w:r>
      <w:r w:rsidR="00A50B8A" w:rsidRPr="009C7DF1">
        <w:rPr>
          <w:rFonts w:cs="Arial"/>
          <w:szCs w:val="24"/>
        </w:rPr>
        <w:t xml:space="preserve"> is as shown below:</w:t>
      </w:r>
    </w:p>
    <w:p w14:paraId="6573A07A" w14:textId="77777777" w:rsidR="00963993" w:rsidRPr="009C7DF1" w:rsidRDefault="00963993" w:rsidP="00AC5B73">
      <w:pPr>
        <w:rPr>
          <w:rFonts w:cs="Arial"/>
          <w:szCs w:val="24"/>
        </w:rPr>
      </w:pPr>
    </w:p>
    <w:tbl>
      <w:tblPr>
        <w:tblStyle w:val="TableGrid"/>
        <w:tblW w:w="0" w:type="auto"/>
        <w:jc w:val="center"/>
        <w:tblLook w:val="04A0" w:firstRow="1" w:lastRow="0" w:firstColumn="1" w:lastColumn="0" w:noHBand="0" w:noVBand="1"/>
      </w:tblPr>
      <w:tblGrid>
        <w:gridCol w:w="4219"/>
        <w:gridCol w:w="2977"/>
      </w:tblGrid>
      <w:tr w:rsidR="00F16A92" w:rsidRPr="009C7DF1" w14:paraId="4C272F12" w14:textId="77777777" w:rsidTr="00461778">
        <w:trPr>
          <w:jc w:val="center"/>
        </w:trPr>
        <w:tc>
          <w:tcPr>
            <w:tcW w:w="4219" w:type="dxa"/>
          </w:tcPr>
          <w:p w14:paraId="1FE0508C" w14:textId="77777777" w:rsidR="00F16A92" w:rsidRPr="009C7DF1" w:rsidRDefault="00F16A92" w:rsidP="00AC5B73">
            <w:pPr>
              <w:rPr>
                <w:rFonts w:cs="Arial"/>
                <w:b/>
                <w:sz w:val="24"/>
                <w:szCs w:val="24"/>
              </w:rPr>
            </w:pPr>
            <w:r w:rsidRPr="009C7DF1">
              <w:rPr>
                <w:rFonts w:cs="Arial"/>
                <w:b/>
                <w:sz w:val="24"/>
                <w:szCs w:val="24"/>
              </w:rPr>
              <w:t>Directorate</w:t>
            </w:r>
          </w:p>
        </w:tc>
        <w:tc>
          <w:tcPr>
            <w:tcW w:w="2977" w:type="dxa"/>
          </w:tcPr>
          <w:p w14:paraId="7B7ED7BC" w14:textId="77777777" w:rsidR="00F16A92" w:rsidRPr="009C7DF1" w:rsidRDefault="00F16A92" w:rsidP="00AC5B73">
            <w:pPr>
              <w:rPr>
                <w:rFonts w:cs="Arial"/>
                <w:b/>
                <w:sz w:val="24"/>
                <w:szCs w:val="24"/>
              </w:rPr>
            </w:pPr>
            <w:r w:rsidRPr="009C7DF1">
              <w:rPr>
                <w:rFonts w:cs="Arial"/>
                <w:b/>
                <w:sz w:val="24"/>
                <w:szCs w:val="24"/>
              </w:rPr>
              <w:t>Special Leave Hours</w:t>
            </w:r>
          </w:p>
        </w:tc>
      </w:tr>
      <w:tr w:rsidR="00F16A92" w:rsidRPr="009C7DF1" w14:paraId="2C65E8E4" w14:textId="77777777" w:rsidTr="00461778">
        <w:trPr>
          <w:jc w:val="center"/>
        </w:trPr>
        <w:tc>
          <w:tcPr>
            <w:tcW w:w="4219" w:type="dxa"/>
          </w:tcPr>
          <w:p w14:paraId="1645B569" w14:textId="77777777" w:rsidR="00F16A92" w:rsidRPr="009C7DF1" w:rsidRDefault="00F16A92" w:rsidP="00AC5B73">
            <w:pPr>
              <w:rPr>
                <w:rFonts w:cs="Arial"/>
                <w:sz w:val="24"/>
                <w:szCs w:val="24"/>
              </w:rPr>
            </w:pPr>
            <w:r w:rsidRPr="009C7DF1">
              <w:rPr>
                <w:rFonts w:cs="Arial"/>
                <w:sz w:val="24"/>
                <w:szCs w:val="24"/>
              </w:rPr>
              <w:t>Corporate</w:t>
            </w:r>
          </w:p>
        </w:tc>
        <w:tc>
          <w:tcPr>
            <w:tcW w:w="2977" w:type="dxa"/>
            <w:vAlign w:val="bottom"/>
          </w:tcPr>
          <w:p w14:paraId="0B4D37E4" w14:textId="49E57C85" w:rsidR="00F16A92" w:rsidRPr="009C7DF1" w:rsidRDefault="00836EC0" w:rsidP="00AC5B73">
            <w:pPr>
              <w:jc w:val="right"/>
              <w:rPr>
                <w:rFonts w:cs="Arial"/>
                <w:color w:val="000000"/>
                <w:sz w:val="24"/>
                <w:szCs w:val="24"/>
              </w:rPr>
            </w:pPr>
            <w:r>
              <w:rPr>
                <w:rFonts w:cs="Arial"/>
                <w:color w:val="000000"/>
                <w:sz w:val="24"/>
                <w:szCs w:val="24"/>
              </w:rPr>
              <w:t>1228.5</w:t>
            </w:r>
          </w:p>
        </w:tc>
      </w:tr>
      <w:tr w:rsidR="00F16A92" w:rsidRPr="009C7DF1" w14:paraId="373A944D" w14:textId="77777777" w:rsidTr="00461778">
        <w:trPr>
          <w:jc w:val="center"/>
        </w:trPr>
        <w:tc>
          <w:tcPr>
            <w:tcW w:w="4219" w:type="dxa"/>
          </w:tcPr>
          <w:p w14:paraId="5CA43C1B" w14:textId="77777777" w:rsidR="00F16A92" w:rsidRPr="009C7DF1" w:rsidRDefault="00F16A92" w:rsidP="00AC5B73">
            <w:pPr>
              <w:rPr>
                <w:rFonts w:cs="Arial"/>
                <w:sz w:val="24"/>
                <w:szCs w:val="24"/>
              </w:rPr>
            </w:pPr>
            <w:r w:rsidRPr="009C7DF1">
              <w:rPr>
                <w:rFonts w:cs="Arial"/>
                <w:sz w:val="24"/>
                <w:szCs w:val="24"/>
              </w:rPr>
              <w:t>Golden Jubilee Conference Hotel</w:t>
            </w:r>
          </w:p>
        </w:tc>
        <w:tc>
          <w:tcPr>
            <w:tcW w:w="2977" w:type="dxa"/>
            <w:vAlign w:val="bottom"/>
          </w:tcPr>
          <w:p w14:paraId="23A2CA60" w14:textId="2F1E5EE8" w:rsidR="00F16A92" w:rsidRPr="009C7DF1" w:rsidRDefault="000A73E3" w:rsidP="00AC5B73">
            <w:pPr>
              <w:jc w:val="right"/>
              <w:rPr>
                <w:rFonts w:cs="Arial"/>
                <w:color w:val="000000"/>
                <w:sz w:val="24"/>
                <w:szCs w:val="24"/>
              </w:rPr>
            </w:pPr>
            <w:r>
              <w:rPr>
                <w:rFonts w:cs="Arial"/>
                <w:color w:val="000000"/>
                <w:sz w:val="24"/>
                <w:szCs w:val="24"/>
              </w:rPr>
              <w:t>349.5</w:t>
            </w:r>
          </w:p>
        </w:tc>
      </w:tr>
      <w:tr w:rsidR="00F16A92" w:rsidRPr="009C7DF1" w14:paraId="50B6C0FD" w14:textId="77777777" w:rsidTr="00461778">
        <w:trPr>
          <w:jc w:val="center"/>
        </w:trPr>
        <w:tc>
          <w:tcPr>
            <w:tcW w:w="4219" w:type="dxa"/>
          </w:tcPr>
          <w:p w14:paraId="5D581621" w14:textId="77777777" w:rsidR="00F16A92" w:rsidRPr="009C7DF1" w:rsidRDefault="00F16A92" w:rsidP="00AC5B73">
            <w:pPr>
              <w:rPr>
                <w:rFonts w:cs="Arial"/>
                <w:sz w:val="24"/>
                <w:szCs w:val="24"/>
              </w:rPr>
            </w:pPr>
            <w:r w:rsidRPr="009C7DF1">
              <w:rPr>
                <w:rFonts w:cs="Arial"/>
                <w:sz w:val="24"/>
                <w:szCs w:val="24"/>
              </w:rPr>
              <w:t>Heart, Lung and Diagnostic Services</w:t>
            </w:r>
          </w:p>
        </w:tc>
        <w:tc>
          <w:tcPr>
            <w:tcW w:w="2977" w:type="dxa"/>
            <w:vAlign w:val="bottom"/>
          </w:tcPr>
          <w:p w14:paraId="1755C6C2" w14:textId="0138D5D5" w:rsidR="00F16A92" w:rsidRPr="009C7DF1" w:rsidRDefault="000A73E3" w:rsidP="00AC5B73">
            <w:pPr>
              <w:jc w:val="right"/>
              <w:rPr>
                <w:rFonts w:cs="Arial"/>
                <w:color w:val="000000"/>
                <w:sz w:val="24"/>
                <w:szCs w:val="24"/>
              </w:rPr>
            </w:pPr>
            <w:r>
              <w:rPr>
                <w:rFonts w:cs="Arial"/>
                <w:color w:val="000000"/>
                <w:sz w:val="24"/>
                <w:szCs w:val="24"/>
              </w:rPr>
              <w:t>2984.4</w:t>
            </w:r>
          </w:p>
        </w:tc>
      </w:tr>
      <w:tr w:rsidR="00F16A92" w:rsidRPr="009C7DF1" w14:paraId="264FE2A6" w14:textId="77777777" w:rsidTr="00461778">
        <w:trPr>
          <w:jc w:val="center"/>
        </w:trPr>
        <w:tc>
          <w:tcPr>
            <w:tcW w:w="4219" w:type="dxa"/>
          </w:tcPr>
          <w:p w14:paraId="0E1692D0" w14:textId="77777777" w:rsidR="00F16A92" w:rsidRPr="009C7DF1" w:rsidRDefault="00F16A92" w:rsidP="00AC5B73">
            <w:pPr>
              <w:rPr>
                <w:rFonts w:cs="Arial"/>
                <w:sz w:val="24"/>
                <w:szCs w:val="24"/>
              </w:rPr>
            </w:pPr>
            <w:r w:rsidRPr="009C7DF1">
              <w:rPr>
                <w:rFonts w:cs="Arial"/>
                <w:sz w:val="24"/>
                <w:szCs w:val="24"/>
              </w:rPr>
              <w:t>National Elective Services</w:t>
            </w:r>
          </w:p>
        </w:tc>
        <w:tc>
          <w:tcPr>
            <w:tcW w:w="2977" w:type="dxa"/>
            <w:vAlign w:val="bottom"/>
          </w:tcPr>
          <w:p w14:paraId="130AF46E" w14:textId="32504CB3" w:rsidR="00F16A92" w:rsidRPr="009C7DF1" w:rsidRDefault="000A73E3" w:rsidP="00AC5B73">
            <w:pPr>
              <w:jc w:val="right"/>
              <w:rPr>
                <w:rFonts w:cs="Arial"/>
                <w:color w:val="000000"/>
                <w:sz w:val="24"/>
                <w:szCs w:val="24"/>
              </w:rPr>
            </w:pPr>
            <w:r>
              <w:rPr>
                <w:rFonts w:cs="Arial"/>
                <w:color w:val="000000"/>
                <w:sz w:val="24"/>
                <w:szCs w:val="24"/>
              </w:rPr>
              <w:t>2296.3</w:t>
            </w:r>
          </w:p>
        </w:tc>
      </w:tr>
      <w:tr w:rsidR="00F16A92" w:rsidRPr="009C7DF1" w14:paraId="15BF75F4" w14:textId="77777777" w:rsidTr="00461778">
        <w:trPr>
          <w:jc w:val="center"/>
        </w:trPr>
        <w:tc>
          <w:tcPr>
            <w:tcW w:w="4219" w:type="dxa"/>
          </w:tcPr>
          <w:p w14:paraId="61B6C71B" w14:textId="77777777" w:rsidR="00F16A92" w:rsidRPr="009C7DF1" w:rsidRDefault="00F16A92" w:rsidP="00AC5B73">
            <w:pPr>
              <w:rPr>
                <w:rFonts w:cs="Arial"/>
                <w:b/>
                <w:sz w:val="24"/>
                <w:szCs w:val="24"/>
              </w:rPr>
            </w:pPr>
            <w:r w:rsidRPr="009C7DF1">
              <w:rPr>
                <w:rFonts w:cs="Arial"/>
                <w:b/>
                <w:sz w:val="24"/>
                <w:szCs w:val="24"/>
              </w:rPr>
              <w:t>Board Total</w:t>
            </w:r>
          </w:p>
        </w:tc>
        <w:tc>
          <w:tcPr>
            <w:tcW w:w="2977" w:type="dxa"/>
            <w:vAlign w:val="bottom"/>
          </w:tcPr>
          <w:p w14:paraId="3C01379E" w14:textId="0048E430" w:rsidR="00F16A92" w:rsidRPr="009C7DF1" w:rsidRDefault="000A73E3" w:rsidP="00AC5B73">
            <w:pPr>
              <w:jc w:val="right"/>
              <w:rPr>
                <w:rFonts w:cs="Arial"/>
                <w:b/>
                <w:color w:val="000000"/>
                <w:sz w:val="24"/>
                <w:szCs w:val="24"/>
              </w:rPr>
            </w:pPr>
            <w:r>
              <w:rPr>
                <w:rFonts w:cs="Arial"/>
                <w:b/>
                <w:color w:val="000000"/>
                <w:sz w:val="24"/>
                <w:szCs w:val="24"/>
              </w:rPr>
              <w:t>6858.7</w:t>
            </w:r>
          </w:p>
        </w:tc>
      </w:tr>
    </w:tbl>
    <w:p w14:paraId="6D1CC50A" w14:textId="77777777" w:rsidR="00F16A92" w:rsidRPr="009C7DF1" w:rsidRDefault="00F16A92" w:rsidP="00AC5B73">
      <w:pPr>
        <w:rPr>
          <w:rFonts w:cs="Arial"/>
          <w:szCs w:val="24"/>
        </w:rPr>
      </w:pPr>
    </w:p>
    <w:p w14:paraId="03C001B4" w14:textId="6F2F6A2B" w:rsidR="00282B28" w:rsidRPr="009C7DF1" w:rsidRDefault="00922CCE" w:rsidP="00AC5B73">
      <w:pPr>
        <w:rPr>
          <w:rFonts w:cs="Arial"/>
          <w:szCs w:val="24"/>
        </w:rPr>
      </w:pPr>
      <w:r w:rsidRPr="009C7DF1">
        <w:rPr>
          <w:rFonts w:cs="Arial"/>
          <w:szCs w:val="24"/>
        </w:rPr>
        <w:t>T</w:t>
      </w:r>
      <w:r w:rsidR="005D6164" w:rsidRPr="009C7DF1">
        <w:rPr>
          <w:rFonts w:cs="Arial"/>
          <w:szCs w:val="24"/>
        </w:rPr>
        <w:t>he monthly breakdown of parental leave across the Board during the monitored period is shown below.</w:t>
      </w:r>
      <w:r w:rsidR="00901CC7" w:rsidRPr="009C7DF1">
        <w:rPr>
          <w:rFonts w:cs="Arial"/>
          <w:szCs w:val="24"/>
        </w:rPr>
        <w:t xml:space="preserve"> </w:t>
      </w:r>
      <w:r w:rsidR="00B07300" w:rsidRPr="009C7DF1">
        <w:rPr>
          <w:rFonts w:cs="Arial"/>
          <w:szCs w:val="24"/>
        </w:rPr>
        <w:t>There is a peak in July and August</w:t>
      </w:r>
      <w:r w:rsidR="00A50B8A" w:rsidRPr="009C7DF1">
        <w:rPr>
          <w:rFonts w:cs="Arial"/>
          <w:szCs w:val="24"/>
        </w:rPr>
        <w:t>, during the school summer holidays</w:t>
      </w:r>
      <w:r w:rsidR="00B07300" w:rsidRPr="009C7DF1">
        <w:rPr>
          <w:rFonts w:cs="Arial"/>
          <w:szCs w:val="24"/>
        </w:rPr>
        <w:t>, which is to be expected</w:t>
      </w:r>
      <w:r w:rsidR="005D6164" w:rsidRPr="009C7DF1">
        <w:rPr>
          <w:rFonts w:cs="Arial"/>
          <w:szCs w:val="24"/>
        </w:rPr>
        <w:t>.</w:t>
      </w:r>
      <w:r w:rsidR="00901CC7" w:rsidRPr="009C7DF1">
        <w:rPr>
          <w:rFonts w:cs="Arial"/>
          <w:szCs w:val="24"/>
        </w:rPr>
        <w:t xml:space="preserve"> </w:t>
      </w:r>
      <w:r w:rsidR="00B07300" w:rsidRPr="009C7DF1">
        <w:rPr>
          <w:rFonts w:cs="Arial"/>
          <w:szCs w:val="24"/>
        </w:rPr>
        <w:t>There was also a</w:t>
      </w:r>
      <w:r w:rsidR="00D042D4" w:rsidRPr="009C7DF1">
        <w:rPr>
          <w:rFonts w:cs="Arial"/>
          <w:szCs w:val="24"/>
        </w:rPr>
        <w:t xml:space="preserve"> peak was in October, coinciding with school half-term</w:t>
      </w:r>
      <w:r w:rsidR="007F540A">
        <w:rPr>
          <w:rFonts w:cs="Arial"/>
          <w:szCs w:val="24"/>
        </w:rPr>
        <w:t>, and a smaller peak in February for that half-term</w:t>
      </w:r>
      <w:r w:rsidR="00D042D4" w:rsidRPr="009C7DF1">
        <w:rPr>
          <w:rFonts w:cs="Arial"/>
          <w:szCs w:val="24"/>
        </w:rPr>
        <w:t>.</w:t>
      </w:r>
    </w:p>
    <w:p w14:paraId="780E0D9C" w14:textId="2C859F45" w:rsidR="00B07300" w:rsidRDefault="00B07300" w:rsidP="00AC5B73">
      <w:pPr>
        <w:rPr>
          <w:rFonts w:cs="Arial"/>
          <w:szCs w:val="24"/>
        </w:rPr>
      </w:pPr>
    </w:p>
    <w:p w14:paraId="1D3BE42C" w14:textId="516307DC" w:rsidR="007F540A" w:rsidRDefault="007F540A" w:rsidP="00AC5B73">
      <w:pPr>
        <w:rPr>
          <w:rFonts w:cs="Arial"/>
          <w:szCs w:val="24"/>
        </w:rPr>
      </w:pPr>
      <w:r>
        <w:rPr>
          <w:noProof/>
          <w:lang w:eastAsia="en-GB"/>
        </w:rPr>
        <w:drawing>
          <wp:inline distT="0" distB="0" distL="0" distR="0" wp14:anchorId="5F315FE8" wp14:editId="3DF21E5E">
            <wp:extent cx="6840000" cy="2160000"/>
            <wp:effectExtent l="0" t="0" r="18415" b="12065"/>
            <wp:docPr id="62" name="Chart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285E0B6" w14:textId="77777777" w:rsidR="005D6164" w:rsidRPr="009C7DF1" w:rsidRDefault="005D6164" w:rsidP="00AC5B73">
      <w:pPr>
        <w:rPr>
          <w:rFonts w:cs="Arial"/>
          <w:szCs w:val="24"/>
        </w:rPr>
      </w:pPr>
    </w:p>
    <w:p w14:paraId="550A8713" w14:textId="77777777" w:rsidR="00C06EE9" w:rsidRPr="009C7DF1" w:rsidRDefault="00D81BE1" w:rsidP="00AC5B73">
      <w:pPr>
        <w:pStyle w:val="Heading2"/>
        <w:rPr>
          <w:rFonts w:cs="Arial"/>
        </w:rPr>
      </w:pPr>
      <w:bookmarkStart w:id="59" w:name="_Toc76025103"/>
      <w:bookmarkStart w:id="60" w:name="_Toc108076901"/>
      <w:r w:rsidRPr="009C7DF1">
        <w:rPr>
          <w:rFonts w:cs="Arial"/>
        </w:rPr>
        <w:lastRenderedPageBreak/>
        <w:t>Maternity Support (Paternity)</w:t>
      </w:r>
      <w:r w:rsidR="00C06EE9" w:rsidRPr="009C7DF1">
        <w:rPr>
          <w:rFonts w:cs="Arial"/>
        </w:rPr>
        <w:t xml:space="preserve"> Leave</w:t>
      </w:r>
      <w:bookmarkEnd w:id="59"/>
      <w:bookmarkEnd w:id="60"/>
    </w:p>
    <w:p w14:paraId="0FECBF65" w14:textId="77777777" w:rsidR="00C06EE9" w:rsidRPr="009C7DF1" w:rsidRDefault="006A26E0" w:rsidP="00AC5B73">
      <w:pPr>
        <w:rPr>
          <w:rFonts w:cs="Arial"/>
          <w:szCs w:val="24"/>
        </w:rPr>
      </w:pPr>
      <w:r w:rsidRPr="009C7DF1">
        <w:rPr>
          <w:rFonts w:cs="Arial"/>
          <w:szCs w:val="24"/>
        </w:rPr>
        <w:t>Maternity s</w:t>
      </w:r>
      <w:r w:rsidR="00D81BE1" w:rsidRPr="009C7DF1">
        <w:rPr>
          <w:rFonts w:cs="Arial"/>
          <w:szCs w:val="24"/>
        </w:rPr>
        <w:t>upport (</w:t>
      </w:r>
      <w:r w:rsidRPr="009C7DF1">
        <w:rPr>
          <w:rFonts w:cs="Arial"/>
          <w:szCs w:val="24"/>
        </w:rPr>
        <w:t>p</w:t>
      </w:r>
      <w:r w:rsidR="000D6584" w:rsidRPr="009C7DF1">
        <w:rPr>
          <w:rFonts w:cs="Arial"/>
          <w:szCs w:val="24"/>
        </w:rPr>
        <w:t>aternity</w:t>
      </w:r>
      <w:r w:rsidR="00D81BE1" w:rsidRPr="009C7DF1">
        <w:rPr>
          <w:rFonts w:cs="Arial"/>
          <w:szCs w:val="24"/>
        </w:rPr>
        <w:t xml:space="preserve">) </w:t>
      </w:r>
      <w:r w:rsidRPr="009C7DF1">
        <w:rPr>
          <w:rFonts w:cs="Arial"/>
          <w:szCs w:val="24"/>
        </w:rPr>
        <w:t>l</w:t>
      </w:r>
      <w:r w:rsidR="000D6584" w:rsidRPr="009C7DF1">
        <w:rPr>
          <w:rFonts w:cs="Arial"/>
          <w:szCs w:val="24"/>
        </w:rPr>
        <w:t xml:space="preserve">eave applies to </w:t>
      </w:r>
      <w:r w:rsidR="002B3444">
        <w:rPr>
          <w:rFonts w:cs="Arial"/>
          <w:szCs w:val="24"/>
        </w:rPr>
        <w:t xml:space="preserve">non-birthing parents, including </w:t>
      </w:r>
      <w:r w:rsidR="000D6584" w:rsidRPr="009C7DF1">
        <w:rPr>
          <w:rFonts w:cs="Arial"/>
          <w:szCs w:val="24"/>
        </w:rPr>
        <w:t>biological and adoptive fathers, nominated carers and partners</w:t>
      </w:r>
      <w:r w:rsidR="002B3444">
        <w:rPr>
          <w:rFonts w:cs="Arial"/>
          <w:szCs w:val="24"/>
        </w:rPr>
        <w:t xml:space="preserve"> of birthing parents</w:t>
      </w:r>
      <w:r w:rsidR="000D6584" w:rsidRPr="009C7DF1">
        <w:rPr>
          <w:rFonts w:cs="Arial"/>
          <w:szCs w:val="24"/>
        </w:rPr>
        <w:t>, and allows time off for employees who wish to provide maternity support.</w:t>
      </w:r>
    </w:p>
    <w:p w14:paraId="087730DB" w14:textId="77777777" w:rsidR="007C0BA3" w:rsidRPr="009C7DF1" w:rsidRDefault="007C0BA3" w:rsidP="00AC5B73">
      <w:pPr>
        <w:rPr>
          <w:rFonts w:cs="Arial"/>
          <w:szCs w:val="24"/>
        </w:rPr>
      </w:pPr>
    </w:p>
    <w:p w14:paraId="5F99E6A6" w14:textId="4797705A" w:rsidR="00461778" w:rsidRPr="009C7DF1" w:rsidRDefault="007C0BA3" w:rsidP="00AC5B73">
      <w:pPr>
        <w:rPr>
          <w:rFonts w:cs="Arial"/>
          <w:szCs w:val="24"/>
        </w:rPr>
      </w:pPr>
      <w:r w:rsidRPr="009C7DF1">
        <w:rPr>
          <w:rFonts w:cs="Arial"/>
          <w:szCs w:val="24"/>
        </w:rPr>
        <w:t xml:space="preserve">During the monitored period employees used a total of </w:t>
      </w:r>
      <w:r w:rsidR="00E8635C">
        <w:rPr>
          <w:rFonts w:cs="Arial"/>
          <w:szCs w:val="24"/>
        </w:rPr>
        <w:t>600</w:t>
      </w:r>
      <w:r w:rsidR="00461778" w:rsidRPr="009C7DF1">
        <w:rPr>
          <w:rFonts w:cs="Arial"/>
          <w:szCs w:val="24"/>
        </w:rPr>
        <w:t>.5</w:t>
      </w:r>
      <w:r w:rsidR="001673A2" w:rsidRPr="009C7DF1">
        <w:rPr>
          <w:rFonts w:cs="Arial"/>
          <w:szCs w:val="24"/>
        </w:rPr>
        <w:t xml:space="preserve"> </w:t>
      </w:r>
      <w:r w:rsidRPr="009C7DF1">
        <w:rPr>
          <w:rFonts w:cs="Arial"/>
          <w:szCs w:val="24"/>
        </w:rPr>
        <w:t xml:space="preserve">hours of </w:t>
      </w:r>
      <w:r w:rsidR="00D81BE1" w:rsidRPr="009C7DF1">
        <w:rPr>
          <w:rFonts w:cs="Arial"/>
          <w:szCs w:val="24"/>
        </w:rPr>
        <w:t>maternity support (</w:t>
      </w:r>
      <w:r w:rsidRPr="009C7DF1">
        <w:rPr>
          <w:rFonts w:cs="Arial"/>
          <w:szCs w:val="24"/>
        </w:rPr>
        <w:t>paternity</w:t>
      </w:r>
      <w:r w:rsidR="00D81BE1" w:rsidRPr="009C7DF1">
        <w:rPr>
          <w:rFonts w:cs="Arial"/>
          <w:szCs w:val="24"/>
        </w:rPr>
        <w:t>)</w:t>
      </w:r>
      <w:r w:rsidRPr="009C7DF1">
        <w:rPr>
          <w:rFonts w:cs="Arial"/>
          <w:szCs w:val="24"/>
        </w:rPr>
        <w:t xml:space="preserve"> leave</w:t>
      </w:r>
      <w:r w:rsidR="00282B28" w:rsidRPr="009C7DF1">
        <w:rPr>
          <w:rFonts w:cs="Arial"/>
          <w:szCs w:val="24"/>
        </w:rPr>
        <w:t xml:space="preserve"> (</w:t>
      </w:r>
      <w:r w:rsidR="00E8635C">
        <w:rPr>
          <w:rFonts w:cs="Arial"/>
          <w:szCs w:val="24"/>
        </w:rPr>
        <w:t>an increase</w:t>
      </w:r>
      <w:r w:rsidR="00282B28" w:rsidRPr="009C7DF1">
        <w:rPr>
          <w:rFonts w:cs="Arial"/>
          <w:szCs w:val="24"/>
        </w:rPr>
        <w:t xml:space="preserve"> of </w:t>
      </w:r>
      <w:r w:rsidR="00E8635C">
        <w:rPr>
          <w:rFonts w:cs="Arial"/>
          <w:szCs w:val="24"/>
        </w:rPr>
        <w:t>91.0</w:t>
      </w:r>
      <w:r w:rsidR="005C0980" w:rsidRPr="009C7DF1">
        <w:rPr>
          <w:rFonts w:cs="Arial"/>
          <w:szCs w:val="24"/>
        </w:rPr>
        <w:t xml:space="preserve"> </w:t>
      </w:r>
      <w:r w:rsidR="00282B28" w:rsidRPr="009C7DF1">
        <w:rPr>
          <w:rFonts w:cs="Arial"/>
          <w:szCs w:val="24"/>
        </w:rPr>
        <w:t>hours on the previous year)</w:t>
      </w:r>
      <w:r w:rsidR="00D52C15" w:rsidRPr="009C7DF1">
        <w:rPr>
          <w:rFonts w:cs="Arial"/>
          <w:szCs w:val="24"/>
        </w:rPr>
        <w:t>.</w:t>
      </w:r>
      <w:r w:rsidR="00901CC7" w:rsidRPr="009C7DF1">
        <w:rPr>
          <w:rFonts w:cs="Arial"/>
          <w:szCs w:val="24"/>
        </w:rPr>
        <w:t xml:space="preserve"> </w:t>
      </w:r>
      <w:r w:rsidR="00D52C15" w:rsidRPr="009C7DF1">
        <w:rPr>
          <w:rFonts w:cs="Arial"/>
          <w:szCs w:val="24"/>
        </w:rPr>
        <w:t xml:space="preserve">The breakdown </w:t>
      </w:r>
      <w:r w:rsidR="00461778" w:rsidRPr="009C7DF1">
        <w:rPr>
          <w:rFonts w:cs="Arial"/>
          <w:szCs w:val="24"/>
        </w:rPr>
        <w:t>is as shown below:</w:t>
      </w:r>
    </w:p>
    <w:p w14:paraId="2E3244C6" w14:textId="77777777" w:rsidR="00461778" w:rsidRPr="009C7DF1" w:rsidRDefault="00461778" w:rsidP="00AC5B73">
      <w:pPr>
        <w:rPr>
          <w:rFonts w:cs="Arial"/>
          <w:szCs w:val="24"/>
        </w:rPr>
      </w:pPr>
    </w:p>
    <w:tbl>
      <w:tblPr>
        <w:tblStyle w:val="TableGrid"/>
        <w:tblW w:w="0" w:type="auto"/>
        <w:jc w:val="center"/>
        <w:tblLook w:val="04A0" w:firstRow="1" w:lastRow="0" w:firstColumn="1" w:lastColumn="0" w:noHBand="0" w:noVBand="1"/>
      </w:tblPr>
      <w:tblGrid>
        <w:gridCol w:w="4219"/>
        <w:gridCol w:w="2977"/>
      </w:tblGrid>
      <w:tr w:rsidR="00461778" w:rsidRPr="009C7DF1" w14:paraId="239A7333" w14:textId="77777777" w:rsidTr="006306C2">
        <w:trPr>
          <w:jc w:val="center"/>
        </w:trPr>
        <w:tc>
          <w:tcPr>
            <w:tcW w:w="4219" w:type="dxa"/>
          </w:tcPr>
          <w:p w14:paraId="59852AEF" w14:textId="77777777" w:rsidR="00461778" w:rsidRPr="009C7DF1" w:rsidRDefault="00461778" w:rsidP="00AC5B73">
            <w:pPr>
              <w:rPr>
                <w:rFonts w:cs="Arial"/>
                <w:b/>
                <w:sz w:val="24"/>
                <w:szCs w:val="24"/>
              </w:rPr>
            </w:pPr>
            <w:r w:rsidRPr="009C7DF1">
              <w:rPr>
                <w:rFonts w:cs="Arial"/>
                <w:b/>
                <w:sz w:val="24"/>
                <w:szCs w:val="24"/>
              </w:rPr>
              <w:t>Directorate</w:t>
            </w:r>
          </w:p>
        </w:tc>
        <w:tc>
          <w:tcPr>
            <w:tcW w:w="2977" w:type="dxa"/>
          </w:tcPr>
          <w:p w14:paraId="64CCE5D8" w14:textId="77777777" w:rsidR="00461778" w:rsidRPr="009C7DF1" w:rsidRDefault="00461778" w:rsidP="00AC5B73">
            <w:pPr>
              <w:rPr>
                <w:rFonts w:cs="Arial"/>
                <w:b/>
                <w:sz w:val="24"/>
                <w:szCs w:val="24"/>
              </w:rPr>
            </w:pPr>
            <w:r w:rsidRPr="009C7DF1">
              <w:rPr>
                <w:rFonts w:cs="Arial"/>
                <w:b/>
                <w:sz w:val="24"/>
                <w:szCs w:val="24"/>
              </w:rPr>
              <w:t>Special Leave Hours</w:t>
            </w:r>
          </w:p>
        </w:tc>
      </w:tr>
      <w:tr w:rsidR="00461778" w:rsidRPr="009C7DF1" w14:paraId="5DED5CFB" w14:textId="77777777" w:rsidTr="006306C2">
        <w:trPr>
          <w:jc w:val="center"/>
        </w:trPr>
        <w:tc>
          <w:tcPr>
            <w:tcW w:w="4219" w:type="dxa"/>
          </w:tcPr>
          <w:p w14:paraId="77423C4C" w14:textId="77777777" w:rsidR="00461778" w:rsidRPr="009C7DF1" w:rsidRDefault="00461778" w:rsidP="00AC5B73">
            <w:pPr>
              <w:rPr>
                <w:rFonts w:cs="Arial"/>
                <w:sz w:val="24"/>
                <w:szCs w:val="24"/>
              </w:rPr>
            </w:pPr>
            <w:r w:rsidRPr="009C7DF1">
              <w:rPr>
                <w:rFonts w:cs="Arial"/>
                <w:sz w:val="24"/>
                <w:szCs w:val="24"/>
              </w:rPr>
              <w:t>Corporate</w:t>
            </w:r>
          </w:p>
        </w:tc>
        <w:tc>
          <w:tcPr>
            <w:tcW w:w="2977" w:type="dxa"/>
            <w:vAlign w:val="bottom"/>
          </w:tcPr>
          <w:p w14:paraId="43102878" w14:textId="77777777" w:rsidR="00461778" w:rsidRPr="009C7DF1" w:rsidRDefault="00461778" w:rsidP="00AC5B73">
            <w:pPr>
              <w:jc w:val="right"/>
              <w:rPr>
                <w:rFonts w:cs="Arial"/>
                <w:color w:val="000000"/>
                <w:sz w:val="24"/>
                <w:szCs w:val="24"/>
              </w:rPr>
            </w:pPr>
            <w:r w:rsidRPr="009C7DF1">
              <w:rPr>
                <w:rFonts w:cs="Arial"/>
                <w:color w:val="000000"/>
                <w:sz w:val="24"/>
                <w:szCs w:val="24"/>
              </w:rPr>
              <w:t>0.0</w:t>
            </w:r>
          </w:p>
        </w:tc>
      </w:tr>
      <w:tr w:rsidR="00461778" w:rsidRPr="009C7DF1" w14:paraId="3F81E5A0" w14:textId="77777777" w:rsidTr="006306C2">
        <w:trPr>
          <w:jc w:val="center"/>
        </w:trPr>
        <w:tc>
          <w:tcPr>
            <w:tcW w:w="4219" w:type="dxa"/>
          </w:tcPr>
          <w:p w14:paraId="7614FDC5" w14:textId="77777777" w:rsidR="00461778" w:rsidRPr="009C7DF1" w:rsidRDefault="00461778" w:rsidP="00AC5B73">
            <w:pPr>
              <w:rPr>
                <w:rFonts w:cs="Arial"/>
                <w:sz w:val="24"/>
                <w:szCs w:val="24"/>
              </w:rPr>
            </w:pPr>
            <w:r w:rsidRPr="009C7DF1">
              <w:rPr>
                <w:rFonts w:cs="Arial"/>
                <w:sz w:val="24"/>
                <w:szCs w:val="24"/>
              </w:rPr>
              <w:t>Golden Jubilee Conference Hotel</w:t>
            </w:r>
          </w:p>
        </w:tc>
        <w:tc>
          <w:tcPr>
            <w:tcW w:w="2977" w:type="dxa"/>
            <w:vAlign w:val="bottom"/>
          </w:tcPr>
          <w:p w14:paraId="1E5860AF" w14:textId="39710CAD" w:rsidR="00461778" w:rsidRPr="009C7DF1" w:rsidRDefault="0083364D" w:rsidP="00AC5B73">
            <w:pPr>
              <w:jc w:val="right"/>
              <w:rPr>
                <w:rFonts w:cs="Arial"/>
                <w:color w:val="000000"/>
                <w:sz w:val="24"/>
                <w:szCs w:val="24"/>
              </w:rPr>
            </w:pPr>
            <w:r>
              <w:rPr>
                <w:rFonts w:cs="Arial"/>
                <w:color w:val="000000"/>
                <w:sz w:val="24"/>
                <w:szCs w:val="24"/>
              </w:rPr>
              <w:t>0</w:t>
            </w:r>
            <w:r w:rsidR="00461778" w:rsidRPr="009C7DF1">
              <w:rPr>
                <w:rFonts w:cs="Arial"/>
                <w:color w:val="000000"/>
                <w:sz w:val="24"/>
                <w:szCs w:val="24"/>
              </w:rPr>
              <w:t>.0</w:t>
            </w:r>
          </w:p>
        </w:tc>
      </w:tr>
      <w:tr w:rsidR="00461778" w:rsidRPr="009C7DF1" w14:paraId="5366276F" w14:textId="77777777" w:rsidTr="006306C2">
        <w:trPr>
          <w:jc w:val="center"/>
        </w:trPr>
        <w:tc>
          <w:tcPr>
            <w:tcW w:w="4219" w:type="dxa"/>
          </w:tcPr>
          <w:p w14:paraId="755312F9" w14:textId="77777777" w:rsidR="00461778" w:rsidRPr="009C7DF1" w:rsidRDefault="00461778" w:rsidP="00AC5B73">
            <w:pPr>
              <w:rPr>
                <w:rFonts w:cs="Arial"/>
                <w:sz w:val="24"/>
                <w:szCs w:val="24"/>
              </w:rPr>
            </w:pPr>
            <w:r w:rsidRPr="009C7DF1">
              <w:rPr>
                <w:rFonts w:cs="Arial"/>
                <w:sz w:val="24"/>
                <w:szCs w:val="24"/>
              </w:rPr>
              <w:t>Heart, Lung and Diagnostic Services</w:t>
            </w:r>
          </w:p>
        </w:tc>
        <w:tc>
          <w:tcPr>
            <w:tcW w:w="2977" w:type="dxa"/>
            <w:vAlign w:val="bottom"/>
          </w:tcPr>
          <w:p w14:paraId="0F0BD139" w14:textId="56F6A8E3" w:rsidR="00461778" w:rsidRPr="009C7DF1" w:rsidRDefault="0083364D" w:rsidP="00AC5B73">
            <w:pPr>
              <w:jc w:val="right"/>
              <w:rPr>
                <w:rFonts w:cs="Arial"/>
                <w:color w:val="000000"/>
                <w:sz w:val="24"/>
                <w:szCs w:val="24"/>
              </w:rPr>
            </w:pPr>
            <w:r>
              <w:rPr>
                <w:rFonts w:cs="Arial"/>
                <w:color w:val="000000"/>
                <w:sz w:val="24"/>
                <w:szCs w:val="24"/>
              </w:rPr>
              <w:t>400</w:t>
            </w:r>
            <w:r w:rsidR="00461778" w:rsidRPr="009C7DF1">
              <w:rPr>
                <w:rFonts w:cs="Arial"/>
                <w:color w:val="000000"/>
                <w:sz w:val="24"/>
                <w:szCs w:val="24"/>
              </w:rPr>
              <w:t>.0</w:t>
            </w:r>
          </w:p>
        </w:tc>
      </w:tr>
      <w:tr w:rsidR="00461778" w:rsidRPr="009C7DF1" w14:paraId="6FBE2161" w14:textId="77777777" w:rsidTr="006306C2">
        <w:trPr>
          <w:jc w:val="center"/>
        </w:trPr>
        <w:tc>
          <w:tcPr>
            <w:tcW w:w="4219" w:type="dxa"/>
          </w:tcPr>
          <w:p w14:paraId="1103C237" w14:textId="77777777" w:rsidR="00461778" w:rsidRPr="009C7DF1" w:rsidRDefault="00461778" w:rsidP="00AC5B73">
            <w:pPr>
              <w:rPr>
                <w:rFonts w:cs="Arial"/>
                <w:sz w:val="24"/>
                <w:szCs w:val="24"/>
              </w:rPr>
            </w:pPr>
            <w:r w:rsidRPr="009C7DF1">
              <w:rPr>
                <w:rFonts w:cs="Arial"/>
                <w:sz w:val="24"/>
                <w:szCs w:val="24"/>
              </w:rPr>
              <w:t>National Elective Services</w:t>
            </w:r>
          </w:p>
        </w:tc>
        <w:tc>
          <w:tcPr>
            <w:tcW w:w="2977" w:type="dxa"/>
            <w:vAlign w:val="bottom"/>
          </w:tcPr>
          <w:p w14:paraId="583E793E" w14:textId="56F479B5" w:rsidR="00461778" w:rsidRPr="009C7DF1" w:rsidRDefault="0083364D" w:rsidP="00AC5B73">
            <w:pPr>
              <w:jc w:val="right"/>
              <w:rPr>
                <w:rFonts w:cs="Arial"/>
                <w:color w:val="000000"/>
                <w:sz w:val="24"/>
                <w:szCs w:val="24"/>
              </w:rPr>
            </w:pPr>
            <w:r>
              <w:rPr>
                <w:rFonts w:cs="Arial"/>
                <w:color w:val="000000"/>
                <w:sz w:val="24"/>
                <w:szCs w:val="24"/>
              </w:rPr>
              <w:t>200</w:t>
            </w:r>
            <w:r w:rsidR="00461778" w:rsidRPr="009C7DF1">
              <w:rPr>
                <w:rFonts w:cs="Arial"/>
                <w:color w:val="000000"/>
                <w:sz w:val="24"/>
                <w:szCs w:val="24"/>
              </w:rPr>
              <w:t>.5</w:t>
            </w:r>
          </w:p>
        </w:tc>
      </w:tr>
      <w:tr w:rsidR="00461778" w:rsidRPr="00461778" w14:paraId="2D43C80F" w14:textId="77777777" w:rsidTr="006306C2">
        <w:trPr>
          <w:jc w:val="center"/>
        </w:trPr>
        <w:tc>
          <w:tcPr>
            <w:tcW w:w="4219" w:type="dxa"/>
          </w:tcPr>
          <w:p w14:paraId="6C13689E" w14:textId="77777777" w:rsidR="00461778" w:rsidRPr="009C7DF1" w:rsidRDefault="00461778" w:rsidP="00AC5B73">
            <w:pPr>
              <w:rPr>
                <w:rFonts w:cs="Arial"/>
                <w:b/>
                <w:sz w:val="24"/>
                <w:szCs w:val="24"/>
              </w:rPr>
            </w:pPr>
            <w:r w:rsidRPr="009C7DF1">
              <w:rPr>
                <w:rFonts w:cs="Arial"/>
                <w:b/>
                <w:sz w:val="24"/>
                <w:szCs w:val="24"/>
              </w:rPr>
              <w:t>Board Total</w:t>
            </w:r>
          </w:p>
        </w:tc>
        <w:tc>
          <w:tcPr>
            <w:tcW w:w="2977" w:type="dxa"/>
            <w:vAlign w:val="bottom"/>
          </w:tcPr>
          <w:p w14:paraId="3FA16245" w14:textId="7BDE14E8" w:rsidR="00461778" w:rsidRPr="009C7DF1" w:rsidRDefault="00E8635C" w:rsidP="00AC5B73">
            <w:pPr>
              <w:jc w:val="right"/>
              <w:rPr>
                <w:rFonts w:cs="Arial"/>
                <w:b/>
                <w:color w:val="000000"/>
                <w:sz w:val="24"/>
                <w:szCs w:val="24"/>
              </w:rPr>
            </w:pPr>
            <w:r>
              <w:rPr>
                <w:rFonts w:cs="Arial"/>
                <w:b/>
                <w:color w:val="000000"/>
                <w:sz w:val="24"/>
                <w:szCs w:val="24"/>
              </w:rPr>
              <w:t>600</w:t>
            </w:r>
            <w:r w:rsidR="00461778" w:rsidRPr="009C7DF1">
              <w:rPr>
                <w:rFonts w:cs="Arial"/>
                <w:b/>
                <w:color w:val="000000"/>
                <w:sz w:val="24"/>
                <w:szCs w:val="24"/>
              </w:rPr>
              <w:t>.5</w:t>
            </w:r>
          </w:p>
        </w:tc>
      </w:tr>
    </w:tbl>
    <w:p w14:paraId="1C5EBCDF" w14:textId="77777777" w:rsidR="00461778" w:rsidRDefault="00461778" w:rsidP="00AC5B73">
      <w:pPr>
        <w:rPr>
          <w:rFonts w:cs="Arial"/>
          <w:szCs w:val="24"/>
        </w:rPr>
      </w:pPr>
    </w:p>
    <w:p w14:paraId="79806D2F" w14:textId="77777777" w:rsidR="00461778" w:rsidRDefault="00461778" w:rsidP="00AC5B73">
      <w:pPr>
        <w:rPr>
          <w:rFonts w:cs="Arial"/>
          <w:szCs w:val="24"/>
        </w:rPr>
      </w:pPr>
    </w:p>
    <w:p w14:paraId="4EE98A6D" w14:textId="77777777" w:rsidR="00622DE8" w:rsidRPr="00F825B7" w:rsidRDefault="00D52C15" w:rsidP="00AC5B73">
      <w:pPr>
        <w:spacing w:after="200" w:line="276" w:lineRule="auto"/>
        <w:rPr>
          <w:rFonts w:cs="Arial"/>
          <w:szCs w:val="24"/>
        </w:rPr>
      </w:pPr>
      <w:r w:rsidRPr="00F825B7">
        <w:rPr>
          <w:rFonts w:cs="Arial"/>
          <w:szCs w:val="24"/>
        </w:rPr>
        <w:br w:type="page"/>
      </w:r>
    </w:p>
    <w:p w14:paraId="7070563B" w14:textId="6E8D54D4" w:rsidR="00C06EE9" w:rsidRPr="00705A09" w:rsidRDefault="005243A5" w:rsidP="00AC5B73">
      <w:pPr>
        <w:pStyle w:val="Heading1"/>
      </w:pPr>
      <w:bookmarkStart w:id="61" w:name="_Toc108076902"/>
      <w:r>
        <w:lastRenderedPageBreak/>
        <w:t>Diversity and Inclusion</w:t>
      </w:r>
      <w:bookmarkEnd w:id="61"/>
    </w:p>
    <w:p w14:paraId="20A8FF16" w14:textId="77777777" w:rsidR="00D2410B" w:rsidRPr="00705A09" w:rsidRDefault="00D2410B" w:rsidP="00AC5B73">
      <w:pPr>
        <w:rPr>
          <w:rFonts w:cs="Arial"/>
          <w:szCs w:val="24"/>
        </w:rPr>
      </w:pPr>
    </w:p>
    <w:p w14:paraId="0E4EA6F8" w14:textId="042A307B" w:rsidR="00142A82" w:rsidRPr="00705A09" w:rsidRDefault="00D733F0" w:rsidP="00AC5B73">
      <w:pPr>
        <w:rPr>
          <w:rFonts w:cs="Arial"/>
        </w:rPr>
      </w:pPr>
      <w:r>
        <w:rPr>
          <w:rFonts w:cs="Arial"/>
          <w:szCs w:val="24"/>
        </w:rPr>
        <w:t>NHS GJ</w:t>
      </w:r>
      <w:r w:rsidR="00E05D15" w:rsidRPr="00705A09">
        <w:rPr>
          <w:rFonts w:cs="Arial"/>
          <w:szCs w:val="24"/>
        </w:rPr>
        <w:t xml:space="preserve"> is committed to supporting dignity at work by creating an inclusive working environment.</w:t>
      </w:r>
      <w:r w:rsidR="00901CC7" w:rsidRPr="00705A09">
        <w:rPr>
          <w:rFonts w:cs="Arial"/>
          <w:szCs w:val="24"/>
        </w:rPr>
        <w:t xml:space="preserve"> </w:t>
      </w:r>
      <w:r w:rsidR="00E05D15" w:rsidRPr="00705A09">
        <w:rPr>
          <w:rFonts w:cs="Arial"/>
          <w:szCs w:val="24"/>
        </w:rPr>
        <w:t xml:space="preserve">The </w:t>
      </w:r>
      <w:hyperlink r:id="rId39" w:history="1">
        <w:r w:rsidR="00E05D15" w:rsidRPr="00705A09">
          <w:rPr>
            <w:rStyle w:val="Hyperlink"/>
            <w:rFonts w:cs="Arial"/>
            <w:szCs w:val="24"/>
          </w:rPr>
          <w:t>Embracing Equality Diversity and Human Rights Policy</w:t>
        </w:r>
      </w:hyperlink>
      <w:r w:rsidR="00E05D15" w:rsidRPr="00705A09">
        <w:rPr>
          <w:rFonts w:cs="Arial"/>
          <w:szCs w:val="24"/>
        </w:rPr>
        <w:t xml:space="preserve"> </w:t>
      </w:r>
      <w:r w:rsidR="00E32B58" w:rsidRPr="00705A09">
        <w:rPr>
          <w:rFonts w:cs="Arial"/>
          <w:szCs w:val="24"/>
        </w:rPr>
        <w:t>places</w:t>
      </w:r>
      <w:r w:rsidR="00E05D15" w:rsidRPr="00705A09">
        <w:rPr>
          <w:rFonts w:cs="Arial"/>
          <w:szCs w:val="24"/>
        </w:rPr>
        <w:t xml:space="preserve"> equality, diversity and human rights at the hea</w:t>
      </w:r>
      <w:r w:rsidR="00142A82" w:rsidRPr="00705A09">
        <w:rPr>
          <w:rFonts w:cs="Arial"/>
          <w:szCs w:val="24"/>
        </w:rPr>
        <w:t>rt of everything the Board does.</w:t>
      </w:r>
      <w:r w:rsidR="003F0240" w:rsidRPr="00705A09">
        <w:rPr>
          <w:rFonts w:cs="Arial"/>
          <w:szCs w:val="24"/>
        </w:rPr>
        <w:t xml:space="preserve"> </w:t>
      </w:r>
      <w:r w:rsidR="00142A82" w:rsidRPr="00705A09">
        <w:rPr>
          <w:rFonts w:cs="Arial"/>
          <w:szCs w:val="24"/>
        </w:rPr>
        <w:t xml:space="preserve">Our </w:t>
      </w:r>
      <w:hyperlink r:id="rId40" w:history="1">
        <w:r w:rsidRPr="004A4B6C">
          <w:rPr>
            <w:rStyle w:val="Hyperlink"/>
            <w:rFonts w:cs="Arial"/>
          </w:rPr>
          <w:t>Diversity and Inclusion Strategy 2021-25</w:t>
        </w:r>
      </w:hyperlink>
      <w:r>
        <w:rPr>
          <w:rFonts w:cs="Arial"/>
        </w:rPr>
        <w:t xml:space="preserve"> f</w:t>
      </w:r>
      <w:r w:rsidR="00142A82" w:rsidRPr="00705A09">
        <w:rPr>
          <w:rFonts w:cs="Arial"/>
        </w:rPr>
        <w:t xml:space="preserve">orms an integral part of NHS GJ’s aim to promote the health and wellbeing of staff, patients and volunteers. As such, there are a number of crossovers and interdependencies spanning across existing and future outcomes, including the </w:t>
      </w:r>
      <w:hyperlink r:id="rId41" w:history="1">
        <w:r w:rsidR="00142A82" w:rsidRPr="00D733F0">
          <w:rPr>
            <w:rStyle w:val="Hyperlink"/>
            <w:rFonts w:cs="Arial"/>
          </w:rPr>
          <w:t>Health and Wellbeing Strategy</w:t>
        </w:r>
      </w:hyperlink>
      <w:r w:rsidR="00A803C7">
        <w:rPr>
          <w:rStyle w:val="Hyperlink"/>
          <w:rFonts w:cs="Arial"/>
        </w:rPr>
        <w:t xml:space="preserve"> 2020-2023</w:t>
      </w:r>
      <w:r w:rsidR="00142A82" w:rsidRPr="00705A09">
        <w:rPr>
          <w:rFonts w:cs="Arial"/>
        </w:rPr>
        <w:t xml:space="preserve">, the </w:t>
      </w:r>
      <w:hyperlink r:id="rId42" w:history="1">
        <w:r w:rsidR="00142A82" w:rsidRPr="00D733F0">
          <w:rPr>
            <w:rStyle w:val="Hyperlink"/>
            <w:rFonts w:cs="Arial"/>
          </w:rPr>
          <w:t>Involving People Strategy</w:t>
        </w:r>
      </w:hyperlink>
      <w:r w:rsidR="00142A82" w:rsidRPr="00705A09">
        <w:rPr>
          <w:rFonts w:cs="Arial"/>
        </w:rPr>
        <w:t xml:space="preserve"> and the </w:t>
      </w:r>
      <w:hyperlink r:id="rId43" w:history="1">
        <w:r w:rsidR="00142A82" w:rsidRPr="00D733F0">
          <w:rPr>
            <w:rStyle w:val="Hyperlink"/>
            <w:rFonts w:cs="Arial"/>
          </w:rPr>
          <w:t>Volunteer Strategy</w:t>
        </w:r>
      </w:hyperlink>
      <w:r w:rsidR="00142A82" w:rsidRPr="00705A09">
        <w:rPr>
          <w:rFonts w:cs="Arial"/>
        </w:rPr>
        <w:t>.</w:t>
      </w:r>
      <w:r w:rsidR="003F0240" w:rsidRPr="00705A09">
        <w:rPr>
          <w:rFonts w:cs="Arial"/>
        </w:rPr>
        <w:t xml:space="preserve"> </w:t>
      </w:r>
      <w:r w:rsidR="00B05507" w:rsidRPr="00705A09">
        <w:rPr>
          <w:rFonts w:cs="Arial"/>
        </w:rPr>
        <w:t xml:space="preserve">We have set up </w:t>
      </w:r>
      <w:r w:rsidR="002B3444">
        <w:rPr>
          <w:rFonts w:cs="Arial"/>
        </w:rPr>
        <w:t>a Diversity and Inclusion</w:t>
      </w:r>
      <w:r w:rsidR="00B05507" w:rsidRPr="00705A09">
        <w:rPr>
          <w:rFonts w:cs="Arial"/>
        </w:rPr>
        <w:t xml:space="preserve"> Group to take forward our plans under the nine protected characteristics</w:t>
      </w:r>
      <w:r w:rsidR="002B3444">
        <w:rPr>
          <w:rFonts w:cs="Arial"/>
        </w:rPr>
        <w:t xml:space="preserve"> and the </w:t>
      </w:r>
      <w:hyperlink r:id="rId44" w:anchor=":~:text=The%20Fairer%20Scotland%20Duty%20(the,disadvantage%2C%20when%20making%20strategic%20decisions." w:history="1">
        <w:r w:rsidR="002B3444" w:rsidRPr="00706B37">
          <w:rPr>
            <w:rStyle w:val="Hyperlink"/>
            <w:rFonts w:cs="Arial"/>
          </w:rPr>
          <w:t>Fairer Scotland Duty</w:t>
        </w:r>
      </w:hyperlink>
      <w:r w:rsidR="00B05507" w:rsidRPr="00705A09">
        <w:rPr>
          <w:rFonts w:cs="Arial"/>
        </w:rPr>
        <w:t xml:space="preserve"> </w:t>
      </w:r>
      <w:r w:rsidR="00CC674B">
        <w:rPr>
          <w:rFonts w:cs="Arial"/>
        </w:rPr>
        <w:t xml:space="preserve">(FSD), </w:t>
      </w:r>
      <w:r w:rsidR="00B05507" w:rsidRPr="00705A09">
        <w:rPr>
          <w:rFonts w:cs="Arial"/>
        </w:rPr>
        <w:t>with each characteristic headed by an Executive Director.</w:t>
      </w:r>
    </w:p>
    <w:p w14:paraId="5B6EF42F" w14:textId="77777777" w:rsidR="00B8100A" w:rsidRPr="00705A09" w:rsidRDefault="00B8100A" w:rsidP="00AC5B73">
      <w:pPr>
        <w:rPr>
          <w:rFonts w:cs="Arial"/>
          <w:szCs w:val="24"/>
        </w:rPr>
      </w:pPr>
    </w:p>
    <w:p w14:paraId="4A9A94AD" w14:textId="5C799165" w:rsidR="00C06EE9" w:rsidRPr="00705A09" w:rsidRDefault="00E05D15" w:rsidP="00AC5B73">
      <w:pPr>
        <w:rPr>
          <w:rFonts w:cs="Arial"/>
          <w:szCs w:val="24"/>
        </w:rPr>
      </w:pPr>
      <w:r w:rsidRPr="00705A09">
        <w:rPr>
          <w:rFonts w:cs="Arial"/>
          <w:szCs w:val="24"/>
        </w:rPr>
        <w:t>The information covered in this section is based on self-reporting by the Board’s staff</w:t>
      </w:r>
      <w:r w:rsidR="0027651E">
        <w:rPr>
          <w:rFonts w:cs="Arial"/>
          <w:szCs w:val="24"/>
        </w:rPr>
        <w:t>,</w:t>
      </w:r>
      <w:r w:rsidR="003515CF" w:rsidRPr="00705A09">
        <w:rPr>
          <w:rFonts w:cs="Arial"/>
          <w:szCs w:val="24"/>
        </w:rPr>
        <w:t xml:space="preserve"> </w:t>
      </w:r>
      <w:r w:rsidRPr="00705A09">
        <w:rPr>
          <w:rFonts w:cs="Arial"/>
          <w:szCs w:val="24"/>
        </w:rPr>
        <w:t>and is collected at the point of engag</w:t>
      </w:r>
      <w:r w:rsidR="0027651E">
        <w:rPr>
          <w:rFonts w:cs="Arial"/>
          <w:szCs w:val="24"/>
        </w:rPr>
        <w:t>ement via the Staff Engagement. Members of staff can also update their equalities details at any time using eESS.</w:t>
      </w:r>
    </w:p>
    <w:p w14:paraId="27469661" w14:textId="77777777" w:rsidR="00C06EE9" w:rsidRPr="00705A09" w:rsidRDefault="00C06EE9" w:rsidP="00AC5B73">
      <w:pPr>
        <w:rPr>
          <w:rFonts w:cs="Arial"/>
          <w:szCs w:val="24"/>
        </w:rPr>
      </w:pPr>
    </w:p>
    <w:p w14:paraId="5A03BF6F" w14:textId="77777777" w:rsidR="003E0991" w:rsidRPr="00705A09" w:rsidRDefault="003E0991" w:rsidP="00AC5B73">
      <w:pPr>
        <w:rPr>
          <w:rFonts w:cs="Arial"/>
          <w:szCs w:val="24"/>
        </w:rPr>
      </w:pPr>
      <w:r w:rsidRPr="00705A09">
        <w:rPr>
          <w:rFonts w:cs="Arial"/>
          <w:szCs w:val="24"/>
        </w:rPr>
        <w:t>This section covers the protected characteristics as defined in the Equality Act 2010:</w:t>
      </w:r>
    </w:p>
    <w:p w14:paraId="5CD3E801" w14:textId="77777777" w:rsidR="003E0991" w:rsidRPr="00705A09" w:rsidRDefault="002B3444" w:rsidP="00AC5B73">
      <w:pPr>
        <w:pStyle w:val="ListParagraph"/>
        <w:numPr>
          <w:ilvl w:val="0"/>
          <w:numId w:val="2"/>
        </w:numPr>
        <w:rPr>
          <w:rFonts w:cs="Arial"/>
          <w:szCs w:val="24"/>
        </w:rPr>
      </w:pPr>
      <w:r>
        <w:rPr>
          <w:rFonts w:cs="Arial"/>
          <w:szCs w:val="24"/>
        </w:rPr>
        <w:t>sex</w:t>
      </w:r>
      <w:r w:rsidR="003E0991" w:rsidRPr="00705A09">
        <w:rPr>
          <w:rFonts w:cs="Arial"/>
          <w:szCs w:val="24"/>
        </w:rPr>
        <w:t>;</w:t>
      </w:r>
    </w:p>
    <w:p w14:paraId="487850AB" w14:textId="77777777" w:rsidR="003E0991" w:rsidRPr="00705A09" w:rsidRDefault="003E0991" w:rsidP="00AC5B73">
      <w:pPr>
        <w:pStyle w:val="ListParagraph"/>
        <w:numPr>
          <w:ilvl w:val="0"/>
          <w:numId w:val="2"/>
        </w:numPr>
        <w:rPr>
          <w:rFonts w:cs="Arial"/>
          <w:szCs w:val="24"/>
        </w:rPr>
      </w:pPr>
      <w:r w:rsidRPr="00705A09">
        <w:rPr>
          <w:rFonts w:cs="Arial"/>
          <w:szCs w:val="24"/>
        </w:rPr>
        <w:t>age;</w:t>
      </w:r>
    </w:p>
    <w:p w14:paraId="4ABB95F3" w14:textId="77777777" w:rsidR="003E0991" w:rsidRPr="00705A09" w:rsidRDefault="003E0991" w:rsidP="00AC5B73">
      <w:pPr>
        <w:pStyle w:val="ListParagraph"/>
        <w:numPr>
          <w:ilvl w:val="0"/>
          <w:numId w:val="2"/>
        </w:numPr>
        <w:rPr>
          <w:rFonts w:cs="Arial"/>
          <w:szCs w:val="24"/>
        </w:rPr>
      </w:pPr>
      <w:r w:rsidRPr="00705A09">
        <w:rPr>
          <w:rFonts w:cs="Arial"/>
          <w:szCs w:val="24"/>
        </w:rPr>
        <w:t>race;</w:t>
      </w:r>
    </w:p>
    <w:p w14:paraId="19745F59" w14:textId="77777777" w:rsidR="003E0991" w:rsidRPr="00705A09" w:rsidRDefault="003E0991" w:rsidP="00AC5B73">
      <w:pPr>
        <w:pStyle w:val="ListParagraph"/>
        <w:numPr>
          <w:ilvl w:val="0"/>
          <w:numId w:val="2"/>
        </w:numPr>
        <w:rPr>
          <w:rFonts w:cs="Arial"/>
          <w:szCs w:val="24"/>
        </w:rPr>
      </w:pPr>
      <w:r w:rsidRPr="00705A09">
        <w:rPr>
          <w:rFonts w:cs="Arial"/>
          <w:szCs w:val="24"/>
        </w:rPr>
        <w:t>religion and belief;</w:t>
      </w:r>
    </w:p>
    <w:p w14:paraId="207AAB88" w14:textId="77777777" w:rsidR="003E0991" w:rsidRPr="00705A09" w:rsidRDefault="003E0991" w:rsidP="00AC5B73">
      <w:pPr>
        <w:pStyle w:val="ListParagraph"/>
        <w:numPr>
          <w:ilvl w:val="0"/>
          <w:numId w:val="2"/>
        </w:numPr>
        <w:rPr>
          <w:rFonts w:cs="Arial"/>
          <w:szCs w:val="24"/>
        </w:rPr>
      </w:pPr>
      <w:r w:rsidRPr="00705A09">
        <w:rPr>
          <w:rFonts w:cs="Arial"/>
          <w:szCs w:val="24"/>
        </w:rPr>
        <w:t>disability;</w:t>
      </w:r>
    </w:p>
    <w:p w14:paraId="1D133DDA" w14:textId="77777777" w:rsidR="003E0991" w:rsidRPr="00705A09" w:rsidRDefault="003E0991" w:rsidP="00AC5B73">
      <w:pPr>
        <w:pStyle w:val="ListParagraph"/>
        <w:numPr>
          <w:ilvl w:val="0"/>
          <w:numId w:val="2"/>
        </w:numPr>
        <w:rPr>
          <w:rFonts w:cs="Arial"/>
          <w:szCs w:val="24"/>
        </w:rPr>
      </w:pPr>
      <w:r w:rsidRPr="00705A09">
        <w:rPr>
          <w:rFonts w:cs="Arial"/>
          <w:szCs w:val="24"/>
        </w:rPr>
        <w:t>sexual orientation;</w:t>
      </w:r>
    </w:p>
    <w:p w14:paraId="06388594" w14:textId="77777777" w:rsidR="003E0991" w:rsidRPr="00705A09" w:rsidRDefault="003E0991" w:rsidP="00AC5B73">
      <w:pPr>
        <w:pStyle w:val="ListParagraph"/>
        <w:numPr>
          <w:ilvl w:val="0"/>
          <w:numId w:val="2"/>
        </w:numPr>
        <w:rPr>
          <w:rFonts w:cs="Arial"/>
          <w:szCs w:val="24"/>
        </w:rPr>
      </w:pPr>
      <w:r w:rsidRPr="00705A09">
        <w:rPr>
          <w:rFonts w:cs="Arial"/>
          <w:szCs w:val="24"/>
        </w:rPr>
        <w:t>marriage and civil partnership;</w:t>
      </w:r>
    </w:p>
    <w:p w14:paraId="416926C7" w14:textId="77777777" w:rsidR="003E0991" w:rsidRPr="00705A09" w:rsidRDefault="003E0991" w:rsidP="00AC5B73">
      <w:pPr>
        <w:pStyle w:val="ListParagraph"/>
        <w:numPr>
          <w:ilvl w:val="0"/>
          <w:numId w:val="2"/>
        </w:numPr>
        <w:rPr>
          <w:rFonts w:cs="Arial"/>
          <w:szCs w:val="24"/>
        </w:rPr>
      </w:pPr>
      <w:r w:rsidRPr="00705A09">
        <w:rPr>
          <w:rFonts w:cs="Arial"/>
          <w:szCs w:val="24"/>
        </w:rPr>
        <w:t>gender reassignment; and</w:t>
      </w:r>
    </w:p>
    <w:p w14:paraId="7A0179FB" w14:textId="77777777" w:rsidR="003E0991" w:rsidRPr="00705A09" w:rsidRDefault="003E0991" w:rsidP="00AC5B73">
      <w:pPr>
        <w:pStyle w:val="ListParagraph"/>
        <w:numPr>
          <w:ilvl w:val="0"/>
          <w:numId w:val="2"/>
        </w:numPr>
        <w:rPr>
          <w:rFonts w:cs="Arial"/>
          <w:szCs w:val="24"/>
        </w:rPr>
      </w:pPr>
      <w:r w:rsidRPr="00705A09">
        <w:rPr>
          <w:rFonts w:cs="Arial"/>
          <w:szCs w:val="24"/>
        </w:rPr>
        <w:t>pregnancy and maternity.</w:t>
      </w:r>
    </w:p>
    <w:p w14:paraId="25B17C49" w14:textId="77777777" w:rsidR="003E0991" w:rsidRDefault="003E0991" w:rsidP="00AC5B73">
      <w:pPr>
        <w:rPr>
          <w:rFonts w:cs="Arial"/>
          <w:szCs w:val="24"/>
        </w:rPr>
      </w:pPr>
    </w:p>
    <w:p w14:paraId="24F9B7CA" w14:textId="524C7370" w:rsidR="002B3444" w:rsidRDefault="002B3444" w:rsidP="00AC5B73">
      <w:pPr>
        <w:rPr>
          <w:rFonts w:cs="Arial"/>
          <w:szCs w:val="24"/>
        </w:rPr>
      </w:pPr>
      <w:r>
        <w:rPr>
          <w:rFonts w:cs="Arial"/>
          <w:szCs w:val="24"/>
        </w:rPr>
        <w:t xml:space="preserve">The </w:t>
      </w:r>
      <w:hyperlink r:id="rId45" w:anchor=":~:text=The%20Fairer%20Scotland%20Duty%20(the,disadvantage%2C%20when%20making%20strategic%20decisions." w:history="1">
        <w:r w:rsidR="00CC674B">
          <w:rPr>
            <w:rStyle w:val="Hyperlink"/>
            <w:rFonts w:cs="Arial"/>
            <w:szCs w:val="24"/>
          </w:rPr>
          <w:t>FSD</w:t>
        </w:r>
      </w:hyperlink>
      <w:r>
        <w:rPr>
          <w:rFonts w:cs="Arial"/>
          <w:szCs w:val="24"/>
        </w:rPr>
        <w:t xml:space="preserve"> also outlines socio-economic status.</w:t>
      </w:r>
    </w:p>
    <w:p w14:paraId="1B0C8DDC" w14:textId="77777777" w:rsidR="002B3444" w:rsidRPr="00705A09" w:rsidRDefault="002B3444" w:rsidP="00AC5B73">
      <w:pPr>
        <w:rPr>
          <w:rFonts w:cs="Arial"/>
          <w:szCs w:val="24"/>
        </w:rPr>
      </w:pPr>
    </w:p>
    <w:p w14:paraId="4BAB03B8" w14:textId="1308D4C3" w:rsidR="00A70A09" w:rsidRDefault="00A70A09" w:rsidP="00AC5B73">
      <w:pPr>
        <w:rPr>
          <w:rFonts w:cs="Arial"/>
          <w:szCs w:val="24"/>
        </w:rPr>
      </w:pPr>
      <w:r w:rsidRPr="00705A09">
        <w:rPr>
          <w:rFonts w:cs="Arial"/>
          <w:szCs w:val="24"/>
        </w:rPr>
        <w:t>It should be noted that in considering information relating to equality and diversity some numbers are so low that reporting them might enable identification of those employees i</w:t>
      </w:r>
      <w:r w:rsidR="00A32B4A" w:rsidRPr="00705A09">
        <w:rPr>
          <w:rFonts w:cs="Arial"/>
          <w:szCs w:val="24"/>
        </w:rPr>
        <w:t>ncluded i</w:t>
      </w:r>
      <w:r w:rsidRPr="00705A09">
        <w:rPr>
          <w:rFonts w:cs="Arial"/>
          <w:szCs w:val="24"/>
        </w:rPr>
        <w:t>n those numbers.</w:t>
      </w:r>
      <w:r w:rsidR="00901CC7" w:rsidRPr="00705A09">
        <w:rPr>
          <w:rFonts w:cs="Arial"/>
          <w:szCs w:val="24"/>
        </w:rPr>
        <w:t xml:space="preserve"> </w:t>
      </w:r>
      <w:r w:rsidRPr="00705A09">
        <w:rPr>
          <w:rFonts w:cs="Arial"/>
          <w:szCs w:val="24"/>
        </w:rPr>
        <w:t xml:space="preserve">Therefore, in some instances in the information shown below, where numbers of employees in a group are </w:t>
      </w:r>
      <w:r w:rsidR="003A01CA" w:rsidRPr="00705A09">
        <w:rPr>
          <w:rFonts w:cs="Arial"/>
          <w:szCs w:val="24"/>
        </w:rPr>
        <w:t>five or fewer,</w:t>
      </w:r>
      <w:r w:rsidRPr="00705A09">
        <w:rPr>
          <w:rFonts w:cs="Arial"/>
          <w:szCs w:val="24"/>
        </w:rPr>
        <w:t xml:space="preserve"> those numbers may be aggregated under a group such as “Other”.</w:t>
      </w:r>
    </w:p>
    <w:p w14:paraId="54D70093" w14:textId="77777777" w:rsidR="00D50A76" w:rsidRPr="00705A09" w:rsidRDefault="00D50A76" w:rsidP="00AC5B73">
      <w:pPr>
        <w:rPr>
          <w:rFonts w:cs="Arial"/>
          <w:szCs w:val="24"/>
        </w:rPr>
      </w:pPr>
    </w:p>
    <w:p w14:paraId="37C2BAC0" w14:textId="77777777" w:rsidR="00D50A76" w:rsidRDefault="00D50A76" w:rsidP="00AC5B73">
      <w:pPr>
        <w:spacing w:after="200" w:line="276" w:lineRule="auto"/>
        <w:rPr>
          <w:rFonts w:eastAsiaTheme="majorEastAsia" w:cs="Arial"/>
          <w:b/>
          <w:bCs/>
          <w:sz w:val="28"/>
          <w:szCs w:val="26"/>
        </w:rPr>
      </w:pPr>
      <w:bookmarkStart w:id="62" w:name="_Toc76025105"/>
      <w:r>
        <w:rPr>
          <w:rFonts w:cs="Arial"/>
        </w:rPr>
        <w:br w:type="page"/>
      </w:r>
    </w:p>
    <w:p w14:paraId="5EB41541" w14:textId="49FADB7A" w:rsidR="00C06EE9" w:rsidRPr="00705A09" w:rsidRDefault="002B3444" w:rsidP="00AC5B73">
      <w:pPr>
        <w:pStyle w:val="Heading2"/>
        <w:rPr>
          <w:rFonts w:cs="Arial"/>
        </w:rPr>
      </w:pPr>
      <w:bookmarkStart w:id="63" w:name="_Toc108076903"/>
      <w:r>
        <w:rPr>
          <w:rFonts w:cs="Arial"/>
        </w:rPr>
        <w:lastRenderedPageBreak/>
        <w:t>Sex</w:t>
      </w:r>
      <w:bookmarkEnd w:id="62"/>
      <w:bookmarkEnd w:id="63"/>
    </w:p>
    <w:p w14:paraId="3DA0566D" w14:textId="77777777" w:rsidR="002C04B2" w:rsidRPr="00705A09" w:rsidRDefault="002C04B2" w:rsidP="00AC5B73">
      <w:pPr>
        <w:pStyle w:val="Heading3"/>
      </w:pPr>
      <w:bookmarkStart w:id="64" w:name="_Toc76025106"/>
      <w:bookmarkStart w:id="65" w:name="_Toc108076904"/>
      <w:r w:rsidRPr="00705A09">
        <w:t>Workforce Breakdown</w:t>
      </w:r>
      <w:bookmarkEnd w:id="64"/>
      <w:bookmarkEnd w:id="65"/>
    </w:p>
    <w:p w14:paraId="4B205815" w14:textId="6A408460" w:rsidR="0030439E" w:rsidRPr="00705A09" w:rsidRDefault="007D77AE" w:rsidP="00AC5B73">
      <w:pPr>
        <w:rPr>
          <w:rFonts w:cs="Arial"/>
          <w:szCs w:val="24"/>
        </w:rPr>
      </w:pPr>
      <w:r w:rsidRPr="00705A09">
        <w:rPr>
          <w:rFonts w:cs="Arial"/>
          <w:szCs w:val="24"/>
        </w:rPr>
        <w:t>As in previous monitored periods the Board’s workforce continues to be predominantly female</w:t>
      </w:r>
      <w:r w:rsidR="00F76F5D">
        <w:rPr>
          <w:rFonts w:cs="Arial"/>
          <w:szCs w:val="24"/>
        </w:rPr>
        <w:t xml:space="preserve"> (1597</w:t>
      </w:r>
      <w:r w:rsidR="001D1D0A" w:rsidRPr="00705A09">
        <w:rPr>
          <w:rFonts w:cs="Arial"/>
          <w:szCs w:val="24"/>
        </w:rPr>
        <w:t xml:space="preserve"> headcount)</w:t>
      </w:r>
      <w:r w:rsidRPr="00705A09">
        <w:rPr>
          <w:rFonts w:cs="Arial"/>
          <w:szCs w:val="24"/>
        </w:rPr>
        <w:t xml:space="preserve">, with women representing </w:t>
      </w:r>
      <w:r w:rsidR="00F76F5D">
        <w:rPr>
          <w:rFonts w:cs="Arial"/>
          <w:szCs w:val="24"/>
        </w:rPr>
        <w:t>74.8</w:t>
      </w:r>
      <w:r w:rsidR="007B77E1" w:rsidRPr="00705A09">
        <w:rPr>
          <w:rFonts w:cs="Arial"/>
          <w:szCs w:val="24"/>
        </w:rPr>
        <w:t>% of the</w:t>
      </w:r>
      <w:r w:rsidRPr="00705A09">
        <w:rPr>
          <w:rFonts w:cs="Arial"/>
          <w:szCs w:val="24"/>
        </w:rPr>
        <w:t xml:space="preserve"> workforce as at </w:t>
      </w:r>
      <w:r w:rsidR="00A22DA6" w:rsidRPr="00705A09">
        <w:rPr>
          <w:rFonts w:cs="Arial"/>
          <w:szCs w:val="24"/>
        </w:rPr>
        <w:t xml:space="preserve">31 </w:t>
      </w:r>
      <w:r w:rsidR="00F76F5D">
        <w:rPr>
          <w:rFonts w:cs="Arial"/>
          <w:szCs w:val="24"/>
        </w:rPr>
        <w:t>March 2022</w:t>
      </w:r>
      <w:r w:rsidR="003A01CA" w:rsidRPr="00705A09">
        <w:rPr>
          <w:rFonts w:cs="Arial"/>
          <w:szCs w:val="24"/>
        </w:rPr>
        <w:t>.</w:t>
      </w:r>
      <w:r w:rsidR="00901CC7" w:rsidRPr="00705A09">
        <w:rPr>
          <w:rFonts w:cs="Arial"/>
          <w:szCs w:val="24"/>
        </w:rPr>
        <w:t xml:space="preserve"> </w:t>
      </w:r>
      <w:r w:rsidR="003A01CA" w:rsidRPr="00705A09">
        <w:rPr>
          <w:rFonts w:cs="Arial"/>
          <w:szCs w:val="24"/>
        </w:rPr>
        <w:t>This continues the pattern of previous years:</w:t>
      </w:r>
    </w:p>
    <w:p w14:paraId="32DFF838" w14:textId="77777777" w:rsidR="006306C2" w:rsidRPr="00705A09" w:rsidRDefault="006306C2" w:rsidP="00AC5B73">
      <w:pPr>
        <w:rPr>
          <w:rFonts w:cs="Arial"/>
          <w:szCs w:val="24"/>
        </w:rPr>
      </w:pPr>
    </w:p>
    <w:tbl>
      <w:tblPr>
        <w:tblStyle w:val="TableGrid"/>
        <w:tblW w:w="0" w:type="auto"/>
        <w:tblLook w:val="04A0" w:firstRow="1" w:lastRow="0" w:firstColumn="1" w:lastColumn="0" w:noHBand="0" w:noVBand="1"/>
      </w:tblPr>
      <w:tblGrid>
        <w:gridCol w:w="1045"/>
        <w:gridCol w:w="828"/>
        <w:gridCol w:w="829"/>
        <w:gridCol w:w="828"/>
        <w:gridCol w:w="829"/>
        <w:gridCol w:w="828"/>
        <w:gridCol w:w="829"/>
        <w:gridCol w:w="829"/>
        <w:gridCol w:w="828"/>
        <w:gridCol w:w="829"/>
        <w:gridCol w:w="828"/>
        <w:gridCol w:w="829"/>
        <w:gridCol w:w="829"/>
      </w:tblGrid>
      <w:tr w:rsidR="00F76F5D" w:rsidRPr="00F76F5D" w14:paraId="189E8089" w14:textId="41233FB1" w:rsidTr="00F76F5D">
        <w:tc>
          <w:tcPr>
            <w:tcW w:w="1045" w:type="dxa"/>
          </w:tcPr>
          <w:p w14:paraId="554246F9" w14:textId="77777777" w:rsidR="00F76F5D" w:rsidRPr="00F76F5D" w:rsidRDefault="00F76F5D" w:rsidP="00AC5B73">
            <w:pPr>
              <w:rPr>
                <w:rFonts w:cs="Arial"/>
                <w:b/>
                <w:sz w:val="24"/>
                <w:szCs w:val="24"/>
              </w:rPr>
            </w:pPr>
            <w:r w:rsidRPr="00F76F5D">
              <w:rPr>
                <w:rFonts w:cs="Arial"/>
                <w:b/>
                <w:sz w:val="24"/>
                <w:szCs w:val="24"/>
              </w:rPr>
              <w:t>Sex</w:t>
            </w:r>
          </w:p>
        </w:tc>
        <w:tc>
          <w:tcPr>
            <w:tcW w:w="828" w:type="dxa"/>
            <w:vAlign w:val="bottom"/>
          </w:tcPr>
          <w:p w14:paraId="6AA994FF"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2011</w:t>
            </w:r>
          </w:p>
        </w:tc>
        <w:tc>
          <w:tcPr>
            <w:tcW w:w="829" w:type="dxa"/>
            <w:vAlign w:val="bottom"/>
          </w:tcPr>
          <w:p w14:paraId="06C5F2FA"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2012</w:t>
            </w:r>
          </w:p>
        </w:tc>
        <w:tc>
          <w:tcPr>
            <w:tcW w:w="828" w:type="dxa"/>
            <w:vAlign w:val="bottom"/>
          </w:tcPr>
          <w:p w14:paraId="7307095B"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2013</w:t>
            </w:r>
          </w:p>
        </w:tc>
        <w:tc>
          <w:tcPr>
            <w:tcW w:w="829" w:type="dxa"/>
            <w:vAlign w:val="bottom"/>
          </w:tcPr>
          <w:p w14:paraId="6FFECC29"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2014</w:t>
            </w:r>
          </w:p>
        </w:tc>
        <w:tc>
          <w:tcPr>
            <w:tcW w:w="828" w:type="dxa"/>
            <w:vAlign w:val="bottom"/>
          </w:tcPr>
          <w:p w14:paraId="1CEB3483"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2015</w:t>
            </w:r>
          </w:p>
        </w:tc>
        <w:tc>
          <w:tcPr>
            <w:tcW w:w="829" w:type="dxa"/>
            <w:vAlign w:val="bottom"/>
          </w:tcPr>
          <w:p w14:paraId="064A438F"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2016</w:t>
            </w:r>
          </w:p>
        </w:tc>
        <w:tc>
          <w:tcPr>
            <w:tcW w:w="829" w:type="dxa"/>
            <w:vAlign w:val="bottom"/>
          </w:tcPr>
          <w:p w14:paraId="6A0E80BD"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2017</w:t>
            </w:r>
          </w:p>
        </w:tc>
        <w:tc>
          <w:tcPr>
            <w:tcW w:w="828" w:type="dxa"/>
            <w:vAlign w:val="bottom"/>
          </w:tcPr>
          <w:p w14:paraId="496DD0EA"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2018</w:t>
            </w:r>
          </w:p>
        </w:tc>
        <w:tc>
          <w:tcPr>
            <w:tcW w:w="829" w:type="dxa"/>
            <w:vAlign w:val="bottom"/>
          </w:tcPr>
          <w:p w14:paraId="14F47D53"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2019</w:t>
            </w:r>
          </w:p>
        </w:tc>
        <w:tc>
          <w:tcPr>
            <w:tcW w:w="828" w:type="dxa"/>
            <w:vAlign w:val="bottom"/>
          </w:tcPr>
          <w:p w14:paraId="0278843D"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2020</w:t>
            </w:r>
          </w:p>
        </w:tc>
        <w:tc>
          <w:tcPr>
            <w:tcW w:w="829" w:type="dxa"/>
            <w:vAlign w:val="bottom"/>
          </w:tcPr>
          <w:p w14:paraId="6475DCA5" w14:textId="77777777" w:rsidR="00F76F5D" w:rsidRPr="00F76F5D" w:rsidRDefault="00F76F5D" w:rsidP="00AC5B73">
            <w:pPr>
              <w:jc w:val="right"/>
              <w:rPr>
                <w:rFonts w:cs="Arial"/>
                <w:b/>
                <w:color w:val="000000"/>
                <w:sz w:val="24"/>
                <w:szCs w:val="24"/>
              </w:rPr>
            </w:pPr>
            <w:r w:rsidRPr="00F76F5D">
              <w:rPr>
                <w:rFonts w:cs="Arial"/>
                <w:b/>
                <w:color w:val="000000"/>
                <w:sz w:val="24"/>
                <w:szCs w:val="24"/>
              </w:rPr>
              <w:t>2021</w:t>
            </w:r>
          </w:p>
        </w:tc>
        <w:tc>
          <w:tcPr>
            <w:tcW w:w="829" w:type="dxa"/>
          </w:tcPr>
          <w:p w14:paraId="004F3EF3" w14:textId="034DDA83" w:rsidR="00F76F5D" w:rsidRPr="00F76F5D" w:rsidRDefault="00F76F5D" w:rsidP="00AC5B73">
            <w:pPr>
              <w:jc w:val="right"/>
              <w:rPr>
                <w:rFonts w:cs="Arial"/>
                <w:b/>
                <w:color w:val="000000"/>
                <w:sz w:val="24"/>
                <w:szCs w:val="24"/>
              </w:rPr>
            </w:pPr>
            <w:r w:rsidRPr="00F76F5D">
              <w:rPr>
                <w:rFonts w:cs="Arial"/>
                <w:b/>
                <w:color w:val="000000"/>
                <w:sz w:val="24"/>
                <w:szCs w:val="24"/>
              </w:rPr>
              <w:t>2022</w:t>
            </w:r>
          </w:p>
        </w:tc>
      </w:tr>
      <w:tr w:rsidR="00F76F5D" w:rsidRPr="00F76F5D" w14:paraId="39B816CD" w14:textId="12282E6A" w:rsidTr="00F76F5D">
        <w:tc>
          <w:tcPr>
            <w:tcW w:w="1045" w:type="dxa"/>
          </w:tcPr>
          <w:p w14:paraId="13B5C30A" w14:textId="77777777" w:rsidR="00F76F5D" w:rsidRPr="00F76F5D" w:rsidRDefault="00F76F5D" w:rsidP="00AC5B73">
            <w:pPr>
              <w:rPr>
                <w:rFonts w:cs="Arial"/>
                <w:b/>
                <w:sz w:val="24"/>
                <w:szCs w:val="24"/>
              </w:rPr>
            </w:pPr>
            <w:r w:rsidRPr="00F76F5D">
              <w:rPr>
                <w:rFonts w:cs="Arial"/>
                <w:b/>
                <w:sz w:val="24"/>
                <w:szCs w:val="24"/>
              </w:rPr>
              <w:t>Female</w:t>
            </w:r>
          </w:p>
        </w:tc>
        <w:tc>
          <w:tcPr>
            <w:tcW w:w="828" w:type="dxa"/>
            <w:vAlign w:val="bottom"/>
          </w:tcPr>
          <w:p w14:paraId="3F08241C" w14:textId="77777777" w:rsidR="00F76F5D" w:rsidRPr="00F76F5D" w:rsidRDefault="00F76F5D" w:rsidP="00AC5B73">
            <w:pPr>
              <w:jc w:val="right"/>
              <w:rPr>
                <w:rFonts w:cs="Arial"/>
                <w:color w:val="000000"/>
                <w:sz w:val="20"/>
                <w:szCs w:val="24"/>
              </w:rPr>
            </w:pPr>
            <w:r w:rsidRPr="00F76F5D">
              <w:rPr>
                <w:rFonts w:cs="Arial"/>
                <w:color w:val="000000"/>
                <w:sz w:val="20"/>
                <w:szCs w:val="24"/>
              </w:rPr>
              <w:t>73.0%</w:t>
            </w:r>
          </w:p>
        </w:tc>
        <w:tc>
          <w:tcPr>
            <w:tcW w:w="829" w:type="dxa"/>
            <w:vAlign w:val="bottom"/>
          </w:tcPr>
          <w:p w14:paraId="365E18F8" w14:textId="77777777" w:rsidR="00F76F5D" w:rsidRPr="00F76F5D" w:rsidRDefault="00F76F5D" w:rsidP="00AC5B73">
            <w:pPr>
              <w:jc w:val="right"/>
              <w:rPr>
                <w:rFonts w:cs="Arial"/>
                <w:color w:val="000000"/>
                <w:sz w:val="20"/>
                <w:szCs w:val="24"/>
              </w:rPr>
            </w:pPr>
            <w:r w:rsidRPr="00F76F5D">
              <w:rPr>
                <w:rFonts w:cs="Arial"/>
                <w:color w:val="000000"/>
                <w:sz w:val="20"/>
                <w:szCs w:val="24"/>
              </w:rPr>
              <w:t>72.9%</w:t>
            </w:r>
          </w:p>
        </w:tc>
        <w:tc>
          <w:tcPr>
            <w:tcW w:w="828" w:type="dxa"/>
            <w:vAlign w:val="bottom"/>
          </w:tcPr>
          <w:p w14:paraId="52F0B0EB" w14:textId="77777777" w:rsidR="00F76F5D" w:rsidRPr="00F76F5D" w:rsidRDefault="00F76F5D" w:rsidP="00AC5B73">
            <w:pPr>
              <w:jc w:val="right"/>
              <w:rPr>
                <w:rFonts w:cs="Arial"/>
                <w:color w:val="000000"/>
                <w:sz w:val="20"/>
                <w:szCs w:val="24"/>
              </w:rPr>
            </w:pPr>
            <w:r w:rsidRPr="00F76F5D">
              <w:rPr>
                <w:rFonts w:cs="Arial"/>
                <w:color w:val="000000"/>
                <w:sz w:val="20"/>
                <w:szCs w:val="24"/>
              </w:rPr>
              <w:t>72.6%</w:t>
            </w:r>
          </w:p>
        </w:tc>
        <w:tc>
          <w:tcPr>
            <w:tcW w:w="829" w:type="dxa"/>
            <w:vAlign w:val="bottom"/>
          </w:tcPr>
          <w:p w14:paraId="76C00481" w14:textId="77777777" w:rsidR="00F76F5D" w:rsidRPr="00F76F5D" w:rsidRDefault="00F76F5D" w:rsidP="00AC5B73">
            <w:pPr>
              <w:jc w:val="right"/>
              <w:rPr>
                <w:rFonts w:cs="Arial"/>
                <w:color w:val="000000"/>
                <w:sz w:val="20"/>
                <w:szCs w:val="24"/>
              </w:rPr>
            </w:pPr>
            <w:r w:rsidRPr="00F76F5D">
              <w:rPr>
                <w:rFonts w:cs="Arial"/>
                <w:color w:val="000000"/>
                <w:sz w:val="20"/>
                <w:szCs w:val="24"/>
              </w:rPr>
              <w:t>73.8%</w:t>
            </w:r>
          </w:p>
        </w:tc>
        <w:tc>
          <w:tcPr>
            <w:tcW w:w="828" w:type="dxa"/>
            <w:vAlign w:val="bottom"/>
          </w:tcPr>
          <w:p w14:paraId="3F79C099" w14:textId="77777777" w:rsidR="00F76F5D" w:rsidRPr="00F76F5D" w:rsidRDefault="00F76F5D" w:rsidP="00AC5B73">
            <w:pPr>
              <w:jc w:val="right"/>
              <w:rPr>
                <w:rFonts w:cs="Arial"/>
                <w:color w:val="000000"/>
                <w:sz w:val="20"/>
                <w:szCs w:val="24"/>
              </w:rPr>
            </w:pPr>
            <w:r w:rsidRPr="00F76F5D">
              <w:rPr>
                <w:rFonts w:cs="Arial"/>
                <w:color w:val="000000"/>
                <w:sz w:val="20"/>
                <w:szCs w:val="24"/>
              </w:rPr>
              <w:t>74.0%</w:t>
            </w:r>
          </w:p>
        </w:tc>
        <w:tc>
          <w:tcPr>
            <w:tcW w:w="829" w:type="dxa"/>
            <w:vAlign w:val="bottom"/>
          </w:tcPr>
          <w:p w14:paraId="3CDE919D" w14:textId="77777777" w:rsidR="00F76F5D" w:rsidRPr="00F76F5D" w:rsidRDefault="00F76F5D" w:rsidP="00AC5B73">
            <w:pPr>
              <w:jc w:val="right"/>
              <w:rPr>
                <w:rFonts w:cs="Arial"/>
                <w:color w:val="000000"/>
                <w:sz w:val="20"/>
                <w:szCs w:val="24"/>
              </w:rPr>
            </w:pPr>
            <w:r w:rsidRPr="00F76F5D">
              <w:rPr>
                <w:rFonts w:cs="Arial"/>
                <w:color w:val="000000"/>
                <w:sz w:val="20"/>
                <w:szCs w:val="24"/>
              </w:rPr>
              <w:t>72.7%</w:t>
            </w:r>
          </w:p>
        </w:tc>
        <w:tc>
          <w:tcPr>
            <w:tcW w:w="829" w:type="dxa"/>
            <w:vAlign w:val="bottom"/>
          </w:tcPr>
          <w:p w14:paraId="4184FA51" w14:textId="77777777" w:rsidR="00F76F5D" w:rsidRPr="00F76F5D" w:rsidRDefault="00F76F5D" w:rsidP="00AC5B73">
            <w:pPr>
              <w:jc w:val="right"/>
              <w:rPr>
                <w:rFonts w:cs="Arial"/>
                <w:color w:val="000000"/>
                <w:sz w:val="20"/>
                <w:szCs w:val="24"/>
              </w:rPr>
            </w:pPr>
            <w:r w:rsidRPr="00F76F5D">
              <w:rPr>
                <w:rFonts w:cs="Arial"/>
                <w:color w:val="000000"/>
                <w:sz w:val="20"/>
                <w:szCs w:val="24"/>
              </w:rPr>
              <w:t>72.7%</w:t>
            </w:r>
          </w:p>
        </w:tc>
        <w:tc>
          <w:tcPr>
            <w:tcW w:w="828" w:type="dxa"/>
            <w:vAlign w:val="bottom"/>
          </w:tcPr>
          <w:p w14:paraId="2583DDCE" w14:textId="77777777" w:rsidR="00F76F5D" w:rsidRPr="00F76F5D" w:rsidRDefault="00F76F5D" w:rsidP="00AC5B73">
            <w:pPr>
              <w:jc w:val="right"/>
              <w:rPr>
                <w:rFonts w:cs="Arial"/>
                <w:color w:val="000000"/>
                <w:sz w:val="20"/>
                <w:szCs w:val="24"/>
              </w:rPr>
            </w:pPr>
            <w:r w:rsidRPr="00F76F5D">
              <w:rPr>
                <w:rFonts w:cs="Arial"/>
                <w:color w:val="000000"/>
                <w:sz w:val="20"/>
                <w:szCs w:val="24"/>
              </w:rPr>
              <w:t>71.4%</w:t>
            </w:r>
          </w:p>
        </w:tc>
        <w:tc>
          <w:tcPr>
            <w:tcW w:w="829" w:type="dxa"/>
            <w:vAlign w:val="bottom"/>
          </w:tcPr>
          <w:p w14:paraId="4EE0DC49" w14:textId="77777777" w:rsidR="00F76F5D" w:rsidRPr="00F76F5D" w:rsidRDefault="00F76F5D" w:rsidP="00AC5B73">
            <w:pPr>
              <w:jc w:val="right"/>
              <w:rPr>
                <w:rFonts w:cs="Arial"/>
                <w:color w:val="000000"/>
                <w:sz w:val="20"/>
                <w:szCs w:val="24"/>
              </w:rPr>
            </w:pPr>
            <w:r w:rsidRPr="00F76F5D">
              <w:rPr>
                <w:rFonts w:cs="Arial"/>
                <w:color w:val="000000"/>
                <w:sz w:val="20"/>
                <w:szCs w:val="24"/>
              </w:rPr>
              <w:t>73.8%</w:t>
            </w:r>
          </w:p>
        </w:tc>
        <w:tc>
          <w:tcPr>
            <w:tcW w:w="828" w:type="dxa"/>
            <w:vAlign w:val="bottom"/>
          </w:tcPr>
          <w:p w14:paraId="236FBC0E" w14:textId="77777777" w:rsidR="00F76F5D" w:rsidRPr="00F76F5D" w:rsidRDefault="00F76F5D" w:rsidP="00AC5B73">
            <w:pPr>
              <w:jc w:val="right"/>
              <w:rPr>
                <w:rFonts w:cs="Arial"/>
                <w:color w:val="000000"/>
                <w:sz w:val="20"/>
                <w:szCs w:val="24"/>
              </w:rPr>
            </w:pPr>
            <w:r w:rsidRPr="00F76F5D">
              <w:rPr>
                <w:rFonts w:cs="Arial"/>
                <w:color w:val="000000"/>
                <w:sz w:val="20"/>
                <w:szCs w:val="24"/>
              </w:rPr>
              <w:t>74.2%</w:t>
            </w:r>
          </w:p>
        </w:tc>
        <w:tc>
          <w:tcPr>
            <w:tcW w:w="829" w:type="dxa"/>
            <w:vAlign w:val="bottom"/>
          </w:tcPr>
          <w:p w14:paraId="108E2F45" w14:textId="77777777" w:rsidR="00F76F5D" w:rsidRPr="00F76F5D" w:rsidRDefault="00F76F5D" w:rsidP="00AC5B73">
            <w:pPr>
              <w:jc w:val="right"/>
              <w:rPr>
                <w:rFonts w:cs="Arial"/>
                <w:color w:val="000000"/>
                <w:sz w:val="20"/>
                <w:szCs w:val="24"/>
              </w:rPr>
            </w:pPr>
            <w:r w:rsidRPr="00F76F5D">
              <w:rPr>
                <w:rFonts w:cs="Arial"/>
                <w:color w:val="000000"/>
                <w:sz w:val="20"/>
                <w:szCs w:val="24"/>
              </w:rPr>
              <w:t>75.0%</w:t>
            </w:r>
          </w:p>
        </w:tc>
        <w:tc>
          <w:tcPr>
            <w:tcW w:w="829" w:type="dxa"/>
            <w:vAlign w:val="bottom"/>
          </w:tcPr>
          <w:p w14:paraId="2A894577" w14:textId="06C18C2A" w:rsidR="00F76F5D" w:rsidRPr="00F76F5D" w:rsidRDefault="00F76F5D" w:rsidP="00AC5B73">
            <w:pPr>
              <w:jc w:val="right"/>
              <w:rPr>
                <w:rFonts w:cs="Arial"/>
                <w:color w:val="000000"/>
                <w:sz w:val="20"/>
                <w:szCs w:val="24"/>
              </w:rPr>
            </w:pPr>
            <w:r>
              <w:rPr>
                <w:rFonts w:cs="Arial"/>
                <w:color w:val="000000"/>
                <w:sz w:val="20"/>
                <w:szCs w:val="24"/>
              </w:rPr>
              <w:t>74.8</w:t>
            </w:r>
            <w:r w:rsidRPr="00F76F5D">
              <w:rPr>
                <w:rFonts w:cs="Arial"/>
                <w:color w:val="000000"/>
                <w:sz w:val="20"/>
                <w:szCs w:val="24"/>
              </w:rPr>
              <w:t>%</w:t>
            </w:r>
          </w:p>
        </w:tc>
      </w:tr>
      <w:tr w:rsidR="00F76F5D" w:rsidRPr="00F76F5D" w14:paraId="1B48EC6E" w14:textId="3FFD5608" w:rsidTr="00F76F5D">
        <w:tc>
          <w:tcPr>
            <w:tcW w:w="1045" w:type="dxa"/>
          </w:tcPr>
          <w:p w14:paraId="664F7ACE" w14:textId="77777777" w:rsidR="00F76F5D" w:rsidRPr="00F76F5D" w:rsidRDefault="00F76F5D" w:rsidP="00AC5B73">
            <w:pPr>
              <w:rPr>
                <w:rFonts w:cs="Arial"/>
                <w:b/>
                <w:sz w:val="24"/>
                <w:szCs w:val="24"/>
              </w:rPr>
            </w:pPr>
            <w:r w:rsidRPr="00F76F5D">
              <w:rPr>
                <w:rFonts w:cs="Arial"/>
                <w:b/>
                <w:sz w:val="24"/>
                <w:szCs w:val="24"/>
              </w:rPr>
              <w:t>Male</w:t>
            </w:r>
          </w:p>
        </w:tc>
        <w:tc>
          <w:tcPr>
            <w:tcW w:w="828" w:type="dxa"/>
            <w:vAlign w:val="bottom"/>
          </w:tcPr>
          <w:p w14:paraId="122723DB" w14:textId="77777777" w:rsidR="00F76F5D" w:rsidRPr="00F76F5D" w:rsidRDefault="00F76F5D" w:rsidP="00AC5B73">
            <w:pPr>
              <w:jc w:val="right"/>
              <w:rPr>
                <w:rFonts w:cs="Arial"/>
                <w:color w:val="000000"/>
                <w:sz w:val="20"/>
                <w:szCs w:val="24"/>
              </w:rPr>
            </w:pPr>
            <w:r w:rsidRPr="00F76F5D">
              <w:rPr>
                <w:rFonts w:cs="Arial"/>
                <w:color w:val="000000"/>
                <w:sz w:val="20"/>
                <w:szCs w:val="24"/>
              </w:rPr>
              <w:t>27.0%</w:t>
            </w:r>
          </w:p>
        </w:tc>
        <w:tc>
          <w:tcPr>
            <w:tcW w:w="829" w:type="dxa"/>
            <w:vAlign w:val="bottom"/>
          </w:tcPr>
          <w:p w14:paraId="02973512" w14:textId="77777777" w:rsidR="00F76F5D" w:rsidRPr="00F76F5D" w:rsidRDefault="00F76F5D" w:rsidP="00AC5B73">
            <w:pPr>
              <w:jc w:val="right"/>
              <w:rPr>
                <w:rFonts w:cs="Arial"/>
                <w:color w:val="000000"/>
                <w:sz w:val="20"/>
                <w:szCs w:val="24"/>
              </w:rPr>
            </w:pPr>
            <w:r w:rsidRPr="00F76F5D">
              <w:rPr>
                <w:rFonts w:cs="Arial"/>
                <w:color w:val="000000"/>
                <w:sz w:val="20"/>
                <w:szCs w:val="24"/>
              </w:rPr>
              <w:t>27.1%</w:t>
            </w:r>
          </w:p>
        </w:tc>
        <w:tc>
          <w:tcPr>
            <w:tcW w:w="828" w:type="dxa"/>
            <w:vAlign w:val="bottom"/>
          </w:tcPr>
          <w:p w14:paraId="7DDBA2F7" w14:textId="77777777" w:rsidR="00F76F5D" w:rsidRPr="00F76F5D" w:rsidRDefault="00F76F5D" w:rsidP="00AC5B73">
            <w:pPr>
              <w:jc w:val="right"/>
              <w:rPr>
                <w:rFonts w:cs="Arial"/>
                <w:color w:val="000000"/>
                <w:sz w:val="20"/>
                <w:szCs w:val="24"/>
              </w:rPr>
            </w:pPr>
            <w:r w:rsidRPr="00F76F5D">
              <w:rPr>
                <w:rFonts w:cs="Arial"/>
                <w:color w:val="000000"/>
                <w:sz w:val="20"/>
                <w:szCs w:val="24"/>
              </w:rPr>
              <w:t>27.4%</w:t>
            </w:r>
          </w:p>
        </w:tc>
        <w:tc>
          <w:tcPr>
            <w:tcW w:w="829" w:type="dxa"/>
            <w:vAlign w:val="bottom"/>
          </w:tcPr>
          <w:p w14:paraId="6E07DD1C" w14:textId="77777777" w:rsidR="00F76F5D" w:rsidRPr="00F76F5D" w:rsidRDefault="00F76F5D" w:rsidP="00AC5B73">
            <w:pPr>
              <w:jc w:val="right"/>
              <w:rPr>
                <w:rFonts w:cs="Arial"/>
                <w:color w:val="000000"/>
                <w:sz w:val="20"/>
                <w:szCs w:val="24"/>
              </w:rPr>
            </w:pPr>
            <w:r w:rsidRPr="00F76F5D">
              <w:rPr>
                <w:rFonts w:cs="Arial"/>
                <w:color w:val="000000"/>
                <w:sz w:val="20"/>
                <w:szCs w:val="24"/>
              </w:rPr>
              <w:t>26.2%</w:t>
            </w:r>
          </w:p>
        </w:tc>
        <w:tc>
          <w:tcPr>
            <w:tcW w:w="828" w:type="dxa"/>
            <w:vAlign w:val="bottom"/>
          </w:tcPr>
          <w:p w14:paraId="3EBA63FF" w14:textId="77777777" w:rsidR="00F76F5D" w:rsidRPr="00F76F5D" w:rsidRDefault="00F76F5D" w:rsidP="00AC5B73">
            <w:pPr>
              <w:jc w:val="right"/>
              <w:rPr>
                <w:rFonts w:cs="Arial"/>
                <w:color w:val="000000"/>
                <w:sz w:val="20"/>
                <w:szCs w:val="24"/>
              </w:rPr>
            </w:pPr>
            <w:r w:rsidRPr="00F76F5D">
              <w:rPr>
                <w:rFonts w:cs="Arial"/>
                <w:color w:val="000000"/>
                <w:sz w:val="20"/>
                <w:szCs w:val="24"/>
              </w:rPr>
              <w:t>26.0%</w:t>
            </w:r>
          </w:p>
        </w:tc>
        <w:tc>
          <w:tcPr>
            <w:tcW w:w="829" w:type="dxa"/>
            <w:vAlign w:val="bottom"/>
          </w:tcPr>
          <w:p w14:paraId="0F9B0BFA" w14:textId="77777777" w:rsidR="00F76F5D" w:rsidRPr="00F76F5D" w:rsidRDefault="00F76F5D" w:rsidP="00AC5B73">
            <w:pPr>
              <w:jc w:val="right"/>
              <w:rPr>
                <w:rFonts w:cs="Arial"/>
                <w:color w:val="000000"/>
                <w:sz w:val="20"/>
                <w:szCs w:val="24"/>
              </w:rPr>
            </w:pPr>
            <w:r w:rsidRPr="00F76F5D">
              <w:rPr>
                <w:rFonts w:cs="Arial"/>
                <w:color w:val="000000"/>
                <w:sz w:val="20"/>
                <w:szCs w:val="24"/>
              </w:rPr>
              <w:t>27.3%</w:t>
            </w:r>
          </w:p>
        </w:tc>
        <w:tc>
          <w:tcPr>
            <w:tcW w:w="829" w:type="dxa"/>
            <w:vAlign w:val="bottom"/>
          </w:tcPr>
          <w:p w14:paraId="4A271D3B" w14:textId="77777777" w:rsidR="00F76F5D" w:rsidRPr="00F76F5D" w:rsidRDefault="00F76F5D" w:rsidP="00AC5B73">
            <w:pPr>
              <w:jc w:val="right"/>
              <w:rPr>
                <w:rFonts w:cs="Arial"/>
                <w:color w:val="000000"/>
                <w:sz w:val="20"/>
                <w:szCs w:val="24"/>
              </w:rPr>
            </w:pPr>
            <w:r w:rsidRPr="00F76F5D">
              <w:rPr>
                <w:rFonts w:cs="Arial"/>
                <w:color w:val="000000"/>
                <w:sz w:val="20"/>
                <w:szCs w:val="24"/>
              </w:rPr>
              <w:t>27.3%</w:t>
            </w:r>
          </w:p>
        </w:tc>
        <w:tc>
          <w:tcPr>
            <w:tcW w:w="828" w:type="dxa"/>
            <w:vAlign w:val="bottom"/>
          </w:tcPr>
          <w:p w14:paraId="59994F1A" w14:textId="77777777" w:rsidR="00F76F5D" w:rsidRPr="00F76F5D" w:rsidRDefault="00F76F5D" w:rsidP="00AC5B73">
            <w:pPr>
              <w:jc w:val="right"/>
              <w:rPr>
                <w:rFonts w:cs="Arial"/>
                <w:color w:val="000000"/>
                <w:sz w:val="20"/>
                <w:szCs w:val="24"/>
              </w:rPr>
            </w:pPr>
            <w:r w:rsidRPr="00F76F5D">
              <w:rPr>
                <w:rFonts w:cs="Arial"/>
                <w:color w:val="000000"/>
                <w:sz w:val="20"/>
                <w:szCs w:val="24"/>
              </w:rPr>
              <w:t>28.6%</w:t>
            </w:r>
          </w:p>
        </w:tc>
        <w:tc>
          <w:tcPr>
            <w:tcW w:w="829" w:type="dxa"/>
            <w:vAlign w:val="bottom"/>
          </w:tcPr>
          <w:p w14:paraId="697C7D26" w14:textId="77777777" w:rsidR="00F76F5D" w:rsidRPr="00F76F5D" w:rsidRDefault="00F76F5D" w:rsidP="00AC5B73">
            <w:pPr>
              <w:jc w:val="right"/>
              <w:rPr>
                <w:rFonts w:cs="Arial"/>
                <w:color w:val="000000"/>
                <w:sz w:val="20"/>
                <w:szCs w:val="24"/>
              </w:rPr>
            </w:pPr>
            <w:r w:rsidRPr="00F76F5D">
              <w:rPr>
                <w:rFonts w:cs="Arial"/>
                <w:color w:val="000000"/>
                <w:sz w:val="20"/>
                <w:szCs w:val="24"/>
              </w:rPr>
              <w:t>26.2%</w:t>
            </w:r>
          </w:p>
        </w:tc>
        <w:tc>
          <w:tcPr>
            <w:tcW w:w="828" w:type="dxa"/>
            <w:vAlign w:val="bottom"/>
          </w:tcPr>
          <w:p w14:paraId="67D9F970" w14:textId="77777777" w:rsidR="00F76F5D" w:rsidRPr="00F76F5D" w:rsidRDefault="00F76F5D" w:rsidP="00AC5B73">
            <w:pPr>
              <w:jc w:val="right"/>
              <w:rPr>
                <w:rFonts w:cs="Arial"/>
                <w:color w:val="000000"/>
                <w:sz w:val="20"/>
                <w:szCs w:val="24"/>
              </w:rPr>
            </w:pPr>
            <w:r w:rsidRPr="00F76F5D">
              <w:rPr>
                <w:rFonts w:cs="Arial"/>
                <w:color w:val="000000"/>
                <w:sz w:val="20"/>
                <w:szCs w:val="24"/>
              </w:rPr>
              <w:t>25.8%</w:t>
            </w:r>
          </w:p>
        </w:tc>
        <w:tc>
          <w:tcPr>
            <w:tcW w:w="829" w:type="dxa"/>
            <w:vAlign w:val="bottom"/>
          </w:tcPr>
          <w:p w14:paraId="30432756" w14:textId="77777777" w:rsidR="00F76F5D" w:rsidRPr="00F76F5D" w:rsidRDefault="00F76F5D" w:rsidP="00AC5B73">
            <w:pPr>
              <w:jc w:val="right"/>
              <w:rPr>
                <w:rFonts w:cs="Arial"/>
                <w:color w:val="000000"/>
                <w:sz w:val="20"/>
                <w:szCs w:val="24"/>
              </w:rPr>
            </w:pPr>
            <w:r w:rsidRPr="00F76F5D">
              <w:rPr>
                <w:rFonts w:cs="Arial"/>
                <w:color w:val="000000"/>
                <w:sz w:val="20"/>
                <w:szCs w:val="24"/>
              </w:rPr>
              <w:t>25.0%</w:t>
            </w:r>
          </w:p>
        </w:tc>
        <w:tc>
          <w:tcPr>
            <w:tcW w:w="829" w:type="dxa"/>
            <w:vAlign w:val="bottom"/>
          </w:tcPr>
          <w:p w14:paraId="74DA4A11" w14:textId="4A586EDF" w:rsidR="00F76F5D" w:rsidRPr="00F76F5D" w:rsidRDefault="00F76F5D" w:rsidP="00AC5B73">
            <w:pPr>
              <w:jc w:val="right"/>
              <w:rPr>
                <w:rFonts w:cs="Arial"/>
                <w:color w:val="000000"/>
                <w:sz w:val="20"/>
                <w:szCs w:val="24"/>
              </w:rPr>
            </w:pPr>
            <w:r>
              <w:rPr>
                <w:rFonts w:cs="Arial"/>
                <w:color w:val="000000"/>
                <w:sz w:val="20"/>
                <w:szCs w:val="24"/>
              </w:rPr>
              <w:t>25.2</w:t>
            </w:r>
            <w:r w:rsidRPr="00F76F5D">
              <w:rPr>
                <w:rFonts w:cs="Arial"/>
                <w:color w:val="000000"/>
                <w:sz w:val="20"/>
                <w:szCs w:val="24"/>
              </w:rPr>
              <w:t>%</w:t>
            </w:r>
          </w:p>
        </w:tc>
      </w:tr>
    </w:tbl>
    <w:p w14:paraId="57A2F7CC" w14:textId="78702A21" w:rsidR="003A01CA" w:rsidRDefault="003A01CA" w:rsidP="00AC5B73">
      <w:pPr>
        <w:rPr>
          <w:rFonts w:cs="Arial"/>
          <w:szCs w:val="24"/>
        </w:rPr>
      </w:pPr>
    </w:p>
    <w:p w14:paraId="22094406" w14:textId="5C2BAEC2" w:rsidR="006306C2" w:rsidRPr="00705A09" w:rsidRDefault="00F76F5D" w:rsidP="00AC5B73">
      <w:pPr>
        <w:rPr>
          <w:rFonts w:cs="Arial"/>
          <w:szCs w:val="24"/>
        </w:rPr>
      </w:pPr>
      <w:r>
        <w:rPr>
          <w:noProof/>
          <w:lang w:eastAsia="en-GB"/>
        </w:rPr>
        <w:drawing>
          <wp:inline distT="0" distB="0" distL="0" distR="0" wp14:anchorId="000C11B2" wp14:editId="075739D2">
            <wp:extent cx="6840000" cy="2160000"/>
            <wp:effectExtent l="0" t="0" r="18415" b="12065"/>
            <wp:docPr id="65" name="Chart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88357C5" w14:textId="77777777" w:rsidR="004F4E44" w:rsidRPr="00705A09" w:rsidRDefault="004F4E44" w:rsidP="00AC5B73">
      <w:pPr>
        <w:rPr>
          <w:rFonts w:cs="Arial"/>
          <w:szCs w:val="24"/>
        </w:rPr>
      </w:pPr>
    </w:p>
    <w:p w14:paraId="41CB063F" w14:textId="257BDCD5" w:rsidR="00660719" w:rsidRPr="00705A09" w:rsidRDefault="00660719" w:rsidP="00AC5B73">
      <w:pPr>
        <w:rPr>
          <w:rFonts w:cs="Arial"/>
          <w:szCs w:val="24"/>
        </w:rPr>
      </w:pPr>
      <w:r w:rsidRPr="00705A09">
        <w:rPr>
          <w:rFonts w:cs="Arial"/>
          <w:szCs w:val="24"/>
        </w:rPr>
        <w:t xml:space="preserve">While </w:t>
      </w:r>
      <w:r w:rsidR="002B3444">
        <w:rPr>
          <w:rFonts w:cs="Arial"/>
          <w:szCs w:val="24"/>
        </w:rPr>
        <w:t>sex</w:t>
      </w:r>
      <w:r w:rsidR="00DB12CA" w:rsidRPr="00705A09">
        <w:rPr>
          <w:rFonts w:cs="Arial"/>
          <w:szCs w:val="24"/>
        </w:rPr>
        <w:t xml:space="preserve"> split within the Board is </w:t>
      </w:r>
      <w:r w:rsidR="00F76F5D">
        <w:rPr>
          <w:rFonts w:cs="Arial"/>
          <w:szCs w:val="24"/>
        </w:rPr>
        <w:t>74.8</w:t>
      </w:r>
      <w:r w:rsidR="00DB12CA" w:rsidRPr="00705A09">
        <w:rPr>
          <w:rFonts w:cs="Arial"/>
          <w:szCs w:val="24"/>
        </w:rPr>
        <w:t xml:space="preserve">% female to </w:t>
      </w:r>
      <w:r w:rsidR="00F76F5D">
        <w:rPr>
          <w:rFonts w:cs="Arial"/>
          <w:szCs w:val="24"/>
        </w:rPr>
        <w:t>25.2</w:t>
      </w:r>
      <w:r w:rsidRPr="00705A09">
        <w:rPr>
          <w:rFonts w:cs="Arial"/>
          <w:szCs w:val="24"/>
        </w:rPr>
        <w:t xml:space="preserve">% male, across Scotland as a whole the </w:t>
      </w:r>
      <w:r w:rsidR="00CB300A" w:rsidRPr="00705A09">
        <w:rPr>
          <w:rFonts w:cs="Arial"/>
          <w:szCs w:val="24"/>
        </w:rPr>
        <w:t>Scottish Government’s</w:t>
      </w:r>
      <w:r w:rsidR="00A95236" w:rsidRPr="00705A09">
        <w:rPr>
          <w:rFonts w:cs="Arial"/>
          <w:szCs w:val="24"/>
        </w:rPr>
        <w:t xml:space="preserve"> statistics </w:t>
      </w:r>
      <w:r w:rsidRPr="00705A09">
        <w:rPr>
          <w:rFonts w:cs="Arial"/>
          <w:szCs w:val="24"/>
        </w:rPr>
        <w:t>website (</w:t>
      </w:r>
      <w:hyperlink r:id="rId47" w:history="1">
        <w:r w:rsidR="00CB300A" w:rsidRPr="00705A09">
          <w:rPr>
            <w:rStyle w:val="Hyperlink"/>
            <w:rFonts w:cs="Arial"/>
            <w:szCs w:val="24"/>
          </w:rPr>
          <w:t>https://statistics.gov.scot/home</w:t>
        </w:r>
      </w:hyperlink>
      <w:r w:rsidRPr="00705A09">
        <w:rPr>
          <w:rFonts w:cs="Arial"/>
          <w:szCs w:val="24"/>
        </w:rPr>
        <w:t xml:space="preserve">) forecast that </w:t>
      </w:r>
      <w:r w:rsidR="00A95236" w:rsidRPr="00705A09">
        <w:rPr>
          <w:rFonts w:cs="Arial"/>
          <w:szCs w:val="24"/>
        </w:rPr>
        <w:t>as at 30 June 2</w:t>
      </w:r>
      <w:r w:rsidR="004425A1" w:rsidRPr="00705A09">
        <w:rPr>
          <w:rFonts w:cs="Arial"/>
          <w:szCs w:val="24"/>
        </w:rPr>
        <w:t>019</w:t>
      </w:r>
      <w:r w:rsidR="00A95236" w:rsidRPr="00705A09">
        <w:rPr>
          <w:rFonts w:cs="Arial"/>
          <w:szCs w:val="24"/>
        </w:rPr>
        <w:t xml:space="preserve"> </w:t>
      </w:r>
      <w:r w:rsidR="00092749" w:rsidRPr="00705A09">
        <w:rPr>
          <w:rFonts w:cs="Arial"/>
          <w:szCs w:val="24"/>
        </w:rPr>
        <w:t xml:space="preserve">(the latest date the forecast is available) </w:t>
      </w:r>
      <w:r w:rsidR="00A95236" w:rsidRPr="00705A09">
        <w:rPr>
          <w:rFonts w:cs="Arial"/>
          <w:szCs w:val="24"/>
        </w:rPr>
        <w:t xml:space="preserve">the split </w:t>
      </w:r>
      <w:r w:rsidR="00CB300A" w:rsidRPr="00705A09">
        <w:rPr>
          <w:rFonts w:cs="Arial"/>
          <w:szCs w:val="24"/>
        </w:rPr>
        <w:t xml:space="preserve">for working age people (aged 16 to 64) </w:t>
      </w:r>
      <w:r w:rsidR="00A95236" w:rsidRPr="00705A09">
        <w:rPr>
          <w:rFonts w:cs="Arial"/>
          <w:szCs w:val="24"/>
        </w:rPr>
        <w:t>wo</w:t>
      </w:r>
      <w:r w:rsidR="00CB300A" w:rsidRPr="00705A09">
        <w:rPr>
          <w:rFonts w:cs="Arial"/>
          <w:szCs w:val="24"/>
        </w:rPr>
        <w:t>uld be 50.8</w:t>
      </w:r>
      <w:r w:rsidR="00DB12CA" w:rsidRPr="00705A09">
        <w:rPr>
          <w:rFonts w:cs="Arial"/>
          <w:szCs w:val="24"/>
        </w:rPr>
        <w:t xml:space="preserve">% female and </w:t>
      </w:r>
      <w:r w:rsidR="004425A1" w:rsidRPr="00705A09">
        <w:rPr>
          <w:rFonts w:cs="Arial"/>
          <w:szCs w:val="24"/>
        </w:rPr>
        <w:t>4</w:t>
      </w:r>
      <w:r w:rsidR="00CB300A" w:rsidRPr="00705A09">
        <w:rPr>
          <w:rFonts w:cs="Arial"/>
          <w:szCs w:val="24"/>
        </w:rPr>
        <w:t>9.2</w:t>
      </w:r>
      <w:r w:rsidRPr="00705A09">
        <w:rPr>
          <w:rFonts w:cs="Arial"/>
          <w:szCs w:val="24"/>
        </w:rPr>
        <w:t>% male.</w:t>
      </w:r>
      <w:r w:rsidR="00901CC7" w:rsidRPr="00705A09">
        <w:rPr>
          <w:rFonts w:cs="Arial"/>
          <w:szCs w:val="24"/>
        </w:rPr>
        <w:t xml:space="preserve"> </w:t>
      </w:r>
      <w:r w:rsidRPr="00705A09">
        <w:rPr>
          <w:rFonts w:cs="Arial"/>
          <w:szCs w:val="24"/>
        </w:rPr>
        <w:t xml:space="preserve">Closer to home the </w:t>
      </w:r>
      <w:r w:rsidR="002B3444">
        <w:rPr>
          <w:rFonts w:cs="Arial"/>
          <w:szCs w:val="24"/>
        </w:rPr>
        <w:t>sex</w:t>
      </w:r>
      <w:r w:rsidRPr="00705A09">
        <w:rPr>
          <w:rFonts w:cs="Arial"/>
          <w:szCs w:val="24"/>
        </w:rPr>
        <w:t xml:space="preserve"> split for the </w:t>
      </w:r>
      <w:r w:rsidR="00A95236" w:rsidRPr="00705A09">
        <w:rPr>
          <w:rFonts w:cs="Arial"/>
          <w:szCs w:val="24"/>
        </w:rPr>
        <w:t>population of the</w:t>
      </w:r>
      <w:r w:rsidR="004425A1" w:rsidRPr="00705A09">
        <w:rPr>
          <w:rFonts w:cs="Arial"/>
          <w:szCs w:val="24"/>
        </w:rPr>
        <w:t xml:space="preserve"> </w:t>
      </w:r>
      <w:r w:rsidRPr="00705A09">
        <w:rPr>
          <w:rFonts w:cs="Arial"/>
          <w:szCs w:val="24"/>
        </w:rPr>
        <w:t xml:space="preserve">West Dunbartonshire Council area (in which </w:t>
      </w:r>
      <w:r w:rsidR="00E52910">
        <w:rPr>
          <w:rFonts w:cs="Arial"/>
          <w:szCs w:val="24"/>
        </w:rPr>
        <w:t>NHS GJ</w:t>
      </w:r>
      <w:r w:rsidRPr="00705A09">
        <w:rPr>
          <w:rFonts w:cs="Arial"/>
          <w:szCs w:val="24"/>
        </w:rPr>
        <w:t xml:space="preserve"> is situated) </w:t>
      </w:r>
      <w:r w:rsidR="004425A1" w:rsidRPr="00705A09">
        <w:rPr>
          <w:rFonts w:cs="Arial"/>
          <w:szCs w:val="24"/>
        </w:rPr>
        <w:t>on 30 June 2019</w:t>
      </w:r>
      <w:r w:rsidR="00DB12CA" w:rsidRPr="00705A09">
        <w:rPr>
          <w:rFonts w:cs="Arial"/>
          <w:szCs w:val="24"/>
        </w:rPr>
        <w:t xml:space="preserve"> was </w:t>
      </w:r>
      <w:r w:rsidR="00A95236" w:rsidRPr="00705A09">
        <w:rPr>
          <w:rFonts w:cs="Arial"/>
          <w:szCs w:val="24"/>
        </w:rPr>
        <w:t xml:space="preserve">forecast to be </w:t>
      </w:r>
      <w:r w:rsidR="00CB300A" w:rsidRPr="00705A09">
        <w:rPr>
          <w:rFonts w:cs="Arial"/>
          <w:szCs w:val="24"/>
        </w:rPr>
        <w:t>52.0</w:t>
      </w:r>
      <w:r w:rsidR="004425A1" w:rsidRPr="00705A09">
        <w:rPr>
          <w:rFonts w:cs="Arial"/>
          <w:szCs w:val="24"/>
        </w:rPr>
        <w:t xml:space="preserve">% female to </w:t>
      </w:r>
      <w:r w:rsidR="00CB300A" w:rsidRPr="00705A09">
        <w:rPr>
          <w:rFonts w:cs="Arial"/>
          <w:szCs w:val="24"/>
        </w:rPr>
        <w:t>48.0</w:t>
      </w:r>
      <w:r w:rsidR="00A95236" w:rsidRPr="00705A09">
        <w:rPr>
          <w:rFonts w:cs="Arial"/>
          <w:szCs w:val="24"/>
        </w:rPr>
        <w:t>% male</w:t>
      </w:r>
      <w:r w:rsidR="00CB300A" w:rsidRPr="00705A09">
        <w:rPr>
          <w:rFonts w:cs="Arial"/>
          <w:szCs w:val="24"/>
        </w:rPr>
        <w:t xml:space="preserve"> for the working age population</w:t>
      </w:r>
      <w:r w:rsidR="00A95236" w:rsidRPr="00705A09">
        <w:rPr>
          <w:rFonts w:cs="Arial"/>
          <w:szCs w:val="24"/>
        </w:rPr>
        <w:t>.</w:t>
      </w:r>
    </w:p>
    <w:p w14:paraId="24BB6506" w14:textId="77777777" w:rsidR="00660719" w:rsidRPr="00705A09" w:rsidRDefault="00660719" w:rsidP="00AC5B73">
      <w:pPr>
        <w:rPr>
          <w:rFonts w:cs="Arial"/>
          <w:szCs w:val="24"/>
        </w:rPr>
      </w:pPr>
    </w:p>
    <w:p w14:paraId="441F4B41" w14:textId="77777777" w:rsidR="00A14F45" w:rsidRPr="00705A09" w:rsidRDefault="004C18B7" w:rsidP="00AC5B73">
      <w:pPr>
        <w:rPr>
          <w:rFonts w:cs="Arial"/>
          <w:szCs w:val="24"/>
        </w:rPr>
      </w:pPr>
      <w:r w:rsidRPr="00705A09">
        <w:rPr>
          <w:rFonts w:cs="Arial"/>
          <w:szCs w:val="24"/>
        </w:rPr>
        <w:t xml:space="preserve">As mentioned in the previous paragraph </w:t>
      </w:r>
      <w:r w:rsidR="002B3444">
        <w:rPr>
          <w:rFonts w:cs="Arial"/>
          <w:szCs w:val="24"/>
        </w:rPr>
        <w:t>the</w:t>
      </w:r>
      <w:r w:rsidR="00A14F45" w:rsidRPr="00705A09">
        <w:rPr>
          <w:rFonts w:cs="Arial"/>
          <w:szCs w:val="24"/>
        </w:rPr>
        <w:t xml:space="preserve"> split in Scotland is roughly 50:50</w:t>
      </w:r>
      <w:r w:rsidR="009459C1" w:rsidRPr="00705A09">
        <w:rPr>
          <w:rFonts w:cs="Arial"/>
          <w:szCs w:val="24"/>
        </w:rPr>
        <w:t xml:space="preserve">. </w:t>
      </w:r>
      <w:r w:rsidR="00DB12CA" w:rsidRPr="00705A09">
        <w:rPr>
          <w:rFonts w:cs="Arial"/>
          <w:szCs w:val="24"/>
        </w:rPr>
        <w:t>H</w:t>
      </w:r>
      <w:r w:rsidRPr="00705A09">
        <w:rPr>
          <w:rFonts w:cs="Arial"/>
          <w:szCs w:val="24"/>
        </w:rPr>
        <w:t>owever,</w:t>
      </w:r>
      <w:r w:rsidR="00A14F45" w:rsidRPr="00705A09">
        <w:rPr>
          <w:rFonts w:cs="Arial"/>
          <w:szCs w:val="24"/>
        </w:rPr>
        <w:t xml:space="preserve"> the largest job family in the Board is </w:t>
      </w:r>
      <w:r w:rsidR="004C3883" w:rsidRPr="00705A09">
        <w:rPr>
          <w:rFonts w:cs="Arial"/>
          <w:szCs w:val="24"/>
        </w:rPr>
        <w:t>“</w:t>
      </w:r>
      <w:r w:rsidR="00A14F45" w:rsidRPr="00705A09">
        <w:rPr>
          <w:rFonts w:cs="Arial"/>
          <w:szCs w:val="24"/>
        </w:rPr>
        <w:t>Nursing and Midwifery</w:t>
      </w:r>
      <w:r w:rsidR="004C3883" w:rsidRPr="00705A09">
        <w:rPr>
          <w:rFonts w:cs="Arial"/>
          <w:szCs w:val="24"/>
        </w:rPr>
        <w:t>”</w:t>
      </w:r>
      <w:r w:rsidR="00A14F45" w:rsidRPr="00705A09">
        <w:rPr>
          <w:rFonts w:cs="Arial"/>
          <w:szCs w:val="24"/>
        </w:rPr>
        <w:t xml:space="preserve">, which </w:t>
      </w:r>
      <w:r w:rsidR="00117FDE" w:rsidRPr="00705A09">
        <w:rPr>
          <w:rFonts w:cs="Arial"/>
          <w:szCs w:val="24"/>
        </w:rPr>
        <w:t>has</w:t>
      </w:r>
      <w:r w:rsidR="00A14F45" w:rsidRPr="00705A09">
        <w:rPr>
          <w:rFonts w:cs="Arial"/>
          <w:szCs w:val="24"/>
        </w:rPr>
        <w:t xml:space="preserve"> traditionally </w:t>
      </w:r>
      <w:r w:rsidR="00117FDE" w:rsidRPr="00705A09">
        <w:rPr>
          <w:rFonts w:cs="Arial"/>
          <w:szCs w:val="24"/>
        </w:rPr>
        <w:t xml:space="preserve">been </w:t>
      </w:r>
      <w:r w:rsidR="00A14F45" w:rsidRPr="00705A09">
        <w:rPr>
          <w:rFonts w:cs="Arial"/>
          <w:szCs w:val="24"/>
        </w:rPr>
        <w:t>a female dominated profession, resulting in a higher proportion of female to male staff.</w:t>
      </w:r>
      <w:r w:rsidR="00901CC7" w:rsidRPr="00705A09">
        <w:rPr>
          <w:rFonts w:cs="Arial"/>
          <w:szCs w:val="24"/>
        </w:rPr>
        <w:t xml:space="preserve"> </w:t>
      </w:r>
      <w:r w:rsidR="00A14F45" w:rsidRPr="00705A09">
        <w:rPr>
          <w:rFonts w:cs="Arial"/>
          <w:szCs w:val="24"/>
        </w:rPr>
        <w:t xml:space="preserve">The </w:t>
      </w:r>
      <w:r w:rsidR="00092749" w:rsidRPr="00705A09">
        <w:rPr>
          <w:rFonts w:cs="Arial"/>
          <w:szCs w:val="24"/>
        </w:rPr>
        <w:t>larger</w:t>
      </w:r>
      <w:r w:rsidR="00117FDE" w:rsidRPr="00705A09">
        <w:rPr>
          <w:rFonts w:cs="Arial"/>
          <w:szCs w:val="24"/>
        </w:rPr>
        <w:t xml:space="preserve"> proportion</w:t>
      </w:r>
      <w:r w:rsidR="00A14F45" w:rsidRPr="00705A09">
        <w:rPr>
          <w:rFonts w:cs="Arial"/>
          <w:szCs w:val="24"/>
        </w:rPr>
        <w:t xml:space="preserve"> of job families within the Board have a female majority, with </w:t>
      </w:r>
      <w:r w:rsidR="004C3883" w:rsidRPr="00705A09">
        <w:rPr>
          <w:rFonts w:cs="Arial"/>
          <w:szCs w:val="24"/>
        </w:rPr>
        <w:t>only “Medical and Dental</w:t>
      </w:r>
      <w:r w:rsidR="00092749" w:rsidRPr="00705A09">
        <w:rPr>
          <w:rFonts w:cs="Arial"/>
          <w:szCs w:val="24"/>
        </w:rPr>
        <w:t>” and</w:t>
      </w:r>
      <w:r w:rsidR="004C3883" w:rsidRPr="00705A09">
        <w:rPr>
          <w:rFonts w:cs="Arial"/>
          <w:szCs w:val="24"/>
        </w:rPr>
        <w:t xml:space="preserve"> “Support Services” having more male</w:t>
      </w:r>
      <w:r w:rsidR="006448D5" w:rsidRPr="00705A09">
        <w:rPr>
          <w:rFonts w:cs="Arial"/>
          <w:szCs w:val="24"/>
        </w:rPr>
        <w:t xml:space="preserve"> than female staff:</w:t>
      </w:r>
    </w:p>
    <w:p w14:paraId="7F96DFAA" w14:textId="71335C39" w:rsidR="00092749" w:rsidRDefault="00092749" w:rsidP="00AC5B73">
      <w:pPr>
        <w:rPr>
          <w:rFonts w:cs="Arial"/>
          <w:szCs w:val="24"/>
        </w:rPr>
      </w:pPr>
    </w:p>
    <w:p w14:paraId="5A65F70F" w14:textId="4C1A5227" w:rsidR="00F76F5D" w:rsidRDefault="00F76F5D" w:rsidP="00AC5B73">
      <w:pPr>
        <w:rPr>
          <w:rFonts w:cs="Arial"/>
          <w:szCs w:val="24"/>
        </w:rPr>
      </w:pPr>
      <w:r>
        <w:rPr>
          <w:noProof/>
          <w:lang w:eastAsia="en-GB"/>
        </w:rPr>
        <w:drawing>
          <wp:inline distT="0" distB="0" distL="0" distR="0" wp14:anchorId="28CE848D" wp14:editId="6FB71674">
            <wp:extent cx="6840000" cy="2160000"/>
            <wp:effectExtent l="0" t="0" r="18415" b="12065"/>
            <wp:docPr id="66" name="Chart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741494DA" w14:textId="77777777" w:rsidR="00F76F5D" w:rsidRPr="00705A09" w:rsidRDefault="00F76F5D" w:rsidP="00AC5B73">
      <w:pPr>
        <w:rPr>
          <w:rFonts w:cs="Arial"/>
          <w:szCs w:val="24"/>
        </w:rPr>
      </w:pPr>
    </w:p>
    <w:p w14:paraId="5A0F81E7" w14:textId="674E6681" w:rsidR="00092749" w:rsidRPr="00705A09" w:rsidRDefault="00B45A8D" w:rsidP="00AC5B73">
      <w:pPr>
        <w:rPr>
          <w:rFonts w:cs="Arial"/>
          <w:szCs w:val="24"/>
        </w:rPr>
      </w:pPr>
      <w:r>
        <w:rPr>
          <w:noProof/>
          <w:lang w:eastAsia="en-GB"/>
        </w:rPr>
        <w:lastRenderedPageBreak/>
        <w:drawing>
          <wp:inline distT="0" distB="0" distL="0" distR="0" wp14:anchorId="45BF5AAC" wp14:editId="36C22335">
            <wp:extent cx="6840000" cy="2160000"/>
            <wp:effectExtent l="0" t="0" r="18415" b="12065"/>
            <wp:docPr id="67" name="Chart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3EE3FD06" w14:textId="77777777" w:rsidR="00B45A8D" w:rsidRDefault="00B45A8D" w:rsidP="00AC5B73">
      <w:pPr>
        <w:rPr>
          <w:rFonts w:cs="Arial"/>
          <w:szCs w:val="24"/>
        </w:rPr>
      </w:pPr>
    </w:p>
    <w:p w14:paraId="44C4242A" w14:textId="4D550292" w:rsidR="000E2DA8" w:rsidRPr="00705A09" w:rsidRDefault="00F269CD" w:rsidP="00AC5B73">
      <w:pPr>
        <w:rPr>
          <w:rFonts w:cs="Arial"/>
          <w:szCs w:val="24"/>
        </w:rPr>
      </w:pPr>
      <w:r>
        <w:rPr>
          <w:rFonts w:cs="Arial"/>
          <w:szCs w:val="24"/>
        </w:rPr>
        <w:t>In th</w:t>
      </w:r>
      <w:r w:rsidR="000E2DA8" w:rsidRPr="00705A09">
        <w:rPr>
          <w:rFonts w:cs="Arial"/>
          <w:szCs w:val="24"/>
        </w:rPr>
        <w:t>e table below</w:t>
      </w:r>
      <w:r w:rsidR="006F27FC" w:rsidRPr="00705A09">
        <w:rPr>
          <w:rFonts w:cs="Arial"/>
          <w:szCs w:val="24"/>
        </w:rPr>
        <w:t xml:space="preserve">, which considers the proportion of whole time and part time colleagues by </w:t>
      </w:r>
      <w:r w:rsidR="002B3444">
        <w:rPr>
          <w:rFonts w:cs="Arial"/>
          <w:szCs w:val="24"/>
        </w:rPr>
        <w:t>sex</w:t>
      </w:r>
      <w:r w:rsidR="006F27FC" w:rsidRPr="00705A09">
        <w:rPr>
          <w:rFonts w:cs="Arial"/>
          <w:szCs w:val="24"/>
        </w:rPr>
        <w:t xml:space="preserve"> as a proportion of the total headcount,</w:t>
      </w:r>
      <w:r w:rsidR="000E2DA8" w:rsidRPr="00705A09">
        <w:rPr>
          <w:rFonts w:cs="Arial"/>
          <w:szCs w:val="24"/>
        </w:rPr>
        <w:t xml:space="preserve"> </w:t>
      </w:r>
      <w:r>
        <w:rPr>
          <w:rFonts w:cs="Arial"/>
          <w:szCs w:val="24"/>
        </w:rPr>
        <w:t>we can see</w:t>
      </w:r>
      <w:r w:rsidR="000E2DA8" w:rsidRPr="00705A09">
        <w:rPr>
          <w:rFonts w:cs="Arial"/>
          <w:szCs w:val="24"/>
        </w:rPr>
        <w:t xml:space="preserve"> that </w:t>
      </w:r>
      <w:r>
        <w:rPr>
          <w:rFonts w:cs="Arial"/>
          <w:szCs w:val="24"/>
        </w:rPr>
        <w:t>72.1</w:t>
      </w:r>
      <w:r w:rsidR="000E2DA8" w:rsidRPr="00705A09">
        <w:rPr>
          <w:rFonts w:cs="Arial"/>
          <w:szCs w:val="24"/>
        </w:rPr>
        <w:t>% of all employees hold full time contracts: 37.5 hours per week for Agenda for Change and Senior Managers; 40 hours per week</w:t>
      </w:r>
      <w:r w:rsidR="006F27FC" w:rsidRPr="00705A09">
        <w:rPr>
          <w:rFonts w:cs="Arial"/>
          <w:szCs w:val="24"/>
        </w:rPr>
        <w:t xml:space="preserve"> for medical and dental staff, while </w:t>
      </w:r>
      <w:r>
        <w:rPr>
          <w:rFonts w:cs="Arial"/>
          <w:szCs w:val="24"/>
        </w:rPr>
        <w:t>27.9</w:t>
      </w:r>
      <w:r w:rsidR="006F27FC" w:rsidRPr="00705A09">
        <w:rPr>
          <w:rFonts w:cs="Arial"/>
          <w:szCs w:val="24"/>
        </w:rPr>
        <w:t xml:space="preserve">% hold part time posts. </w:t>
      </w:r>
      <w:r>
        <w:rPr>
          <w:rFonts w:cs="Arial"/>
          <w:szCs w:val="24"/>
        </w:rPr>
        <w:t>49.3</w:t>
      </w:r>
      <w:r w:rsidR="006F27FC" w:rsidRPr="00705A09">
        <w:rPr>
          <w:rFonts w:cs="Arial"/>
          <w:szCs w:val="24"/>
        </w:rPr>
        <w:t>% of the total headcount is</w:t>
      </w:r>
      <w:r>
        <w:rPr>
          <w:rFonts w:cs="Arial"/>
          <w:szCs w:val="24"/>
        </w:rPr>
        <w:t xml:space="preserve"> full time and female, while 2.3</w:t>
      </w:r>
      <w:r w:rsidR="006F27FC" w:rsidRPr="00705A09">
        <w:rPr>
          <w:rFonts w:cs="Arial"/>
          <w:szCs w:val="24"/>
        </w:rPr>
        <w:t>% is part time and male.</w:t>
      </w:r>
    </w:p>
    <w:p w14:paraId="33AC43D0" w14:textId="77777777" w:rsidR="006F27FC" w:rsidRPr="00705A09" w:rsidRDefault="006F27FC" w:rsidP="00AC5B73">
      <w:pPr>
        <w:rPr>
          <w:rFonts w:cs="Arial"/>
          <w:szCs w:val="24"/>
        </w:rPr>
      </w:pPr>
    </w:p>
    <w:tbl>
      <w:tblPr>
        <w:tblW w:w="4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1"/>
        <w:gridCol w:w="1371"/>
        <w:gridCol w:w="1372"/>
        <w:gridCol w:w="1374"/>
        <w:gridCol w:w="1372"/>
        <w:gridCol w:w="1372"/>
        <w:gridCol w:w="1374"/>
      </w:tblGrid>
      <w:tr w:rsidR="006F27FC" w:rsidRPr="00705A09" w14:paraId="6076F76E" w14:textId="77777777" w:rsidTr="006F27FC">
        <w:trPr>
          <w:trHeight w:val="290"/>
          <w:jc w:val="center"/>
        </w:trPr>
        <w:tc>
          <w:tcPr>
            <w:tcW w:w="714" w:type="pct"/>
            <w:tcBorders>
              <w:top w:val="nil"/>
              <w:left w:val="nil"/>
              <w:bottom w:val="single" w:sz="4" w:space="0" w:color="auto"/>
              <w:right w:val="nil"/>
            </w:tcBorders>
            <w:shd w:val="clear" w:color="auto" w:fill="auto"/>
            <w:noWrap/>
            <w:vAlign w:val="bottom"/>
          </w:tcPr>
          <w:p w14:paraId="72B25EB9" w14:textId="77777777" w:rsidR="006F27FC" w:rsidRPr="00705A09" w:rsidRDefault="006F27FC" w:rsidP="00AC5B73">
            <w:pPr>
              <w:rPr>
                <w:rFonts w:eastAsia="Times New Roman" w:cs="Arial"/>
                <w:b/>
                <w:bCs/>
                <w:szCs w:val="24"/>
                <w:lang w:eastAsia="en-GB"/>
              </w:rPr>
            </w:pPr>
          </w:p>
        </w:tc>
        <w:tc>
          <w:tcPr>
            <w:tcW w:w="4286" w:type="pct"/>
            <w:gridSpan w:val="6"/>
            <w:tcBorders>
              <w:left w:val="nil"/>
            </w:tcBorders>
            <w:shd w:val="clear" w:color="auto" w:fill="auto"/>
            <w:noWrap/>
            <w:vAlign w:val="bottom"/>
          </w:tcPr>
          <w:p w14:paraId="3FE8C915" w14:textId="77777777" w:rsidR="006F27FC" w:rsidRPr="00705A09" w:rsidRDefault="006F27FC" w:rsidP="00AC5B73">
            <w:pPr>
              <w:rPr>
                <w:rFonts w:cs="Arial"/>
                <w:b/>
                <w:bCs/>
                <w:color w:val="000000"/>
                <w:szCs w:val="24"/>
              </w:rPr>
            </w:pPr>
            <w:r w:rsidRPr="00705A09">
              <w:rPr>
                <w:rFonts w:cs="Arial"/>
                <w:b/>
                <w:bCs/>
                <w:color w:val="000000"/>
                <w:szCs w:val="24"/>
              </w:rPr>
              <w:t xml:space="preserve">Whole Time/Part Time by </w:t>
            </w:r>
            <w:r w:rsidR="002B3444">
              <w:rPr>
                <w:rFonts w:cs="Arial"/>
                <w:b/>
                <w:bCs/>
                <w:color w:val="000000"/>
                <w:szCs w:val="24"/>
              </w:rPr>
              <w:t>Sex</w:t>
            </w:r>
            <w:r w:rsidRPr="00705A09">
              <w:rPr>
                <w:rFonts w:cs="Arial"/>
                <w:b/>
                <w:bCs/>
                <w:color w:val="000000"/>
                <w:szCs w:val="24"/>
              </w:rPr>
              <w:t xml:space="preserve"> as Proportion of Total Headcount</w:t>
            </w:r>
          </w:p>
        </w:tc>
      </w:tr>
      <w:tr w:rsidR="006F27FC" w:rsidRPr="00705A09" w14:paraId="5EE1BE60" w14:textId="77777777" w:rsidTr="006F27FC">
        <w:trPr>
          <w:trHeight w:val="290"/>
          <w:jc w:val="center"/>
        </w:trPr>
        <w:tc>
          <w:tcPr>
            <w:tcW w:w="714" w:type="pct"/>
            <w:tcBorders>
              <w:top w:val="single" w:sz="4" w:space="0" w:color="auto"/>
            </w:tcBorders>
            <w:shd w:val="clear" w:color="auto" w:fill="auto"/>
            <w:noWrap/>
            <w:vAlign w:val="bottom"/>
          </w:tcPr>
          <w:p w14:paraId="4EFF17C5" w14:textId="77777777" w:rsidR="006F27FC" w:rsidRPr="00705A09" w:rsidRDefault="002B3444" w:rsidP="00AC5B73">
            <w:pPr>
              <w:rPr>
                <w:rFonts w:eastAsia="Times New Roman" w:cs="Arial"/>
                <w:b/>
                <w:bCs/>
                <w:szCs w:val="24"/>
                <w:lang w:eastAsia="en-GB"/>
              </w:rPr>
            </w:pPr>
            <w:r>
              <w:rPr>
                <w:rFonts w:eastAsia="Times New Roman" w:cs="Arial"/>
                <w:b/>
                <w:bCs/>
                <w:szCs w:val="24"/>
                <w:lang w:eastAsia="en-GB"/>
              </w:rPr>
              <w:t>Sex</w:t>
            </w:r>
          </w:p>
        </w:tc>
        <w:tc>
          <w:tcPr>
            <w:tcW w:w="1428" w:type="pct"/>
            <w:gridSpan w:val="2"/>
            <w:shd w:val="clear" w:color="auto" w:fill="auto"/>
            <w:noWrap/>
            <w:vAlign w:val="bottom"/>
          </w:tcPr>
          <w:p w14:paraId="2B3FAE1E" w14:textId="77777777" w:rsidR="006F27FC" w:rsidRPr="00705A09" w:rsidRDefault="006F27FC" w:rsidP="00AC5B73">
            <w:pPr>
              <w:rPr>
                <w:rFonts w:eastAsia="Times New Roman" w:cs="Arial"/>
                <w:b/>
                <w:color w:val="000000"/>
                <w:szCs w:val="24"/>
                <w:lang w:eastAsia="en-GB"/>
              </w:rPr>
            </w:pPr>
            <w:r w:rsidRPr="00705A09">
              <w:rPr>
                <w:rFonts w:eastAsia="Times New Roman" w:cs="Arial"/>
                <w:b/>
                <w:color w:val="000000"/>
                <w:szCs w:val="24"/>
                <w:lang w:eastAsia="en-GB"/>
              </w:rPr>
              <w:t>Part Time</w:t>
            </w:r>
          </w:p>
        </w:tc>
        <w:tc>
          <w:tcPr>
            <w:tcW w:w="1429" w:type="pct"/>
            <w:gridSpan w:val="2"/>
            <w:shd w:val="clear" w:color="auto" w:fill="auto"/>
            <w:noWrap/>
            <w:vAlign w:val="bottom"/>
          </w:tcPr>
          <w:p w14:paraId="45078EAA" w14:textId="77777777" w:rsidR="006F27FC" w:rsidRPr="00705A09" w:rsidRDefault="006F27FC" w:rsidP="00AC5B73">
            <w:pPr>
              <w:rPr>
                <w:rFonts w:eastAsia="Times New Roman" w:cs="Arial"/>
                <w:b/>
                <w:color w:val="000000"/>
                <w:szCs w:val="24"/>
                <w:lang w:eastAsia="en-GB"/>
              </w:rPr>
            </w:pPr>
            <w:r w:rsidRPr="00705A09">
              <w:rPr>
                <w:rFonts w:eastAsia="Times New Roman" w:cs="Arial"/>
                <w:b/>
                <w:color w:val="000000"/>
                <w:szCs w:val="24"/>
                <w:lang w:eastAsia="en-GB"/>
              </w:rPr>
              <w:t>Whole Time</w:t>
            </w:r>
          </w:p>
        </w:tc>
        <w:tc>
          <w:tcPr>
            <w:tcW w:w="1429" w:type="pct"/>
            <w:gridSpan w:val="2"/>
            <w:shd w:val="clear" w:color="auto" w:fill="auto"/>
            <w:noWrap/>
            <w:vAlign w:val="bottom"/>
          </w:tcPr>
          <w:p w14:paraId="4DF8DA76" w14:textId="77777777" w:rsidR="006F27FC" w:rsidRPr="00705A09" w:rsidRDefault="006F27FC" w:rsidP="00AC5B73">
            <w:pPr>
              <w:rPr>
                <w:rFonts w:eastAsia="Times New Roman" w:cs="Arial"/>
                <w:b/>
                <w:color w:val="000000"/>
                <w:szCs w:val="24"/>
                <w:lang w:eastAsia="en-GB"/>
              </w:rPr>
            </w:pPr>
            <w:r w:rsidRPr="00705A09">
              <w:rPr>
                <w:rFonts w:eastAsia="Times New Roman" w:cs="Arial"/>
                <w:b/>
                <w:color w:val="000000"/>
                <w:szCs w:val="24"/>
                <w:lang w:eastAsia="en-GB"/>
              </w:rPr>
              <w:t>Total</w:t>
            </w:r>
          </w:p>
        </w:tc>
      </w:tr>
      <w:tr w:rsidR="000255FE" w:rsidRPr="00705A09" w14:paraId="13DFBBB9" w14:textId="77777777" w:rsidTr="00E93C1E">
        <w:trPr>
          <w:trHeight w:val="290"/>
          <w:jc w:val="center"/>
        </w:trPr>
        <w:tc>
          <w:tcPr>
            <w:tcW w:w="714" w:type="pct"/>
            <w:shd w:val="clear" w:color="auto" w:fill="auto"/>
            <w:noWrap/>
            <w:vAlign w:val="bottom"/>
            <w:hideMark/>
          </w:tcPr>
          <w:p w14:paraId="15515D17" w14:textId="77777777" w:rsidR="000255FE" w:rsidRPr="00705A09" w:rsidRDefault="000255FE" w:rsidP="00AC5B73">
            <w:pPr>
              <w:rPr>
                <w:rFonts w:eastAsia="Times New Roman" w:cs="Arial"/>
                <w:b/>
                <w:bCs/>
                <w:szCs w:val="24"/>
                <w:lang w:eastAsia="en-GB"/>
              </w:rPr>
            </w:pPr>
            <w:r w:rsidRPr="00705A09">
              <w:rPr>
                <w:rFonts w:eastAsia="Times New Roman" w:cs="Arial"/>
                <w:b/>
                <w:bCs/>
                <w:szCs w:val="24"/>
                <w:lang w:eastAsia="en-GB"/>
              </w:rPr>
              <w:t>Female</w:t>
            </w:r>
          </w:p>
        </w:tc>
        <w:tc>
          <w:tcPr>
            <w:tcW w:w="714" w:type="pct"/>
            <w:shd w:val="clear" w:color="auto" w:fill="auto"/>
            <w:noWrap/>
            <w:hideMark/>
          </w:tcPr>
          <w:p w14:paraId="6D6D0AA1" w14:textId="7779D01A" w:rsidR="000255FE" w:rsidRPr="00705A09" w:rsidRDefault="000255FE" w:rsidP="00AC5B73">
            <w:pPr>
              <w:jc w:val="right"/>
              <w:rPr>
                <w:rFonts w:eastAsia="Times New Roman" w:cs="Arial"/>
                <w:color w:val="000000"/>
                <w:szCs w:val="24"/>
                <w:lang w:eastAsia="en-GB"/>
              </w:rPr>
            </w:pPr>
            <w:r w:rsidRPr="00751E9F">
              <w:t>545</w:t>
            </w:r>
          </w:p>
        </w:tc>
        <w:tc>
          <w:tcPr>
            <w:tcW w:w="714" w:type="pct"/>
            <w:shd w:val="clear" w:color="auto" w:fill="auto"/>
            <w:noWrap/>
            <w:hideMark/>
          </w:tcPr>
          <w:p w14:paraId="0B3DA313" w14:textId="5E7E3E6E" w:rsidR="000255FE" w:rsidRPr="00705A09" w:rsidRDefault="000255FE" w:rsidP="00AC5B73">
            <w:pPr>
              <w:jc w:val="right"/>
              <w:rPr>
                <w:rFonts w:eastAsia="Times New Roman" w:cs="Arial"/>
                <w:color w:val="000000"/>
                <w:szCs w:val="24"/>
                <w:lang w:eastAsia="en-GB"/>
              </w:rPr>
            </w:pPr>
            <w:r w:rsidRPr="00751E9F">
              <w:t>25.5%</w:t>
            </w:r>
          </w:p>
        </w:tc>
        <w:tc>
          <w:tcPr>
            <w:tcW w:w="715" w:type="pct"/>
            <w:shd w:val="clear" w:color="auto" w:fill="auto"/>
            <w:noWrap/>
            <w:hideMark/>
          </w:tcPr>
          <w:p w14:paraId="56A5C89F" w14:textId="79EB0FE3" w:rsidR="000255FE" w:rsidRPr="00705A09" w:rsidRDefault="000255FE" w:rsidP="00AC5B73">
            <w:pPr>
              <w:jc w:val="right"/>
              <w:rPr>
                <w:rFonts w:eastAsia="Times New Roman" w:cs="Arial"/>
                <w:color w:val="000000"/>
                <w:szCs w:val="24"/>
                <w:lang w:eastAsia="en-GB"/>
              </w:rPr>
            </w:pPr>
            <w:r w:rsidRPr="00751E9F">
              <w:t>1052</w:t>
            </w:r>
          </w:p>
        </w:tc>
        <w:tc>
          <w:tcPr>
            <w:tcW w:w="714" w:type="pct"/>
            <w:shd w:val="clear" w:color="auto" w:fill="auto"/>
            <w:noWrap/>
            <w:hideMark/>
          </w:tcPr>
          <w:p w14:paraId="310E68DC" w14:textId="68D99F49" w:rsidR="000255FE" w:rsidRPr="00705A09" w:rsidRDefault="000255FE" w:rsidP="00AC5B73">
            <w:pPr>
              <w:jc w:val="right"/>
              <w:rPr>
                <w:rFonts w:eastAsia="Times New Roman" w:cs="Arial"/>
                <w:color w:val="000000"/>
                <w:szCs w:val="24"/>
                <w:lang w:eastAsia="en-GB"/>
              </w:rPr>
            </w:pPr>
            <w:r w:rsidRPr="00751E9F">
              <w:t>49.3%</w:t>
            </w:r>
          </w:p>
        </w:tc>
        <w:tc>
          <w:tcPr>
            <w:tcW w:w="714" w:type="pct"/>
            <w:shd w:val="clear" w:color="auto" w:fill="auto"/>
            <w:noWrap/>
            <w:hideMark/>
          </w:tcPr>
          <w:p w14:paraId="10D98562" w14:textId="1AFE5CF2" w:rsidR="000255FE" w:rsidRPr="00705A09" w:rsidRDefault="000255FE" w:rsidP="00AC5B73">
            <w:pPr>
              <w:jc w:val="right"/>
              <w:rPr>
                <w:rFonts w:eastAsia="Times New Roman" w:cs="Arial"/>
                <w:color w:val="000000"/>
                <w:szCs w:val="24"/>
                <w:lang w:eastAsia="en-GB"/>
              </w:rPr>
            </w:pPr>
            <w:r w:rsidRPr="00751E9F">
              <w:t>1597</w:t>
            </w:r>
          </w:p>
        </w:tc>
        <w:tc>
          <w:tcPr>
            <w:tcW w:w="715" w:type="pct"/>
            <w:shd w:val="clear" w:color="auto" w:fill="auto"/>
            <w:noWrap/>
            <w:hideMark/>
          </w:tcPr>
          <w:p w14:paraId="03DEC2B1" w14:textId="6492D290" w:rsidR="000255FE" w:rsidRPr="00705A09" w:rsidRDefault="000255FE" w:rsidP="00AC5B73">
            <w:pPr>
              <w:jc w:val="right"/>
              <w:rPr>
                <w:rFonts w:eastAsia="Times New Roman" w:cs="Arial"/>
                <w:color w:val="000000"/>
                <w:szCs w:val="24"/>
                <w:lang w:eastAsia="en-GB"/>
              </w:rPr>
            </w:pPr>
            <w:r w:rsidRPr="00751E9F">
              <w:t>74.8%</w:t>
            </w:r>
          </w:p>
        </w:tc>
      </w:tr>
      <w:tr w:rsidR="000255FE" w:rsidRPr="00705A09" w14:paraId="5D10E325" w14:textId="77777777" w:rsidTr="00E93C1E">
        <w:trPr>
          <w:trHeight w:val="300"/>
          <w:jc w:val="center"/>
        </w:trPr>
        <w:tc>
          <w:tcPr>
            <w:tcW w:w="714" w:type="pct"/>
            <w:shd w:val="clear" w:color="auto" w:fill="auto"/>
            <w:noWrap/>
            <w:vAlign w:val="bottom"/>
            <w:hideMark/>
          </w:tcPr>
          <w:p w14:paraId="09315D43" w14:textId="77777777" w:rsidR="000255FE" w:rsidRPr="00705A09" w:rsidRDefault="000255FE" w:rsidP="00AC5B73">
            <w:pPr>
              <w:rPr>
                <w:rFonts w:eastAsia="Times New Roman" w:cs="Arial"/>
                <w:b/>
                <w:bCs/>
                <w:szCs w:val="24"/>
                <w:lang w:eastAsia="en-GB"/>
              </w:rPr>
            </w:pPr>
            <w:r w:rsidRPr="00705A09">
              <w:rPr>
                <w:rFonts w:eastAsia="Times New Roman" w:cs="Arial"/>
                <w:b/>
                <w:bCs/>
                <w:szCs w:val="24"/>
                <w:lang w:eastAsia="en-GB"/>
              </w:rPr>
              <w:t>Male</w:t>
            </w:r>
          </w:p>
        </w:tc>
        <w:tc>
          <w:tcPr>
            <w:tcW w:w="714" w:type="pct"/>
            <w:shd w:val="clear" w:color="auto" w:fill="auto"/>
            <w:noWrap/>
            <w:hideMark/>
          </w:tcPr>
          <w:p w14:paraId="45D37788" w14:textId="1DC37BA2" w:rsidR="000255FE" w:rsidRPr="00705A09" w:rsidRDefault="000255FE" w:rsidP="00AC5B73">
            <w:pPr>
              <w:jc w:val="right"/>
              <w:rPr>
                <w:rFonts w:eastAsia="Times New Roman" w:cs="Arial"/>
                <w:color w:val="000000"/>
                <w:szCs w:val="24"/>
                <w:lang w:eastAsia="en-GB"/>
              </w:rPr>
            </w:pPr>
            <w:r w:rsidRPr="00751E9F">
              <w:t>50</w:t>
            </w:r>
          </w:p>
        </w:tc>
        <w:tc>
          <w:tcPr>
            <w:tcW w:w="714" w:type="pct"/>
            <w:shd w:val="clear" w:color="auto" w:fill="auto"/>
            <w:noWrap/>
            <w:hideMark/>
          </w:tcPr>
          <w:p w14:paraId="5C9D6BFB" w14:textId="6EBD15D5" w:rsidR="000255FE" w:rsidRPr="00705A09" w:rsidRDefault="000255FE" w:rsidP="00AC5B73">
            <w:pPr>
              <w:jc w:val="right"/>
              <w:rPr>
                <w:rFonts w:eastAsia="Times New Roman" w:cs="Arial"/>
                <w:color w:val="000000"/>
                <w:szCs w:val="24"/>
                <w:lang w:eastAsia="en-GB"/>
              </w:rPr>
            </w:pPr>
            <w:r w:rsidRPr="00751E9F">
              <w:t>2.3%</w:t>
            </w:r>
          </w:p>
        </w:tc>
        <w:tc>
          <w:tcPr>
            <w:tcW w:w="715" w:type="pct"/>
            <w:shd w:val="clear" w:color="auto" w:fill="auto"/>
            <w:noWrap/>
            <w:hideMark/>
          </w:tcPr>
          <w:p w14:paraId="1E445247" w14:textId="5B6400D7" w:rsidR="000255FE" w:rsidRPr="00705A09" w:rsidRDefault="000255FE" w:rsidP="00AC5B73">
            <w:pPr>
              <w:jc w:val="right"/>
              <w:rPr>
                <w:rFonts w:eastAsia="Times New Roman" w:cs="Arial"/>
                <w:color w:val="000000"/>
                <w:szCs w:val="24"/>
                <w:lang w:eastAsia="en-GB"/>
              </w:rPr>
            </w:pPr>
            <w:r w:rsidRPr="00751E9F">
              <w:t>487</w:t>
            </w:r>
          </w:p>
        </w:tc>
        <w:tc>
          <w:tcPr>
            <w:tcW w:w="714" w:type="pct"/>
            <w:shd w:val="clear" w:color="auto" w:fill="auto"/>
            <w:noWrap/>
            <w:hideMark/>
          </w:tcPr>
          <w:p w14:paraId="3E153C51" w14:textId="42634E06" w:rsidR="000255FE" w:rsidRPr="00705A09" w:rsidRDefault="000255FE" w:rsidP="00AC5B73">
            <w:pPr>
              <w:jc w:val="right"/>
              <w:rPr>
                <w:rFonts w:eastAsia="Times New Roman" w:cs="Arial"/>
                <w:color w:val="000000"/>
                <w:szCs w:val="24"/>
                <w:lang w:eastAsia="en-GB"/>
              </w:rPr>
            </w:pPr>
            <w:r w:rsidRPr="00751E9F">
              <w:t>22.5%</w:t>
            </w:r>
          </w:p>
        </w:tc>
        <w:tc>
          <w:tcPr>
            <w:tcW w:w="714" w:type="pct"/>
            <w:shd w:val="clear" w:color="auto" w:fill="auto"/>
            <w:noWrap/>
            <w:hideMark/>
          </w:tcPr>
          <w:p w14:paraId="4FB7D70D" w14:textId="1B937592" w:rsidR="000255FE" w:rsidRPr="00705A09" w:rsidRDefault="000255FE" w:rsidP="00AC5B73">
            <w:pPr>
              <w:jc w:val="right"/>
              <w:rPr>
                <w:rFonts w:eastAsia="Times New Roman" w:cs="Arial"/>
                <w:color w:val="000000"/>
                <w:szCs w:val="24"/>
                <w:lang w:eastAsia="en-GB"/>
              </w:rPr>
            </w:pPr>
            <w:r w:rsidRPr="00751E9F">
              <w:t>537</w:t>
            </w:r>
          </w:p>
        </w:tc>
        <w:tc>
          <w:tcPr>
            <w:tcW w:w="715" w:type="pct"/>
            <w:shd w:val="clear" w:color="auto" w:fill="auto"/>
            <w:noWrap/>
            <w:hideMark/>
          </w:tcPr>
          <w:p w14:paraId="5AC1EF94" w14:textId="6809B809" w:rsidR="000255FE" w:rsidRPr="00705A09" w:rsidRDefault="000255FE" w:rsidP="00AC5B73">
            <w:pPr>
              <w:jc w:val="right"/>
              <w:rPr>
                <w:rFonts w:eastAsia="Times New Roman" w:cs="Arial"/>
                <w:color w:val="000000"/>
                <w:szCs w:val="24"/>
                <w:lang w:eastAsia="en-GB"/>
              </w:rPr>
            </w:pPr>
            <w:r w:rsidRPr="00751E9F">
              <w:t>25.2%</w:t>
            </w:r>
          </w:p>
        </w:tc>
      </w:tr>
      <w:tr w:rsidR="000255FE" w:rsidRPr="00705A09" w14:paraId="030520A9" w14:textId="77777777" w:rsidTr="00E93C1E">
        <w:trPr>
          <w:trHeight w:val="300"/>
          <w:jc w:val="center"/>
        </w:trPr>
        <w:tc>
          <w:tcPr>
            <w:tcW w:w="714" w:type="pct"/>
            <w:shd w:val="clear" w:color="auto" w:fill="auto"/>
            <w:noWrap/>
            <w:vAlign w:val="bottom"/>
            <w:hideMark/>
          </w:tcPr>
          <w:p w14:paraId="6BE6EF3C" w14:textId="77777777" w:rsidR="000255FE" w:rsidRPr="00705A09" w:rsidRDefault="000255FE" w:rsidP="00AC5B73">
            <w:pPr>
              <w:rPr>
                <w:rFonts w:eastAsia="Times New Roman" w:cs="Arial"/>
                <w:b/>
                <w:bCs/>
                <w:szCs w:val="24"/>
                <w:lang w:eastAsia="en-GB"/>
              </w:rPr>
            </w:pPr>
            <w:r w:rsidRPr="00705A09">
              <w:rPr>
                <w:rFonts w:eastAsia="Times New Roman" w:cs="Arial"/>
                <w:b/>
                <w:bCs/>
                <w:szCs w:val="24"/>
                <w:lang w:eastAsia="en-GB"/>
              </w:rPr>
              <w:t>Total</w:t>
            </w:r>
          </w:p>
        </w:tc>
        <w:tc>
          <w:tcPr>
            <w:tcW w:w="714" w:type="pct"/>
            <w:shd w:val="clear" w:color="auto" w:fill="auto"/>
            <w:noWrap/>
            <w:hideMark/>
          </w:tcPr>
          <w:p w14:paraId="1574C71D" w14:textId="3419223D" w:rsidR="000255FE" w:rsidRPr="00705A09" w:rsidRDefault="000255FE" w:rsidP="00AC5B73">
            <w:pPr>
              <w:jc w:val="right"/>
              <w:rPr>
                <w:rFonts w:eastAsia="Times New Roman" w:cs="Arial"/>
                <w:szCs w:val="24"/>
                <w:lang w:eastAsia="en-GB"/>
              </w:rPr>
            </w:pPr>
            <w:r w:rsidRPr="00751E9F">
              <w:t>595</w:t>
            </w:r>
          </w:p>
        </w:tc>
        <w:tc>
          <w:tcPr>
            <w:tcW w:w="714" w:type="pct"/>
            <w:shd w:val="clear" w:color="auto" w:fill="auto"/>
            <w:noWrap/>
            <w:hideMark/>
          </w:tcPr>
          <w:p w14:paraId="3C074FD1" w14:textId="070D06C6" w:rsidR="000255FE" w:rsidRPr="00705A09" w:rsidRDefault="000255FE" w:rsidP="00AC5B73">
            <w:pPr>
              <w:jc w:val="right"/>
              <w:rPr>
                <w:rFonts w:eastAsia="Times New Roman" w:cs="Arial"/>
                <w:szCs w:val="24"/>
                <w:lang w:eastAsia="en-GB"/>
              </w:rPr>
            </w:pPr>
            <w:r w:rsidRPr="00751E9F">
              <w:t>27.9%</w:t>
            </w:r>
          </w:p>
        </w:tc>
        <w:tc>
          <w:tcPr>
            <w:tcW w:w="715" w:type="pct"/>
            <w:shd w:val="clear" w:color="auto" w:fill="auto"/>
            <w:noWrap/>
            <w:hideMark/>
          </w:tcPr>
          <w:p w14:paraId="7F8DEC2C" w14:textId="652B75FA" w:rsidR="000255FE" w:rsidRPr="00705A09" w:rsidRDefault="000255FE" w:rsidP="00AC5B73">
            <w:pPr>
              <w:jc w:val="right"/>
              <w:rPr>
                <w:rFonts w:eastAsia="Times New Roman" w:cs="Arial"/>
                <w:szCs w:val="24"/>
                <w:lang w:eastAsia="en-GB"/>
              </w:rPr>
            </w:pPr>
            <w:r w:rsidRPr="00751E9F">
              <w:t>1539</w:t>
            </w:r>
          </w:p>
        </w:tc>
        <w:tc>
          <w:tcPr>
            <w:tcW w:w="714" w:type="pct"/>
            <w:shd w:val="clear" w:color="auto" w:fill="auto"/>
            <w:noWrap/>
            <w:hideMark/>
          </w:tcPr>
          <w:p w14:paraId="02AA5FBB" w14:textId="45739F0E" w:rsidR="000255FE" w:rsidRPr="00705A09" w:rsidRDefault="000255FE" w:rsidP="00AC5B73">
            <w:pPr>
              <w:jc w:val="right"/>
              <w:rPr>
                <w:rFonts w:eastAsia="Times New Roman" w:cs="Arial"/>
                <w:szCs w:val="24"/>
                <w:lang w:eastAsia="en-GB"/>
              </w:rPr>
            </w:pPr>
            <w:r w:rsidRPr="00751E9F">
              <w:t>72.1%</w:t>
            </w:r>
          </w:p>
        </w:tc>
        <w:tc>
          <w:tcPr>
            <w:tcW w:w="714" w:type="pct"/>
            <w:shd w:val="clear" w:color="auto" w:fill="auto"/>
            <w:noWrap/>
            <w:hideMark/>
          </w:tcPr>
          <w:p w14:paraId="5D273344" w14:textId="2DD769B6" w:rsidR="000255FE" w:rsidRPr="00705A09" w:rsidRDefault="000255FE" w:rsidP="00AC5B73">
            <w:pPr>
              <w:jc w:val="right"/>
              <w:rPr>
                <w:rFonts w:eastAsia="Times New Roman" w:cs="Arial"/>
                <w:szCs w:val="24"/>
                <w:lang w:eastAsia="en-GB"/>
              </w:rPr>
            </w:pPr>
            <w:r w:rsidRPr="00751E9F">
              <w:t>2134</w:t>
            </w:r>
          </w:p>
        </w:tc>
        <w:tc>
          <w:tcPr>
            <w:tcW w:w="715" w:type="pct"/>
            <w:shd w:val="clear" w:color="auto" w:fill="auto"/>
            <w:noWrap/>
            <w:hideMark/>
          </w:tcPr>
          <w:p w14:paraId="43E6A999" w14:textId="46147594" w:rsidR="000255FE" w:rsidRPr="00705A09" w:rsidRDefault="000255FE" w:rsidP="00AC5B73">
            <w:pPr>
              <w:jc w:val="right"/>
              <w:rPr>
                <w:rFonts w:eastAsia="Times New Roman" w:cs="Arial"/>
                <w:szCs w:val="24"/>
                <w:lang w:eastAsia="en-GB"/>
              </w:rPr>
            </w:pPr>
            <w:r w:rsidRPr="00751E9F">
              <w:t>100.0%</w:t>
            </w:r>
          </w:p>
        </w:tc>
      </w:tr>
    </w:tbl>
    <w:p w14:paraId="76C2B135" w14:textId="77777777" w:rsidR="000E2DA8" w:rsidRPr="00705A09" w:rsidRDefault="000E2DA8" w:rsidP="00AC5B73">
      <w:pPr>
        <w:rPr>
          <w:rFonts w:cs="Arial"/>
          <w:szCs w:val="24"/>
        </w:rPr>
      </w:pPr>
    </w:p>
    <w:p w14:paraId="261538D7" w14:textId="2C78202E" w:rsidR="006F27FC" w:rsidRPr="00705A09" w:rsidRDefault="006F27FC" w:rsidP="00AC5B73">
      <w:pPr>
        <w:rPr>
          <w:rFonts w:cs="Arial"/>
          <w:szCs w:val="24"/>
        </w:rPr>
      </w:pPr>
      <w:r w:rsidRPr="00705A09">
        <w:rPr>
          <w:rFonts w:cs="Arial"/>
          <w:szCs w:val="24"/>
        </w:rPr>
        <w:t xml:space="preserve">The table below looks at the proportion of each </w:t>
      </w:r>
      <w:r w:rsidR="002B3444">
        <w:rPr>
          <w:rFonts w:cs="Arial"/>
          <w:szCs w:val="24"/>
        </w:rPr>
        <w:t>sex</w:t>
      </w:r>
      <w:r w:rsidR="00F802F0" w:rsidRPr="00705A09">
        <w:rPr>
          <w:rFonts w:cs="Arial"/>
          <w:szCs w:val="24"/>
        </w:rPr>
        <w:t xml:space="preserve"> as part of the total number or either part or whole time headcount. When considering part time workers, women are </w:t>
      </w:r>
      <w:r w:rsidR="00B60FCC">
        <w:rPr>
          <w:rFonts w:cs="Arial"/>
          <w:szCs w:val="24"/>
        </w:rPr>
        <w:t>over-represented, making up 91.6</w:t>
      </w:r>
      <w:r w:rsidR="00F802F0" w:rsidRPr="00705A09">
        <w:rPr>
          <w:rFonts w:cs="Arial"/>
          <w:szCs w:val="24"/>
        </w:rPr>
        <w:t xml:space="preserve">% of all part time workers, when they make up </w:t>
      </w:r>
      <w:r w:rsidR="00B60FCC">
        <w:rPr>
          <w:rFonts w:cs="Arial"/>
          <w:szCs w:val="24"/>
        </w:rPr>
        <w:t>74.8</w:t>
      </w:r>
      <w:r w:rsidR="00F802F0" w:rsidRPr="00705A09">
        <w:rPr>
          <w:rFonts w:cs="Arial"/>
          <w:szCs w:val="24"/>
        </w:rPr>
        <w:t>% of all workers. Men are under-represented</w:t>
      </w:r>
      <w:r w:rsidR="00B60FCC">
        <w:rPr>
          <w:rFonts w:cs="Arial"/>
          <w:szCs w:val="24"/>
        </w:rPr>
        <w:t xml:space="preserve"> – comprising 8.4</w:t>
      </w:r>
      <w:r w:rsidR="00F802F0" w:rsidRPr="00705A09">
        <w:rPr>
          <w:rFonts w:cs="Arial"/>
          <w:szCs w:val="24"/>
        </w:rPr>
        <w:t>% of all part time worker</w:t>
      </w:r>
      <w:r w:rsidR="00B60FCC">
        <w:rPr>
          <w:rFonts w:cs="Arial"/>
          <w:szCs w:val="24"/>
        </w:rPr>
        <w:t>s by headcount and 25.2</w:t>
      </w:r>
      <w:r w:rsidR="00F802F0" w:rsidRPr="00705A09">
        <w:rPr>
          <w:rFonts w:cs="Arial"/>
          <w:szCs w:val="24"/>
        </w:rPr>
        <w:t>% of total headcount.</w:t>
      </w:r>
    </w:p>
    <w:p w14:paraId="173260F5" w14:textId="77777777" w:rsidR="006F27FC" w:rsidRPr="00705A09" w:rsidRDefault="006F27FC" w:rsidP="00AC5B73">
      <w:pPr>
        <w:rPr>
          <w:rFonts w:cs="Arial"/>
          <w:szCs w:val="24"/>
        </w:rPr>
      </w:pPr>
    </w:p>
    <w:tbl>
      <w:tblPr>
        <w:tblW w:w="4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1"/>
        <w:gridCol w:w="1371"/>
        <w:gridCol w:w="1372"/>
        <w:gridCol w:w="1374"/>
        <w:gridCol w:w="1372"/>
        <w:gridCol w:w="1372"/>
        <w:gridCol w:w="1374"/>
      </w:tblGrid>
      <w:tr w:rsidR="006F27FC" w:rsidRPr="00705A09" w14:paraId="4B9EC4FF" w14:textId="77777777" w:rsidTr="00A363F7">
        <w:trPr>
          <w:trHeight w:val="290"/>
          <w:jc w:val="center"/>
        </w:trPr>
        <w:tc>
          <w:tcPr>
            <w:tcW w:w="714" w:type="pct"/>
            <w:tcBorders>
              <w:top w:val="nil"/>
              <w:left w:val="nil"/>
              <w:bottom w:val="single" w:sz="4" w:space="0" w:color="auto"/>
              <w:right w:val="nil"/>
            </w:tcBorders>
            <w:shd w:val="clear" w:color="auto" w:fill="auto"/>
            <w:noWrap/>
            <w:vAlign w:val="bottom"/>
          </w:tcPr>
          <w:p w14:paraId="02BE4A1C" w14:textId="77777777" w:rsidR="006F27FC" w:rsidRPr="00705A09" w:rsidRDefault="006F27FC" w:rsidP="00AC5B73">
            <w:pPr>
              <w:rPr>
                <w:rFonts w:eastAsia="Times New Roman" w:cs="Arial"/>
                <w:b/>
                <w:bCs/>
                <w:szCs w:val="24"/>
                <w:lang w:eastAsia="en-GB"/>
              </w:rPr>
            </w:pPr>
          </w:p>
        </w:tc>
        <w:tc>
          <w:tcPr>
            <w:tcW w:w="4286" w:type="pct"/>
            <w:gridSpan w:val="6"/>
            <w:tcBorders>
              <w:left w:val="nil"/>
            </w:tcBorders>
            <w:shd w:val="clear" w:color="auto" w:fill="auto"/>
            <w:noWrap/>
            <w:vAlign w:val="bottom"/>
          </w:tcPr>
          <w:p w14:paraId="592DC300" w14:textId="77777777" w:rsidR="006F27FC" w:rsidRPr="00705A09" w:rsidRDefault="006F27FC" w:rsidP="00AC5B73">
            <w:pPr>
              <w:rPr>
                <w:rFonts w:cs="Arial"/>
                <w:b/>
                <w:bCs/>
                <w:color w:val="000000"/>
                <w:szCs w:val="24"/>
              </w:rPr>
            </w:pPr>
            <w:r w:rsidRPr="00705A09">
              <w:rPr>
                <w:rFonts w:cs="Arial"/>
                <w:b/>
                <w:bCs/>
                <w:color w:val="000000"/>
                <w:szCs w:val="24"/>
              </w:rPr>
              <w:t>Whole Time/Part Time by Gender as Proportion of Total Headcount</w:t>
            </w:r>
          </w:p>
        </w:tc>
      </w:tr>
      <w:tr w:rsidR="006F27FC" w:rsidRPr="00705A09" w14:paraId="389C242A" w14:textId="77777777" w:rsidTr="00A363F7">
        <w:trPr>
          <w:trHeight w:val="290"/>
          <w:jc w:val="center"/>
        </w:trPr>
        <w:tc>
          <w:tcPr>
            <w:tcW w:w="714" w:type="pct"/>
            <w:tcBorders>
              <w:top w:val="single" w:sz="4" w:space="0" w:color="auto"/>
            </w:tcBorders>
            <w:shd w:val="clear" w:color="auto" w:fill="auto"/>
            <w:noWrap/>
            <w:vAlign w:val="bottom"/>
          </w:tcPr>
          <w:p w14:paraId="24F84DFE" w14:textId="77777777" w:rsidR="006F27FC" w:rsidRPr="00705A09" w:rsidRDefault="002B3444" w:rsidP="00AC5B73">
            <w:pPr>
              <w:rPr>
                <w:rFonts w:eastAsia="Times New Roman" w:cs="Arial"/>
                <w:b/>
                <w:bCs/>
                <w:szCs w:val="24"/>
                <w:lang w:eastAsia="en-GB"/>
              </w:rPr>
            </w:pPr>
            <w:r>
              <w:rPr>
                <w:rFonts w:eastAsia="Times New Roman" w:cs="Arial"/>
                <w:b/>
                <w:bCs/>
                <w:szCs w:val="24"/>
                <w:lang w:eastAsia="en-GB"/>
              </w:rPr>
              <w:t>Sex</w:t>
            </w:r>
          </w:p>
        </w:tc>
        <w:tc>
          <w:tcPr>
            <w:tcW w:w="1428" w:type="pct"/>
            <w:gridSpan w:val="2"/>
            <w:shd w:val="clear" w:color="auto" w:fill="auto"/>
            <w:noWrap/>
            <w:vAlign w:val="bottom"/>
          </w:tcPr>
          <w:p w14:paraId="64D4DD91" w14:textId="77777777" w:rsidR="006F27FC" w:rsidRPr="00705A09" w:rsidRDefault="006F27FC" w:rsidP="00AC5B73">
            <w:pPr>
              <w:rPr>
                <w:rFonts w:eastAsia="Times New Roman" w:cs="Arial"/>
                <w:b/>
                <w:color w:val="000000"/>
                <w:szCs w:val="24"/>
                <w:lang w:eastAsia="en-GB"/>
              </w:rPr>
            </w:pPr>
            <w:r w:rsidRPr="00705A09">
              <w:rPr>
                <w:rFonts w:eastAsia="Times New Roman" w:cs="Arial"/>
                <w:b/>
                <w:color w:val="000000"/>
                <w:szCs w:val="24"/>
                <w:lang w:eastAsia="en-GB"/>
              </w:rPr>
              <w:t>Part Time</w:t>
            </w:r>
          </w:p>
        </w:tc>
        <w:tc>
          <w:tcPr>
            <w:tcW w:w="1429" w:type="pct"/>
            <w:gridSpan w:val="2"/>
            <w:shd w:val="clear" w:color="auto" w:fill="auto"/>
            <w:noWrap/>
            <w:vAlign w:val="bottom"/>
          </w:tcPr>
          <w:p w14:paraId="5544EAC7" w14:textId="77777777" w:rsidR="006F27FC" w:rsidRPr="00705A09" w:rsidRDefault="006F27FC" w:rsidP="00AC5B73">
            <w:pPr>
              <w:rPr>
                <w:rFonts w:eastAsia="Times New Roman" w:cs="Arial"/>
                <w:b/>
                <w:color w:val="000000"/>
                <w:szCs w:val="24"/>
                <w:lang w:eastAsia="en-GB"/>
              </w:rPr>
            </w:pPr>
            <w:r w:rsidRPr="00705A09">
              <w:rPr>
                <w:rFonts w:eastAsia="Times New Roman" w:cs="Arial"/>
                <w:b/>
                <w:color w:val="000000"/>
                <w:szCs w:val="24"/>
                <w:lang w:eastAsia="en-GB"/>
              </w:rPr>
              <w:t>Whole Time</w:t>
            </w:r>
          </w:p>
        </w:tc>
        <w:tc>
          <w:tcPr>
            <w:tcW w:w="1429" w:type="pct"/>
            <w:gridSpan w:val="2"/>
            <w:shd w:val="clear" w:color="auto" w:fill="auto"/>
            <w:noWrap/>
            <w:vAlign w:val="bottom"/>
          </w:tcPr>
          <w:p w14:paraId="4FEFABBC" w14:textId="77777777" w:rsidR="006F27FC" w:rsidRPr="00705A09" w:rsidRDefault="006F27FC" w:rsidP="00AC5B73">
            <w:pPr>
              <w:rPr>
                <w:rFonts w:eastAsia="Times New Roman" w:cs="Arial"/>
                <w:b/>
                <w:color w:val="000000"/>
                <w:szCs w:val="24"/>
                <w:lang w:eastAsia="en-GB"/>
              </w:rPr>
            </w:pPr>
            <w:r w:rsidRPr="00705A09">
              <w:rPr>
                <w:rFonts w:eastAsia="Times New Roman" w:cs="Arial"/>
                <w:b/>
                <w:color w:val="000000"/>
                <w:szCs w:val="24"/>
                <w:lang w:eastAsia="en-GB"/>
              </w:rPr>
              <w:t>Total</w:t>
            </w:r>
          </w:p>
        </w:tc>
      </w:tr>
      <w:tr w:rsidR="00B60FCC" w:rsidRPr="00705A09" w14:paraId="6F77F87F" w14:textId="77777777" w:rsidTr="00E93C1E">
        <w:trPr>
          <w:trHeight w:val="290"/>
          <w:jc w:val="center"/>
        </w:trPr>
        <w:tc>
          <w:tcPr>
            <w:tcW w:w="714" w:type="pct"/>
            <w:shd w:val="clear" w:color="auto" w:fill="auto"/>
            <w:noWrap/>
            <w:vAlign w:val="bottom"/>
            <w:hideMark/>
          </w:tcPr>
          <w:p w14:paraId="59242311" w14:textId="77777777" w:rsidR="00B60FCC" w:rsidRPr="00705A09" w:rsidRDefault="00B60FCC" w:rsidP="00AC5B73">
            <w:pPr>
              <w:rPr>
                <w:rFonts w:eastAsia="Times New Roman" w:cs="Arial"/>
                <w:b/>
                <w:bCs/>
                <w:szCs w:val="24"/>
                <w:lang w:eastAsia="en-GB"/>
              </w:rPr>
            </w:pPr>
            <w:r w:rsidRPr="00705A09">
              <w:rPr>
                <w:rFonts w:eastAsia="Times New Roman" w:cs="Arial"/>
                <w:b/>
                <w:bCs/>
                <w:szCs w:val="24"/>
                <w:lang w:eastAsia="en-GB"/>
              </w:rPr>
              <w:t>Female</w:t>
            </w:r>
          </w:p>
        </w:tc>
        <w:tc>
          <w:tcPr>
            <w:tcW w:w="714" w:type="pct"/>
            <w:shd w:val="clear" w:color="auto" w:fill="auto"/>
            <w:noWrap/>
            <w:hideMark/>
          </w:tcPr>
          <w:p w14:paraId="5A622BC6" w14:textId="17E1F6C8" w:rsidR="00B60FCC" w:rsidRPr="00705A09" w:rsidRDefault="00B60FCC" w:rsidP="00AC5B73">
            <w:pPr>
              <w:jc w:val="right"/>
              <w:rPr>
                <w:rFonts w:cs="Arial"/>
                <w:color w:val="000000"/>
                <w:szCs w:val="24"/>
              </w:rPr>
            </w:pPr>
            <w:r w:rsidRPr="002E666D">
              <w:t>545</w:t>
            </w:r>
          </w:p>
        </w:tc>
        <w:tc>
          <w:tcPr>
            <w:tcW w:w="714" w:type="pct"/>
            <w:shd w:val="clear" w:color="auto" w:fill="auto"/>
            <w:noWrap/>
            <w:hideMark/>
          </w:tcPr>
          <w:p w14:paraId="03363AA7" w14:textId="70279DB9" w:rsidR="00B60FCC" w:rsidRPr="00705A09" w:rsidRDefault="00B60FCC" w:rsidP="00AC5B73">
            <w:pPr>
              <w:jc w:val="right"/>
              <w:rPr>
                <w:rFonts w:cs="Arial"/>
                <w:color w:val="000000"/>
                <w:szCs w:val="24"/>
              </w:rPr>
            </w:pPr>
            <w:r w:rsidRPr="002E666D">
              <w:t>91.6%</w:t>
            </w:r>
          </w:p>
        </w:tc>
        <w:tc>
          <w:tcPr>
            <w:tcW w:w="715" w:type="pct"/>
            <w:shd w:val="clear" w:color="auto" w:fill="auto"/>
            <w:noWrap/>
            <w:hideMark/>
          </w:tcPr>
          <w:p w14:paraId="5274C579" w14:textId="72AF26ED" w:rsidR="00B60FCC" w:rsidRPr="00705A09" w:rsidRDefault="00B60FCC" w:rsidP="00AC5B73">
            <w:pPr>
              <w:jc w:val="right"/>
              <w:rPr>
                <w:rFonts w:cs="Arial"/>
                <w:color w:val="000000"/>
                <w:szCs w:val="24"/>
              </w:rPr>
            </w:pPr>
            <w:r w:rsidRPr="002E666D">
              <w:t>1052</w:t>
            </w:r>
          </w:p>
        </w:tc>
        <w:tc>
          <w:tcPr>
            <w:tcW w:w="714" w:type="pct"/>
            <w:shd w:val="clear" w:color="auto" w:fill="auto"/>
            <w:noWrap/>
            <w:hideMark/>
          </w:tcPr>
          <w:p w14:paraId="64C8A4A0" w14:textId="639B4907" w:rsidR="00B60FCC" w:rsidRPr="00705A09" w:rsidRDefault="00B60FCC" w:rsidP="00AC5B73">
            <w:pPr>
              <w:jc w:val="right"/>
              <w:rPr>
                <w:rFonts w:cs="Arial"/>
                <w:color w:val="000000"/>
                <w:szCs w:val="24"/>
              </w:rPr>
            </w:pPr>
            <w:r w:rsidRPr="002E666D">
              <w:t>68.4%</w:t>
            </w:r>
          </w:p>
        </w:tc>
        <w:tc>
          <w:tcPr>
            <w:tcW w:w="714" w:type="pct"/>
            <w:shd w:val="clear" w:color="auto" w:fill="auto"/>
            <w:noWrap/>
            <w:hideMark/>
          </w:tcPr>
          <w:p w14:paraId="00606DAA" w14:textId="5053FDD1" w:rsidR="00B60FCC" w:rsidRPr="00705A09" w:rsidRDefault="00B60FCC" w:rsidP="00AC5B73">
            <w:pPr>
              <w:jc w:val="right"/>
              <w:rPr>
                <w:rFonts w:cs="Arial"/>
                <w:color w:val="000000"/>
                <w:szCs w:val="24"/>
              </w:rPr>
            </w:pPr>
            <w:r w:rsidRPr="002E666D">
              <w:t>1597</w:t>
            </w:r>
          </w:p>
        </w:tc>
        <w:tc>
          <w:tcPr>
            <w:tcW w:w="715" w:type="pct"/>
            <w:shd w:val="clear" w:color="auto" w:fill="auto"/>
            <w:noWrap/>
            <w:hideMark/>
          </w:tcPr>
          <w:p w14:paraId="0E5BB694" w14:textId="5F04D85D" w:rsidR="00B60FCC" w:rsidRPr="00705A09" w:rsidRDefault="00B60FCC" w:rsidP="00AC5B73">
            <w:pPr>
              <w:jc w:val="right"/>
              <w:rPr>
                <w:rFonts w:cs="Arial"/>
                <w:color w:val="000000"/>
                <w:szCs w:val="24"/>
              </w:rPr>
            </w:pPr>
            <w:r w:rsidRPr="002E666D">
              <w:t>74.8%</w:t>
            </w:r>
          </w:p>
        </w:tc>
      </w:tr>
      <w:tr w:rsidR="00B60FCC" w:rsidRPr="00705A09" w14:paraId="6BE7D703" w14:textId="77777777" w:rsidTr="00E93C1E">
        <w:trPr>
          <w:trHeight w:val="300"/>
          <w:jc w:val="center"/>
        </w:trPr>
        <w:tc>
          <w:tcPr>
            <w:tcW w:w="714" w:type="pct"/>
            <w:shd w:val="clear" w:color="auto" w:fill="auto"/>
            <w:noWrap/>
            <w:vAlign w:val="bottom"/>
            <w:hideMark/>
          </w:tcPr>
          <w:p w14:paraId="68851933" w14:textId="77777777" w:rsidR="00B60FCC" w:rsidRPr="00705A09" w:rsidRDefault="00B60FCC" w:rsidP="00AC5B73">
            <w:pPr>
              <w:rPr>
                <w:rFonts w:eastAsia="Times New Roman" w:cs="Arial"/>
                <w:b/>
                <w:bCs/>
                <w:szCs w:val="24"/>
                <w:lang w:eastAsia="en-GB"/>
              </w:rPr>
            </w:pPr>
            <w:r w:rsidRPr="00705A09">
              <w:rPr>
                <w:rFonts w:eastAsia="Times New Roman" w:cs="Arial"/>
                <w:b/>
                <w:bCs/>
                <w:szCs w:val="24"/>
                <w:lang w:eastAsia="en-GB"/>
              </w:rPr>
              <w:t>Male</w:t>
            </w:r>
          </w:p>
        </w:tc>
        <w:tc>
          <w:tcPr>
            <w:tcW w:w="714" w:type="pct"/>
            <w:shd w:val="clear" w:color="auto" w:fill="auto"/>
            <w:noWrap/>
            <w:hideMark/>
          </w:tcPr>
          <w:p w14:paraId="5524AFB0" w14:textId="49174DF4" w:rsidR="00B60FCC" w:rsidRPr="00705A09" w:rsidRDefault="00B60FCC" w:rsidP="00AC5B73">
            <w:pPr>
              <w:jc w:val="right"/>
              <w:rPr>
                <w:rFonts w:cs="Arial"/>
                <w:color w:val="000000"/>
                <w:szCs w:val="24"/>
              </w:rPr>
            </w:pPr>
            <w:r w:rsidRPr="002E666D">
              <w:t>50</w:t>
            </w:r>
          </w:p>
        </w:tc>
        <w:tc>
          <w:tcPr>
            <w:tcW w:w="714" w:type="pct"/>
            <w:shd w:val="clear" w:color="auto" w:fill="auto"/>
            <w:noWrap/>
            <w:hideMark/>
          </w:tcPr>
          <w:p w14:paraId="7B74DDEF" w14:textId="5C970FFC" w:rsidR="00B60FCC" w:rsidRPr="00705A09" w:rsidRDefault="00B60FCC" w:rsidP="00AC5B73">
            <w:pPr>
              <w:jc w:val="right"/>
              <w:rPr>
                <w:rFonts w:cs="Arial"/>
                <w:color w:val="000000"/>
                <w:szCs w:val="24"/>
              </w:rPr>
            </w:pPr>
            <w:r w:rsidRPr="002E666D">
              <w:t>8.4%</w:t>
            </w:r>
          </w:p>
        </w:tc>
        <w:tc>
          <w:tcPr>
            <w:tcW w:w="715" w:type="pct"/>
            <w:shd w:val="clear" w:color="auto" w:fill="auto"/>
            <w:noWrap/>
            <w:hideMark/>
          </w:tcPr>
          <w:p w14:paraId="4D730259" w14:textId="68B4208F" w:rsidR="00B60FCC" w:rsidRPr="00705A09" w:rsidRDefault="00B60FCC" w:rsidP="00AC5B73">
            <w:pPr>
              <w:jc w:val="right"/>
              <w:rPr>
                <w:rFonts w:cs="Arial"/>
                <w:color w:val="000000"/>
                <w:szCs w:val="24"/>
              </w:rPr>
            </w:pPr>
            <w:r w:rsidRPr="002E666D">
              <w:t>487</w:t>
            </w:r>
          </w:p>
        </w:tc>
        <w:tc>
          <w:tcPr>
            <w:tcW w:w="714" w:type="pct"/>
            <w:shd w:val="clear" w:color="auto" w:fill="auto"/>
            <w:noWrap/>
            <w:hideMark/>
          </w:tcPr>
          <w:p w14:paraId="502DF928" w14:textId="2083478C" w:rsidR="00B60FCC" w:rsidRPr="00705A09" w:rsidRDefault="00B60FCC" w:rsidP="00AC5B73">
            <w:pPr>
              <w:jc w:val="right"/>
              <w:rPr>
                <w:rFonts w:cs="Arial"/>
                <w:color w:val="000000"/>
                <w:szCs w:val="24"/>
              </w:rPr>
            </w:pPr>
            <w:r w:rsidRPr="002E666D">
              <w:t>31.6%</w:t>
            </w:r>
          </w:p>
        </w:tc>
        <w:tc>
          <w:tcPr>
            <w:tcW w:w="714" w:type="pct"/>
            <w:shd w:val="clear" w:color="auto" w:fill="auto"/>
            <w:noWrap/>
            <w:hideMark/>
          </w:tcPr>
          <w:p w14:paraId="0EBC51CB" w14:textId="6176CC1C" w:rsidR="00B60FCC" w:rsidRPr="00705A09" w:rsidRDefault="00B60FCC" w:rsidP="00AC5B73">
            <w:pPr>
              <w:jc w:val="right"/>
              <w:rPr>
                <w:rFonts w:cs="Arial"/>
                <w:color w:val="000000"/>
                <w:szCs w:val="24"/>
              </w:rPr>
            </w:pPr>
            <w:r w:rsidRPr="002E666D">
              <w:t>537</w:t>
            </w:r>
          </w:p>
        </w:tc>
        <w:tc>
          <w:tcPr>
            <w:tcW w:w="715" w:type="pct"/>
            <w:shd w:val="clear" w:color="auto" w:fill="auto"/>
            <w:noWrap/>
            <w:hideMark/>
          </w:tcPr>
          <w:p w14:paraId="699A9F8D" w14:textId="6B9776D5" w:rsidR="00B60FCC" w:rsidRPr="00705A09" w:rsidRDefault="00B60FCC" w:rsidP="00AC5B73">
            <w:pPr>
              <w:jc w:val="right"/>
              <w:rPr>
                <w:rFonts w:cs="Arial"/>
                <w:color w:val="000000"/>
                <w:szCs w:val="24"/>
              </w:rPr>
            </w:pPr>
            <w:r w:rsidRPr="002E666D">
              <w:t>25.2%</w:t>
            </w:r>
          </w:p>
        </w:tc>
      </w:tr>
      <w:tr w:rsidR="00B60FCC" w:rsidRPr="00705A09" w14:paraId="02A27752" w14:textId="77777777" w:rsidTr="00E93C1E">
        <w:trPr>
          <w:trHeight w:val="300"/>
          <w:jc w:val="center"/>
        </w:trPr>
        <w:tc>
          <w:tcPr>
            <w:tcW w:w="714" w:type="pct"/>
            <w:shd w:val="clear" w:color="auto" w:fill="auto"/>
            <w:noWrap/>
            <w:vAlign w:val="bottom"/>
            <w:hideMark/>
          </w:tcPr>
          <w:p w14:paraId="3830726B" w14:textId="77777777" w:rsidR="00B60FCC" w:rsidRPr="00705A09" w:rsidRDefault="00B60FCC" w:rsidP="00AC5B73">
            <w:pPr>
              <w:rPr>
                <w:rFonts w:eastAsia="Times New Roman" w:cs="Arial"/>
                <w:b/>
                <w:bCs/>
                <w:szCs w:val="24"/>
                <w:lang w:eastAsia="en-GB"/>
              </w:rPr>
            </w:pPr>
            <w:r w:rsidRPr="00705A09">
              <w:rPr>
                <w:rFonts w:eastAsia="Times New Roman" w:cs="Arial"/>
                <w:b/>
                <w:bCs/>
                <w:szCs w:val="24"/>
                <w:lang w:eastAsia="en-GB"/>
              </w:rPr>
              <w:t>Total</w:t>
            </w:r>
          </w:p>
        </w:tc>
        <w:tc>
          <w:tcPr>
            <w:tcW w:w="714" w:type="pct"/>
            <w:shd w:val="clear" w:color="auto" w:fill="auto"/>
            <w:noWrap/>
            <w:hideMark/>
          </w:tcPr>
          <w:p w14:paraId="35A2551A" w14:textId="76BD005C" w:rsidR="00B60FCC" w:rsidRPr="00705A09" w:rsidRDefault="00B60FCC" w:rsidP="00AC5B73">
            <w:pPr>
              <w:jc w:val="right"/>
              <w:rPr>
                <w:rFonts w:cs="Arial"/>
                <w:szCs w:val="24"/>
              </w:rPr>
            </w:pPr>
            <w:r w:rsidRPr="002E666D">
              <w:t>595</w:t>
            </w:r>
          </w:p>
        </w:tc>
        <w:tc>
          <w:tcPr>
            <w:tcW w:w="714" w:type="pct"/>
            <w:shd w:val="clear" w:color="auto" w:fill="auto"/>
            <w:noWrap/>
            <w:hideMark/>
          </w:tcPr>
          <w:p w14:paraId="2FA7A54E" w14:textId="2F7A03B3" w:rsidR="00B60FCC" w:rsidRPr="00705A09" w:rsidRDefault="00B60FCC" w:rsidP="00AC5B73">
            <w:pPr>
              <w:jc w:val="right"/>
              <w:rPr>
                <w:rFonts w:cs="Arial"/>
                <w:szCs w:val="24"/>
              </w:rPr>
            </w:pPr>
            <w:r w:rsidRPr="002E666D">
              <w:t>100.0%</w:t>
            </w:r>
          </w:p>
        </w:tc>
        <w:tc>
          <w:tcPr>
            <w:tcW w:w="715" w:type="pct"/>
            <w:shd w:val="clear" w:color="auto" w:fill="auto"/>
            <w:noWrap/>
            <w:hideMark/>
          </w:tcPr>
          <w:p w14:paraId="4D7D7987" w14:textId="73B8921A" w:rsidR="00B60FCC" w:rsidRPr="00705A09" w:rsidRDefault="00B60FCC" w:rsidP="00AC5B73">
            <w:pPr>
              <w:jc w:val="right"/>
              <w:rPr>
                <w:rFonts w:cs="Arial"/>
                <w:szCs w:val="24"/>
              </w:rPr>
            </w:pPr>
            <w:r w:rsidRPr="002E666D">
              <w:t>1539</w:t>
            </w:r>
          </w:p>
        </w:tc>
        <w:tc>
          <w:tcPr>
            <w:tcW w:w="714" w:type="pct"/>
            <w:shd w:val="clear" w:color="auto" w:fill="auto"/>
            <w:noWrap/>
            <w:hideMark/>
          </w:tcPr>
          <w:p w14:paraId="61AC01DD" w14:textId="7FC7C760" w:rsidR="00B60FCC" w:rsidRPr="00705A09" w:rsidRDefault="00B60FCC" w:rsidP="00AC5B73">
            <w:pPr>
              <w:jc w:val="right"/>
              <w:rPr>
                <w:rFonts w:cs="Arial"/>
                <w:szCs w:val="24"/>
              </w:rPr>
            </w:pPr>
            <w:r w:rsidRPr="002E666D">
              <w:t>100.0%</w:t>
            </w:r>
          </w:p>
        </w:tc>
        <w:tc>
          <w:tcPr>
            <w:tcW w:w="714" w:type="pct"/>
            <w:shd w:val="clear" w:color="auto" w:fill="auto"/>
            <w:noWrap/>
            <w:hideMark/>
          </w:tcPr>
          <w:p w14:paraId="1ED0629D" w14:textId="50136015" w:rsidR="00B60FCC" w:rsidRPr="00705A09" w:rsidRDefault="00B60FCC" w:rsidP="00AC5B73">
            <w:pPr>
              <w:jc w:val="right"/>
              <w:rPr>
                <w:rFonts w:cs="Arial"/>
                <w:szCs w:val="24"/>
              </w:rPr>
            </w:pPr>
            <w:r w:rsidRPr="002E666D">
              <w:t>2134</w:t>
            </w:r>
          </w:p>
        </w:tc>
        <w:tc>
          <w:tcPr>
            <w:tcW w:w="715" w:type="pct"/>
            <w:shd w:val="clear" w:color="auto" w:fill="auto"/>
            <w:noWrap/>
            <w:hideMark/>
          </w:tcPr>
          <w:p w14:paraId="3B63E705" w14:textId="1E90DCBD" w:rsidR="00B60FCC" w:rsidRPr="00705A09" w:rsidRDefault="00B60FCC" w:rsidP="00AC5B73">
            <w:pPr>
              <w:jc w:val="right"/>
              <w:rPr>
                <w:rFonts w:cs="Arial"/>
                <w:szCs w:val="24"/>
              </w:rPr>
            </w:pPr>
            <w:r w:rsidRPr="002E666D">
              <w:t>100.0%</w:t>
            </w:r>
          </w:p>
        </w:tc>
      </w:tr>
    </w:tbl>
    <w:p w14:paraId="2DC849B9" w14:textId="77777777" w:rsidR="00BC2FF7" w:rsidRDefault="00BC2FF7" w:rsidP="00AC5B73">
      <w:pPr>
        <w:rPr>
          <w:rFonts w:cs="Arial"/>
          <w:szCs w:val="24"/>
        </w:rPr>
      </w:pPr>
    </w:p>
    <w:p w14:paraId="77C11C3E" w14:textId="017E2CA0" w:rsidR="002B3444" w:rsidRDefault="00D50A76" w:rsidP="00AC5B73">
      <w:pPr>
        <w:rPr>
          <w:rFonts w:cs="Arial"/>
          <w:szCs w:val="24"/>
        </w:rPr>
      </w:pPr>
      <w:r>
        <w:rPr>
          <w:rFonts w:cs="Arial"/>
          <w:szCs w:val="24"/>
        </w:rPr>
        <w:t>eESS</w:t>
      </w:r>
      <w:r w:rsidR="002B3444">
        <w:rPr>
          <w:rFonts w:cs="Arial"/>
          <w:szCs w:val="24"/>
        </w:rPr>
        <w:t xml:space="preserve"> does not allow for intersex staff to report as such, despite intersex people accounting for up to 1.7% of people globally.</w:t>
      </w:r>
      <w:r w:rsidR="00DE06B8">
        <w:rPr>
          <w:rFonts w:cs="Arial"/>
          <w:szCs w:val="24"/>
        </w:rPr>
        <w:t xml:space="preserve"> </w:t>
      </w:r>
      <w:r w:rsidR="002B3444">
        <w:rPr>
          <w:rFonts w:cs="Arial"/>
          <w:szCs w:val="24"/>
        </w:rPr>
        <w:t>Intersex is a sex where the physical and biological sex characteristics of an individual do not conform to either the male or female sex, an example of which is Kllienfelter (47, XXY) syndrome.</w:t>
      </w:r>
    </w:p>
    <w:p w14:paraId="466565CB" w14:textId="77777777" w:rsidR="002B3444" w:rsidRPr="00705A09" w:rsidRDefault="002B3444" w:rsidP="00AC5B73">
      <w:pPr>
        <w:rPr>
          <w:rFonts w:cs="Arial"/>
          <w:szCs w:val="24"/>
        </w:rPr>
      </w:pPr>
    </w:p>
    <w:p w14:paraId="3AFEEC8C" w14:textId="2D3DA3B3" w:rsidR="00CB7C40" w:rsidRPr="00705A09" w:rsidRDefault="006226E9" w:rsidP="00AC5B73">
      <w:pPr>
        <w:pStyle w:val="Heading3"/>
      </w:pPr>
      <w:bookmarkStart w:id="66" w:name="_Toc108076905"/>
      <w:r>
        <w:t>Pay Gap</w:t>
      </w:r>
      <w:bookmarkEnd w:id="66"/>
    </w:p>
    <w:p w14:paraId="60C57B7E" w14:textId="1C34CDEC" w:rsidR="006376F4" w:rsidRDefault="00CB7C40" w:rsidP="00AC5B73">
      <w:pPr>
        <w:rPr>
          <w:rFonts w:cs="Arial"/>
          <w:szCs w:val="24"/>
        </w:rPr>
      </w:pPr>
      <w:r w:rsidRPr="00705A09">
        <w:rPr>
          <w:rFonts w:cs="Arial"/>
          <w:szCs w:val="24"/>
        </w:rPr>
        <w:t xml:space="preserve">In this report we will also look at </w:t>
      </w:r>
      <w:r w:rsidR="006226E9">
        <w:rPr>
          <w:rFonts w:cs="Arial"/>
          <w:szCs w:val="24"/>
        </w:rPr>
        <w:t>the pay gap</w:t>
      </w:r>
      <w:r w:rsidRPr="00705A09">
        <w:rPr>
          <w:rFonts w:cs="Arial"/>
          <w:szCs w:val="24"/>
        </w:rPr>
        <w:t xml:space="preserve"> in relation</w:t>
      </w:r>
      <w:r w:rsidR="006226E9">
        <w:rPr>
          <w:rFonts w:cs="Arial"/>
          <w:szCs w:val="24"/>
        </w:rPr>
        <w:t xml:space="preserve"> to </w:t>
      </w:r>
      <w:r w:rsidR="00BA2B5C">
        <w:rPr>
          <w:rFonts w:cs="Arial"/>
          <w:szCs w:val="24"/>
        </w:rPr>
        <w:t>sex</w:t>
      </w:r>
      <w:r w:rsidR="00A363F7" w:rsidRPr="00705A09">
        <w:rPr>
          <w:rFonts w:cs="Arial"/>
          <w:szCs w:val="24"/>
        </w:rPr>
        <w:t xml:space="preserve">. </w:t>
      </w:r>
      <w:r w:rsidRPr="00705A09">
        <w:rPr>
          <w:rFonts w:cs="Arial"/>
          <w:szCs w:val="24"/>
        </w:rPr>
        <w:t xml:space="preserve">The table below shows the average salary split by </w:t>
      </w:r>
      <w:r w:rsidR="006226E9">
        <w:rPr>
          <w:rFonts w:cs="Arial"/>
          <w:szCs w:val="24"/>
        </w:rPr>
        <w:t>sex</w:t>
      </w:r>
      <w:r w:rsidRPr="00705A09">
        <w:rPr>
          <w:rFonts w:cs="Arial"/>
          <w:szCs w:val="24"/>
        </w:rPr>
        <w:t xml:space="preserve"> </w:t>
      </w:r>
      <w:r w:rsidR="00C84178" w:rsidRPr="00705A09">
        <w:rPr>
          <w:rFonts w:cs="Arial"/>
          <w:szCs w:val="24"/>
        </w:rPr>
        <w:t>and whole time/part time status:</w:t>
      </w:r>
    </w:p>
    <w:p w14:paraId="30CCA94E" w14:textId="77777777" w:rsidR="006376F4" w:rsidRDefault="006376F4" w:rsidP="00AC5B73">
      <w:pPr>
        <w:spacing w:after="200" w:line="276" w:lineRule="auto"/>
        <w:rPr>
          <w:rFonts w:cs="Arial"/>
          <w:szCs w:val="24"/>
        </w:rPr>
      </w:pPr>
      <w:r>
        <w:rPr>
          <w:rFonts w:cs="Arial"/>
          <w:szCs w:val="24"/>
        </w:rPr>
        <w:br w:type="page"/>
      </w:r>
    </w:p>
    <w:tbl>
      <w:tblPr>
        <w:tblW w:w="0" w:type="auto"/>
        <w:jc w:val="center"/>
        <w:tblLook w:val="04A0" w:firstRow="1" w:lastRow="0" w:firstColumn="1" w:lastColumn="0" w:noHBand="0" w:noVBand="1"/>
      </w:tblPr>
      <w:tblGrid>
        <w:gridCol w:w="1044"/>
        <w:gridCol w:w="2403"/>
        <w:gridCol w:w="1457"/>
        <w:gridCol w:w="1951"/>
      </w:tblGrid>
      <w:tr w:rsidR="00CB7C40" w:rsidRPr="00705A09" w14:paraId="65BE2E04" w14:textId="77777777" w:rsidTr="00CB7C40">
        <w:trPr>
          <w:trHeight w:val="2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D415C" w14:textId="77777777" w:rsidR="00CB7C40" w:rsidRPr="00705A09" w:rsidRDefault="002B3444" w:rsidP="00AC5B73">
            <w:pPr>
              <w:rPr>
                <w:rFonts w:eastAsia="Times New Roman" w:cs="Arial"/>
                <w:b/>
                <w:color w:val="000000"/>
                <w:szCs w:val="24"/>
                <w:lang w:eastAsia="en-GB"/>
              </w:rPr>
            </w:pPr>
            <w:r>
              <w:rPr>
                <w:rFonts w:eastAsia="Times New Roman" w:cs="Arial"/>
                <w:b/>
                <w:color w:val="000000"/>
                <w:szCs w:val="24"/>
                <w:lang w:eastAsia="en-GB"/>
              </w:rPr>
              <w:lastRenderedPageBreak/>
              <w:t>Sex</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5413DB7"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Whole or Part Time</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2E9606A"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Headcount</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E246832"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Average Salary</w:t>
            </w:r>
          </w:p>
        </w:tc>
      </w:tr>
      <w:tr w:rsidR="00CB7C40" w:rsidRPr="00705A09" w14:paraId="052377CC" w14:textId="77777777" w:rsidTr="00A24B8B">
        <w:trPr>
          <w:trHeight w:val="290"/>
          <w:jc w:val="center"/>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14:paraId="4BF836DB"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Female</w:t>
            </w:r>
          </w:p>
        </w:tc>
        <w:tc>
          <w:tcPr>
            <w:tcW w:w="0" w:type="auto"/>
            <w:tcBorders>
              <w:top w:val="nil"/>
              <w:left w:val="nil"/>
              <w:bottom w:val="single" w:sz="4" w:space="0" w:color="auto"/>
              <w:right w:val="single" w:sz="4" w:space="0" w:color="auto"/>
            </w:tcBorders>
            <w:shd w:val="clear" w:color="auto" w:fill="auto"/>
            <w:noWrap/>
            <w:vAlign w:val="bottom"/>
            <w:hideMark/>
          </w:tcPr>
          <w:p w14:paraId="0C5D3C83"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Part Time</w:t>
            </w:r>
          </w:p>
        </w:tc>
        <w:tc>
          <w:tcPr>
            <w:tcW w:w="0" w:type="auto"/>
            <w:tcBorders>
              <w:top w:val="nil"/>
              <w:left w:val="nil"/>
              <w:bottom w:val="single" w:sz="4" w:space="0" w:color="auto"/>
              <w:right w:val="single" w:sz="4" w:space="0" w:color="auto"/>
            </w:tcBorders>
            <w:shd w:val="clear" w:color="auto" w:fill="auto"/>
            <w:noWrap/>
            <w:vAlign w:val="bottom"/>
          </w:tcPr>
          <w:p w14:paraId="6FE735F8" w14:textId="3682B05D"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545</w:t>
            </w:r>
          </w:p>
        </w:tc>
        <w:tc>
          <w:tcPr>
            <w:tcW w:w="0" w:type="auto"/>
            <w:tcBorders>
              <w:top w:val="nil"/>
              <w:left w:val="nil"/>
              <w:bottom w:val="single" w:sz="4" w:space="0" w:color="auto"/>
              <w:right w:val="single" w:sz="4" w:space="0" w:color="auto"/>
            </w:tcBorders>
            <w:shd w:val="clear" w:color="auto" w:fill="auto"/>
            <w:noWrap/>
            <w:vAlign w:val="bottom"/>
          </w:tcPr>
          <w:p w14:paraId="140E56C5" w14:textId="6C6D4A96"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£32,985</w:t>
            </w:r>
          </w:p>
        </w:tc>
      </w:tr>
      <w:tr w:rsidR="00CB7C40" w:rsidRPr="00705A09" w14:paraId="3315DB41" w14:textId="77777777" w:rsidTr="00A24B8B">
        <w:trPr>
          <w:trHeight w:val="290"/>
          <w:jc w:val="center"/>
        </w:trPr>
        <w:tc>
          <w:tcPr>
            <w:tcW w:w="0" w:type="auto"/>
            <w:vMerge/>
            <w:tcBorders>
              <w:top w:val="nil"/>
              <w:left w:val="single" w:sz="4" w:space="0" w:color="auto"/>
              <w:bottom w:val="single" w:sz="4" w:space="0" w:color="auto"/>
              <w:right w:val="single" w:sz="4" w:space="0" w:color="auto"/>
            </w:tcBorders>
            <w:vAlign w:val="center"/>
            <w:hideMark/>
          </w:tcPr>
          <w:p w14:paraId="3CB77160" w14:textId="77777777" w:rsidR="00CB7C40" w:rsidRPr="00705A09" w:rsidRDefault="00CB7C40" w:rsidP="00AC5B73">
            <w:pPr>
              <w:rPr>
                <w:rFonts w:eastAsia="Times New Roman" w:cs="Arial"/>
                <w:b/>
                <w:color w:val="000000"/>
                <w:szCs w:val="24"/>
                <w:lang w:eastAsia="en-GB"/>
              </w:rPr>
            </w:pPr>
          </w:p>
        </w:tc>
        <w:tc>
          <w:tcPr>
            <w:tcW w:w="0" w:type="auto"/>
            <w:tcBorders>
              <w:top w:val="nil"/>
              <w:left w:val="nil"/>
              <w:bottom w:val="single" w:sz="4" w:space="0" w:color="auto"/>
              <w:right w:val="single" w:sz="4" w:space="0" w:color="auto"/>
            </w:tcBorders>
            <w:shd w:val="clear" w:color="auto" w:fill="auto"/>
            <w:noWrap/>
            <w:vAlign w:val="bottom"/>
            <w:hideMark/>
          </w:tcPr>
          <w:p w14:paraId="6485466A"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Whole Time</w:t>
            </w:r>
          </w:p>
        </w:tc>
        <w:tc>
          <w:tcPr>
            <w:tcW w:w="0" w:type="auto"/>
            <w:tcBorders>
              <w:top w:val="nil"/>
              <w:left w:val="nil"/>
              <w:bottom w:val="single" w:sz="4" w:space="0" w:color="auto"/>
              <w:right w:val="single" w:sz="4" w:space="0" w:color="auto"/>
            </w:tcBorders>
            <w:shd w:val="clear" w:color="auto" w:fill="auto"/>
            <w:noWrap/>
            <w:vAlign w:val="bottom"/>
          </w:tcPr>
          <w:p w14:paraId="67EB48D7" w14:textId="3895C6D1"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1052</w:t>
            </w:r>
          </w:p>
        </w:tc>
        <w:tc>
          <w:tcPr>
            <w:tcW w:w="0" w:type="auto"/>
            <w:tcBorders>
              <w:top w:val="nil"/>
              <w:left w:val="nil"/>
              <w:bottom w:val="single" w:sz="4" w:space="0" w:color="auto"/>
              <w:right w:val="single" w:sz="4" w:space="0" w:color="auto"/>
            </w:tcBorders>
            <w:shd w:val="clear" w:color="auto" w:fill="auto"/>
            <w:noWrap/>
            <w:vAlign w:val="bottom"/>
          </w:tcPr>
          <w:p w14:paraId="4856555E" w14:textId="63728CDB"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£35,107</w:t>
            </w:r>
          </w:p>
        </w:tc>
      </w:tr>
      <w:tr w:rsidR="00CB7C40" w:rsidRPr="00705A09" w14:paraId="7E6CF9DF" w14:textId="77777777" w:rsidTr="00A24B8B">
        <w:trPr>
          <w:trHeight w:val="290"/>
          <w:jc w:val="center"/>
        </w:trPr>
        <w:tc>
          <w:tcPr>
            <w:tcW w:w="0" w:type="auto"/>
            <w:gridSpan w:val="2"/>
            <w:tcBorders>
              <w:top w:val="nil"/>
              <w:left w:val="single" w:sz="4" w:space="0" w:color="auto"/>
              <w:bottom w:val="single" w:sz="4" w:space="0" w:color="auto"/>
              <w:right w:val="single" w:sz="4" w:space="0" w:color="auto"/>
            </w:tcBorders>
            <w:shd w:val="clear" w:color="auto" w:fill="auto"/>
            <w:noWrap/>
            <w:vAlign w:val="bottom"/>
            <w:hideMark/>
          </w:tcPr>
          <w:p w14:paraId="688919DD"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Female Total </w:t>
            </w:r>
          </w:p>
        </w:tc>
        <w:tc>
          <w:tcPr>
            <w:tcW w:w="0" w:type="auto"/>
            <w:tcBorders>
              <w:top w:val="nil"/>
              <w:left w:val="nil"/>
              <w:bottom w:val="single" w:sz="4" w:space="0" w:color="auto"/>
              <w:right w:val="single" w:sz="4" w:space="0" w:color="auto"/>
            </w:tcBorders>
            <w:shd w:val="clear" w:color="auto" w:fill="auto"/>
            <w:noWrap/>
            <w:vAlign w:val="bottom"/>
          </w:tcPr>
          <w:p w14:paraId="6EB21789" w14:textId="6FCDCCAE"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1597</w:t>
            </w:r>
          </w:p>
        </w:tc>
        <w:tc>
          <w:tcPr>
            <w:tcW w:w="0" w:type="auto"/>
            <w:tcBorders>
              <w:top w:val="nil"/>
              <w:left w:val="nil"/>
              <w:bottom w:val="single" w:sz="4" w:space="0" w:color="auto"/>
              <w:right w:val="single" w:sz="4" w:space="0" w:color="auto"/>
            </w:tcBorders>
            <w:shd w:val="clear" w:color="auto" w:fill="auto"/>
            <w:noWrap/>
            <w:vAlign w:val="bottom"/>
          </w:tcPr>
          <w:p w14:paraId="413DE452" w14:textId="144444AB"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£34,383</w:t>
            </w:r>
          </w:p>
        </w:tc>
      </w:tr>
      <w:tr w:rsidR="00CB7C40" w:rsidRPr="00705A09" w14:paraId="1A814854" w14:textId="77777777" w:rsidTr="00A24B8B">
        <w:trPr>
          <w:trHeight w:val="290"/>
          <w:jc w:val="center"/>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14:paraId="35BAE948"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Male</w:t>
            </w:r>
          </w:p>
        </w:tc>
        <w:tc>
          <w:tcPr>
            <w:tcW w:w="0" w:type="auto"/>
            <w:tcBorders>
              <w:top w:val="nil"/>
              <w:left w:val="nil"/>
              <w:bottom w:val="single" w:sz="4" w:space="0" w:color="auto"/>
              <w:right w:val="single" w:sz="4" w:space="0" w:color="auto"/>
            </w:tcBorders>
            <w:shd w:val="clear" w:color="auto" w:fill="auto"/>
            <w:noWrap/>
            <w:vAlign w:val="bottom"/>
            <w:hideMark/>
          </w:tcPr>
          <w:p w14:paraId="5E944001"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Part Time</w:t>
            </w:r>
          </w:p>
        </w:tc>
        <w:tc>
          <w:tcPr>
            <w:tcW w:w="0" w:type="auto"/>
            <w:tcBorders>
              <w:top w:val="nil"/>
              <w:left w:val="nil"/>
              <w:bottom w:val="single" w:sz="4" w:space="0" w:color="auto"/>
              <w:right w:val="single" w:sz="4" w:space="0" w:color="auto"/>
            </w:tcBorders>
            <w:shd w:val="clear" w:color="auto" w:fill="auto"/>
            <w:noWrap/>
            <w:vAlign w:val="bottom"/>
          </w:tcPr>
          <w:p w14:paraId="78683FD3" w14:textId="13342050"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50</w:t>
            </w:r>
          </w:p>
        </w:tc>
        <w:tc>
          <w:tcPr>
            <w:tcW w:w="0" w:type="auto"/>
            <w:tcBorders>
              <w:top w:val="nil"/>
              <w:left w:val="nil"/>
              <w:bottom w:val="single" w:sz="4" w:space="0" w:color="auto"/>
              <w:right w:val="single" w:sz="4" w:space="0" w:color="auto"/>
            </w:tcBorders>
            <w:shd w:val="clear" w:color="auto" w:fill="auto"/>
            <w:noWrap/>
            <w:vAlign w:val="bottom"/>
          </w:tcPr>
          <w:p w14:paraId="52657D35" w14:textId="349990AC"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£51,240</w:t>
            </w:r>
          </w:p>
        </w:tc>
      </w:tr>
      <w:tr w:rsidR="00CB7C40" w:rsidRPr="00705A09" w14:paraId="13ABC9DB" w14:textId="77777777" w:rsidTr="00A24B8B">
        <w:trPr>
          <w:trHeight w:val="290"/>
          <w:jc w:val="center"/>
        </w:trPr>
        <w:tc>
          <w:tcPr>
            <w:tcW w:w="0" w:type="auto"/>
            <w:vMerge/>
            <w:tcBorders>
              <w:top w:val="nil"/>
              <w:left w:val="single" w:sz="4" w:space="0" w:color="auto"/>
              <w:bottom w:val="single" w:sz="4" w:space="0" w:color="auto"/>
              <w:right w:val="single" w:sz="4" w:space="0" w:color="auto"/>
            </w:tcBorders>
            <w:vAlign w:val="center"/>
            <w:hideMark/>
          </w:tcPr>
          <w:p w14:paraId="6CC06B78" w14:textId="77777777" w:rsidR="00CB7C40" w:rsidRPr="00705A09" w:rsidRDefault="00CB7C40" w:rsidP="00AC5B73">
            <w:pPr>
              <w:rPr>
                <w:rFonts w:eastAsia="Times New Roman" w:cs="Arial"/>
                <w:b/>
                <w:color w:val="000000"/>
                <w:szCs w:val="24"/>
                <w:lang w:eastAsia="en-GB"/>
              </w:rPr>
            </w:pPr>
          </w:p>
        </w:tc>
        <w:tc>
          <w:tcPr>
            <w:tcW w:w="0" w:type="auto"/>
            <w:tcBorders>
              <w:top w:val="nil"/>
              <w:left w:val="nil"/>
              <w:bottom w:val="single" w:sz="4" w:space="0" w:color="auto"/>
              <w:right w:val="single" w:sz="4" w:space="0" w:color="auto"/>
            </w:tcBorders>
            <w:shd w:val="clear" w:color="auto" w:fill="auto"/>
            <w:noWrap/>
            <w:vAlign w:val="bottom"/>
            <w:hideMark/>
          </w:tcPr>
          <w:p w14:paraId="2CE7DA33"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Whole Time</w:t>
            </w:r>
          </w:p>
        </w:tc>
        <w:tc>
          <w:tcPr>
            <w:tcW w:w="0" w:type="auto"/>
            <w:tcBorders>
              <w:top w:val="nil"/>
              <w:left w:val="nil"/>
              <w:bottom w:val="single" w:sz="4" w:space="0" w:color="auto"/>
              <w:right w:val="single" w:sz="4" w:space="0" w:color="auto"/>
            </w:tcBorders>
            <w:shd w:val="clear" w:color="auto" w:fill="auto"/>
            <w:noWrap/>
            <w:vAlign w:val="bottom"/>
          </w:tcPr>
          <w:p w14:paraId="55AA96E4" w14:textId="28FAC5D6"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487</w:t>
            </w:r>
          </w:p>
        </w:tc>
        <w:tc>
          <w:tcPr>
            <w:tcW w:w="0" w:type="auto"/>
            <w:tcBorders>
              <w:top w:val="nil"/>
              <w:left w:val="nil"/>
              <w:bottom w:val="single" w:sz="4" w:space="0" w:color="auto"/>
              <w:right w:val="single" w:sz="4" w:space="0" w:color="auto"/>
            </w:tcBorders>
            <w:shd w:val="clear" w:color="auto" w:fill="auto"/>
            <w:noWrap/>
            <w:vAlign w:val="bottom"/>
          </w:tcPr>
          <w:p w14:paraId="0C6B83CB" w14:textId="5F87DBD4"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£45,759</w:t>
            </w:r>
          </w:p>
        </w:tc>
      </w:tr>
      <w:tr w:rsidR="00CB7C40" w:rsidRPr="00705A09" w14:paraId="4A116D0F" w14:textId="77777777" w:rsidTr="00A24B8B">
        <w:trPr>
          <w:trHeight w:val="290"/>
          <w:jc w:val="center"/>
        </w:trPr>
        <w:tc>
          <w:tcPr>
            <w:tcW w:w="0" w:type="auto"/>
            <w:gridSpan w:val="2"/>
            <w:tcBorders>
              <w:top w:val="nil"/>
              <w:left w:val="single" w:sz="4" w:space="0" w:color="auto"/>
              <w:bottom w:val="single" w:sz="4" w:space="0" w:color="auto"/>
              <w:right w:val="single" w:sz="4" w:space="0" w:color="auto"/>
            </w:tcBorders>
            <w:shd w:val="clear" w:color="auto" w:fill="auto"/>
            <w:noWrap/>
            <w:vAlign w:val="bottom"/>
            <w:hideMark/>
          </w:tcPr>
          <w:p w14:paraId="406B987F"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Male Total </w:t>
            </w:r>
          </w:p>
        </w:tc>
        <w:tc>
          <w:tcPr>
            <w:tcW w:w="0" w:type="auto"/>
            <w:tcBorders>
              <w:top w:val="nil"/>
              <w:left w:val="nil"/>
              <w:bottom w:val="single" w:sz="4" w:space="0" w:color="auto"/>
              <w:right w:val="single" w:sz="4" w:space="0" w:color="auto"/>
            </w:tcBorders>
            <w:shd w:val="clear" w:color="auto" w:fill="auto"/>
            <w:noWrap/>
            <w:vAlign w:val="bottom"/>
          </w:tcPr>
          <w:p w14:paraId="7AC613FA" w14:textId="72F1D4A2"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537</w:t>
            </w:r>
          </w:p>
        </w:tc>
        <w:tc>
          <w:tcPr>
            <w:tcW w:w="0" w:type="auto"/>
            <w:tcBorders>
              <w:top w:val="nil"/>
              <w:left w:val="nil"/>
              <w:bottom w:val="single" w:sz="4" w:space="0" w:color="auto"/>
              <w:right w:val="single" w:sz="4" w:space="0" w:color="auto"/>
            </w:tcBorders>
            <w:shd w:val="clear" w:color="auto" w:fill="auto"/>
            <w:noWrap/>
            <w:vAlign w:val="bottom"/>
          </w:tcPr>
          <w:p w14:paraId="1BF967D7" w14:textId="6A27305C"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£46,278</w:t>
            </w:r>
          </w:p>
        </w:tc>
      </w:tr>
      <w:tr w:rsidR="00CB7C40" w:rsidRPr="00705A09" w14:paraId="6BEE540A" w14:textId="77777777" w:rsidTr="00A24B8B">
        <w:trPr>
          <w:trHeight w:val="290"/>
          <w:jc w:val="center"/>
        </w:trPr>
        <w:tc>
          <w:tcPr>
            <w:tcW w:w="0" w:type="auto"/>
            <w:gridSpan w:val="2"/>
            <w:tcBorders>
              <w:top w:val="nil"/>
              <w:left w:val="single" w:sz="4" w:space="0" w:color="auto"/>
              <w:bottom w:val="single" w:sz="4" w:space="0" w:color="auto"/>
              <w:right w:val="single" w:sz="4" w:space="0" w:color="auto"/>
            </w:tcBorders>
            <w:shd w:val="clear" w:color="auto" w:fill="auto"/>
            <w:noWrap/>
            <w:vAlign w:val="bottom"/>
            <w:hideMark/>
          </w:tcPr>
          <w:p w14:paraId="1991BD01" w14:textId="77777777" w:rsidR="00CB7C40" w:rsidRPr="00705A09" w:rsidRDefault="00CB7C40" w:rsidP="00AC5B73">
            <w:pPr>
              <w:rPr>
                <w:rFonts w:eastAsia="Times New Roman" w:cs="Arial"/>
                <w:b/>
                <w:color w:val="000000"/>
                <w:szCs w:val="24"/>
                <w:lang w:eastAsia="en-GB"/>
              </w:rPr>
            </w:pPr>
            <w:r w:rsidRPr="00705A09">
              <w:rPr>
                <w:rFonts w:eastAsia="Times New Roman" w:cs="Arial"/>
                <w:b/>
                <w:color w:val="000000"/>
                <w:szCs w:val="24"/>
                <w:lang w:eastAsia="en-GB"/>
              </w:rPr>
              <w:t>Grand Total </w:t>
            </w:r>
          </w:p>
        </w:tc>
        <w:tc>
          <w:tcPr>
            <w:tcW w:w="0" w:type="auto"/>
            <w:tcBorders>
              <w:top w:val="nil"/>
              <w:left w:val="nil"/>
              <w:bottom w:val="single" w:sz="4" w:space="0" w:color="auto"/>
              <w:right w:val="single" w:sz="4" w:space="0" w:color="auto"/>
            </w:tcBorders>
            <w:shd w:val="clear" w:color="auto" w:fill="auto"/>
            <w:noWrap/>
            <w:vAlign w:val="bottom"/>
          </w:tcPr>
          <w:p w14:paraId="070CA011" w14:textId="0ACC81E0"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2134</w:t>
            </w:r>
          </w:p>
        </w:tc>
        <w:tc>
          <w:tcPr>
            <w:tcW w:w="0" w:type="auto"/>
            <w:tcBorders>
              <w:top w:val="nil"/>
              <w:left w:val="nil"/>
              <w:bottom w:val="single" w:sz="4" w:space="0" w:color="auto"/>
              <w:right w:val="single" w:sz="4" w:space="0" w:color="auto"/>
            </w:tcBorders>
            <w:shd w:val="clear" w:color="auto" w:fill="auto"/>
            <w:noWrap/>
            <w:vAlign w:val="bottom"/>
          </w:tcPr>
          <w:p w14:paraId="0A655158" w14:textId="746E1070" w:rsidR="00CB7C40" w:rsidRPr="00705A09" w:rsidRDefault="00A24B8B" w:rsidP="00AC5B73">
            <w:pPr>
              <w:jc w:val="right"/>
              <w:rPr>
                <w:rFonts w:eastAsia="Times New Roman" w:cs="Arial"/>
                <w:color w:val="000000"/>
                <w:szCs w:val="24"/>
                <w:lang w:eastAsia="en-GB"/>
              </w:rPr>
            </w:pPr>
            <w:r>
              <w:rPr>
                <w:rFonts w:eastAsia="Times New Roman" w:cs="Arial"/>
                <w:color w:val="000000"/>
                <w:szCs w:val="24"/>
                <w:lang w:eastAsia="en-GB"/>
              </w:rPr>
              <w:t>£37,376</w:t>
            </w:r>
          </w:p>
        </w:tc>
      </w:tr>
    </w:tbl>
    <w:p w14:paraId="311AF0E1" w14:textId="77777777" w:rsidR="00CB7C40" w:rsidRPr="00705A09" w:rsidRDefault="00CB7C40" w:rsidP="00AC5B73">
      <w:pPr>
        <w:rPr>
          <w:rFonts w:cs="Arial"/>
          <w:szCs w:val="24"/>
        </w:rPr>
      </w:pPr>
    </w:p>
    <w:p w14:paraId="7197BB48" w14:textId="62A1A470" w:rsidR="00CB7C40" w:rsidRPr="00705A09" w:rsidRDefault="00A363F7" w:rsidP="00AC5B73">
      <w:pPr>
        <w:rPr>
          <w:rFonts w:cs="Arial"/>
          <w:szCs w:val="24"/>
        </w:rPr>
      </w:pPr>
      <w:r w:rsidRPr="00705A09">
        <w:rPr>
          <w:rFonts w:cs="Arial"/>
          <w:szCs w:val="24"/>
        </w:rPr>
        <w:t xml:space="preserve">The average salary for women is </w:t>
      </w:r>
      <w:r w:rsidR="00A24B8B">
        <w:rPr>
          <w:rFonts w:cs="Arial"/>
          <w:szCs w:val="24"/>
        </w:rPr>
        <w:t>almost £12</w:t>
      </w:r>
      <w:r w:rsidRPr="00705A09">
        <w:rPr>
          <w:rFonts w:cs="Arial"/>
          <w:szCs w:val="24"/>
        </w:rPr>
        <w:t>,000 lower than for men (£</w:t>
      </w:r>
      <w:r w:rsidR="00A24B8B">
        <w:rPr>
          <w:rFonts w:cs="Arial"/>
          <w:szCs w:val="24"/>
        </w:rPr>
        <w:t>34,383v v £46,278</w:t>
      </w:r>
      <w:r w:rsidRPr="00705A09">
        <w:rPr>
          <w:rFonts w:cs="Arial"/>
          <w:szCs w:val="24"/>
        </w:rPr>
        <w:t>). Much of this differential can be accounted for due to the greater number of men in the higher paid Medical and Dental job family at Consultant grade.</w:t>
      </w:r>
      <w:r w:rsidR="0071706C">
        <w:rPr>
          <w:rFonts w:cs="Arial"/>
          <w:szCs w:val="24"/>
        </w:rPr>
        <w:t xml:space="preserve"> This means that higher paid female staff tend to be outliers, more so than their male counterparts.</w:t>
      </w:r>
    </w:p>
    <w:p w14:paraId="64F8A74D" w14:textId="77777777" w:rsidR="00A363F7" w:rsidRPr="00705A09" w:rsidRDefault="00A363F7" w:rsidP="00AC5B73">
      <w:pPr>
        <w:rPr>
          <w:rFonts w:cs="Arial"/>
          <w:szCs w:val="24"/>
        </w:rPr>
      </w:pPr>
    </w:p>
    <w:p w14:paraId="32370F6A" w14:textId="55D7F14E" w:rsidR="00C84178" w:rsidRPr="00705A09" w:rsidRDefault="00A363F7" w:rsidP="00AC5B73">
      <w:pPr>
        <w:rPr>
          <w:rFonts w:cs="Arial"/>
          <w:szCs w:val="24"/>
        </w:rPr>
      </w:pPr>
      <w:r w:rsidRPr="00705A09">
        <w:rPr>
          <w:rFonts w:cs="Arial"/>
          <w:szCs w:val="24"/>
        </w:rPr>
        <w:t>Part time female colleagues on ave</w:t>
      </w:r>
      <w:r w:rsidR="00C84178" w:rsidRPr="00705A09">
        <w:rPr>
          <w:rFonts w:cs="Arial"/>
          <w:szCs w:val="24"/>
        </w:rPr>
        <w:t xml:space="preserve">rage </w:t>
      </w:r>
      <w:r w:rsidR="00196231" w:rsidRPr="00705A09">
        <w:rPr>
          <w:rFonts w:cs="Arial"/>
          <w:szCs w:val="24"/>
        </w:rPr>
        <w:t>earn a lower salary</w:t>
      </w:r>
      <w:r w:rsidR="00C84178" w:rsidRPr="00705A09">
        <w:rPr>
          <w:rFonts w:cs="Arial"/>
          <w:szCs w:val="24"/>
        </w:rPr>
        <w:t xml:space="preserve"> than whole time women and both whole and part time male staff members (£</w:t>
      </w:r>
      <w:r w:rsidR="00A24B8B">
        <w:rPr>
          <w:rFonts w:cs="Arial"/>
          <w:szCs w:val="24"/>
        </w:rPr>
        <w:t>32,985</w:t>
      </w:r>
      <w:r w:rsidR="00C84178" w:rsidRPr="00705A09">
        <w:rPr>
          <w:rFonts w:cs="Arial"/>
          <w:szCs w:val="24"/>
        </w:rPr>
        <w:t xml:space="preserve"> v £</w:t>
      </w:r>
      <w:r w:rsidR="00A24B8B">
        <w:rPr>
          <w:rFonts w:cs="Arial"/>
          <w:szCs w:val="24"/>
        </w:rPr>
        <w:t>35,107</w:t>
      </w:r>
      <w:r w:rsidR="00C84178" w:rsidRPr="00705A09">
        <w:rPr>
          <w:rFonts w:cs="Arial"/>
          <w:szCs w:val="24"/>
        </w:rPr>
        <w:t>, £</w:t>
      </w:r>
      <w:r w:rsidR="00A24B8B">
        <w:rPr>
          <w:rFonts w:cs="Arial"/>
          <w:szCs w:val="24"/>
        </w:rPr>
        <w:t>51,240</w:t>
      </w:r>
      <w:r w:rsidR="00C84178" w:rsidRPr="00705A09">
        <w:rPr>
          <w:rFonts w:cs="Arial"/>
          <w:szCs w:val="24"/>
        </w:rPr>
        <w:t xml:space="preserve"> and £</w:t>
      </w:r>
      <w:r w:rsidR="00A24B8B">
        <w:rPr>
          <w:rFonts w:cs="Arial"/>
          <w:szCs w:val="24"/>
        </w:rPr>
        <w:t>45,759</w:t>
      </w:r>
      <w:r w:rsidR="00C84178" w:rsidRPr="00705A09">
        <w:rPr>
          <w:rFonts w:cs="Arial"/>
          <w:szCs w:val="24"/>
        </w:rPr>
        <w:t xml:space="preserve"> respectively).</w:t>
      </w:r>
    </w:p>
    <w:p w14:paraId="05571234" w14:textId="77777777" w:rsidR="00C84178" w:rsidRPr="00705A09" w:rsidRDefault="00C84178" w:rsidP="00AC5B73">
      <w:pPr>
        <w:rPr>
          <w:rFonts w:cs="Arial"/>
          <w:szCs w:val="24"/>
        </w:rPr>
      </w:pPr>
    </w:p>
    <w:p w14:paraId="78620D4F" w14:textId="77777777" w:rsidR="00A363F7" w:rsidRDefault="00C84178" w:rsidP="00AC5B73">
      <w:pPr>
        <w:rPr>
          <w:rFonts w:cs="Arial"/>
          <w:szCs w:val="24"/>
        </w:rPr>
      </w:pPr>
      <w:r w:rsidRPr="00705A09">
        <w:rPr>
          <w:rFonts w:cs="Arial"/>
          <w:szCs w:val="24"/>
        </w:rPr>
        <w:t xml:space="preserve">Interestingly, whole time male </w:t>
      </w:r>
      <w:r w:rsidR="00196231" w:rsidRPr="00705A09">
        <w:rPr>
          <w:rFonts w:cs="Arial"/>
          <w:szCs w:val="24"/>
        </w:rPr>
        <w:t>staff members earn a lower salary</w:t>
      </w:r>
      <w:r w:rsidRPr="00705A09">
        <w:rPr>
          <w:rFonts w:cs="Arial"/>
          <w:szCs w:val="24"/>
        </w:rPr>
        <w:t xml:space="preserve"> than </w:t>
      </w:r>
      <w:r w:rsidR="00196231" w:rsidRPr="00705A09">
        <w:rPr>
          <w:rFonts w:cs="Arial"/>
          <w:szCs w:val="24"/>
        </w:rPr>
        <w:t>their part time colleagues.</w:t>
      </w:r>
      <w:r w:rsidR="000F5640">
        <w:rPr>
          <w:rFonts w:cs="Arial"/>
          <w:szCs w:val="24"/>
        </w:rPr>
        <w:t xml:space="preserve"> </w:t>
      </w:r>
      <w:r w:rsidR="00196231" w:rsidRPr="00705A09">
        <w:rPr>
          <w:rFonts w:cs="Arial"/>
          <w:szCs w:val="24"/>
        </w:rPr>
        <w:t>Again, this can in part be accounted for due to the number of part-time male colleagues in the higher earning Medical and Dental Consultant grade.</w:t>
      </w:r>
    </w:p>
    <w:p w14:paraId="5842E885" w14:textId="228CCD5F" w:rsidR="00CC44D1" w:rsidRPr="00952ABE" w:rsidRDefault="00CC44D1" w:rsidP="00AC5B73">
      <w:pPr>
        <w:rPr>
          <w:rFonts w:cs="Arial"/>
          <w:szCs w:val="24"/>
        </w:rPr>
      </w:pPr>
    </w:p>
    <w:p w14:paraId="19DF0DB0" w14:textId="77777777" w:rsidR="00E92F26" w:rsidRPr="00952ABE" w:rsidRDefault="00E92F26" w:rsidP="00AC5B73">
      <w:pPr>
        <w:pStyle w:val="Heading3"/>
      </w:pPr>
      <w:bookmarkStart w:id="67" w:name="_Toc76025109"/>
      <w:bookmarkStart w:id="68" w:name="_Toc108076906"/>
      <w:r w:rsidRPr="00952ABE">
        <w:t>Training Activity</w:t>
      </w:r>
      <w:bookmarkEnd w:id="67"/>
      <w:bookmarkEnd w:id="68"/>
    </w:p>
    <w:p w14:paraId="1D1CCFF0" w14:textId="21702561" w:rsidR="004F6C9C" w:rsidRPr="00705A09" w:rsidRDefault="004014EC" w:rsidP="00AC5B73">
      <w:pPr>
        <w:rPr>
          <w:rFonts w:cs="Arial"/>
          <w:szCs w:val="24"/>
        </w:rPr>
      </w:pPr>
      <w:r>
        <w:rPr>
          <w:rFonts w:cs="Arial"/>
          <w:szCs w:val="24"/>
        </w:rPr>
        <w:t>Between April 2021 and March 2022</w:t>
      </w:r>
      <w:r w:rsidR="004F6C9C" w:rsidRPr="00705A09">
        <w:rPr>
          <w:rFonts w:cs="Arial"/>
          <w:szCs w:val="24"/>
        </w:rPr>
        <w:t xml:space="preserve"> the </w:t>
      </w:r>
      <w:r>
        <w:rPr>
          <w:rFonts w:cs="Arial"/>
          <w:szCs w:val="24"/>
        </w:rPr>
        <w:t>NHS GJ workforce</w:t>
      </w:r>
      <w:r w:rsidR="004F6C9C" w:rsidRPr="00705A09">
        <w:rPr>
          <w:rFonts w:cs="Arial"/>
          <w:szCs w:val="24"/>
        </w:rPr>
        <w:t xml:space="preserve"> attended </w:t>
      </w:r>
      <w:r>
        <w:rPr>
          <w:rFonts w:cs="Arial"/>
          <w:szCs w:val="24"/>
        </w:rPr>
        <w:t>12093</w:t>
      </w:r>
      <w:r w:rsidR="004F6C9C" w:rsidRPr="00705A09">
        <w:rPr>
          <w:rFonts w:cs="Arial"/>
          <w:szCs w:val="24"/>
        </w:rPr>
        <w:t xml:space="preserve"> training events, with female member</w:t>
      </w:r>
      <w:r w:rsidR="00AA12B2" w:rsidRPr="00705A09">
        <w:rPr>
          <w:rFonts w:cs="Arial"/>
          <w:szCs w:val="24"/>
        </w:rPr>
        <w:t xml:space="preserve">s of staff </w:t>
      </w:r>
      <w:r w:rsidR="00BC6928" w:rsidRPr="00705A09">
        <w:rPr>
          <w:rFonts w:cs="Arial"/>
          <w:szCs w:val="24"/>
        </w:rPr>
        <w:t>attending</w:t>
      </w:r>
      <w:r w:rsidR="008B36FE" w:rsidRPr="00705A09">
        <w:rPr>
          <w:rFonts w:cs="Arial"/>
          <w:szCs w:val="24"/>
        </w:rPr>
        <w:t xml:space="preserve"> </w:t>
      </w:r>
      <w:r>
        <w:rPr>
          <w:rFonts w:cs="Arial"/>
          <w:szCs w:val="24"/>
        </w:rPr>
        <w:t>9609</w:t>
      </w:r>
      <w:r w:rsidR="00AA12B2" w:rsidRPr="00705A09">
        <w:rPr>
          <w:rFonts w:cs="Arial"/>
          <w:szCs w:val="24"/>
        </w:rPr>
        <w:t xml:space="preserve"> (</w:t>
      </w:r>
      <w:r>
        <w:rPr>
          <w:rFonts w:cs="Arial"/>
          <w:szCs w:val="24"/>
        </w:rPr>
        <w:t>79.5</w:t>
      </w:r>
      <w:r w:rsidR="008B36FE" w:rsidRPr="00705A09">
        <w:rPr>
          <w:rFonts w:cs="Arial"/>
          <w:szCs w:val="24"/>
        </w:rPr>
        <w:t>%</w:t>
      </w:r>
      <w:r w:rsidR="004F6C9C" w:rsidRPr="00705A09">
        <w:rPr>
          <w:rFonts w:cs="Arial"/>
          <w:szCs w:val="24"/>
        </w:rPr>
        <w:t xml:space="preserve">) of these, and male </w:t>
      </w:r>
      <w:r w:rsidR="00AA12B2" w:rsidRPr="00705A09">
        <w:rPr>
          <w:rFonts w:cs="Arial"/>
          <w:szCs w:val="24"/>
        </w:rPr>
        <w:t xml:space="preserve">colleagues attending </w:t>
      </w:r>
      <w:r>
        <w:rPr>
          <w:rFonts w:cs="Arial"/>
          <w:szCs w:val="24"/>
        </w:rPr>
        <w:t>2484</w:t>
      </w:r>
      <w:r w:rsidR="00AA12B2" w:rsidRPr="00705A09">
        <w:rPr>
          <w:rFonts w:cs="Arial"/>
          <w:szCs w:val="24"/>
        </w:rPr>
        <w:t xml:space="preserve"> (</w:t>
      </w:r>
      <w:r>
        <w:rPr>
          <w:rFonts w:cs="Arial"/>
          <w:szCs w:val="24"/>
        </w:rPr>
        <w:t>20.5</w:t>
      </w:r>
      <w:r w:rsidR="004F6C9C" w:rsidRPr="00705A09">
        <w:rPr>
          <w:rFonts w:cs="Arial"/>
          <w:szCs w:val="24"/>
        </w:rPr>
        <w:t>%).</w:t>
      </w:r>
      <w:r w:rsidR="00901CC7" w:rsidRPr="00705A09">
        <w:rPr>
          <w:rFonts w:cs="Arial"/>
          <w:szCs w:val="24"/>
        </w:rPr>
        <w:t xml:space="preserve"> </w:t>
      </w:r>
      <w:r w:rsidR="004F6C9C" w:rsidRPr="00705A09">
        <w:rPr>
          <w:rFonts w:cs="Arial"/>
          <w:szCs w:val="24"/>
        </w:rPr>
        <w:t>This means that male staff members attend</w:t>
      </w:r>
      <w:r w:rsidR="0076784B" w:rsidRPr="00705A09">
        <w:rPr>
          <w:rFonts w:cs="Arial"/>
          <w:szCs w:val="24"/>
        </w:rPr>
        <w:t>ed</w:t>
      </w:r>
      <w:r w:rsidR="004F6C9C" w:rsidRPr="00705A09">
        <w:rPr>
          <w:rFonts w:cs="Arial"/>
          <w:szCs w:val="24"/>
        </w:rPr>
        <w:t xml:space="preserve"> proportionately </w:t>
      </w:r>
      <w:r w:rsidR="008B36FE" w:rsidRPr="00705A09">
        <w:rPr>
          <w:rFonts w:cs="Arial"/>
          <w:szCs w:val="24"/>
        </w:rPr>
        <w:t xml:space="preserve">fewer </w:t>
      </w:r>
      <w:r w:rsidR="004F6C9C" w:rsidRPr="00705A09">
        <w:rPr>
          <w:rFonts w:cs="Arial"/>
          <w:szCs w:val="24"/>
        </w:rPr>
        <w:t>training events than their female counterparts when compared to the proportion of the sta</w:t>
      </w:r>
      <w:r w:rsidR="00AA12B2" w:rsidRPr="00705A09">
        <w:rPr>
          <w:rFonts w:cs="Arial"/>
          <w:szCs w:val="24"/>
        </w:rPr>
        <w:t>ff body that the comprise (2</w:t>
      </w:r>
      <w:r>
        <w:rPr>
          <w:rFonts w:cs="Arial"/>
          <w:szCs w:val="24"/>
        </w:rPr>
        <w:t>5.2</w:t>
      </w:r>
      <w:r w:rsidR="004F6C9C" w:rsidRPr="00705A09">
        <w:rPr>
          <w:rFonts w:cs="Arial"/>
          <w:szCs w:val="24"/>
        </w:rPr>
        <w:t>%).</w:t>
      </w:r>
    </w:p>
    <w:p w14:paraId="7561EA19" w14:textId="77777777" w:rsidR="00E427E9" w:rsidRPr="00705A09" w:rsidRDefault="00E427E9" w:rsidP="00AC5B73">
      <w:pPr>
        <w:rPr>
          <w:rFonts w:cs="Arial"/>
          <w:szCs w:val="24"/>
        </w:rPr>
      </w:pPr>
    </w:p>
    <w:p w14:paraId="485EBEF6" w14:textId="77777777" w:rsidR="004A6E56" w:rsidRPr="00705A09" w:rsidRDefault="00233DAB" w:rsidP="00AC5B73">
      <w:pPr>
        <w:pStyle w:val="Heading3"/>
      </w:pPr>
      <w:bookmarkStart w:id="69" w:name="_Toc76025110"/>
      <w:bookmarkStart w:id="70" w:name="_Toc108076907"/>
      <w:r w:rsidRPr="00705A09">
        <w:t>Career Progression</w:t>
      </w:r>
      <w:bookmarkEnd w:id="69"/>
      <w:bookmarkEnd w:id="70"/>
    </w:p>
    <w:p w14:paraId="75D0C333" w14:textId="19B593B0" w:rsidR="00800A24" w:rsidRPr="00705A09" w:rsidRDefault="00800A24" w:rsidP="00AC5B73">
      <w:pPr>
        <w:rPr>
          <w:rFonts w:cs="Arial"/>
          <w:szCs w:val="24"/>
        </w:rPr>
      </w:pPr>
      <w:r w:rsidRPr="00705A09">
        <w:rPr>
          <w:rFonts w:cs="Arial"/>
          <w:szCs w:val="24"/>
        </w:rPr>
        <w:t xml:space="preserve">The monitored period saw a total of </w:t>
      </w:r>
      <w:r w:rsidR="0094570E">
        <w:rPr>
          <w:rFonts w:cs="Arial"/>
          <w:szCs w:val="24"/>
        </w:rPr>
        <w:t>152</w:t>
      </w:r>
      <w:r w:rsidRPr="00705A09">
        <w:rPr>
          <w:rFonts w:cs="Arial"/>
          <w:szCs w:val="24"/>
        </w:rPr>
        <w:t xml:space="preserve"> promotions and increases in bandings among NHS GJ staff.</w:t>
      </w:r>
      <w:r w:rsidR="000F5640">
        <w:rPr>
          <w:rFonts w:cs="Arial"/>
          <w:szCs w:val="24"/>
        </w:rPr>
        <w:t xml:space="preserve"> </w:t>
      </w:r>
      <w:r w:rsidRPr="00705A09">
        <w:rPr>
          <w:rFonts w:cs="Arial"/>
          <w:szCs w:val="24"/>
        </w:rPr>
        <w:t>Of th</w:t>
      </w:r>
      <w:r w:rsidR="0094570E">
        <w:rPr>
          <w:rFonts w:cs="Arial"/>
          <w:szCs w:val="24"/>
        </w:rPr>
        <w:t>ese 123</w:t>
      </w:r>
      <w:r w:rsidRPr="00705A09">
        <w:rPr>
          <w:rFonts w:cs="Arial"/>
          <w:szCs w:val="24"/>
        </w:rPr>
        <w:t xml:space="preserve"> (</w:t>
      </w:r>
      <w:r w:rsidR="0094570E">
        <w:rPr>
          <w:rFonts w:cs="Arial"/>
          <w:szCs w:val="24"/>
        </w:rPr>
        <w:t>80.9%) were female and 29</w:t>
      </w:r>
      <w:r w:rsidRPr="00705A09">
        <w:rPr>
          <w:rFonts w:cs="Arial"/>
          <w:szCs w:val="24"/>
        </w:rPr>
        <w:t xml:space="preserve"> (</w:t>
      </w:r>
      <w:r w:rsidR="0094570E">
        <w:rPr>
          <w:rFonts w:cs="Arial"/>
          <w:szCs w:val="24"/>
        </w:rPr>
        <w:t>19.1</w:t>
      </w:r>
      <w:r w:rsidRPr="00705A09">
        <w:rPr>
          <w:rFonts w:cs="Arial"/>
          <w:szCs w:val="24"/>
        </w:rPr>
        <w:t xml:space="preserve">%) were male, which means that male colleagues were </w:t>
      </w:r>
      <w:r w:rsidR="00DC22CD">
        <w:rPr>
          <w:rFonts w:cs="Arial"/>
          <w:szCs w:val="24"/>
        </w:rPr>
        <w:t>under</w:t>
      </w:r>
      <w:r w:rsidRPr="00705A09">
        <w:rPr>
          <w:rFonts w:cs="Arial"/>
          <w:szCs w:val="24"/>
        </w:rPr>
        <w:t xml:space="preserve">-represented in their proportion of promotions when compared to </w:t>
      </w:r>
      <w:r w:rsidR="00486B16" w:rsidRPr="00705A09">
        <w:rPr>
          <w:rFonts w:cs="Arial"/>
          <w:szCs w:val="24"/>
        </w:rPr>
        <w:t>their split of the gender p</w:t>
      </w:r>
      <w:r w:rsidR="00DC22CD">
        <w:rPr>
          <w:rFonts w:cs="Arial"/>
          <w:szCs w:val="24"/>
        </w:rPr>
        <w:t>rofile of staff as a whole (25.2</w:t>
      </w:r>
      <w:r w:rsidR="00486B16" w:rsidRPr="00705A09">
        <w:rPr>
          <w:rFonts w:cs="Arial"/>
          <w:szCs w:val="24"/>
        </w:rPr>
        <w:t>%).</w:t>
      </w:r>
    </w:p>
    <w:p w14:paraId="64DD6194" w14:textId="77777777" w:rsidR="00247320" w:rsidRPr="00705A09" w:rsidRDefault="00247320" w:rsidP="00AC5B73">
      <w:pPr>
        <w:rPr>
          <w:rFonts w:cs="Arial"/>
          <w:szCs w:val="24"/>
        </w:rPr>
      </w:pPr>
    </w:p>
    <w:p w14:paraId="1BF553E4" w14:textId="77777777" w:rsidR="00640A67" w:rsidRPr="00705A09" w:rsidRDefault="00640A67" w:rsidP="00AC5B73">
      <w:pPr>
        <w:pStyle w:val="Heading3"/>
      </w:pPr>
      <w:bookmarkStart w:id="71" w:name="_Toc76025111"/>
      <w:bookmarkStart w:id="72" w:name="_Toc108076908"/>
      <w:r w:rsidRPr="00705A09">
        <w:t>Turnover</w:t>
      </w:r>
      <w:bookmarkEnd w:id="71"/>
      <w:bookmarkEnd w:id="72"/>
    </w:p>
    <w:p w14:paraId="2DA02599" w14:textId="6F2E6323" w:rsidR="00640A67" w:rsidRPr="00705A09" w:rsidRDefault="004B1FE7" w:rsidP="00AC5B73">
      <w:pPr>
        <w:pStyle w:val="NoSpacing"/>
        <w:rPr>
          <w:rFonts w:ascii="Arial" w:hAnsi="Arial" w:cs="Arial"/>
          <w:szCs w:val="24"/>
        </w:rPr>
      </w:pPr>
      <w:r w:rsidRPr="00705A09">
        <w:rPr>
          <w:rFonts w:ascii="Arial" w:hAnsi="Arial" w:cs="Arial"/>
          <w:szCs w:val="24"/>
        </w:rPr>
        <w:t xml:space="preserve">Of </w:t>
      </w:r>
      <w:r w:rsidR="00FB6A0C" w:rsidRPr="00705A09">
        <w:rPr>
          <w:rFonts w:ascii="Arial" w:hAnsi="Arial" w:cs="Arial"/>
          <w:szCs w:val="24"/>
        </w:rPr>
        <w:t xml:space="preserve">the </w:t>
      </w:r>
      <w:r w:rsidR="00CF70F1">
        <w:rPr>
          <w:rFonts w:ascii="Arial" w:hAnsi="Arial" w:cs="Arial"/>
          <w:szCs w:val="24"/>
        </w:rPr>
        <w:t>259</w:t>
      </w:r>
      <w:r w:rsidR="00BC6928" w:rsidRPr="00705A09">
        <w:rPr>
          <w:rFonts w:ascii="Arial" w:hAnsi="Arial" w:cs="Arial"/>
          <w:szCs w:val="24"/>
        </w:rPr>
        <w:t xml:space="preserve"> people who left </w:t>
      </w:r>
      <w:r w:rsidR="00FB6A0C" w:rsidRPr="00705A09">
        <w:rPr>
          <w:rFonts w:ascii="Arial" w:hAnsi="Arial" w:cs="Arial"/>
          <w:szCs w:val="24"/>
        </w:rPr>
        <w:t xml:space="preserve">during the monitored period </w:t>
      </w:r>
      <w:r w:rsidR="00B209A3">
        <w:rPr>
          <w:rFonts w:ascii="Arial" w:hAnsi="Arial" w:cs="Arial"/>
          <w:szCs w:val="24"/>
        </w:rPr>
        <w:t>72.6</w:t>
      </w:r>
      <w:r w:rsidRPr="00705A09">
        <w:rPr>
          <w:rFonts w:ascii="Arial" w:hAnsi="Arial" w:cs="Arial"/>
          <w:szCs w:val="24"/>
        </w:rPr>
        <w:t xml:space="preserve">% were female and </w:t>
      </w:r>
      <w:r w:rsidR="00B209A3">
        <w:rPr>
          <w:rFonts w:ascii="Arial" w:hAnsi="Arial" w:cs="Arial"/>
          <w:szCs w:val="24"/>
        </w:rPr>
        <w:t>27.4</w:t>
      </w:r>
      <w:r w:rsidRPr="00705A09">
        <w:rPr>
          <w:rFonts w:ascii="Arial" w:hAnsi="Arial" w:cs="Arial"/>
          <w:szCs w:val="24"/>
        </w:rPr>
        <w:t xml:space="preserve">% male as a proportion of headcount, indicating that males were </w:t>
      </w:r>
      <w:r w:rsidR="00CF70F1">
        <w:rPr>
          <w:rFonts w:ascii="Arial" w:hAnsi="Arial" w:cs="Arial"/>
          <w:szCs w:val="24"/>
        </w:rPr>
        <w:t xml:space="preserve">slightly </w:t>
      </w:r>
      <w:r w:rsidRPr="00705A09">
        <w:rPr>
          <w:rFonts w:ascii="Arial" w:hAnsi="Arial" w:cs="Arial"/>
          <w:szCs w:val="24"/>
        </w:rPr>
        <w:t xml:space="preserve">over-represented as leavers, as they made up </w:t>
      </w:r>
      <w:r w:rsidR="00CF70F1">
        <w:rPr>
          <w:rFonts w:ascii="Arial" w:hAnsi="Arial" w:cs="Arial"/>
          <w:szCs w:val="24"/>
        </w:rPr>
        <w:t>25.2</w:t>
      </w:r>
      <w:r w:rsidRPr="00705A09">
        <w:rPr>
          <w:rFonts w:ascii="Arial" w:hAnsi="Arial" w:cs="Arial"/>
          <w:szCs w:val="24"/>
        </w:rPr>
        <w:t>% of the workforce at the end of March.</w:t>
      </w:r>
    </w:p>
    <w:p w14:paraId="73CF3B44" w14:textId="77777777" w:rsidR="00092749" w:rsidRPr="00705A09" w:rsidRDefault="00092749" w:rsidP="00AC5B73">
      <w:pPr>
        <w:pStyle w:val="NoSpacing"/>
        <w:rPr>
          <w:rFonts w:ascii="Arial" w:hAnsi="Arial" w:cs="Arial"/>
          <w:szCs w:val="24"/>
        </w:rPr>
      </w:pPr>
    </w:p>
    <w:tbl>
      <w:tblPr>
        <w:tblW w:w="8789" w:type="dxa"/>
        <w:jc w:val="center"/>
        <w:tblLayout w:type="fixed"/>
        <w:tblLook w:val="04A0" w:firstRow="1" w:lastRow="0" w:firstColumn="1" w:lastColumn="0" w:noHBand="0" w:noVBand="1"/>
      </w:tblPr>
      <w:tblGrid>
        <w:gridCol w:w="1757"/>
        <w:gridCol w:w="1758"/>
        <w:gridCol w:w="1758"/>
        <w:gridCol w:w="1758"/>
        <w:gridCol w:w="1758"/>
      </w:tblGrid>
      <w:tr w:rsidR="00FB6A0C" w:rsidRPr="00705A09" w14:paraId="6B97AAC3" w14:textId="77777777" w:rsidTr="00FB6A0C">
        <w:trPr>
          <w:trHeight w:val="290"/>
          <w:jc w:val="center"/>
        </w:trPr>
        <w:tc>
          <w:tcPr>
            <w:tcW w:w="1757" w:type="dxa"/>
            <w:tcBorders>
              <w:top w:val="nil"/>
              <w:left w:val="nil"/>
              <w:bottom w:val="nil"/>
              <w:right w:val="nil"/>
            </w:tcBorders>
            <w:shd w:val="clear" w:color="auto" w:fill="auto"/>
            <w:noWrap/>
            <w:vAlign w:val="bottom"/>
          </w:tcPr>
          <w:p w14:paraId="702193FD" w14:textId="77777777" w:rsidR="00FB6A0C" w:rsidRPr="00705A09" w:rsidRDefault="00FB6A0C" w:rsidP="00AC5B73">
            <w:pPr>
              <w:rPr>
                <w:rFonts w:eastAsia="Times New Roman" w:cs="Arial"/>
                <w:b/>
                <w:bCs/>
                <w:color w:val="000000"/>
                <w:lang w:eastAsia="en-GB"/>
              </w:rPr>
            </w:pPr>
          </w:p>
        </w:tc>
        <w:tc>
          <w:tcPr>
            <w:tcW w:w="35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3374D84" w14:textId="77777777" w:rsidR="00FB6A0C" w:rsidRPr="00705A09" w:rsidRDefault="00FB6A0C" w:rsidP="00AC5B73">
            <w:pPr>
              <w:rPr>
                <w:rFonts w:eastAsia="Times New Roman" w:cs="Arial"/>
                <w:b/>
                <w:bCs/>
                <w:color w:val="000000"/>
                <w:lang w:eastAsia="en-GB"/>
              </w:rPr>
            </w:pPr>
            <w:r w:rsidRPr="00705A09">
              <w:rPr>
                <w:rFonts w:eastAsia="Times New Roman" w:cs="Arial"/>
                <w:b/>
                <w:bCs/>
                <w:color w:val="000000"/>
                <w:lang w:eastAsia="en-GB"/>
              </w:rPr>
              <w:t>Leavers</w:t>
            </w:r>
          </w:p>
        </w:tc>
        <w:tc>
          <w:tcPr>
            <w:tcW w:w="3516" w:type="dxa"/>
            <w:gridSpan w:val="2"/>
            <w:tcBorders>
              <w:top w:val="single" w:sz="4" w:space="0" w:color="auto"/>
              <w:left w:val="nil"/>
              <w:bottom w:val="single" w:sz="4" w:space="0" w:color="auto"/>
              <w:right w:val="single" w:sz="4" w:space="0" w:color="auto"/>
            </w:tcBorders>
            <w:shd w:val="clear" w:color="auto" w:fill="auto"/>
            <w:noWrap/>
            <w:vAlign w:val="bottom"/>
          </w:tcPr>
          <w:p w14:paraId="0BA59D7E" w14:textId="77777777" w:rsidR="00FB6A0C" w:rsidRPr="00705A09" w:rsidRDefault="00FB6A0C" w:rsidP="00AC5B73">
            <w:pPr>
              <w:rPr>
                <w:rFonts w:eastAsia="Times New Roman" w:cs="Arial"/>
                <w:b/>
                <w:bCs/>
                <w:color w:val="000000"/>
                <w:lang w:eastAsia="en-GB"/>
              </w:rPr>
            </w:pPr>
            <w:r w:rsidRPr="00705A09">
              <w:rPr>
                <w:rFonts w:eastAsia="Times New Roman" w:cs="Arial"/>
                <w:b/>
                <w:bCs/>
                <w:color w:val="000000"/>
                <w:lang w:eastAsia="en-GB"/>
              </w:rPr>
              <w:t>Workforce</w:t>
            </w:r>
          </w:p>
        </w:tc>
      </w:tr>
      <w:tr w:rsidR="00FB6A0C" w:rsidRPr="00705A09" w14:paraId="685D399C" w14:textId="77777777" w:rsidTr="00FB6A0C">
        <w:trPr>
          <w:trHeight w:val="290"/>
          <w:jc w:val="center"/>
        </w:trPr>
        <w:tc>
          <w:tcPr>
            <w:tcW w:w="1757" w:type="dxa"/>
            <w:tcBorders>
              <w:top w:val="nil"/>
              <w:left w:val="nil"/>
              <w:bottom w:val="nil"/>
              <w:right w:val="nil"/>
            </w:tcBorders>
            <w:shd w:val="clear" w:color="auto" w:fill="auto"/>
            <w:noWrap/>
            <w:vAlign w:val="bottom"/>
            <w:hideMark/>
          </w:tcPr>
          <w:p w14:paraId="347ED953" w14:textId="77777777" w:rsidR="00092749" w:rsidRPr="00705A09" w:rsidRDefault="00092749" w:rsidP="00AC5B73">
            <w:pPr>
              <w:rPr>
                <w:rFonts w:eastAsia="Times New Roman" w:cs="Arial"/>
                <w:b/>
                <w:bCs/>
                <w:color w:val="000000"/>
                <w:lang w:eastAsia="en-GB"/>
              </w:rPr>
            </w:pPr>
          </w:p>
        </w:tc>
        <w:tc>
          <w:tcPr>
            <w:tcW w:w="1758" w:type="dxa"/>
            <w:tcBorders>
              <w:top w:val="nil"/>
              <w:left w:val="single" w:sz="4" w:space="0" w:color="auto"/>
              <w:bottom w:val="single" w:sz="4" w:space="0" w:color="auto"/>
              <w:right w:val="single" w:sz="4" w:space="0" w:color="auto"/>
            </w:tcBorders>
            <w:shd w:val="clear" w:color="auto" w:fill="auto"/>
            <w:noWrap/>
            <w:vAlign w:val="bottom"/>
            <w:hideMark/>
          </w:tcPr>
          <w:p w14:paraId="016420F2" w14:textId="77777777" w:rsidR="00092749" w:rsidRPr="00705A09" w:rsidRDefault="00092749" w:rsidP="00AC5B73">
            <w:pPr>
              <w:rPr>
                <w:rFonts w:eastAsia="Times New Roman" w:cs="Arial"/>
                <w:b/>
                <w:bCs/>
                <w:color w:val="000000"/>
                <w:lang w:eastAsia="en-GB"/>
              </w:rPr>
            </w:pPr>
            <w:r w:rsidRPr="00705A09">
              <w:rPr>
                <w:rFonts w:eastAsia="Times New Roman" w:cs="Arial"/>
                <w:b/>
                <w:bCs/>
                <w:color w:val="000000"/>
                <w:lang w:eastAsia="en-GB"/>
              </w:rPr>
              <w:t>Headcount</w:t>
            </w:r>
          </w:p>
        </w:tc>
        <w:tc>
          <w:tcPr>
            <w:tcW w:w="1758" w:type="dxa"/>
            <w:tcBorders>
              <w:top w:val="nil"/>
              <w:left w:val="nil"/>
              <w:bottom w:val="single" w:sz="4" w:space="0" w:color="auto"/>
              <w:right w:val="single" w:sz="4" w:space="0" w:color="auto"/>
            </w:tcBorders>
            <w:shd w:val="clear" w:color="auto" w:fill="auto"/>
            <w:noWrap/>
            <w:vAlign w:val="bottom"/>
            <w:hideMark/>
          </w:tcPr>
          <w:p w14:paraId="79508494" w14:textId="77777777" w:rsidR="00092749" w:rsidRPr="00705A09" w:rsidRDefault="00092749" w:rsidP="00AC5B73">
            <w:pPr>
              <w:rPr>
                <w:rFonts w:eastAsia="Times New Roman" w:cs="Arial"/>
                <w:b/>
                <w:bCs/>
                <w:color w:val="000000"/>
                <w:lang w:eastAsia="en-GB"/>
              </w:rPr>
            </w:pPr>
            <w:r w:rsidRPr="00705A09">
              <w:rPr>
                <w:rFonts w:eastAsia="Times New Roman" w:cs="Arial"/>
                <w:b/>
                <w:bCs/>
                <w:color w:val="000000"/>
                <w:lang w:eastAsia="en-GB"/>
              </w:rPr>
              <w:t>% Headcount</w:t>
            </w:r>
          </w:p>
        </w:tc>
        <w:tc>
          <w:tcPr>
            <w:tcW w:w="1758" w:type="dxa"/>
            <w:tcBorders>
              <w:top w:val="nil"/>
              <w:left w:val="nil"/>
              <w:bottom w:val="single" w:sz="4" w:space="0" w:color="auto"/>
              <w:right w:val="single" w:sz="4" w:space="0" w:color="auto"/>
            </w:tcBorders>
            <w:shd w:val="clear" w:color="auto" w:fill="auto"/>
            <w:noWrap/>
            <w:vAlign w:val="bottom"/>
            <w:hideMark/>
          </w:tcPr>
          <w:p w14:paraId="20FB2977" w14:textId="77777777" w:rsidR="00092749" w:rsidRPr="00705A09" w:rsidRDefault="00092749" w:rsidP="00AC5B73">
            <w:pPr>
              <w:rPr>
                <w:rFonts w:eastAsia="Times New Roman" w:cs="Arial"/>
                <w:b/>
                <w:bCs/>
                <w:color w:val="000000"/>
                <w:lang w:eastAsia="en-GB"/>
              </w:rPr>
            </w:pPr>
            <w:r w:rsidRPr="00705A09">
              <w:rPr>
                <w:rFonts w:eastAsia="Times New Roman" w:cs="Arial"/>
                <w:b/>
                <w:bCs/>
                <w:color w:val="000000"/>
                <w:lang w:eastAsia="en-GB"/>
              </w:rPr>
              <w:t>Headcount</w:t>
            </w:r>
          </w:p>
        </w:tc>
        <w:tc>
          <w:tcPr>
            <w:tcW w:w="1758" w:type="dxa"/>
            <w:tcBorders>
              <w:top w:val="nil"/>
              <w:left w:val="nil"/>
              <w:bottom w:val="single" w:sz="4" w:space="0" w:color="auto"/>
              <w:right w:val="single" w:sz="4" w:space="0" w:color="auto"/>
            </w:tcBorders>
            <w:shd w:val="clear" w:color="auto" w:fill="auto"/>
            <w:noWrap/>
            <w:vAlign w:val="bottom"/>
            <w:hideMark/>
          </w:tcPr>
          <w:p w14:paraId="5E727772" w14:textId="77777777" w:rsidR="00092749" w:rsidRPr="00705A09" w:rsidRDefault="00092749" w:rsidP="00AC5B73">
            <w:pPr>
              <w:rPr>
                <w:rFonts w:eastAsia="Times New Roman" w:cs="Arial"/>
                <w:b/>
                <w:bCs/>
                <w:color w:val="000000"/>
                <w:lang w:eastAsia="en-GB"/>
              </w:rPr>
            </w:pPr>
            <w:r w:rsidRPr="00705A09">
              <w:rPr>
                <w:rFonts w:eastAsia="Times New Roman" w:cs="Arial"/>
                <w:b/>
                <w:bCs/>
                <w:color w:val="000000"/>
                <w:lang w:eastAsia="en-GB"/>
              </w:rPr>
              <w:t>% Headcount</w:t>
            </w:r>
          </w:p>
        </w:tc>
      </w:tr>
      <w:tr w:rsidR="00FB6A0C" w:rsidRPr="00705A09" w14:paraId="5EA3D841" w14:textId="77777777" w:rsidTr="00CF70F1">
        <w:trPr>
          <w:trHeight w:val="290"/>
          <w:jc w:val="center"/>
        </w:trPr>
        <w:tc>
          <w:tcPr>
            <w:tcW w:w="17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816C6" w14:textId="77777777" w:rsidR="00092749" w:rsidRPr="00705A09" w:rsidRDefault="00092749" w:rsidP="00AC5B73">
            <w:pPr>
              <w:rPr>
                <w:rFonts w:eastAsia="Times New Roman" w:cs="Arial"/>
                <w:b/>
                <w:bCs/>
                <w:color w:val="000000"/>
                <w:lang w:eastAsia="en-GB"/>
              </w:rPr>
            </w:pPr>
            <w:r w:rsidRPr="00705A09">
              <w:rPr>
                <w:rFonts w:eastAsia="Times New Roman" w:cs="Arial"/>
                <w:b/>
                <w:bCs/>
                <w:color w:val="000000"/>
                <w:lang w:eastAsia="en-GB"/>
              </w:rPr>
              <w:t>Female</w:t>
            </w:r>
          </w:p>
        </w:tc>
        <w:tc>
          <w:tcPr>
            <w:tcW w:w="1758" w:type="dxa"/>
            <w:tcBorders>
              <w:top w:val="nil"/>
              <w:left w:val="nil"/>
              <w:bottom w:val="single" w:sz="4" w:space="0" w:color="auto"/>
              <w:right w:val="single" w:sz="4" w:space="0" w:color="auto"/>
            </w:tcBorders>
            <w:shd w:val="clear" w:color="auto" w:fill="auto"/>
            <w:noWrap/>
            <w:vAlign w:val="bottom"/>
          </w:tcPr>
          <w:p w14:paraId="290E827F" w14:textId="5B246274" w:rsidR="00092749" w:rsidRPr="00705A09" w:rsidRDefault="00CF70F1" w:rsidP="00AC5B73">
            <w:pPr>
              <w:jc w:val="right"/>
              <w:rPr>
                <w:rFonts w:eastAsia="Times New Roman" w:cs="Arial"/>
                <w:color w:val="000000"/>
                <w:lang w:eastAsia="en-GB"/>
              </w:rPr>
            </w:pPr>
            <w:r>
              <w:rPr>
                <w:rFonts w:eastAsia="Times New Roman" w:cs="Arial"/>
                <w:color w:val="000000"/>
                <w:lang w:eastAsia="en-GB"/>
              </w:rPr>
              <w:t>188</w:t>
            </w:r>
          </w:p>
        </w:tc>
        <w:tc>
          <w:tcPr>
            <w:tcW w:w="1758" w:type="dxa"/>
            <w:tcBorders>
              <w:top w:val="nil"/>
              <w:left w:val="nil"/>
              <w:bottom w:val="single" w:sz="4" w:space="0" w:color="auto"/>
              <w:right w:val="single" w:sz="4" w:space="0" w:color="auto"/>
            </w:tcBorders>
            <w:shd w:val="clear" w:color="auto" w:fill="auto"/>
            <w:noWrap/>
            <w:vAlign w:val="bottom"/>
          </w:tcPr>
          <w:p w14:paraId="2CB11070" w14:textId="6CBE1EB7" w:rsidR="00092749" w:rsidRPr="00705A09" w:rsidRDefault="00CF70F1" w:rsidP="00AC5B73">
            <w:pPr>
              <w:jc w:val="right"/>
              <w:rPr>
                <w:rFonts w:eastAsia="Times New Roman" w:cs="Arial"/>
                <w:color w:val="000000"/>
                <w:lang w:eastAsia="en-GB"/>
              </w:rPr>
            </w:pPr>
            <w:r>
              <w:rPr>
                <w:rFonts w:eastAsia="Times New Roman" w:cs="Arial"/>
                <w:color w:val="000000"/>
                <w:lang w:eastAsia="en-GB"/>
              </w:rPr>
              <w:t>72.6%</w:t>
            </w:r>
          </w:p>
        </w:tc>
        <w:tc>
          <w:tcPr>
            <w:tcW w:w="1758" w:type="dxa"/>
            <w:tcBorders>
              <w:top w:val="nil"/>
              <w:left w:val="nil"/>
              <w:bottom w:val="single" w:sz="4" w:space="0" w:color="auto"/>
              <w:right w:val="single" w:sz="4" w:space="0" w:color="auto"/>
            </w:tcBorders>
            <w:shd w:val="clear" w:color="auto" w:fill="auto"/>
            <w:noWrap/>
            <w:vAlign w:val="bottom"/>
          </w:tcPr>
          <w:p w14:paraId="1FD06B69" w14:textId="24760530" w:rsidR="00092749" w:rsidRPr="00705A09" w:rsidRDefault="00CF70F1" w:rsidP="00AC5B73">
            <w:pPr>
              <w:jc w:val="right"/>
              <w:rPr>
                <w:rFonts w:eastAsia="Times New Roman" w:cs="Arial"/>
                <w:color w:val="000000"/>
                <w:lang w:eastAsia="en-GB"/>
              </w:rPr>
            </w:pPr>
            <w:r>
              <w:rPr>
                <w:rFonts w:eastAsia="Times New Roman" w:cs="Arial"/>
                <w:color w:val="000000"/>
                <w:lang w:eastAsia="en-GB"/>
              </w:rPr>
              <w:t>1597</w:t>
            </w:r>
          </w:p>
        </w:tc>
        <w:tc>
          <w:tcPr>
            <w:tcW w:w="1758" w:type="dxa"/>
            <w:tcBorders>
              <w:top w:val="nil"/>
              <w:left w:val="nil"/>
              <w:bottom w:val="single" w:sz="4" w:space="0" w:color="auto"/>
              <w:right w:val="single" w:sz="4" w:space="0" w:color="auto"/>
            </w:tcBorders>
            <w:shd w:val="clear" w:color="auto" w:fill="auto"/>
            <w:noWrap/>
            <w:vAlign w:val="bottom"/>
          </w:tcPr>
          <w:p w14:paraId="19B56301" w14:textId="7794DDBF" w:rsidR="00092749" w:rsidRPr="00705A09" w:rsidRDefault="00CF70F1" w:rsidP="00AC5B73">
            <w:pPr>
              <w:jc w:val="right"/>
              <w:rPr>
                <w:rFonts w:eastAsia="Times New Roman" w:cs="Arial"/>
                <w:color w:val="000000"/>
                <w:lang w:eastAsia="en-GB"/>
              </w:rPr>
            </w:pPr>
            <w:r>
              <w:rPr>
                <w:rFonts w:eastAsia="Times New Roman" w:cs="Arial"/>
                <w:color w:val="000000"/>
                <w:lang w:eastAsia="en-GB"/>
              </w:rPr>
              <w:t>74.8%</w:t>
            </w:r>
          </w:p>
        </w:tc>
      </w:tr>
      <w:tr w:rsidR="00FB6A0C" w:rsidRPr="00705A09" w14:paraId="703A6C88" w14:textId="77777777" w:rsidTr="00CF70F1">
        <w:trPr>
          <w:trHeight w:val="290"/>
          <w:jc w:val="center"/>
        </w:trPr>
        <w:tc>
          <w:tcPr>
            <w:tcW w:w="1757" w:type="dxa"/>
            <w:tcBorders>
              <w:top w:val="nil"/>
              <w:left w:val="single" w:sz="4" w:space="0" w:color="auto"/>
              <w:bottom w:val="single" w:sz="4" w:space="0" w:color="auto"/>
              <w:right w:val="single" w:sz="4" w:space="0" w:color="auto"/>
            </w:tcBorders>
            <w:shd w:val="clear" w:color="auto" w:fill="auto"/>
            <w:noWrap/>
            <w:vAlign w:val="bottom"/>
            <w:hideMark/>
          </w:tcPr>
          <w:p w14:paraId="4EAC2CF9" w14:textId="77777777" w:rsidR="00092749" w:rsidRPr="00705A09" w:rsidRDefault="00092749" w:rsidP="00AC5B73">
            <w:pPr>
              <w:rPr>
                <w:rFonts w:eastAsia="Times New Roman" w:cs="Arial"/>
                <w:b/>
                <w:bCs/>
                <w:color w:val="000000"/>
                <w:lang w:eastAsia="en-GB"/>
              </w:rPr>
            </w:pPr>
            <w:r w:rsidRPr="00705A09">
              <w:rPr>
                <w:rFonts w:eastAsia="Times New Roman" w:cs="Arial"/>
                <w:b/>
                <w:bCs/>
                <w:color w:val="000000"/>
                <w:lang w:eastAsia="en-GB"/>
              </w:rPr>
              <w:t>Male</w:t>
            </w:r>
          </w:p>
        </w:tc>
        <w:tc>
          <w:tcPr>
            <w:tcW w:w="1758" w:type="dxa"/>
            <w:tcBorders>
              <w:top w:val="nil"/>
              <w:left w:val="nil"/>
              <w:bottom w:val="single" w:sz="4" w:space="0" w:color="auto"/>
              <w:right w:val="single" w:sz="4" w:space="0" w:color="auto"/>
            </w:tcBorders>
            <w:shd w:val="clear" w:color="auto" w:fill="auto"/>
            <w:noWrap/>
            <w:vAlign w:val="bottom"/>
          </w:tcPr>
          <w:p w14:paraId="3E4633DC" w14:textId="0F24B4BF" w:rsidR="00092749" w:rsidRPr="00705A09" w:rsidRDefault="00CF70F1" w:rsidP="00AC5B73">
            <w:pPr>
              <w:jc w:val="right"/>
              <w:rPr>
                <w:rFonts w:eastAsia="Times New Roman" w:cs="Arial"/>
                <w:color w:val="000000"/>
                <w:lang w:eastAsia="en-GB"/>
              </w:rPr>
            </w:pPr>
            <w:r>
              <w:rPr>
                <w:rFonts w:eastAsia="Times New Roman" w:cs="Arial"/>
                <w:color w:val="000000"/>
                <w:lang w:eastAsia="en-GB"/>
              </w:rPr>
              <w:t>71</w:t>
            </w:r>
          </w:p>
        </w:tc>
        <w:tc>
          <w:tcPr>
            <w:tcW w:w="1758" w:type="dxa"/>
            <w:tcBorders>
              <w:top w:val="nil"/>
              <w:left w:val="nil"/>
              <w:bottom w:val="single" w:sz="4" w:space="0" w:color="auto"/>
              <w:right w:val="single" w:sz="4" w:space="0" w:color="auto"/>
            </w:tcBorders>
            <w:shd w:val="clear" w:color="auto" w:fill="auto"/>
            <w:noWrap/>
            <w:vAlign w:val="bottom"/>
          </w:tcPr>
          <w:p w14:paraId="26404BE0" w14:textId="346BB732" w:rsidR="00092749" w:rsidRPr="00705A09" w:rsidRDefault="00CF70F1" w:rsidP="00AC5B73">
            <w:pPr>
              <w:jc w:val="right"/>
              <w:rPr>
                <w:rFonts w:eastAsia="Times New Roman" w:cs="Arial"/>
                <w:color w:val="000000"/>
                <w:lang w:eastAsia="en-GB"/>
              </w:rPr>
            </w:pPr>
            <w:r>
              <w:rPr>
                <w:rFonts w:eastAsia="Times New Roman" w:cs="Arial"/>
                <w:color w:val="000000"/>
                <w:lang w:eastAsia="en-GB"/>
              </w:rPr>
              <w:t>27.4%</w:t>
            </w:r>
          </w:p>
        </w:tc>
        <w:tc>
          <w:tcPr>
            <w:tcW w:w="1758" w:type="dxa"/>
            <w:tcBorders>
              <w:top w:val="nil"/>
              <w:left w:val="nil"/>
              <w:bottom w:val="single" w:sz="4" w:space="0" w:color="auto"/>
              <w:right w:val="single" w:sz="4" w:space="0" w:color="auto"/>
            </w:tcBorders>
            <w:shd w:val="clear" w:color="auto" w:fill="auto"/>
            <w:noWrap/>
            <w:vAlign w:val="bottom"/>
          </w:tcPr>
          <w:p w14:paraId="0BAB98C2" w14:textId="70EA0998" w:rsidR="00092749" w:rsidRPr="00705A09" w:rsidRDefault="00CF70F1" w:rsidP="00AC5B73">
            <w:pPr>
              <w:jc w:val="right"/>
              <w:rPr>
                <w:rFonts w:eastAsia="Times New Roman" w:cs="Arial"/>
                <w:color w:val="000000"/>
                <w:lang w:eastAsia="en-GB"/>
              </w:rPr>
            </w:pPr>
            <w:r>
              <w:rPr>
                <w:rFonts w:eastAsia="Times New Roman" w:cs="Arial"/>
                <w:color w:val="000000"/>
                <w:lang w:eastAsia="en-GB"/>
              </w:rPr>
              <w:t>537</w:t>
            </w:r>
          </w:p>
        </w:tc>
        <w:tc>
          <w:tcPr>
            <w:tcW w:w="1758" w:type="dxa"/>
            <w:tcBorders>
              <w:top w:val="nil"/>
              <w:left w:val="nil"/>
              <w:bottom w:val="single" w:sz="4" w:space="0" w:color="auto"/>
              <w:right w:val="single" w:sz="4" w:space="0" w:color="auto"/>
            </w:tcBorders>
            <w:shd w:val="clear" w:color="auto" w:fill="auto"/>
            <w:noWrap/>
            <w:vAlign w:val="bottom"/>
          </w:tcPr>
          <w:p w14:paraId="51100FC9" w14:textId="6B3575D5" w:rsidR="00092749" w:rsidRPr="00705A09" w:rsidRDefault="00CF70F1" w:rsidP="00AC5B73">
            <w:pPr>
              <w:jc w:val="right"/>
              <w:rPr>
                <w:rFonts w:eastAsia="Times New Roman" w:cs="Arial"/>
                <w:color w:val="000000"/>
                <w:lang w:eastAsia="en-GB"/>
              </w:rPr>
            </w:pPr>
            <w:r>
              <w:rPr>
                <w:rFonts w:eastAsia="Times New Roman" w:cs="Arial"/>
                <w:color w:val="000000"/>
                <w:lang w:eastAsia="en-GB"/>
              </w:rPr>
              <w:t>25.2%</w:t>
            </w:r>
          </w:p>
        </w:tc>
      </w:tr>
      <w:tr w:rsidR="00FB6A0C" w:rsidRPr="00705A09" w14:paraId="4CD4C96F" w14:textId="77777777" w:rsidTr="00FB6A0C">
        <w:trPr>
          <w:trHeight w:val="290"/>
          <w:jc w:val="center"/>
        </w:trPr>
        <w:tc>
          <w:tcPr>
            <w:tcW w:w="1757" w:type="dxa"/>
            <w:tcBorders>
              <w:top w:val="nil"/>
              <w:left w:val="single" w:sz="4" w:space="0" w:color="auto"/>
              <w:bottom w:val="single" w:sz="4" w:space="0" w:color="auto"/>
              <w:right w:val="single" w:sz="4" w:space="0" w:color="auto"/>
            </w:tcBorders>
            <w:shd w:val="clear" w:color="auto" w:fill="auto"/>
            <w:noWrap/>
            <w:vAlign w:val="bottom"/>
            <w:hideMark/>
          </w:tcPr>
          <w:p w14:paraId="0C62876F" w14:textId="77777777" w:rsidR="00092749" w:rsidRPr="00705A09" w:rsidRDefault="00092749" w:rsidP="00AC5B73">
            <w:pPr>
              <w:rPr>
                <w:rFonts w:eastAsia="Times New Roman" w:cs="Arial"/>
                <w:b/>
                <w:bCs/>
                <w:color w:val="000000"/>
                <w:lang w:eastAsia="en-GB"/>
              </w:rPr>
            </w:pPr>
            <w:r w:rsidRPr="00705A09">
              <w:rPr>
                <w:rFonts w:eastAsia="Times New Roman" w:cs="Arial"/>
                <w:b/>
                <w:bCs/>
                <w:color w:val="000000"/>
                <w:lang w:eastAsia="en-GB"/>
              </w:rPr>
              <w:t>Total</w:t>
            </w:r>
          </w:p>
        </w:tc>
        <w:tc>
          <w:tcPr>
            <w:tcW w:w="1758" w:type="dxa"/>
            <w:tcBorders>
              <w:top w:val="nil"/>
              <w:left w:val="nil"/>
              <w:bottom w:val="single" w:sz="4" w:space="0" w:color="auto"/>
              <w:right w:val="single" w:sz="4" w:space="0" w:color="auto"/>
            </w:tcBorders>
            <w:shd w:val="clear" w:color="auto" w:fill="auto"/>
            <w:noWrap/>
            <w:vAlign w:val="bottom"/>
            <w:hideMark/>
          </w:tcPr>
          <w:p w14:paraId="3AF261B3" w14:textId="3A0BE2A6" w:rsidR="00092749" w:rsidRPr="00705A09" w:rsidRDefault="00CF70F1" w:rsidP="00AC5B73">
            <w:pPr>
              <w:jc w:val="right"/>
              <w:rPr>
                <w:rFonts w:eastAsia="Times New Roman" w:cs="Arial"/>
                <w:color w:val="000000"/>
                <w:lang w:eastAsia="en-GB"/>
              </w:rPr>
            </w:pPr>
            <w:r>
              <w:rPr>
                <w:rFonts w:eastAsia="Times New Roman" w:cs="Arial"/>
                <w:color w:val="000000"/>
                <w:lang w:eastAsia="en-GB"/>
              </w:rPr>
              <w:t>259</w:t>
            </w:r>
          </w:p>
        </w:tc>
        <w:tc>
          <w:tcPr>
            <w:tcW w:w="1758" w:type="dxa"/>
            <w:tcBorders>
              <w:top w:val="nil"/>
              <w:left w:val="nil"/>
              <w:bottom w:val="single" w:sz="4" w:space="0" w:color="auto"/>
              <w:right w:val="single" w:sz="4" w:space="0" w:color="auto"/>
            </w:tcBorders>
            <w:shd w:val="clear" w:color="auto" w:fill="auto"/>
            <w:noWrap/>
            <w:vAlign w:val="bottom"/>
            <w:hideMark/>
          </w:tcPr>
          <w:p w14:paraId="7F9AE897" w14:textId="77777777" w:rsidR="00092749" w:rsidRPr="00705A09" w:rsidRDefault="00092749" w:rsidP="00AC5B73">
            <w:pPr>
              <w:jc w:val="right"/>
              <w:rPr>
                <w:rFonts w:eastAsia="Times New Roman" w:cs="Arial"/>
                <w:color w:val="000000"/>
                <w:lang w:eastAsia="en-GB"/>
              </w:rPr>
            </w:pPr>
            <w:r w:rsidRPr="00705A09">
              <w:rPr>
                <w:rFonts w:eastAsia="Times New Roman" w:cs="Arial"/>
                <w:color w:val="000000"/>
                <w:lang w:eastAsia="en-GB"/>
              </w:rPr>
              <w:t>100.0%</w:t>
            </w:r>
          </w:p>
        </w:tc>
        <w:tc>
          <w:tcPr>
            <w:tcW w:w="1758" w:type="dxa"/>
            <w:tcBorders>
              <w:top w:val="nil"/>
              <w:left w:val="nil"/>
              <w:bottom w:val="single" w:sz="4" w:space="0" w:color="auto"/>
              <w:right w:val="single" w:sz="4" w:space="0" w:color="auto"/>
            </w:tcBorders>
            <w:shd w:val="clear" w:color="auto" w:fill="auto"/>
            <w:noWrap/>
            <w:vAlign w:val="bottom"/>
            <w:hideMark/>
          </w:tcPr>
          <w:p w14:paraId="74D9DD84" w14:textId="4C43FD56" w:rsidR="00092749" w:rsidRPr="00705A09" w:rsidRDefault="00CF70F1" w:rsidP="00AC5B73">
            <w:pPr>
              <w:jc w:val="right"/>
              <w:rPr>
                <w:rFonts w:eastAsia="Times New Roman" w:cs="Arial"/>
                <w:color w:val="000000"/>
                <w:lang w:eastAsia="en-GB"/>
              </w:rPr>
            </w:pPr>
            <w:r>
              <w:rPr>
                <w:rFonts w:eastAsia="Times New Roman" w:cs="Arial"/>
                <w:color w:val="000000"/>
                <w:lang w:eastAsia="en-GB"/>
              </w:rPr>
              <w:t>2134</w:t>
            </w:r>
          </w:p>
        </w:tc>
        <w:tc>
          <w:tcPr>
            <w:tcW w:w="1758" w:type="dxa"/>
            <w:tcBorders>
              <w:top w:val="nil"/>
              <w:left w:val="nil"/>
              <w:bottom w:val="single" w:sz="4" w:space="0" w:color="auto"/>
              <w:right w:val="single" w:sz="4" w:space="0" w:color="auto"/>
            </w:tcBorders>
            <w:shd w:val="clear" w:color="auto" w:fill="auto"/>
            <w:noWrap/>
            <w:vAlign w:val="bottom"/>
            <w:hideMark/>
          </w:tcPr>
          <w:p w14:paraId="65140A1C" w14:textId="77777777" w:rsidR="00092749" w:rsidRPr="00705A09" w:rsidRDefault="00092749" w:rsidP="00AC5B73">
            <w:pPr>
              <w:jc w:val="right"/>
              <w:rPr>
                <w:rFonts w:eastAsia="Times New Roman" w:cs="Arial"/>
                <w:color w:val="000000"/>
                <w:lang w:eastAsia="en-GB"/>
              </w:rPr>
            </w:pPr>
            <w:r w:rsidRPr="00705A09">
              <w:rPr>
                <w:rFonts w:eastAsia="Times New Roman" w:cs="Arial"/>
                <w:color w:val="000000"/>
                <w:lang w:eastAsia="en-GB"/>
              </w:rPr>
              <w:t>100.0%</w:t>
            </w:r>
          </w:p>
        </w:tc>
      </w:tr>
    </w:tbl>
    <w:p w14:paraId="1A408B6E" w14:textId="77777777" w:rsidR="001A0A42" w:rsidRPr="00705A09" w:rsidRDefault="001A0A42" w:rsidP="00AC5B73">
      <w:pPr>
        <w:rPr>
          <w:rFonts w:eastAsiaTheme="majorEastAsia"/>
          <w:sz w:val="28"/>
          <w:szCs w:val="26"/>
        </w:rPr>
      </w:pPr>
      <w:r w:rsidRPr="00705A09">
        <w:br w:type="page"/>
      </w:r>
    </w:p>
    <w:p w14:paraId="3931C836" w14:textId="77777777" w:rsidR="00C06EE9" w:rsidRPr="00705A09" w:rsidRDefault="00C06EE9" w:rsidP="00AC5B73">
      <w:pPr>
        <w:pStyle w:val="Heading2"/>
        <w:rPr>
          <w:rFonts w:cs="Arial"/>
        </w:rPr>
      </w:pPr>
      <w:bookmarkStart w:id="73" w:name="_Toc76025112"/>
      <w:bookmarkStart w:id="74" w:name="_Toc108076909"/>
      <w:r w:rsidRPr="00705A09">
        <w:rPr>
          <w:rFonts w:cs="Arial"/>
        </w:rPr>
        <w:lastRenderedPageBreak/>
        <w:t>Age</w:t>
      </w:r>
      <w:bookmarkEnd w:id="73"/>
      <w:bookmarkEnd w:id="74"/>
    </w:p>
    <w:p w14:paraId="45DAA3DF" w14:textId="77777777" w:rsidR="00C06EE9" w:rsidRPr="00705A09" w:rsidRDefault="00460539" w:rsidP="00AC5B73">
      <w:pPr>
        <w:pStyle w:val="Heading3"/>
      </w:pPr>
      <w:bookmarkStart w:id="75" w:name="_Toc76025113"/>
      <w:bookmarkStart w:id="76" w:name="_Toc108076910"/>
      <w:r w:rsidRPr="00705A09">
        <w:t>Workforce Breakdown</w:t>
      </w:r>
      <w:bookmarkEnd w:id="75"/>
      <w:bookmarkEnd w:id="76"/>
    </w:p>
    <w:p w14:paraId="6FCD7D32" w14:textId="77777777" w:rsidR="0045544E" w:rsidRPr="00705A09" w:rsidRDefault="0045544E" w:rsidP="00AC5B73">
      <w:pPr>
        <w:rPr>
          <w:rFonts w:cs="Arial"/>
          <w:szCs w:val="24"/>
        </w:rPr>
      </w:pPr>
      <w:r w:rsidRPr="00705A09">
        <w:rPr>
          <w:rFonts w:cs="Arial"/>
          <w:szCs w:val="24"/>
        </w:rPr>
        <w:t>Our workforce continues to get older, as can be seen in the chart below:</w:t>
      </w:r>
    </w:p>
    <w:p w14:paraId="3948E98A" w14:textId="1908C68F" w:rsidR="0045544E" w:rsidRPr="00705A09" w:rsidRDefault="0045544E" w:rsidP="00AC5B73">
      <w:pPr>
        <w:pStyle w:val="ListParagraph"/>
        <w:numPr>
          <w:ilvl w:val="0"/>
          <w:numId w:val="7"/>
        </w:numPr>
      </w:pPr>
      <w:r w:rsidRPr="00705A09">
        <w:t>the proportion of those aged 50 to 59 has increased from 22.</w:t>
      </w:r>
      <w:r w:rsidR="00CF70F1">
        <w:t>2% in 2012 to 26.7% in 2022</w:t>
      </w:r>
      <w:r w:rsidRPr="00705A09">
        <w:t>;</w:t>
      </w:r>
    </w:p>
    <w:p w14:paraId="3D342F12" w14:textId="293ED89F" w:rsidR="0045544E" w:rsidRPr="00705A09" w:rsidRDefault="0045544E" w:rsidP="00AC5B73">
      <w:pPr>
        <w:pStyle w:val="ListParagraph"/>
        <w:numPr>
          <w:ilvl w:val="0"/>
          <w:numId w:val="7"/>
        </w:numPr>
      </w:pPr>
      <w:r w:rsidRPr="00705A09">
        <w:t>the proportion of those working aged over 60 has more than doubled in that time, up from 3.4% to 7.</w:t>
      </w:r>
      <w:r w:rsidR="00CF70F1">
        <w:t>9</w:t>
      </w:r>
      <w:r w:rsidRPr="00705A09">
        <w:t>%;</w:t>
      </w:r>
    </w:p>
    <w:p w14:paraId="15FE9A83" w14:textId="636932BD" w:rsidR="0045544E" w:rsidRPr="00705A09" w:rsidRDefault="0045544E" w:rsidP="00AC5B73">
      <w:pPr>
        <w:pStyle w:val="ListParagraph"/>
        <w:numPr>
          <w:ilvl w:val="0"/>
          <w:numId w:val="7"/>
        </w:numPr>
      </w:pPr>
      <w:r w:rsidRPr="00705A09">
        <w:t xml:space="preserve">the proportion of those in the 30 to 39 age bracket has fallen by just </w:t>
      </w:r>
      <w:r w:rsidR="006E3FE6">
        <w:t>under</w:t>
      </w:r>
      <w:r w:rsidRPr="00705A09">
        <w:t xml:space="preserve"> 5% from 29</w:t>
      </w:r>
      <w:r w:rsidR="006E3FE6">
        <w:t>.6% to 25.0</w:t>
      </w:r>
      <w:r w:rsidRPr="00705A09">
        <w:t>%; and</w:t>
      </w:r>
    </w:p>
    <w:p w14:paraId="637A4651" w14:textId="5901CA6A" w:rsidR="0045544E" w:rsidRPr="00705A09" w:rsidRDefault="0045544E" w:rsidP="00AC5B73">
      <w:pPr>
        <w:pStyle w:val="ListParagraph"/>
        <w:numPr>
          <w:ilvl w:val="0"/>
          <w:numId w:val="7"/>
        </w:numPr>
      </w:pPr>
      <w:r w:rsidRPr="00705A09">
        <w:t>the proportion of those in the 40 to 49 age brack</w:t>
      </w:r>
      <w:r w:rsidR="006E3FE6">
        <w:t>et has fallen from 31.6% to 25.5</w:t>
      </w:r>
      <w:r w:rsidRPr="00705A09">
        <w:t>%.</w:t>
      </w:r>
    </w:p>
    <w:p w14:paraId="64E86A24" w14:textId="62C7BA8C" w:rsidR="0045544E" w:rsidRDefault="0045544E" w:rsidP="00AC5B73"/>
    <w:p w14:paraId="234C656D" w14:textId="744C3E19" w:rsidR="006E3FE6" w:rsidRDefault="00664B60" w:rsidP="00AC5B73">
      <w:r>
        <w:rPr>
          <w:noProof/>
          <w:lang w:eastAsia="en-GB"/>
        </w:rPr>
        <w:drawing>
          <wp:inline distT="0" distB="0" distL="0" distR="0" wp14:anchorId="2BF735ED" wp14:editId="5286E117">
            <wp:extent cx="6840000" cy="21600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18762BF5" w14:textId="79B77EDE" w:rsidR="00664B60" w:rsidRDefault="00664B60" w:rsidP="00AC5B73"/>
    <w:p w14:paraId="1887DBF0" w14:textId="7CA65F2C" w:rsidR="00664B60" w:rsidRDefault="00664B60" w:rsidP="00AC5B73">
      <w:r>
        <w:t>At the request of the Scottish Government, from this year on we will present the age range of our workforce in 5-year increments, rather than 10-year increments:</w:t>
      </w:r>
    </w:p>
    <w:p w14:paraId="159E156C" w14:textId="64DF635A" w:rsidR="00664B60" w:rsidRDefault="00664B60" w:rsidP="00AC5B73"/>
    <w:p w14:paraId="68F35C4B" w14:textId="590DFB50" w:rsidR="00664B60" w:rsidRDefault="00664B60" w:rsidP="00AC5B73">
      <w:r>
        <w:rPr>
          <w:noProof/>
          <w:lang w:eastAsia="en-GB"/>
        </w:rPr>
        <w:drawing>
          <wp:inline distT="0" distB="0" distL="0" distR="0" wp14:anchorId="086F030F" wp14:editId="6686DBC6">
            <wp:extent cx="6840000" cy="2160000"/>
            <wp:effectExtent l="0" t="0" r="18415" b="1206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09DD6B8F" w14:textId="77777777" w:rsidR="00664B60" w:rsidRDefault="00664B60" w:rsidP="00AC5B73"/>
    <w:p w14:paraId="4A17C0E3" w14:textId="32FED02D" w:rsidR="0045544E" w:rsidRPr="00705A09" w:rsidRDefault="0045544E" w:rsidP="00AC5B73">
      <w:r w:rsidRPr="00705A09">
        <w:t>Some job families are more affected by the ageing population than ot</w:t>
      </w:r>
      <w:r w:rsidR="00664B60">
        <w:t>hers: 48.4</w:t>
      </w:r>
      <w:r w:rsidRPr="00705A09">
        <w:t>% of staff in Support Servic</w:t>
      </w:r>
      <w:r w:rsidR="00935203">
        <w:t>es are aged over 50; as are 88</w:t>
      </w:r>
      <w:r w:rsidR="00CE0033" w:rsidRPr="00705A09">
        <w:t xml:space="preserve">.9% of senior </w:t>
      </w:r>
      <w:r w:rsidR="00935203">
        <w:t>manager; and 41.1</w:t>
      </w:r>
      <w:r w:rsidRPr="00705A09">
        <w:t>% of those in Administrative Services. The chart</w:t>
      </w:r>
      <w:r w:rsidR="00935203">
        <w:t>s</w:t>
      </w:r>
      <w:r w:rsidRPr="00705A09">
        <w:t xml:space="preserve"> below shows the breakd</w:t>
      </w:r>
      <w:r w:rsidR="00CE0033" w:rsidRPr="00705A09">
        <w:t xml:space="preserve">own of job family by </w:t>
      </w:r>
      <w:r w:rsidR="001F600E">
        <w:t xml:space="preserve">five-year </w:t>
      </w:r>
      <w:r w:rsidR="00CE0033" w:rsidRPr="00705A09">
        <w:t>age range:</w:t>
      </w:r>
    </w:p>
    <w:p w14:paraId="0C4F9EAF" w14:textId="77777777" w:rsidR="00CE0033" w:rsidRPr="00705A09" w:rsidRDefault="00CE0033" w:rsidP="00AC5B73"/>
    <w:p w14:paraId="6587475C" w14:textId="6D3322C8" w:rsidR="00CE0033" w:rsidRDefault="00935203" w:rsidP="00AC5B73">
      <w:r>
        <w:rPr>
          <w:noProof/>
          <w:lang w:eastAsia="en-GB"/>
        </w:rPr>
        <w:lastRenderedPageBreak/>
        <w:drawing>
          <wp:inline distT="0" distB="0" distL="0" distR="0" wp14:anchorId="39A2C119" wp14:editId="7DF82A89">
            <wp:extent cx="3240000" cy="2160000"/>
            <wp:effectExtent l="0" t="0" r="17780" b="1206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r w:rsidR="006226E9">
        <w:t xml:space="preserve"> </w:t>
      </w:r>
      <w:r>
        <w:t xml:space="preserve"> </w:t>
      </w:r>
      <w:r>
        <w:rPr>
          <w:noProof/>
          <w:lang w:eastAsia="en-GB"/>
        </w:rPr>
        <w:drawing>
          <wp:inline distT="0" distB="0" distL="0" distR="0" wp14:anchorId="4F877274" wp14:editId="293C016A">
            <wp:extent cx="3240000" cy="21600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181628F2" w14:textId="4C081763" w:rsidR="00935203" w:rsidRDefault="00935203" w:rsidP="00AC5B73"/>
    <w:p w14:paraId="6D75FC1E" w14:textId="3213BF20" w:rsidR="00935203" w:rsidRDefault="00935203" w:rsidP="00AC5B73">
      <w:r>
        <w:rPr>
          <w:noProof/>
          <w:lang w:eastAsia="en-GB"/>
        </w:rPr>
        <w:drawing>
          <wp:inline distT="0" distB="0" distL="0" distR="0" wp14:anchorId="3641F27F" wp14:editId="7775462F">
            <wp:extent cx="3240000" cy="2160000"/>
            <wp:effectExtent l="0" t="0" r="17780" b="1206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r w:rsidR="006226E9">
        <w:t xml:space="preserve"> </w:t>
      </w:r>
      <w:r>
        <w:t xml:space="preserve"> </w:t>
      </w:r>
      <w:r>
        <w:rPr>
          <w:noProof/>
          <w:lang w:eastAsia="en-GB"/>
        </w:rPr>
        <w:drawing>
          <wp:inline distT="0" distB="0" distL="0" distR="0" wp14:anchorId="149F84A4" wp14:editId="5A48F78C">
            <wp:extent cx="3240000" cy="2160000"/>
            <wp:effectExtent l="0" t="0" r="17780" b="1206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335CB48C" w14:textId="387F31F9" w:rsidR="00935203" w:rsidRDefault="00935203" w:rsidP="00AC5B73"/>
    <w:p w14:paraId="02ACF20E" w14:textId="714DDFA8" w:rsidR="00935203" w:rsidRDefault="00935203" w:rsidP="00AC5B73">
      <w:r>
        <w:rPr>
          <w:noProof/>
          <w:lang w:eastAsia="en-GB"/>
        </w:rPr>
        <w:drawing>
          <wp:inline distT="0" distB="0" distL="0" distR="0" wp14:anchorId="7895E09D" wp14:editId="2FD632B5">
            <wp:extent cx="3240000" cy="2160000"/>
            <wp:effectExtent l="0" t="0" r="17780" b="12065"/>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r w:rsidR="006226E9">
        <w:t xml:space="preserve"> </w:t>
      </w:r>
      <w:r>
        <w:t xml:space="preserve"> </w:t>
      </w:r>
      <w:r>
        <w:rPr>
          <w:noProof/>
          <w:lang w:eastAsia="en-GB"/>
        </w:rPr>
        <w:drawing>
          <wp:inline distT="0" distB="0" distL="0" distR="0" wp14:anchorId="0207B756" wp14:editId="2BB16C1A">
            <wp:extent cx="3240000" cy="2160000"/>
            <wp:effectExtent l="0" t="0" r="17780" b="1206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138CC837" w14:textId="327B75CD" w:rsidR="00935203" w:rsidRDefault="00935203" w:rsidP="00AC5B73"/>
    <w:p w14:paraId="4563139D" w14:textId="7475417B" w:rsidR="00935203" w:rsidRDefault="00935203" w:rsidP="00AC5B73">
      <w:r>
        <w:rPr>
          <w:noProof/>
          <w:lang w:eastAsia="en-GB"/>
        </w:rPr>
        <w:drawing>
          <wp:inline distT="0" distB="0" distL="0" distR="0" wp14:anchorId="0DB56D0F" wp14:editId="3CA7856B">
            <wp:extent cx="3240000" cy="2160000"/>
            <wp:effectExtent l="0" t="0" r="0"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r w:rsidR="006226E9">
        <w:t xml:space="preserve"> </w:t>
      </w:r>
      <w:r>
        <w:t xml:space="preserve"> </w:t>
      </w:r>
      <w:r>
        <w:rPr>
          <w:noProof/>
          <w:lang w:eastAsia="en-GB"/>
        </w:rPr>
        <w:drawing>
          <wp:inline distT="0" distB="0" distL="0" distR="0" wp14:anchorId="1119759F" wp14:editId="2F9FBD1C">
            <wp:extent cx="3240000" cy="2160000"/>
            <wp:effectExtent l="0" t="0" r="17780" b="12065"/>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3B41FD4D" w14:textId="3FF555C3" w:rsidR="00935203" w:rsidRDefault="00935203" w:rsidP="00AC5B73"/>
    <w:p w14:paraId="41E7E4EB" w14:textId="17DA91D6" w:rsidR="00935203" w:rsidRDefault="00935203" w:rsidP="00AC5B73">
      <w:r>
        <w:rPr>
          <w:noProof/>
          <w:lang w:eastAsia="en-GB"/>
        </w:rPr>
        <w:drawing>
          <wp:inline distT="0" distB="0" distL="0" distR="0" wp14:anchorId="3719885C" wp14:editId="2D750069">
            <wp:extent cx="3240000" cy="2160000"/>
            <wp:effectExtent l="0" t="0" r="17780" b="12065"/>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23897A56" w14:textId="1753D02A" w:rsidR="00935203" w:rsidRDefault="00935203" w:rsidP="00AC5B73"/>
    <w:p w14:paraId="7A2FD422" w14:textId="482C18A6" w:rsidR="00CE0033" w:rsidRPr="00705A09" w:rsidRDefault="00CE0033" w:rsidP="00AC5B73">
      <w:pPr>
        <w:rPr>
          <w:rFonts w:cs="Arial"/>
          <w:color w:val="000000"/>
        </w:rPr>
      </w:pPr>
      <w:r w:rsidRPr="00705A09">
        <w:t>An understanding of retirement profiles and robust succession planning to ensure sustainability, development and expansion of services are key workforce priorities.</w:t>
      </w:r>
      <w:r w:rsidR="003F0240" w:rsidRPr="00705A09">
        <w:t xml:space="preserve"> </w:t>
      </w:r>
      <w:r w:rsidRPr="00705A09">
        <w:rPr>
          <w:rFonts w:cs="Arial"/>
          <w:color w:val="000000"/>
        </w:rPr>
        <w:t>To overcome the risks posed by an ageing workforce HR works closely with managers to develop a more integrated approach to workforce planning, by supporting managers to analyse and interpret workforce data and consider future scenarios to ensure local workforce plans are in place.</w:t>
      </w:r>
    </w:p>
    <w:p w14:paraId="17EA233A" w14:textId="77777777" w:rsidR="00CE0033" w:rsidRPr="00705A09" w:rsidRDefault="00CE0033" w:rsidP="00AC5B73">
      <w:pPr>
        <w:rPr>
          <w:rFonts w:cs="Arial"/>
          <w:color w:val="000000"/>
        </w:rPr>
      </w:pPr>
    </w:p>
    <w:p w14:paraId="0C5619C0" w14:textId="0CE34591" w:rsidR="00CE0033" w:rsidRPr="00705A09" w:rsidRDefault="00CE0033" w:rsidP="00AC5B73">
      <w:r w:rsidRPr="00705A09">
        <w:t>The following chart shows the current retirement profile and the potential profile for 20</w:t>
      </w:r>
      <w:r w:rsidR="006452E4">
        <w:t>27</w:t>
      </w:r>
      <w:r w:rsidRPr="00705A09">
        <w:t>, when considering current staff.</w:t>
      </w:r>
      <w:r w:rsidR="003F0240" w:rsidRPr="00705A09">
        <w:t xml:space="preserve"> </w:t>
      </w:r>
      <w:r w:rsidRPr="00705A09">
        <w:t>The current potential retirement pro</w:t>
      </w:r>
      <w:r w:rsidR="006452E4">
        <w:t>file (those aged 60 plus) is 7.9</w:t>
      </w:r>
      <w:r w:rsidR="00F32980" w:rsidRPr="00705A09">
        <w:t>%, but by 202</w:t>
      </w:r>
      <w:r w:rsidR="006452E4">
        <w:t>7</w:t>
      </w:r>
      <w:r w:rsidRPr="00705A09">
        <w:t xml:space="preserve"> this </w:t>
      </w:r>
      <w:r w:rsidR="006452E4">
        <w:t>could</w:t>
      </w:r>
      <w:r w:rsidRPr="00705A09">
        <w:t xml:space="preserve"> rise to </w:t>
      </w:r>
      <w:r w:rsidR="006452E4">
        <w:t>20.1</w:t>
      </w:r>
      <w:r w:rsidRPr="00705A09">
        <w:t>%.</w:t>
      </w:r>
      <w:r w:rsidR="003F0240" w:rsidRPr="00705A09">
        <w:t xml:space="preserve"> </w:t>
      </w:r>
      <w:r w:rsidRPr="00705A09">
        <w:t xml:space="preserve">Over a 5-year period this is a potential significant loss of workforce skills and experience across a wide degree of disciplines. The biggest area of impact is within </w:t>
      </w:r>
      <w:r w:rsidR="006452E4">
        <w:t>Support Services, Healthcare Sciences, Administrative Services and Personal and Social Care.</w:t>
      </w:r>
    </w:p>
    <w:p w14:paraId="5E269EA2" w14:textId="5C44365A" w:rsidR="00F32980" w:rsidRDefault="00F32980" w:rsidP="00AC5B73"/>
    <w:p w14:paraId="3FE6028C" w14:textId="34803E95" w:rsidR="00736713" w:rsidRDefault="00736713" w:rsidP="00AC5B73">
      <w:r>
        <w:rPr>
          <w:noProof/>
          <w:lang w:eastAsia="en-GB"/>
        </w:rPr>
        <w:drawing>
          <wp:inline distT="0" distB="0" distL="0" distR="0" wp14:anchorId="36EDB684" wp14:editId="23DCB7B9">
            <wp:extent cx="6840000" cy="2160000"/>
            <wp:effectExtent l="0" t="0" r="18415" b="1206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4E9DA078" w14:textId="77777777" w:rsidR="00F32980" w:rsidRPr="00705A09" w:rsidRDefault="00F32980" w:rsidP="00AC5B73"/>
    <w:p w14:paraId="1021EF24" w14:textId="77777777" w:rsidR="006A36E0" w:rsidRPr="00705A09" w:rsidRDefault="00F556AD" w:rsidP="00AC5B73">
      <w:pPr>
        <w:rPr>
          <w:rFonts w:cs="Arial"/>
          <w:szCs w:val="24"/>
        </w:rPr>
      </w:pPr>
      <w:r w:rsidRPr="00705A09">
        <w:rPr>
          <w:rFonts w:cs="Arial"/>
          <w:szCs w:val="24"/>
        </w:rPr>
        <w:t>The table below compare</w:t>
      </w:r>
      <w:r w:rsidR="003357EF" w:rsidRPr="00705A09">
        <w:rPr>
          <w:rFonts w:cs="Arial"/>
          <w:szCs w:val="24"/>
        </w:rPr>
        <w:t>s</w:t>
      </w:r>
      <w:r w:rsidRPr="00705A09">
        <w:rPr>
          <w:rFonts w:cs="Arial"/>
          <w:szCs w:val="24"/>
        </w:rPr>
        <w:t xml:space="preserve"> the proportion</w:t>
      </w:r>
      <w:r w:rsidR="00672208" w:rsidRPr="00705A09">
        <w:rPr>
          <w:rFonts w:cs="Arial"/>
          <w:szCs w:val="24"/>
        </w:rPr>
        <w:t xml:space="preserve"> of staff in each </w:t>
      </w:r>
      <w:r w:rsidR="004C18B7" w:rsidRPr="00705A09">
        <w:rPr>
          <w:rFonts w:cs="Arial"/>
          <w:szCs w:val="24"/>
        </w:rPr>
        <w:t xml:space="preserve">age </w:t>
      </w:r>
      <w:r w:rsidR="00672208" w:rsidRPr="00705A09">
        <w:rPr>
          <w:rFonts w:cs="Arial"/>
          <w:szCs w:val="24"/>
        </w:rPr>
        <w:t xml:space="preserve">range in </w:t>
      </w:r>
      <w:r w:rsidR="00CF0F31" w:rsidRPr="00705A09">
        <w:rPr>
          <w:rFonts w:cs="Arial"/>
          <w:szCs w:val="24"/>
        </w:rPr>
        <w:t>NHS GJ</w:t>
      </w:r>
      <w:r w:rsidR="00672208" w:rsidRPr="00705A09">
        <w:rPr>
          <w:rFonts w:cs="Arial"/>
          <w:szCs w:val="24"/>
        </w:rPr>
        <w:t xml:space="preserve"> with the proportion of the population in those age ranges in the local council area (West Dunbartonshire) and Scotland as a whole, as forecast by the Scottish Government for 201</w:t>
      </w:r>
      <w:r w:rsidR="003A7029" w:rsidRPr="00705A09">
        <w:rPr>
          <w:rFonts w:cs="Arial"/>
          <w:szCs w:val="24"/>
        </w:rPr>
        <w:t>9</w:t>
      </w:r>
      <w:r w:rsidR="00672208" w:rsidRPr="00705A09">
        <w:rPr>
          <w:rFonts w:cs="Arial"/>
          <w:szCs w:val="24"/>
        </w:rPr>
        <w:t xml:space="preserve"> (source: </w:t>
      </w:r>
      <w:hyperlink r:id="rId62" w:history="1">
        <w:r w:rsidR="00672208" w:rsidRPr="00705A09">
          <w:rPr>
            <w:rStyle w:val="Hyperlink"/>
            <w:rFonts w:cs="Arial"/>
            <w:szCs w:val="24"/>
          </w:rPr>
          <w:t>https://statistics.gov.scot/home</w:t>
        </w:r>
      </w:hyperlink>
      <w:r w:rsidR="00672208" w:rsidRPr="00705A09">
        <w:rPr>
          <w:rFonts w:cs="Arial"/>
          <w:szCs w:val="24"/>
        </w:rPr>
        <w:t>).</w:t>
      </w:r>
      <w:r w:rsidR="00901CC7" w:rsidRPr="00705A09">
        <w:rPr>
          <w:rFonts w:cs="Arial"/>
          <w:szCs w:val="24"/>
        </w:rPr>
        <w:t xml:space="preserve"> </w:t>
      </w:r>
      <w:r w:rsidR="00A11CF6" w:rsidRPr="00705A09">
        <w:rPr>
          <w:rFonts w:cs="Arial"/>
          <w:szCs w:val="24"/>
        </w:rPr>
        <w:t>Please note that the Scottish Government statistics counts working age as 16 to 64, so the “60 plus” column for West Dunbartonshire and Scotland only includes people between those ages, while for the Board it includes all employees aged 60 and over, with some being older than 64.</w:t>
      </w:r>
    </w:p>
    <w:p w14:paraId="00DFFFDD" w14:textId="77777777" w:rsidR="008A2810" w:rsidRPr="00705A09" w:rsidRDefault="008A2810" w:rsidP="00AC5B73">
      <w:pPr>
        <w:rPr>
          <w:rFonts w:cs="Arial"/>
          <w:szCs w:val="24"/>
        </w:rPr>
      </w:pPr>
    </w:p>
    <w:tbl>
      <w:tblPr>
        <w:tblW w:w="10773" w:type="dxa"/>
        <w:tblInd w:w="108" w:type="dxa"/>
        <w:tblLayout w:type="fixed"/>
        <w:tblLook w:val="04A0" w:firstRow="1" w:lastRow="0" w:firstColumn="1" w:lastColumn="0" w:noHBand="0" w:noVBand="1"/>
      </w:tblPr>
      <w:tblGrid>
        <w:gridCol w:w="2552"/>
        <w:gridCol w:w="1370"/>
        <w:gridCol w:w="1370"/>
        <w:gridCol w:w="1370"/>
        <w:gridCol w:w="1370"/>
        <w:gridCol w:w="1370"/>
        <w:gridCol w:w="1371"/>
      </w:tblGrid>
      <w:tr w:rsidR="00A11CF6" w:rsidRPr="00705A09" w14:paraId="590DB8EA" w14:textId="77777777" w:rsidTr="00F568FA">
        <w:trPr>
          <w:trHeight w:val="300"/>
        </w:trPr>
        <w:tc>
          <w:tcPr>
            <w:tcW w:w="2552" w:type="dxa"/>
            <w:tcBorders>
              <w:top w:val="nil"/>
              <w:left w:val="nil"/>
              <w:bottom w:val="nil"/>
              <w:right w:val="nil"/>
            </w:tcBorders>
            <w:shd w:val="clear" w:color="auto" w:fill="auto"/>
            <w:noWrap/>
            <w:vAlign w:val="center"/>
            <w:hideMark/>
          </w:tcPr>
          <w:p w14:paraId="2C677536" w14:textId="77777777" w:rsidR="00A11CF6" w:rsidRPr="00705A09" w:rsidRDefault="00A11CF6" w:rsidP="00AC5B73">
            <w:pPr>
              <w:rPr>
                <w:rFonts w:eastAsia="Times New Roman" w:cs="Arial"/>
                <w:szCs w:val="24"/>
                <w:lang w:eastAsia="en-GB"/>
              </w:rPr>
            </w:pPr>
          </w:p>
        </w:tc>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86DBD" w14:textId="77777777" w:rsidR="00A11CF6" w:rsidRPr="00705A09" w:rsidRDefault="00A11CF6" w:rsidP="00AC5B73">
            <w:pPr>
              <w:rPr>
                <w:rFonts w:eastAsia="Times New Roman" w:cs="Arial"/>
                <w:color w:val="000000"/>
                <w:szCs w:val="24"/>
                <w:lang w:eastAsia="en-GB"/>
              </w:rPr>
            </w:pPr>
            <w:r w:rsidRPr="00705A09">
              <w:rPr>
                <w:rFonts w:eastAsia="Times New Roman" w:cs="Arial"/>
                <w:color w:val="000000"/>
                <w:szCs w:val="24"/>
                <w:lang w:eastAsia="en-GB"/>
              </w:rPr>
              <w:t>Up to 19</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14:paraId="1666B7D4" w14:textId="77777777" w:rsidR="00A11CF6" w:rsidRPr="00705A09" w:rsidRDefault="00A11CF6" w:rsidP="00AC5B73">
            <w:pPr>
              <w:rPr>
                <w:rFonts w:eastAsia="Times New Roman" w:cs="Arial"/>
                <w:color w:val="000000"/>
                <w:szCs w:val="24"/>
                <w:lang w:eastAsia="en-GB"/>
              </w:rPr>
            </w:pPr>
            <w:r w:rsidRPr="00705A09">
              <w:rPr>
                <w:rFonts w:eastAsia="Times New Roman" w:cs="Arial"/>
                <w:color w:val="000000"/>
                <w:szCs w:val="24"/>
                <w:lang w:eastAsia="en-GB"/>
              </w:rPr>
              <w:t>20 to 29</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14:paraId="7DA6F8C5" w14:textId="77777777" w:rsidR="00A11CF6" w:rsidRPr="00705A09" w:rsidRDefault="00A11CF6" w:rsidP="00AC5B73">
            <w:pPr>
              <w:rPr>
                <w:rFonts w:eastAsia="Times New Roman" w:cs="Arial"/>
                <w:color w:val="000000"/>
                <w:szCs w:val="24"/>
                <w:lang w:eastAsia="en-GB"/>
              </w:rPr>
            </w:pPr>
            <w:r w:rsidRPr="00705A09">
              <w:rPr>
                <w:rFonts w:eastAsia="Times New Roman" w:cs="Arial"/>
                <w:color w:val="000000"/>
                <w:szCs w:val="24"/>
                <w:lang w:eastAsia="en-GB"/>
              </w:rPr>
              <w:t>30 to 39</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14:paraId="09A2A155" w14:textId="77777777" w:rsidR="00A11CF6" w:rsidRPr="00705A09" w:rsidRDefault="00A11CF6" w:rsidP="00AC5B73">
            <w:pPr>
              <w:rPr>
                <w:rFonts w:eastAsia="Times New Roman" w:cs="Arial"/>
                <w:color w:val="000000"/>
                <w:szCs w:val="24"/>
                <w:lang w:eastAsia="en-GB"/>
              </w:rPr>
            </w:pPr>
            <w:r w:rsidRPr="00705A09">
              <w:rPr>
                <w:rFonts w:eastAsia="Times New Roman" w:cs="Arial"/>
                <w:color w:val="000000"/>
                <w:szCs w:val="24"/>
                <w:lang w:eastAsia="en-GB"/>
              </w:rPr>
              <w:t>40 to 49</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14:paraId="3F13EA35" w14:textId="77777777" w:rsidR="00A11CF6" w:rsidRPr="00705A09" w:rsidRDefault="00A11CF6" w:rsidP="00AC5B73">
            <w:pPr>
              <w:rPr>
                <w:rFonts w:eastAsia="Times New Roman" w:cs="Arial"/>
                <w:color w:val="000000"/>
                <w:szCs w:val="24"/>
                <w:lang w:eastAsia="en-GB"/>
              </w:rPr>
            </w:pPr>
            <w:r w:rsidRPr="00705A09">
              <w:rPr>
                <w:rFonts w:eastAsia="Times New Roman" w:cs="Arial"/>
                <w:color w:val="000000"/>
                <w:szCs w:val="24"/>
                <w:lang w:eastAsia="en-GB"/>
              </w:rPr>
              <w:t>50 to 59</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14:paraId="7A0CD329" w14:textId="77777777" w:rsidR="00A11CF6" w:rsidRPr="00705A09" w:rsidRDefault="00A11CF6" w:rsidP="00AC5B73">
            <w:pPr>
              <w:rPr>
                <w:rFonts w:eastAsia="Times New Roman" w:cs="Arial"/>
                <w:color w:val="000000"/>
                <w:szCs w:val="24"/>
                <w:lang w:eastAsia="en-GB"/>
              </w:rPr>
            </w:pPr>
            <w:r w:rsidRPr="00705A09">
              <w:rPr>
                <w:rFonts w:eastAsia="Times New Roman" w:cs="Arial"/>
                <w:color w:val="000000"/>
                <w:szCs w:val="24"/>
                <w:lang w:eastAsia="en-GB"/>
              </w:rPr>
              <w:t>60 plus</w:t>
            </w:r>
          </w:p>
        </w:tc>
      </w:tr>
      <w:tr w:rsidR="00A11CF6" w:rsidRPr="00705A09" w14:paraId="153855E2" w14:textId="77777777" w:rsidTr="00F568FA">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BCDEF" w14:textId="77777777" w:rsidR="00A11CF6" w:rsidRPr="00705A09" w:rsidRDefault="00CF0F31" w:rsidP="00AC5B73">
            <w:pPr>
              <w:rPr>
                <w:rFonts w:eastAsia="Times New Roman" w:cs="Arial"/>
                <w:color w:val="000000"/>
                <w:szCs w:val="24"/>
                <w:lang w:eastAsia="en-GB"/>
              </w:rPr>
            </w:pPr>
            <w:r w:rsidRPr="00705A09">
              <w:rPr>
                <w:rFonts w:eastAsia="Times New Roman" w:cs="Arial"/>
                <w:color w:val="000000"/>
                <w:szCs w:val="24"/>
                <w:lang w:eastAsia="en-GB"/>
              </w:rPr>
              <w:t>NHS GJ</w:t>
            </w:r>
          </w:p>
        </w:tc>
        <w:tc>
          <w:tcPr>
            <w:tcW w:w="1370" w:type="dxa"/>
            <w:tcBorders>
              <w:top w:val="nil"/>
              <w:left w:val="nil"/>
              <w:bottom w:val="single" w:sz="4" w:space="0" w:color="auto"/>
              <w:right w:val="single" w:sz="4" w:space="0" w:color="auto"/>
            </w:tcBorders>
            <w:shd w:val="clear" w:color="auto" w:fill="auto"/>
            <w:noWrap/>
            <w:vAlign w:val="center"/>
            <w:hideMark/>
          </w:tcPr>
          <w:p w14:paraId="6E983D5C" w14:textId="025002FA" w:rsidR="00A11CF6" w:rsidRPr="00705A09" w:rsidRDefault="006452E4" w:rsidP="00AC5B73">
            <w:pPr>
              <w:jc w:val="right"/>
              <w:rPr>
                <w:rFonts w:eastAsia="Times New Roman" w:cs="Arial"/>
                <w:color w:val="000000"/>
                <w:szCs w:val="24"/>
                <w:lang w:eastAsia="en-GB"/>
              </w:rPr>
            </w:pPr>
            <w:r>
              <w:rPr>
                <w:rFonts w:eastAsia="Times New Roman" w:cs="Arial"/>
                <w:color w:val="000000"/>
                <w:szCs w:val="24"/>
                <w:lang w:eastAsia="en-GB"/>
              </w:rPr>
              <w:t>0.2</w:t>
            </w:r>
            <w:r w:rsidR="00A11CF6" w:rsidRPr="00705A09">
              <w:rPr>
                <w:rFonts w:eastAsia="Times New Roman" w:cs="Arial"/>
                <w:color w:val="000000"/>
                <w:szCs w:val="24"/>
                <w:lang w:eastAsia="en-GB"/>
              </w:rPr>
              <w:t>%</w:t>
            </w:r>
          </w:p>
        </w:tc>
        <w:tc>
          <w:tcPr>
            <w:tcW w:w="1370" w:type="dxa"/>
            <w:tcBorders>
              <w:top w:val="nil"/>
              <w:left w:val="nil"/>
              <w:bottom w:val="single" w:sz="4" w:space="0" w:color="auto"/>
              <w:right w:val="single" w:sz="4" w:space="0" w:color="auto"/>
            </w:tcBorders>
            <w:shd w:val="clear" w:color="auto" w:fill="auto"/>
            <w:noWrap/>
            <w:vAlign w:val="center"/>
            <w:hideMark/>
          </w:tcPr>
          <w:p w14:paraId="6176F638" w14:textId="5B5FBC7C" w:rsidR="00A11CF6" w:rsidRPr="00705A09" w:rsidRDefault="00562AE6" w:rsidP="00AC5B73">
            <w:pPr>
              <w:jc w:val="right"/>
              <w:rPr>
                <w:rFonts w:eastAsia="Times New Roman" w:cs="Arial"/>
                <w:color w:val="000000"/>
                <w:szCs w:val="24"/>
                <w:lang w:eastAsia="en-GB"/>
              </w:rPr>
            </w:pPr>
            <w:r>
              <w:rPr>
                <w:rFonts w:eastAsia="Times New Roman" w:cs="Arial"/>
                <w:color w:val="000000"/>
                <w:szCs w:val="24"/>
                <w:lang w:eastAsia="en-GB"/>
              </w:rPr>
              <w:t>14.7</w:t>
            </w:r>
            <w:r w:rsidR="00A11CF6" w:rsidRPr="00705A09">
              <w:rPr>
                <w:rFonts w:eastAsia="Times New Roman" w:cs="Arial"/>
                <w:color w:val="000000"/>
                <w:szCs w:val="24"/>
                <w:lang w:eastAsia="en-GB"/>
              </w:rPr>
              <w:t>%</w:t>
            </w:r>
          </w:p>
        </w:tc>
        <w:tc>
          <w:tcPr>
            <w:tcW w:w="1370" w:type="dxa"/>
            <w:tcBorders>
              <w:top w:val="nil"/>
              <w:left w:val="nil"/>
              <w:bottom w:val="single" w:sz="4" w:space="0" w:color="auto"/>
              <w:right w:val="single" w:sz="4" w:space="0" w:color="auto"/>
            </w:tcBorders>
            <w:shd w:val="clear" w:color="auto" w:fill="auto"/>
            <w:noWrap/>
            <w:vAlign w:val="center"/>
            <w:hideMark/>
          </w:tcPr>
          <w:p w14:paraId="2BD0AFAA" w14:textId="6D673C6A" w:rsidR="00A11CF6" w:rsidRPr="00705A09" w:rsidRDefault="006452E4" w:rsidP="00AC5B73">
            <w:pPr>
              <w:jc w:val="right"/>
              <w:rPr>
                <w:rFonts w:eastAsia="Times New Roman" w:cs="Arial"/>
                <w:color w:val="000000"/>
                <w:szCs w:val="24"/>
                <w:lang w:eastAsia="en-GB"/>
              </w:rPr>
            </w:pPr>
            <w:r>
              <w:rPr>
                <w:rFonts w:eastAsia="Times New Roman" w:cs="Arial"/>
                <w:color w:val="000000"/>
                <w:szCs w:val="24"/>
                <w:lang w:eastAsia="en-GB"/>
              </w:rPr>
              <w:t>2</w:t>
            </w:r>
            <w:r w:rsidR="00562AE6">
              <w:rPr>
                <w:rFonts w:eastAsia="Times New Roman" w:cs="Arial"/>
                <w:color w:val="000000"/>
                <w:szCs w:val="24"/>
                <w:lang w:eastAsia="en-GB"/>
              </w:rPr>
              <w:t>5.0</w:t>
            </w:r>
            <w:r w:rsidR="00A11CF6" w:rsidRPr="00705A09">
              <w:rPr>
                <w:rFonts w:eastAsia="Times New Roman" w:cs="Arial"/>
                <w:color w:val="000000"/>
                <w:szCs w:val="24"/>
                <w:lang w:eastAsia="en-GB"/>
              </w:rPr>
              <w:t>%</w:t>
            </w:r>
          </w:p>
        </w:tc>
        <w:tc>
          <w:tcPr>
            <w:tcW w:w="1370" w:type="dxa"/>
            <w:tcBorders>
              <w:top w:val="nil"/>
              <w:left w:val="nil"/>
              <w:bottom w:val="single" w:sz="4" w:space="0" w:color="auto"/>
              <w:right w:val="single" w:sz="4" w:space="0" w:color="auto"/>
            </w:tcBorders>
            <w:shd w:val="clear" w:color="auto" w:fill="auto"/>
            <w:noWrap/>
            <w:vAlign w:val="center"/>
            <w:hideMark/>
          </w:tcPr>
          <w:p w14:paraId="7FEFE71E" w14:textId="68C08079" w:rsidR="00A11CF6" w:rsidRPr="00705A09" w:rsidRDefault="006452E4" w:rsidP="00AC5B73">
            <w:pPr>
              <w:jc w:val="right"/>
              <w:rPr>
                <w:rFonts w:eastAsia="Times New Roman" w:cs="Arial"/>
                <w:color w:val="000000"/>
                <w:szCs w:val="24"/>
                <w:lang w:eastAsia="en-GB"/>
              </w:rPr>
            </w:pPr>
            <w:r>
              <w:rPr>
                <w:rFonts w:eastAsia="Times New Roman" w:cs="Arial"/>
                <w:color w:val="000000"/>
                <w:szCs w:val="24"/>
                <w:lang w:eastAsia="en-GB"/>
              </w:rPr>
              <w:t>25.</w:t>
            </w:r>
            <w:r w:rsidR="00562AE6">
              <w:rPr>
                <w:rFonts w:eastAsia="Times New Roman" w:cs="Arial"/>
                <w:color w:val="000000"/>
                <w:szCs w:val="24"/>
                <w:lang w:eastAsia="en-GB"/>
              </w:rPr>
              <w:t>5</w:t>
            </w:r>
            <w:r w:rsidR="00A11CF6" w:rsidRPr="00705A09">
              <w:rPr>
                <w:rFonts w:eastAsia="Times New Roman" w:cs="Arial"/>
                <w:color w:val="000000"/>
                <w:szCs w:val="24"/>
                <w:lang w:eastAsia="en-GB"/>
              </w:rPr>
              <w:t>%</w:t>
            </w:r>
          </w:p>
        </w:tc>
        <w:tc>
          <w:tcPr>
            <w:tcW w:w="1370" w:type="dxa"/>
            <w:tcBorders>
              <w:top w:val="nil"/>
              <w:left w:val="nil"/>
              <w:bottom w:val="single" w:sz="4" w:space="0" w:color="auto"/>
              <w:right w:val="single" w:sz="4" w:space="0" w:color="auto"/>
            </w:tcBorders>
            <w:shd w:val="clear" w:color="auto" w:fill="auto"/>
            <w:noWrap/>
            <w:vAlign w:val="center"/>
            <w:hideMark/>
          </w:tcPr>
          <w:p w14:paraId="31826C5A" w14:textId="2BCE5552" w:rsidR="00A11CF6" w:rsidRPr="00705A09" w:rsidRDefault="00562AE6" w:rsidP="00AC5B73">
            <w:pPr>
              <w:jc w:val="right"/>
              <w:rPr>
                <w:rFonts w:eastAsia="Times New Roman" w:cs="Arial"/>
                <w:color w:val="000000"/>
                <w:szCs w:val="24"/>
                <w:lang w:eastAsia="en-GB"/>
              </w:rPr>
            </w:pPr>
            <w:r>
              <w:rPr>
                <w:rFonts w:eastAsia="Times New Roman" w:cs="Arial"/>
                <w:color w:val="000000"/>
                <w:szCs w:val="24"/>
                <w:lang w:eastAsia="en-GB"/>
              </w:rPr>
              <w:t>26.7</w:t>
            </w:r>
            <w:r w:rsidR="00A11CF6" w:rsidRPr="00705A09">
              <w:rPr>
                <w:rFonts w:eastAsia="Times New Roman" w:cs="Arial"/>
                <w:color w:val="000000"/>
                <w:szCs w:val="24"/>
                <w:lang w:eastAsia="en-GB"/>
              </w:rPr>
              <w:t>%</w:t>
            </w:r>
          </w:p>
        </w:tc>
        <w:tc>
          <w:tcPr>
            <w:tcW w:w="1371" w:type="dxa"/>
            <w:tcBorders>
              <w:top w:val="nil"/>
              <w:left w:val="nil"/>
              <w:bottom w:val="single" w:sz="4" w:space="0" w:color="auto"/>
              <w:right w:val="single" w:sz="4" w:space="0" w:color="auto"/>
            </w:tcBorders>
            <w:shd w:val="clear" w:color="auto" w:fill="auto"/>
            <w:noWrap/>
            <w:vAlign w:val="center"/>
            <w:hideMark/>
          </w:tcPr>
          <w:p w14:paraId="7383754F" w14:textId="16AF72FF" w:rsidR="00A11CF6" w:rsidRPr="00705A09" w:rsidRDefault="00562AE6" w:rsidP="00AC5B73">
            <w:pPr>
              <w:jc w:val="right"/>
              <w:rPr>
                <w:rFonts w:eastAsia="Times New Roman" w:cs="Arial"/>
                <w:color w:val="000000"/>
                <w:szCs w:val="24"/>
                <w:lang w:eastAsia="en-GB"/>
              </w:rPr>
            </w:pPr>
            <w:r>
              <w:rPr>
                <w:rFonts w:eastAsia="Times New Roman" w:cs="Arial"/>
                <w:color w:val="000000"/>
                <w:szCs w:val="24"/>
                <w:lang w:eastAsia="en-GB"/>
              </w:rPr>
              <w:t>7.9</w:t>
            </w:r>
            <w:r w:rsidR="00A11CF6" w:rsidRPr="00705A09">
              <w:rPr>
                <w:rFonts w:eastAsia="Times New Roman" w:cs="Arial"/>
                <w:color w:val="000000"/>
                <w:szCs w:val="24"/>
                <w:lang w:eastAsia="en-GB"/>
              </w:rPr>
              <w:t>%</w:t>
            </w:r>
          </w:p>
        </w:tc>
      </w:tr>
      <w:tr w:rsidR="00483BC6" w:rsidRPr="00705A09" w14:paraId="4727B829" w14:textId="77777777" w:rsidTr="007508B3">
        <w:trPr>
          <w:trHeight w:val="30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2D436E15" w14:textId="77777777" w:rsidR="00483BC6" w:rsidRPr="00705A09" w:rsidRDefault="00483BC6" w:rsidP="00AC5B73">
            <w:pPr>
              <w:rPr>
                <w:rFonts w:eastAsia="Times New Roman" w:cs="Arial"/>
                <w:color w:val="000000"/>
                <w:szCs w:val="24"/>
                <w:lang w:eastAsia="en-GB"/>
              </w:rPr>
            </w:pPr>
            <w:r w:rsidRPr="00705A09">
              <w:rPr>
                <w:rFonts w:eastAsia="Times New Roman" w:cs="Arial"/>
                <w:color w:val="000000"/>
                <w:szCs w:val="24"/>
                <w:lang w:eastAsia="en-GB"/>
              </w:rPr>
              <w:t>West Dunbartonshire</w:t>
            </w:r>
          </w:p>
        </w:tc>
        <w:tc>
          <w:tcPr>
            <w:tcW w:w="1370" w:type="dxa"/>
            <w:tcBorders>
              <w:top w:val="nil"/>
              <w:left w:val="nil"/>
              <w:bottom w:val="single" w:sz="4" w:space="0" w:color="auto"/>
              <w:right w:val="single" w:sz="4" w:space="0" w:color="auto"/>
            </w:tcBorders>
            <w:shd w:val="clear" w:color="auto" w:fill="auto"/>
            <w:noWrap/>
            <w:vAlign w:val="bottom"/>
            <w:hideMark/>
          </w:tcPr>
          <w:p w14:paraId="0EE2F133" w14:textId="77777777" w:rsidR="00483BC6" w:rsidRPr="00705A09" w:rsidRDefault="00483BC6" w:rsidP="00AC5B73">
            <w:pPr>
              <w:jc w:val="right"/>
              <w:rPr>
                <w:rFonts w:cs="Arial"/>
                <w:color w:val="000000"/>
              </w:rPr>
            </w:pPr>
            <w:r w:rsidRPr="00705A09">
              <w:rPr>
                <w:rFonts w:cs="Arial"/>
                <w:color w:val="000000"/>
              </w:rPr>
              <w:t>8.0%</w:t>
            </w:r>
          </w:p>
        </w:tc>
        <w:tc>
          <w:tcPr>
            <w:tcW w:w="1370" w:type="dxa"/>
            <w:tcBorders>
              <w:top w:val="nil"/>
              <w:left w:val="nil"/>
              <w:bottom w:val="single" w:sz="4" w:space="0" w:color="auto"/>
              <w:right w:val="single" w:sz="4" w:space="0" w:color="auto"/>
            </w:tcBorders>
            <w:shd w:val="clear" w:color="auto" w:fill="auto"/>
            <w:noWrap/>
            <w:vAlign w:val="bottom"/>
            <w:hideMark/>
          </w:tcPr>
          <w:p w14:paraId="334BF5A3" w14:textId="77777777" w:rsidR="00483BC6" w:rsidRPr="00705A09" w:rsidRDefault="00483BC6" w:rsidP="00AC5B73">
            <w:pPr>
              <w:jc w:val="right"/>
              <w:rPr>
                <w:rFonts w:cs="Arial"/>
                <w:color w:val="000000"/>
              </w:rPr>
            </w:pPr>
            <w:r w:rsidRPr="00705A09">
              <w:rPr>
                <w:rFonts w:cs="Arial"/>
                <w:color w:val="000000"/>
              </w:rPr>
              <w:t>19.0%</w:t>
            </w:r>
          </w:p>
        </w:tc>
        <w:tc>
          <w:tcPr>
            <w:tcW w:w="1370" w:type="dxa"/>
            <w:tcBorders>
              <w:top w:val="nil"/>
              <w:left w:val="nil"/>
              <w:bottom w:val="single" w:sz="4" w:space="0" w:color="auto"/>
              <w:right w:val="single" w:sz="4" w:space="0" w:color="auto"/>
            </w:tcBorders>
            <w:shd w:val="clear" w:color="auto" w:fill="auto"/>
            <w:noWrap/>
            <w:vAlign w:val="bottom"/>
            <w:hideMark/>
          </w:tcPr>
          <w:p w14:paraId="041B4C54" w14:textId="77777777" w:rsidR="00483BC6" w:rsidRPr="00705A09" w:rsidRDefault="00483BC6" w:rsidP="00AC5B73">
            <w:pPr>
              <w:jc w:val="right"/>
              <w:rPr>
                <w:rFonts w:cs="Arial"/>
                <w:color w:val="000000"/>
              </w:rPr>
            </w:pPr>
            <w:r w:rsidRPr="00705A09">
              <w:rPr>
                <w:rFonts w:cs="Arial"/>
                <w:color w:val="000000"/>
              </w:rPr>
              <w:t>19.3%</w:t>
            </w:r>
          </w:p>
        </w:tc>
        <w:tc>
          <w:tcPr>
            <w:tcW w:w="1370" w:type="dxa"/>
            <w:tcBorders>
              <w:top w:val="nil"/>
              <w:left w:val="nil"/>
              <w:bottom w:val="single" w:sz="4" w:space="0" w:color="auto"/>
              <w:right w:val="single" w:sz="4" w:space="0" w:color="auto"/>
            </w:tcBorders>
            <w:shd w:val="clear" w:color="auto" w:fill="auto"/>
            <w:noWrap/>
            <w:vAlign w:val="bottom"/>
            <w:hideMark/>
          </w:tcPr>
          <w:p w14:paraId="264BEB63" w14:textId="77777777" w:rsidR="00483BC6" w:rsidRPr="00705A09" w:rsidRDefault="00483BC6" w:rsidP="00AC5B73">
            <w:pPr>
              <w:jc w:val="right"/>
              <w:rPr>
                <w:rFonts w:cs="Arial"/>
                <w:color w:val="000000"/>
              </w:rPr>
            </w:pPr>
            <w:r w:rsidRPr="00705A09">
              <w:rPr>
                <w:rFonts w:cs="Arial"/>
                <w:color w:val="000000"/>
              </w:rPr>
              <w:t>18.4%</w:t>
            </w:r>
          </w:p>
        </w:tc>
        <w:tc>
          <w:tcPr>
            <w:tcW w:w="1370" w:type="dxa"/>
            <w:tcBorders>
              <w:top w:val="nil"/>
              <w:left w:val="nil"/>
              <w:bottom w:val="single" w:sz="4" w:space="0" w:color="auto"/>
              <w:right w:val="single" w:sz="4" w:space="0" w:color="auto"/>
            </w:tcBorders>
            <w:shd w:val="clear" w:color="auto" w:fill="auto"/>
            <w:noWrap/>
            <w:vAlign w:val="bottom"/>
            <w:hideMark/>
          </w:tcPr>
          <w:p w14:paraId="499209A2" w14:textId="77777777" w:rsidR="00483BC6" w:rsidRPr="00705A09" w:rsidRDefault="00483BC6" w:rsidP="00AC5B73">
            <w:pPr>
              <w:jc w:val="right"/>
              <w:rPr>
                <w:rFonts w:cs="Arial"/>
                <w:color w:val="000000"/>
              </w:rPr>
            </w:pPr>
            <w:r w:rsidRPr="00705A09">
              <w:rPr>
                <w:rFonts w:cs="Arial"/>
                <w:color w:val="000000"/>
              </w:rPr>
              <w:t>24.4%</w:t>
            </w:r>
          </w:p>
        </w:tc>
        <w:tc>
          <w:tcPr>
            <w:tcW w:w="1371" w:type="dxa"/>
            <w:tcBorders>
              <w:top w:val="nil"/>
              <w:left w:val="nil"/>
              <w:bottom w:val="single" w:sz="4" w:space="0" w:color="auto"/>
              <w:right w:val="single" w:sz="4" w:space="0" w:color="auto"/>
            </w:tcBorders>
            <w:shd w:val="clear" w:color="auto" w:fill="auto"/>
            <w:noWrap/>
            <w:vAlign w:val="bottom"/>
            <w:hideMark/>
          </w:tcPr>
          <w:p w14:paraId="02886F6F" w14:textId="77777777" w:rsidR="00483BC6" w:rsidRPr="00705A09" w:rsidRDefault="00483BC6" w:rsidP="00AC5B73">
            <w:pPr>
              <w:jc w:val="right"/>
              <w:rPr>
                <w:rFonts w:cs="Arial"/>
                <w:color w:val="000000"/>
              </w:rPr>
            </w:pPr>
            <w:r w:rsidRPr="00705A09">
              <w:rPr>
                <w:rFonts w:cs="Arial"/>
                <w:color w:val="000000"/>
              </w:rPr>
              <w:t>10.9%</w:t>
            </w:r>
          </w:p>
        </w:tc>
      </w:tr>
      <w:tr w:rsidR="00483BC6" w:rsidRPr="00705A09" w14:paraId="1F812D1B" w14:textId="77777777" w:rsidTr="007508B3">
        <w:trPr>
          <w:trHeight w:val="30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59D0D7A2" w14:textId="77777777" w:rsidR="00483BC6" w:rsidRPr="00705A09" w:rsidRDefault="00483BC6" w:rsidP="00AC5B73">
            <w:pPr>
              <w:rPr>
                <w:rFonts w:eastAsia="Times New Roman" w:cs="Arial"/>
                <w:color w:val="000000"/>
                <w:szCs w:val="24"/>
                <w:lang w:eastAsia="en-GB"/>
              </w:rPr>
            </w:pPr>
            <w:r w:rsidRPr="00705A09">
              <w:rPr>
                <w:rFonts w:eastAsia="Times New Roman" w:cs="Arial"/>
                <w:color w:val="000000"/>
                <w:szCs w:val="24"/>
                <w:lang w:eastAsia="en-GB"/>
              </w:rPr>
              <w:t>Scotland</w:t>
            </w:r>
          </w:p>
        </w:tc>
        <w:tc>
          <w:tcPr>
            <w:tcW w:w="1370" w:type="dxa"/>
            <w:tcBorders>
              <w:top w:val="nil"/>
              <w:left w:val="nil"/>
              <w:bottom w:val="single" w:sz="4" w:space="0" w:color="auto"/>
              <w:right w:val="single" w:sz="4" w:space="0" w:color="auto"/>
            </w:tcBorders>
            <w:shd w:val="clear" w:color="auto" w:fill="auto"/>
            <w:noWrap/>
            <w:vAlign w:val="bottom"/>
            <w:hideMark/>
          </w:tcPr>
          <w:p w14:paraId="3BED516C" w14:textId="77777777" w:rsidR="00483BC6" w:rsidRPr="00705A09" w:rsidRDefault="00483BC6" w:rsidP="00AC5B73">
            <w:pPr>
              <w:jc w:val="right"/>
              <w:rPr>
                <w:rFonts w:cs="Arial"/>
                <w:color w:val="000000"/>
              </w:rPr>
            </w:pPr>
            <w:r w:rsidRPr="00705A09">
              <w:rPr>
                <w:rFonts w:cs="Arial"/>
                <w:color w:val="000000"/>
              </w:rPr>
              <w:t>7.9%</w:t>
            </w:r>
          </w:p>
        </w:tc>
        <w:tc>
          <w:tcPr>
            <w:tcW w:w="1370" w:type="dxa"/>
            <w:tcBorders>
              <w:top w:val="nil"/>
              <w:left w:val="nil"/>
              <w:bottom w:val="single" w:sz="4" w:space="0" w:color="auto"/>
              <w:right w:val="single" w:sz="4" w:space="0" w:color="auto"/>
            </w:tcBorders>
            <w:shd w:val="clear" w:color="auto" w:fill="auto"/>
            <w:noWrap/>
            <w:vAlign w:val="bottom"/>
            <w:hideMark/>
          </w:tcPr>
          <w:p w14:paraId="1A596179" w14:textId="77777777" w:rsidR="00483BC6" w:rsidRPr="00705A09" w:rsidRDefault="00483BC6" w:rsidP="00AC5B73">
            <w:pPr>
              <w:jc w:val="right"/>
              <w:rPr>
                <w:rFonts w:cs="Arial"/>
                <w:color w:val="000000"/>
              </w:rPr>
            </w:pPr>
            <w:r w:rsidRPr="00705A09">
              <w:rPr>
                <w:rFonts w:cs="Arial"/>
                <w:color w:val="000000"/>
              </w:rPr>
              <w:t>20.5%</w:t>
            </w:r>
          </w:p>
        </w:tc>
        <w:tc>
          <w:tcPr>
            <w:tcW w:w="1370" w:type="dxa"/>
            <w:tcBorders>
              <w:top w:val="nil"/>
              <w:left w:val="nil"/>
              <w:bottom w:val="single" w:sz="4" w:space="0" w:color="auto"/>
              <w:right w:val="single" w:sz="4" w:space="0" w:color="auto"/>
            </w:tcBorders>
            <w:shd w:val="clear" w:color="auto" w:fill="auto"/>
            <w:noWrap/>
            <w:vAlign w:val="bottom"/>
            <w:hideMark/>
          </w:tcPr>
          <w:p w14:paraId="71FD0C23" w14:textId="77777777" w:rsidR="00483BC6" w:rsidRPr="00705A09" w:rsidRDefault="00483BC6" w:rsidP="00AC5B73">
            <w:pPr>
              <w:jc w:val="right"/>
              <w:rPr>
                <w:rFonts w:cs="Arial"/>
                <w:color w:val="000000"/>
              </w:rPr>
            </w:pPr>
            <w:r w:rsidRPr="00705A09">
              <w:rPr>
                <w:rFonts w:cs="Arial"/>
                <w:color w:val="000000"/>
              </w:rPr>
              <w:t>20.3%</w:t>
            </w:r>
          </w:p>
        </w:tc>
        <w:tc>
          <w:tcPr>
            <w:tcW w:w="1370" w:type="dxa"/>
            <w:tcBorders>
              <w:top w:val="nil"/>
              <w:left w:val="nil"/>
              <w:bottom w:val="single" w:sz="4" w:space="0" w:color="auto"/>
              <w:right w:val="single" w:sz="4" w:space="0" w:color="auto"/>
            </w:tcBorders>
            <w:shd w:val="clear" w:color="auto" w:fill="auto"/>
            <w:noWrap/>
            <w:vAlign w:val="bottom"/>
            <w:hideMark/>
          </w:tcPr>
          <w:p w14:paraId="13C788DD" w14:textId="77777777" w:rsidR="00483BC6" w:rsidRPr="00705A09" w:rsidRDefault="00483BC6" w:rsidP="00AC5B73">
            <w:pPr>
              <w:jc w:val="right"/>
              <w:rPr>
                <w:rFonts w:cs="Arial"/>
                <w:color w:val="000000"/>
              </w:rPr>
            </w:pPr>
            <w:r w:rsidRPr="00705A09">
              <w:rPr>
                <w:rFonts w:cs="Arial"/>
                <w:color w:val="000000"/>
              </w:rPr>
              <w:t>19.2%</w:t>
            </w:r>
          </w:p>
        </w:tc>
        <w:tc>
          <w:tcPr>
            <w:tcW w:w="1370" w:type="dxa"/>
            <w:tcBorders>
              <w:top w:val="nil"/>
              <w:left w:val="nil"/>
              <w:bottom w:val="single" w:sz="4" w:space="0" w:color="auto"/>
              <w:right w:val="single" w:sz="4" w:space="0" w:color="auto"/>
            </w:tcBorders>
            <w:shd w:val="clear" w:color="auto" w:fill="auto"/>
            <w:noWrap/>
            <w:vAlign w:val="bottom"/>
            <w:hideMark/>
          </w:tcPr>
          <w:p w14:paraId="68DA3A5C" w14:textId="77777777" w:rsidR="00483BC6" w:rsidRPr="00705A09" w:rsidRDefault="00483BC6" w:rsidP="00AC5B73">
            <w:pPr>
              <w:jc w:val="right"/>
              <w:rPr>
                <w:rFonts w:cs="Arial"/>
                <w:color w:val="000000"/>
              </w:rPr>
            </w:pPr>
            <w:r w:rsidRPr="00705A09">
              <w:rPr>
                <w:rFonts w:cs="Arial"/>
                <w:color w:val="000000"/>
              </w:rPr>
              <w:t>22.4%</w:t>
            </w:r>
          </w:p>
        </w:tc>
        <w:tc>
          <w:tcPr>
            <w:tcW w:w="1371" w:type="dxa"/>
            <w:tcBorders>
              <w:top w:val="nil"/>
              <w:left w:val="nil"/>
              <w:bottom w:val="single" w:sz="4" w:space="0" w:color="auto"/>
              <w:right w:val="single" w:sz="4" w:space="0" w:color="auto"/>
            </w:tcBorders>
            <w:shd w:val="clear" w:color="auto" w:fill="auto"/>
            <w:noWrap/>
            <w:vAlign w:val="bottom"/>
            <w:hideMark/>
          </w:tcPr>
          <w:p w14:paraId="16FDBE7B" w14:textId="77777777" w:rsidR="00483BC6" w:rsidRPr="00705A09" w:rsidRDefault="00483BC6" w:rsidP="00AC5B73">
            <w:pPr>
              <w:jc w:val="right"/>
              <w:rPr>
                <w:rFonts w:cs="Arial"/>
                <w:color w:val="000000"/>
              </w:rPr>
            </w:pPr>
            <w:r w:rsidRPr="00705A09">
              <w:rPr>
                <w:rFonts w:cs="Arial"/>
                <w:color w:val="000000"/>
              </w:rPr>
              <w:t>9.7%</w:t>
            </w:r>
          </w:p>
        </w:tc>
      </w:tr>
    </w:tbl>
    <w:p w14:paraId="39AC3608" w14:textId="77777777" w:rsidR="001A2E12" w:rsidRPr="00705A09" w:rsidRDefault="001A2E12" w:rsidP="00AC5B73">
      <w:pPr>
        <w:rPr>
          <w:rFonts w:cs="Arial"/>
          <w:szCs w:val="24"/>
        </w:rPr>
      </w:pPr>
    </w:p>
    <w:p w14:paraId="1EA1A6DA" w14:textId="77777777" w:rsidR="001A2E12" w:rsidRPr="00705A09" w:rsidRDefault="001A2E12" w:rsidP="00AC5B73">
      <w:pPr>
        <w:rPr>
          <w:rFonts w:cs="Arial"/>
          <w:szCs w:val="24"/>
        </w:rPr>
      </w:pPr>
      <w:r w:rsidRPr="00705A09">
        <w:rPr>
          <w:rFonts w:cs="Arial"/>
          <w:szCs w:val="24"/>
        </w:rPr>
        <w:lastRenderedPageBreak/>
        <w:t xml:space="preserve">The table above shows that in both the local area and Scotland as a whole </w:t>
      </w:r>
      <w:r w:rsidR="00746D80" w:rsidRPr="00705A09">
        <w:rPr>
          <w:rFonts w:cs="Arial"/>
          <w:szCs w:val="24"/>
        </w:rPr>
        <w:t xml:space="preserve">around </w:t>
      </w:r>
      <w:r w:rsidR="001F26A2" w:rsidRPr="00705A09">
        <w:rPr>
          <w:rFonts w:cs="Arial"/>
          <w:szCs w:val="24"/>
        </w:rPr>
        <w:t>8</w:t>
      </w:r>
      <w:r w:rsidRPr="00705A09">
        <w:rPr>
          <w:rFonts w:cs="Arial"/>
          <w:szCs w:val="24"/>
        </w:rPr>
        <w:t>% of the working age population is aged up to 19.</w:t>
      </w:r>
      <w:r w:rsidR="00901CC7" w:rsidRPr="00705A09">
        <w:rPr>
          <w:rFonts w:cs="Arial"/>
          <w:szCs w:val="24"/>
        </w:rPr>
        <w:t xml:space="preserve"> </w:t>
      </w:r>
      <w:r w:rsidRPr="00705A09">
        <w:rPr>
          <w:rFonts w:cs="Arial"/>
          <w:szCs w:val="24"/>
        </w:rPr>
        <w:t>However, within the Bo</w:t>
      </w:r>
      <w:r w:rsidR="00EB1E47" w:rsidRPr="00705A09">
        <w:rPr>
          <w:rFonts w:cs="Arial"/>
          <w:szCs w:val="24"/>
        </w:rPr>
        <w:t>ard only 0.1</w:t>
      </w:r>
      <w:r w:rsidR="00D8395A" w:rsidRPr="00705A09">
        <w:rPr>
          <w:rFonts w:cs="Arial"/>
          <w:szCs w:val="24"/>
        </w:rPr>
        <w:t>% of employees fall</w:t>
      </w:r>
      <w:r w:rsidR="00746D80" w:rsidRPr="00705A09">
        <w:rPr>
          <w:rFonts w:cs="Arial"/>
          <w:szCs w:val="24"/>
        </w:rPr>
        <w:t xml:space="preserve"> within this age range, and so is very under-represented in our workforce.</w:t>
      </w:r>
      <w:r w:rsidR="00901CC7" w:rsidRPr="00705A09">
        <w:rPr>
          <w:rFonts w:cs="Arial"/>
          <w:szCs w:val="24"/>
        </w:rPr>
        <w:t xml:space="preserve"> </w:t>
      </w:r>
      <w:r w:rsidR="00746D80" w:rsidRPr="00705A09">
        <w:rPr>
          <w:rFonts w:cs="Arial"/>
          <w:szCs w:val="24"/>
        </w:rPr>
        <w:t>At least in part this is because so few of the jobs within the Board could be considered entry level and suitable for school leavers: many require further and higher education qualifications, along with professional registration.</w:t>
      </w:r>
      <w:r w:rsidR="00901CC7" w:rsidRPr="00705A09">
        <w:rPr>
          <w:rFonts w:cs="Arial"/>
          <w:szCs w:val="24"/>
        </w:rPr>
        <w:t xml:space="preserve"> </w:t>
      </w:r>
      <w:r w:rsidR="004B01C2" w:rsidRPr="00705A09">
        <w:rPr>
          <w:rFonts w:cs="Arial"/>
          <w:szCs w:val="24"/>
        </w:rPr>
        <w:t>This also goes to explain why the proportion of those aged 20 to 29 is lower in the Board than is Scotland and the local area.</w:t>
      </w:r>
    </w:p>
    <w:p w14:paraId="3A8AB9C9" w14:textId="77777777" w:rsidR="004B01C2" w:rsidRPr="00705A09" w:rsidRDefault="004B01C2" w:rsidP="00AC5B73">
      <w:pPr>
        <w:rPr>
          <w:rFonts w:cs="Arial"/>
          <w:szCs w:val="24"/>
        </w:rPr>
      </w:pPr>
    </w:p>
    <w:p w14:paraId="77061D85" w14:textId="77777777" w:rsidR="004B01C2" w:rsidRPr="00F825B7" w:rsidRDefault="004B01C2" w:rsidP="00AC5B73">
      <w:pPr>
        <w:rPr>
          <w:rFonts w:cs="Arial"/>
          <w:szCs w:val="24"/>
        </w:rPr>
      </w:pPr>
      <w:r w:rsidRPr="00705A09">
        <w:rPr>
          <w:rFonts w:cs="Arial"/>
          <w:szCs w:val="24"/>
        </w:rPr>
        <w:t>Our proportion of 30 to 39 year olds and 40 to 49 year olds, and to a lesser extent 50 to 59 year olds, is higher than in West Dunbartonshire and Scotland as a whole.</w:t>
      </w:r>
      <w:r w:rsidR="00901CC7" w:rsidRPr="00705A09">
        <w:rPr>
          <w:rFonts w:cs="Arial"/>
          <w:szCs w:val="24"/>
        </w:rPr>
        <w:t xml:space="preserve"> </w:t>
      </w:r>
      <w:r w:rsidRPr="00705A09">
        <w:rPr>
          <w:rFonts w:cs="Arial"/>
          <w:szCs w:val="24"/>
        </w:rPr>
        <w:t>As can be seen from the age ranges of the job families below our professions that require qualifications to practice tend to be in these age ranges.</w:t>
      </w:r>
      <w:r w:rsidR="00901CC7" w:rsidRPr="00705A09">
        <w:rPr>
          <w:rFonts w:cs="Arial"/>
          <w:szCs w:val="24"/>
        </w:rPr>
        <w:t xml:space="preserve"> </w:t>
      </w:r>
      <w:r w:rsidRPr="00705A09">
        <w:rPr>
          <w:rFonts w:cs="Arial"/>
          <w:szCs w:val="24"/>
        </w:rPr>
        <w:t>Our workforce aged 60 plus is lower than the local and national proportions, as many of our staff still retire at around 60, due to benefits of superannuation.</w:t>
      </w:r>
    </w:p>
    <w:p w14:paraId="40A77EC9" w14:textId="77777777" w:rsidR="006F7E70" w:rsidRPr="00F825B7" w:rsidRDefault="006F7E70" w:rsidP="00AC5B73">
      <w:pPr>
        <w:rPr>
          <w:rFonts w:cs="Arial"/>
          <w:szCs w:val="24"/>
        </w:rPr>
      </w:pPr>
    </w:p>
    <w:p w14:paraId="74B7CE71" w14:textId="77777777" w:rsidR="00460539" w:rsidRPr="002400C2" w:rsidRDefault="00F575AF" w:rsidP="00AC5B73">
      <w:pPr>
        <w:pStyle w:val="Heading3"/>
      </w:pPr>
      <w:bookmarkStart w:id="77" w:name="_Toc76025114"/>
      <w:bookmarkStart w:id="78" w:name="_Toc108076911"/>
      <w:r w:rsidRPr="002400C2">
        <w:t>Recruitment Activity</w:t>
      </w:r>
      <w:bookmarkEnd w:id="77"/>
      <w:bookmarkEnd w:id="78"/>
    </w:p>
    <w:p w14:paraId="783ABFD0" w14:textId="7528EAFD" w:rsidR="00953FF4" w:rsidRDefault="00132C1B" w:rsidP="00AC5B73">
      <w:pPr>
        <w:rPr>
          <w:rFonts w:cs="Arial"/>
          <w:szCs w:val="24"/>
        </w:rPr>
      </w:pPr>
      <w:r>
        <w:rPr>
          <w:rFonts w:cs="Arial"/>
          <w:szCs w:val="24"/>
        </w:rPr>
        <w:t>W</w:t>
      </w:r>
      <w:r w:rsidR="00CA40E1">
        <w:rPr>
          <w:rFonts w:cs="Arial"/>
          <w:szCs w:val="24"/>
        </w:rPr>
        <w:t>e are unable to provide a breakdown by age of applicants and those who were shortlisted for the period under review, as this is not provided by the current suite of Jobtrain reports.</w:t>
      </w:r>
      <w:r w:rsidR="004B1A30">
        <w:rPr>
          <w:rFonts w:cs="Arial"/>
          <w:szCs w:val="24"/>
        </w:rPr>
        <w:t xml:space="preserve"> </w:t>
      </w:r>
      <w:r w:rsidR="00953FF4">
        <w:rPr>
          <w:rFonts w:cs="Arial"/>
          <w:szCs w:val="24"/>
        </w:rPr>
        <w:t>We can</w:t>
      </w:r>
      <w:r w:rsidR="004B1A30">
        <w:rPr>
          <w:rFonts w:cs="Arial"/>
          <w:szCs w:val="24"/>
        </w:rPr>
        <w:t>, however,</w:t>
      </w:r>
      <w:r w:rsidR="00953FF4">
        <w:rPr>
          <w:rFonts w:cs="Arial"/>
          <w:szCs w:val="24"/>
        </w:rPr>
        <w:t xml:space="preserve"> provide details of the age range of starters within the organisation:</w:t>
      </w:r>
    </w:p>
    <w:p w14:paraId="00DD74FE" w14:textId="61AABA65" w:rsidR="00953FF4" w:rsidRDefault="00953FF4" w:rsidP="00AC5B73">
      <w:pPr>
        <w:rPr>
          <w:rFonts w:cs="Arial"/>
          <w:szCs w:val="24"/>
        </w:rPr>
      </w:pPr>
    </w:p>
    <w:p w14:paraId="6DBD9A4B" w14:textId="2A1533ED" w:rsidR="004B1A30" w:rsidRDefault="004B1A30" w:rsidP="00AC5B73">
      <w:pPr>
        <w:rPr>
          <w:rFonts w:cs="Arial"/>
          <w:szCs w:val="24"/>
        </w:rPr>
      </w:pPr>
      <w:r>
        <w:rPr>
          <w:noProof/>
          <w:lang w:eastAsia="en-GB"/>
        </w:rPr>
        <w:drawing>
          <wp:inline distT="0" distB="0" distL="0" distR="0" wp14:anchorId="0A75DB80" wp14:editId="05CF5926">
            <wp:extent cx="6840000" cy="2160000"/>
            <wp:effectExtent l="0" t="0" r="18415" b="12065"/>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31096E32" w14:textId="77777777" w:rsidR="00953FF4" w:rsidRDefault="00953FF4" w:rsidP="00AC5B73">
      <w:pPr>
        <w:rPr>
          <w:rFonts w:cs="Arial"/>
          <w:szCs w:val="24"/>
        </w:rPr>
      </w:pPr>
    </w:p>
    <w:p w14:paraId="51D54948" w14:textId="33D771BA" w:rsidR="00126020" w:rsidRPr="002400C2" w:rsidRDefault="004B1A30" w:rsidP="00AC5B73">
      <w:pPr>
        <w:rPr>
          <w:rFonts w:cs="Arial"/>
          <w:szCs w:val="24"/>
        </w:rPr>
      </w:pPr>
      <w:r>
        <w:rPr>
          <w:rFonts w:cs="Arial"/>
          <w:szCs w:val="24"/>
        </w:rPr>
        <w:t>While those in the 25</w:t>
      </w:r>
      <w:r w:rsidR="00953FF4">
        <w:rPr>
          <w:rFonts w:cs="Arial"/>
          <w:szCs w:val="24"/>
        </w:rPr>
        <w:t xml:space="preserve"> – 29 age range compri</w:t>
      </w:r>
      <w:r>
        <w:rPr>
          <w:rFonts w:cs="Arial"/>
          <w:szCs w:val="24"/>
        </w:rPr>
        <w:t>sed 10.8</w:t>
      </w:r>
      <w:r w:rsidR="00953FF4">
        <w:rPr>
          <w:rFonts w:cs="Arial"/>
          <w:szCs w:val="24"/>
        </w:rPr>
        <w:t xml:space="preserve">% of the workforce during the period under review, they made up </w:t>
      </w:r>
      <w:r>
        <w:rPr>
          <w:rFonts w:cs="Arial"/>
          <w:szCs w:val="24"/>
        </w:rPr>
        <w:t>18.7</w:t>
      </w:r>
      <w:r w:rsidR="00953FF4">
        <w:rPr>
          <w:rFonts w:cs="Arial"/>
          <w:szCs w:val="24"/>
        </w:rPr>
        <w:t xml:space="preserve">% of starters, while those in the </w:t>
      </w:r>
      <w:r>
        <w:rPr>
          <w:rFonts w:cs="Arial"/>
          <w:szCs w:val="24"/>
        </w:rPr>
        <w:t>50 – 54 age bracket make up 14.5</w:t>
      </w:r>
      <w:r w:rsidR="00953FF4">
        <w:rPr>
          <w:rFonts w:cs="Arial"/>
          <w:szCs w:val="24"/>
        </w:rPr>
        <w:t>%</w:t>
      </w:r>
      <w:r>
        <w:rPr>
          <w:rFonts w:cs="Arial"/>
          <w:szCs w:val="24"/>
        </w:rPr>
        <w:t xml:space="preserve"> of the workforce, but only 8.5</w:t>
      </w:r>
      <w:r w:rsidR="00953FF4">
        <w:rPr>
          <w:rFonts w:cs="Arial"/>
          <w:szCs w:val="24"/>
        </w:rPr>
        <w:t>% of new starters.</w:t>
      </w:r>
    </w:p>
    <w:p w14:paraId="7E69362E" w14:textId="77777777" w:rsidR="00EC4DDE" w:rsidRPr="002400C2" w:rsidRDefault="00EC4DDE" w:rsidP="00AC5B73">
      <w:pPr>
        <w:rPr>
          <w:rFonts w:cs="Arial"/>
          <w:szCs w:val="24"/>
        </w:rPr>
      </w:pPr>
    </w:p>
    <w:p w14:paraId="2550798D" w14:textId="77777777" w:rsidR="009D4D0C" w:rsidRPr="002400C2" w:rsidRDefault="009D4D0C" w:rsidP="00AC5B73">
      <w:pPr>
        <w:pStyle w:val="Heading3"/>
      </w:pPr>
      <w:bookmarkStart w:id="79" w:name="_Toc76025115"/>
      <w:bookmarkStart w:id="80" w:name="_Toc108076912"/>
      <w:r w:rsidRPr="002400C2">
        <w:t>Training Activity</w:t>
      </w:r>
      <w:bookmarkEnd w:id="79"/>
      <w:bookmarkEnd w:id="80"/>
    </w:p>
    <w:p w14:paraId="1B53CCFF" w14:textId="364FAEF3" w:rsidR="001820CF" w:rsidRPr="00705A09" w:rsidRDefault="001820CF" w:rsidP="00AC5B73">
      <w:pPr>
        <w:rPr>
          <w:rFonts w:cs="Arial"/>
          <w:szCs w:val="24"/>
        </w:rPr>
      </w:pPr>
      <w:r w:rsidRPr="00705A09">
        <w:rPr>
          <w:rFonts w:cs="Arial"/>
          <w:szCs w:val="24"/>
        </w:rPr>
        <w:t>The proportion of training undertaken by each age range during the period monitored closely reflects the proportion of the workforce that age range comprises, as can be seen from the chart below</w:t>
      </w:r>
      <w:r w:rsidR="00263B28">
        <w:rPr>
          <w:rFonts w:cs="Arial"/>
          <w:szCs w:val="24"/>
        </w:rPr>
        <w:t>, with the younger age ranges tending to participate more in training than their proportion of the workforce</w:t>
      </w:r>
      <w:r w:rsidRPr="00705A09">
        <w:rPr>
          <w:rFonts w:cs="Arial"/>
          <w:szCs w:val="24"/>
        </w:rPr>
        <w:t>.</w:t>
      </w:r>
    </w:p>
    <w:p w14:paraId="78EC2401" w14:textId="338274D4" w:rsidR="008A399D" w:rsidRDefault="008A399D" w:rsidP="00AC5B73">
      <w:pPr>
        <w:rPr>
          <w:rFonts w:cs="Arial"/>
          <w:szCs w:val="24"/>
        </w:rPr>
      </w:pPr>
    </w:p>
    <w:p w14:paraId="2EC8C315" w14:textId="06FEC65B" w:rsidR="0048379B" w:rsidRDefault="0048379B" w:rsidP="00AC5B73">
      <w:pPr>
        <w:rPr>
          <w:rFonts w:cs="Arial"/>
          <w:szCs w:val="24"/>
        </w:rPr>
      </w:pPr>
      <w:r>
        <w:rPr>
          <w:noProof/>
          <w:lang w:eastAsia="en-GB"/>
        </w:rPr>
        <w:lastRenderedPageBreak/>
        <w:drawing>
          <wp:inline distT="0" distB="0" distL="0" distR="0" wp14:anchorId="770C3B77" wp14:editId="5C9C19A6">
            <wp:extent cx="6840000" cy="2160000"/>
            <wp:effectExtent l="0" t="0" r="18415" b="1206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54EAF452" w14:textId="54C73497" w:rsidR="00D400B6" w:rsidRDefault="00D400B6" w:rsidP="00AC5B73">
      <w:pPr>
        <w:rPr>
          <w:rFonts w:cs="Arial"/>
          <w:szCs w:val="24"/>
        </w:rPr>
      </w:pPr>
    </w:p>
    <w:p w14:paraId="793960F0" w14:textId="77777777" w:rsidR="006376F4" w:rsidRPr="00705A09" w:rsidRDefault="006376F4" w:rsidP="00AC5B73">
      <w:pPr>
        <w:rPr>
          <w:rFonts w:cs="Arial"/>
          <w:szCs w:val="24"/>
        </w:rPr>
      </w:pPr>
    </w:p>
    <w:p w14:paraId="216AE2F1" w14:textId="77777777" w:rsidR="00907C0E" w:rsidRPr="00705A09" w:rsidRDefault="00247320" w:rsidP="00AC5B73">
      <w:pPr>
        <w:pStyle w:val="Heading3"/>
      </w:pPr>
      <w:bookmarkStart w:id="81" w:name="_Toc76025116"/>
      <w:bookmarkStart w:id="82" w:name="_Toc108076913"/>
      <w:r w:rsidRPr="00705A09">
        <w:t>Career Progression</w:t>
      </w:r>
      <w:bookmarkEnd w:id="81"/>
      <w:bookmarkEnd w:id="82"/>
    </w:p>
    <w:p w14:paraId="1C910D7F" w14:textId="16A52BA8" w:rsidR="00EF6A52" w:rsidRPr="00705A09" w:rsidRDefault="00247320" w:rsidP="00AC5B73">
      <w:pPr>
        <w:rPr>
          <w:rFonts w:cs="Arial"/>
          <w:szCs w:val="24"/>
        </w:rPr>
      </w:pPr>
      <w:r w:rsidRPr="00705A09">
        <w:rPr>
          <w:rFonts w:cs="Arial"/>
          <w:szCs w:val="24"/>
        </w:rPr>
        <w:t>The mo</w:t>
      </w:r>
      <w:r w:rsidR="00620AD6" w:rsidRPr="00705A09">
        <w:rPr>
          <w:rFonts w:cs="Arial"/>
          <w:szCs w:val="24"/>
        </w:rPr>
        <w:t xml:space="preserve">nitored period saw a total of </w:t>
      </w:r>
      <w:r w:rsidR="00C40B71">
        <w:rPr>
          <w:rFonts w:cs="Arial"/>
          <w:szCs w:val="24"/>
        </w:rPr>
        <w:t>152</w:t>
      </w:r>
      <w:r w:rsidRPr="00705A09">
        <w:rPr>
          <w:rFonts w:cs="Arial"/>
          <w:szCs w:val="24"/>
        </w:rPr>
        <w:t xml:space="preserve"> promotions among </w:t>
      </w:r>
      <w:r w:rsidR="00C40B71">
        <w:rPr>
          <w:rFonts w:cs="Arial"/>
          <w:szCs w:val="24"/>
        </w:rPr>
        <w:t>NHS GJ’s workforce</w:t>
      </w:r>
      <w:r w:rsidR="00160CB1" w:rsidRPr="00705A09">
        <w:rPr>
          <w:rFonts w:cs="Arial"/>
          <w:szCs w:val="24"/>
        </w:rPr>
        <w:t>.</w:t>
      </w:r>
      <w:r w:rsidR="00901CC7" w:rsidRPr="00705A09">
        <w:rPr>
          <w:rFonts w:cs="Arial"/>
          <w:szCs w:val="24"/>
        </w:rPr>
        <w:t xml:space="preserve"> </w:t>
      </w:r>
      <w:r w:rsidR="00160CB1" w:rsidRPr="00705A09">
        <w:rPr>
          <w:rFonts w:cs="Arial"/>
          <w:szCs w:val="24"/>
        </w:rPr>
        <w:t xml:space="preserve">The table below shows the number and proportion </w:t>
      </w:r>
      <w:r w:rsidR="000A1D93" w:rsidRPr="00705A09">
        <w:rPr>
          <w:rFonts w:cs="Arial"/>
          <w:szCs w:val="24"/>
        </w:rPr>
        <w:t>of promotions</w:t>
      </w:r>
      <w:r w:rsidR="0068154E">
        <w:rPr>
          <w:rFonts w:cs="Arial"/>
          <w:szCs w:val="24"/>
        </w:rPr>
        <w:t xml:space="preserve"> by age range. It a</w:t>
      </w:r>
      <w:r w:rsidR="00C40B71">
        <w:rPr>
          <w:rFonts w:cs="Arial"/>
          <w:szCs w:val="24"/>
        </w:rPr>
        <w:t>lso shows that members of the 35</w:t>
      </w:r>
      <w:r w:rsidR="0068154E">
        <w:rPr>
          <w:rFonts w:cs="Arial"/>
          <w:szCs w:val="24"/>
        </w:rPr>
        <w:t xml:space="preserve"> to 39 age group are most likely to be promoted, while employees up to 19</w:t>
      </w:r>
      <w:r w:rsidR="00C40B71">
        <w:rPr>
          <w:rFonts w:cs="Arial"/>
          <w:szCs w:val="24"/>
        </w:rPr>
        <w:t xml:space="preserve"> or 65 plus</w:t>
      </w:r>
      <w:r w:rsidR="0068154E">
        <w:rPr>
          <w:rFonts w:cs="Arial"/>
          <w:szCs w:val="24"/>
        </w:rPr>
        <w:t xml:space="preserve"> are least likely to be promoted</w:t>
      </w:r>
      <w:r w:rsidR="00C40B71">
        <w:rPr>
          <w:rFonts w:cs="Arial"/>
          <w:szCs w:val="24"/>
        </w:rPr>
        <w:t>.</w:t>
      </w:r>
    </w:p>
    <w:p w14:paraId="03BF81BB" w14:textId="77777777" w:rsidR="00FD202A" w:rsidRPr="00705A09" w:rsidRDefault="00FD202A" w:rsidP="00AC5B73">
      <w:pPr>
        <w:rPr>
          <w:rFonts w:cs="Arial"/>
          <w:szCs w:val="24"/>
        </w:rPr>
      </w:pPr>
    </w:p>
    <w:tbl>
      <w:tblPr>
        <w:tblW w:w="10037" w:type="dxa"/>
        <w:jc w:val="center"/>
        <w:tblLayout w:type="fixed"/>
        <w:tblLook w:val="04A0" w:firstRow="1" w:lastRow="0" w:firstColumn="1" w:lastColumn="0" w:noHBand="0" w:noVBand="1"/>
      </w:tblPr>
      <w:tblGrid>
        <w:gridCol w:w="1672"/>
        <w:gridCol w:w="1673"/>
        <w:gridCol w:w="1673"/>
        <w:gridCol w:w="1673"/>
        <w:gridCol w:w="1673"/>
        <w:gridCol w:w="1673"/>
      </w:tblGrid>
      <w:tr w:rsidR="00C40B71" w:rsidRPr="00705A09" w14:paraId="0CDBF2FC" w14:textId="77777777" w:rsidTr="005243A5">
        <w:trPr>
          <w:trHeight w:val="300"/>
          <w:jc w:val="center"/>
        </w:trPr>
        <w:tc>
          <w:tcPr>
            <w:tcW w:w="1672" w:type="dxa"/>
            <w:vMerge w:val="restart"/>
            <w:tcBorders>
              <w:top w:val="nil"/>
              <w:left w:val="nil"/>
              <w:right w:val="single" w:sz="4" w:space="0" w:color="auto"/>
            </w:tcBorders>
            <w:shd w:val="clear" w:color="auto" w:fill="auto"/>
            <w:noWrap/>
            <w:vAlign w:val="bottom"/>
          </w:tcPr>
          <w:p w14:paraId="64E08613" w14:textId="77777777" w:rsidR="00C40B71" w:rsidRPr="00705A09" w:rsidRDefault="00C40B71" w:rsidP="00AC5B73">
            <w:pPr>
              <w:rPr>
                <w:rFonts w:eastAsia="Times New Roman" w:cs="Arial"/>
                <w:b/>
                <w:color w:val="000000"/>
                <w:szCs w:val="24"/>
                <w:lang w:eastAsia="en-GB"/>
              </w:rPr>
            </w:pPr>
          </w:p>
        </w:tc>
        <w:tc>
          <w:tcPr>
            <w:tcW w:w="33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846803" w14:textId="77777777" w:rsidR="00C40B71" w:rsidRPr="00705A09" w:rsidRDefault="00C40B71" w:rsidP="00AC5B73">
            <w:pPr>
              <w:rPr>
                <w:rFonts w:eastAsia="Times New Roman" w:cs="Arial"/>
                <w:b/>
                <w:color w:val="000000"/>
                <w:szCs w:val="24"/>
                <w:lang w:eastAsia="en-GB"/>
              </w:rPr>
            </w:pPr>
            <w:r w:rsidRPr="00705A09">
              <w:rPr>
                <w:rFonts w:eastAsia="Times New Roman" w:cs="Arial"/>
                <w:b/>
                <w:color w:val="000000"/>
                <w:szCs w:val="24"/>
                <w:lang w:eastAsia="en-GB"/>
              </w:rPr>
              <w:t>Promotions</w:t>
            </w:r>
          </w:p>
        </w:tc>
        <w:tc>
          <w:tcPr>
            <w:tcW w:w="33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96FE27" w14:textId="77777777" w:rsidR="00C40B71" w:rsidRPr="00705A09" w:rsidRDefault="00C40B71" w:rsidP="00AC5B73">
            <w:pPr>
              <w:rPr>
                <w:rFonts w:eastAsia="Times New Roman" w:cs="Arial"/>
                <w:b/>
                <w:color w:val="000000"/>
                <w:szCs w:val="24"/>
                <w:lang w:eastAsia="en-GB"/>
              </w:rPr>
            </w:pPr>
            <w:r w:rsidRPr="00705A09">
              <w:rPr>
                <w:rFonts w:eastAsia="Times New Roman" w:cs="Arial"/>
                <w:b/>
                <w:color w:val="000000"/>
                <w:szCs w:val="24"/>
                <w:lang w:eastAsia="en-GB"/>
              </w:rPr>
              <w:t>Workforce</w:t>
            </w:r>
          </w:p>
        </w:tc>
        <w:tc>
          <w:tcPr>
            <w:tcW w:w="1673" w:type="dxa"/>
            <w:vMerge w:val="restart"/>
            <w:tcBorders>
              <w:top w:val="single" w:sz="4" w:space="0" w:color="auto"/>
              <w:left w:val="single" w:sz="4" w:space="0" w:color="auto"/>
              <w:right w:val="single" w:sz="4" w:space="0" w:color="auto"/>
            </w:tcBorders>
          </w:tcPr>
          <w:p w14:paraId="59A0E772" w14:textId="77777777" w:rsidR="00C40B71" w:rsidRPr="00705A09" w:rsidRDefault="00C40B71" w:rsidP="00AC5B73">
            <w:pPr>
              <w:rPr>
                <w:rFonts w:eastAsia="Times New Roman" w:cs="Arial"/>
                <w:b/>
                <w:color w:val="000000"/>
                <w:szCs w:val="24"/>
                <w:lang w:eastAsia="en-GB"/>
              </w:rPr>
            </w:pPr>
            <w:r>
              <w:rPr>
                <w:rFonts w:eastAsia="Times New Roman" w:cs="Arial"/>
                <w:b/>
                <w:color w:val="000000"/>
                <w:szCs w:val="24"/>
                <w:lang w:eastAsia="en-GB"/>
              </w:rPr>
              <w:t>% of Age Group Promoted</w:t>
            </w:r>
          </w:p>
        </w:tc>
      </w:tr>
      <w:tr w:rsidR="00C40B71" w:rsidRPr="00705A09" w14:paraId="31E161E9" w14:textId="77777777" w:rsidTr="005243A5">
        <w:trPr>
          <w:trHeight w:val="300"/>
          <w:jc w:val="center"/>
        </w:trPr>
        <w:tc>
          <w:tcPr>
            <w:tcW w:w="1672" w:type="dxa"/>
            <w:vMerge/>
            <w:tcBorders>
              <w:left w:val="nil"/>
              <w:bottom w:val="single" w:sz="4" w:space="0" w:color="auto"/>
              <w:right w:val="single" w:sz="4" w:space="0" w:color="auto"/>
            </w:tcBorders>
            <w:shd w:val="clear" w:color="auto" w:fill="auto"/>
            <w:noWrap/>
            <w:vAlign w:val="bottom"/>
            <w:hideMark/>
          </w:tcPr>
          <w:p w14:paraId="6D05569B" w14:textId="77777777" w:rsidR="00C40B71" w:rsidRPr="00705A09" w:rsidRDefault="00C40B71" w:rsidP="00AC5B73">
            <w:pPr>
              <w:rPr>
                <w:rFonts w:eastAsia="Times New Roman" w:cs="Arial"/>
                <w:b/>
                <w:color w:val="000000"/>
                <w:szCs w:val="24"/>
                <w:lang w:eastAsia="en-GB"/>
              </w:rPr>
            </w:pP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866D5" w14:textId="77777777" w:rsidR="00C40B71" w:rsidRPr="00705A09" w:rsidRDefault="00C40B71" w:rsidP="00AC5B73">
            <w:pPr>
              <w:rPr>
                <w:rFonts w:eastAsia="Times New Roman" w:cs="Arial"/>
                <w:b/>
                <w:color w:val="000000"/>
                <w:szCs w:val="24"/>
                <w:lang w:eastAsia="en-GB"/>
              </w:rPr>
            </w:pPr>
            <w:r w:rsidRPr="00705A09">
              <w:rPr>
                <w:rFonts w:eastAsia="Times New Roman" w:cs="Arial"/>
                <w:b/>
                <w:color w:val="000000"/>
                <w:szCs w:val="24"/>
                <w:lang w:eastAsia="en-GB"/>
              </w:rPr>
              <w:t>Headcount</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DA9DC" w14:textId="77777777" w:rsidR="00C40B71" w:rsidRPr="00705A09" w:rsidRDefault="00C40B71" w:rsidP="00AC5B73">
            <w:pPr>
              <w:rPr>
                <w:rFonts w:eastAsia="Times New Roman" w:cs="Arial"/>
                <w:b/>
                <w:color w:val="000000"/>
                <w:szCs w:val="24"/>
                <w:lang w:eastAsia="en-GB"/>
              </w:rPr>
            </w:pPr>
            <w:r w:rsidRPr="00705A09">
              <w:rPr>
                <w:rFonts w:eastAsia="Times New Roman" w:cs="Arial"/>
                <w:b/>
                <w:color w:val="000000"/>
                <w:szCs w:val="24"/>
                <w:lang w:eastAsia="en-GB"/>
              </w:rPr>
              <w:t>%Headcount</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A2468" w14:textId="77777777" w:rsidR="00C40B71" w:rsidRPr="00705A09" w:rsidRDefault="00C40B71" w:rsidP="00AC5B73">
            <w:pPr>
              <w:rPr>
                <w:rFonts w:eastAsia="Times New Roman" w:cs="Arial"/>
                <w:b/>
                <w:color w:val="000000"/>
                <w:szCs w:val="24"/>
                <w:lang w:eastAsia="en-GB"/>
              </w:rPr>
            </w:pPr>
            <w:r w:rsidRPr="00705A09">
              <w:rPr>
                <w:rFonts w:eastAsia="Times New Roman" w:cs="Arial"/>
                <w:b/>
                <w:color w:val="000000"/>
                <w:szCs w:val="24"/>
                <w:lang w:eastAsia="en-GB"/>
              </w:rPr>
              <w:t>Headcount</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373B2" w14:textId="77777777" w:rsidR="00C40B71" w:rsidRPr="00705A09" w:rsidRDefault="00C40B71" w:rsidP="00AC5B73">
            <w:pPr>
              <w:rPr>
                <w:rFonts w:eastAsia="Times New Roman" w:cs="Arial"/>
                <w:b/>
                <w:color w:val="000000"/>
                <w:szCs w:val="24"/>
                <w:lang w:eastAsia="en-GB"/>
              </w:rPr>
            </w:pPr>
            <w:r w:rsidRPr="00705A09">
              <w:rPr>
                <w:rFonts w:eastAsia="Times New Roman" w:cs="Arial"/>
                <w:b/>
                <w:color w:val="000000"/>
                <w:szCs w:val="24"/>
                <w:lang w:eastAsia="en-GB"/>
              </w:rPr>
              <w:t>%Headcount</w:t>
            </w:r>
          </w:p>
        </w:tc>
        <w:tc>
          <w:tcPr>
            <w:tcW w:w="1673" w:type="dxa"/>
            <w:vMerge/>
            <w:tcBorders>
              <w:left w:val="single" w:sz="4" w:space="0" w:color="auto"/>
              <w:bottom w:val="single" w:sz="4" w:space="0" w:color="auto"/>
              <w:right w:val="single" w:sz="4" w:space="0" w:color="auto"/>
            </w:tcBorders>
          </w:tcPr>
          <w:p w14:paraId="6C2A67EA" w14:textId="77777777" w:rsidR="00C40B71" w:rsidRPr="00705A09" w:rsidRDefault="00C40B71" w:rsidP="00AC5B73">
            <w:pPr>
              <w:rPr>
                <w:rFonts w:eastAsia="Times New Roman" w:cs="Arial"/>
                <w:b/>
                <w:color w:val="000000"/>
                <w:szCs w:val="24"/>
                <w:lang w:eastAsia="en-GB"/>
              </w:rPr>
            </w:pPr>
          </w:p>
        </w:tc>
      </w:tr>
      <w:tr w:rsidR="00C40B71" w:rsidRPr="00705A09" w14:paraId="12155AD6"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7602AF" w14:textId="53569F6B" w:rsidR="00C40B71" w:rsidRPr="00705A09" w:rsidRDefault="00C40B71" w:rsidP="00AC5B73">
            <w:pPr>
              <w:rPr>
                <w:rFonts w:eastAsia="Times New Roman" w:cs="Arial"/>
                <w:b/>
                <w:color w:val="000000"/>
                <w:szCs w:val="24"/>
                <w:lang w:eastAsia="en-GB"/>
              </w:rPr>
            </w:pPr>
            <w:r>
              <w:rPr>
                <w:rFonts w:eastAsia="Times New Roman" w:cs="Arial"/>
                <w:b/>
                <w:color w:val="000000"/>
                <w:szCs w:val="24"/>
                <w:lang w:eastAsia="en-GB"/>
              </w:rPr>
              <w:t>Under 20</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0051C1A7" w14:textId="2400CB9A" w:rsidR="00C40B71" w:rsidRPr="00705A09" w:rsidRDefault="00C40B71" w:rsidP="00AC5B73">
            <w:pPr>
              <w:jc w:val="right"/>
              <w:rPr>
                <w:rFonts w:eastAsia="Times New Roman" w:cs="Arial"/>
                <w:color w:val="000000"/>
                <w:szCs w:val="24"/>
                <w:lang w:eastAsia="en-GB"/>
              </w:rPr>
            </w:pPr>
            <w:r w:rsidRPr="000918AE">
              <w:t>1</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5B7EE17C" w14:textId="5097FD0E" w:rsidR="00C40B71" w:rsidRPr="00705A09" w:rsidRDefault="00C40B71" w:rsidP="00AC5B73">
            <w:pPr>
              <w:jc w:val="right"/>
              <w:rPr>
                <w:rFonts w:eastAsia="Times New Roman" w:cs="Arial"/>
                <w:color w:val="000000"/>
                <w:szCs w:val="24"/>
                <w:lang w:eastAsia="en-GB"/>
              </w:rPr>
            </w:pPr>
            <w:r w:rsidRPr="00211C74">
              <w:t>0.7%</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2D9D2645" w14:textId="08E97E3B" w:rsidR="00C40B71" w:rsidRPr="00705A09" w:rsidRDefault="00C40B71" w:rsidP="00AC5B73">
            <w:pPr>
              <w:jc w:val="right"/>
              <w:rPr>
                <w:rFonts w:eastAsia="Times New Roman" w:cs="Arial"/>
                <w:color w:val="000000"/>
                <w:szCs w:val="24"/>
                <w:lang w:eastAsia="en-GB"/>
              </w:rPr>
            </w:pPr>
            <w:r w:rsidRPr="00155516">
              <w:t>5</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00D1ED3A" w14:textId="12A9A13A" w:rsidR="00C40B71" w:rsidRPr="00705A09" w:rsidRDefault="00C40B71" w:rsidP="00AC5B73">
            <w:pPr>
              <w:jc w:val="right"/>
              <w:rPr>
                <w:rFonts w:eastAsia="Times New Roman" w:cs="Arial"/>
                <w:color w:val="000000"/>
                <w:szCs w:val="24"/>
                <w:lang w:eastAsia="en-GB"/>
              </w:rPr>
            </w:pPr>
            <w:r w:rsidRPr="00B643FD">
              <w:t>0.2%</w:t>
            </w:r>
          </w:p>
        </w:tc>
        <w:tc>
          <w:tcPr>
            <w:tcW w:w="1673" w:type="dxa"/>
            <w:tcBorders>
              <w:top w:val="single" w:sz="4" w:space="0" w:color="auto"/>
              <w:left w:val="single" w:sz="4" w:space="0" w:color="auto"/>
              <w:bottom w:val="single" w:sz="4" w:space="0" w:color="auto"/>
              <w:right w:val="single" w:sz="4" w:space="0" w:color="auto"/>
            </w:tcBorders>
          </w:tcPr>
          <w:p w14:paraId="10867A7A" w14:textId="7056F735" w:rsidR="00C40B71" w:rsidRPr="00705A09" w:rsidRDefault="00C40B71" w:rsidP="00AC5B73">
            <w:pPr>
              <w:jc w:val="right"/>
              <w:rPr>
                <w:rFonts w:eastAsia="Times New Roman" w:cs="Arial"/>
                <w:color w:val="000000"/>
                <w:szCs w:val="24"/>
                <w:lang w:eastAsia="en-GB"/>
              </w:rPr>
            </w:pPr>
            <w:r w:rsidRPr="003D7215">
              <w:t>0.0%</w:t>
            </w:r>
          </w:p>
        </w:tc>
      </w:tr>
      <w:tr w:rsidR="00C40B71" w:rsidRPr="00705A09" w14:paraId="133CBA08"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FB599" w14:textId="4B21F23D" w:rsidR="00C40B71" w:rsidRPr="00705A09" w:rsidRDefault="00C40B71" w:rsidP="00AC5B73">
            <w:pPr>
              <w:rPr>
                <w:rFonts w:eastAsia="Times New Roman" w:cs="Arial"/>
                <w:b/>
                <w:color w:val="000000"/>
                <w:szCs w:val="24"/>
                <w:lang w:eastAsia="en-GB"/>
              </w:rPr>
            </w:pPr>
            <w:r>
              <w:rPr>
                <w:rFonts w:eastAsia="Times New Roman" w:cs="Arial"/>
                <w:b/>
                <w:color w:val="000000"/>
                <w:szCs w:val="24"/>
                <w:lang w:eastAsia="en-GB"/>
              </w:rPr>
              <w:t>20 to 24</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46E67F94" w14:textId="4D8F8A8B" w:rsidR="00C40B71" w:rsidRPr="00705A09" w:rsidRDefault="00C40B71" w:rsidP="00AC5B73">
            <w:pPr>
              <w:jc w:val="right"/>
              <w:rPr>
                <w:rFonts w:eastAsia="Times New Roman" w:cs="Arial"/>
                <w:color w:val="000000"/>
                <w:szCs w:val="24"/>
                <w:lang w:eastAsia="en-GB"/>
              </w:rPr>
            </w:pPr>
            <w:r w:rsidRPr="000918AE">
              <w:t>3</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13B9382B" w14:textId="71D3D999" w:rsidR="00C40B71" w:rsidRPr="00705A09" w:rsidRDefault="00C40B71" w:rsidP="00AC5B73">
            <w:pPr>
              <w:jc w:val="right"/>
              <w:rPr>
                <w:rFonts w:eastAsia="Times New Roman" w:cs="Arial"/>
                <w:color w:val="000000"/>
                <w:szCs w:val="24"/>
                <w:lang w:eastAsia="en-GB"/>
              </w:rPr>
            </w:pPr>
            <w:r w:rsidRPr="00211C74">
              <w:t>2.0%</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43AC9693" w14:textId="009C61C6" w:rsidR="00C40B71" w:rsidRPr="00705A09" w:rsidRDefault="00C40B71" w:rsidP="00AC5B73">
            <w:pPr>
              <w:jc w:val="right"/>
              <w:rPr>
                <w:rFonts w:eastAsia="Times New Roman" w:cs="Arial"/>
                <w:color w:val="000000"/>
                <w:szCs w:val="24"/>
                <w:lang w:eastAsia="en-GB"/>
              </w:rPr>
            </w:pPr>
            <w:r w:rsidRPr="00155516">
              <w:t>83</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4F194DC8" w14:textId="109AEE83" w:rsidR="00C40B71" w:rsidRPr="00705A09" w:rsidRDefault="00C40B71" w:rsidP="00AC5B73">
            <w:pPr>
              <w:jc w:val="right"/>
              <w:rPr>
                <w:rFonts w:eastAsia="Times New Roman" w:cs="Arial"/>
                <w:color w:val="000000"/>
                <w:szCs w:val="24"/>
                <w:lang w:eastAsia="en-GB"/>
              </w:rPr>
            </w:pPr>
            <w:r w:rsidRPr="00B643FD">
              <w:t>3.9%</w:t>
            </w:r>
          </w:p>
        </w:tc>
        <w:tc>
          <w:tcPr>
            <w:tcW w:w="1673" w:type="dxa"/>
            <w:tcBorders>
              <w:top w:val="single" w:sz="4" w:space="0" w:color="auto"/>
              <w:left w:val="single" w:sz="4" w:space="0" w:color="auto"/>
              <w:bottom w:val="single" w:sz="4" w:space="0" w:color="auto"/>
              <w:right w:val="single" w:sz="4" w:space="0" w:color="auto"/>
            </w:tcBorders>
          </w:tcPr>
          <w:p w14:paraId="18C9DD55" w14:textId="19040AE0" w:rsidR="00C40B71" w:rsidRDefault="00C40B71" w:rsidP="00AC5B73">
            <w:pPr>
              <w:jc w:val="right"/>
              <w:rPr>
                <w:rFonts w:eastAsia="Times New Roman" w:cs="Arial"/>
                <w:color w:val="000000"/>
                <w:szCs w:val="24"/>
                <w:lang w:eastAsia="en-GB"/>
              </w:rPr>
            </w:pPr>
            <w:r w:rsidRPr="003D7215">
              <w:t>0.1%</w:t>
            </w:r>
          </w:p>
        </w:tc>
      </w:tr>
      <w:tr w:rsidR="00C40B71" w:rsidRPr="00705A09" w14:paraId="4FA06EE5"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A91C7" w14:textId="7CB0784D" w:rsidR="00C40B71" w:rsidRPr="00705A09" w:rsidRDefault="00C40B71" w:rsidP="00AC5B73">
            <w:pPr>
              <w:rPr>
                <w:rFonts w:eastAsia="Times New Roman" w:cs="Arial"/>
                <w:b/>
                <w:color w:val="000000"/>
                <w:szCs w:val="24"/>
                <w:lang w:eastAsia="en-GB"/>
              </w:rPr>
            </w:pPr>
            <w:r>
              <w:rPr>
                <w:rFonts w:eastAsia="Times New Roman" w:cs="Arial"/>
                <w:b/>
                <w:color w:val="000000"/>
                <w:szCs w:val="24"/>
                <w:lang w:eastAsia="en-GB"/>
              </w:rPr>
              <w:t>25 to 29</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3FC7732B" w14:textId="497793A8" w:rsidR="00C40B71" w:rsidRPr="00705A09" w:rsidRDefault="00C40B71" w:rsidP="00AC5B73">
            <w:pPr>
              <w:jc w:val="right"/>
              <w:rPr>
                <w:rFonts w:eastAsia="Times New Roman" w:cs="Arial"/>
                <w:color w:val="000000"/>
                <w:szCs w:val="24"/>
                <w:lang w:eastAsia="en-GB"/>
              </w:rPr>
            </w:pPr>
            <w:r w:rsidRPr="000918AE">
              <w:t>22</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619A221E" w14:textId="674FC8C7" w:rsidR="00C40B71" w:rsidRPr="00705A09" w:rsidRDefault="00C40B71" w:rsidP="00AC5B73">
            <w:pPr>
              <w:jc w:val="right"/>
              <w:rPr>
                <w:rFonts w:eastAsia="Times New Roman" w:cs="Arial"/>
                <w:color w:val="000000"/>
                <w:szCs w:val="24"/>
                <w:lang w:eastAsia="en-GB"/>
              </w:rPr>
            </w:pPr>
            <w:r w:rsidRPr="00211C74">
              <w:t>14.5%</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11BCF82" w14:textId="0A5F8F39" w:rsidR="00C40B71" w:rsidRPr="00705A09" w:rsidRDefault="00C40B71" w:rsidP="00AC5B73">
            <w:pPr>
              <w:jc w:val="right"/>
              <w:rPr>
                <w:rFonts w:eastAsia="Times New Roman" w:cs="Arial"/>
                <w:color w:val="000000"/>
                <w:szCs w:val="24"/>
                <w:lang w:eastAsia="en-GB"/>
              </w:rPr>
            </w:pPr>
            <w:r w:rsidRPr="00155516">
              <w:t>231</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52F49CAC" w14:textId="22BCD329" w:rsidR="00C40B71" w:rsidRPr="00705A09" w:rsidRDefault="00C40B71" w:rsidP="00AC5B73">
            <w:pPr>
              <w:jc w:val="right"/>
              <w:rPr>
                <w:rFonts w:eastAsia="Times New Roman" w:cs="Arial"/>
                <w:color w:val="000000"/>
                <w:szCs w:val="24"/>
                <w:lang w:eastAsia="en-GB"/>
              </w:rPr>
            </w:pPr>
            <w:r w:rsidRPr="00B643FD">
              <w:t>10.8%</w:t>
            </w:r>
          </w:p>
        </w:tc>
        <w:tc>
          <w:tcPr>
            <w:tcW w:w="1673" w:type="dxa"/>
            <w:tcBorders>
              <w:top w:val="single" w:sz="4" w:space="0" w:color="auto"/>
              <w:left w:val="single" w:sz="4" w:space="0" w:color="auto"/>
              <w:bottom w:val="single" w:sz="4" w:space="0" w:color="auto"/>
              <w:right w:val="single" w:sz="4" w:space="0" w:color="auto"/>
            </w:tcBorders>
          </w:tcPr>
          <w:p w14:paraId="0D2B4270" w14:textId="4DE24651" w:rsidR="00C40B71" w:rsidRPr="00705A09" w:rsidRDefault="00C40B71" w:rsidP="00AC5B73">
            <w:pPr>
              <w:jc w:val="right"/>
              <w:rPr>
                <w:rFonts w:eastAsia="Times New Roman" w:cs="Arial"/>
                <w:color w:val="000000"/>
                <w:szCs w:val="24"/>
                <w:lang w:eastAsia="en-GB"/>
              </w:rPr>
            </w:pPr>
            <w:r w:rsidRPr="003D7215">
              <w:t>1.0%</w:t>
            </w:r>
          </w:p>
        </w:tc>
      </w:tr>
      <w:tr w:rsidR="00C40B71" w:rsidRPr="00705A09" w14:paraId="44A32F41"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B2779" w14:textId="297D7AF1" w:rsidR="00C40B71" w:rsidRPr="00705A09" w:rsidRDefault="00C40B71" w:rsidP="00AC5B73">
            <w:pPr>
              <w:rPr>
                <w:rFonts w:eastAsia="Times New Roman" w:cs="Arial"/>
                <w:b/>
                <w:color w:val="000000"/>
                <w:szCs w:val="24"/>
                <w:lang w:eastAsia="en-GB"/>
              </w:rPr>
            </w:pPr>
            <w:r>
              <w:rPr>
                <w:rFonts w:eastAsia="Times New Roman" w:cs="Arial"/>
                <w:b/>
                <w:color w:val="000000"/>
                <w:szCs w:val="24"/>
                <w:lang w:eastAsia="en-GB"/>
              </w:rPr>
              <w:t>30 to 34</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04B63676" w14:textId="41A4C62A" w:rsidR="00C40B71" w:rsidRPr="00705A09" w:rsidRDefault="00C40B71" w:rsidP="00AC5B73">
            <w:pPr>
              <w:jc w:val="right"/>
              <w:rPr>
                <w:rFonts w:eastAsia="Times New Roman" w:cs="Arial"/>
                <w:color w:val="000000"/>
                <w:szCs w:val="24"/>
                <w:lang w:eastAsia="en-GB"/>
              </w:rPr>
            </w:pPr>
            <w:r w:rsidRPr="000918AE">
              <w:t>23</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5D53F6C0" w14:textId="7AD6606B" w:rsidR="00C40B71" w:rsidRPr="00705A09" w:rsidRDefault="00C40B71" w:rsidP="00AC5B73">
            <w:pPr>
              <w:jc w:val="right"/>
              <w:rPr>
                <w:rFonts w:eastAsia="Times New Roman" w:cs="Arial"/>
                <w:color w:val="000000"/>
                <w:szCs w:val="24"/>
                <w:lang w:eastAsia="en-GB"/>
              </w:rPr>
            </w:pPr>
            <w:r w:rsidRPr="00211C74">
              <w:t>15.1%</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92E1231" w14:textId="0F062A38" w:rsidR="00C40B71" w:rsidRPr="00705A09" w:rsidRDefault="00C40B71" w:rsidP="00AC5B73">
            <w:pPr>
              <w:jc w:val="right"/>
              <w:rPr>
                <w:rFonts w:eastAsia="Times New Roman" w:cs="Arial"/>
                <w:color w:val="000000"/>
                <w:szCs w:val="24"/>
                <w:lang w:eastAsia="en-GB"/>
              </w:rPr>
            </w:pPr>
            <w:r w:rsidRPr="00155516">
              <w:t>257</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77CD7F6" w14:textId="40FD8EE1" w:rsidR="00C40B71" w:rsidRPr="00705A09" w:rsidRDefault="00C40B71" w:rsidP="00AC5B73">
            <w:pPr>
              <w:jc w:val="right"/>
              <w:rPr>
                <w:rFonts w:eastAsia="Times New Roman" w:cs="Arial"/>
                <w:color w:val="000000"/>
                <w:szCs w:val="24"/>
                <w:lang w:eastAsia="en-GB"/>
              </w:rPr>
            </w:pPr>
            <w:r w:rsidRPr="00B643FD">
              <w:t>12.0%</w:t>
            </w:r>
          </w:p>
        </w:tc>
        <w:tc>
          <w:tcPr>
            <w:tcW w:w="1673" w:type="dxa"/>
            <w:tcBorders>
              <w:top w:val="single" w:sz="4" w:space="0" w:color="auto"/>
              <w:left w:val="single" w:sz="4" w:space="0" w:color="auto"/>
              <w:bottom w:val="single" w:sz="4" w:space="0" w:color="auto"/>
              <w:right w:val="single" w:sz="4" w:space="0" w:color="auto"/>
            </w:tcBorders>
          </w:tcPr>
          <w:p w14:paraId="0B75E371" w14:textId="69DB9F5C" w:rsidR="00C40B71" w:rsidRPr="00705A09" w:rsidRDefault="00C40B71" w:rsidP="00AC5B73">
            <w:pPr>
              <w:jc w:val="right"/>
              <w:rPr>
                <w:rFonts w:eastAsia="Times New Roman" w:cs="Arial"/>
                <w:color w:val="000000"/>
                <w:szCs w:val="24"/>
                <w:lang w:eastAsia="en-GB"/>
              </w:rPr>
            </w:pPr>
            <w:r w:rsidRPr="003D7215">
              <w:t>1.1%</w:t>
            </w:r>
          </w:p>
        </w:tc>
      </w:tr>
      <w:tr w:rsidR="00C40B71" w:rsidRPr="00705A09" w14:paraId="412B33BA"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20841" w14:textId="075F30B1" w:rsidR="00C40B71" w:rsidRDefault="00C40B71" w:rsidP="00AC5B73">
            <w:pPr>
              <w:rPr>
                <w:rFonts w:eastAsia="Times New Roman" w:cs="Arial"/>
                <w:b/>
                <w:color w:val="000000"/>
                <w:szCs w:val="24"/>
                <w:lang w:eastAsia="en-GB"/>
              </w:rPr>
            </w:pPr>
            <w:r>
              <w:rPr>
                <w:rFonts w:eastAsia="Times New Roman" w:cs="Arial"/>
                <w:b/>
                <w:color w:val="000000"/>
                <w:szCs w:val="24"/>
                <w:lang w:eastAsia="en-GB"/>
              </w:rPr>
              <w:t>35 to 39</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52C3A1EB" w14:textId="695316D7" w:rsidR="00C40B71" w:rsidRPr="00705A09" w:rsidRDefault="00C40B71" w:rsidP="00AC5B73">
            <w:pPr>
              <w:jc w:val="right"/>
              <w:rPr>
                <w:rFonts w:eastAsia="Times New Roman" w:cs="Arial"/>
                <w:color w:val="000000"/>
                <w:szCs w:val="24"/>
                <w:lang w:eastAsia="en-GB"/>
              </w:rPr>
            </w:pPr>
            <w:r w:rsidRPr="000918AE">
              <w:t>29</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36279B66" w14:textId="0D3DD8D1" w:rsidR="00C40B71" w:rsidRPr="00705A09" w:rsidRDefault="00C40B71" w:rsidP="00AC5B73">
            <w:pPr>
              <w:jc w:val="right"/>
              <w:rPr>
                <w:rFonts w:eastAsia="Times New Roman" w:cs="Arial"/>
                <w:color w:val="000000"/>
                <w:szCs w:val="24"/>
                <w:lang w:eastAsia="en-GB"/>
              </w:rPr>
            </w:pPr>
            <w:r w:rsidRPr="00211C74">
              <w:t>19.1%</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28816888" w14:textId="7A8E6146" w:rsidR="00C40B71" w:rsidRPr="00705A09" w:rsidRDefault="00C40B71" w:rsidP="00AC5B73">
            <w:pPr>
              <w:jc w:val="right"/>
              <w:rPr>
                <w:rFonts w:eastAsia="Times New Roman" w:cs="Arial"/>
                <w:color w:val="000000"/>
                <w:szCs w:val="24"/>
                <w:lang w:eastAsia="en-GB"/>
              </w:rPr>
            </w:pPr>
            <w:r w:rsidRPr="00155516">
              <w:t>276</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0793E008" w14:textId="5A5F3669" w:rsidR="00C40B71" w:rsidRPr="00705A09" w:rsidRDefault="00C40B71" w:rsidP="00AC5B73">
            <w:pPr>
              <w:jc w:val="right"/>
              <w:rPr>
                <w:rFonts w:eastAsia="Times New Roman" w:cs="Arial"/>
                <w:color w:val="000000"/>
                <w:szCs w:val="24"/>
                <w:lang w:eastAsia="en-GB"/>
              </w:rPr>
            </w:pPr>
            <w:r w:rsidRPr="00B643FD">
              <w:t>12.9%</w:t>
            </w:r>
          </w:p>
        </w:tc>
        <w:tc>
          <w:tcPr>
            <w:tcW w:w="1673" w:type="dxa"/>
            <w:tcBorders>
              <w:top w:val="single" w:sz="4" w:space="0" w:color="auto"/>
              <w:left w:val="single" w:sz="4" w:space="0" w:color="auto"/>
              <w:bottom w:val="single" w:sz="4" w:space="0" w:color="auto"/>
              <w:right w:val="single" w:sz="4" w:space="0" w:color="auto"/>
            </w:tcBorders>
          </w:tcPr>
          <w:p w14:paraId="4F065657" w14:textId="509536AB" w:rsidR="00C40B71" w:rsidRDefault="00C40B71" w:rsidP="00AC5B73">
            <w:pPr>
              <w:jc w:val="right"/>
              <w:rPr>
                <w:rFonts w:eastAsia="Times New Roman" w:cs="Arial"/>
                <w:color w:val="000000"/>
                <w:szCs w:val="24"/>
                <w:lang w:eastAsia="en-GB"/>
              </w:rPr>
            </w:pPr>
            <w:r w:rsidRPr="003D7215">
              <w:t>1.4%</w:t>
            </w:r>
          </w:p>
        </w:tc>
      </w:tr>
      <w:tr w:rsidR="00C40B71" w:rsidRPr="00705A09" w14:paraId="3A73D22E"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8BC36" w14:textId="12E404B4" w:rsidR="00C40B71" w:rsidRPr="00705A09" w:rsidRDefault="00C40B71" w:rsidP="00AC5B73">
            <w:pPr>
              <w:rPr>
                <w:rFonts w:eastAsia="Times New Roman" w:cs="Arial"/>
                <w:b/>
                <w:color w:val="000000"/>
                <w:szCs w:val="24"/>
                <w:lang w:eastAsia="en-GB"/>
              </w:rPr>
            </w:pPr>
            <w:r>
              <w:rPr>
                <w:rFonts w:eastAsia="Times New Roman" w:cs="Arial"/>
                <w:b/>
                <w:color w:val="000000"/>
                <w:szCs w:val="24"/>
                <w:lang w:eastAsia="en-GB"/>
              </w:rPr>
              <w:t>40 to 44</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3E39372A" w14:textId="238FAF0A" w:rsidR="00C40B71" w:rsidRPr="00705A09" w:rsidRDefault="00C40B71" w:rsidP="00AC5B73">
            <w:pPr>
              <w:jc w:val="right"/>
              <w:rPr>
                <w:rFonts w:eastAsia="Times New Roman" w:cs="Arial"/>
                <w:color w:val="000000"/>
                <w:szCs w:val="24"/>
                <w:lang w:eastAsia="en-GB"/>
              </w:rPr>
            </w:pPr>
            <w:r w:rsidRPr="000918AE">
              <w:t>21</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34060E0A" w14:textId="18B38BCA" w:rsidR="00C40B71" w:rsidRPr="00705A09" w:rsidRDefault="00C40B71" w:rsidP="00AC5B73">
            <w:pPr>
              <w:jc w:val="right"/>
              <w:rPr>
                <w:rFonts w:eastAsia="Times New Roman" w:cs="Arial"/>
                <w:color w:val="000000"/>
                <w:szCs w:val="24"/>
                <w:lang w:eastAsia="en-GB"/>
              </w:rPr>
            </w:pPr>
            <w:r w:rsidRPr="00211C74">
              <w:t>13.8%</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67556FEB" w14:textId="4336A218" w:rsidR="00C40B71" w:rsidRPr="00705A09" w:rsidRDefault="00C40B71" w:rsidP="00AC5B73">
            <w:pPr>
              <w:jc w:val="right"/>
              <w:rPr>
                <w:rFonts w:eastAsia="Times New Roman" w:cs="Arial"/>
                <w:color w:val="000000"/>
                <w:szCs w:val="24"/>
                <w:lang w:eastAsia="en-GB"/>
              </w:rPr>
            </w:pPr>
            <w:r w:rsidRPr="00155516">
              <w:t>269</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53B385DA" w14:textId="11B750D6" w:rsidR="00C40B71" w:rsidRPr="00705A09" w:rsidRDefault="00C40B71" w:rsidP="00AC5B73">
            <w:pPr>
              <w:jc w:val="right"/>
              <w:rPr>
                <w:rFonts w:eastAsia="Times New Roman" w:cs="Arial"/>
                <w:color w:val="000000"/>
                <w:szCs w:val="24"/>
                <w:lang w:eastAsia="en-GB"/>
              </w:rPr>
            </w:pPr>
            <w:r w:rsidRPr="00B643FD">
              <w:t>12.6%</w:t>
            </w:r>
          </w:p>
        </w:tc>
        <w:tc>
          <w:tcPr>
            <w:tcW w:w="1673" w:type="dxa"/>
            <w:tcBorders>
              <w:top w:val="single" w:sz="4" w:space="0" w:color="auto"/>
              <w:left w:val="single" w:sz="4" w:space="0" w:color="auto"/>
              <w:bottom w:val="single" w:sz="4" w:space="0" w:color="auto"/>
              <w:right w:val="single" w:sz="4" w:space="0" w:color="auto"/>
            </w:tcBorders>
          </w:tcPr>
          <w:p w14:paraId="2922E339" w14:textId="61D065F3" w:rsidR="00C40B71" w:rsidRPr="00705A09" w:rsidRDefault="00C40B71" w:rsidP="00AC5B73">
            <w:pPr>
              <w:jc w:val="right"/>
              <w:rPr>
                <w:rFonts w:eastAsia="Times New Roman" w:cs="Arial"/>
                <w:color w:val="000000"/>
                <w:szCs w:val="24"/>
                <w:lang w:eastAsia="en-GB"/>
              </w:rPr>
            </w:pPr>
            <w:r w:rsidRPr="003D7215">
              <w:t>1.0%</w:t>
            </w:r>
          </w:p>
        </w:tc>
      </w:tr>
      <w:tr w:rsidR="00C40B71" w:rsidRPr="00705A09" w14:paraId="36094084"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F991F" w14:textId="4CA49AB8" w:rsidR="00C40B71" w:rsidRDefault="00C40B71" w:rsidP="00AC5B73">
            <w:pPr>
              <w:rPr>
                <w:rFonts w:eastAsia="Times New Roman" w:cs="Arial"/>
                <w:b/>
                <w:color w:val="000000"/>
                <w:szCs w:val="24"/>
                <w:lang w:eastAsia="en-GB"/>
              </w:rPr>
            </w:pPr>
            <w:r>
              <w:rPr>
                <w:rFonts w:eastAsia="Times New Roman" w:cs="Arial"/>
                <w:b/>
                <w:color w:val="000000"/>
                <w:szCs w:val="24"/>
                <w:lang w:eastAsia="en-GB"/>
              </w:rPr>
              <w:t>25 to 49</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C4236F0" w14:textId="5A3ACD3A" w:rsidR="00C40B71" w:rsidRPr="00705A09" w:rsidRDefault="00C40B71" w:rsidP="00AC5B73">
            <w:pPr>
              <w:jc w:val="right"/>
              <w:rPr>
                <w:rFonts w:eastAsia="Times New Roman" w:cs="Arial"/>
                <w:color w:val="000000"/>
                <w:szCs w:val="24"/>
                <w:lang w:eastAsia="en-GB"/>
              </w:rPr>
            </w:pPr>
            <w:r w:rsidRPr="000918AE">
              <w:t>13</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13429EFC" w14:textId="3B069143" w:rsidR="00C40B71" w:rsidRPr="00705A09" w:rsidRDefault="00C40B71" w:rsidP="00AC5B73">
            <w:pPr>
              <w:jc w:val="right"/>
              <w:rPr>
                <w:rFonts w:eastAsia="Times New Roman" w:cs="Arial"/>
                <w:color w:val="000000"/>
                <w:szCs w:val="24"/>
                <w:lang w:eastAsia="en-GB"/>
              </w:rPr>
            </w:pPr>
            <w:r w:rsidRPr="00211C74">
              <w:t>8.6%</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DD9DE85" w14:textId="21F544EB" w:rsidR="00C40B71" w:rsidRPr="00705A09" w:rsidRDefault="00C40B71" w:rsidP="00AC5B73">
            <w:pPr>
              <w:jc w:val="right"/>
              <w:rPr>
                <w:rFonts w:eastAsia="Times New Roman" w:cs="Arial"/>
                <w:color w:val="000000"/>
                <w:szCs w:val="24"/>
                <w:lang w:eastAsia="en-GB"/>
              </w:rPr>
            </w:pPr>
            <w:r w:rsidRPr="00155516">
              <w:t>275</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2A3A7E44" w14:textId="40A4CA6E" w:rsidR="00C40B71" w:rsidRPr="00705A09" w:rsidRDefault="00C40B71" w:rsidP="00AC5B73">
            <w:pPr>
              <w:jc w:val="right"/>
              <w:rPr>
                <w:rFonts w:eastAsia="Times New Roman" w:cs="Arial"/>
                <w:color w:val="000000"/>
                <w:szCs w:val="24"/>
                <w:lang w:eastAsia="en-GB"/>
              </w:rPr>
            </w:pPr>
            <w:r w:rsidRPr="00B643FD">
              <w:t>12.9%</w:t>
            </w:r>
          </w:p>
        </w:tc>
        <w:tc>
          <w:tcPr>
            <w:tcW w:w="1673" w:type="dxa"/>
            <w:tcBorders>
              <w:top w:val="single" w:sz="4" w:space="0" w:color="auto"/>
              <w:left w:val="single" w:sz="4" w:space="0" w:color="auto"/>
              <w:bottom w:val="single" w:sz="4" w:space="0" w:color="auto"/>
              <w:right w:val="single" w:sz="4" w:space="0" w:color="auto"/>
            </w:tcBorders>
          </w:tcPr>
          <w:p w14:paraId="210ACA8D" w14:textId="3C3EB4A3" w:rsidR="00C40B71" w:rsidRDefault="00C40B71" w:rsidP="00AC5B73">
            <w:pPr>
              <w:jc w:val="right"/>
              <w:rPr>
                <w:rFonts w:eastAsia="Times New Roman" w:cs="Arial"/>
                <w:color w:val="000000"/>
                <w:szCs w:val="24"/>
                <w:lang w:eastAsia="en-GB"/>
              </w:rPr>
            </w:pPr>
            <w:r w:rsidRPr="003D7215">
              <w:t>0.6%</w:t>
            </w:r>
          </w:p>
        </w:tc>
      </w:tr>
      <w:tr w:rsidR="00C40B71" w:rsidRPr="00705A09" w14:paraId="7D9D3B12"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EC1B6" w14:textId="4708EB7B" w:rsidR="00C40B71" w:rsidRDefault="00C40B71" w:rsidP="00AC5B73">
            <w:pPr>
              <w:rPr>
                <w:rFonts w:eastAsia="Times New Roman" w:cs="Arial"/>
                <w:b/>
                <w:color w:val="000000"/>
                <w:szCs w:val="24"/>
                <w:lang w:eastAsia="en-GB"/>
              </w:rPr>
            </w:pPr>
            <w:r>
              <w:rPr>
                <w:rFonts w:eastAsia="Times New Roman" w:cs="Arial"/>
                <w:b/>
                <w:color w:val="000000"/>
                <w:szCs w:val="24"/>
                <w:lang w:eastAsia="en-GB"/>
              </w:rPr>
              <w:t>50 to 54</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40CA4D5E" w14:textId="1CE0058F" w:rsidR="00C40B71" w:rsidRPr="00705A09" w:rsidRDefault="00C40B71" w:rsidP="00AC5B73">
            <w:pPr>
              <w:jc w:val="right"/>
              <w:rPr>
                <w:rFonts w:eastAsia="Times New Roman" w:cs="Arial"/>
                <w:color w:val="000000"/>
                <w:szCs w:val="24"/>
                <w:lang w:eastAsia="en-GB"/>
              </w:rPr>
            </w:pPr>
            <w:r w:rsidRPr="000918AE">
              <w:t>21</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2C06D881" w14:textId="05FF78C2" w:rsidR="00C40B71" w:rsidRPr="00705A09" w:rsidRDefault="00C40B71" w:rsidP="00AC5B73">
            <w:pPr>
              <w:jc w:val="right"/>
              <w:rPr>
                <w:rFonts w:eastAsia="Times New Roman" w:cs="Arial"/>
                <w:color w:val="000000"/>
                <w:szCs w:val="24"/>
                <w:lang w:eastAsia="en-GB"/>
              </w:rPr>
            </w:pPr>
            <w:r w:rsidRPr="00211C74">
              <w:t>13.8%</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1DACA009" w14:textId="5961A8D0" w:rsidR="00C40B71" w:rsidRPr="00705A09" w:rsidRDefault="00C40B71" w:rsidP="00AC5B73">
            <w:pPr>
              <w:jc w:val="right"/>
              <w:rPr>
                <w:rFonts w:eastAsia="Times New Roman" w:cs="Arial"/>
                <w:color w:val="000000"/>
                <w:szCs w:val="24"/>
                <w:lang w:eastAsia="en-GB"/>
              </w:rPr>
            </w:pPr>
            <w:r w:rsidRPr="00155516">
              <w:t>309</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02844494" w14:textId="0CF6A9A4" w:rsidR="00C40B71" w:rsidRPr="00705A09" w:rsidRDefault="00C40B71" w:rsidP="00AC5B73">
            <w:pPr>
              <w:jc w:val="right"/>
              <w:rPr>
                <w:rFonts w:eastAsia="Times New Roman" w:cs="Arial"/>
                <w:color w:val="000000"/>
                <w:szCs w:val="24"/>
                <w:lang w:eastAsia="en-GB"/>
              </w:rPr>
            </w:pPr>
            <w:r w:rsidRPr="00B643FD">
              <w:t>14.5%</w:t>
            </w:r>
          </w:p>
        </w:tc>
        <w:tc>
          <w:tcPr>
            <w:tcW w:w="1673" w:type="dxa"/>
            <w:tcBorders>
              <w:top w:val="single" w:sz="4" w:space="0" w:color="auto"/>
              <w:left w:val="single" w:sz="4" w:space="0" w:color="auto"/>
              <w:bottom w:val="single" w:sz="4" w:space="0" w:color="auto"/>
              <w:right w:val="single" w:sz="4" w:space="0" w:color="auto"/>
            </w:tcBorders>
          </w:tcPr>
          <w:p w14:paraId="274783EF" w14:textId="6322BF11" w:rsidR="00C40B71" w:rsidRDefault="00C40B71" w:rsidP="00AC5B73">
            <w:pPr>
              <w:jc w:val="right"/>
              <w:rPr>
                <w:rFonts w:eastAsia="Times New Roman" w:cs="Arial"/>
                <w:color w:val="000000"/>
                <w:szCs w:val="24"/>
                <w:lang w:eastAsia="en-GB"/>
              </w:rPr>
            </w:pPr>
            <w:r w:rsidRPr="003D7215">
              <w:t>1.0%</w:t>
            </w:r>
          </w:p>
        </w:tc>
      </w:tr>
      <w:tr w:rsidR="00C40B71" w:rsidRPr="00705A09" w14:paraId="74D644C7"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30BB3" w14:textId="5209F5AD" w:rsidR="00C40B71" w:rsidRPr="00705A09" w:rsidRDefault="00C40B71" w:rsidP="00AC5B73">
            <w:pPr>
              <w:rPr>
                <w:rFonts w:eastAsia="Times New Roman" w:cs="Arial"/>
                <w:b/>
                <w:color w:val="000000"/>
                <w:szCs w:val="24"/>
                <w:lang w:eastAsia="en-GB"/>
              </w:rPr>
            </w:pPr>
            <w:r>
              <w:rPr>
                <w:rFonts w:eastAsia="Times New Roman" w:cs="Arial"/>
                <w:b/>
                <w:color w:val="000000"/>
                <w:szCs w:val="24"/>
                <w:lang w:eastAsia="en-GB"/>
              </w:rPr>
              <w:t>55</w:t>
            </w:r>
            <w:r w:rsidRPr="00705A09">
              <w:rPr>
                <w:rFonts w:eastAsia="Times New Roman" w:cs="Arial"/>
                <w:b/>
                <w:color w:val="000000"/>
                <w:szCs w:val="24"/>
                <w:lang w:eastAsia="en-GB"/>
              </w:rPr>
              <w:t xml:space="preserve"> to 59</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4F49576" w14:textId="567EBD69" w:rsidR="00C40B71" w:rsidRPr="00705A09" w:rsidRDefault="00C40B71" w:rsidP="00AC5B73">
            <w:pPr>
              <w:jc w:val="right"/>
              <w:rPr>
                <w:rFonts w:eastAsia="Times New Roman" w:cs="Arial"/>
                <w:color w:val="000000"/>
                <w:szCs w:val="24"/>
                <w:lang w:eastAsia="en-GB"/>
              </w:rPr>
            </w:pPr>
            <w:r w:rsidRPr="000918AE">
              <w:t>16</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6616BBFD" w14:textId="34C84D8B" w:rsidR="00C40B71" w:rsidRPr="00705A09" w:rsidRDefault="00C40B71" w:rsidP="00AC5B73">
            <w:pPr>
              <w:jc w:val="right"/>
              <w:rPr>
                <w:rFonts w:eastAsia="Times New Roman" w:cs="Arial"/>
                <w:color w:val="000000"/>
                <w:szCs w:val="24"/>
                <w:lang w:eastAsia="en-GB"/>
              </w:rPr>
            </w:pPr>
            <w:r w:rsidRPr="00211C74">
              <w:t>10.5%</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1136B6F3" w14:textId="12960B4E" w:rsidR="00C40B71" w:rsidRPr="00705A09" w:rsidRDefault="00C40B71" w:rsidP="00AC5B73">
            <w:pPr>
              <w:jc w:val="right"/>
              <w:rPr>
                <w:rFonts w:eastAsia="Times New Roman" w:cs="Arial"/>
                <w:color w:val="000000"/>
                <w:szCs w:val="24"/>
                <w:lang w:eastAsia="en-GB"/>
              </w:rPr>
            </w:pPr>
            <w:r w:rsidRPr="00155516">
              <w:t>260</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B153A2D" w14:textId="6DD6BD96" w:rsidR="00C40B71" w:rsidRPr="00705A09" w:rsidRDefault="00C40B71" w:rsidP="00AC5B73">
            <w:pPr>
              <w:jc w:val="right"/>
              <w:rPr>
                <w:rFonts w:eastAsia="Times New Roman" w:cs="Arial"/>
                <w:color w:val="000000"/>
                <w:szCs w:val="24"/>
                <w:lang w:eastAsia="en-GB"/>
              </w:rPr>
            </w:pPr>
            <w:r w:rsidRPr="00B643FD">
              <w:t>12.2%</w:t>
            </w:r>
          </w:p>
        </w:tc>
        <w:tc>
          <w:tcPr>
            <w:tcW w:w="1673" w:type="dxa"/>
            <w:tcBorders>
              <w:top w:val="single" w:sz="4" w:space="0" w:color="auto"/>
              <w:left w:val="single" w:sz="4" w:space="0" w:color="auto"/>
              <w:bottom w:val="single" w:sz="4" w:space="0" w:color="auto"/>
              <w:right w:val="single" w:sz="4" w:space="0" w:color="auto"/>
            </w:tcBorders>
          </w:tcPr>
          <w:p w14:paraId="7865CF7F" w14:textId="275DBC35" w:rsidR="00C40B71" w:rsidRPr="00705A09" w:rsidRDefault="00C40B71" w:rsidP="00AC5B73">
            <w:pPr>
              <w:jc w:val="right"/>
              <w:rPr>
                <w:rFonts w:eastAsia="Times New Roman" w:cs="Arial"/>
                <w:color w:val="000000"/>
                <w:szCs w:val="24"/>
                <w:lang w:eastAsia="en-GB"/>
              </w:rPr>
            </w:pPr>
            <w:r w:rsidRPr="003D7215">
              <w:t>0.7%</w:t>
            </w:r>
          </w:p>
        </w:tc>
      </w:tr>
      <w:tr w:rsidR="00C40B71" w:rsidRPr="00705A09" w14:paraId="5B8503FD"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97A0E" w14:textId="413B9F5E" w:rsidR="00C40B71" w:rsidRPr="00705A09" w:rsidRDefault="00C40B71" w:rsidP="00AC5B73">
            <w:pPr>
              <w:rPr>
                <w:rFonts w:eastAsia="Times New Roman" w:cs="Arial"/>
                <w:b/>
                <w:color w:val="000000"/>
                <w:szCs w:val="24"/>
                <w:lang w:eastAsia="en-GB"/>
              </w:rPr>
            </w:pPr>
            <w:r w:rsidRPr="00705A09">
              <w:rPr>
                <w:rFonts w:eastAsia="Times New Roman" w:cs="Arial"/>
                <w:b/>
                <w:color w:val="000000"/>
                <w:szCs w:val="24"/>
                <w:lang w:eastAsia="en-GB"/>
              </w:rPr>
              <w:t>60</w:t>
            </w:r>
            <w:r>
              <w:rPr>
                <w:rFonts w:eastAsia="Times New Roman" w:cs="Arial"/>
                <w:b/>
                <w:color w:val="000000"/>
                <w:szCs w:val="24"/>
                <w:lang w:eastAsia="en-GB"/>
              </w:rPr>
              <w:t xml:space="preserve"> to 64</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B6C5D59" w14:textId="303CC10A" w:rsidR="00C40B71" w:rsidRPr="00705A09" w:rsidRDefault="00C40B71" w:rsidP="00AC5B73">
            <w:pPr>
              <w:jc w:val="right"/>
              <w:rPr>
                <w:rFonts w:eastAsia="Times New Roman" w:cs="Arial"/>
                <w:color w:val="000000"/>
                <w:szCs w:val="24"/>
                <w:lang w:eastAsia="en-GB"/>
              </w:rPr>
            </w:pPr>
            <w:r w:rsidRPr="000918AE">
              <w:t>3</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07461F9D" w14:textId="0353A7A4" w:rsidR="00C40B71" w:rsidRPr="00705A09" w:rsidRDefault="00C40B71" w:rsidP="00AC5B73">
            <w:pPr>
              <w:jc w:val="right"/>
              <w:rPr>
                <w:rFonts w:eastAsia="Times New Roman" w:cs="Arial"/>
                <w:color w:val="000000"/>
                <w:szCs w:val="24"/>
                <w:lang w:eastAsia="en-GB"/>
              </w:rPr>
            </w:pPr>
            <w:r w:rsidRPr="00211C74">
              <w:t>2.0%</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28377C50" w14:textId="213C7DB7" w:rsidR="00C40B71" w:rsidRPr="00705A09" w:rsidRDefault="00C40B71" w:rsidP="00AC5B73">
            <w:pPr>
              <w:jc w:val="right"/>
              <w:rPr>
                <w:rFonts w:eastAsia="Times New Roman" w:cs="Arial"/>
                <w:color w:val="000000"/>
                <w:szCs w:val="24"/>
                <w:lang w:eastAsia="en-GB"/>
              </w:rPr>
            </w:pPr>
            <w:r w:rsidRPr="00155516">
              <w:t>134</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73A8DE54" w14:textId="6234087E" w:rsidR="00C40B71" w:rsidRPr="00705A09" w:rsidRDefault="00C40B71" w:rsidP="00AC5B73">
            <w:pPr>
              <w:jc w:val="right"/>
              <w:rPr>
                <w:rFonts w:eastAsia="Times New Roman" w:cs="Arial"/>
                <w:color w:val="000000"/>
                <w:szCs w:val="24"/>
                <w:lang w:eastAsia="en-GB"/>
              </w:rPr>
            </w:pPr>
            <w:r w:rsidRPr="00B643FD">
              <w:t>6.3%</w:t>
            </w:r>
          </w:p>
        </w:tc>
        <w:tc>
          <w:tcPr>
            <w:tcW w:w="1673" w:type="dxa"/>
            <w:tcBorders>
              <w:top w:val="single" w:sz="4" w:space="0" w:color="auto"/>
              <w:left w:val="single" w:sz="4" w:space="0" w:color="auto"/>
              <w:bottom w:val="single" w:sz="4" w:space="0" w:color="auto"/>
              <w:right w:val="single" w:sz="4" w:space="0" w:color="auto"/>
            </w:tcBorders>
          </w:tcPr>
          <w:p w14:paraId="3066317B" w14:textId="29F1EDC6" w:rsidR="00C40B71" w:rsidRPr="00705A09" w:rsidRDefault="00C40B71" w:rsidP="00AC5B73">
            <w:pPr>
              <w:jc w:val="right"/>
              <w:rPr>
                <w:rFonts w:eastAsia="Times New Roman" w:cs="Arial"/>
                <w:color w:val="000000"/>
                <w:szCs w:val="24"/>
                <w:lang w:eastAsia="en-GB"/>
              </w:rPr>
            </w:pPr>
            <w:r w:rsidRPr="003D7215">
              <w:t>0.1%</w:t>
            </w:r>
          </w:p>
        </w:tc>
      </w:tr>
      <w:tr w:rsidR="00C40B71" w:rsidRPr="00705A09" w14:paraId="4B1DB6E2" w14:textId="77777777" w:rsidTr="005243A5">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9E8D3" w14:textId="74819304" w:rsidR="00C40B71" w:rsidRDefault="00C40B71" w:rsidP="00AC5B73">
            <w:pPr>
              <w:rPr>
                <w:rFonts w:eastAsia="Times New Roman" w:cs="Arial"/>
                <w:b/>
                <w:color w:val="000000"/>
                <w:szCs w:val="24"/>
                <w:lang w:eastAsia="en-GB"/>
              </w:rPr>
            </w:pPr>
            <w:r>
              <w:rPr>
                <w:rFonts w:eastAsia="Times New Roman" w:cs="Arial"/>
                <w:b/>
                <w:color w:val="000000"/>
                <w:szCs w:val="24"/>
                <w:lang w:eastAsia="en-GB"/>
              </w:rPr>
              <w:t>65 plus</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45C5D120" w14:textId="25C66FA8" w:rsidR="00C40B71" w:rsidRPr="00705A09" w:rsidRDefault="00C40B71" w:rsidP="00AC5B73">
            <w:pPr>
              <w:jc w:val="right"/>
              <w:rPr>
                <w:rFonts w:eastAsia="Times New Roman" w:cs="Arial"/>
                <w:color w:val="000000"/>
                <w:szCs w:val="24"/>
                <w:lang w:eastAsia="en-GB"/>
              </w:rPr>
            </w:pPr>
            <w:r w:rsidRPr="000918AE">
              <w:t>1</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50F496BC" w14:textId="3B52DF66" w:rsidR="00C40B71" w:rsidRPr="00705A09" w:rsidRDefault="00C40B71" w:rsidP="00AC5B73">
            <w:pPr>
              <w:jc w:val="right"/>
              <w:rPr>
                <w:rFonts w:eastAsia="Times New Roman" w:cs="Arial"/>
                <w:color w:val="000000"/>
                <w:szCs w:val="24"/>
                <w:lang w:eastAsia="en-GB"/>
              </w:rPr>
            </w:pPr>
            <w:r w:rsidRPr="00211C74">
              <w:t>0.7%</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52478988" w14:textId="28AF88CF" w:rsidR="00C40B71" w:rsidRPr="00705A09" w:rsidRDefault="00C40B71" w:rsidP="00AC5B73">
            <w:pPr>
              <w:jc w:val="right"/>
              <w:rPr>
                <w:rFonts w:eastAsia="Times New Roman" w:cs="Arial"/>
                <w:color w:val="000000"/>
                <w:szCs w:val="24"/>
                <w:lang w:eastAsia="en-GB"/>
              </w:rPr>
            </w:pPr>
            <w:r w:rsidRPr="00155516">
              <w:t>35</w:t>
            </w:r>
          </w:p>
        </w:tc>
        <w:tc>
          <w:tcPr>
            <w:tcW w:w="1673" w:type="dxa"/>
            <w:tcBorders>
              <w:top w:val="single" w:sz="4" w:space="0" w:color="auto"/>
              <w:left w:val="single" w:sz="4" w:space="0" w:color="auto"/>
              <w:bottom w:val="single" w:sz="4" w:space="0" w:color="auto"/>
              <w:right w:val="single" w:sz="4" w:space="0" w:color="auto"/>
            </w:tcBorders>
            <w:shd w:val="clear" w:color="auto" w:fill="auto"/>
            <w:noWrap/>
          </w:tcPr>
          <w:p w14:paraId="1D73FB14" w14:textId="0136C449" w:rsidR="00C40B71" w:rsidRPr="00705A09" w:rsidRDefault="00C40B71" w:rsidP="00AC5B73">
            <w:pPr>
              <w:jc w:val="right"/>
              <w:rPr>
                <w:rFonts w:eastAsia="Times New Roman" w:cs="Arial"/>
                <w:color w:val="000000"/>
                <w:szCs w:val="24"/>
                <w:lang w:eastAsia="en-GB"/>
              </w:rPr>
            </w:pPr>
            <w:r w:rsidRPr="00B643FD">
              <w:t>1.6%</w:t>
            </w:r>
          </w:p>
        </w:tc>
        <w:tc>
          <w:tcPr>
            <w:tcW w:w="1673" w:type="dxa"/>
            <w:tcBorders>
              <w:top w:val="single" w:sz="4" w:space="0" w:color="auto"/>
              <w:left w:val="single" w:sz="4" w:space="0" w:color="auto"/>
              <w:bottom w:val="single" w:sz="4" w:space="0" w:color="auto"/>
              <w:right w:val="single" w:sz="4" w:space="0" w:color="auto"/>
            </w:tcBorders>
          </w:tcPr>
          <w:p w14:paraId="0573EB7C" w14:textId="67925988" w:rsidR="00C40B71" w:rsidRDefault="00C40B71" w:rsidP="00AC5B73">
            <w:pPr>
              <w:jc w:val="right"/>
              <w:rPr>
                <w:rFonts w:eastAsia="Times New Roman" w:cs="Arial"/>
                <w:color w:val="000000"/>
                <w:szCs w:val="24"/>
                <w:lang w:eastAsia="en-GB"/>
              </w:rPr>
            </w:pPr>
            <w:r w:rsidRPr="003D7215">
              <w:t>0.0%</w:t>
            </w:r>
          </w:p>
        </w:tc>
      </w:tr>
      <w:tr w:rsidR="00DB47A4" w:rsidRPr="00705A09" w14:paraId="0A2B3B65" w14:textId="77777777" w:rsidTr="004B1A30">
        <w:trPr>
          <w:trHeight w:val="300"/>
          <w:jc w:val="center"/>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6E59E" w14:textId="77777777" w:rsidR="00DB47A4" w:rsidRPr="00705A09" w:rsidRDefault="00DB47A4" w:rsidP="00AC5B73">
            <w:pPr>
              <w:rPr>
                <w:rFonts w:eastAsia="Times New Roman" w:cs="Arial"/>
                <w:b/>
                <w:color w:val="000000"/>
                <w:szCs w:val="24"/>
                <w:lang w:eastAsia="en-GB"/>
              </w:rPr>
            </w:pPr>
            <w:r w:rsidRPr="00705A09">
              <w:rPr>
                <w:rFonts w:eastAsia="Times New Roman" w:cs="Arial"/>
                <w:b/>
                <w:color w:val="000000"/>
                <w:szCs w:val="24"/>
                <w:lang w:eastAsia="en-GB"/>
              </w:rPr>
              <w:t>Total</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396AB" w14:textId="1A5F779F" w:rsidR="00DB47A4" w:rsidRPr="00705A09" w:rsidRDefault="004B1A30" w:rsidP="00AC5B73">
            <w:pPr>
              <w:jc w:val="right"/>
              <w:rPr>
                <w:rFonts w:eastAsia="Times New Roman" w:cs="Arial"/>
                <w:b/>
                <w:color w:val="000000"/>
                <w:szCs w:val="24"/>
                <w:lang w:eastAsia="en-GB"/>
              </w:rPr>
            </w:pPr>
            <w:r>
              <w:rPr>
                <w:rFonts w:eastAsia="Times New Roman" w:cs="Arial"/>
                <w:b/>
                <w:color w:val="000000"/>
                <w:szCs w:val="24"/>
                <w:lang w:eastAsia="en-GB"/>
              </w:rPr>
              <w:t>152</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807C6" w14:textId="113D24F5" w:rsidR="00DB47A4" w:rsidRPr="00705A09" w:rsidRDefault="00C40B71" w:rsidP="00AC5B73">
            <w:pPr>
              <w:jc w:val="right"/>
              <w:rPr>
                <w:rFonts w:eastAsia="Times New Roman" w:cs="Arial"/>
                <w:b/>
                <w:color w:val="000000"/>
                <w:szCs w:val="24"/>
                <w:lang w:eastAsia="en-GB"/>
              </w:rPr>
            </w:pPr>
            <w:r>
              <w:rPr>
                <w:rFonts w:eastAsia="Times New Roman" w:cs="Arial"/>
                <w:b/>
                <w:color w:val="000000"/>
                <w:szCs w:val="24"/>
                <w:lang w:eastAsia="en-GB"/>
              </w:rPr>
              <w:t>100.0%</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EEEC0" w14:textId="02D66A9D" w:rsidR="00DB47A4" w:rsidRPr="00705A09" w:rsidRDefault="00C40B71" w:rsidP="00AC5B73">
            <w:pPr>
              <w:jc w:val="right"/>
              <w:rPr>
                <w:rFonts w:eastAsia="Times New Roman" w:cs="Arial"/>
                <w:b/>
                <w:color w:val="000000"/>
                <w:szCs w:val="24"/>
                <w:lang w:eastAsia="en-GB"/>
              </w:rPr>
            </w:pPr>
            <w:r>
              <w:rPr>
                <w:rFonts w:eastAsia="Times New Roman" w:cs="Arial"/>
                <w:b/>
                <w:color w:val="000000"/>
                <w:szCs w:val="24"/>
                <w:lang w:eastAsia="en-GB"/>
              </w:rPr>
              <w:t>2134</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A21F4" w14:textId="12DDBC8A" w:rsidR="00DB47A4" w:rsidRPr="00705A09" w:rsidRDefault="00C40B71" w:rsidP="00AC5B73">
            <w:pPr>
              <w:jc w:val="right"/>
              <w:rPr>
                <w:rFonts w:eastAsia="Times New Roman" w:cs="Arial"/>
                <w:b/>
                <w:color w:val="000000"/>
                <w:szCs w:val="24"/>
                <w:lang w:eastAsia="en-GB"/>
              </w:rPr>
            </w:pPr>
            <w:r>
              <w:rPr>
                <w:rFonts w:eastAsia="Times New Roman" w:cs="Arial"/>
                <w:b/>
                <w:color w:val="000000"/>
                <w:szCs w:val="24"/>
                <w:lang w:eastAsia="en-GB"/>
              </w:rPr>
              <w:t>100.0%</w:t>
            </w:r>
          </w:p>
        </w:tc>
        <w:tc>
          <w:tcPr>
            <w:tcW w:w="1673" w:type="dxa"/>
            <w:tcBorders>
              <w:top w:val="single" w:sz="4" w:space="0" w:color="auto"/>
              <w:left w:val="single" w:sz="4" w:space="0" w:color="auto"/>
              <w:bottom w:val="single" w:sz="4" w:space="0" w:color="auto"/>
              <w:right w:val="single" w:sz="4" w:space="0" w:color="auto"/>
            </w:tcBorders>
          </w:tcPr>
          <w:p w14:paraId="32F55E31" w14:textId="2B40A035" w:rsidR="00DB47A4" w:rsidRPr="00705A09" w:rsidRDefault="00C40B71" w:rsidP="00AC5B73">
            <w:pPr>
              <w:jc w:val="right"/>
              <w:rPr>
                <w:rFonts w:eastAsia="Times New Roman" w:cs="Arial"/>
                <w:b/>
                <w:color w:val="000000"/>
                <w:szCs w:val="24"/>
                <w:lang w:eastAsia="en-GB"/>
              </w:rPr>
            </w:pPr>
            <w:r>
              <w:rPr>
                <w:rFonts w:eastAsia="Times New Roman" w:cs="Arial"/>
                <w:b/>
                <w:color w:val="000000"/>
                <w:szCs w:val="24"/>
                <w:lang w:eastAsia="en-GB"/>
              </w:rPr>
              <w:t>7.1%</w:t>
            </w:r>
          </w:p>
        </w:tc>
      </w:tr>
    </w:tbl>
    <w:p w14:paraId="37925102" w14:textId="77777777" w:rsidR="0068154E" w:rsidRPr="00705A09" w:rsidRDefault="0068154E" w:rsidP="00AC5B73">
      <w:pPr>
        <w:rPr>
          <w:rFonts w:cs="Arial"/>
          <w:szCs w:val="24"/>
        </w:rPr>
      </w:pPr>
    </w:p>
    <w:p w14:paraId="033A7FDD" w14:textId="77777777" w:rsidR="00247320" w:rsidRPr="00705A09" w:rsidRDefault="00F70C39" w:rsidP="00AC5B73">
      <w:pPr>
        <w:pStyle w:val="Heading3"/>
      </w:pPr>
      <w:bookmarkStart w:id="83" w:name="_Toc76025117"/>
      <w:bookmarkStart w:id="84" w:name="_Toc108076914"/>
      <w:r w:rsidRPr="00705A09">
        <w:t>Turnover</w:t>
      </w:r>
      <w:bookmarkEnd w:id="83"/>
      <w:bookmarkEnd w:id="84"/>
    </w:p>
    <w:p w14:paraId="7647F55B" w14:textId="4F769CFD" w:rsidR="001E61A1" w:rsidRPr="00705A09" w:rsidRDefault="00A9700E" w:rsidP="00AC5B73">
      <w:pPr>
        <w:rPr>
          <w:rFonts w:cs="Arial"/>
          <w:szCs w:val="24"/>
        </w:rPr>
      </w:pPr>
      <w:r w:rsidRPr="00705A09">
        <w:rPr>
          <w:rFonts w:cs="Arial"/>
          <w:szCs w:val="24"/>
        </w:rPr>
        <w:t>Turnover by age range during the period under revie</w:t>
      </w:r>
      <w:r w:rsidR="00ED3369" w:rsidRPr="00705A09">
        <w:rPr>
          <w:rFonts w:cs="Arial"/>
          <w:szCs w:val="24"/>
        </w:rPr>
        <w:t>w is shown in the table below.</w:t>
      </w:r>
      <w:r w:rsidR="00901CC7" w:rsidRPr="00705A09">
        <w:rPr>
          <w:rFonts w:cs="Arial"/>
          <w:szCs w:val="24"/>
        </w:rPr>
        <w:t xml:space="preserve"> </w:t>
      </w:r>
      <w:r w:rsidR="00B53DE6" w:rsidRPr="00705A09">
        <w:rPr>
          <w:rFonts w:cs="Arial"/>
          <w:szCs w:val="24"/>
        </w:rPr>
        <w:t xml:space="preserve">The turnover in the </w:t>
      </w:r>
      <w:r w:rsidR="00F56A67">
        <w:rPr>
          <w:rFonts w:cs="Arial"/>
          <w:szCs w:val="24"/>
        </w:rPr>
        <w:t>20 to 24, 25 to 29 and 30 to 34</w:t>
      </w:r>
      <w:r w:rsidR="00B53DE6" w:rsidRPr="00705A09">
        <w:rPr>
          <w:rFonts w:cs="Arial"/>
          <w:szCs w:val="24"/>
        </w:rPr>
        <w:t xml:space="preserve"> age range</w:t>
      </w:r>
      <w:r w:rsidR="009816AC" w:rsidRPr="00705A09">
        <w:rPr>
          <w:rFonts w:cs="Arial"/>
          <w:szCs w:val="24"/>
        </w:rPr>
        <w:t>s</w:t>
      </w:r>
      <w:r w:rsidR="00B53DE6" w:rsidRPr="00705A09">
        <w:rPr>
          <w:rFonts w:cs="Arial"/>
          <w:szCs w:val="24"/>
        </w:rPr>
        <w:t xml:space="preserve"> is </w:t>
      </w:r>
      <w:r w:rsidR="00F56A67">
        <w:rPr>
          <w:rFonts w:cs="Arial"/>
          <w:szCs w:val="24"/>
        </w:rPr>
        <w:t>higher</w:t>
      </w:r>
      <w:r w:rsidR="00B53DE6" w:rsidRPr="00705A09">
        <w:rPr>
          <w:rFonts w:cs="Arial"/>
          <w:szCs w:val="24"/>
        </w:rPr>
        <w:t xml:space="preserve"> than would be expected compared to their proportion of the workforce</w:t>
      </w:r>
      <w:r w:rsidR="001717B1" w:rsidRPr="00705A09">
        <w:rPr>
          <w:rFonts w:cs="Arial"/>
          <w:szCs w:val="24"/>
        </w:rPr>
        <w:t xml:space="preserve">, while that </w:t>
      </w:r>
      <w:r w:rsidR="00F56A67">
        <w:rPr>
          <w:rFonts w:cs="Arial"/>
          <w:szCs w:val="24"/>
        </w:rPr>
        <w:t>in the 35 to 39, 45 to 49, 50 to 54 and 55 to 59 is lower</w:t>
      </w:r>
      <w:r w:rsidR="001717B1" w:rsidRPr="00705A09">
        <w:rPr>
          <w:rFonts w:cs="Arial"/>
          <w:szCs w:val="24"/>
        </w:rPr>
        <w:t>.</w:t>
      </w:r>
    </w:p>
    <w:p w14:paraId="419CAD7B" w14:textId="77777777" w:rsidR="0068154E" w:rsidRPr="00705A09" w:rsidRDefault="0068154E" w:rsidP="00AC5B73">
      <w:pPr>
        <w:rPr>
          <w:rFonts w:cs="Arial"/>
          <w:szCs w:val="24"/>
        </w:rPr>
      </w:pPr>
    </w:p>
    <w:tbl>
      <w:tblPr>
        <w:tblW w:w="10887" w:type="dxa"/>
        <w:jc w:val="center"/>
        <w:tblLayout w:type="fixed"/>
        <w:tblLook w:val="04A0" w:firstRow="1" w:lastRow="0" w:firstColumn="1" w:lastColumn="0" w:noHBand="0" w:noVBand="1"/>
      </w:tblPr>
      <w:tblGrid>
        <w:gridCol w:w="1814"/>
        <w:gridCol w:w="1814"/>
        <w:gridCol w:w="1815"/>
        <w:gridCol w:w="1814"/>
        <w:gridCol w:w="1815"/>
        <w:gridCol w:w="1815"/>
      </w:tblGrid>
      <w:tr w:rsidR="00C40B71" w:rsidRPr="00705A09" w14:paraId="0F307E2E" w14:textId="77777777" w:rsidTr="005243A5">
        <w:trPr>
          <w:trHeight w:val="290"/>
          <w:jc w:val="center"/>
        </w:trPr>
        <w:tc>
          <w:tcPr>
            <w:tcW w:w="1814" w:type="dxa"/>
            <w:vMerge w:val="restart"/>
            <w:tcBorders>
              <w:top w:val="nil"/>
              <w:left w:val="nil"/>
              <w:right w:val="nil"/>
            </w:tcBorders>
            <w:shd w:val="clear" w:color="auto" w:fill="auto"/>
            <w:noWrap/>
            <w:vAlign w:val="bottom"/>
          </w:tcPr>
          <w:p w14:paraId="32B8172F" w14:textId="77777777" w:rsidR="00C40B71" w:rsidRPr="00C40B71" w:rsidRDefault="00C40B71" w:rsidP="00AC5B73">
            <w:pPr>
              <w:rPr>
                <w:lang w:eastAsia="en-GB"/>
              </w:rPr>
            </w:pPr>
          </w:p>
        </w:tc>
        <w:tc>
          <w:tcPr>
            <w:tcW w:w="36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5E3532" w14:textId="77777777" w:rsidR="00C40B71" w:rsidRPr="00705A09" w:rsidRDefault="00C40B71" w:rsidP="00AC5B73">
            <w:pPr>
              <w:rPr>
                <w:lang w:eastAsia="en-GB"/>
              </w:rPr>
            </w:pPr>
            <w:r w:rsidRPr="00705A09">
              <w:rPr>
                <w:lang w:eastAsia="en-GB"/>
              </w:rPr>
              <w:t>Leavers</w:t>
            </w:r>
          </w:p>
        </w:tc>
        <w:tc>
          <w:tcPr>
            <w:tcW w:w="3629" w:type="dxa"/>
            <w:gridSpan w:val="2"/>
            <w:tcBorders>
              <w:top w:val="single" w:sz="4" w:space="0" w:color="auto"/>
              <w:left w:val="nil"/>
              <w:bottom w:val="single" w:sz="4" w:space="0" w:color="auto"/>
              <w:right w:val="single" w:sz="4" w:space="0" w:color="auto"/>
            </w:tcBorders>
            <w:shd w:val="clear" w:color="auto" w:fill="auto"/>
            <w:noWrap/>
            <w:vAlign w:val="center"/>
          </w:tcPr>
          <w:p w14:paraId="482BB82C" w14:textId="77777777" w:rsidR="00C40B71" w:rsidRPr="00705A09" w:rsidRDefault="00C40B71" w:rsidP="00AC5B73">
            <w:pPr>
              <w:rPr>
                <w:lang w:eastAsia="en-GB"/>
              </w:rPr>
            </w:pPr>
            <w:r w:rsidRPr="00705A09">
              <w:rPr>
                <w:lang w:eastAsia="en-GB"/>
              </w:rPr>
              <w:t>Workforce</w:t>
            </w:r>
          </w:p>
        </w:tc>
        <w:tc>
          <w:tcPr>
            <w:tcW w:w="1815" w:type="dxa"/>
            <w:vMerge w:val="restart"/>
            <w:tcBorders>
              <w:top w:val="single" w:sz="4" w:space="0" w:color="auto"/>
              <w:left w:val="nil"/>
              <w:right w:val="single" w:sz="4" w:space="0" w:color="auto"/>
            </w:tcBorders>
          </w:tcPr>
          <w:p w14:paraId="5045573C" w14:textId="77777777" w:rsidR="00C40B71" w:rsidRPr="00705A09" w:rsidRDefault="00C40B71" w:rsidP="00AC5B73">
            <w:pPr>
              <w:rPr>
                <w:lang w:eastAsia="en-GB"/>
              </w:rPr>
            </w:pPr>
            <w:r>
              <w:rPr>
                <w:lang w:eastAsia="en-GB"/>
              </w:rPr>
              <w:t>Leavers as % of Workforce</w:t>
            </w:r>
          </w:p>
        </w:tc>
      </w:tr>
      <w:tr w:rsidR="00C40B71" w:rsidRPr="00705A09" w14:paraId="2037E7F0" w14:textId="77777777" w:rsidTr="00C40B71">
        <w:trPr>
          <w:trHeight w:val="290"/>
          <w:jc w:val="center"/>
        </w:trPr>
        <w:tc>
          <w:tcPr>
            <w:tcW w:w="1814" w:type="dxa"/>
            <w:vMerge/>
            <w:tcBorders>
              <w:left w:val="nil"/>
              <w:bottom w:val="single" w:sz="4" w:space="0" w:color="auto"/>
              <w:right w:val="nil"/>
            </w:tcBorders>
            <w:shd w:val="clear" w:color="auto" w:fill="auto"/>
            <w:noWrap/>
            <w:vAlign w:val="bottom"/>
            <w:hideMark/>
          </w:tcPr>
          <w:p w14:paraId="526554F8" w14:textId="77777777" w:rsidR="00C40B71" w:rsidRPr="00C40B71" w:rsidRDefault="00C40B71" w:rsidP="00AC5B73">
            <w:pPr>
              <w:rPr>
                <w:lang w:eastAsia="en-GB"/>
              </w:rPr>
            </w:pPr>
          </w:p>
        </w:tc>
        <w:tc>
          <w:tcPr>
            <w:tcW w:w="1814" w:type="dxa"/>
            <w:tcBorders>
              <w:top w:val="nil"/>
              <w:left w:val="single" w:sz="4" w:space="0" w:color="auto"/>
              <w:bottom w:val="single" w:sz="4" w:space="0" w:color="auto"/>
              <w:right w:val="single" w:sz="4" w:space="0" w:color="auto"/>
            </w:tcBorders>
            <w:shd w:val="clear" w:color="auto" w:fill="auto"/>
            <w:noWrap/>
            <w:vAlign w:val="bottom"/>
            <w:hideMark/>
          </w:tcPr>
          <w:p w14:paraId="14799905" w14:textId="77777777" w:rsidR="00C40B71" w:rsidRPr="00705A09" w:rsidRDefault="00C40B71" w:rsidP="00AC5B73">
            <w:pPr>
              <w:rPr>
                <w:lang w:eastAsia="en-GB"/>
              </w:rPr>
            </w:pPr>
            <w:r w:rsidRPr="00705A09">
              <w:rPr>
                <w:lang w:eastAsia="en-GB"/>
              </w:rPr>
              <w:t>Headcount</w:t>
            </w:r>
          </w:p>
        </w:tc>
        <w:tc>
          <w:tcPr>
            <w:tcW w:w="1815" w:type="dxa"/>
            <w:tcBorders>
              <w:top w:val="nil"/>
              <w:left w:val="nil"/>
              <w:bottom w:val="single" w:sz="4" w:space="0" w:color="auto"/>
              <w:right w:val="single" w:sz="4" w:space="0" w:color="auto"/>
            </w:tcBorders>
            <w:shd w:val="clear" w:color="auto" w:fill="auto"/>
            <w:noWrap/>
            <w:vAlign w:val="bottom"/>
            <w:hideMark/>
          </w:tcPr>
          <w:p w14:paraId="17F01003" w14:textId="77777777" w:rsidR="00C40B71" w:rsidRPr="00705A09" w:rsidRDefault="00C40B71" w:rsidP="00AC5B73">
            <w:pPr>
              <w:rPr>
                <w:lang w:eastAsia="en-GB"/>
              </w:rPr>
            </w:pPr>
            <w:r w:rsidRPr="00705A09">
              <w:rPr>
                <w:lang w:eastAsia="en-GB"/>
              </w:rPr>
              <w:t>% Headcount</w:t>
            </w:r>
          </w:p>
        </w:tc>
        <w:tc>
          <w:tcPr>
            <w:tcW w:w="1814" w:type="dxa"/>
            <w:tcBorders>
              <w:top w:val="nil"/>
              <w:left w:val="nil"/>
              <w:bottom w:val="single" w:sz="4" w:space="0" w:color="auto"/>
              <w:right w:val="single" w:sz="4" w:space="0" w:color="auto"/>
            </w:tcBorders>
            <w:shd w:val="clear" w:color="auto" w:fill="auto"/>
            <w:noWrap/>
            <w:vAlign w:val="bottom"/>
            <w:hideMark/>
          </w:tcPr>
          <w:p w14:paraId="6FA30998" w14:textId="77777777" w:rsidR="00C40B71" w:rsidRPr="00705A09" w:rsidRDefault="00C40B71" w:rsidP="00AC5B73">
            <w:pPr>
              <w:rPr>
                <w:lang w:eastAsia="en-GB"/>
              </w:rPr>
            </w:pPr>
            <w:r w:rsidRPr="00705A09">
              <w:rPr>
                <w:lang w:eastAsia="en-GB"/>
              </w:rPr>
              <w:t>Headcount</w:t>
            </w:r>
          </w:p>
        </w:tc>
        <w:tc>
          <w:tcPr>
            <w:tcW w:w="1815" w:type="dxa"/>
            <w:tcBorders>
              <w:top w:val="nil"/>
              <w:left w:val="nil"/>
              <w:bottom w:val="single" w:sz="4" w:space="0" w:color="auto"/>
              <w:right w:val="single" w:sz="4" w:space="0" w:color="auto"/>
            </w:tcBorders>
            <w:shd w:val="clear" w:color="auto" w:fill="auto"/>
            <w:noWrap/>
            <w:vAlign w:val="bottom"/>
            <w:hideMark/>
          </w:tcPr>
          <w:p w14:paraId="5CB4097F" w14:textId="77777777" w:rsidR="00C40B71" w:rsidRPr="00705A09" w:rsidRDefault="00C40B71" w:rsidP="00AC5B73">
            <w:pPr>
              <w:rPr>
                <w:lang w:eastAsia="en-GB"/>
              </w:rPr>
            </w:pPr>
            <w:r w:rsidRPr="00705A09">
              <w:rPr>
                <w:lang w:eastAsia="en-GB"/>
              </w:rPr>
              <w:t>% Headcount</w:t>
            </w:r>
          </w:p>
        </w:tc>
        <w:tc>
          <w:tcPr>
            <w:tcW w:w="1815" w:type="dxa"/>
            <w:vMerge/>
            <w:tcBorders>
              <w:left w:val="nil"/>
              <w:bottom w:val="single" w:sz="4" w:space="0" w:color="auto"/>
              <w:right w:val="single" w:sz="4" w:space="0" w:color="auto"/>
            </w:tcBorders>
          </w:tcPr>
          <w:p w14:paraId="01DD41F4" w14:textId="77777777" w:rsidR="00C40B71" w:rsidRPr="00705A09" w:rsidRDefault="00C40B71" w:rsidP="00AC5B73">
            <w:pPr>
              <w:rPr>
                <w:lang w:eastAsia="en-GB"/>
              </w:rPr>
            </w:pPr>
          </w:p>
        </w:tc>
      </w:tr>
      <w:tr w:rsidR="00F56A67" w:rsidRPr="00705A09" w14:paraId="7A45F9FF" w14:textId="77777777" w:rsidTr="005243A5">
        <w:trPr>
          <w:trHeight w:val="290"/>
          <w:jc w:val="center"/>
        </w:trPr>
        <w:tc>
          <w:tcPr>
            <w:tcW w:w="1814" w:type="dxa"/>
            <w:tcBorders>
              <w:top w:val="single" w:sz="4" w:space="0" w:color="auto"/>
              <w:left w:val="single" w:sz="4" w:space="0" w:color="auto"/>
              <w:bottom w:val="single" w:sz="4" w:space="0" w:color="auto"/>
              <w:right w:val="nil"/>
            </w:tcBorders>
            <w:shd w:val="clear" w:color="auto" w:fill="auto"/>
            <w:noWrap/>
            <w:vAlign w:val="bottom"/>
          </w:tcPr>
          <w:p w14:paraId="747C605D" w14:textId="4F53EE8B" w:rsidR="00F56A67" w:rsidRPr="00C40B71" w:rsidRDefault="00F56A67" w:rsidP="00AC5B73">
            <w:pPr>
              <w:rPr>
                <w:lang w:eastAsia="en-GB"/>
              </w:rPr>
            </w:pPr>
            <w:r>
              <w:rPr>
                <w:lang w:eastAsia="en-GB"/>
              </w:rPr>
              <w:t>Under 20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9CC2A" w14:textId="5FE44883" w:rsidR="00F56A67" w:rsidRPr="00705A09" w:rsidRDefault="00F56A67" w:rsidP="00AC5B73">
            <w:pPr>
              <w:jc w:val="right"/>
              <w:rPr>
                <w:lang w:eastAsia="en-GB"/>
              </w:rPr>
            </w:pPr>
            <w:r>
              <w:rPr>
                <w:lang w:eastAsia="en-GB"/>
              </w:rPr>
              <w:t>0</w:t>
            </w:r>
          </w:p>
        </w:tc>
        <w:tc>
          <w:tcPr>
            <w:tcW w:w="1815" w:type="dxa"/>
            <w:tcBorders>
              <w:top w:val="single" w:sz="4" w:space="0" w:color="auto"/>
              <w:left w:val="nil"/>
              <w:bottom w:val="single" w:sz="4" w:space="0" w:color="auto"/>
              <w:right w:val="single" w:sz="4" w:space="0" w:color="auto"/>
            </w:tcBorders>
            <w:shd w:val="clear" w:color="auto" w:fill="auto"/>
            <w:noWrap/>
            <w:vAlign w:val="bottom"/>
          </w:tcPr>
          <w:p w14:paraId="5B6A552D" w14:textId="1D345943" w:rsidR="00F56A67" w:rsidRPr="00705A09" w:rsidRDefault="00F56A67" w:rsidP="00AC5B73">
            <w:pPr>
              <w:jc w:val="right"/>
              <w:rPr>
                <w:lang w:eastAsia="en-GB"/>
              </w:rPr>
            </w:pPr>
            <w:r>
              <w:rPr>
                <w:lang w:eastAsia="en-GB"/>
              </w:rPr>
              <w:t>0.0%</w:t>
            </w:r>
          </w:p>
        </w:tc>
        <w:tc>
          <w:tcPr>
            <w:tcW w:w="1814" w:type="dxa"/>
            <w:tcBorders>
              <w:top w:val="single" w:sz="4" w:space="0" w:color="auto"/>
              <w:left w:val="nil"/>
              <w:bottom w:val="single" w:sz="4" w:space="0" w:color="auto"/>
              <w:right w:val="single" w:sz="4" w:space="0" w:color="auto"/>
            </w:tcBorders>
            <w:shd w:val="clear" w:color="auto" w:fill="auto"/>
            <w:noWrap/>
          </w:tcPr>
          <w:p w14:paraId="19528B19" w14:textId="5DB727BC" w:rsidR="00F56A67" w:rsidRPr="00705A09" w:rsidRDefault="00F56A67" w:rsidP="00AC5B73">
            <w:pPr>
              <w:jc w:val="right"/>
              <w:rPr>
                <w:lang w:eastAsia="en-GB"/>
              </w:rPr>
            </w:pPr>
            <w:r w:rsidRPr="00712673">
              <w:t>5</w:t>
            </w:r>
          </w:p>
        </w:tc>
        <w:tc>
          <w:tcPr>
            <w:tcW w:w="1815" w:type="dxa"/>
            <w:tcBorders>
              <w:top w:val="single" w:sz="4" w:space="0" w:color="auto"/>
              <w:left w:val="nil"/>
              <w:bottom w:val="single" w:sz="4" w:space="0" w:color="auto"/>
              <w:right w:val="single" w:sz="4" w:space="0" w:color="auto"/>
            </w:tcBorders>
            <w:shd w:val="clear" w:color="auto" w:fill="auto"/>
            <w:noWrap/>
          </w:tcPr>
          <w:p w14:paraId="0EAEF934" w14:textId="612CF195" w:rsidR="00F56A67" w:rsidRPr="00705A09" w:rsidRDefault="00F56A67" w:rsidP="00AC5B73">
            <w:pPr>
              <w:jc w:val="right"/>
              <w:rPr>
                <w:lang w:eastAsia="en-GB"/>
              </w:rPr>
            </w:pPr>
            <w:r w:rsidRPr="00B3332E">
              <w:t>0.2%</w:t>
            </w:r>
          </w:p>
        </w:tc>
        <w:tc>
          <w:tcPr>
            <w:tcW w:w="1815" w:type="dxa"/>
            <w:tcBorders>
              <w:top w:val="single" w:sz="4" w:space="0" w:color="auto"/>
              <w:left w:val="nil"/>
              <w:bottom w:val="single" w:sz="4" w:space="0" w:color="auto"/>
              <w:right w:val="single" w:sz="4" w:space="0" w:color="auto"/>
            </w:tcBorders>
          </w:tcPr>
          <w:p w14:paraId="699AFF6D" w14:textId="23E97C58" w:rsidR="00F56A67" w:rsidRPr="00705A09" w:rsidRDefault="00F56A67" w:rsidP="00AC5B73">
            <w:pPr>
              <w:jc w:val="right"/>
              <w:rPr>
                <w:lang w:eastAsia="en-GB"/>
              </w:rPr>
            </w:pPr>
            <w:r w:rsidRPr="008B716A">
              <w:t>0.0%</w:t>
            </w:r>
          </w:p>
        </w:tc>
      </w:tr>
      <w:tr w:rsidR="00F56A67" w:rsidRPr="00705A09" w14:paraId="1B329B26" w14:textId="77777777" w:rsidTr="005243A5">
        <w:trPr>
          <w:trHeight w:val="290"/>
          <w:jc w:val="center"/>
        </w:trPr>
        <w:tc>
          <w:tcPr>
            <w:tcW w:w="18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9A1CE" w14:textId="75AA5E1D" w:rsidR="00F56A67" w:rsidRPr="00C40B71" w:rsidRDefault="00F56A67" w:rsidP="00AC5B73">
            <w:pPr>
              <w:rPr>
                <w:lang w:eastAsia="en-GB"/>
              </w:rPr>
            </w:pPr>
            <w:r w:rsidRPr="00C40B71">
              <w:rPr>
                <w:lang w:eastAsia="en-GB"/>
              </w:rPr>
              <w:t>20 to 24</w:t>
            </w:r>
          </w:p>
        </w:tc>
        <w:tc>
          <w:tcPr>
            <w:tcW w:w="1814" w:type="dxa"/>
            <w:tcBorders>
              <w:top w:val="single" w:sz="4" w:space="0" w:color="auto"/>
              <w:left w:val="nil"/>
              <w:bottom w:val="single" w:sz="4" w:space="0" w:color="auto"/>
              <w:right w:val="single" w:sz="4" w:space="0" w:color="auto"/>
            </w:tcBorders>
            <w:shd w:val="clear" w:color="auto" w:fill="auto"/>
            <w:noWrap/>
            <w:vAlign w:val="bottom"/>
          </w:tcPr>
          <w:p w14:paraId="21512E7C" w14:textId="0E4B682A" w:rsidR="00F56A67" w:rsidRPr="00C40B71" w:rsidRDefault="00F56A67" w:rsidP="00AC5B73">
            <w:pPr>
              <w:jc w:val="right"/>
              <w:rPr>
                <w:rFonts w:cs="Arial"/>
                <w:szCs w:val="24"/>
                <w:lang w:eastAsia="en-GB"/>
              </w:rPr>
            </w:pPr>
            <w:r w:rsidRPr="00C40B71">
              <w:rPr>
                <w:rFonts w:cs="Arial"/>
                <w:szCs w:val="24"/>
              </w:rPr>
              <w:t>19</w:t>
            </w:r>
          </w:p>
        </w:tc>
        <w:tc>
          <w:tcPr>
            <w:tcW w:w="1815" w:type="dxa"/>
            <w:tcBorders>
              <w:top w:val="single" w:sz="4" w:space="0" w:color="auto"/>
              <w:left w:val="nil"/>
              <w:bottom w:val="single" w:sz="4" w:space="0" w:color="auto"/>
              <w:right w:val="single" w:sz="4" w:space="0" w:color="auto"/>
            </w:tcBorders>
            <w:shd w:val="clear" w:color="auto" w:fill="auto"/>
            <w:noWrap/>
          </w:tcPr>
          <w:p w14:paraId="42710BEF" w14:textId="5E9B7BEE" w:rsidR="00F56A67" w:rsidRPr="00C40B71" w:rsidRDefault="00F56A67" w:rsidP="00AC5B73">
            <w:pPr>
              <w:jc w:val="right"/>
              <w:rPr>
                <w:rFonts w:cs="Arial"/>
                <w:szCs w:val="24"/>
                <w:lang w:eastAsia="en-GB"/>
              </w:rPr>
            </w:pPr>
            <w:r w:rsidRPr="00C76DAE">
              <w:t>7.3%</w:t>
            </w:r>
          </w:p>
        </w:tc>
        <w:tc>
          <w:tcPr>
            <w:tcW w:w="1814" w:type="dxa"/>
            <w:tcBorders>
              <w:top w:val="single" w:sz="4" w:space="0" w:color="auto"/>
              <w:left w:val="nil"/>
              <w:bottom w:val="single" w:sz="4" w:space="0" w:color="auto"/>
              <w:right w:val="single" w:sz="4" w:space="0" w:color="auto"/>
            </w:tcBorders>
            <w:shd w:val="clear" w:color="auto" w:fill="auto"/>
            <w:noWrap/>
          </w:tcPr>
          <w:p w14:paraId="05E3B535" w14:textId="567C4152" w:rsidR="00F56A67" w:rsidRPr="00C40B71" w:rsidRDefault="00F56A67" w:rsidP="00AC5B73">
            <w:pPr>
              <w:jc w:val="right"/>
              <w:rPr>
                <w:rFonts w:cs="Arial"/>
                <w:szCs w:val="24"/>
                <w:lang w:eastAsia="en-GB"/>
              </w:rPr>
            </w:pPr>
            <w:r w:rsidRPr="00712673">
              <w:t>83</w:t>
            </w:r>
          </w:p>
        </w:tc>
        <w:tc>
          <w:tcPr>
            <w:tcW w:w="1815" w:type="dxa"/>
            <w:tcBorders>
              <w:top w:val="single" w:sz="4" w:space="0" w:color="auto"/>
              <w:left w:val="nil"/>
              <w:bottom w:val="single" w:sz="4" w:space="0" w:color="auto"/>
              <w:right w:val="single" w:sz="4" w:space="0" w:color="auto"/>
            </w:tcBorders>
            <w:shd w:val="clear" w:color="auto" w:fill="auto"/>
            <w:noWrap/>
          </w:tcPr>
          <w:p w14:paraId="0BAB5C84" w14:textId="143CD8F1" w:rsidR="00F56A67" w:rsidRPr="00C40B71" w:rsidRDefault="00F56A67" w:rsidP="00AC5B73">
            <w:pPr>
              <w:jc w:val="right"/>
              <w:rPr>
                <w:rFonts w:cs="Arial"/>
                <w:szCs w:val="24"/>
                <w:lang w:eastAsia="en-GB"/>
              </w:rPr>
            </w:pPr>
            <w:r w:rsidRPr="00B3332E">
              <w:t>3.9%</w:t>
            </w:r>
          </w:p>
        </w:tc>
        <w:tc>
          <w:tcPr>
            <w:tcW w:w="1815" w:type="dxa"/>
            <w:tcBorders>
              <w:top w:val="single" w:sz="4" w:space="0" w:color="auto"/>
              <w:left w:val="nil"/>
              <w:bottom w:val="single" w:sz="4" w:space="0" w:color="auto"/>
              <w:right w:val="single" w:sz="4" w:space="0" w:color="auto"/>
            </w:tcBorders>
          </w:tcPr>
          <w:p w14:paraId="4808F883" w14:textId="6BCB69E5" w:rsidR="00F56A67" w:rsidRPr="00C40B71" w:rsidRDefault="00F56A67" w:rsidP="00AC5B73">
            <w:pPr>
              <w:jc w:val="right"/>
              <w:rPr>
                <w:rFonts w:cs="Arial"/>
                <w:szCs w:val="24"/>
                <w:lang w:eastAsia="en-GB"/>
              </w:rPr>
            </w:pPr>
            <w:r w:rsidRPr="008B716A">
              <w:t>22.9%</w:t>
            </w:r>
          </w:p>
        </w:tc>
      </w:tr>
      <w:tr w:rsidR="00F56A67" w:rsidRPr="00705A09" w14:paraId="15C040C4" w14:textId="77777777" w:rsidTr="005243A5">
        <w:trPr>
          <w:trHeight w:val="290"/>
          <w:jc w:val="center"/>
        </w:trPr>
        <w:tc>
          <w:tcPr>
            <w:tcW w:w="18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6CB03" w14:textId="745E96C8" w:rsidR="00F56A67" w:rsidRPr="00C40B71" w:rsidRDefault="00F56A67" w:rsidP="00AC5B73">
            <w:pPr>
              <w:rPr>
                <w:lang w:eastAsia="en-GB"/>
              </w:rPr>
            </w:pPr>
            <w:r w:rsidRPr="00C40B71">
              <w:rPr>
                <w:lang w:eastAsia="en-GB"/>
              </w:rPr>
              <w:t>25 to 29</w:t>
            </w:r>
          </w:p>
        </w:tc>
        <w:tc>
          <w:tcPr>
            <w:tcW w:w="1814" w:type="dxa"/>
            <w:tcBorders>
              <w:top w:val="nil"/>
              <w:left w:val="nil"/>
              <w:bottom w:val="single" w:sz="4" w:space="0" w:color="auto"/>
              <w:right w:val="single" w:sz="4" w:space="0" w:color="auto"/>
            </w:tcBorders>
            <w:shd w:val="clear" w:color="auto" w:fill="auto"/>
            <w:noWrap/>
            <w:vAlign w:val="bottom"/>
          </w:tcPr>
          <w:p w14:paraId="33B6EFAF" w14:textId="7DE7C7A1" w:rsidR="00F56A67" w:rsidRPr="00C40B71" w:rsidRDefault="00F56A67" w:rsidP="00AC5B73">
            <w:pPr>
              <w:jc w:val="right"/>
              <w:rPr>
                <w:rFonts w:cs="Arial"/>
                <w:szCs w:val="24"/>
                <w:lang w:eastAsia="en-GB"/>
              </w:rPr>
            </w:pPr>
            <w:r w:rsidRPr="00C40B71">
              <w:rPr>
                <w:rFonts w:cs="Arial"/>
                <w:szCs w:val="24"/>
              </w:rPr>
              <w:t>39</w:t>
            </w:r>
          </w:p>
        </w:tc>
        <w:tc>
          <w:tcPr>
            <w:tcW w:w="1815" w:type="dxa"/>
            <w:tcBorders>
              <w:top w:val="nil"/>
              <w:left w:val="nil"/>
              <w:bottom w:val="single" w:sz="4" w:space="0" w:color="auto"/>
              <w:right w:val="single" w:sz="4" w:space="0" w:color="auto"/>
            </w:tcBorders>
            <w:shd w:val="clear" w:color="auto" w:fill="auto"/>
            <w:noWrap/>
          </w:tcPr>
          <w:p w14:paraId="0C15CBE4" w14:textId="0DEE3DA5" w:rsidR="00F56A67" w:rsidRPr="00C40B71" w:rsidRDefault="00F56A67" w:rsidP="00AC5B73">
            <w:pPr>
              <w:jc w:val="right"/>
              <w:rPr>
                <w:rFonts w:cs="Arial"/>
                <w:szCs w:val="24"/>
                <w:lang w:eastAsia="en-GB"/>
              </w:rPr>
            </w:pPr>
            <w:r w:rsidRPr="00C76DAE">
              <w:t>15.1%</w:t>
            </w:r>
          </w:p>
        </w:tc>
        <w:tc>
          <w:tcPr>
            <w:tcW w:w="1814" w:type="dxa"/>
            <w:tcBorders>
              <w:top w:val="nil"/>
              <w:left w:val="nil"/>
              <w:bottom w:val="single" w:sz="4" w:space="0" w:color="auto"/>
              <w:right w:val="single" w:sz="4" w:space="0" w:color="auto"/>
            </w:tcBorders>
            <w:shd w:val="clear" w:color="auto" w:fill="auto"/>
            <w:noWrap/>
          </w:tcPr>
          <w:p w14:paraId="3B3BAFF6" w14:textId="77E2C173" w:rsidR="00F56A67" w:rsidRPr="00C40B71" w:rsidRDefault="00F56A67" w:rsidP="00AC5B73">
            <w:pPr>
              <w:jc w:val="right"/>
              <w:rPr>
                <w:rFonts w:cs="Arial"/>
                <w:szCs w:val="24"/>
                <w:lang w:eastAsia="en-GB"/>
              </w:rPr>
            </w:pPr>
            <w:r w:rsidRPr="00712673">
              <w:t>231</w:t>
            </w:r>
          </w:p>
        </w:tc>
        <w:tc>
          <w:tcPr>
            <w:tcW w:w="1815" w:type="dxa"/>
            <w:tcBorders>
              <w:top w:val="nil"/>
              <w:left w:val="nil"/>
              <w:bottom w:val="single" w:sz="4" w:space="0" w:color="auto"/>
              <w:right w:val="single" w:sz="4" w:space="0" w:color="auto"/>
            </w:tcBorders>
            <w:shd w:val="clear" w:color="auto" w:fill="auto"/>
            <w:noWrap/>
          </w:tcPr>
          <w:p w14:paraId="7BDA4ACD" w14:textId="7D5B5A08" w:rsidR="00F56A67" w:rsidRPr="00C40B71" w:rsidRDefault="00F56A67" w:rsidP="00AC5B73">
            <w:pPr>
              <w:jc w:val="right"/>
              <w:rPr>
                <w:rFonts w:cs="Arial"/>
                <w:szCs w:val="24"/>
                <w:lang w:eastAsia="en-GB"/>
              </w:rPr>
            </w:pPr>
            <w:r w:rsidRPr="00B3332E">
              <w:t>10.8%</w:t>
            </w:r>
          </w:p>
        </w:tc>
        <w:tc>
          <w:tcPr>
            <w:tcW w:w="1815" w:type="dxa"/>
            <w:tcBorders>
              <w:top w:val="nil"/>
              <w:left w:val="nil"/>
              <w:bottom w:val="single" w:sz="4" w:space="0" w:color="auto"/>
              <w:right w:val="single" w:sz="4" w:space="0" w:color="auto"/>
            </w:tcBorders>
          </w:tcPr>
          <w:p w14:paraId="0074A3E5" w14:textId="478C81DB" w:rsidR="00F56A67" w:rsidRPr="00C40B71" w:rsidRDefault="00F56A67" w:rsidP="00AC5B73">
            <w:pPr>
              <w:jc w:val="right"/>
              <w:rPr>
                <w:rFonts w:cs="Arial"/>
                <w:szCs w:val="24"/>
                <w:lang w:eastAsia="en-GB"/>
              </w:rPr>
            </w:pPr>
            <w:r w:rsidRPr="008B716A">
              <w:t>16.9%</w:t>
            </w:r>
          </w:p>
        </w:tc>
      </w:tr>
      <w:tr w:rsidR="00F56A67" w:rsidRPr="00705A09" w14:paraId="1B928C46" w14:textId="77777777" w:rsidTr="005243A5">
        <w:trPr>
          <w:trHeight w:val="290"/>
          <w:jc w:val="center"/>
        </w:trPr>
        <w:tc>
          <w:tcPr>
            <w:tcW w:w="18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3348D" w14:textId="1A0B88D1" w:rsidR="00F56A67" w:rsidRPr="00C40B71" w:rsidRDefault="00F56A67" w:rsidP="00AC5B73">
            <w:pPr>
              <w:rPr>
                <w:lang w:eastAsia="en-GB"/>
              </w:rPr>
            </w:pPr>
            <w:r w:rsidRPr="00C40B71">
              <w:rPr>
                <w:lang w:eastAsia="en-GB"/>
              </w:rPr>
              <w:t>30 to 34</w:t>
            </w:r>
          </w:p>
        </w:tc>
        <w:tc>
          <w:tcPr>
            <w:tcW w:w="1814" w:type="dxa"/>
            <w:tcBorders>
              <w:top w:val="nil"/>
              <w:left w:val="nil"/>
              <w:bottom w:val="single" w:sz="4" w:space="0" w:color="auto"/>
              <w:right w:val="single" w:sz="4" w:space="0" w:color="auto"/>
            </w:tcBorders>
            <w:shd w:val="clear" w:color="auto" w:fill="auto"/>
            <w:noWrap/>
            <w:vAlign w:val="bottom"/>
          </w:tcPr>
          <w:p w14:paraId="0A43AB97" w14:textId="3FE26A6B" w:rsidR="00F56A67" w:rsidRPr="00C40B71" w:rsidRDefault="00F56A67" w:rsidP="00AC5B73">
            <w:pPr>
              <w:jc w:val="right"/>
              <w:rPr>
                <w:rFonts w:cs="Arial"/>
                <w:szCs w:val="24"/>
                <w:lang w:eastAsia="en-GB"/>
              </w:rPr>
            </w:pPr>
            <w:r w:rsidRPr="00C40B71">
              <w:rPr>
                <w:rFonts w:cs="Arial"/>
                <w:szCs w:val="24"/>
              </w:rPr>
              <w:t>41</w:t>
            </w:r>
          </w:p>
        </w:tc>
        <w:tc>
          <w:tcPr>
            <w:tcW w:w="1815" w:type="dxa"/>
            <w:tcBorders>
              <w:top w:val="nil"/>
              <w:left w:val="nil"/>
              <w:bottom w:val="single" w:sz="4" w:space="0" w:color="auto"/>
              <w:right w:val="single" w:sz="4" w:space="0" w:color="auto"/>
            </w:tcBorders>
            <w:shd w:val="clear" w:color="auto" w:fill="auto"/>
            <w:noWrap/>
          </w:tcPr>
          <w:p w14:paraId="611A7355" w14:textId="07BF90CD" w:rsidR="00F56A67" w:rsidRPr="00C40B71" w:rsidRDefault="00F56A67" w:rsidP="00AC5B73">
            <w:pPr>
              <w:jc w:val="right"/>
              <w:rPr>
                <w:rFonts w:cs="Arial"/>
                <w:szCs w:val="24"/>
                <w:lang w:eastAsia="en-GB"/>
              </w:rPr>
            </w:pPr>
            <w:r w:rsidRPr="00C76DAE">
              <w:t>15.8%</w:t>
            </w:r>
          </w:p>
        </w:tc>
        <w:tc>
          <w:tcPr>
            <w:tcW w:w="1814" w:type="dxa"/>
            <w:tcBorders>
              <w:top w:val="nil"/>
              <w:left w:val="nil"/>
              <w:bottom w:val="single" w:sz="4" w:space="0" w:color="auto"/>
              <w:right w:val="single" w:sz="4" w:space="0" w:color="auto"/>
            </w:tcBorders>
            <w:shd w:val="clear" w:color="auto" w:fill="auto"/>
            <w:noWrap/>
          </w:tcPr>
          <w:p w14:paraId="4EC7610D" w14:textId="512450BD" w:rsidR="00F56A67" w:rsidRPr="00C40B71" w:rsidRDefault="00F56A67" w:rsidP="00AC5B73">
            <w:pPr>
              <w:jc w:val="right"/>
              <w:rPr>
                <w:rFonts w:cs="Arial"/>
                <w:szCs w:val="24"/>
                <w:lang w:eastAsia="en-GB"/>
              </w:rPr>
            </w:pPr>
            <w:r w:rsidRPr="00712673">
              <w:t>257</w:t>
            </w:r>
          </w:p>
        </w:tc>
        <w:tc>
          <w:tcPr>
            <w:tcW w:w="1815" w:type="dxa"/>
            <w:tcBorders>
              <w:top w:val="nil"/>
              <w:left w:val="nil"/>
              <w:bottom w:val="single" w:sz="4" w:space="0" w:color="auto"/>
              <w:right w:val="single" w:sz="4" w:space="0" w:color="auto"/>
            </w:tcBorders>
            <w:shd w:val="clear" w:color="auto" w:fill="auto"/>
            <w:noWrap/>
          </w:tcPr>
          <w:p w14:paraId="51E317B9" w14:textId="3499E5DC" w:rsidR="00F56A67" w:rsidRPr="00C40B71" w:rsidRDefault="00F56A67" w:rsidP="00AC5B73">
            <w:pPr>
              <w:jc w:val="right"/>
              <w:rPr>
                <w:rFonts w:cs="Arial"/>
                <w:szCs w:val="24"/>
                <w:lang w:eastAsia="en-GB"/>
              </w:rPr>
            </w:pPr>
            <w:r w:rsidRPr="00B3332E">
              <w:t>12.0%</w:t>
            </w:r>
          </w:p>
        </w:tc>
        <w:tc>
          <w:tcPr>
            <w:tcW w:w="1815" w:type="dxa"/>
            <w:tcBorders>
              <w:top w:val="nil"/>
              <w:left w:val="nil"/>
              <w:bottom w:val="single" w:sz="4" w:space="0" w:color="auto"/>
              <w:right w:val="single" w:sz="4" w:space="0" w:color="auto"/>
            </w:tcBorders>
          </w:tcPr>
          <w:p w14:paraId="1011F28C" w14:textId="6338EDE6" w:rsidR="00F56A67" w:rsidRPr="00C40B71" w:rsidRDefault="00F56A67" w:rsidP="00AC5B73">
            <w:pPr>
              <w:jc w:val="right"/>
              <w:rPr>
                <w:rFonts w:cs="Arial"/>
                <w:szCs w:val="24"/>
                <w:lang w:eastAsia="en-GB"/>
              </w:rPr>
            </w:pPr>
            <w:r w:rsidRPr="008B716A">
              <w:t>16.0%</w:t>
            </w:r>
          </w:p>
        </w:tc>
      </w:tr>
      <w:tr w:rsidR="00F56A67" w:rsidRPr="00705A09" w14:paraId="67EAF60B" w14:textId="77777777" w:rsidTr="005243A5">
        <w:trPr>
          <w:trHeight w:val="290"/>
          <w:jc w:val="center"/>
        </w:trPr>
        <w:tc>
          <w:tcPr>
            <w:tcW w:w="18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96E8A" w14:textId="5B0ED61D" w:rsidR="00F56A67" w:rsidRPr="00C40B71" w:rsidRDefault="00F56A67" w:rsidP="00AC5B73">
            <w:pPr>
              <w:rPr>
                <w:lang w:eastAsia="en-GB"/>
              </w:rPr>
            </w:pPr>
            <w:r w:rsidRPr="00C40B71">
              <w:rPr>
                <w:lang w:eastAsia="en-GB"/>
              </w:rPr>
              <w:t>35 to 39</w:t>
            </w:r>
          </w:p>
        </w:tc>
        <w:tc>
          <w:tcPr>
            <w:tcW w:w="1814" w:type="dxa"/>
            <w:tcBorders>
              <w:top w:val="nil"/>
              <w:left w:val="nil"/>
              <w:bottom w:val="single" w:sz="4" w:space="0" w:color="auto"/>
              <w:right w:val="single" w:sz="4" w:space="0" w:color="auto"/>
            </w:tcBorders>
            <w:shd w:val="clear" w:color="auto" w:fill="auto"/>
            <w:noWrap/>
            <w:vAlign w:val="bottom"/>
          </w:tcPr>
          <w:p w14:paraId="68C2890F" w14:textId="6C195952" w:rsidR="00F56A67" w:rsidRPr="00C40B71" w:rsidRDefault="00F56A67" w:rsidP="00AC5B73">
            <w:pPr>
              <w:jc w:val="right"/>
              <w:rPr>
                <w:rFonts w:cs="Arial"/>
                <w:szCs w:val="24"/>
                <w:lang w:eastAsia="en-GB"/>
              </w:rPr>
            </w:pPr>
            <w:r w:rsidRPr="00C40B71">
              <w:rPr>
                <w:rFonts w:cs="Arial"/>
                <w:szCs w:val="24"/>
              </w:rPr>
              <w:t>29</w:t>
            </w:r>
          </w:p>
        </w:tc>
        <w:tc>
          <w:tcPr>
            <w:tcW w:w="1815" w:type="dxa"/>
            <w:tcBorders>
              <w:top w:val="nil"/>
              <w:left w:val="nil"/>
              <w:bottom w:val="single" w:sz="4" w:space="0" w:color="auto"/>
              <w:right w:val="single" w:sz="4" w:space="0" w:color="auto"/>
            </w:tcBorders>
            <w:shd w:val="clear" w:color="auto" w:fill="auto"/>
            <w:noWrap/>
          </w:tcPr>
          <w:p w14:paraId="0A10F811" w14:textId="5B22C23E" w:rsidR="00F56A67" w:rsidRPr="00C40B71" w:rsidRDefault="00F56A67" w:rsidP="00AC5B73">
            <w:pPr>
              <w:jc w:val="right"/>
              <w:rPr>
                <w:rFonts w:cs="Arial"/>
                <w:szCs w:val="24"/>
                <w:lang w:eastAsia="en-GB"/>
              </w:rPr>
            </w:pPr>
            <w:r w:rsidRPr="00C76DAE">
              <w:t>11.2%</w:t>
            </w:r>
          </w:p>
        </w:tc>
        <w:tc>
          <w:tcPr>
            <w:tcW w:w="1814" w:type="dxa"/>
            <w:tcBorders>
              <w:top w:val="nil"/>
              <w:left w:val="nil"/>
              <w:bottom w:val="single" w:sz="4" w:space="0" w:color="auto"/>
              <w:right w:val="single" w:sz="4" w:space="0" w:color="auto"/>
            </w:tcBorders>
            <w:shd w:val="clear" w:color="auto" w:fill="auto"/>
            <w:noWrap/>
          </w:tcPr>
          <w:p w14:paraId="48096211" w14:textId="793A3527" w:rsidR="00F56A67" w:rsidRPr="00C40B71" w:rsidRDefault="00F56A67" w:rsidP="00AC5B73">
            <w:pPr>
              <w:jc w:val="right"/>
              <w:rPr>
                <w:rFonts w:cs="Arial"/>
                <w:szCs w:val="24"/>
                <w:lang w:eastAsia="en-GB"/>
              </w:rPr>
            </w:pPr>
            <w:r w:rsidRPr="00712673">
              <w:t>276</w:t>
            </w:r>
          </w:p>
        </w:tc>
        <w:tc>
          <w:tcPr>
            <w:tcW w:w="1815" w:type="dxa"/>
            <w:tcBorders>
              <w:top w:val="nil"/>
              <w:left w:val="nil"/>
              <w:bottom w:val="single" w:sz="4" w:space="0" w:color="auto"/>
              <w:right w:val="single" w:sz="4" w:space="0" w:color="auto"/>
            </w:tcBorders>
            <w:shd w:val="clear" w:color="auto" w:fill="auto"/>
            <w:noWrap/>
          </w:tcPr>
          <w:p w14:paraId="2B04015D" w14:textId="0F13F3A1" w:rsidR="00F56A67" w:rsidRPr="00C40B71" w:rsidRDefault="00F56A67" w:rsidP="00AC5B73">
            <w:pPr>
              <w:jc w:val="right"/>
              <w:rPr>
                <w:rFonts w:cs="Arial"/>
                <w:szCs w:val="24"/>
                <w:lang w:eastAsia="en-GB"/>
              </w:rPr>
            </w:pPr>
            <w:r w:rsidRPr="00B3332E">
              <w:t>12.9%</w:t>
            </w:r>
          </w:p>
        </w:tc>
        <w:tc>
          <w:tcPr>
            <w:tcW w:w="1815" w:type="dxa"/>
            <w:tcBorders>
              <w:top w:val="nil"/>
              <w:left w:val="nil"/>
              <w:bottom w:val="single" w:sz="4" w:space="0" w:color="auto"/>
              <w:right w:val="single" w:sz="4" w:space="0" w:color="auto"/>
            </w:tcBorders>
          </w:tcPr>
          <w:p w14:paraId="53B528CC" w14:textId="54A863F0" w:rsidR="00F56A67" w:rsidRPr="00C40B71" w:rsidRDefault="00F56A67" w:rsidP="00AC5B73">
            <w:pPr>
              <w:jc w:val="right"/>
              <w:rPr>
                <w:rFonts w:cs="Arial"/>
                <w:szCs w:val="24"/>
                <w:lang w:eastAsia="en-GB"/>
              </w:rPr>
            </w:pPr>
            <w:r w:rsidRPr="008B716A">
              <w:t>10.5%</w:t>
            </w:r>
          </w:p>
        </w:tc>
      </w:tr>
      <w:tr w:rsidR="00F56A67" w:rsidRPr="00705A09" w14:paraId="0EC18FAD" w14:textId="77777777" w:rsidTr="005243A5">
        <w:trPr>
          <w:trHeight w:val="290"/>
          <w:jc w:val="center"/>
        </w:trPr>
        <w:tc>
          <w:tcPr>
            <w:tcW w:w="18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FFBE2" w14:textId="2EB4442E" w:rsidR="00F56A67" w:rsidRPr="00C40B71" w:rsidRDefault="00F56A67" w:rsidP="00AC5B73">
            <w:pPr>
              <w:rPr>
                <w:lang w:eastAsia="en-GB"/>
              </w:rPr>
            </w:pPr>
            <w:r w:rsidRPr="00C40B71">
              <w:rPr>
                <w:lang w:eastAsia="en-GB"/>
              </w:rPr>
              <w:t>40 to 44</w:t>
            </w:r>
          </w:p>
        </w:tc>
        <w:tc>
          <w:tcPr>
            <w:tcW w:w="1814" w:type="dxa"/>
            <w:tcBorders>
              <w:top w:val="nil"/>
              <w:left w:val="nil"/>
              <w:bottom w:val="single" w:sz="4" w:space="0" w:color="auto"/>
              <w:right w:val="single" w:sz="4" w:space="0" w:color="auto"/>
            </w:tcBorders>
            <w:shd w:val="clear" w:color="auto" w:fill="auto"/>
            <w:noWrap/>
            <w:vAlign w:val="bottom"/>
          </w:tcPr>
          <w:p w14:paraId="637EE943" w14:textId="23847F73" w:rsidR="00F56A67" w:rsidRPr="00C40B71" w:rsidRDefault="00F56A67" w:rsidP="00AC5B73">
            <w:pPr>
              <w:jc w:val="right"/>
              <w:rPr>
                <w:rFonts w:cs="Arial"/>
                <w:szCs w:val="24"/>
                <w:lang w:eastAsia="en-GB"/>
              </w:rPr>
            </w:pPr>
            <w:r w:rsidRPr="00C40B71">
              <w:rPr>
                <w:rFonts w:cs="Arial"/>
                <w:szCs w:val="24"/>
              </w:rPr>
              <w:t>34</w:t>
            </w:r>
          </w:p>
        </w:tc>
        <w:tc>
          <w:tcPr>
            <w:tcW w:w="1815" w:type="dxa"/>
            <w:tcBorders>
              <w:top w:val="nil"/>
              <w:left w:val="nil"/>
              <w:bottom w:val="single" w:sz="4" w:space="0" w:color="auto"/>
              <w:right w:val="single" w:sz="4" w:space="0" w:color="auto"/>
            </w:tcBorders>
            <w:shd w:val="clear" w:color="auto" w:fill="auto"/>
            <w:noWrap/>
          </w:tcPr>
          <w:p w14:paraId="16C7A4AE" w14:textId="5F82A016" w:rsidR="00F56A67" w:rsidRPr="00C40B71" w:rsidRDefault="00F56A67" w:rsidP="00AC5B73">
            <w:pPr>
              <w:jc w:val="right"/>
              <w:rPr>
                <w:rFonts w:cs="Arial"/>
                <w:szCs w:val="24"/>
                <w:lang w:eastAsia="en-GB"/>
              </w:rPr>
            </w:pPr>
            <w:r w:rsidRPr="00C76DAE">
              <w:t>13.1%</w:t>
            </w:r>
          </w:p>
        </w:tc>
        <w:tc>
          <w:tcPr>
            <w:tcW w:w="1814" w:type="dxa"/>
            <w:tcBorders>
              <w:top w:val="nil"/>
              <w:left w:val="nil"/>
              <w:bottom w:val="single" w:sz="4" w:space="0" w:color="auto"/>
              <w:right w:val="single" w:sz="4" w:space="0" w:color="auto"/>
            </w:tcBorders>
            <w:shd w:val="clear" w:color="auto" w:fill="auto"/>
            <w:noWrap/>
          </w:tcPr>
          <w:p w14:paraId="04056BED" w14:textId="491618D8" w:rsidR="00F56A67" w:rsidRPr="00C40B71" w:rsidRDefault="00F56A67" w:rsidP="00AC5B73">
            <w:pPr>
              <w:jc w:val="right"/>
              <w:rPr>
                <w:rFonts w:cs="Arial"/>
                <w:szCs w:val="24"/>
                <w:lang w:eastAsia="en-GB"/>
              </w:rPr>
            </w:pPr>
            <w:r w:rsidRPr="00712673">
              <w:t>269</w:t>
            </w:r>
          </w:p>
        </w:tc>
        <w:tc>
          <w:tcPr>
            <w:tcW w:w="1815" w:type="dxa"/>
            <w:tcBorders>
              <w:top w:val="nil"/>
              <w:left w:val="nil"/>
              <w:bottom w:val="single" w:sz="4" w:space="0" w:color="auto"/>
              <w:right w:val="single" w:sz="4" w:space="0" w:color="auto"/>
            </w:tcBorders>
            <w:shd w:val="clear" w:color="auto" w:fill="auto"/>
            <w:noWrap/>
          </w:tcPr>
          <w:p w14:paraId="5F0A05DD" w14:textId="0B761EA4" w:rsidR="00F56A67" w:rsidRPr="00C40B71" w:rsidRDefault="00F56A67" w:rsidP="00AC5B73">
            <w:pPr>
              <w:jc w:val="right"/>
              <w:rPr>
                <w:rFonts w:cs="Arial"/>
                <w:szCs w:val="24"/>
                <w:lang w:eastAsia="en-GB"/>
              </w:rPr>
            </w:pPr>
            <w:r w:rsidRPr="00B3332E">
              <w:t>12.6%</w:t>
            </w:r>
          </w:p>
        </w:tc>
        <w:tc>
          <w:tcPr>
            <w:tcW w:w="1815" w:type="dxa"/>
            <w:tcBorders>
              <w:top w:val="nil"/>
              <w:left w:val="nil"/>
              <w:bottom w:val="single" w:sz="4" w:space="0" w:color="auto"/>
              <w:right w:val="single" w:sz="4" w:space="0" w:color="auto"/>
            </w:tcBorders>
          </w:tcPr>
          <w:p w14:paraId="1E8FD3EB" w14:textId="3165EFFB" w:rsidR="00F56A67" w:rsidRPr="00C40B71" w:rsidRDefault="00F56A67" w:rsidP="00AC5B73">
            <w:pPr>
              <w:jc w:val="right"/>
              <w:rPr>
                <w:rFonts w:cs="Arial"/>
                <w:szCs w:val="24"/>
                <w:lang w:eastAsia="en-GB"/>
              </w:rPr>
            </w:pPr>
            <w:r w:rsidRPr="008B716A">
              <w:t>12.6%</w:t>
            </w:r>
          </w:p>
        </w:tc>
      </w:tr>
      <w:tr w:rsidR="00F56A67" w:rsidRPr="00705A09" w14:paraId="0E24F05F" w14:textId="77777777" w:rsidTr="005243A5">
        <w:trPr>
          <w:trHeight w:val="290"/>
          <w:jc w:val="center"/>
        </w:trPr>
        <w:tc>
          <w:tcPr>
            <w:tcW w:w="18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6DD56" w14:textId="2F177165" w:rsidR="00F56A67" w:rsidRPr="00C40B71" w:rsidRDefault="00F56A67" w:rsidP="00AC5B73">
            <w:pPr>
              <w:rPr>
                <w:lang w:eastAsia="en-GB"/>
              </w:rPr>
            </w:pPr>
            <w:r w:rsidRPr="00C40B71">
              <w:rPr>
                <w:lang w:eastAsia="en-GB"/>
              </w:rPr>
              <w:lastRenderedPageBreak/>
              <w:t>45 to 49</w:t>
            </w:r>
          </w:p>
        </w:tc>
        <w:tc>
          <w:tcPr>
            <w:tcW w:w="1814" w:type="dxa"/>
            <w:tcBorders>
              <w:top w:val="nil"/>
              <w:left w:val="nil"/>
              <w:bottom w:val="single" w:sz="4" w:space="0" w:color="auto"/>
              <w:right w:val="single" w:sz="4" w:space="0" w:color="auto"/>
            </w:tcBorders>
            <w:shd w:val="clear" w:color="auto" w:fill="auto"/>
            <w:noWrap/>
            <w:vAlign w:val="bottom"/>
          </w:tcPr>
          <w:p w14:paraId="4EF61A76" w14:textId="5E128413" w:rsidR="00F56A67" w:rsidRPr="00C40B71" w:rsidRDefault="00F56A67" w:rsidP="00AC5B73">
            <w:pPr>
              <w:jc w:val="right"/>
              <w:rPr>
                <w:rFonts w:cs="Arial"/>
                <w:szCs w:val="24"/>
                <w:lang w:eastAsia="en-GB"/>
              </w:rPr>
            </w:pPr>
            <w:r w:rsidRPr="00C40B71">
              <w:rPr>
                <w:rFonts w:cs="Arial"/>
                <w:szCs w:val="24"/>
              </w:rPr>
              <w:t>24</w:t>
            </w:r>
          </w:p>
        </w:tc>
        <w:tc>
          <w:tcPr>
            <w:tcW w:w="1815" w:type="dxa"/>
            <w:tcBorders>
              <w:top w:val="nil"/>
              <w:left w:val="nil"/>
              <w:bottom w:val="single" w:sz="4" w:space="0" w:color="auto"/>
              <w:right w:val="single" w:sz="4" w:space="0" w:color="auto"/>
            </w:tcBorders>
            <w:shd w:val="clear" w:color="auto" w:fill="auto"/>
            <w:noWrap/>
          </w:tcPr>
          <w:p w14:paraId="52620233" w14:textId="3144447C" w:rsidR="00F56A67" w:rsidRPr="00C40B71" w:rsidRDefault="00F56A67" w:rsidP="00AC5B73">
            <w:pPr>
              <w:jc w:val="right"/>
              <w:rPr>
                <w:rFonts w:cs="Arial"/>
                <w:szCs w:val="24"/>
                <w:lang w:eastAsia="en-GB"/>
              </w:rPr>
            </w:pPr>
            <w:r w:rsidRPr="00C76DAE">
              <w:t>9.3%</w:t>
            </w:r>
          </w:p>
        </w:tc>
        <w:tc>
          <w:tcPr>
            <w:tcW w:w="1814" w:type="dxa"/>
            <w:tcBorders>
              <w:top w:val="nil"/>
              <w:left w:val="nil"/>
              <w:bottom w:val="single" w:sz="4" w:space="0" w:color="auto"/>
              <w:right w:val="single" w:sz="4" w:space="0" w:color="auto"/>
            </w:tcBorders>
            <w:shd w:val="clear" w:color="auto" w:fill="auto"/>
            <w:noWrap/>
          </w:tcPr>
          <w:p w14:paraId="14FB367F" w14:textId="6FC40416" w:rsidR="00F56A67" w:rsidRPr="00C40B71" w:rsidRDefault="00F56A67" w:rsidP="00AC5B73">
            <w:pPr>
              <w:jc w:val="right"/>
              <w:rPr>
                <w:rFonts w:cs="Arial"/>
                <w:szCs w:val="24"/>
                <w:lang w:eastAsia="en-GB"/>
              </w:rPr>
            </w:pPr>
            <w:r w:rsidRPr="00712673">
              <w:t>275</w:t>
            </w:r>
          </w:p>
        </w:tc>
        <w:tc>
          <w:tcPr>
            <w:tcW w:w="1815" w:type="dxa"/>
            <w:tcBorders>
              <w:top w:val="nil"/>
              <w:left w:val="nil"/>
              <w:bottom w:val="single" w:sz="4" w:space="0" w:color="auto"/>
              <w:right w:val="single" w:sz="4" w:space="0" w:color="auto"/>
            </w:tcBorders>
            <w:shd w:val="clear" w:color="auto" w:fill="auto"/>
            <w:noWrap/>
          </w:tcPr>
          <w:p w14:paraId="0466630F" w14:textId="4D822111" w:rsidR="00F56A67" w:rsidRPr="00C40B71" w:rsidRDefault="00F56A67" w:rsidP="00AC5B73">
            <w:pPr>
              <w:jc w:val="right"/>
              <w:rPr>
                <w:rFonts w:cs="Arial"/>
                <w:szCs w:val="24"/>
                <w:lang w:eastAsia="en-GB"/>
              </w:rPr>
            </w:pPr>
            <w:r w:rsidRPr="00B3332E">
              <w:t>12.9%</w:t>
            </w:r>
          </w:p>
        </w:tc>
        <w:tc>
          <w:tcPr>
            <w:tcW w:w="1815" w:type="dxa"/>
            <w:tcBorders>
              <w:top w:val="nil"/>
              <w:left w:val="nil"/>
              <w:bottom w:val="single" w:sz="4" w:space="0" w:color="auto"/>
              <w:right w:val="single" w:sz="4" w:space="0" w:color="auto"/>
            </w:tcBorders>
          </w:tcPr>
          <w:p w14:paraId="66F2DD69" w14:textId="32C44853" w:rsidR="00F56A67" w:rsidRPr="00C40B71" w:rsidRDefault="00F56A67" w:rsidP="00AC5B73">
            <w:pPr>
              <w:jc w:val="right"/>
              <w:rPr>
                <w:rFonts w:cs="Arial"/>
                <w:szCs w:val="24"/>
                <w:lang w:eastAsia="en-GB"/>
              </w:rPr>
            </w:pPr>
            <w:r w:rsidRPr="008B716A">
              <w:t>8.7%</w:t>
            </w:r>
          </w:p>
        </w:tc>
      </w:tr>
      <w:tr w:rsidR="00F56A67" w:rsidRPr="00705A09" w14:paraId="38E3CA82" w14:textId="77777777" w:rsidTr="005243A5">
        <w:trPr>
          <w:trHeight w:val="290"/>
          <w:jc w:val="center"/>
        </w:trPr>
        <w:tc>
          <w:tcPr>
            <w:tcW w:w="1814" w:type="dxa"/>
            <w:tcBorders>
              <w:top w:val="nil"/>
              <w:left w:val="single" w:sz="4" w:space="0" w:color="auto"/>
              <w:bottom w:val="single" w:sz="4" w:space="0" w:color="auto"/>
              <w:right w:val="single" w:sz="4" w:space="0" w:color="auto"/>
            </w:tcBorders>
            <w:shd w:val="clear" w:color="auto" w:fill="auto"/>
            <w:noWrap/>
            <w:vAlign w:val="bottom"/>
          </w:tcPr>
          <w:p w14:paraId="7F76C74F" w14:textId="3B75D6F5" w:rsidR="00F56A67" w:rsidRPr="00C40B71" w:rsidRDefault="00F56A67" w:rsidP="00AC5B73">
            <w:pPr>
              <w:rPr>
                <w:lang w:eastAsia="en-GB"/>
              </w:rPr>
            </w:pPr>
            <w:r w:rsidRPr="00C40B71">
              <w:rPr>
                <w:lang w:eastAsia="en-GB"/>
              </w:rPr>
              <w:t>50 to 54</w:t>
            </w:r>
          </w:p>
        </w:tc>
        <w:tc>
          <w:tcPr>
            <w:tcW w:w="1814" w:type="dxa"/>
            <w:tcBorders>
              <w:top w:val="nil"/>
              <w:left w:val="nil"/>
              <w:bottom w:val="single" w:sz="4" w:space="0" w:color="auto"/>
              <w:right w:val="single" w:sz="4" w:space="0" w:color="auto"/>
            </w:tcBorders>
            <w:shd w:val="clear" w:color="auto" w:fill="auto"/>
            <w:noWrap/>
            <w:vAlign w:val="bottom"/>
          </w:tcPr>
          <w:p w14:paraId="0AC91EFC" w14:textId="4A68C020" w:rsidR="00F56A67" w:rsidRPr="00C40B71" w:rsidRDefault="00F56A67" w:rsidP="00AC5B73">
            <w:pPr>
              <w:jc w:val="right"/>
              <w:rPr>
                <w:rFonts w:cs="Arial"/>
                <w:szCs w:val="24"/>
                <w:lang w:eastAsia="en-GB"/>
              </w:rPr>
            </w:pPr>
            <w:r w:rsidRPr="00C40B71">
              <w:rPr>
                <w:rFonts w:cs="Arial"/>
                <w:szCs w:val="24"/>
              </w:rPr>
              <w:t>21</w:t>
            </w:r>
          </w:p>
        </w:tc>
        <w:tc>
          <w:tcPr>
            <w:tcW w:w="1815" w:type="dxa"/>
            <w:tcBorders>
              <w:top w:val="nil"/>
              <w:left w:val="nil"/>
              <w:bottom w:val="single" w:sz="4" w:space="0" w:color="auto"/>
              <w:right w:val="single" w:sz="4" w:space="0" w:color="auto"/>
            </w:tcBorders>
            <w:shd w:val="clear" w:color="auto" w:fill="auto"/>
            <w:noWrap/>
          </w:tcPr>
          <w:p w14:paraId="60B651A2" w14:textId="23041061" w:rsidR="00F56A67" w:rsidRPr="00C40B71" w:rsidRDefault="00F56A67" w:rsidP="00AC5B73">
            <w:pPr>
              <w:jc w:val="right"/>
              <w:rPr>
                <w:rFonts w:cs="Arial"/>
                <w:szCs w:val="24"/>
                <w:lang w:eastAsia="en-GB"/>
              </w:rPr>
            </w:pPr>
            <w:r w:rsidRPr="00C76DAE">
              <w:t>8.1%</w:t>
            </w:r>
          </w:p>
        </w:tc>
        <w:tc>
          <w:tcPr>
            <w:tcW w:w="1814" w:type="dxa"/>
            <w:tcBorders>
              <w:top w:val="nil"/>
              <w:left w:val="nil"/>
              <w:bottom w:val="single" w:sz="4" w:space="0" w:color="auto"/>
              <w:right w:val="single" w:sz="4" w:space="0" w:color="auto"/>
            </w:tcBorders>
            <w:shd w:val="clear" w:color="auto" w:fill="auto"/>
            <w:noWrap/>
          </w:tcPr>
          <w:p w14:paraId="4D669482" w14:textId="4DDDB63B" w:rsidR="00F56A67" w:rsidRPr="00C40B71" w:rsidRDefault="00F56A67" w:rsidP="00AC5B73">
            <w:pPr>
              <w:jc w:val="right"/>
              <w:rPr>
                <w:rFonts w:cs="Arial"/>
                <w:szCs w:val="24"/>
                <w:lang w:eastAsia="en-GB"/>
              </w:rPr>
            </w:pPr>
            <w:r w:rsidRPr="00712673">
              <w:t>309</w:t>
            </w:r>
          </w:p>
        </w:tc>
        <w:tc>
          <w:tcPr>
            <w:tcW w:w="1815" w:type="dxa"/>
            <w:tcBorders>
              <w:top w:val="nil"/>
              <w:left w:val="nil"/>
              <w:bottom w:val="single" w:sz="4" w:space="0" w:color="auto"/>
              <w:right w:val="single" w:sz="4" w:space="0" w:color="auto"/>
            </w:tcBorders>
            <w:shd w:val="clear" w:color="auto" w:fill="auto"/>
            <w:noWrap/>
          </w:tcPr>
          <w:p w14:paraId="735C2533" w14:textId="143B5874" w:rsidR="00F56A67" w:rsidRPr="00C40B71" w:rsidRDefault="00F56A67" w:rsidP="00AC5B73">
            <w:pPr>
              <w:jc w:val="right"/>
              <w:rPr>
                <w:rFonts w:cs="Arial"/>
                <w:szCs w:val="24"/>
                <w:lang w:eastAsia="en-GB"/>
              </w:rPr>
            </w:pPr>
            <w:r w:rsidRPr="00B3332E">
              <w:t>14.5%</w:t>
            </w:r>
          </w:p>
        </w:tc>
        <w:tc>
          <w:tcPr>
            <w:tcW w:w="1815" w:type="dxa"/>
            <w:tcBorders>
              <w:top w:val="nil"/>
              <w:left w:val="nil"/>
              <w:bottom w:val="single" w:sz="4" w:space="0" w:color="auto"/>
              <w:right w:val="single" w:sz="4" w:space="0" w:color="auto"/>
            </w:tcBorders>
          </w:tcPr>
          <w:p w14:paraId="310C1DE6" w14:textId="5DF5D83F" w:rsidR="00F56A67" w:rsidRPr="00C40B71" w:rsidRDefault="00F56A67" w:rsidP="00AC5B73">
            <w:pPr>
              <w:jc w:val="right"/>
              <w:rPr>
                <w:rFonts w:cs="Arial"/>
                <w:szCs w:val="24"/>
                <w:lang w:eastAsia="en-GB"/>
              </w:rPr>
            </w:pPr>
            <w:r w:rsidRPr="008B716A">
              <w:t>6.8%</w:t>
            </w:r>
          </w:p>
        </w:tc>
      </w:tr>
      <w:tr w:rsidR="00F56A67" w:rsidRPr="00705A09" w14:paraId="79D17908" w14:textId="77777777" w:rsidTr="005243A5">
        <w:trPr>
          <w:trHeight w:val="290"/>
          <w:jc w:val="center"/>
        </w:trPr>
        <w:tc>
          <w:tcPr>
            <w:tcW w:w="1814" w:type="dxa"/>
            <w:tcBorders>
              <w:top w:val="nil"/>
              <w:left w:val="single" w:sz="4" w:space="0" w:color="auto"/>
              <w:bottom w:val="single" w:sz="4" w:space="0" w:color="auto"/>
              <w:right w:val="single" w:sz="4" w:space="0" w:color="auto"/>
            </w:tcBorders>
            <w:shd w:val="clear" w:color="auto" w:fill="auto"/>
            <w:noWrap/>
            <w:vAlign w:val="bottom"/>
          </w:tcPr>
          <w:p w14:paraId="15DCC1C9" w14:textId="0D1AF356" w:rsidR="00F56A67" w:rsidRPr="00C40B71" w:rsidRDefault="00F56A67" w:rsidP="00AC5B73">
            <w:pPr>
              <w:rPr>
                <w:lang w:eastAsia="en-GB"/>
              </w:rPr>
            </w:pPr>
            <w:r w:rsidRPr="00C40B71">
              <w:rPr>
                <w:lang w:eastAsia="en-GB"/>
              </w:rPr>
              <w:t>55 to 59</w:t>
            </w:r>
          </w:p>
        </w:tc>
        <w:tc>
          <w:tcPr>
            <w:tcW w:w="1814" w:type="dxa"/>
            <w:tcBorders>
              <w:top w:val="nil"/>
              <w:left w:val="nil"/>
              <w:bottom w:val="single" w:sz="4" w:space="0" w:color="auto"/>
              <w:right w:val="single" w:sz="4" w:space="0" w:color="auto"/>
            </w:tcBorders>
            <w:shd w:val="clear" w:color="auto" w:fill="auto"/>
            <w:noWrap/>
            <w:vAlign w:val="bottom"/>
          </w:tcPr>
          <w:p w14:paraId="5102E65A" w14:textId="0E9773D7" w:rsidR="00F56A67" w:rsidRPr="00C40B71" w:rsidRDefault="00F56A67" w:rsidP="00AC5B73">
            <w:pPr>
              <w:jc w:val="right"/>
              <w:rPr>
                <w:rFonts w:cs="Arial"/>
                <w:szCs w:val="24"/>
                <w:lang w:eastAsia="en-GB"/>
              </w:rPr>
            </w:pPr>
            <w:r w:rsidRPr="00C40B71">
              <w:rPr>
                <w:rFonts w:cs="Arial"/>
                <w:szCs w:val="24"/>
              </w:rPr>
              <w:t>23</w:t>
            </w:r>
          </w:p>
        </w:tc>
        <w:tc>
          <w:tcPr>
            <w:tcW w:w="1815" w:type="dxa"/>
            <w:tcBorders>
              <w:top w:val="nil"/>
              <w:left w:val="nil"/>
              <w:bottom w:val="single" w:sz="4" w:space="0" w:color="auto"/>
              <w:right w:val="single" w:sz="4" w:space="0" w:color="auto"/>
            </w:tcBorders>
            <w:shd w:val="clear" w:color="auto" w:fill="auto"/>
            <w:noWrap/>
          </w:tcPr>
          <w:p w14:paraId="774BFC95" w14:textId="6DF53014" w:rsidR="00F56A67" w:rsidRPr="00C40B71" w:rsidRDefault="00F56A67" w:rsidP="00AC5B73">
            <w:pPr>
              <w:jc w:val="right"/>
              <w:rPr>
                <w:rFonts w:cs="Arial"/>
                <w:szCs w:val="24"/>
                <w:lang w:eastAsia="en-GB"/>
              </w:rPr>
            </w:pPr>
            <w:r w:rsidRPr="00C76DAE">
              <w:t>8.9%</w:t>
            </w:r>
          </w:p>
        </w:tc>
        <w:tc>
          <w:tcPr>
            <w:tcW w:w="1814" w:type="dxa"/>
            <w:tcBorders>
              <w:top w:val="nil"/>
              <w:left w:val="nil"/>
              <w:bottom w:val="single" w:sz="4" w:space="0" w:color="auto"/>
              <w:right w:val="single" w:sz="4" w:space="0" w:color="auto"/>
            </w:tcBorders>
            <w:shd w:val="clear" w:color="auto" w:fill="auto"/>
            <w:noWrap/>
          </w:tcPr>
          <w:p w14:paraId="3925E3EE" w14:textId="4DA4C130" w:rsidR="00F56A67" w:rsidRPr="00C40B71" w:rsidRDefault="00F56A67" w:rsidP="00AC5B73">
            <w:pPr>
              <w:jc w:val="right"/>
              <w:rPr>
                <w:rFonts w:cs="Arial"/>
                <w:szCs w:val="24"/>
                <w:lang w:eastAsia="en-GB"/>
              </w:rPr>
            </w:pPr>
            <w:r w:rsidRPr="00712673">
              <w:t>260</w:t>
            </w:r>
          </w:p>
        </w:tc>
        <w:tc>
          <w:tcPr>
            <w:tcW w:w="1815" w:type="dxa"/>
            <w:tcBorders>
              <w:top w:val="nil"/>
              <w:left w:val="nil"/>
              <w:bottom w:val="single" w:sz="4" w:space="0" w:color="auto"/>
              <w:right w:val="single" w:sz="4" w:space="0" w:color="auto"/>
            </w:tcBorders>
            <w:shd w:val="clear" w:color="auto" w:fill="auto"/>
            <w:noWrap/>
          </w:tcPr>
          <w:p w14:paraId="7DA5E86A" w14:textId="43BD145C" w:rsidR="00F56A67" w:rsidRPr="00C40B71" w:rsidRDefault="00F56A67" w:rsidP="00AC5B73">
            <w:pPr>
              <w:jc w:val="right"/>
              <w:rPr>
                <w:rFonts w:cs="Arial"/>
                <w:szCs w:val="24"/>
                <w:lang w:eastAsia="en-GB"/>
              </w:rPr>
            </w:pPr>
            <w:r w:rsidRPr="00B3332E">
              <w:t>12.2%</w:t>
            </w:r>
          </w:p>
        </w:tc>
        <w:tc>
          <w:tcPr>
            <w:tcW w:w="1815" w:type="dxa"/>
            <w:tcBorders>
              <w:top w:val="nil"/>
              <w:left w:val="nil"/>
              <w:bottom w:val="single" w:sz="4" w:space="0" w:color="auto"/>
              <w:right w:val="single" w:sz="4" w:space="0" w:color="auto"/>
            </w:tcBorders>
          </w:tcPr>
          <w:p w14:paraId="60D22B3C" w14:textId="07240D32" w:rsidR="00F56A67" w:rsidRPr="00C40B71" w:rsidRDefault="00F56A67" w:rsidP="00AC5B73">
            <w:pPr>
              <w:jc w:val="right"/>
              <w:rPr>
                <w:rFonts w:cs="Arial"/>
                <w:szCs w:val="24"/>
                <w:lang w:eastAsia="en-GB"/>
              </w:rPr>
            </w:pPr>
            <w:r w:rsidRPr="008B716A">
              <w:t>8.8%</w:t>
            </w:r>
          </w:p>
        </w:tc>
      </w:tr>
      <w:tr w:rsidR="00F56A67" w:rsidRPr="00705A09" w14:paraId="61A11071" w14:textId="77777777" w:rsidTr="005243A5">
        <w:trPr>
          <w:trHeight w:val="290"/>
          <w:jc w:val="center"/>
        </w:trPr>
        <w:tc>
          <w:tcPr>
            <w:tcW w:w="1814" w:type="dxa"/>
            <w:tcBorders>
              <w:top w:val="nil"/>
              <w:left w:val="single" w:sz="4" w:space="0" w:color="auto"/>
              <w:bottom w:val="single" w:sz="4" w:space="0" w:color="auto"/>
              <w:right w:val="single" w:sz="4" w:space="0" w:color="auto"/>
            </w:tcBorders>
            <w:shd w:val="clear" w:color="auto" w:fill="auto"/>
            <w:noWrap/>
            <w:vAlign w:val="bottom"/>
          </w:tcPr>
          <w:p w14:paraId="741D18BF" w14:textId="6B2BB74E" w:rsidR="00F56A67" w:rsidRPr="00C40B71" w:rsidRDefault="00F56A67" w:rsidP="00AC5B73">
            <w:pPr>
              <w:rPr>
                <w:lang w:eastAsia="en-GB"/>
              </w:rPr>
            </w:pPr>
            <w:r w:rsidRPr="00C40B71">
              <w:rPr>
                <w:lang w:eastAsia="en-GB"/>
              </w:rPr>
              <w:t>60 to 64</w:t>
            </w:r>
          </w:p>
        </w:tc>
        <w:tc>
          <w:tcPr>
            <w:tcW w:w="1814" w:type="dxa"/>
            <w:tcBorders>
              <w:top w:val="nil"/>
              <w:left w:val="nil"/>
              <w:bottom w:val="single" w:sz="4" w:space="0" w:color="auto"/>
              <w:right w:val="single" w:sz="4" w:space="0" w:color="auto"/>
            </w:tcBorders>
            <w:shd w:val="clear" w:color="auto" w:fill="auto"/>
            <w:noWrap/>
            <w:vAlign w:val="bottom"/>
          </w:tcPr>
          <w:p w14:paraId="1B4B4682" w14:textId="38408321" w:rsidR="00F56A67" w:rsidRPr="00C40B71" w:rsidRDefault="00F56A67" w:rsidP="00AC5B73">
            <w:pPr>
              <w:jc w:val="right"/>
              <w:rPr>
                <w:rFonts w:cs="Arial"/>
                <w:szCs w:val="24"/>
                <w:lang w:eastAsia="en-GB"/>
              </w:rPr>
            </w:pPr>
            <w:r w:rsidRPr="00C40B71">
              <w:rPr>
                <w:rFonts w:cs="Arial"/>
                <w:szCs w:val="24"/>
              </w:rPr>
              <w:t>20</w:t>
            </w:r>
          </w:p>
        </w:tc>
        <w:tc>
          <w:tcPr>
            <w:tcW w:w="1815" w:type="dxa"/>
            <w:tcBorders>
              <w:top w:val="nil"/>
              <w:left w:val="nil"/>
              <w:bottom w:val="single" w:sz="4" w:space="0" w:color="auto"/>
              <w:right w:val="single" w:sz="4" w:space="0" w:color="auto"/>
            </w:tcBorders>
            <w:shd w:val="clear" w:color="auto" w:fill="auto"/>
            <w:noWrap/>
          </w:tcPr>
          <w:p w14:paraId="31DCAB17" w14:textId="72425D1C" w:rsidR="00F56A67" w:rsidRPr="00C40B71" w:rsidRDefault="00F56A67" w:rsidP="00AC5B73">
            <w:pPr>
              <w:jc w:val="right"/>
              <w:rPr>
                <w:rFonts w:cs="Arial"/>
                <w:szCs w:val="24"/>
                <w:lang w:eastAsia="en-GB"/>
              </w:rPr>
            </w:pPr>
            <w:r w:rsidRPr="00C76DAE">
              <w:t>7.7%</w:t>
            </w:r>
          </w:p>
        </w:tc>
        <w:tc>
          <w:tcPr>
            <w:tcW w:w="1814" w:type="dxa"/>
            <w:tcBorders>
              <w:top w:val="nil"/>
              <w:left w:val="nil"/>
              <w:bottom w:val="single" w:sz="4" w:space="0" w:color="auto"/>
              <w:right w:val="single" w:sz="4" w:space="0" w:color="auto"/>
            </w:tcBorders>
            <w:shd w:val="clear" w:color="auto" w:fill="auto"/>
            <w:noWrap/>
          </w:tcPr>
          <w:p w14:paraId="799C5E3B" w14:textId="44941A6A" w:rsidR="00F56A67" w:rsidRPr="00C40B71" w:rsidRDefault="00F56A67" w:rsidP="00AC5B73">
            <w:pPr>
              <w:jc w:val="right"/>
              <w:rPr>
                <w:rFonts w:cs="Arial"/>
                <w:szCs w:val="24"/>
                <w:lang w:eastAsia="en-GB"/>
              </w:rPr>
            </w:pPr>
            <w:r w:rsidRPr="00712673">
              <w:t>134</w:t>
            </w:r>
          </w:p>
        </w:tc>
        <w:tc>
          <w:tcPr>
            <w:tcW w:w="1815" w:type="dxa"/>
            <w:tcBorders>
              <w:top w:val="nil"/>
              <w:left w:val="nil"/>
              <w:bottom w:val="single" w:sz="4" w:space="0" w:color="auto"/>
              <w:right w:val="single" w:sz="4" w:space="0" w:color="auto"/>
            </w:tcBorders>
            <w:shd w:val="clear" w:color="auto" w:fill="auto"/>
            <w:noWrap/>
          </w:tcPr>
          <w:p w14:paraId="7ED7E535" w14:textId="47C2EC6E" w:rsidR="00F56A67" w:rsidRPr="00C40B71" w:rsidRDefault="00F56A67" w:rsidP="00AC5B73">
            <w:pPr>
              <w:jc w:val="right"/>
              <w:rPr>
                <w:rFonts w:cs="Arial"/>
                <w:szCs w:val="24"/>
                <w:lang w:eastAsia="en-GB"/>
              </w:rPr>
            </w:pPr>
            <w:r w:rsidRPr="00B3332E">
              <w:t>6.3%</w:t>
            </w:r>
          </w:p>
        </w:tc>
        <w:tc>
          <w:tcPr>
            <w:tcW w:w="1815" w:type="dxa"/>
            <w:tcBorders>
              <w:top w:val="nil"/>
              <w:left w:val="nil"/>
              <w:bottom w:val="single" w:sz="4" w:space="0" w:color="auto"/>
              <w:right w:val="single" w:sz="4" w:space="0" w:color="auto"/>
            </w:tcBorders>
          </w:tcPr>
          <w:p w14:paraId="3B81121F" w14:textId="38B3F787" w:rsidR="00F56A67" w:rsidRPr="00C40B71" w:rsidRDefault="00F56A67" w:rsidP="00AC5B73">
            <w:pPr>
              <w:jc w:val="right"/>
              <w:rPr>
                <w:rFonts w:cs="Arial"/>
                <w:szCs w:val="24"/>
                <w:lang w:eastAsia="en-GB"/>
              </w:rPr>
            </w:pPr>
            <w:r w:rsidRPr="008B716A">
              <w:t>14.9%</w:t>
            </w:r>
          </w:p>
        </w:tc>
      </w:tr>
      <w:tr w:rsidR="00F56A67" w:rsidRPr="00705A09" w14:paraId="0795FC60" w14:textId="77777777" w:rsidTr="005243A5">
        <w:trPr>
          <w:trHeight w:val="290"/>
          <w:jc w:val="center"/>
        </w:trPr>
        <w:tc>
          <w:tcPr>
            <w:tcW w:w="1814" w:type="dxa"/>
            <w:tcBorders>
              <w:top w:val="nil"/>
              <w:left w:val="single" w:sz="4" w:space="0" w:color="auto"/>
              <w:bottom w:val="single" w:sz="4" w:space="0" w:color="auto"/>
              <w:right w:val="single" w:sz="4" w:space="0" w:color="auto"/>
            </w:tcBorders>
            <w:shd w:val="clear" w:color="auto" w:fill="auto"/>
            <w:noWrap/>
            <w:vAlign w:val="bottom"/>
          </w:tcPr>
          <w:p w14:paraId="7B00AF71" w14:textId="720B5B21" w:rsidR="00F56A67" w:rsidRPr="00C40B71" w:rsidRDefault="00F56A67" w:rsidP="00AC5B73">
            <w:pPr>
              <w:rPr>
                <w:lang w:eastAsia="en-GB"/>
              </w:rPr>
            </w:pPr>
            <w:r w:rsidRPr="00C40B71">
              <w:rPr>
                <w:lang w:eastAsia="en-GB"/>
              </w:rPr>
              <w:t>65 plus</w:t>
            </w:r>
          </w:p>
        </w:tc>
        <w:tc>
          <w:tcPr>
            <w:tcW w:w="1814" w:type="dxa"/>
            <w:tcBorders>
              <w:top w:val="nil"/>
              <w:left w:val="nil"/>
              <w:bottom w:val="single" w:sz="4" w:space="0" w:color="auto"/>
              <w:right w:val="single" w:sz="4" w:space="0" w:color="auto"/>
            </w:tcBorders>
            <w:shd w:val="clear" w:color="auto" w:fill="auto"/>
            <w:noWrap/>
            <w:vAlign w:val="bottom"/>
          </w:tcPr>
          <w:p w14:paraId="64576D92" w14:textId="1A09D462" w:rsidR="00F56A67" w:rsidRPr="00C40B71" w:rsidRDefault="00F56A67" w:rsidP="00AC5B73">
            <w:pPr>
              <w:jc w:val="right"/>
              <w:rPr>
                <w:rFonts w:cs="Arial"/>
                <w:szCs w:val="24"/>
                <w:lang w:eastAsia="en-GB"/>
              </w:rPr>
            </w:pPr>
            <w:r w:rsidRPr="00C40B71">
              <w:rPr>
                <w:rFonts w:cs="Arial"/>
                <w:szCs w:val="24"/>
              </w:rPr>
              <w:t>9</w:t>
            </w:r>
          </w:p>
        </w:tc>
        <w:tc>
          <w:tcPr>
            <w:tcW w:w="1815" w:type="dxa"/>
            <w:tcBorders>
              <w:top w:val="nil"/>
              <w:left w:val="nil"/>
              <w:bottom w:val="single" w:sz="4" w:space="0" w:color="auto"/>
              <w:right w:val="single" w:sz="4" w:space="0" w:color="auto"/>
            </w:tcBorders>
            <w:shd w:val="clear" w:color="auto" w:fill="auto"/>
            <w:noWrap/>
          </w:tcPr>
          <w:p w14:paraId="09136D0F" w14:textId="76FAE019" w:rsidR="00F56A67" w:rsidRPr="00C40B71" w:rsidRDefault="00F56A67" w:rsidP="00AC5B73">
            <w:pPr>
              <w:jc w:val="right"/>
              <w:rPr>
                <w:rFonts w:cs="Arial"/>
                <w:szCs w:val="24"/>
                <w:lang w:eastAsia="en-GB"/>
              </w:rPr>
            </w:pPr>
            <w:r w:rsidRPr="00C76DAE">
              <w:t>3.5%</w:t>
            </w:r>
          </w:p>
        </w:tc>
        <w:tc>
          <w:tcPr>
            <w:tcW w:w="1814" w:type="dxa"/>
            <w:tcBorders>
              <w:top w:val="nil"/>
              <w:left w:val="nil"/>
              <w:bottom w:val="single" w:sz="4" w:space="0" w:color="auto"/>
              <w:right w:val="single" w:sz="4" w:space="0" w:color="auto"/>
            </w:tcBorders>
            <w:shd w:val="clear" w:color="auto" w:fill="auto"/>
            <w:noWrap/>
          </w:tcPr>
          <w:p w14:paraId="494B84F5" w14:textId="00C63565" w:rsidR="00F56A67" w:rsidRPr="00C40B71" w:rsidRDefault="00F56A67" w:rsidP="00AC5B73">
            <w:pPr>
              <w:jc w:val="right"/>
              <w:rPr>
                <w:rFonts w:cs="Arial"/>
                <w:szCs w:val="24"/>
                <w:lang w:eastAsia="en-GB"/>
              </w:rPr>
            </w:pPr>
            <w:r w:rsidRPr="00712673">
              <w:t>35</w:t>
            </w:r>
          </w:p>
        </w:tc>
        <w:tc>
          <w:tcPr>
            <w:tcW w:w="1815" w:type="dxa"/>
            <w:tcBorders>
              <w:top w:val="nil"/>
              <w:left w:val="nil"/>
              <w:bottom w:val="single" w:sz="4" w:space="0" w:color="auto"/>
              <w:right w:val="single" w:sz="4" w:space="0" w:color="auto"/>
            </w:tcBorders>
            <w:shd w:val="clear" w:color="auto" w:fill="auto"/>
            <w:noWrap/>
          </w:tcPr>
          <w:p w14:paraId="713880CB" w14:textId="1BF51E17" w:rsidR="00F56A67" w:rsidRPr="00C40B71" w:rsidRDefault="00F56A67" w:rsidP="00AC5B73">
            <w:pPr>
              <w:jc w:val="right"/>
              <w:rPr>
                <w:rFonts w:cs="Arial"/>
                <w:szCs w:val="24"/>
                <w:lang w:eastAsia="en-GB"/>
              </w:rPr>
            </w:pPr>
            <w:r w:rsidRPr="00B3332E">
              <w:t>1.6%</w:t>
            </w:r>
          </w:p>
        </w:tc>
        <w:tc>
          <w:tcPr>
            <w:tcW w:w="1815" w:type="dxa"/>
            <w:tcBorders>
              <w:top w:val="nil"/>
              <w:left w:val="nil"/>
              <w:bottom w:val="single" w:sz="4" w:space="0" w:color="auto"/>
              <w:right w:val="single" w:sz="4" w:space="0" w:color="auto"/>
            </w:tcBorders>
          </w:tcPr>
          <w:p w14:paraId="1FB1EB20" w14:textId="2BD3A91C" w:rsidR="00F56A67" w:rsidRPr="00C40B71" w:rsidRDefault="00F56A67" w:rsidP="00AC5B73">
            <w:pPr>
              <w:jc w:val="right"/>
              <w:rPr>
                <w:rFonts w:cs="Arial"/>
                <w:szCs w:val="24"/>
                <w:lang w:eastAsia="en-GB"/>
              </w:rPr>
            </w:pPr>
            <w:r w:rsidRPr="008B716A">
              <w:t>25.7%</w:t>
            </w:r>
          </w:p>
        </w:tc>
      </w:tr>
      <w:tr w:rsidR="00F56A67" w:rsidRPr="00C40B71" w14:paraId="13229859" w14:textId="77777777" w:rsidTr="005243A5">
        <w:trPr>
          <w:trHeight w:val="290"/>
          <w:jc w:val="center"/>
        </w:trPr>
        <w:tc>
          <w:tcPr>
            <w:tcW w:w="1814" w:type="dxa"/>
            <w:tcBorders>
              <w:top w:val="nil"/>
              <w:left w:val="single" w:sz="4" w:space="0" w:color="auto"/>
              <w:bottom w:val="single" w:sz="4" w:space="0" w:color="auto"/>
              <w:right w:val="single" w:sz="4" w:space="0" w:color="auto"/>
            </w:tcBorders>
            <w:shd w:val="clear" w:color="auto" w:fill="auto"/>
            <w:noWrap/>
            <w:vAlign w:val="bottom"/>
            <w:hideMark/>
          </w:tcPr>
          <w:p w14:paraId="76560918" w14:textId="16DCB335" w:rsidR="00F56A67" w:rsidRPr="00C40B71" w:rsidRDefault="00F56A67" w:rsidP="00AC5B73">
            <w:pPr>
              <w:rPr>
                <w:lang w:eastAsia="en-GB"/>
              </w:rPr>
            </w:pPr>
            <w:r w:rsidRPr="00C40B71">
              <w:rPr>
                <w:lang w:eastAsia="en-GB"/>
              </w:rPr>
              <w:t>Total</w:t>
            </w:r>
          </w:p>
        </w:tc>
        <w:tc>
          <w:tcPr>
            <w:tcW w:w="1814" w:type="dxa"/>
            <w:tcBorders>
              <w:top w:val="nil"/>
              <w:left w:val="nil"/>
              <w:bottom w:val="single" w:sz="4" w:space="0" w:color="auto"/>
              <w:right w:val="single" w:sz="4" w:space="0" w:color="auto"/>
            </w:tcBorders>
            <w:shd w:val="clear" w:color="auto" w:fill="auto"/>
            <w:noWrap/>
            <w:vAlign w:val="bottom"/>
          </w:tcPr>
          <w:p w14:paraId="5DA7E76F" w14:textId="0E632C77" w:rsidR="00F56A67" w:rsidRPr="00C40B71" w:rsidRDefault="00F56A67" w:rsidP="00AC5B73">
            <w:pPr>
              <w:jc w:val="right"/>
              <w:rPr>
                <w:rFonts w:cs="Arial"/>
                <w:szCs w:val="24"/>
                <w:lang w:eastAsia="en-GB"/>
              </w:rPr>
            </w:pPr>
            <w:r w:rsidRPr="00C40B71">
              <w:rPr>
                <w:rFonts w:cs="Arial"/>
                <w:szCs w:val="24"/>
                <w:lang w:eastAsia="en-GB"/>
              </w:rPr>
              <w:t>259</w:t>
            </w:r>
          </w:p>
        </w:tc>
        <w:tc>
          <w:tcPr>
            <w:tcW w:w="1815" w:type="dxa"/>
            <w:tcBorders>
              <w:top w:val="nil"/>
              <w:left w:val="nil"/>
              <w:bottom w:val="single" w:sz="4" w:space="0" w:color="auto"/>
              <w:right w:val="single" w:sz="4" w:space="0" w:color="auto"/>
            </w:tcBorders>
            <w:shd w:val="clear" w:color="auto" w:fill="auto"/>
            <w:noWrap/>
          </w:tcPr>
          <w:p w14:paraId="0D668823" w14:textId="2CFE1AFF" w:rsidR="00F56A67" w:rsidRPr="00C40B71" w:rsidRDefault="00F56A67" w:rsidP="00AC5B73">
            <w:pPr>
              <w:jc w:val="right"/>
              <w:rPr>
                <w:rFonts w:cs="Arial"/>
                <w:szCs w:val="24"/>
                <w:lang w:eastAsia="en-GB"/>
              </w:rPr>
            </w:pPr>
            <w:r w:rsidRPr="00C76DAE">
              <w:t>100.0%</w:t>
            </w:r>
          </w:p>
        </w:tc>
        <w:tc>
          <w:tcPr>
            <w:tcW w:w="1814" w:type="dxa"/>
            <w:tcBorders>
              <w:top w:val="nil"/>
              <w:left w:val="nil"/>
              <w:bottom w:val="single" w:sz="4" w:space="0" w:color="auto"/>
              <w:right w:val="single" w:sz="4" w:space="0" w:color="auto"/>
            </w:tcBorders>
            <w:shd w:val="clear" w:color="auto" w:fill="auto"/>
            <w:noWrap/>
          </w:tcPr>
          <w:p w14:paraId="31814F07" w14:textId="4EFB11D9" w:rsidR="00F56A67" w:rsidRPr="00C40B71" w:rsidRDefault="00F56A67" w:rsidP="00AC5B73">
            <w:pPr>
              <w:jc w:val="right"/>
              <w:rPr>
                <w:rFonts w:cs="Arial"/>
                <w:szCs w:val="24"/>
                <w:lang w:eastAsia="en-GB"/>
              </w:rPr>
            </w:pPr>
            <w:r w:rsidRPr="00712673">
              <w:t>2134</w:t>
            </w:r>
          </w:p>
        </w:tc>
        <w:tc>
          <w:tcPr>
            <w:tcW w:w="1815" w:type="dxa"/>
            <w:tcBorders>
              <w:top w:val="nil"/>
              <w:left w:val="nil"/>
              <w:bottom w:val="single" w:sz="4" w:space="0" w:color="auto"/>
              <w:right w:val="single" w:sz="4" w:space="0" w:color="auto"/>
            </w:tcBorders>
            <w:shd w:val="clear" w:color="auto" w:fill="auto"/>
            <w:noWrap/>
          </w:tcPr>
          <w:p w14:paraId="48C18EBE" w14:textId="23DA579E" w:rsidR="00F56A67" w:rsidRPr="00C40B71" w:rsidRDefault="00F56A67" w:rsidP="00AC5B73">
            <w:pPr>
              <w:jc w:val="right"/>
              <w:rPr>
                <w:rFonts w:cs="Arial"/>
                <w:szCs w:val="24"/>
                <w:lang w:eastAsia="en-GB"/>
              </w:rPr>
            </w:pPr>
            <w:r w:rsidRPr="00B3332E">
              <w:t>100.0%</w:t>
            </w:r>
          </w:p>
        </w:tc>
        <w:tc>
          <w:tcPr>
            <w:tcW w:w="1815" w:type="dxa"/>
            <w:tcBorders>
              <w:top w:val="nil"/>
              <w:left w:val="nil"/>
              <w:bottom w:val="single" w:sz="4" w:space="0" w:color="auto"/>
              <w:right w:val="single" w:sz="4" w:space="0" w:color="auto"/>
            </w:tcBorders>
          </w:tcPr>
          <w:p w14:paraId="448DE8A3" w14:textId="486CF415" w:rsidR="00F56A67" w:rsidRPr="00C40B71" w:rsidRDefault="00F56A67" w:rsidP="00AC5B73">
            <w:pPr>
              <w:jc w:val="right"/>
              <w:rPr>
                <w:rFonts w:cs="Arial"/>
                <w:szCs w:val="24"/>
                <w:lang w:eastAsia="en-GB"/>
              </w:rPr>
            </w:pPr>
            <w:r w:rsidRPr="008B716A">
              <w:t>12.1%</w:t>
            </w:r>
          </w:p>
        </w:tc>
      </w:tr>
    </w:tbl>
    <w:p w14:paraId="607A1D6B" w14:textId="77777777" w:rsidR="0071706C" w:rsidRDefault="0071706C" w:rsidP="00AC5B73"/>
    <w:p w14:paraId="42F3D0AB" w14:textId="77777777" w:rsidR="0071706C" w:rsidRDefault="0071706C" w:rsidP="0071706C">
      <w:pPr>
        <w:pStyle w:val="Heading3"/>
      </w:pPr>
      <w:bookmarkStart w:id="85" w:name="_Toc108076915"/>
      <w:r>
        <w:t>Intersectionality</w:t>
      </w:r>
      <w:bookmarkEnd w:id="85"/>
    </w:p>
    <w:p w14:paraId="5621E3C7" w14:textId="77777777" w:rsidR="00332CE6" w:rsidRDefault="0071706C" w:rsidP="00AC5B73">
      <w:r>
        <w:t>Having examined breakdown both by sex and age, it is interesting to consider the intersection of the two.  By considering the age profiles of males and females separately</w:t>
      </w:r>
      <w:r w:rsidR="00332CE6">
        <w:t>, two distinct age distributions can be seen.</w:t>
      </w:r>
    </w:p>
    <w:p w14:paraId="6CF4AFCF" w14:textId="77777777" w:rsidR="00332CE6" w:rsidRDefault="00332CE6" w:rsidP="00AC5B73"/>
    <w:p w14:paraId="029D1B15" w14:textId="77777777" w:rsidR="00332CE6" w:rsidRDefault="00332CE6" w:rsidP="00AC5B73">
      <w:r>
        <w:rPr>
          <w:noProof/>
          <w:lang w:eastAsia="en-GB"/>
        </w:rPr>
        <w:drawing>
          <wp:inline distT="0" distB="0" distL="0" distR="0" wp14:anchorId="3DBE849E" wp14:editId="10234AE3">
            <wp:extent cx="6781800" cy="209550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32DFE54D" w14:textId="6B15F3A1" w:rsidR="00332CE6" w:rsidRDefault="00332CE6" w:rsidP="00AC5B73"/>
    <w:p w14:paraId="371D083D" w14:textId="28469086" w:rsidR="00332CE6" w:rsidRDefault="00332CE6" w:rsidP="00AC5B73">
      <w:r>
        <w:t>The plot above shows that male and female staff have different age distributions. Male staff fall into a single distribution, which peaks at 50 – 54 years, with a long tail to younger ages, while female staff seem to be composed of two distinct age distributions: an older cohort, with a mean age of 50 – 54; and a younger cohort, with a mean age between 30 – 39. This has implications for the ageing workforce.  Unless more young, male staff are on boarded to the organisation, as this older cohort of staff ages out or the workforce, the balance of female-to-male staff will swing more heavily towards female staff.</w:t>
      </w:r>
    </w:p>
    <w:p w14:paraId="3FF5E922" w14:textId="09885770" w:rsidR="00332CE6" w:rsidRDefault="00332CE6" w:rsidP="00AC5B73"/>
    <w:p w14:paraId="4E8F0E65" w14:textId="77777777" w:rsidR="00332CE6" w:rsidRDefault="00332CE6" w:rsidP="00AC5B73"/>
    <w:p w14:paraId="4B217F4F" w14:textId="4CCB6B4A" w:rsidR="001A0A42" w:rsidRPr="00F825B7" w:rsidRDefault="001A0A42" w:rsidP="00AC5B73">
      <w:pPr>
        <w:rPr>
          <w:rFonts w:eastAsiaTheme="majorEastAsia"/>
          <w:b/>
          <w:bCs/>
          <w:sz w:val="28"/>
          <w:szCs w:val="26"/>
        </w:rPr>
      </w:pPr>
      <w:r w:rsidRPr="00F825B7">
        <w:br w:type="page"/>
      </w:r>
    </w:p>
    <w:p w14:paraId="5F1DD004" w14:textId="347FA827" w:rsidR="00C06EE9" w:rsidRDefault="00C06EE9" w:rsidP="00AC5B73">
      <w:pPr>
        <w:pStyle w:val="Heading2"/>
        <w:rPr>
          <w:rFonts w:cs="Arial"/>
        </w:rPr>
      </w:pPr>
      <w:bookmarkStart w:id="86" w:name="_Toc76025118"/>
      <w:bookmarkStart w:id="87" w:name="_Toc108076916"/>
      <w:r w:rsidRPr="00F825B7">
        <w:rPr>
          <w:rFonts w:cs="Arial"/>
        </w:rPr>
        <w:lastRenderedPageBreak/>
        <w:t>Race</w:t>
      </w:r>
      <w:bookmarkEnd w:id="86"/>
      <w:bookmarkEnd w:id="87"/>
    </w:p>
    <w:p w14:paraId="2062B703" w14:textId="21F2E6F7" w:rsidR="006226E9" w:rsidRDefault="006226E9" w:rsidP="00AC5B73">
      <w:pPr>
        <w:pStyle w:val="Heading3"/>
      </w:pPr>
      <w:bookmarkStart w:id="88" w:name="_Toc108076917"/>
      <w:r>
        <w:t>Definitions</w:t>
      </w:r>
      <w:bookmarkEnd w:id="88"/>
    </w:p>
    <w:p w14:paraId="4E0E97F8" w14:textId="6D2C37F9" w:rsidR="006226E9" w:rsidRDefault="006226E9" w:rsidP="00AC5B73">
      <w:r>
        <w:t>In this section, where “White” is used to categorise members of the Workforce, it includes staff who self-identified as:</w:t>
      </w:r>
    </w:p>
    <w:p w14:paraId="330EDA43" w14:textId="34F77C63" w:rsidR="006226E9" w:rsidRDefault="006226E9" w:rsidP="00AC5B73">
      <w:pPr>
        <w:pStyle w:val="ListParagraph"/>
        <w:numPr>
          <w:ilvl w:val="0"/>
          <w:numId w:val="29"/>
        </w:numPr>
      </w:pPr>
      <w:r>
        <w:t>White – Scottish;</w:t>
      </w:r>
    </w:p>
    <w:p w14:paraId="395C80CE" w14:textId="05BEA158" w:rsidR="006226E9" w:rsidRDefault="006226E9" w:rsidP="00AC5B73">
      <w:pPr>
        <w:pStyle w:val="ListParagraph"/>
        <w:numPr>
          <w:ilvl w:val="0"/>
          <w:numId w:val="29"/>
        </w:numPr>
      </w:pPr>
      <w:r>
        <w:t>White – Other British;</w:t>
      </w:r>
    </w:p>
    <w:p w14:paraId="7D406413" w14:textId="689ED62A" w:rsidR="006226E9" w:rsidRDefault="006226E9" w:rsidP="00AC5B73">
      <w:pPr>
        <w:pStyle w:val="ListParagraph"/>
        <w:numPr>
          <w:ilvl w:val="0"/>
          <w:numId w:val="29"/>
        </w:numPr>
      </w:pPr>
      <w:r>
        <w:t>White – Irish;</w:t>
      </w:r>
    </w:p>
    <w:p w14:paraId="308B0318" w14:textId="7D5E664F" w:rsidR="006226E9" w:rsidRDefault="006226E9" w:rsidP="00AC5B73">
      <w:pPr>
        <w:pStyle w:val="ListParagraph"/>
        <w:numPr>
          <w:ilvl w:val="0"/>
          <w:numId w:val="29"/>
        </w:numPr>
      </w:pPr>
      <w:r>
        <w:t>White – Polish;</w:t>
      </w:r>
    </w:p>
    <w:p w14:paraId="72428FE7" w14:textId="77777777" w:rsidR="00736821" w:rsidRDefault="006226E9" w:rsidP="00AC5B73">
      <w:pPr>
        <w:pStyle w:val="ListParagraph"/>
        <w:numPr>
          <w:ilvl w:val="0"/>
          <w:numId w:val="29"/>
        </w:numPr>
      </w:pPr>
      <w:r>
        <w:t xml:space="preserve">White </w:t>
      </w:r>
      <w:r w:rsidR="00736821">
        <w:t>–</w:t>
      </w:r>
      <w:r>
        <w:t xml:space="preserve"> Other</w:t>
      </w:r>
      <w:r w:rsidR="00736821">
        <w:t>; or</w:t>
      </w:r>
    </w:p>
    <w:p w14:paraId="612A2CC3" w14:textId="236276EB" w:rsidR="00736821" w:rsidRDefault="00736821" w:rsidP="00AC5B73">
      <w:pPr>
        <w:pStyle w:val="ListParagraph"/>
        <w:numPr>
          <w:ilvl w:val="0"/>
          <w:numId w:val="29"/>
        </w:numPr>
      </w:pPr>
      <w:r>
        <w:t>White – Gypsy Traveller.</w:t>
      </w:r>
    </w:p>
    <w:p w14:paraId="1378DC8E" w14:textId="1127D933" w:rsidR="00736821" w:rsidRDefault="00736821" w:rsidP="00AC5B73"/>
    <w:p w14:paraId="40C42FED" w14:textId="29D72189" w:rsidR="00736821" w:rsidRDefault="00736821" w:rsidP="00AC5B73">
      <w:r>
        <w:t>Similarly, the grouping of Black and Minority Ethnic (BAME) members of the workforce, includes staff who self-identified as:</w:t>
      </w:r>
    </w:p>
    <w:p w14:paraId="3D2E5AF0" w14:textId="1DEAB55C" w:rsidR="00736821" w:rsidRDefault="00736821" w:rsidP="00AC5B73">
      <w:pPr>
        <w:pStyle w:val="ListParagraph"/>
        <w:numPr>
          <w:ilvl w:val="0"/>
          <w:numId w:val="30"/>
        </w:numPr>
      </w:pPr>
      <w:r>
        <w:t>African – African, African Scottish or African British (shortened below to “African”);</w:t>
      </w:r>
    </w:p>
    <w:p w14:paraId="10D040D2" w14:textId="1E1DA3CA" w:rsidR="00736821" w:rsidRDefault="00736821" w:rsidP="00AC5B73">
      <w:pPr>
        <w:pStyle w:val="ListParagraph"/>
        <w:numPr>
          <w:ilvl w:val="0"/>
          <w:numId w:val="30"/>
        </w:numPr>
      </w:pPr>
      <w:r>
        <w:t>African – Other;</w:t>
      </w:r>
    </w:p>
    <w:p w14:paraId="72215013" w14:textId="037EF0F5" w:rsidR="00736821" w:rsidRDefault="00736821" w:rsidP="00AC5B73">
      <w:pPr>
        <w:pStyle w:val="ListParagraph"/>
        <w:numPr>
          <w:ilvl w:val="0"/>
          <w:numId w:val="30"/>
        </w:numPr>
      </w:pPr>
      <w:r>
        <w:t>Asian – Bangladeshi, Bangladeshi Scottish or Bangladeshi British (shortened below to “Asian - Bangladeshi”);</w:t>
      </w:r>
    </w:p>
    <w:p w14:paraId="37EE904A" w14:textId="6D59727A" w:rsidR="00736821" w:rsidRDefault="00736821" w:rsidP="00AC5B73">
      <w:pPr>
        <w:pStyle w:val="ListParagraph"/>
        <w:numPr>
          <w:ilvl w:val="0"/>
          <w:numId w:val="30"/>
        </w:numPr>
      </w:pPr>
      <w:r>
        <w:t>Asian – Chinese, Chinese Scottish or Chinese British (shortened below to “Asian – Chinese”);</w:t>
      </w:r>
    </w:p>
    <w:p w14:paraId="1B89AA6F" w14:textId="4F14782F" w:rsidR="00736821" w:rsidRDefault="00736821" w:rsidP="00AC5B73">
      <w:pPr>
        <w:pStyle w:val="ListParagraph"/>
        <w:numPr>
          <w:ilvl w:val="0"/>
          <w:numId w:val="30"/>
        </w:numPr>
      </w:pPr>
      <w:r>
        <w:t>Asian – Indian, Indian Scottish or Indian British (shortened below to “Asian – Indian”);</w:t>
      </w:r>
    </w:p>
    <w:p w14:paraId="5F538EF8" w14:textId="3515766A" w:rsidR="00736821" w:rsidRDefault="00736821" w:rsidP="00AC5B73">
      <w:pPr>
        <w:pStyle w:val="ListParagraph"/>
        <w:numPr>
          <w:ilvl w:val="0"/>
          <w:numId w:val="30"/>
        </w:numPr>
      </w:pPr>
      <w:r>
        <w:t>Asian – Pakistani, Pakistani Scottish or Pakistani British (shortened Below to “Asian – Pakistani”);</w:t>
      </w:r>
    </w:p>
    <w:p w14:paraId="136C8598" w14:textId="01DFB39E" w:rsidR="00736821" w:rsidRDefault="00736821" w:rsidP="00AC5B73">
      <w:pPr>
        <w:pStyle w:val="ListParagraph"/>
        <w:numPr>
          <w:ilvl w:val="0"/>
          <w:numId w:val="30"/>
        </w:numPr>
      </w:pPr>
      <w:r>
        <w:t>Asian – Other;</w:t>
      </w:r>
    </w:p>
    <w:p w14:paraId="7DFA6180" w14:textId="785AAD95" w:rsidR="00736821" w:rsidRDefault="00736821" w:rsidP="00AC5B73">
      <w:pPr>
        <w:pStyle w:val="ListParagraph"/>
        <w:numPr>
          <w:ilvl w:val="0"/>
          <w:numId w:val="30"/>
        </w:numPr>
      </w:pPr>
      <w:r>
        <w:t>Caribbean or Black – Other;</w:t>
      </w:r>
    </w:p>
    <w:p w14:paraId="49C22071" w14:textId="3B9176F1" w:rsidR="00736821" w:rsidRDefault="00736821" w:rsidP="00AC5B73">
      <w:pPr>
        <w:pStyle w:val="ListParagraph"/>
        <w:numPr>
          <w:ilvl w:val="0"/>
          <w:numId w:val="30"/>
        </w:numPr>
      </w:pPr>
      <w:r>
        <w:t>Mixed or Multiple Ethnic Group;</w:t>
      </w:r>
    </w:p>
    <w:p w14:paraId="568CDDDB" w14:textId="5B3A90FC" w:rsidR="00736821" w:rsidRDefault="00736821" w:rsidP="00AC5B73">
      <w:pPr>
        <w:pStyle w:val="ListParagraph"/>
        <w:numPr>
          <w:ilvl w:val="0"/>
          <w:numId w:val="30"/>
        </w:numPr>
      </w:pPr>
      <w:r>
        <w:t>Other Ethnic Group – Arab, Arab Scottish or Arab British (shortened below to “Other Ethnic Group – Arab”); or</w:t>
      </w:r>
    </w:p>
    <w:p w14:paraId="70D8FEB1" w14:textId="7C68D367" w:rsidR="00736821" w:rsidRDefault="00736821" w:rsidP="00AC5B73">
      <w:pPr>
        <w:pStyle w:val="ListParagraph"/>
        <w:numPr>
          <w:ilvl w:val="0"/>
          <w:numId w:val="30"/>
        </w:numPr>
      </w:pPr>
      <w:r>
        <w:t>Other Ethnic Group – Other.</w:t>
      </w:r>
    </w:p>
    <w:p w14:paraId="1EFED3A7" w14:textId="696723F9" w:rsidR="00736821" w:rsidRDefault="00736821" w:rsidP="00AC5B73"/>
    <w:p w14:paraId="195D5AFF" w14:textId="24D6E8FC" w:rsidR="00736821" w:rsidRDefault="00736821" w:rsidP="00AC5B73">
      <w:r>
        <w:t>Additionally, some people did not provide information on their ethnicity or preferred not to say what their ethnicity is.</w:t>
      </w:r>
    </w:p>
    <w:p w14:paraId="5C332977" w14:textId="77777777" w:rsidR="006226E9" w:rsidRPr="006226E9" w:rsidRDefault="006226E9" w:rsidP="00AC5B73"/>
    <w:p w14:paraId="15C20CE3" w14:textId="77777777" w:rsidR="000147F4" w:rsidRPr="00F825B7" w:rsidRDefault="000147F4" w:rsidP="00AC5B73">
      <w:pPr>
        <w:pStyle w:val="Heading3"/>
      </w:pPr>
      <w:bookmarkStart w:id="89" w:name="_Toc76025119"/>
      <w:bookmarkStart w:id="90" w:name="_Toc108076918"/>
      <w:r w:rsidRPr="00F825B7">
        <w:t>Workforce Breakdown</w:t>
      </w:r>
      <w:bookmarkEnd w:id="89"/>
      <w:bookmarkEnd w:id="90"/>
    </w:p>
    <w:p w14:paraId="5075155D" w14:textId="555108A0" w:rsidR="00987FD2" w:rsidRPr="00705A09" w:rsidRDefault="00D43218" w:rsidP="00AC5B73">
      <w:pPr>
        <w:pStyle w:val="NoSpacing"/>
        <w:rPr>
          <w:rFonts w:ascii="Arial" w:hAnsi="Arial" w:cs="Arial"/>
          <w:szCs w:val="24"/>
        </w:rPr>
      </w:pPr>
      <w:r w:rsidRPr="00705A09">
        <w:rPr>
          <w:rFonts w:ascii="Arial" w:hAnsi="Arial" w:cs="Arial"/>
          <w:szCs w:val="24"/>
        </w:rPr>
        <w:t xml:space="preserve">At the end of the monitored period the largest proportion of employees identified themselves as “White – Scottish”, coming in at </w:t>
      </w:r>
      <w:r w:rsidR="009757C3">
        <w:rPr>
          <w:rFonts w:ascii="Arial" w:hAnsi="Arial" w:cs="Arial"/>
          <w:szCs w:val="24"/>
        </w:rPr>
        <w:t>67.7</w:t>
      </w:r>
      <w:r w:rsidR="00B07802" w:rsidRPr="00705A09">
        <w:rPr>
          <w:rFonts w:ascii="Arial" w:hAnsi="Arial" w:cs="Arial"/>
          <w:szCs w:val="24"/>
        </w:rPr>
        <w:t>% of the workforce</w:t>
      </w:r>
      <w:r w:rsidR="00082A49" w:rsidRPr="00705A09">
        <w:rPr>
          <w:rFonts w:ascii="Arial" w:hAnsi="Arial" w:cs="Arial"/>
          <w:szCs w:val="24"/>
        </w:rPr>
        <w:t xml:space="preserve">, </w:t>
      </w:r>
      <w:r w:rsidR="008E4604" w:rsidRPr="00705A09">
        <w:rPr>
          <w:rFonts w:ascii="Arial" w:hAnsi="Arial" w:cs="Arial"/>
          <w:szCs w:val="24"/>
        </w:rPr>
        <w:t xml:space="preserve">0.1% </w:t>
      </w:r>
      <w:r w:rsidR="009757C3">
        <w:rPr>
          <w:rFonts w:ascii="Arial" w:hAnsi="Arial" w:cs="Arial"/>
          <w:szCs w:val="24"/>
        </w:rPr>
        <w:t>less than in March 2021</w:t>
      </w:r>
      <w:r w:rsidR="00B07802" w:rsidRPr="00705A09">
        <w:rPr>
          <w:rFonts w:ascii="Arial" w:hAnsi="Arial" w:cs="Arial"/>
          <w:szCs w:val="24"/>
        </w:rPr>
        <w:t>.</w:t>
      </w:r>
      <w:r w:rsidR="00901CC7" w:rsidRPr="00705A09">
        <w:rPr>
          <w:rFonts w:ascii="Arial" w:hAnsi="Arial" w:cs="Arial"/>
          <w:szCs w:val="24"/>
        </w:rPr>
        <w:t xml:space="preserve"> </w:t>
      </w:r>
      <w:r w:rsidR="00B07802" w:rsidRPr="00705A09">
        <w:rPr>
          <w:rFonts w:ascii="Arial" w:hAnsi="Arial" w:cs="Arial"/>
          <w:szCs w:val="24"/>
        </w:rPr>
        <w:t>The next largest group were those that did not provide any information on their ethnicity</w:t>
      </w:r>
      <w:r w:rsidR="00236F74" w:rsidRPr="00705A09">
        <w:rPr>
          <w:rFonts w:ascii="Arial" w:hAnsi="Arial" w:cs="Arial"/>
          <w:szCs w:val="24"/>
        </w:rPr>
        <w:t xml:space="preserve">, with </w:t>
      </w:r>
      <w:r w:rsidR="00B62FDD" w:rsidRPr="00705A09">
        <w:rPr>
          <w:rFonts w:ascii="Arial" w:hAnsi="Arial" w:cs="Arial"/>
          <w:szCs w:val="24"/>
        </w:rPr>
        <w:t>1</w:t>
      </w:r>
      <w:r w:rsidR="009757C3">
        <w:rPr>
          <w:rFonts w:ascii="Arial" w:hAnsi="Arial" w:cs="Arial"/>
          <w:szCs w:val="24"/>
        </w:rPr>
        <w:t>0</w:t>
      </w:r>
      <w:r w:rsidR="00B62FDD" w:rsidRPr="00705A09">
        <w:rPr>
          <w:rFonts w:ascii="Arial" w:hAnsi="Arial" w:cs="Arial"/>
          <w:szCs w:val="24"/>
        </w:rPr>
        <w:t>.8</w:t>
      </w:r>
      <w:r w:rsidR="00082A49" w:rsidRPr="00705A09">
        <w:rPr>
          <w:rFonts w:ascii="Arial" w:hAnsi="Arial" w:cs="Arial"/>
          <w:szCs w:val="24"/>
        </w:rPr>
        <w:t xml:space="preserve">%, compared to </w:t>
      </w:r>
      <w:r w:rsidR="009757C3">
        <w:rPr>
          <w:rFonts w:ascii="Arial" w:hAnsi="Arial" w:cs="Arial"/>
          <w:szCs w:val="24"/>
        </w:rPr>
        <w:t>11.8</w:t>
      </w:r>
      <w:r w:rsidR="00082A49" w:rsidRPr="00705A09">
        <w:rPr>
          <w:rFonts w:ascii="Arial" w:hAnsi="Arial" w:cs="Arial"/>
          <w:szCs w:val="24"/>
        </w:rPr>
        <w:t>% the previous year</w:t>
      </w:r>
      <w:r w:rsidR="00F80422" w:rsidRPr="00705A09">
        <w:rPr>
          <w:rFonts w:ascii="Arial" w:hAnsi="Arial" w:cs="Arial"/>
          <w:szCs w:val="24"/>
        </w:rPr>
        <w:t>.</w:t>
      </w:r>
    </w:p>
    <w:p w14:paraId="36C173C4" w14:textId="77777777" w:rsidR="00910481" w:rsidRPr="00705A09" w:rsidRDefault="00910481" w:rsidP="00AC5B73">
      <w:pPr>
        <w:pStyle w:val="NoSpacing"/>
        <w:rPr>
          <w:rFonts w:ascii="Arial" w:hAnsi="Arial" w:cs="Arial"/>
          <w:szCs w:val="24"/>
        </w:rPr>
      </w:pPr>
    </w:p>
    <w:p w14:paraId="3682FE05" w14:textId="2A598C37" w:rsidR="000B1784" w:rsidRPr="00705A09" w:rsidRDefault="00B07802" w:rsidP="00AC5B73">
      <w:pPr>
        <w:pStyle w:val="NoSpacing"/>
        <w:rPr>
          <w:rFonts w:ascii="Arial" w:hAnsi="Arial" w:cs="Arial"/>
          <w:szCs w:val="24"/>
        </w:rPr>
      </w:pPr>
      <w:r w:rsidRPr="00705A09">
        <w:rPr>
          <w:rFonts w:ascii="Arial" w:hAnsi="Arial" w:cs="Arial"/>
          <w:szCs w:val="24"/>
        </w:rPr>
        <w:t>Minority ethnic groups made up</w:t>
      </w:r>
      <w:r w:rsidR="00B62FDD" w:rsidRPr="00705A09">
        <w:rPr>
          <w:rFonts w:ascii="Arial" w:hAnsi="Arial" w:cs="Arial"/>
          <w:szCs w:val="24"/>
        </w:rPr>
        <w:t xml:space="preserve"> 6.6</w:t>
      </w:r>
      <w:r w:rsidR="00236F74" w:rsidRPr="00705A09">
        <w:rPr>
          <w:rFonts w:ascii="Arial" w:hAnsi="Arial" w:cs="Arial"/>
          <w:szCs w:val="24"/>
        </w:rPr>
        <w:t>%</w:t>
      </w:r>
      <w:r w:rsidRPr="00705A09">
        <w:rPr>
          <w:rFonts w:ascii="Arial" w:hAnsi="Arial" w:cs="Arial"/>
          <w:szCs w:val="24"/>
        </w:rPr>
        <w:t xml:space="preserve"> of the workforce</w:t>
      </w:r>
      <w:r w:rsidR="00C273E4" w:rsidRPr="00705A09">
        <w:rPr>
          <w:rFonts w:ascii="Arial" w:hAnsi="Arial" w:cs="Arial"/>
          <w:szCs w:val="24"/>
        </w:rPr>
        <w:t xml:space="preserve"> (</w:t>
      </w:r>
      <w:r w:rsidR="009757C3">
        <w:rPr>
          <w:rFonts w:ascii="Arial" w:hAnsi="Arial" w:cs="Arial"/>
          <w:szCs w:val="24"/>
        </w:rPr>
        <w:t>the same as 2021</w:t>
      </w:r>
      <w:r w:rsidR="00C273E4" w:rsidRPr="00705A09">
        <w:rPr>
          <w:rFonts w:ascii="Arial" w:hAnsi="Arial" w:cs="Arial"/>
          <w:szCs w:val="24"/>
        </w:rPr>
        <w:t>)</w:t>
      </w:r>
      <w:r w:rsidR="00C83026" w:rsidRPr="00705A09">
        <w:rPr>
          <w:rFonts w:ascii="Arial" w:hAnsi="Arial" w:cs="Arial"/>
          <w:szCs w:val="24"/>
        </w:rPr>
        <w:t>, compared to 4</w:t>
      </w:r>
      <w:r w:rsidR="00AE52A9" w:rsidRPr="00705A09">
        <w:rPr>
          <w:rFonts w:ascii="Arial" w:hAnsi="Arial" w:cs="Arial"/>
          <w:szCs w:val="24"/>
        </w:rPr>
        <w:t>% of the Scottish</w:t>
      </w:r>
      <w:r w:rsidR="00CF69EC" w:rsidRPr="00705A09">
        <w:rPr>
          <w:rFonts w:ascii="Arial" w:hAnsi="Arial" w:cs="Arial"/>
          <w:szCs w:val="24"/>
        </w:rPr>
        <w:t xml:space="preserve"> population as a whole </w:t>
      </w:r>
      <w:r w:rsidR="00C83026" w:rsidRPr="00705A09">
        <w:rPr>
          <w:rFonts w:ascii="Arial" w:hAnsi="Arial" w:cs="Arial"/>
          <w:szCs w:val="24"/>
        </w:rPr>
        <w:t xml:space="preserve">and between 5% and 10% of the population of Glasgow City </w:t>
      </w:r>
      <w:r w:rsidR="00CF69EC" w:rsidRPr="00705A09">
        <w:rPr>
          <w:rFonts w:ascii="Arial" w:hAnsi="Arial" w:cs="Arial"/>
          <w:szCs w:val="24"/>
        </w:rPr>
        <w:t>(</w:t>
      </w:r>
      <w:r w:rsidR="00AE52A9" w:rsidRPr="00705A09">
        <w:rPr>
          <w:rFonts w:ascii="Arial" w:hAnsi="Arial" w:cs="Arial"/>
          <w:szCs w:val="24"/>
        </w:rPr>
        <w:t>Scotland’s 2011 census</w:t>
      </w:r>
      <w:r w:rsidR="00CF69EC" w:rsidRPr="00705A09">
        <w:rPr>
          <w:rFonts w:ascii="Arial" w:hAnsi="Arial" w:cs="Arial"/>
          <w:szCs w:val="24"/>
        </w:rPr>
        <w:t xml:space="preserve">: </w:t>
      </w:r>
      <w:hyperlink r:id="rId66" w:history="1">
        <w:r w:rsidR="00CF69EC" w:rsidRPr="00705A09">
          <w:rPr>
            <w:rStyle w:val="Hyperlink"/>
            <w:rFonts w:ascii="Arial" w:hAnsi="Arial" w:cs="Arial"/>
            <w:szCs w:val="24"/>
          </w:rPr>
          <w:t>https://www.scotlandscensus.gov.uk/</w:t>
        </w:r>
      </w:hyperlink>
      <w:r w:rsidR="004E62A1" w:rsidRPr="00705A09">
        <w:rPr>
          <w:rFonts w:ascii="Arial" w:hAnsi="Arial" w:cs="Arial"/>
          <w:szCs w:val="24"/>
        </w:rPr>
        <w:t xml:space="preserve">; </w:t>
      </w:r>
      <w:hyperlink r:id="rId67" w:history="1">
        <w:r w:rsidR="004E62A1" w:rsidRPr="00705A09">
          <w:rPr>
            <w:rStyle w:val="Hyperlink"/>
            <w:rFonts w:ascii="Arial" w:hAnsi="Arial" w:cs="Arial"/>
            <w:szCs w:val="24"/>
          </w:rPr>
          <w:t>Census 2011 equality results: analysis, part two</w:t>
        </w:r>
      </w:hyperlink>
      <w:r w:rsidR="004E62A1" w:rsidRPr="00705A09">
        <w:rPr>
          <w:rFonts w:ascii="Arial" w:hAnsi="Arial" w:cs="Arial"/>
          <w:szCs w:val="24"/>
        </w:rPr>
        <w:t>)</w:t>
      </w:r>
      <w:r w:rsidR="00C273E4" w:rsidRPr="00705A09">
        <w:rPr>
          <w:rFonts w:ascii="Arial" w:hAnsi="Arial" w:cs="Arial"/>
          <w:szCs w:val="24"/>
        </w:rPr>
        <w:t>.</w:t>
      </w:r>
    </w:p>
    <w:p w14:paraId="5A57DB29" w14:textId="77777777" w:rsidR="00C273E4" w:rsidRPr="00705A09" w:rsidRDefault="00C273E4" w:rsidP="00AC5B73">
      <w:pPr>
        <w:pStyle w:val="NoSpacing"/>
        <w:rPr>
          <w:rFonts w:ascii="Arial" w:hAnsi="Arial" w:cs="Arial"/>
          <w:szCs w:val="24"/>
        </w:rPr>
      </w:pPr>
    </w:p>
    <w:p w14:paraId="777F8976" w14:textId="6A97DFEB" w:rsidR="00B07802" w:rsidRPr="00705A09" w:rsidRDefault="00082A49" w:rsidP="00AC5B73">
      <w:pPr>
        <w:pStyle w:val="NoSpacing"/>
        <w:rPr>
          <w:rFonts w:ascii="Arial" w:hAnsi="Arial" w:cs="Arial"/>
          <w:szCs w:val="24"/>
        </w:rPr>
      </w:pPr>
      <w:r w:rsidRPr="00705A09">
        <w:rPr>
          <w:rFonts w:ascii="Arial" w:hAnsi="Arial" w:cs="Arial"/>
          <w:szCs w:val="24"/>
        </w:rPr>
        <w:t xml:space="preserve">The percentage workforce breakdown by </w:t>
      </w:r>
      <w:r w:rsidR="001601EC" w:rsidRPr="00705A09">
        <w:rPr>
          <w:rFonts w:ascii="Arial" w:hAnsi="Arial" w:cs="Arial"/>
          <w:szCs w:val="24"/>
        </w:rPr>
        <w:t>ethnicity</w:t>
      </w:r>
      <w:r w:rsidRPr="00705A09">
        <w:rPr>
          <w:rFonts w:ascii="Arial" w:hAnsi="Arial" w:cs="Arial"/>
          <w:szCs w:val="24"/>
        </w:rPr>
        <w:t xml:space="preserve"> is shown in the table below as at the end of March each year from March 2012</w:t>
      </w:r>
      <w:r w:rsidR="00CD1313">
        <w:rPr>
          <w:rStyle w:val="FootnoteReference"/>
          <w:rFonts w:ascii="Arial" w:hAnsi="Arial" w:cs="Arial"/>
          <w:szCs w:val="24"/>
        </w:rPr>
        <w:footnoteReference w:customMarkFollows="1" w:id="4"/>
        <w:t>3</w:t>
      </w:r>
      <w:r w:rsidRPr="00705A09">
        <w:rPr>
          <w:rFonts w:ascii="Arial" w:hAnsi="Arial" w:cs="Arial"/>
          <w:szCs w:val="24"/>
        </w:rPr>
        <w:t>:</w:t>
      </w:r>
    </w:p>
    <w:p w14:paraId="72C95E56" w14:textId="77777777" w:rsidR="00B62FDD" w:rsidRPr="00705A09" w:rsidRDefault="00B62FDD" w:rsidP="00AC5B73">
      <w:pPr>
        <w:pStyle w:val="NoSpacing"/>
        <w:rPr>
          <w:rFonts w:ascii="Arial" w:hAnsi="Arial"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6"/>
        <w:gridCol w:w="734"/>
        <w:gridCol w:w="734"/>
        <w:gridCol w:w="734"/>
        <w:gridCol w:w="734"/>
        <w:gridCol w:w="734"/>
        <w:gridCol w:w="734"/>
        <w:gridCol w:w="734"/>
        <w:gridCol w:w="734"/>
        <w:gridCol w:w="734"/>
        <w:gridCol w:w="734"/>
        <w:gridCol w:w="732"/>
      </w:tblGrid>
      <w:tr w:rsidR="009757C3" w:rsidRPr="009757C3" w14:paraId="0EEBCC3D" w14:textId="6674FC07" w:rsidTr="00364CA3">
        <w:trPr>
          <w:trHeight w:val="300"/>
        </w:trPr>
        <w:tc>
          <w:tcPr>
            <w:tcW w:w="1327" w:type="pct"/>
            <w:shd w:val="clear" w:color="auto" w:fill="auto"/>
            <w:noWrap/>
            <w:vAlign w:val="center"/>
            <w:hideMark/>
          </w:tcPr>
          <w:p w14:paraId="32350DCB" w14:textId="650D3BD4" w:rsidR="009757C3" w:rsidRPr="009757C3" w:rsidRDefault="00364CA3" w:rsidP="00AC5B73">
            <w:pPr>
              <w:rPr>
                <w:rFonts w:eastAsia="Times New Roman" w:cs="Arial"/>
                <w:color w:val="000000"/>
                <w:sz w:val="20"/>
                <w:szCs w:val="20"/>
                <w:lang w:eastAsia="en-GB"/>
              </w:rPr>
            </w:pPr>
            <w:r>
              <w:rPr>
                <w:rFonts w:eastAsia="Times New Roman" w:cs="Arial"/>
                <w:color w:val="000000"/>
                <w:sz w:val="20"/>
                <w:szCs w:val="20"/>
                <w:lang w:eastAsia="en-GB"/>
              </w:rPr>
              <w:t>Ethnicity</w:t>
            </w:r>
          </w:p>
        </w:tc>
        <w:tc>
          <w:tcPr>
            <w:tcW w:w="334" w:type="pct"/>
            <w:shd w:val="clear" w:color="auto" w:fill="auto"/>
            <w:noWrap/>
            <w:vAlign w:val="center"/>
            <w:hideMark/>
          </w:tcPr>
          <w:p w14:paraId="385EE4A9" w14:textId="77777777" w:rsidR="009757C3" w:rsidRPr="009757C3" w:rsidRDefault="009757C3" w:rsidP="00AC5B73">
            <w:pPr>
              <w:jc w:val="right"/>
              <w:rPr>
                <w:rFonts w:cs="Arial"/>
                <w:color w:val="000000"/>
                <w:sz w:val="20"/>
                <w:szCs w:val="20"/>
              </w:rPr>
            </w:pPr>
            <w:r w:rsidRPr="009757C3">
              <w:rPr>
                <w:rFonts w:cs="Arial"/>
                <w:color w:val="000000"/>
                <w:sz w:val="20"/>
                <w:szCs w:val="20"/>
              </w:rPr>
              <w:t>2012</w:t>
            </w:r>
          </w:p>
        </w:tc>
        <w:tc>
          <w:tcPr>
            <w:tcW w:w="334" w:type="pct"/>
            <w:shd w:val="clear" w:color="auto" w:fill="auto"/>
            <w:noWrap/>
            <w:vAlign w:val="center"/>
            <w:hideMark/>
          </w:tcPr>
          <w:p w14:paraId="2B76FEEA" w14:textId="77777777" w:rsidR="009757C3" w:rsidRPr="009757C3" w:rsidRDefault="009757C3" w:rsidP="00AC5B73">
            <w:pPr>
              <w:jc w:val="right"/>
              <w:rPr>
                <w:rFonts w:cs="Arial"/>
                <w:color w:val="000000"/>
                <w:sz w:val="20"/>
                <w:szCs w:val="20"/>
              </w:rPr>
            </w:pPr>
            <w:r w:rsidRPr="009757C3">
              <w:rPr>
                <w:rFonts w:cs="Arial"/>
                <w:color w:val="000000"/>
                <w:sz w:val="20"/>
                <w:szCs w:val="20"/>
              </w:rPr>
              <w:t>2013</w:t>
            </w:r>
          </w:p>
        </w:tc>
        <w:tc>
          <w:tcPr>
            <w:tcW w:w="334" w:type="pct"/>
            <w:shd w:val="clear" w:color="auto" w:fill="auto"/>
            <w:noWrap/>
            <w:vAlign w:val="center"/>
            <w:hideMark/>
          </w:tcPr>
          <w:p w14:paraId="0F1E107B" w14:textId="77777777" w:rsidR="009757C3" w:rsidRPr="009757C3" w:rsidRDefault="009757C3" w:rsidP="00AC5B73">
            <w:pPr>
              <w:jc w:val="right"/>
              <w:rPr>
                <w:rFonts w:cs="Arial"/>
                <w:color w:val="000000"/>
                <w:sz w:val="20"/>
                <w:szCs w:val="20"/>
              </w:rPr>
            </w:pPr>
            <w:r w:rsidRPr="009757C3">
              <w:rPr>
                <w:rFonts w:cs="Arial"/>
                <w:color w:val="000000"/>
                <w:sz w:val="20"/>
                <w:szCs w:val="20"/>
              </w:rPr>
              <w:t>2014</w:t>
            </w:r>
          </w:p>
        </w:tc>
        <w:tc>
          <w:tcPr>
            <w:tcW w:w="334" w:type="pct"/>
            <w:shd w:val="clear" w:color="auto" w:fill="auto"/>
            <w:noWrap/>
            <w:vAlign w:val="center"/>
            <w:hideMark/>
          </w:tcPr>
          <w:p w14:paraId="0F6AFE60" w14:textId="77777777" w:rsidR="009757C3" w:rsidRPr="009757C3" w:rsidRDefault="009757C3" w:rsidP="00AC5B73">
            <w:pPr>
              <w:jc w:val="right"/>
              <w:rPr>
                <w:rFonts w:cs="Arial"/>
                <w:color w:val="000000"/>
                <w:sz w:val="20"/>
                <w:szCs w:val="20"/>
              </w:rPr>
            </w:pPr>
            <w:r w:rsidRPr="009757C3">
              <w:rPr>
                <w:rFonts w:cs="Arial"/>
                <w:color w:val="000000"/>
                <w:sz w:val="20"/>
                <w:szCs w:val="20"/>
              </w:rPr>
              <w:t>2015</w:t>
            </w:r>
          </w:p>
        </w:tc>
        <w:tc>
          <w:tcPr>
            <w:tcW w:w="334" w:type="pct"/>
            <w:shd w:val="clear" w:color="auto" w:fill="auto"/>
            <w:noWrap/>
            <w:vAlign w:val="center"/>
            <w:hideMark/>
          </w:tcPr>
          <w:p w14:paraId="16AD6B7D" w14:textId="77777777" w:rsidR="009757C3" w:rsidRPr="009757C3" w:rsidRDefault="009757C3" w:rsidP="00AC5B73">
            <w:pPr>
              <w:jc w:val="right"/>
              <w:rPr>
                <w:rFonts w:cs="Arial"/>
                <w:color w:val="000000"/>
                <w:sz w:val="20"/>
                <w:szCs w:val="20"/>
              </w:rPr>
            </w:pPr>
            <w:r w:rsidRPr="009757C3">
              <w:rPr>
                <w:rFonts w:cs="Arial"/>
                <w:color w:val="000000"/>
                <w:sz w:val="20"/>
                <w:szCs w:val="20"/>
              </w:rPr>
              <w:t>2016</w:t>
            </w:r>
          </w:p>
        </w:tc>
        <w:tc>
          <w:tcPr>
            <w:tcW w:w="334" w:type="pct"/>
            <w:shd w:val="clear" w:color="auto" w:fill="auto"/>
            <w:noWrap/>
            <w:vAlign w:val="center"/>
            <w:hideMark/>
          </w:tcPr>
          <w:p w14:paraId="1601603F" w14:textId="77777777" w:rsidR="009757C3" w:rsidRPr="009757C3" w:rsidRDefault="009757C3" w:rsidP="00AC5B73">
            <w:pPr>
              <w:jc w:val="right"/>
              <w:rPr>
                <w:rFonts w:cs="Arial"/>
                <w:color w:val="000000"/>
                <w:sz w:val="20"/>
                <w:szCs w:val="20"/>
              </w:rPr>
            </w:pPr>
            <w:r w:rsidRPr="009757C3">
              <w:rPr>
                <w:rFonts w:cs="Arial"/>
                <w:color w:val="000000"/>
                <w:sz w:val="20"/>
                <w:szCs w:val="20"/>
              </w:rPr>
              <w:t>2017</w:t>
            </w:r>
          </w:p>
        </w:tc>
        <w:tc>
          <w:tcPr>
            <w:tcW w:w="334" w:type="pct"/>
            <w:vAlign w:val="center"/>
          </w:tcPr>
          <w:p w14:paraId="4DD60F74" w14:textId="77777777" w:rsidR="009757C3" w:rsidRPr="009757C3" w:rsidRDefault="009757C3" w:rsidP="00AC5B73">
            <w:pPr>
              <w:jc w:val="right"/>
              <w:rPr>
                <w:rFonts w:cs="Arial"/>
                <w:color w:val="000000"/>
                <w:sz w:val="20"/>
                <w:szCs w:val="20"/>
              </w:rPr>
            </w:pPr>
            <w:r w:rsidRPr="009757C3">
              <w:rPr>
                <w:rFonts w:cs="Arial"/>
                <w:color w:val="000000"/>
                <w:sz w:val="20"/>
                <w:szCs w:val="20"/>
              </w:rPr>
              <w:t>2018</w:t>
            </w:r>
          </w:p>
        </w:tc>
        <w:tc>
          <w:tcPr>
            <w:tcW w:w="334" w:type="pct"/>
            <w:shd w:val="clear" w:color="auto" w:fill="auto"/>
            <w:vAlign w:val="center"/>
            <w:hideMark/>
          </w:tcPr>
          <w:p w14:paraId="281BA252" w14:textId="77777777" w:rsidR="009757C3" w:rsidRPr="009757C3" w:rsidRDefault="009757C3" w:rsidP="00AC5B73">
            <w:pPr>
              <w:jc w:val="right"/>
              <w:rPr>
                <w:rFonts w:cs="Arial"/>
                <w:color w:val="000000"/>
                <w:sz w:val="20"/>
                <w:szCs w:val="20"/>
              </w:rPr>
            </w:pPr>
            <w:r w:rsidRPr="009757C3">
              <w:rPr>
                <w:rFonts w:cs="Arial"/>
                <w:color w:val="000000"/>
                <w:sz w:val="20"/>
                <w:szCs w:val="20"/>
              </w:rPr>
              <w:t>2019</w:t>
            </w:r>
          </w:p>
        </w:tc>
        <w:tc>
          <w:tcPr>
            <w:tcW w:w="334" w:type="pct"/>
            <w:vAlign w:val="center"/>
          </w:tcPr>
          <w:p w14:paraId="472EDAB6" w14:textId="77777777" w:rsidR="009757C3" w:rsidRPr="009757C3" w:rsidRDefault="009757C3" w:rsidP="00AC5B73">
            <w:pPr>
              <w:jc w:val="right"/>
              <w:rPr>
                <w:rFonts w:cs="Arial"/>
                <w:color w:val="000000"/>
                <w:sz w:val="20"/>
                <w:szCs w:val="20"/>
              </w:rPr>
            </w:pPr>
            <w:r w:rsidRPr="009757C3">
              <w:rPr>
                <w:rFonts w:cs="Arial"/>
                <w:color w:val="000000"/>
                <w:sz w:val="20"/>
                <w:szCs w:val="20"/>
              </w:rPr>
              <w:t>2020</w:t>
            </w:r>
          </w:p>
        </w:tc>
        <w:tc>
          <w:tcPr>
            <w:tcW w:w="334" w:type="pct"/>
            <w:shd w:val="clear" w:color="auto" w:fill="auto"/>
            <w:noWrap/>
            <w:vAlign w:val="center"/>
            <w:hideMark/>
          </w:tcPr>
          <w:p w14:paraId="6B89576C" w14:textId="77777777" w:rsidR="009757C3" w:rsidRPr="009757C3" w:rsidRDefault="009757C3" w:rsidP="00AC5B73">
            <w:pPr>
              <w:jc w:val="right"/>
              <w:rPr>
                <w:rFonts w:cs="Arial"/>
                <w:color w:val="000000"/>
                <w:sz w:val="20"/>
                <w:szCs w:val="20"/>
              </w:rPr>
            </w:pPr>
            <w:r w:rsidRPr="009757C3">
              <w:rPr>
                <w:rFonts w:cs="Arial"/>
                <w:color w:val="000000"/>
                <w:sz w:val="20"/>
                <w:szCs w:val="20"/>
              </w:rPr>
              <w:t>2021</w:t>
            </w:r>
          </w:p>
        </w:tc>
        <w:tc>
          <w:tcPr>
            <w:tcW w:w="333" w:type="pct"/>
            <w:vAlign w:val="center"/>
          </w:tcPr>
          <w:p w14:paraId="23408C5E" w14:textId="7C1234FA" w:rsidR="009757C3" w:rsidRPr="009757C3" w:rsidRDefault="009757C3" w:rsidP="00AC5B73">
            <w:pPr>
              <w:jc w:val="right"/>
              <w:rPr>
                <w:rFonts w:cs="Arial"/>
                <w:color w:val="000000"/>
                <w:sz w:val="20"/>
                <w:szCs w:val="20"/>
              </w:rPr>
            </w:pPr>
            <w:r>
              <w:rPr>
                <w:rFonts w:cs="Arial"/>
                <w:color w:val="000000"/>
                <w:sz w:val="20"/>
                <w:szCs w:val="20"/>
              </w:rPr>
              <w:t>2022</w:t>
            </w:r>
          </w:p>
        </w:tc>
      </w:tr>
      <w:tr w:rsidR="009757C3" w:rsidRPr="009757C3" w14:paraId="4885EAD3" w14:textId="0DCB989B" w:rsidTr="00364CA3">
        <w:trPr>
          <w:trHeight w:val="300"/>
        </w:trPr>
        <w:tc>
          <w:tcPr>
            <w:tcW w:w="1327" w:type="pct"/>
            <w:shd w:val="clear" w:color="auto" w:fill="auto"/>
            <w:noWrap/>
            <w:vAlign w:val="center"/>
            <w:hideMark/>
          </w:tcPr>
          <w:p w14:paraId="0706F956" w14:textId="77777777" w:rsidR="009757C3" w:rsidRPr="009757C3" w:rsidRDefault="009757C3" w:rsidP="00AC5B73">
            <w:pPr>
              <w:rPr>
                <w:rFonts w:cs="Arial"/>
                <w:color w:val="000000"/>
                <w:sz w:val="20"/>
                <w:szCs w:val="20"/>
              </w:rPr>
            </w:pPr>
            <w:r w:rsidRPr="009757C3">
              <w:rPr>
                <w:rFonts w:cs="Arial"/>
                <w:color w:val="000000"/>
                <w:sz w:val="20"/>
                <w:szCs w:val="20"/>
              </w:rPr>
              <w:t>White – Scottish</w:t>
            </w:r>
          </w:p>
        </w:tc>
        <w:tc>
          <w:tcPr>
            <w:tcW w:w="334" w:type="pct"/>
            <w:shd w:val="clear" w:color="auto" w:fill="auto"/>
            <w:noWrap/>
            <w:vAlign w:val="center"/>
            <w:hideMark/>
          </w:tcPr>
          <w:p w14:paraId="3197FC0F" w14:textId="77777777" w:rsidR="009757C3" w:rsidRPr="009757C3" w:rsidRDefault="009757C3" w:rsidP="00AC5B73">
            <w:pPr>
              <w:jc w:val="right"/>
              <w:rPr>
                <w:rFonts w:cs="Arial"/>
                <w:color w:val="000000"/>
                <w:sz w:val="18"/>
                <w:szCs w:val="20"/>
              </w:rPr>
            </w:pPr>
            <w:r w:rsidRPr="009757C3">
              <w:rPr>
                <w:rFonts w:cs="Arial"/>
                <w:color w:val="000000"/>
                <w:sz w:val="18"/>
                <w:szCs w:val="20"/>
              </w:rPr>
              <w:t>56.6%</w:t>
            </w:r>
          </w:p>
        </w:tc>
        <w:tc>
          <w:tcPr>
            <w:tcW w:w="334" w:type="pct"/>
            <w:shd w:val="clear" w:color="auto" w:fill="auto"/>
            <w:noWrap/>
            <w:vAlign w:val="center"/>
            <w:hideMark/>
          </w:tcPr>
          <w:p w14:paraId="2EAD9E8C" w14:textId="77777777" w:rsidR="009757C3" w:rsidRPr="009757C3" w:rsidRDefault="009757C3" w:rsidP="00AC5B73">
            <w:pPr>
              <w:jc w:val="right"/>
              <w:rPr>
                <w:rFonts w:cs="Arial"/>
                <w:color w:val="000000"/>
                <w:sz w:val="18"/>
                <w:szCs w:val="20"/>
              </w:rPr>
            </w:pPr>
            <w:r w:rsidRPr="009757C3">
              <w:rPr>
                <w:rFonts w:cs="Arial"/>
                <w:color w:val="000000"/>
                <w:sz w:val="18"/>
                <w:szCs w:val="20"/>
              </w:rPr>
              <w:t>58.5%</w:t>
            </w:r>
          </w:p>
        </w:tc>
        <w:tc>
          <w:tcPr>
            <w:tcW w:w="334" w:type="pct"/>
            <w:shd w:val="clear" w:color="auto" w:fill="auto"/>
            <w:noWrap/>
            <w:vAlign w:val="center"/>
            <w:hideMark/>
          </w:tcPr>
          <w:p w14:paraId="55A82531" w14:textId="77777777" w:rsidR="009757C3" w:rsidRPr="009757C3" w:rsidRDefault="009757C3" w:rsidP="00AC5B73">
            <w:pPr>
              <w:jc w:val="right"/>
              <w:rPr>
                <w:rFonts w:cs="Arial"/>
                <w:color w:val="000000"/>
                <w:sz w:val="18"/>
                <w:szCs w:val="20"/>
              </w:rPr>
            </w:pPr>
            <w:r w:rsidRPr="009757C3">
              <w:rPr>
                <w:rFonts w:cs="Arial"/>
                <w:color w:val="000000"/>
                <w:sz w:val="18"/>
                <w:szCs w:val="20"/>
              </w:rPr>
              <w:t>63.9%</w:t>
            </w:r>
          </w:p>
        </w:tc>
        <w:tc>
          <w:tcPr>
            <w:tcW w:w="334" w:type="pct"/>
            <w:shd w:val="clear" w:color="auto" w:fill="auto"/>
            <w:noWrap/>
            <w:vAlign w:val="center"/>
            <w:hideMark/>
          </w:tcPr>
          <w:p w14:paraId="2EA7BBD1" w14:textId="77777777" w:rsidR="009757C3" w:rsidRPr="009757C3" w:rsidRDefault="009757C3" w:rsidP="00AC5B73">
            <w:pPr>
              <w:jc w:val="right"/>
              <w:rPr>
                <w:rFonts w:cs="Arial"/>
                <w:color w:val="000000"/>
                <w:sz w:val="18"/>
                <w:szCs w:val="20"/>
              </w:rPr>
            </w:pPr>
            <w:r w:rsidRPr="009757C3">
              <w:rPr>
                <w:rFonts w:cs="Arial"/>
                <w:color w:val="000000"/>
                <w:sz w:val="18"/>
                <w:szCs w:val="20"/>
              </w:rPr>
              <w:t>66.7%</w:t>
            </w:r>
          </w:p>
        </w:tc>
        <w:tc>
          <w:tcPr>
            <w:tcW w:w="334" w:type="pct"/>
            <w:shd w:val="clear" w:color="auto" w:fill="auto"/>
            <w:noWrap/>
            <w:vAlign w:val="center"/>
            <w:hideMark/>
          </w:tcPr>
          <w:p w14:paraId="73DD13CB" w14:textId="77777777" w:rsidR="009757C3" w:rsidRPr="009757C3" w:rsidRDefault="009757C3" w:rsidP="00AC5B73">
            <w:pPr>
              <w:jc w:val="right"/>
              <w:rPr>
                <w:rFonts w:cs="Arial"/>
                <w:color w:val="000000"/>
                <w:sz w:val="18"/>
                <w:szCs w:val="20"/>
              </w:rPr>
            </w:pPr>
            <w:r w:rsidRPr="009757C3">
              <w:rPr>
                <w:rFonts w:cs="Arial"/>
                <w:color w:val="000000"/>
                <w:sz w:val="18"/>
                <w:szCs w:val="20"/>
              </w:rPr>
              <w:t>66.9%</w:t>
            </w:r>
          </w:p>
        </w:tc>
        <w:tc>
          <w:tcPr>
            <w:tcW w:w="334" w:type="pct"/>
            <w:shd w:val="clear" w:color="auto" w:fill="auto"/>
            <w:noWrap/>
            <w:vAlign w:val="center"/>
            <w:hideMark/>
          </w:tcPr>
          <w:p w14:paraId="034D4EE8" w14:textId="77777777" w:rsidR="009757C3" w:rsidRPr="009757C3" w:rsidRDefault="009757C3" w:rsidP="00AC5B73">
            <w:pPr>
              <w:jc w:val="right"/>
              <w:rPr>
                <w:rFonts w:cs="Arial"/>
                <w:color w:val="000000"/>
                <w:sz w:val="18"/>
                <w:szCs w:val="20"/>
              </w:rPr>
            </w:pPr>
            <w:r w:rsidRPr="009757C3">
              <w:rPr>
                <w:rFonts w:cs="Arial"/>
                <w:color w:val="000000"/>
                <w:sz w:val="18"/>
                <w:szCs w:val="20"/>
              </w:rPr>
              <w:t>67.0%</w:t>
            </w:r>
          </w:p>
        </w:tc>
        <w:tc>
          <w:tcPr>
            <w:tcW w:w="334" w:type="pct"/>
            <w:vAlign w:val="center"/>
          </w:tcPr>
          <w:p w14:paraId="47D8CD02" w14:textId="77777777" w:rsidR="009757C3" w:rsidRPr="009757C3" w:rsidRDefault="009757C3" w:rsidP="00AC5B73">
            <w:pPr>
              <w:jc w:val="right"/>
              <w:rPr>
                <w:rFonts w:cs="Arial"/>
                <w:color w:val="000000"/>
                <w:sz w:val="18"/>
                <w:szCs w:val="20"/>
              </w:rPr>
            </w:pPr>
            <w:r w:rsidRPr="009757C3">
              <w:rPr>
                <w:rFonts w:cs="Arial"/>
                <w:color w:val="000000"/>
                <w:sz w:val="18"/>
                <w:szCs w:val="20"/>
              </w:rPr>
              <w:t>69.3%</w:t>
            </w:r>
          </w:p>
        </w:tc>
        <w:tc>
          <w:tcPr>
            <w:tcW w:w="334" w:type="pct"/>
            <w:shd w:val="clear" w:color="auto" w:fill="auto"/>
            <w:vAlign w:val="center"/>
            <w:hideMark/>
          </w:tcPr>
          <w:p w14:paraId="633D9E71" w14:textId="77777777" w:rsidR="009757C3" w:rsidRPr="009757C3" w:rsidRDefault="009757C3" w:rsidP="00AC5B73">
            <w:pPr>
              <w:jc w:val="right"/>
              <w:rPr>
                <w:rFonts w:cs="Arial"/>
                <w:color w:val="000000"/>
                <w:sz w:val="18"/>
                <w:szCs w:val="20"/>
              </w:rPr>
            </w:pPr>
            <w:r w:rsidRPr="009757C3">
              <w:rPr>
                <w:rFonts w:cs="Arial"/>
                <w:color w:val="000000"/>
                <w:sz w:val="18"/>
                <w:szCs w:val="20"/>
              </w:rPr>
              <w:t>67.8%</w:t>
            </w:r>
          </w:p>
        </w:tc>
        <w:tc>
          <w:tcPr>
            <w:tcW w:w="334" w:type="pct"/>
            <w:vAlign w:val="center"/>
          </w:tcPr>
          <w:p w14:paraId="4DF4484A" w14:textId="77777777" w:rsidR="009757C3" w:rsidRPr="009757C3" w:rsidRDefault="009757C3" w:rsidP="00AC5B73">
            <w:pPr>
              <w:jc w:val="right"/>
              <w:rPr>
                <w:rFonts w:cs="Arial"/>
                <w:color w:val="000000"/>
                <w:sz w:val="18"/>
                <w:szCs w:val="20"/>
              </w:rPr>
            </w:pPr>
            <w:r w:rsidRPr="009757C3">
              <w:rPr>
                <w:rFonts w:cs="Arial"/>
                <w:color w:val="000000"/>
                <w:sz w:val="18"/>
                <w:szCs w:val="20"/>
              </w:rPr>
              <w:t>67.7%</w:t>
            </w:r>
          </w:p>
        </w:tc>
        <w:tc>
          <w:tcPr>
            <w:tcW w:w="334" w:type="pct"/>
            <w:shd w:val="clear" w:color="auto" w:fill="auto"/>
            <w:noWrap/>
            <w:vAlign w:val="center"/>
            <w:hideMark/>
          </w:tcPr>
          <w:p w14:paraId="2F8626A9" w14:textId="77777777" w:rsidR="009757C3" w:rsidRPr="009757C3" w:rsidRDefault="009757C3" w:rsidP="00AC5B73">
            <w:pPr>
              <w:jc w:val="right"/>
              <w:rPr>
                <w:rFonts w:cs="Arial"/>
                <w:color w:val="000000"/>
                <w:sz w:val="18"/>
                <w:szCs w:val="20"/>
              </w:rPr>
            </w:pPr>
            <w:r w:rsidRPr="009757C3">
              <w:rPr>
                <w:rFonts w:cs="Arial"/>
                <w:color w:val="000000"/>
                <w:sz w:val="18"/>
                <w:szCs w:val="20"/>
              </w:rPr>
              <w:t>67.8%</w:t>
            </w:r>
          </w:p>
        </w:tc>
        <w:tc>
          <w:tcPr>
            <w:tcW w:w="333" w:type="pct"/>
            <w:vAlign w:val="center"/>
          </w:tcPr>
          <w:p w14:paraId="2B5655C6" w14:textId="1923D69E" w:rsidR="009757C3" w:rsidRPr="009757C3" w:rsidRDefault="000C0050" w:rsidP="00AC5B73">
            <w:pPr>
              <w:jc w:val="right"/>
              <w:rPr>
                <w:rFonts w:cs="Arial"/>
                <w:color w:val="000000"/>
                <w:sz w:val="18"/>
                <w:szCs w:val="20"/>
              </w:rPr>
            </w:pPr>
            <w:r>
              <w:rPr>
                <w:rFonts w:cs="Arial"/>
                <w:color w:val="000000"/>
                <w:sz w:val="18"/>
                <w:szCs w:val="20"/>
              </w:rPr>
              <w:t>67.7%</w:t>
            </w:r>
          </w:p>
        </w:tc>
      </w:tr>
      <w:tr w:rsidR="009757C3" w:rsidRPr="009757C3" w14:paraId="1A00D98E" w14:textId="1E06A1C3" w:rsidTr="00364CA3">
        <w:trPr>
          <w:trHeight w:val="300"/>
        </w:trPr>
        <w:tc>
          <w:tcPr>
            <w:tcW w:w="1327" w:type="pct"/>
            <w:shd w:val="clear" w:color="auto" w:fill="auto"/>
            <w:noWrap/>
            <w:vAlign w:val="center"/>
            <w:hideMark/>
          </w:tcPr>
          <w:p w14:paraId="548E7ACA" w14:textId="77777777" w:rsidR="009757C3" w:rsidRPr="009757C3" w:rsidRDefault="009757C3" w:rsidP="00AC5B73">
            <w:pPr>
              <w:rPr>
                <w:rFonts w:cs="Arial"/>
                <w:color w:val="000000"/>
                <w:sz w:val="20"/>
                <w:szCs w:val="20"/>
              </w:rPr>
            </w:pPr>
            <w:r w:rsidRPr="009757C3">
              <w:rPr>
                <w:rFonts w:cs="Arial"/>
                <w:color w:val="000000"/>
                <w:sz w:val="20"/>
                <w:szCs w:val="20"/>
              </w:rPr>
              <w:t>No information provided</w:t>
            </w:r>
          </w:p>
        </w:tc>
        <w:tc>
          <w:tcPr>
            <w:tcW w:w="334" w:type="pct"/>
            <w:shd w:val="clear" w:color="auto" w:fill="auto"/>
            <w:noWrap/>
            <w:vAlign w:val="center"/>
            <w:hideMark/>
          </w:tcPr>
          <w:p w14:paraId="790984ED" w14:textId="77777777" w:rsidR="009757C3" w:rsidRPr="009757C3" w:rsidRDefault="009757C3" w:rsidP="00AC5B73">
            <w:pPr>
              <w:jc w:val="right"/>
              <w:rPr>
                <w:rFonts w:cs="Arial"/>
                <w:color w:val="000000"/>
                <w:sz w:val="18"/>
                <w:szCs w:val="20"/>
              </w:rPr>
            </w:pPr>
            <w:r w:rsidRPr="009757C3">
              <w:rPr>
                <w:rFonts w:cs="Arial"/>
                <w:color w:val="000000"/>
                <w:sz w:val="18"/>
                <w:szCs w:val="20"/>
              </w:rPr>
              <w:t>24.4%</w:t>
            </w:r>
          </w:p>
        </w:tc>
        <w:tc>
          <w:tcPr>
            <w:tcW w:w="334" w:type="pct"/>
            <w:shd w:val="clear" w:color="auto" w:fill="auto"/>
            <w:noWrap/>
            <w:vAlign w:val="center"/>
            <w:hideMark/>
          </w:tcPr>
          <w:p w14:paraId="7D3D675D" w14:textId="77777777" w:rsidR="009757C3" w:rsidRPr="009757C3" w:rsidRDefault="009757C3" w:rsidP="00AC5B73">
            <w:pPr>
              <w:jc w:val="right"/>
              <w:rPr>
                <w:rFonts w:cs="Arial"/>
                <w:color w:val="000000"/>
                <w:sz w:val="18"/>
                <w:szCs w:val="20"/>
              </w:rPr>
            </w:pPr>
            <w:r w:rsidRPr="009757C3">
              <w:rPr>
                <w:rFonts w:cs="Arial"/>
                <w:color w:val="000000"/>
                <w:sz w:val="18"/>
                <w:szCs w:val="20"/>
              </w:rPr>
              <w:t>22.6%</w:t>
            </w:r>
          </w:p>
        </w:tc>
        <w:tc>
          <w:tcPr>
            <w:tcW w:w="334" w:type="pct"/>
            <w:shd w:val="clear" w:color="auto" w:fill="auto"/>
            <w:noWrap/>
            <w:vAlign w:val="center"/>
            <w:hideMark/>
          </w:tcPr>
          <w:p w14:paraId="37B350F3" w14:textId="77777777" w:rsidR="009757C3" w:rsidRPr="009757C3" w:rsidRDefault="009757C3" w:rsidP="00AC5B73">
            <w:pPr>
              <w:jc w:val="right"/>
              <w:rPr>
                <w:rFonts w:cs="Arial"/>
                <w:color w:val="000000"/>
                <w:sz w:val="18"/>
                <w:szCs w:val="20"/>
              </w:rPr>
            </w:pPr>
            <w:r w:rsidRPr="009757C3">
              <w:rPr>
                <w:rFonts w:cs="Arial"/>
                <w:color w:val="000000"/>
                <w:sz w:val="18"/>
                <w:szCs w:val="20"/>
              </w:rPr>
              <w:t>16.9%</w:t>
            </w:r>
          </w:p>
        </w:tc>
        <w:tc>
          <w:tcPr>
            <w:tcW w:w="334" w:type="pct"/>
            <w:shd w:val="clear" w:color="auto" w:fill="auto"/>
            <w:noWrap/>
            <w:vAlign w:val="center"/>
            <w:hideMark/>
          </w:tcPr>
          <w:p w14:paraId="75353EFC" w14:textId="77777777" w:rsidR="009757C3" w:rsidRPr="009757C3" w:rsidRDefault="009757C3" w:rsidP="00AC5B73">
            <w:pPr>
              <w:jc w:val="right"/>
              <w:rPr>
                <w:rFonts w:cs="Arial"/>
                <w:color w:val="000000"/>
                <w:sz w:val="18"/>
                <w:szCs w:val="20"/>
              </w:rPr>
            </w:pPr>
            <w:r w:rsidRPr="009757C3">
              <w:rPr>
                <w:rFonts w:cs="Arial"/>
                <w:color w:val="000000"/>
                <w:sz w:val="18"/>
                <w:szCs w:val="20"/>
              </w:rPr>
              <w:t>14.8%</w:t>
            </w:r>
          </w:p>
        </w:tc>
        <w:tc>
          <w:tcPr>
            <w:tcW w:w="334" w:type="pct"/>
            <w:shd w:val="clear" w:color="auto" w:fill="auto"/>
            <w:noWrap/>
            <w:vAlign w:val="center"/>
            <w:hideMark/>
          </w:tcPr>
          <w:p w14:paraId="16BE390B" w14:textId="77777777" w:rsidR="009757C3" w:rsidRPr="009757C3" w:rsidRDefault="009757C3" w:rsidP="00AC5B73">
            <w:pPr>
              <w:jc w:val="right"/>
              <w:rPr>
                <w:rFonts w:cs="Arial"/>
                <w:color w:val="000000"/>
                <w:sz w:val="18"/>
                <w:szCs w:val="20"/>
              </w:rPr>
            </w:pPr>
            <w:r w:rsidRPr="009757C3">
              <w:rPr>
                <w:rFonts w:cs="Arial"/>
                <w:color w:val="000000"/>
                <w:sz w:val="18"/>
                <w:szCs w:val="20"/>
              </w:rPr>
              <w:t>13.9%</w:t>
            </w:r>
          </w:p>
        </w:tc>
        <w:tc>
          <w:tcPr>
            <w:tcW w:w="334" w:type="pct"/>
            <w:shd w:val="clear" w:color="auto" w:fill="auto"/>
            <w:noWrap/>
            <w:vAlign w:val="center"/>
            <w:hideMark/>
          </w:tcPr>
          <w:p w14:paraId="1A9F1944" w14:textId="77777777" w:rsidR="009757C3" w:rsidRPr="009757C3" w:rsidRDefault="009757C3" w:rsidP="00AC5B73">
            <w:pPr>
              <w:jc w:val="right"/>
              <w:rPr>
                <w:rFonts w:cs="Arial"/>
                <w:color w:val="000000"/>
                <w:sz w:val="18"/>
                <w:szCs w:val="20"/>
              </w:rPr>
            </w:pPr>
            <w:r w:rsidRPr="009757C3">
              <w:rPr>
                <w:rFonts w:cs="Arial"/>
                <w:color w:val="000000"/>
                <w:sz w:val="18"/>
                <w:szCs w:val="20"/>
              </w:rPr>
              <w:t>13.5%</w:t>
            </w:r>
          </w:p>
        </w:tc>
        <w:tc>
          <w:tcPr>
            <w:tcW w:w="334" w:type="pct"/>
            <w:vAlign w:val="center"/>
          </w:tcPr>
          <w:p w14:paraId="6498F701" w14:textId="77777777" w:rsidR="009757C3" w:rsidRPr="009757C3" w:rsidRDefault="009757C3" w:rsidP="00AC5B73">
            <w:pPr>
              <w:jc w:val="right"/>
              <w:rPr>
                <w:rFonts w:cs="Arial"/>
                <w:color w:val="000000"/>
                <w:sz w:val="18"/>
                <w:szCs w:val="20"/>
              </w:rPr>
            </w:pPr>
            <w:r w:rsidRPr="009757C3">
              <w:rPr>
                <w:rFonts w:cs="Arial"/>
                <w:color w:val="000000"/>
                <w:sz w:val="18"/>
                <w:szCs w:val="20"/>
              </w:rPr>
              <w:t>11.9%</w:t>
            </w:r>
          </w:p>
        </w:tc>
        <w:tc>
          <w:tcPr>
            <w:tcW w:w="334" w:type="pct"/>
            <w:shd w:val="clear" w:color="auto" w:fill="auto"/>
            <w:vAlign w:val="center"/>
            <w:hideMark/>
          </w:tcPr>
          <w:p w14:paraId="5B48CF22" w14:textId="77777777" w:rsidR="009757C3" w:rsidRPr="009757C3" w:rsidRDefault="009757C3" w:rsidP="00AC5B73">
            <w:pPr>
              <w:jc w:val="right"/>
              <w:rPr>
                <w:rFonts w:cs="Arial"/>
                <w:color w:val="000000"/>
                <w:sz w:val="18"/>
                <w:szCs w:val="20"/>
              </w:rPr>
            </w:pPr>
            <w:r w:rsidRPr="009757C3">
              <w:rPr>
                <w:rFonts w:cs="Arial"/>
                <w:color w:val="000000"/>
                <w:sz w:val="18"/>
                <w:szCs w:val="20"/>
              </w:rPr>
              <w:t>13.4%</w:t>
            </w:r>
          </w:p>
        </w:tc>
        <w:tc>
          <w:tcPr>
            <w:tcW w:w="334" w:type="pct"/>
            <w:vAlign w:val="center"/>
          </w:tcPr>
          <w:p w14:paraId="133F292A" w14:textId="77777777" w:rsidR="009757C3" w:rsidRPr="009757C3" w:rsidRDefault="009757C3" w:rsidP="00AC5B73">
            <w:pPr>
              <w:jc w:val="right"/>
              <w:rPr>
                <w:rFonts w:cs="Arial"/>
                <w:color w:val="000000"/>
                <w:sz w:val="18"/>
                <w:szCs w:val="20"/>
              </w:rPr>
            </w:pPr>
            <w:r w:rsidRPr="009757C3">
              <w:rPr>
                <w:rFonts w:cs="Arial"/>
                <w:color w:val="000000"/>
                <w:sz w:val="18"/>
                <w:szCs w:val="20"/>
              </w:rPr>
              <w:t>12.5%</w:t>
            </w:r>
          </w:p>
        </w:tc>
        <w:tc>
          <w:tcPr>
            <w:tcW w:w="334" w:type="pct"/>
            <w:shd w:val="clear" w:color="auto" w:fill="auto"/>
            <w:noWrap/>
            <w:vAlign w:val="center"/>
            <w:hideMark/>
          </w:tcPr>
          <w:p w14:paraId="791AF39D" w14:textId="77777777" w:rsidR="009757C3" w:rsidRPr="009757C3" w:rsidRDefault="009757C3" w:rsidP="00AC5B73">
            <w:pPr>
              <w:jc w:val="right"/>
              <w:rPr>
                <w:rFonts w:cs="Arial"/>
                <w:color w:val="000000"/>
                <w:sz w:val="18"/>
                <w:szCs w:val="20"/>
              </w:rPr>
            </w:pPr>
            <w:r w:rsidRPr="009757C3">
              <w:rPr>
                <w:rFonts w:cs="Arial"/>
                <w:color w:val="000000"/>
                <w:sz w:val="18"/>
                <w:szCs w:val="20"/>
              </w:rPr>
              <w:t>11.8%</w:t>
            </w:r>
          </w:p>
        </w:tc>
        <w:tc>
          <w:tcPr>
            <w:tcW w:w="333" w:type="pct"/>
            <w:vAlign w:val="center"/>
          </w:tcPr>
          <w:p w14:paraId="4DCFD613" w14:textId="77EBA961" w:rsidR="009757C3" w:rsidRPr="009757C3" w:rsidRDefault="000C0050" w:rsidP="00AC5B73">
            <w:pPr>
              <w:jc w:val="right"/>
              <w:rPr>
                <w:rFonts w:cs="Arial"/>
                <w:color w:val="000000"/>
                <w:sz w:val="18"/>
                <w:szCs w:val="20"/>
              </w:rPr>
            </w:pPr>
            <w:r>
              <w:rPr>
                <w:rFonts w:cs="Arial"/>
                <w:color w:val="000000"/>
                <w:sz w:val="18"/>
                <w:szCs w:val="20"/>
              </w:rPr>
              <w:t>10.8%</w:t>
            </w:r>
          </w:p>
        </w:tc>
      </w:tr>
      <w:tr w:rsidR="009757C3" w:rsidRPr="009757C3" w14:paraId="19D9D1E7" w14:textId="7945983A" w:rsidTr="00364CA3">
        <w:trPr>
          <w:trHeight w:val="300"/>
        </w:trPr>
        <w:tc>
          <w:tcPr>
            <w:tcW w:w="1327" w:type="pct"/>
            <w:shd w:val="clear" w:color="auto" w:fill="auto"/>
            <w:noWrap/>
            <w:vAlign w:val="center"/>
            <w:hideMark/>
          </w:tcPr>
          <w:p w14:paraId="2DA6D875" w14:textId="77777777" w:rsidR="009757C3" w:rsidRPr="009757C3" w:rsidRDefault="009757C3" w:rsidP="00AC5B73">
            <w:pPr>
              <w:rPr>
                <w:rFonts w:cs="Arial"/>
                <w:color w:val="000000"/>
                <w:sz w:val="20"/>
                <w:szCs w:val="20"/>
              </w:rPr>
            </w:pPr>
            <w:r w:rsidRPr="009757C3">
              <w:rPr>
                <w:rFonts w:cs="Arial"/>
                <w:color w:val="000000"/>
                <w:sz w:val="20"/>
                <w:szCs w:val="20"/>
              </w:rPr>
              <w:t>White – Other British</w:t>
            </w:r>
          </w:p>
        </w:tc>
        <w:tc>
          <w:tcPr>
            <w:tcW w:w="334" w:type="pct"/>
            <w:shd w:val="clear" w:color="auto" w:fill="auto"/>
            <w:noWrap/>
            <w:vAlign w:val="center"/>
            <w:hideMark/>
          </w:tcPr>
          <w:p w14:paraId="74CAB8FF" w14:textId="77777777" w:rsidR="009757C3" w:rsidRPr="009757C3" w:rsidRDefault="009757C3" w:rsidP="00AC5B73">
            <w:pPr>
              <w:jc w:val="right"/>
              <w:rPr>
                <w:rFonts w:cs="Arial"/>
                <w:color w:val="000000"/>
                <w:sz w:val="18"/>
                <w:szCs w:val="20"/>
              </w:rPr>
            </w:pPr>
            <w:r w:rsidRPr="009757C3">
              <w:rPr>
                <w:rFonts w:cs="Arial"/>
                <w:color w:val="000000"/>
                <w:sz w:val="18"/>
                <w:szCs w:val="20"/>
              </w:rPr>
              <w:t>5.0%</w:t>
            </w:r>
          </w:p>
        </w:tc>
        <w:tc>
          <w:tcPr>
            <w:tcW w:w="334" w:type="pct"/>
            <w:shd w:val="clear" w:color="auto" w:fill="auto"/>
            <w:noWrap/>
            <w:vAlign w:val="center"/>
            <w:hideMark/>
          </w:tcPr>
          <w:p w14:paraId="20280D31" w14:textId="77777777" w:rsidR="009757C3" w:rsidRPr="009757C3" w:rsidRDefault="009757C3" w:rsidP="00AC5B73">
            <w:pPr>
              <w:jc w:val="right"/>
              <w:rPr>
                <w:rFonts w:cs="Arial"/>
                <w:color w:val="000000"/>
                <w:sz w:val="18"/>
                <w:szCs w:val="20"/>
              </w:rPr>
            </w:pPr>
            <w:r w:rsidRPr="009757C3">
              <w:rPr>
                <w:rFonts w:cs="Arial"/>
                <w:color w:val="000000"/>
                <w:sz w:val="18"/>
                <w:szCs w:val="20"/>
              </w:rPr>
              <w:t>4.4%</w:t>
            </w:r>
          </w:p>
        </w:tc>
        <w:tc>
          <w:tcPr>
            <w:tcW w:w="334" w:type="pct"/>
            <w:shd w:val="clear" w:color="auto" w:fill="auto"/>
            <w:noWrap/>
            <w:vAlign w:val="center"/>
            <w:hideMark/>
          </w:tcPr>
          <w:p w14:paraId="3B8EE2B3" w14:textId="77777777" w:rsidR="009757C3" w:rsidRPr="009757C3" w:rsidRDefault="009757C3" w:rsidP="00AC5B73">
            <w:pPr>
              <w:jc w:val="right"/>
              <w:rPr>
                <w:rFonts w:cs="Arial"/>
                <w:color w:val="000000"/>
                <w:sz w:val="18"/>
                <w:szCs w:val="20"/>
              </w:rPr>
            </w:pPr>
            <w:r w:rsidRPr="009757C3">
              <w:rPr>
                <w:rFonts w:cs="Arial"/>
                <w:color w:val="000000"/>
                <w:sz w:val="18"/>
                <w:szCs w:val="20"/>
              </w:rPr>
              <w:t>4.4%</w:t>
            </w:r>
          </w:p>
        </w:tc>
        <w:tc>
          <w:tcPr>
            <w:tcW w:w="334" w:type="pct"/>
            <w:shd w:val="clear" w:color="auto" w:fill="auto"/>
            <w:noWrap/>
            <w:vAlign w:val="center"/>
            <w:hideMark/>
          </w:tcPr>
          <w:p w14:paraId="739BB4F5" w14:textId="77777777" w:rsidR="009757C3" w:rsidRPr="009757C3" w:rsidRDefault="009757C3" w:rsidP="00AC5B73">
            <w:pPr>
              <w:jc w:val="right"/>
              <w:rPr>
                <w:rFonts w:cs="Arial"/>
                <w:color w:val="000000"/>
                <w:sz w:val="18"/>
                <w:szCs w:val="20"/>
              </w:rPr>
            </w:pPr>
            <w:r w:rsidRPr="009757C3">
              <w:rPr>
                <w:rFonts w:cs="Arial"/>
                <w:color w:val="000000"/>
                <w:sz w:val="18"/>
                <w:szCs w:val="20"/>
              </w:rPr>
              <w:t>4.4%</w:t>
            </w:r>
          </w:p>
        </w:tc>
        <w:tc>
          <w:tcPr>
            <w:tcW w:w="334" w:type="pct"/>
            <w:shd w:val="clear" w:color="auto" w:fill="auto"/>
            <w:noWrap/>
            <w:vAlign w:val="center"/>
            <w:hideMark/>
          </w:tcPr>
          <w:p w14:paraId="377A033B" w14:textId="77777777" w:rsidR="009757C3" w:rsidRPr="009757C3" w:rsidRDefault="009757C3" w:rsidP="00AC5B73">
            <w:pPr>
              <w:jc w:val="right"/>
              <w:rPr>
                <w:rFonts w:cs="Arial"/>
                <w:color w:val="000000"/>
                <w:sz w:val="18"/>
                <w:szCs w:val="20"/>
              </w:rPr>
            </w:pPr>
            <w:r w:rsidRPr="009757C3">
              <w:rPr>
                <w:rFonts w:cs="Arial"/>
                <w:color w:val="000000"/>
                <w:sz w:val="18"/>
                <w:szCs w:val="20"/>
              </w:rPr>
              <w:t>5.2%</w:t>
            </w:r>
          </w:p>
        </w:tc>
        <w:tc>
          <w:tcPr>
            <w:tcW w:w="334" w:type="pct"/>
            <w:shd w:val="clear" w:color="auto" w:fill="auto"/>
            <w:noWrap/>
            <w:vAlign w:val="center"/>
            <w:hideMark/>
          </w:tcPr>
          <w:p w14:paraId="5EDABB62" w14:textId="77777777" w:rsidR="009757C3" w:rsidRPr="009757C3" w:rsidRDefault="009757C3" w:rsidP="00AC5B73">
            <w:pPr>
              <w:jc w:val="right"/>
              <w:rPr>
                <w:rFonts w:cs="Arial"/>
                <w:color w:val="000000"/>
                <w:sz w:val="18"/>
                <w:szCs w:val="20"/>
              </w:rPr>
            </w:pPr>
            <w:r w:rsidRPr="009757C3">
              <w:rPr>
                <w:rFonts w:cs="Arial"/>
                <w:color w:val="000000"/>
                <w:sz w:val="18"/>
                <w:szCs w:val="20"/>
              </w:rPr>
              <w:t>4.9%</w:t>
            </w:r>
          </w:p>
        </w:tc>
        <w:tc>
          <w:tcPr>
            <w:tcW w:w="334" w:type="pct"/>
            <w:vAlign w:val="center"/>
          </w:tcPr>
          <w:p w14:paraId="08538D59" w14:textId="77777777" w:rsidR="009757C3" w:rsidRPr="009757C3" w:rsidRDefault="009757C3" w:rsidP="00AC5B73">
            <w:pPr>
              <w:jc w:val="right"/>
              <w:rPr>
                <w:rFonts w:cs="Arial"/>
                <w:color w:val="000000"/>
                <w:sz w:val="18"/>
                <w:szCs w:val="20"/>
              </w:rPr>
            </w:pPr>
            <w:r w:rsidRPr="009757C3">
              <w:rPr>
                <w:rFonts w:cs="Arial"/>
                <w:color w:val="000000"/>
                <w:sz w:val="18"/>
                <w:szCs w:val="20"/>
              </w:rPr>
              <w:t>4.5%</w:t>
            </w:r>
          </w:p>
        </w:tc>
        <w:tc>
          <w:tcPr>
            <w:tcW w:w="334" w:type="pct"/>
            <w:shd w:val="clear" w:color="auto" w:fill="auto"/>
            <w:vAlign w:val="center"/>
            <w:hideMark/>
          </w:tcPr>
          <w:p w14:paraId="086254A5" w14:textId="77777777" w:rsidR="009757C3" w:rsidRPr="009757C3" w:rsidRDefault="009757C3" w:rsidP="00AC5B73">
            <w:pPr>
              <w:jc w:val="right"/>
              <w:rPr>
                <w:rFonts w:cs="Arial"/>
                <w:color w:val="000000"/>
                <w:sz w:val="18"/>
                <w:szCs w:val="20"/>
              </w:rPr>
            </w:pPr>
            <w:r w:rsidRPr="009757C3">
              <w:rPr>
                <w:rFonts w:cs="Arial"/>
                <w:color w:val="000000"/>
                <w:sz w:val="18"/>
                <w:szCs w:val="20"/>
              </w:rPr>
              <w:t>4.7%</w:t>
            </w:r>
          </w:p>
        </w:tc>
        <w:tc>
          <w:tcPr>
            <w:tcW w:w="334" w:type="pct"/>
            <w:vAlign w:val="center"/>
          </w:tcPr>
          <w:p w14:paraId="3F55F218" w14:textId="77777777" w:rsidR="009757C3" w:rsidRPr="009757C3" w:rsidRDefault="009757C3" w:rsidP="00AC5B73">
            <w:pPr>
              <w:jc w:val="right"/>
              <w:rPr>
                <w:rFonts w:cs="Arial"/>
                <w:color w:val="000000"/>
                <w:sz w:val="18"/>
                <w:szCs w:val="20"/>
              </w:rPr>
            </w:pPr>
            <w:r w:rsidRPr="009757C3">
              <w:rPr>
                <w:rFonts w:cs="Arial"/>
                <w:color w:val="000000"/>
                <w:sz w:val="18"/>
                <w:szCs w:val="20"/>
              </w:rPr>
              <w:t>5.2%</w:t>
            </w:r>
          </w:p>
        </w:tc>
        <w:tc>
          <w:tcPr>
            <w:tcW w:w="334" w:type="pct"/>
            <w:shd w:val="clear" w:color="auto" w:fill="auto"/>
            <w:noWrap/>
            <w:vAlign w:val="center"/>
            <w:hideMark/>
          </w:tcPr>
          <w:p w14:paraId="5F354661" w14:textId="77777777" w:rsidR="009757C3" w:rsidRPr="009757C3" w:rsidRDefault="009757C3" w:rsidP="00AC5B73">
            <w:pPr>
              <w:jc w:val="right"/>
              <w:rPr>
                <w:rFonts w:cs="Arial"/>
                <w:color w:val="000000"/>
                <w:sz w:val="18"/>
                <w:szCs w:val="20"/>
              </w:rPr>
            </w:pPr>
            <w:r w:rsidRPr="009757C3">
              <w:rPr>
                <w:rFonts w:cs="Arial"/>
                <w:color w:val="000000"/>
                <w:sz w:val="18"/>
                <w:szCs w:val="20"/>
              </w:rPr>
              <w:t>6.0%</w:t>
            </w:r>
          </w:p>
        </w:tc>
        <w:tc>
          <w:tcPr>
            <w:tcW w:w="333" w:type="pct"/>
            <w:vAlign w:val="center"/>
          </w:tcPr>
          <w:p w14:paraId="33852DEE" w14:textId="71C41A1B" w:rsidR="009757C3" w:rsidRPr="009757C3" w:rsidRDefault="000C0050" w:rsidP="00AC5B73">
            <w:pPr>
              <w:jc w:val="right"/>
              <w:rPr>
                <w:rFonts w:cs="Arial"/>
                <w:color w:val="000000"/>
                <w:sz w:val="18"/>
                <w:szCs w:val="20"/>
              </w:rPr>
            </w:pPr>
            <w:r>
              <w:rPr>
                <w:rFonts w:cs="Arial"/>
                <w:color w:val="000000"/>
                <w:sz w:val="18"/>
                <w:szCs w:val="20"/>
              </w:rPr>
              <w:t>6.3%</w:t>
            </w:r>
          </w:p>
        </w:tc>
      </w:tr>
      <w:tr w:rsidR="009757C3" w:rsidRPr="009757C3" w14:paraId="26D5387E" w14:textId="6C867109" w:rsidTr="00364CA3">
        <w:trPr>
          <w:trHeight w:val="300"/>
        </w:trPr>
        <w:tc>
          <w:tcPr>
            <w:tcW w:w="1327" w:type="pct"/>
            <w:shd w:val="clear" w:color="auto" w:fill="auto"/>
            <w:noWrap/>
            <w:vAlign w:val="center"/>
            <w:hideMark/>
          </w:tcPr>
          <w:p w14:paraId="54565C84" w14:textId="77777777" w:rsidR="009757C3" w:rsidRPr="009757C3" w:rsidRDefault="009757C3" w:rsidP="00AC5B73">
            <w:pPr>
              <w:rPr>
                <w:rFonts w:cs="Arial"/>
                <w:color w:val="000000"/>
                <w:sz w:val="20"/>
                <w:szCs w:val="20"/>
              </w:rPr>
            </w:pPr>
            <w:r w:rsidRPr="009757C3">
              <w:rPr>
                <w:rFonts w:cs="Arial"/>
                <w:color w:val="000000"/>
                <w:sz w:val="20"/>
                <w:szCs w:val="20"/>
              </w:rPr>
              <w:t>White – Other</w:t>
            </w:r>
          </w:p>
        </w:tc>
        <w:tc>
          <w:tcPr>
            <w:tcW w:w="334" w:type="pct"/>
            <w:shd w:val="clear" w:color="auto" w:fill="auto"/>
            <w:noWrap/>
            <w:vAlign w:val="center"/>
            <w:hideMark/>
          </w:tcPr>
          <w:p w14:paraId="10280661" w14:textId="77777777" w:rsidR="009757C3" w:rsidRPr="009757C3" w:rsidRDefault="009757C3" w:rsidP="00AC5B73">
            <w:pPr>
              <w:jc w:val="right"/>
              <w:rPr>
                <w:rFonts w:cs="Arial"/>
                <w:color w:val="000000"/>
                <w:sz w:val="18"/>
                <w:szCs w:val="20"/>
              </w:rPr>
            </w:pPr>
            <w:r w:rsidRPr="009757C3">
              <w:rPr>
                <w:rFonts w:cs="Arial"/>
                <w:color w:val="000000"/>
                <w:sz w:val="18"/>
                <w:szCs w:val="20"/>
              </w:rPr>
              <w:t>2.7%</w:t>
            </w:r>
          </w:p>
        </w:tc>
        <w:tc>
          <w:tcPr>
            <w:tcW w:w="334" w:type="pct"/>
            <w:shd w:val="clear" w:color="auto" w:fill="auto"/>
            <w:noWrap/>
            <w:vAlign w:val="center"/>
            <w:hideMark/>
          </w:tcPr>
          <w:p w14:paraId="6A896338" w14:textId="77777777" w:rsidR="009757C3" w:rsidRPr="009757C3" w:rsidRDefault="009757C3" w:rsidP="00AC5B73">
            <w:pPr>
              <w:jc w:val="right"/>
              <w:rPr>
                <w:rFonts w:cs="Arial"/>
                <w:color w:val="000000"/>
                <w:sz w:val="18"/>
                <w:szCs w:val="20"/>
              </w:rPr>
            </w:pPr>
            <w:r w:rsidRPr="009757C3">
              <w:rPr>
                <w:rFonts w:cs="Arial"/>
                <w:color w:val="000000"/>
                <w:sz w:val="18"/>
                <w:szCs w:val="20"/>
              </w:rPr>
              <w:t>3.0%</w:t>
            </w:r>
          </w:p>
        </w:tc>
        <w:tc>
          <w:tcPr>
            <w:tcW w:w="334" w:type="pct"/>
            <w:shd w:val="clear" w:color="auto" w:fill="auto"/>
            <w:noWrap/>
            <w:vAlign w:val="center"/>
            <w:hideMark/>
          </w:tcPr>
          <w:p w14:paraId="33B04D16" w14:textId="77777777" w:rsidR="009757C3" w:rsidRPr="009757C3" w:rsidRDefault="009757C3" w:rsidP="00AC5B73">
            <w:pPr>
              <w:jc w:val="right"/>
              <w:rPr>
                <w:rFonts w:cs="Arial"/>
                <w:color w:val="000000"/>
                <w:sz w:val="18"/>
                <w:szCs w:val="20"/>
              </w:rPr>
            </w:pPr>
            <w:r w:rsidRPr="009757C3">
              <w:rPr>
                <w:rFonts w:cs="Arial"/>
                <w:color w:val="000000"/>
                <w:sz w:val="18"/>
                <w:szCs w:val="20"/>
              </w:rPr>
              <w:t>3.4%</w:t>
            </w:r>
          </w:p>
        </w:tc>
        <w:tc>
          <w:tcPr>
            <w:tcW w:w="334" w:type="pct"/>
            <w:shd w:val="clear" w:color="auto" w:fill="auto"/>
            <w:noWrap/>
            <w:vAlign w:val="center"/>
            <w:hideMark/>
          </w:tcPr>
          <w:p w14:paraId="0D8A147F" w14:textId="77777777" w:rsidR="009757C3" w:rsidRPr="009757C3" w:rsidRDefault="009757C3" w:rsidP="00AC5B73">
            <w:pPr>
              <w:jc w:val="right"/>
              <w:rPr>
                <w:rFonts w:cs="Arial"/>
                <w:color w:val="000000"/>
                <w:sz w:val="18"/>
                <w:szCs w:val="20"/>
              </w:rPr>
            </w:pPr>
            <w:r w:rsidRPr="009757C3">
              <w:rPr>
                <w:rFonts w:cs="Arial"/>
                <w:color w:val="000000"/>
                <w:sz w:val="18"/>
                <w:szCs w:val="20"/>
              </w:rPr>
              <w:t>3.4%</w:t>
            </w:r>
          </w:p>
        </w:tc>
        <w:tc>
          <w:tcPr>
            <w:tcW w:w="334" w:type="pct"/>
            <w:shd w:val="clear" w:color="auto" w:fill="auto"/>
            <w:noWrap/>
            <w:vAlign w:val="center"/>
            <w:hideMark/>
          </w:tcPr>
          <w:p w14:paraId="0540F4E7" w14:textId="77777777" w:rsidR="009757C3" w:rsidRPr="009757C3" w:rsidRDefault="009757C3" w:rsidP="00AC5B73">
            <w:pPr>
              <w:jc w:val="right"/>
              <w:rPr>
                <w:rFonts w:cs="Arial"/>
                <w:color w:val="000000"/>
                <w:sz w:val="18"/>
                <w:szCs w:val="20"/>
              </w:rPr>
            </w:pPr>
            <w:r w:rsidRPr="009757C3">
              <w:rPr>
                <w:rFonts w:cs="Arial"/>
                <w:color w:val="000000"/>
                <w:sz w:val="18"/>
                <w:szCs w:val="20"/>
              </w:rPr>
              <w:t>5.2%</w:t>
            </w:r>
          </w:p>
        </w:tc>
        <w:tc>
          <w:tcPr>
            <w:tcW w:w="334" w:type="pct"/>
            <w:shd w:val="clear" w:color="auto" w:fill="auto"/>
            <w:noWrap/>
            <w:vAlign w:val="center"/>
            <w:hideMark/>
          </w:tcPr>
          <w:p w14:paraId="27FFEE34" w14:textId="77777777" w:rsidR="009757C3" w:rsidRPr="009757C3" w:rsidRDefault="009757C3" w:rsidP="00AC5B73">
            <w:pPr>
              <w:jc w:val="right"/>
              <w:rPr>
                <w:rFonts w:cs="Arial"/>
                <w:color w:val="000000"/>
                <w:sz w:val="18"/>
                <w:szCs w:val="20"/>
              </w:rPr>
            </w:pPr>
            <w:r w:rsidRPr="009757C3">
              <w:rPr>
                <w:rFonts w:cs="Arial"/>
                <w:color w:val="000000"/>
                <w:sz w:val="18"/>
                <w:szCs w:val="20"/>
              </w:rPr>
              <w:t>5.5%</w:t>
            </w:r>
          </w:p>
        </w:tc>
        <w:tc>
          <w:tcPr>
            <w:tcW w:w="334" w:type="pct"/>
            <w:vAlign w:val="center"/>
          </w:tcPr>
          <w:p w14:paraId="206201C8" w14:textId="77777777" w:rsidR="009757C3" w:rsidRPr="009757C3" w:rsidRDefault="009757C3" w:rsidP="00AC5B73">
            <w:pPr>
              <w:jc w:val="right"/>
              <w:rPr>
                <w:rFonts w:cs="Arial"/>
                <w:color w:val="000000"/>
                <w:sz w:val="18"/>
                <w:szCs w:val="20"/>
              </w:rPr>
            </w:pPr>
            <w:r w:rsidRPr="009757C3">
              <w:rPr>
                <w:rFonts w:cs="Arial"/>
                <w:color w:val="000000"/>
                <w:sz w:val="18"/>
                <w:szCs w:val="20"/>
              </w:rPr>
              <w:t>3.5%</w:t>
            </w:r>
          </w:p>
        </w:tc>
        <w:tc>
          <w:tcPr>
            <w:tcW w:w="334" w:type="pct"/>
            <w:shd w:val="clear" w:color="auto" w:fill="auto"/>
            <w:vAlign w:val="center"/>
            <w:hideMark/>
          </w:tcPr>
          <w:p w14:paraId="6AEB14AB" w14:textId="77777777" w:rsidR="009757C3" w:rsidRPr="009757C3" w:rsidRDefault="009757C3" w:rsidP="00AC5B73">
            <w:pPr>
              <w:jc w:val="right"/>
              <w:rPr>
                <w:rFonts w:cs="Arial"/>
                <w:color w:val="000000"/>
                <w:sz w:val="18"/>
                <w:szCs w:val="20"/>
              </w:rPr>
            </w:pPr>
            <w:r w:rsidRPr="009757C3">
              <w:rPr>
                <w:rFonts w:cs="Arial"/>
                <w:color w:val="000000"/>
                <w:sz w:val="18"/>
                <w:szCs w:val="20"/>
              </w:rPr>
              <w:t>3.8%</w:t>
            </w:r>
          </w:p>
        </w:tc>
        <w:tc>
          <w:tcPr>
            <w:tcW w:w="334" w:type="pct"/>
            <w:vAlign w:val="center"/>
          </w:tcPr>
          <w:p w14:paraId="5784DB1B" w14:textId="77777777" w:rsidR="009757C3" w:rsidRPr="009757C3" w:rsidRDefault="009757C3" w:rsidP="00AC5B73">
            <w:pPr>
              <w:jc w:val="right"/>
              <w:rPr>
                <w:rFonts w:cs="Arial"/>
                <w:color w:val="000000"/>
                <w:sz w:val="18"/>
                <w:szCs w:val="20"/>
              </w:rPr>
            </w:pPr>
            <w:r w:rsidRPr="009757C3">
              <w:rPr>
                <w:rFonts w:cs="Arial"/>
                <w:color w:val="000000"/>
                <w:sz w:val="18"/>
                <w:szCs w:val="20"/>
              </w:rPr>
              <w:t>3.5%</w:t>
            </w:r>
          </w:p>
        </w:tc>
        <w:tc>
          <w:tcPr>
            <w:tcW w:w="334" w:type="pct"/>
            <w:shd w:val="clear" w:color="auto" w:fill="auto"/>
            <w:noWrap/>
            <w:vAlign w:val="center"/>
            <w:hideMark/>
          </w:tcPr>
          <w:p w14:paraId="1ED685BC" w14:textId="77777777" w:rsidR="009757C3" w:rsidRPr="009757C3" w:rsidRDefault="009757C3" w:rsidP="00AC5B73">
            <w:pPr>
              <w:jc w:val="right"/>
              <w:rPr>
                <w:rFonts w:cs="Arial"/>
                <w:color w:val="000000"/>
                <w:sz w:val="18"/>
                <w:szCs w:val="20"/>
              </w:rPr>
            </w:pPr>
            <w:r w:rsidRPr="009757C3">
              <w:rPr>
                <w:rFonts w:cs="Arial"/>
                <w:color w:val="000000"/>
                <w:sz w:val="18"/>
                <w:szCs w:val="20"/>
              </w:rPr>
              <w:t>3.5%</w:t>
            </w:r>
          </w:p>
        </w:tc>
        <w:tc>
          <w:tcPr>
            <w:tcW w:w="333" w:type="pct"/>
            <w:vAlign w:val="center"/>
          </w:tcPr>
          <w:p w14:paraId="2FE70E62" w14:textId="3C0282F8" w:rsidR="009757C3" w:rsidRPr="009757C3" w:rsidRDefault="000C0050" w:rsidP="00AC5B73">
            <w:pPr>
              <w:jc w:val="right"/>
              <w:rPr>
                <w:rFonts w:cs="Arial"/>
                <w:color w:val="000000"/>
                <w:sz w:val="18"/>
                <w:szCs w:val="20"/>
              </w:rPr>
            </w:pPr>
            <w:r>
              <w:rPr>
                <w:rFonts w:cs="Arial"/>
                <w:color w:val="000000"/>
                <w:sz w:val="18"/>
                <w:szCs w:val="20"/>
              </w:rPr>
              <w:t>3.8%</w:t>
            </w:r>
          </w:p>
        </w:tc>
      </w:tr>
      <w:tr w:rsidR="009757C3" w:rsidRPr="009757C3" w14:paraId="5179F624" w14:textId="56E65831" w:rsidTr="00364CA3">
        <w:trPr>
          <w:trHeight w:val="300"/>
        </w:trPr>
        <w:tc>
          <w:tcPr>
            <w:tcW w:w="1327" w:type="pct"/>
            <w:shd w:val="clear" w:color="auto" w:fill="auto"/>
            <w:noWrap/>
            <w:vAlign w:val="center"/>
            <w:hideMark/>
          </w:tcPr>
          <w:p w14:paraId="5CE50048" w14:textId="77777777" w:rsidR="009757C3" w:rsidRPr="009757C3" w:rsidRDefault="009757C3" w:rsidP="00AC5B73">
            <w:pPr>
              <w:rPr>
                <w:rFonts w:cs="Arial"/>
                <w:color w:val="000000"/>
                <w:sz w:val="20"/>
                <w:szCs w:val="20"/>
              </w:rPr>
            </w:pPr>
            <w:r w:rsidRPr="009757C3">
              <w:rPr>
                <w:rFonts w:cs="Arial"/>
                <w:color w:val="000000"/>
                <w:sz w:val="20"/>
                <w:szCs w:val="20"/>
              </w:rPr>
              <w:t>Prefer not to say</w:t>
            </w:r>
          </w:p>
        </w:tc>
        <w:tc>
          <w:tcPr>
            <w:tcW w:w="334" w:type="pct"/>
            <w:shd w:val="clear" w:color="auto" w:fill="auto"/>
            <w:noWrap/>
            <w:vAlign w:val="center"/>
            <w:hideMark/>
          </w:tcPr>
          <w:p w14:paraId="5848A112" w14:textId="77777777" w:rsidR="009757C3" w:rsidRPr="009757C3" w:rsidRDefault="009757C3" w:rsidP="00AC5B73">
            <w:pPr>
              <w:jc w:val="right"/>
              <w:rPr>
                <w:rFonts w:cs="Arial"/>
                <w:color w:val="000000"/>
                <w:sz w:val="18"/>
                <w:szCs w:val="20"/>
              </w:rPr>
            </w:pPr>
            <w:r w:rsidRPr="009757C3">
              <w:rPr>
                <w:rFonts w:cs="Arial"/>
                <w:color w:val="000000"/>
                <w:sz w:val="18"/>
                <w:szCs w:val="20"/>
              </w:rPr>
              <w:t>4.7%</w:t>
            </w:r>
          </w:p>
        </w:tc>
        <w:tc>
          <w:tcPr>
            <w:tcW w:w="334" w:type="pct"/>
            <w:shd w:val="clear" w:color="auto" w:fill="auto"/>
            <w:noWrap/>
            <w:vAlign w:val="center"/>
            <w:hideMark/>
          </w:tcPr>
          <w:p w14:paraId="75582459" w14:textId="77777777" w:rsidR="009757C3" w:rsidRPr="009757C3" w:rsidRDefault="009757C3" w:rsidP="00AC5B73">
            <w:pPr>
              <w:jc w:val="right"/>
              <w:rPr>
                <w:rFonts w:cs="Arial"/>
                <w:color w:val="000000"/>
                <w:sz w:val="18"/>
                <w:szCs w:val="20"/>
              </w:rPr>
            </w:pPr>
            <w:r w:rsidRPr="009757C3">
              <w:rPr>
                <w:rFonts w:cs="Arial"/>
                <w:color w:val="000000"/>
                <w:sz w:val="18"/>
                <w:szCs w:val="20"/>
              </w:rPr>
              <w:t>5.2%</w:t>
            </w:r>
          </w:p>
        </w:tc>
        <w:tc>
          <w:tcPr>
            <w:tcW w:w="334" w:type="pct"/>
            <w:shd w:val="clear" w:color="auto" w:fill="auto"/>
            <w:noWrap/>
            <w:vAlign w:val="center"/>
            <w:hideMark/>
          </w:tcPr>
          <w:p w14:paraId="5177715A" w14:textId="77777777" w:rsidR="009757C3" w:rsidRPr="009757C3" w:rsidRDefault="009757C3" w:rsidP="00AC5B73">
            <w:pPr>
              <w:jc w:val="right"/>
              <w:rPr>
                <w:rFonts w:cs="Arial"/>
                <w:color w:val="000000"/>
                <w:sz w:val="18"/>
                <w:szCs w:val="20"/>
              </w:rPr>
            </w:pPr>
            <w:r w:rsidRPr="009757C3">
              <w:rPr>
                <w:rFonts w:cs="Arial"/>
                <w:color w:val="000000"/>
                <w:sz w:val="18"/>
                <w:szCs w:val="20"/>
              </w:rPr>
              <w:t>4.6%</w:t>
            </w:r>
          </w:p>
        </w:tc>
        <w:tc>
          <w:tcPr>
            <w:tcW w:w="334" w:type="pct"/>
            <w:shd w:val="clear" w:color="auto" w:fill="auto"/>
            <w:noWrap/>
            <w:vAlign w:val="center"/>
            <w:hideMark/>
          </w:tcPr>
          <w:p w14:paraId="6E446FD2" w14:textId="77777777" w:rsidR="009757C3" w:rsidRPr="009757C3" w:rsidRDefault="009757C3" w:rsidP="00AC5B73">
            <w:pPr>
              <w:jc w:val="right"/>
              <w:rPr>
                <w:rFonts w:cs="Arial"/>
                <w:color w:val="000000"/>
                <w:sz w:val="18"/>
                <w:szCs w:val="20"/>
              </w:rPr>
            </w:pPr>
            <w:r w:rsidRPr="009757C3">
              <w:rPr>
                <w:rFonts w:cs="Arial"/>
                <w:color w:val="000000"/>
                <w:sz w:val="18"/>
                <w:szCs w:val="20"/>
              </w:rPr>
              <w:t>4.0%</w:t>
            </w:r>
          </w:p>
        </w:tc>
        <w:tc>
          <w:tcPr>
            <w:tcW w:w="334" w:type="pct"/>
            <w:shd w:val="clear" w:color="auto" w:fill="auto"/>
            <w:noWrap/>
            <w:vAlign w:val="center"/>
            <w:hideMark/>
          </w:tcPr>
          <w:p w14:paraId="5282BB3B" w14:textId="77777777" w:rsidR="009757C3" w:rsidRPr="009757C3" w:rsidRDefault="009757C3" w:rsidP="00AC5B73">
            <w:pPr>
              <w:jc w:val="right"/>
              <w:rPr>
                <w:rFonts w:cs="Arial"/>
                <w:color w:val="000000"/>
                <w:sz w:val="18"/>
                <w:szCs w:val="20"/>
              </w:rPr>
            </w:pPr>
            <w:r w:rsidRPr="009757C3">
              <w:rPr>
                <w:rFonts w:cs="Arial"/>
                <w:color w:val="000000"/>
                <w:sz w:val="18"/>
                <w:szCs w:val="20"/>
              </w:rPr>
              <w:t>3.2%</w:t>
            </w:r>
          </w:p>
        </w:tc>
        <w:tc>
          <w:tcPr>
            <w:tcW w:w="334" w:type="pct"/>
            <w:shd w:val="clear" w:color="auto" w:fill="auto"/>
            <w:noWrap/>
            <w:vAlign w:val="center"/>
            <w:hideMark/>
          </w:tcPr>
          <w:p w14:paraId="7C55AEA8" w14:textId="77777777" w:rsidR="009757C3" w:rsidRPr="009757C3" w:rsidRDefault="009757C3" w:rsidP="00AC5B73">
            <w:pPr>
              <w:jc w:val="right"/>
              <w:rPr>
                <w:rFonts w:cs="Arial"/>
                <w:color w:val="000000"/>
                <w:sz w:val="18"/>
                <w:szCs w:val="20"/>
              </w:rPr>
            </w:pPr>
            <w:r w:rsidRPr="009757C3">
              <w:rPr>
                <w:rFonts w:cs="Arial"/>
                <w:color w:val="000000"/>
                <w:sz w:val="18"/>
                <w:szCs w:val="20"/>
              </w:rPr>
              <w:t>3.1%</w:t>
            </w:r>
          </w:p>
        </w:tc>
        <w:tc>
          <w:tcPr>
            <w:tcW w:w="334" w:type="pct"/>
            <w:vAlign w:val="center"/>
          </w:tcPr>
          <w:p w14:paraId="7E1A5644" w14:textId="77777777" w:rsidR="009757C3" w:rsidRPr="009757C3" w:rsidRDefault="009757C3" w:rsidP="00AC5B73">
            <w:pPr>
              <w:jc w:val="right"/>
              <w:rPr>
                <w:rFonts w:cs="Arial"/>
                <w:color w:val="000000"/>
                <w:sz w:val="18"/>
                <w:szCs w:val="20"/>
              </w:rPr>
            </w:pPr>
            <w:r w:rsidRPr="009757C3">
              <w:rPr>
                <w:rFonts w:cs="Arial"/>
                <w:color w:val="000000"/>
                <w:sz w:val="18"/>
                <w:szCs w:val="20"/>
              </w:rPr>
              <w:t>2.9%</w:t>
            </w:r>
          </w:p>
        </w:tc>
        <w:tc>
          <w:tcPr>
            <w:tcW w:w="334" w:type="pct"/>
            <w:shd w:val="clear" w:color="auto" w:fill="auto"/>
            <w:vAlign w:val="center"/>
            <w:hideMark/>
          </w:tcPr>
          <w:p w14:paraId="536C7CFE" w14:textId="77777777" w:rsidR="009757C3" w:rsidRPr="009757C3" w:rsidRDefault="009757C3" w:rsidP="00AC5B73">
            <w:pPr>
              <w:jc w:val="right"/>
              <w:rPr>
                <w:rFonts w:cs="Arial"/>
                <w:color w:val="000000"/>
                <w:sz w:val="18"/>
                <w:szCs w:val="20"/>
              </w:rPr>
            </w:pPr>
            <w:r w:rsidRPr="009757C3">
              <w:rPr>
                <w:rFonts w:cs="Arial"/>
                <w:color w:val="000000"/>
                <w:sz w:val="18"/>
                <w:szCs w:val="20"/>
              </w:rPr>
              <w:t>3.2%</w:t>
            </w:r>
          </w:p>
        </w:tc>
        <w:tc>
          <w:tcPr>
            <w:tcW w:w="334" w:type="pct"/>
            <w:vAlign w:val="center"/>
          </w:tcPr>
          <w:p w14:paraId="0403F3B8" w14:textId="77777777" w:rsidR="009757C3" w:rsidRPr="009757C3" w:rsidRDefault="009757C3" w:rsidP="00AC5B73">
            <w:pPr>
              <w:jc w:val="right"/>
              <w:rPr>
                <w:rFonts w:cs="Arial"/>
                <w:color w:val="000000"/>
                <w:sz w:val="18"/>
                <w:szCs w:val="20"/>
              </w:rPr>
            </w:pPr>
            <w:r w:rsidRPr="009757C3">
              <w:rPr>
                <w:rFonts w:cs="Arial"/>
                <w:color w:val="000000"/>
                <w:sz w:val="18"/>
                <w:szCs w:val="20"/>
              </w:rPr>
              <w:t>3.2%</w:t>
            </w:r>
          </w:p>
        </w:tc>
        <w:tc>
          <w:tcPr>
            <w:tcW w:w="334" w:type="pct"/>
            <w:shd w:val="clear" w:color="auto" w:fill="auto"/>
            <w:noWrap/>
            <w:vAlign w:val="center"/>
            <w:hideMark/>
          </w:tcPr>
          <w:p w14:paraId="26A98C59" w14:textId="77777777" w:rsidR="009757C3" w:rsidRPr="009757C3" w:rsidRDefault="009757C3" w:rsidP="00AC5B73">
            <w:pPr>
              <w:jc w:val="right"/>
              <w:rPr>
                <w:rFonts w:cs="Arial"/>
                <w:color w:val="000000"/>
                <w:sz w:val="18"/>
                <w:szCs w:val="20"/>
              </w:rPr>
            </w:pPr>
            <w:r w:rsidRPr="009757C3">
              <w:rPr>
                <w:rFonts w:cs="Arial"/>
                <w:color w:val="000000"/>
                <w:sz w:val="18"/>
                <w:szCs w:val="20"/>
              </w:rPr>
              <w:t>2.8%</w:t>
            </w:r>
          </w:p>
        </w:tc>
        <w:tc>
          <w:tcPr>
            <w:tcW w:w="333" w:type="pct"/>
            <w:vAlign w:val="center"/>
          </w:tcPr>
          <w:p w14:paraId="281A5FEC" w14:textId="05669AA0" w:rsidR="009757C3" w:rsidRPr="009757C3" w:rsidRDefault="000C0050" w:rsidP="00AC5B73">
            <w:pPr>
              <w:jc w:val="right"/>
              <w:rPr>
                <w:rFonts w:cs="Arial"/>
                <w:color w:val="000000"/>
                <w:sz w:val="18"/>
                <w:szCs w:val="20"/>
              </w:rPr>
            </w:pPr>
            <w:r>
              <w:rPr>
                <w:rFonts w:cs="Arial"/>
                <w:color w:val="000000"/>
                <w:sz w:val="18"/>
                <w:szCs w:val="20"/>
              </w:rPr>
              <w:t>3.0%</w:t>
            </w:r>
          </w:p>
        </w:tc>
      </w:tr>
      <w:tr w:rsidR="009757C3" w:rsidRPr="009757C3" w14:paraId="484315D1" w14:textId="716F9BB1" w:rsidTr="00364CA3">
        <w:trPr>
          <w:trHeight w:val="300"/>
        </w:trPr>
        <w:tc>
          <w:tcPr>
            <w:tcW w:w="1327" w:type="pct"/>
            <w:shd w:val="clear" w:color="auto" w:fill="auto"/>
            <w:noWrap/>
            <w:vAlign w:val="center"/>
            <w:hideMark/>
          </w:tcPr>
          <w:p w14:paraId="4EE4ABAD" w14:textId="77777777" w:rsidR="009757C3" w:rsidRPr="009757C3" w:rsidRDefault="009757C3" w:rsidP="00AC5B73">
            <w:pPr>
              <w:rPr>
                <w:rFonts w:cs="Arial"/>
                <w:color w:val="000000"/>
                <w:sz w:val="20"/>
                <w:szCs w:val="20"/>
              </w:rPr>
            </w:pPr>
            <w:r w:rsidRPr="009757C3">
              <w:rPr>
                <w:rFonts w:cs="Arial"/>
                <w:color w:val="000000"/>
                <w:sz w:val="20"/>
                <w:szCs w:val="20"/>
              </w:rPr>
              <w:t>Asian – Indian</w:t>
            </w:r>
          </w:p>
        </w:tc>
        <w:tc>
          <w:tcPr>
            <w:tcW w:w="334" w:type="pct"/>
            <w:shd w:val="clear" w:color="auto" w:fill="auto"/>
            <w:noWrap/>
            <w:vAlign w:val="center"/>
            <w:hideMark/>
          </w:tcPr>
          <w:p w14:paraId="359AFB91" w14:textId="77777777" w:rsidR="009757C3" w:rsidRPr="009757C3" w:rsidRDefault="009757C3" w:rsidP="00AC5B73">
            <w:pPr>
              <w:jc w:val="right"/>
              <w:rPr>
                <w:rFonts w:cs="Arial"/>
                <w:color w:val="000000"/>
                <w:sz w:val="18"/>
                <w:szCs w:val="20"/>
              </w:rPr>
            </w:pPr>
            <w:r w:rsidRPr="009757C3">
              <w:rPr>
                <w:rFonts w:cs="Arial"/>
                <w:color w:val="000000"/>
                <w:sz w:val="18"/>
                <w:szCs w:val="20"/>
              </w:rPr>
              <w:t>1.9%</w:t>
            </w:r>
          </w:p>
        </w:tc>
        <w:tc>
          <w:tcPr>
            <w:tcW w:w="334" w:type="pct"/>
            <w:shd w:val="clear" w:color="auto" w:fill="auto"/>
            <w:noWrap/>
            <w:vAlign w:val="center"/>
            <w:hideMark/>
          </w:tcPr>
          <w:p w14:paraId="15B1BCD9" w14:textId="77777777" w:rsidR="009757C3" w:rsidRPr="009757C3" w:rsidRDefault="009757C3" w:rsidP="00AC5B73">
            <w:pPr>
              <w:jc w:val="right"/>
              <w:rPr>
                <w:rFonts w:cs="Arial"/>
                <w:color w:val="000000"/>
                <w:sz w:val="18"/>
                <w:szCs w:val="20"/>
              </w:rPr>
            </w:pPr>
            <w:r w:rsidRPr="009757C3">
              <w:rPr>
                <w:rFonts w:cs="Arial"/>
                <w:color w:val="000000"/>
                <w:sz w:val="18"/>
                <w:szCs w:val="20"/>
              </w:rPr>
              <w:t>1.7%</w:t>
            </w:r>
          </w:p>
        </w:tc>
        <w:tc>
          <w:tcPr>
            <w:tcW w:w="334" w:type="pct"/>
            <w:shd w:val="clear" w:color="auto" w:fill="auto"/>
            <w:noWrap/>
            <w:vAlign w:val="center"/>
            <w:hideMark/>
          </w:tcPr>
          <w:p w14:paraId="5EA69C22" w14:textId="77777777" w:rsidR="009757C3" w:rsidRPr="009757C3" w:rsidRDefault="009757C3" w:rsidP="00AC5B73">
            <w:pPr>
              <w:jc w:val="right"/>
              <w:rPr>
                <w:rFonts w:cs="Arial"/>
                <w:color w:val="000000"/>
                <w:sz w:val="18"/>
                <w:szCs w:val="20"/>
              </w:rPr>
            </w:pPr>
            <w:r w:rsidRPr="009757C3">
              <w:rPr>
                <w:rFonts w:cs="Arial"/>
                <w:color w:val="000000"/>
                <w:sz w:val="18"/>
                <w:szCs w:val="20"/>
              </w:rPr>
              <w:t>1.9%</w:t>
            </w:r>
          </w:p>
        </w:tc>
        <w:tc>
          <w:tcPr>
            <w:tcW w:w="334" w:type="pct"/>
            <w:shd w:val="clear" w:color="auto" w:fill="auto"/>
            <w:noWrap/>
            <w:vAlign w:val="center"/>
            <w:hideMark/>
          </w:tcPr>
          <w:p w14:paraId="38C0B33F" w14:textId="77777777" w:rsidR="009757C3" w:rsidRPr="009757C3" w:rsidRDefault="009757C3" w:rsidP="00AC5B73">
            <w:pPr>
              <w:jc w:val="right"/>
              <w:rPr>
                <w:rFonts w:cs="Arial"/>
                <w:color w:val="000000"/>
                <w:sz w:val="18"/>
                <w:szCs w:val="20"/>
              </w:rPr>
            </w:pPr>
            <w:r w:rsidRPr="009757C3">
              <w:rPr>
                <w:rFonts w:cs="Arial"/>
                <w:color w:val="000000"/>
                <w:sz w:val="18"/>
                <w:szCs w:val="20"/>
              </w:rPr>
              <w:t>2.0%</w:t>
            </w:r>
          </w:p>
        </w:tc>
        <w:tc>
          <w:tcPr>
            <w:tcW w:w="334" w:type="pct"/>
            <w:shd w:val="clear" w:color="auto" w:fill="auto"/>
            <w:noWrap/>
            <w:vAlign w:val="center"/>
            <w:hideMark/>
          </w:tcPr>
          <w:p w14:paraId="53A94B22" w14:textId="77777777" w:rsidR="009757C3" w:rsidRPr="009757C3" w:rsidRDefault="009757C3" w:rsidP="00AC5B73">
            <w:pPr>
              <w:jc w:val="right"/>
              <w:rPr>
                <w:rFonts w:cs="Arial"/>
                <w:color w:val="000000"/>
                <w:sz w:val="18"/>
                <w:szCs w:val="20"/>
              </w:rPr>
            </w:pPr>
            <w:r w:rsidRPr="009757C3">
              <w:rPr>
                <w:rFonts w:cs="Arial"/>
                <w:color w:val="000000"/>
                <w:sz w:val="18"/>
                <w:szCs w:val="20"/>
              </w:rPr>
              <w:t>1.8%</w:t>
            </w:r>
          </w:p>
        </w:tc>
        <w:tc>
          <w:tcPr>
            <w:tcW w:w="334" w:type="pct"/>
            <w:shd w:val="clear" w:color="auto" w:fill="auto"/>
            <w:noWrap/>
            <w:vAlign w:val="center"/>
            <w:hideMark/>
          </w:tcPr>
          <w:p w14:paraId="20B429A0" w14:textId="77777777" w:rsidR="009757C3" w:rsidRPr="009757C3" w:rsidRDefault="009757C3" w:rsidP="00AC5B73">
            <w:pPr>
              <w:jc w:val="right"/>
              <w:rPr>
                <w:rFonts w:cs="Arial"/>
                <w:color w:val="000000"/>
                <w:sz w:val="18"/>
                <w:szCs w:val="20"/>
              </w:rPr>
            </w:pPr>
            <w:r w:rsidRPr="009757C3">
              <w:rPr>
                <w:rFonts w:cs="Arial"/>
                <w:color w:val="000000"/>
                <w:sz w:val="18"/>
                <w:szCs w:val="20"/>
              </w:rPr>
              <w:t>2.0%</w:t>
            </w:r>
          </w:p>
        </w:tc>
        <w:tc>
          <w:tcPr>
            <w:tcW w:w="334" w:type="pct"/>
            <w:vAlign w:val="center"/>
          </w:tcPr>
          <w:p w14:paraId="3AADA389" w14:textId="77777777" w:rsidR="009757C3" w:rsidRPr="009757C3" w:rsidRDefault="009757C3" w:rsidP="00AC5B73">
            <w:pPr>
              <w:jc w:val="right"/>
              <w:rPr>
                <w:rFonts w:cs="Arial"/>
                <w:color w:val="000000"/>
                <w:sz w:val="18"/>
                <w:szCs w:val="20"/>
              </w:rPr>
            </w:pPr>
            <w:r w:rsidRPr="009757C3">
              <w:rPr>
                <w:rFonts w:cs="Arial"/>
                <w:color w:val="000000"/>
                <w:sz w:val="18"/>
                <w:szCs w:val="20"/>
              </w:rPr>
              <w:t>2.5%</w:t>
            </w:r>
          </w:p>
        </w:tc>
        <w:tc>
          <w:tcPr>
            <w:tcW w:w="334" w:type="pct"/>
            <w:shd w:val="clear" w:color="auto" w:fill="auto"/>
            <w:vAlign w:val="center"/>
            <w:hideMark/>
          </w:tcPr>
          <w:p w14:paraId="32679264" w14:textId="77777777" w:rsidR="009757C3" w:rsidRPr="009757C3" w:rsidRDefault="009757C3" w:rsidP="00AC5B73">
            <w:pPr>
              <w:jc w:val="right"/>
              <w:rPr>
                <w:rFonts w:cs="Arial"/>
                <w:color w:val="000000"/>
                <w:sz w:val="18"/>
                <w:szCs w:val="20"/>
              </w:rPr>
            </w:pPr>
            <w:r w:rsidRPr="009757C3">
              <w:rPr>
                <w:rFonts w:cs="Arial"/>
                <w:color w:val="000000"/>
                <w:sz w:val="18"/>
                <w:szCs w:val="20"/>
              </w:rPr>
              <w:t>2.3%</w:t>
            </w:r>
          </w:p>
        </w:tc>
        <w:tc>
          <w:tcPr>
            <w:tcW w:w="334" w:type="pct"/>
            <w:vAlign w:val="center"/>
          </w:tcPr>
          <w:p w14:paraId="4A67D514" w14:textId="77777777" w:rsidR="009757C3" w:rsidRPr="009757C3" w:rsidRDefault="009757C3" w:rsidP="00AC5B73">
            <w:pPr>
              <w:jc w:val="right"/>
              <w:rPr>
                <w:rFonts w:cs="Arial"/>
                <w:color w:val="000000"/>
                <w:sz w:val="18"/>
                <w:szCs w:val="20"/>
              </w:rPr>
            </w:pPr>
            <w:r w:rsidRPr="009757C3">
              <w:rPr>
                <w:rFonts w:cs="Arial"/>
                <w:color w:val="000000"/>
                <w:sz w:val="18"/>
                <w:szCs w:val="20"/>
              </w:rPr>
              <w:t>2.3%</w:t>
            </w:r>
          </w:p>
        </w:tc>
        <w:tc>
          <w:tcPr>
            <w:tcW w:w="334" w:type="pct"/>
            <w:shd w:val="clear" w:color="auto" w:fill="auto"/>
            <w:noWrap/>
            <w:vAlign w:val="center"/>
            <w:hideMark/>
          </w:tcPr>
          <w:p w14:paraId="0C663670" w14:textId="77777777" w:rsidR="009757C3" w:rsidRPr="009757C3" w:rsidRDefault="009757C3" w:rsidP="00AC5B73">
            <w:pPr>
              <w:jc w:val="right"/>
              <w:rPr>
                <w:rFonts w:cs="Arial"/>
                <w:color w:val="000000"/>
                <w:sz w:val="18"/>
                <w:szCs w:val="20"/>
              </w:rPr>
            </w:pPr>
            <w:r w:rsidRPr="009757C3">
              <w:rPr>
                <w:rFonts w:cs="Arial"/>
                <w:color w:val="000000"/>
                <w:sz w:val="18"/>
                <w:szCs w:val="20"/>
              </w:rPr>
              <w:t>2.4%</w:t>
            </w:r>
          </w:p>
        </w:tc>
        <w:tc>
          <w:tcPr>
            <w:tcW w:w="333" w:type="pct"/>
            <w:vAlign w:val="center"/>
          </w:tcPr>
          <w:p w14:paraId="02A3F95C" w14:textId="6DCF5577" w:rsidR="009757C3" w:rsidRPr="009757C3" w:rsidRDefault="000C0050" w:rsidP="00AC5B73">
            <w:pPr>
              <w:jc w:val="right"/>
              <w:rPr>
                <w:rFonts w:cs="Arial"/>
                <w:color w:val="000000"/>
                <w:sz w:val="18"/>
                <w:szCs w:val="20"/>
              </w:rPr>
            </w:pPr>
            <w:r>
              <w:rPr>
                <w:rFonts w:cs="Arial"/>
                <w:color w:val="000000"/>
                <w:sz w:val="18"/>
                <w:szCs w:val="20"/>
              </w:rPr>
              <w:t>2.5%</w:t>
            </w:r>
          </w:p>
        </w:tc>
      </w:tr>
      <w:tr w:rsidR="009757C3" w:rsidRPr="009757C3" w14:paraId="61FE6A20" w14:textId="716DC173" w:rsidTr="00364CA3">
        <w:trPr>
          <w:trHeight w:val="300"/>
        </w:trPr>
        <w:tc>
          <w:tcPr>
            <w:tcW w:w="1327" w:type="pct"/>
            <w:shd w:val="clear" w:color="auto" w:fill="auto"/>
            <w:noWrap/>
            <w:vAlign w:val="center"/>
            <w:hideMark/>
          </w:tcPr>
          <w:p w14:paraId="50A8D66E" w14:textId="6490615A" w:rsidR="009757C3" w:rsidRPr="00054373" w:rsidRDefault="009757C3" w:rsidP="00AC5B73">
            <w:pPr>
              <w:rPr>
                <w:rFonts w:cs="Arial"/>
                <w:color w:val="000000"/>
                <w:sz w:val="20"/>
                <w:szCs w:val="20"/>
                <w:vertAlign w:val="superscript"/>
              </w:rPr>
            </w:pPr>
            <w:r w:rsidRPr="009757C3">
              <w:rPr>
                <w:rFonts w:cs="Arial"/>
                <w:color w:val="000000"/>
                <w:sz w:val="20"/>
                <w:szCs w:val="20"/>
              </w:rPr>
              <w:t>White – Irish</w:t>
            </w:r>
          </w:p>
        </w:tc>
        <w:tc>
          <w:tcPr>
            <w:tcW w:w="334" w:type="pct"/>
            <w:shd w:val="clear" w:color="auto" w:fill="auto"/>
            <w:noWrap/>
            <w:vAlign w:val="center"/>
            <w:hideMark/>
          </w:tcPr>
          <w:p w14:paraId="78371C30"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754162A8"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6872C5BC"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16189D22"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4950E10A"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3ED6259C"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vAlign w:val="center"/>
          </w:tcPr>
          <w:p w14:paraId="386D9781" w14:textId="77777777" w:rsidR="009757C3" w:rsidRPr="009757C3" w:rsidRDefault="009757C3" w:rsidP="00AC5B73">
            <w:pPr>
              <w:jc w:val="right"/>
              <w:rPr>
                <w:rFonts w:cs="Arial"/>
                <w:color w:val="000000"/>
                <w:sz w:val="18"/>
                <w:szCs w:val="20"/>
              </w:rPr>
            </w:pPr>
            <w:r w:rsidRPr="009757C3">
              <w:rPr>
                <w:rFonts w:cs="Arial"/>
                <w:color w:val="000000"/>
                <w:sz w:val="18"/>
                <w:szCs w:val="20"/>
              </w:rPr>
              <w:t>1.2%</w:t>
            </w:r>
          </w:p>
        </w:tc>
        <w:tc>
          <w:tcPr>
            <w:tcW w:w="334" w:type="pct"/>
            <w:shd w:val="clear" w:color="auto" w:fill="auto"/>
            <w:vAlign w:val="center"/>
            <w:hideMark/>
          </w:tcPr>
          <w:p w14:paraId="5F5A14CA" w14:textId="77777777" w:rsidR="009757C3" w:rsidRPr="009757C3" w:rsidRDefault="009757C3" w:rsidP="00AC5B73">
            <w:pPr>
              <w:jc w:val="right"/>
              <w:rPr>
                <w:rFonts w:cs="Arial"/>
                <w:color w:val="000000"/>
                <w:sz w:val="18"/>
                <w:szCs w:val="20"/>
              </w:rPr>
            </w:pPr>
            <w:r w:rsidRPr="009757C3">
              <w:rPr>
                <w:rFonts w:cs="Arial"/>
                <w:color w:val="000000"/>
                <w:sz w:val="18"/>
                <w:szCs w:val="20"/>
              </w:rPr>
              <w:t>1.3%</w:t>
            </w:r>
          </w:p>
        </w:tc>
        <w:tc>
          <w:tcPr>
            <w:tcW w:w="334" w:type="pct"/>
            <w:vAlign w:val="center"/>
          </w:tcPr>
          <w:p w14:paraId="1DDC7CED" w14:textId="77777777" w:rsidR="009757C3" w:rsidRPr="009757C3" w:rsidRDefault="009757C3" w:rsidP="00AC5B73">
            <w:pPr>
              <w:jc w:val="right"/>
              <w:rPr>
                <w:rFonts w:cs="Arial"/>
                <w:color w:val="000000"/>
                <w:sz w:val="18"/>
                <w:szCs w:val="20"/>
              </w:rPr>
            </w:pPr>
            <w:r w:rsidRPr="009757C3">
              <w:rPr>
                <w:rFonts w:cs="Arial"/>
                <w:color w:val="000000"/>
                <w:sz w:val="18"/>
                <w:szCs w:val="20"/>
              </w:rPr>
              <w:t>1.3%</w:t>
            </w:r>
          </w:p>
        </w:tc>
        <w:tc>
          <w:tcPr>
            <w:tcW w:w="334" w:type="pct"/>
            <w:shd w:val="clear" w:color="auto" w:fill="auto"/>
            <w:noWrap/>
            <w:vAlign w:val="center"/>
            <w:hideMark/>
          </w:tcPr>
          <w:p w14:paraId="2EB14705" w14:textId="77777777" w:rsidR="009757C3" w:rsidRPr="009757C3" w:rsidRDefault="009757C3" w:rsidP="00AC5B73">
            <w:pPr>
              <w:jc w:val="right"/>
              <w:rPr>
                <w:rFonts w:cs="Arial"/>
                <w:color w:val="000000"/>
                <w:sz w:val="18"/>
                <w:szCs w:val="20"/>
              </w:rPr>
            </w:pPr>
            <w:r w:rsidRPr="009757C3">
              <w:rPr>
                <w:rFonts w:cs="Arial"/>
                <w:color w:val="000000"/>
                <w:sz w:val="18"/>
                <w:szCs w:val="20"/>
              </w:rPr>
              <w:t>1.3%</w:t>
            </w:r>
          </w:p>
        </w:tc>
        <w:tc>
          <w:tcPr>
            <w:tcW w:w="333" w:type="pct"/>
            <w:vAlign w:val="center"/>
          </w:tcPr>
          <w:p w14:paraId="009ADBD4" w14:textId="1E63F772" w:rsidR="009757C3" w:rsidRPr="009757C3" w:rsidRDefault="000C0050" w:rsidP="00AC5B73">
            <w:pPr>
              <w:jc w:val="right"/>
              <w:rPr>
                <w:rFonts w:cs="Arial"/>
                <w:color w:val="000000"/>
                <w:sz w:val="18"/>
                <w:szCs w:val="20"/>
              </w:rPr>
            </w:pPr>
            <w:r>
              <w:rPr>
                <w:rFonts w:cs="Arial"/>
                <w:color w:val="000000"/>
                <w:sz w:val="18"/>
                <w:szCs w:val="20"/>
              </w:rPr>
              <w:t>1.5%</w:t>
            </w:r>
          </w:p>
        </w:tc>
      </w:tr>
      <w:tr w:rsidR="009757C3" w:rsidRPr="009757C3" w14:paraId="6594251D" w14:textId="1602FEFF" w:rsidTr="00364CA3">
        <w:trPr>
          <w:trHeight w:val="300"/>
        </w:trPr>
        <w:tc>
          <w:tcPr>
            <w:tcW w:w="1327" w:type="pct"/>
            <w:shd w:val="clear" w:color="auto" w:fill="auto"/>
            <w:noWrap/>
            <w:vAlign w:val="center"/>
            <w:hideMark/>
          </w:tcPr>
          <w:p w14:paraId="783A2942" w14:textId="77777777" w:rsidR="009757C3" w:rsidRPr="009757C3" w:rsidRDefault="009757C3" w:rsidP="00AC5B73">
            <w:pPr>
              <w:rPr>
                <w:rFonts w:cs="Arial"/>
                <w:color w:val="000000"/>
                <w:sz w:val="20"/>
                <w:szCs w:val="20"/>
              </w:rPr>
            </w:pPr>
            <w:r w:rsidRPr="009757C3">
              <w:rPr>
                <w:rFonts w:cs="Arial"/>
                <w:color w:val="000000"/>
                <w:sz w:val="20"/>
                <w:szCs w:val="20"/>
              </w:rPr>
              <w:t>Asian – Other</w:t>
            </w:r>
          </w:p>
        </w:tc>
        <w:tc>
          <w:tcPr>
            <w:tcW w:w="334" w:type="pct"/>
            <w:shd w:val="clear" w:color="auto" w:fill="auto"/>
            <w:noWrap/>
            <w:vAlign w:val="center"/>
            <w:hideMark/>
          </w:tcPr>
          <w:p w14:paraId="6A4DCECC" w14:textId="77777777" w:rsidR="009757C3" w:rsidRPr="009757C3" w:rsidRDefault="009757C3" w:rsidP="00AC5B73">
            <w:pPr>
              <w:jc w:val="right"/>
              <w:rPr>
                <w:rFonts w:cs="Arial"/>
                <w:color w:val="000000"/>
                <w:sz w:val="18"/>
                <w:szCs w:val="20"/>
              </w:rPr>
            </w:pPr>
            <w:r w:rsidRPr="009757C3">
              <w:rPr>
                <w:rFonts w:cs="Arial"/>
                <w:color w:val="000000"/>
                <w:sz w:val="18"/>
                <w:szCs w:val="20"/>
              </w:rPr>
              <w:t>1.5%</w:t>
            </w:r>
          </w:p>
        </w:tc>
        <w:tc>
          <w:tcPr>
            <w:tcW w:w="334" w:type="pct"/>
            <w:shd w:val="clear" w:color="auto" w:fill="auto"/>
            <w:noWrap/>
            <w:vAlign w:val="center"/>
            <w:hideMark/>
          </w:tcPr>
          <w:p w14:paraId="460351D5" w14:textId="77777777" w:rsidR="009757C3" w:rsidRPr="009757C3" w:rsidRDefault="009757C3" w:rsidP="00AC5B73">
            <w:pPr>
              <w:jc w:val="right"/>
              <w:rPr>
                <w:rFonts w:cs="Arial"/>
                <w:color w:val="000000"/>
                <w:sz w:val="18"/>
                <w:szCs w:val="20"/>
              </w:rPr>
            </w:pPr>
            <w:r w:rsidRPr="009757C3">
              <w:rPr>
                <w:rFonts w:cs="Arial"/>
                <w:color w:val="000000"/>
                <w:sz w:val="18"/>
                <w:szCs w:val="20"/>
              </w:rPr>
              <w:t>1.4%</w:t>
            </w:r>
          </w:p>
        </w:tc>
        <w:tc>
          <w:tcPr>
            <w:tcW w:w="334" w:type="pct"/>
            <w:shd w:val="clear" w:color="auto" w:fill="auto"/>
            <w:noWrap/>
            <w:vAlign w:val="center"/>
            <w:hideMark/>
          </w:tcPr>
          <w:p w14:paraId="08673D89" w14:textId="77777777" w:rsidR="009757C3" w:rsidRPr="009757C3" w:rsidRDefault="009757C3" w:rsidP="00AC5B73">
            <w:pPr>
              <w:jc w:val="right"/>
              <w:rPr>
                <w:rFonts w:cs="Arial"/>
                <w:color w:val="000000"/>
                <w:sz w:val="18"/>
                <w:szCs w:val="20"/>
              </w:rPr>
            </w:pPr>
            <w:r w:rsidRPr="009757C3">
              <w:rPr>
                <w:rFonts w:cs="Arial"/>
                <w:color w:val="000000"/>
                <w:sz w:val="18"/>
                <w:szCs w:val="20"/>
              </w:rPr>
              <w:t>1.4%</w:t>
            </w:r>
          </w:p>
        </w:tc>
        <w:tc>
          <w:tcPr>
            <w:tcW w:w="334" w:type="pct"/>
            <w:shd w:val="clear" w:color="auto" w:fill="auto"/>
            <w:noWrap/>
            <w:vAlign w:val="center"/>
            <w:hideMark/>
          </w:tcPr>
          <w:p w14:paraId="7BB06C7C" w14:textId="77777777" w:rsidR="009757C3" w:rsidRPr="009757C3" w:rsidRDefault="009757C3" w:rsidP="00AC5B73">
            <w:pPr>
              <w:jc w:val="right"/>
              <w:rPr>
                <w:rFonts w:cs="Arial"/>
                <w:color w:val="000000"/>
                <w:sz w:val="18"/>
                <w:szCs w:val="20"/>
              </w:rPr>
            </w:pPr>
            <w:r w:rsidRPr="009757C3">
              <w:rPr>
                <w:rFonts w:cs="Arial"/>
                <w:color w:val="000000"/>
                <w:sz w:val="18"/>
                <w:szCs w:val="20"/>
              </w:rPr>
              <w:t>2.4%</w:t>
            </w:r>
          </w:p>
        </w:tc>
        <w:tc>
          <w:tcPr>
            <w:tcW w:w="334" w:type="pct"/>
            <w:shd w:val="clear" w:color="auto" w:fill="auto"/>
            <w:noWrap/>
            <w:vAlign w:val="center"/>
            <w:hideMark/>
          </w:tcPr>
          <w:p w14:paraId="3A3EC855" w14:textId="77777777" w:rsidR="009757C3" w:rsidRPr="009757C3" w:rsidRDefault="009757C3" w:rsidP="00AC5B73">
            <w:pPr>
              <w:jc w:val="right"/>
              <w:rPr>
                <w:rFonts w:cs="Arial"/>
                <w:color w:val="000000"/>
                <w:sz w:val="18"/>
                <w:szCs w:val="20"/>
              </w:rPr>
            </w:pPr>
            <w:r w:rsidRPr="009757C3">
              <w:rPr>
                <w:rFonts w:cs="Arial"/>
                <w:color w:val="000000"/>
                <w:sz w:val="18"/>
                <w:szCs w:val="20"/>
              </w:rPr>
              <w:t>1.5%</w:t>
            </w:r>
          </w:p>
        </w:tc>
        <w:tc>
          <w:tcPr>
            <w:tcW w:w="334" w:type="pct"/>
            <w:shd w:val="clear" w:color="auto" w:fill="auto"/>
            <w:noWrap/>
            <w:vAlign w:val="center"/>
            <w:hideMark/>
          </w:tcPr>
          <w:p w14:paraId="15984551" w14:textId="77777777" w:rsidR="009757C3" w:rsidRPr="009757C3" w:rsidRDefault="009757C3" w:rsidP="00AC5B73">
            <w:pPr>
              <w:jc w:val="right"/>
              <w:rPr>
                <w:rFonts w:cs="Arial"/>
                <w:color w:val="000000"/>
                <w:sz w:val="18"/>
                <w:szCs w:val="20"/>
              </w:rPr>
            </w:pPr>
            <w:r w:rsidRPr="009757C3">
              <w:rPr>
                <w:rFonts w:cs="Arial"/>
                <w:color w:val="000000"/>
                <w:sz w:val="18"/>
                <w:szCs w:val="20"/>
              </w:rPr>
              <w:t>1.4%</w:t>
            </w:r>
          </w:p>
        </w:tc>
        <w:tc>
          <w:tcPr>
            <w:tcW w:w="334" w:type="pct"/>
            <w:vAlign w:val="center"/>
          </w:tcPr>
          <w:p w14:paraId="0DA7DF23" w14:textId="77777777" w:rsidR="009757C3" w:rsidRPr="009757C3" w:rsidRDefault="009757C3" w:rsidP="00AC5B73">
            <w:pPr>
              <w:jc w:val="right"/>
              <w:rPr>
                <w:rFonts w:cs="Arial"/>
                <w:color w:val="000000"/>
                <w:sz w:val="18"/>
                <w:szCs w:val="20"/>
              </w:rPr>
            </w:pPr>
            <w:r w:rsidRPr="009757C3">
              <w:rPr>
                <w:rFonts w:cs="Arial"/>
                <w:color w:val="000000"/>
                <w:sz w:val="18"/>
                <w:szCs w:val="20"/>
              </w:rPr>
              <w:t>1.1%</w:t>
            </w:r>
          </w:p>
        </w:tc>
        <w:tc>
          <w:tcPr>
            <w:tcW w:w="334" w:type="pct"/>
            <w:shd w:val="clear" w:color="auto" w:fill="auto"/>
            <w:vAlign w:val="center"/>
            <w:hideMark/>
          </w:tcPr>
          <w:p w14:paraId="7C2809B8" w14:textId="77777777" w:rsidR="009757C3" w:rsidRPr="009757C3" w:rsidRDefault="009757C3" w:rsidP="00AC5B73">
            <w:pPr>
              <w:jc w:val="right"/>
              <w:rPr>
                <w:rFonts w:cs="Arial"/>
                <w:color w:val="000000"/>
                <w:sz w:val="18"/>
                <w:szCs w:val="20"/>
              </w:rPr>
            </w:pPr>
            <w:r w:rsidRPr="009757C3">
              <w:rPr>
                <w:rFonts w:cs="Arial"/>
                <w:color w:val="000000"/>
                <w:sz w:val="18"/>
                <w:szCs w:val="20"/>
              </w:rPr>
              <w:t>1.1%</w:t>
            </w:r>
          </w:p>
        </w:tc>
        <w:tc>
          <w:tcPr>
            <w:tcW w:w="334" w:type="pct"/>
            <w:vAlign w:val="center"/>
          </w:tcPr>
          <w:p w14:paraId="2709C70A" w14:textId="77777777" w:rsidR="009757C3" w:rsidRPr="009757C3" w:rsidRDefault="009757C3" w:rsidP="00AC5B73">
            <w:pPr>
              <w:jc w:val="right"/>
              <w:rPr>
                <w:rFonts w:cs="Arial"/>
                <w:color w:val="000000"/>
                <w:sz w:val="18"/>
                <w:szCs w:val="20"/>
              </w:rPr>
            </w:pPr>
            <w:r w:rsidRPr="009757C3">
              <w:rPr>
                <w:rFonts w:cs="Arial"/>
                <w:color w:val="000000"/>
                <w:sz w:val="18"/>
                <w:szCs w:val="20"/>
              </w:rPr>
              <w:t>1.2%</w:t>
            </w:r>
          </w:p>
        </w:tc>
        <w:tc>
          <w:tcPr>
            <w:tcW w:w="334" w:type="pct"/>
            <w:shd w:val="clear" w:color="auto" w:fill="auto"/>
            <w:noWrap/>
            <w:vAlign w:val="center"/>
            <w:hideMark/>
          </w:tcPr>
          <w:p w14:paraId="3D259364" w14:textId="77777777" w:rsidR="009757C3" w:rsidRPr="009757C3" w:rsidRDefault="009757C3" w:rsidP="00AC5B73">
            <w:pPr>
              <w:jc w:val="right"/>
              <w:rPr>
                <w:rFonts w:cs="Arial"/>
                <w:color w:val="000000"/>
                <w:sz w:val="18"/>
                <w:szCs w:val="20"/>
              </w:rPr>
            </w:pPr>
            <w:r w:rsidRPr="009757C3">
              <w:rPr>
                <w:rFonts w:cs="Arial"/>
                <w:color w:val="000000"/>
                <w:sz w:val="18"/>
                <w:szCs w:val="20"/>
              </w:rPr>
              <w:t>1.2%</w:t>
            </w:r>
          </w:p>
        </w:tc>
        <w:tc>
          <w:tcPr>
            <w:tcW w:w="333" w:type="pct"/>
            <w:vAlign w:val="center"/>
          </w:tcPr>
          <w:p w14:paraId="163EB728" w14:textId="53A49A1C" w:rsidR="009757C3" w:rsidRPr="009757C3" w:rsidRDefault="000C0050" w:rsidP="00AC5B73">
            <w:pPr>
              <w:jc w:val="right"/>
              <w:rPr>
                <w:rFonts w:cs="Arial"/>
                <w:color w:val="000000"/>
                <w:sz w:val="18"/>
                <w:szCs w:val="20"/>
              </w:rPr>
            </w:pPr>
            <w:r>
              <w:rPr>
                <w:rFonts w:cs="Arial"/>
                <w:color w:val="000000"/>
                <w:sz w:val="18"/>
                <w:szCs w:val="20"/>
              </w:rPr>
              <w:t>1.2%</w:t>
            </w:r>
          </w:p>
        </w:tc>
      </w:tr>
      <w:tr w:rsidR="009757C3" w:rsidRPr="009757C3" w14:paraId="46F213EF" w14:textId="4F078261" w:rsidTr="00364CA3">
        <w:trPr>
          <w:trHeight w:val="300"/>
        </w:trPr>
        <w:tc>
          <w:tcPr>
            <w:tcW w:w="1327" w:type="pct"/>
            <w:shd w:val="clear" w:color="auto" w:fill="auto"/>
            <w:noWrap/>
            <w:vAlign w:val="center"/>
            <w:hideMark/>
          </w:tcPr>
          <w:p w14:paraId="7F60B5CE" w14:textId="5834C9C6" w:rsidR="009757C3" w:rsidRPr="00364CA3" w:rsidRDefault="009757C3" w:rsidP="00AC5B73">
            <w:pPr>
              <w:rPr>
                <w:rFonts w:cs="Arial"/>
                <w:color w:val="000000"/>
                <w:sz w:val="20"/>
                <w:szCs w:val="20"/>
              </w:rPr>
            </w:pPr>
            <w:r w:rsidRPr="009757C3">
              <w:rPr>
                <w:rFonts w:cs="Arial"/>
                <w:color w:val="000000"/>
                <w:sz w:val="20"/>
                <w:szCs w:val="20"/>
              </w:rPr>
              <w:t>Other Ethnic Group</w:t>
            </w:r>
          </w:p>
        </w:tc>
        <w:tc>
          <w:tcPr>
            <w:tcW w:w="334" w:type="pct"/>
            <w:shd w:val="clear" w:color="auto" w:fill="auto"/>
            <w:noWrap/>
            <w:vAlign w:val="center"/>
            <w:hideMark/>
          </w:tcPr>
          <w:p w14:paraId="3C2B8BBC" w14:textId="77777777" w:rsidR="009757C3" w:rsidRPr="009757C3" w:rsidRDefault="009757C3" w:rsidP="00AC5B73">
            <w:pPr>
              <w:jc w:val="right"/>
              <w:rPr>
                <w:rFonts w:cs="Arial"/>
                <w:color w:val="000000"/>
                <w:sz w:val="18"/>
                <w:szCs w:val="20"/>
              </w:rPr>
            </w:pPr>
            <w:r w:rsidRPr="009757C3">
              <w:rPr>
                <w:rFonts w:cs="Arial"/>
                <w:color w:val="000000"/>
                <w:sz w:val="18"/>
                <w:szCs w:val="20"/>
              </w:rPr>
              <w:t>3.2%</w:t>
            </w:r>
          </w:p>
        </w:tc>
        <w:tc>
          <w:tcPr>
            <w:tcW w:w="334" w:type="pct"/>
            <w:shd w:val="clear" w:color="auto" w:fill="auto"/>
            <w:noWrap/>
            <w:vAlign w:val="center"/>
            <w:hideMark/>
          </w:tcPr>
          <w:p w14:paraId="6D9C7459" w14:textId="77777777" w:rsidR="009757C3" w:rsidRPr="009757C3" w:rsidRDefault="009757C3" w:rsidP="00AC5B73">
            <w:pPr>
              <w:jc w:val="right"/>
              <w:rPr>
                <w:rFonts w:cs="Arial"/>
                <w:color w:val="000000"/>
                <w:sz w:val="18"/>
                <w:szCs w:val="20"/>
              </w:rPr>
            </w:pPr>
            <w:r w:rsidRPr="009757C3">
              <w:rPr>
                <w:rFonts w:cs="Arial"/>
                <w:color w:val="000000"/>
                <w:sz w:val="18"/>
                <w:szCs w:val="20"/>
              </w:rPr>
              <w:t>3.3%</w:t>
            </w:r>
          </w:p>
        </w:tc>
        <w:tc>
          <w:tcPr>
            <w:tcW w:w="334" w:type="pct"/>
            <w:shd w:val="clear" w:color="auto" w:fill="auto"/>
            <w:noWrap/>
            <w:vAlign w:val="center"/>
            <w:hideMark/>
          </w:tcPr>
          <w:p w14:paraId="26287E5C" w14:textId="77777777" w:rsidR="009757C3" w:rsidRPr="009757C3" w:rsidRDefault="009757C3" w:rsidP="00AC5B73">
            <w:pPr>
              <w:jc w:val="right"/>
              <w:rPr>
                <w:rFonts w:cs="Arial"/>
                <w:color w:val="000000"/>
                <w:sz w:val="18"/>
                <w:szCs w:val="20"/>
              </w:rPr>
            </w:pPr>
            <w:r w:rsidRPr="009757C3">
              <w:rPr>
                <w:rFonts w:cs="Arial"/>
                <w:color w:val="000000"/>
                <w:sz w:val="18"/>
                <w:szCs w:val="20"/>
              </w:rPr>
              <w:t>3.5%</w:t>
            </w:r>
          </w:p>
        </w:tc>
        <w:tc>
          <w:tcPr>
            <w:tcW w:w="334" w:type="pct"/>
            <w:shd w:val="clear" w:color="auto" w:fill="auto"/>
            <w:noWrap/>
            <w:vAlign w:val="center"/>
            <w:hideMark/>
          </w:tcPr>
          <w:p w14:paraId="7A8444FE" w14:textId="77777777" w:rsidR="009757C3" w:rsidRPr="009757C3" w:rsidRDefault="009757C3" w:rsidP="00AC5B73">
            <w:pPr>
              <w:jc w:val="right"/>
              <w:rPr>
                <w:rFonts w:cs="Arial"/>
                <w:color w:val="000000"/>
                <w:sz w:val="18"/>
                <w:szCs w:val="20"/>
              </w:rPr>
            </w:pPr>
            <w:r w:rsidRPr="009757C3">
              <w:rPr>
                <w:rFonts w:cs="Arial"/>
                <w:color w:val="000000"/>
                <w:sz w:val="18"/>
                <w:szCs w:val="20"/>
              </w:rPr>
              <w:t>1.5%</w:t>
            </w:r>
          </w:p>
        </w:tc>
        <w:tc>
          <w:tcPr>
            <w:tcW w:w="334" w:type="pct"/>
            <w:shd w:val="clear" w:color="auto" w:fill="auto"/>
            <w:noWrap/>
            <w:vAlign w:val="center"/>
            <w:hideMark/>
          </w:tcPr>
          <w:p w14:paraId="3F57BF9B" w14:textId="77777777" w:rsidR="009757C3" w:rsidRPr="009757C3" w:rsidRDefault="009757C3" w:rsidP="00AC5B73">
            <w:pPr>
              <w:jc w:val="right"/>
              <w:rPr>
                <w:rFonts w:cs="Arial"/>
                <w:color w:val="000000"/>
                <w:sz w:val="18"/>
                <w:szCs w:val="20"/>
              </w:rPr>
            </w:pPr>
            <w:r w:rsidRPr="009757C3">
              <w:rPr>
                <w:rFonts w:cs="Arial"/>
                <w:color w:val="000000"/>
                <w:sz w:val="18"/>
                <w:szCs w:val="20"/>
              </w:rPr>
              <w:t>1.4%</w:t>
            </w:r>
          </w:p>
        </w:tc>
        <w:tc>
          <w:tcPr>
            <w:tcW w:w="334" w:type="pct"/>
            <w:shd w:val="clear" w:color="auto" w:fill="auto"/>
            <w:noWrap/>
            <w:vAlign w:val="center"/>
            <w:hideMark/>
          </w:tcPr>
          <w:p w14:paraId="245E768D" w14:textId="77777777" w:rsidR="009757C3" w:rsidRPr="009757C3" w:rsidRDefault="009757C3" w:rsidP="00AC5B73">
            <w:pPr>
              <w:jc w:val="right"/>
              <w:rPr>
                <w:rFonts w:cs="Arial"/>
                <w:color w:val="000000"/>
                <w:sz w:val="18"/>
                <w:szCs w:val="20"/>
              </w:rPr>
            </w:pPr>
            <w:r w:rsidRPr="009757C3">
              <w:rPr>
                <w:rFonts w:cs="Arial"/>
                <w:color w:val="000000"/>
                <w:sz w:val="18"/>
                <w:szCs w:val="20"/>
              </w:rPr>
              <w:t>1.6%</w:t>
            </w:r>
          </w:p>
        </w:tc>
        <w:tc>
          <w:tcPr>
            <w:tcW w:w="334" w:type="pct"/>
            <w:vAlign w:val="center"/>
          </w:tcPr>
          <w:p w14:paraId="56F6BF83" w14:textId="77777777" w:rsidR="009757C3" w:rsidRPr="009757C3" w:rsidRDefault="009757C3" w:rsidP="00AC5B73">
            <w:pPr>
              <w:jc w:val="right"/>
              <w:rPr>
                <w:rFonts w:cs="Arial"/>
                <w:color w:val="000000"/>
                <w:sz w:val="18"/>
                <w:szCs w:val="20"/>
              </w:rPr>
            </w:pPr>
            <w:r w:rsidRPr="009757C3">
              <w:rPr>
                <w:rFonts w:cs="Arial"/>
                <w:color w:val="000000"/>
                <w:sz w:val="18"/>
                <w:szCs w:val="20"/>
              </w:rPr>
              <w:t>0.9%</w:t>
            </w:r>
          </w:p>
        </w:tc>
        <w:tc>
          <w:tcPr>
            <w:tcW w:w="334" w:type="pct"/>
            <w:shd w:val="clear" w:color="auto" w:fill="auto"/>
            <w:vAlign w:val="center"/>
            <w:hideMark/>
          </w:tcPr>
          <w:p w14:paraId="531DD895" w14:textId="77777777" w:rsidR="009757C3" w:rsidRPr="009757C3" w:rsidRDefault="009757C3" w:rsidP="00AC5B73">
            <w:pPr>
              <w:jc w:val="right"/>
              <w:rPr>
                <w:rFonts w:cs="Arial"/>
                <w:color w:val="000000"/>
                <w:sz w:val="18"/>
                <w:szCs w:val="20"/>
              </w:rPr>
            </w:pPr>
            <w:r w:rsidRPr="009757C3">
              <w:rPr>
                <w:rFonts w:cs="Arial"/>
                <w:color w:val="000000"/>
                <w:sz w:val="18"/>
                <w:szCs w:val="20"/>
              </w:rPr>
              <w:t>1.0%</w:t>
            </w:r>
          </w:p>
        </w:tc>
        <w:tc>
          <w:tcPr>
            <w:tcW w:w="334" w:type="pct"/>
            <w:vAlign w:val="center"/>
          </w:tcPr>
          <w:p w14:paraId="3B0ABDB9" w14:textId="77777777" w:rsidR="009757C3" w:rsidRPr="009757C3" w:rsidRDefault="009757C3" w:rsidP="00AC5B73">
            <w:pPr>
              <w:jc w:val="right"/>
              <w:rPr>
                <w:rFonts w:cs="Arial"/>
                <w:color w:val="000000"/>
                <w:sz w:val="18"/>
                <w:szCs w:val="20"/>
              </w:rPr>
            </w:pPr>
            <w:r w:rsidRPr="009757C3">
              <w:rPr>
                <w:rFonts w:cs="Arial"/>
                <w:color w:val="000000"/>
                <w:sz w:val="18"/>
                <w:szCs w:val="20"/>
              </w:rPr>
              <w:t>1.3%</w:t>
            </w:r>
          </w:p>
        </w:tc>
        <w:tc>
          <w:tcPr>
            <w:tcW w:w="334" w:type="pct"/>
            <w:shd w:val="clear" w:color="auto" w:fill="auto"/>
            <w:noWrap/>
            <w:vAlign w:val="center"/>
            <w:hideMark/>
          </w:tcPr>
          <w:p w14:paraId="261D23C5" w14:textId="77777777" w:rsidR="009757C3" w:rsidRPr="009757C3" w:rsidRDefault="009757C3" w:rsidP="00AC5B73">
            <w:pPr>
              <w:jc w:val="right"/>
              <w:rPr>
                <w:rFonts w:cs="Arial"/>
                <w:color w:val="000000"/>
                <w:sz w:val="18"/>
                <w:szCs w:val="20"/>
              </w:rPr>
            </w:pPr>
            <w:r w:rsidRPr="009757C3">
              <w:rPr>
                <w:rFonts w:cs="Arial"/>
                <w:color w:val="000000"/>
                <w:sz w:val="18"/>
                <w:szCs w:val="20"/>
              </w:rPr>
              <w:t>1.0%</w:t>
            </w:r>
          </w:p>
        </w:tc>
        <w:tc>
          <w:tcPr>
            <w:tcW w:w="333" w:type="pct"/>
            <w:vAlign w:val="center"/>
          </w:tcPr>
          <w:p w14:paraId="0D8E8BC2" w14:textId="73D36442" w:rsidR="009757C3" w:rsidRPr="009757C3" w:rsidRDefault="00364CA3" w:rsidP="00AC5B73">
            <w:pPr>
              <w:jc w:val="right"/>
              <w:rPr>
                <w:rFonts w:cs="Arial"/>
                <w:color w:val="000000"/>
                <w:sz w:val="18"/>
                <w:szCs w:val="20"/>
              </w:rPr>
            </w:pPr>
            <w:r>
              <w:rPr>
                <w:rFonts w:cs="Arial"/>
                <w:color w:val="000000"/>
                <w:sz w:val="18"/>
                <w:szCs w:val="20"/>
              </w:rPr>
              <w:t>1.1%</w:t>
            </w:r>
          </w:p>
        </w:tc>
      </w:tr>
      <w:tr w:rsidR="009757C3" w:rsidRPr="009757C3" w14:paraId="7F7A8AA8" w14:textId="5B309832" w:rsidTr="00364CA3">
        <w:trPr>
          <w:trHeight w:val="300"/>
        </w:trPr>
        <w:tc>
          <w:tcPr>
            <w:tcW w:w="1327" w:type="pct"/>
            <w:shd w:val="clear" w:color="auto" w:fill="auto"/>
            <w:noWrap/>
            <w:vAlign w:val="center"/>
            <w:hideMark/>
          </w:tcPr>
          <w:p w14:paraId="4FF389B8" w14:textId="7ADBCCD3" w:rsidR="009757C3" w:rsidRPr="009757C3" w:rsidRDefault="009757C3" w:rsidP="00AC5B73">
            <w:pPr>
              <w:rPr>
                <w:rFonts w:cs="Arial"/>
                <w:color w:val="000000"/>
                <w:sz w:val="20"/>
                <w:szCs w:val="20"/>
              </w:rPr>
            </w:pPr>
            <w:r w:rsidRPr="009757C3">
              <w:rPr>
                <w:rFonts w:cs="Arial"/>
                <w:color w:val="000000"/>
                <w:sz w:val="20"/>
                <w:szCs w:val="20"/>
              </w:rPr>
              <w:t>African</w:t>
            </w:r>
          </w:p>
        </w:tc>
        <w:tc>
          <w:tcPr>
            <w:tcW w:w="334" w:type="pct"/>
            <w:shd w:val="clear" w:color="auto" w:fill="auto"/>
            <w:noWrap/>
            <w:vAlign w:val="center"/>
            <w:hideMark/>
          </w:tcPr>
          <w:p w14:paraId="4CF74623"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454A94F1"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5940AE6D"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21707360" w14:textId="77777777" w:rsidR="009757C3" w:rsidRPr="009757C3" w:rsidRDefault="009757C3" w:rsidP="00AC5B73">
            <w:pPr>
              <w:jc w:val="right"/>
              <w:rPr>
                <w:rFonts w:cs="Arial"/>
                <w:color w:val="000000"/>
                <w:sz w:val="18"/>
                <w:szCs w:val="20"/>
              </w:rPr>
            </w:pPr>
            <w:r w:rsidRPr="009757C3">
              <w:rPr>
                <w:rFonts w:cs="Arial"/>
                <w:color w:val="000000"/>
                <w:sz w:val="18"/>
                <w:szCs w:val="20"/>
              </w:rPr>
              <w:t>0.4%</w:t>
            </w:r>
          </w:p>
        </w:tc>
        <w:tc>
          <w:tcPr>
            <w:tcW w:w="334" w:type="pct"/>
            <w:shd w:val="clear" w:color="auto" w:fill="auto"/>
            <w:noWrap/>
            <w:vAlign w:val="center"/>
            <w:hideMark/>
          </w:tcPr>
          <w:p w14:paraId="7206F34D" w14:textId="77777777" w:rsidR="009757C3" w:rsidRPr="009757C3" w:rsidRDefault="009757C3" w:rsidP="00AC5B73">
            <w:pPr>
              <w:jc w:val="right"/>
              <w:rPr>
                <w:rFonts w:cs="Arial"/>
                <w:color w:val="000000"/>
                <w:sz w:val="18"/>
                <w:szCs w:val="20"/>
              </w:rPr>
            </w:pPr>
            <w:r w:rsidRPr="009757C3">
              <w:rPr>
                <w:rFonts w:cs="Arial"/>
                <w:color w:val="000000"/>
                <w:sz w:val="18"/>
                <w:szCs w:val="20"/>
              </w:rPr>
              <w:t>0.4%</w:t>
            </w:r>
          </w:p>
        </w:tc>
        <w:tc>
          <w:tcPr>
            <w:tcW w:w="334" w:type="pct"/>
            <w:shd w:val="clear" w:color="auto" w:fill="auto"/>
            <w:noWrap/>
            <w:vAlign w:val="center"/>
            <w:hideMark/>
          </w:tcPr>
          <w:p w14:paraId="0FB0D17A" w14:textId="77777777" w:rsidR="009757C3" w:rsidRPr="009757C3" w:rsidRDefault="009757C3" w:rsidP="00AC5B73">
            <w:pPr>
              <w:jc w:val="right"/>
              <w:rPr>
                <w:rFonts w:cs="Arial"/>
                <w:color w:val="000000"/>
                <w:sz w:val="18"/>
                <w:szCs w:val="20"/>
              </w:rPr>
            </w:pPr>
            <w:r w:rsidRPr="009757C3">
              <w:rPr>
                <w:rFonts w:cs="Arial"/>
                <w:color w:val="000000"/>
                <w:sz w:val="18"/>
                <w:szCs w:val="20"/>
              </w:rPr>
              <w:t>0.4%</w:t>
            </w:r>
          </w:p>
        </w:tc>
        <w:tc>
          <w:tcPr>
            <w:tcW w:w="334" w:type="pct"/>
            <w:vAlign w:val="center"/>
          </w:tcPr>
          <w:p w14:paraId="0D60FC95" w14:textId="77777777" w:rsidR="009757C3" w:rsidRPr="009757C3" w:rsidRDefault="009757C3" w:rsidP="00AC5B73">
            <w:pPr>
              <w:jc w:val="right"/>
              <w:rPr>
                <w:rFonts w:cs="Arial"/>
                <w:color w:val="000000"/>
                <w:sz w:val="18"/>
                <w:szCs w:val="20"/>
              </w:rPr>
            </w:pPr>
            <w:r w:rsidRPr="009757C3">
              <w:rPr>
                <w:rFonts w:cs="Arial"/>
                <w:color w:val="000000"/>
                <w:sz w:val="18"/>
                <w:szCs w:val="20"/>
              </w:rPr>
              <w:t>0.4%</w:t>
            </w:r>
          </w:p>
        </w:tc>
        <w:tc>
          <w:tcPr>
            <w:tcW w:w="334" w:type="pct"/>
            <w:shd w:val="clear" w:color="auto" w:fill="auto"/>
            <w:vAlign w:val="center"/>
            <w:hideMark/>
          </w:tcPr>
          <w:p w14:paraId="5CC689A3" w14:textId="77777777" w:rsidR="009757C3" w:rsidRPr="009757C3" w:rsidRDefault="009757C3" w:rsidP="00AC5B73">
            <w:pPr>
              <w:jc w:val="right"/>
              <w:rPr>
                <w:rFonts w:cs="Arial"/>
                <w:color w:val="000000"/>
                <w:sz w:val="18"/>
                <w:szCs w:val="20"/>
              </w:rPr>
            </w:pPr>
            <w:r w:rsidRPr="009757C3">
              <w:rPr>
                <w:rFonts w:cs="Arial"/>
                <w:color w:val="000000"/>
                <w:sz w:val="18"/>
                <w:szCs w:val="20"/>
              </w:rPr>
              <w:t>0.4%</w:t>
            </w:r>
          </w:p>
        </w:tc>
        <w:tc>
          <w:tcPr>
            <w:tcW w:w="334" w:type="pct"/>
            <w:vAlign w:val="center"/>
          </w:tcPr>
          <w:p w14:paraId="479B242E" w14:textId="77777777" w:rsidR="009757C3" w:rsidRPr="009757C3" w:rsidRDefault="009757C3" w:rsidP="00AC5B73">
            <w:pPr>
              <w:jc w:val="right"/>
              <w:rPr>
                <w:rFonts w:cs="Arial"/>
                <w:color w:val="000000"/>
                <w:sz w:val="18"/>
                <w:szCs w:val="20"/>
              </w:rPr>
            </w:pPr>
            <w:r w:rsidRPr="009757C3">
              <w:rPr>
                <w:rFonts w:cs="Arial"/>
                <w:color w:val="000000"/>
                <w:sz w:val="18"/>
                <w:szCs w:val="20"/>
              </w:rPr>
              <w:t>0.5%</w:t>
            </w:r>
          </w:p>
        </w:tc>
        <w:tc>
          <w:tcPr>
            <w:tcW w:w="334" w:type="pct"/>
            <w:shd w:val="clear" w:color="auto" w:fill="auto"/>
            <w:noWrap/>
            <w:vAlign w:val="center"/>
            <w:hideMark/>
          </w:tcPr>
          <w:p w14:paraId="25C7DD1E" w14:textId="77777777" w:rsidR="009757C3" w:rsidRPr="009757C3" w:rsidRDefault="009757C3" w:rsidP="00AC5B73">
            <w:pPr>
              <w:jc w:val="right"/>
              <w:rPr>
                <w:rFonts w:cs="Arial"/>
                <w:color w:val="000000"/>
                <w:sz w:val="18"/>
                <w:szCs w:val="20"/>
              </w:rPr>
            </w:pPr>
            <w:r w:rsidRPr="009757C3">
              <w:rPr>
                <w:rFonts w:cs="Arial"/>
                <w:color w:val="000000"/>
                <w:sz w:val="18"/>
                <w:szCs w:val="20"/>
              </w:rPr>
              <w:t>0.9%</w:t>
            </w:r>
          </w:p>
        </w:tc>
        <w:tc>
          <w:tcPr>
            <w:tcW w:w="333" w:type="pct"/>
            <w:vAlign w:val="center"/>
          </w:tcPr>
          <w:p w14:paraId="4AEB228F" w14:textId="19C04358" w:rsidR="009757C3" w:rsidRPr="009757C3" w:rsidRDefault="000C0050" w:rsidP="00AC5B73">
            <w:pPr>
              <w:jc w:val="right"/>
              <w:rPr>
                <w:rFonts w:cs="Arial"/>
                <w:color w:val="000000"/>
                <w:sz w:val="18"/>
                <w:szCs w:val="20"/>
              </w:rPr>
            </w:pPr>
            <w:r>
              <w:rPr>
                <w:rFonts w:cs="Arial"/>
                <w:color w:val="000000"/>
                <w:sz w:val="18"/>
                <w:szCs w:val="20"/>
              </w:rPr>
              <w:t>0.8%</w:t>
            </w:r>
          </w:p>
        </w:tc>
      </w:tr>
      <w:tr w:rsidR="009757C3" w:rsidRPr="009757C3" w14:paraId="4AF5B256" w14:textId="0A28F5BA" w:rsidTr="00364CA3">
        <w:trPr>
          <w:trHeight w:val="300"/>
        </w:trPr>
        <w:tc>
          <w:tcPr>
            <w:tcW w:w="1327" w:type="pct"/>
            <w:shd w:val="clear" w:color="auto" w:fill="auto"/>
            <w:noWrap/>
            <w:vAlign w:val="center"/>
            <w:hideMark/>
          </w:tcPr>
          <w:p w14:paraId="1B26492B" w14:textId="3E510470" w:rsidR="009757C3" w:rsidRPr="00054373" w:rsidRDefault="00D20E81" w:rsidP="00AC5B73">
            <w:pPr>
              <w:rPr>
                <w:rFonts w:cs="Arial"/>
                <w:color w:val="000000"/>
                <w:sz w:val="18"/>
                <w:szCs w:val="20"/>
                <w:vertAlign w:val="superscript"/>
              </w:rPr>
            </w:pPr>
            <w:r>
              <w:rPr>
                <w:rFonts w:cs="Arial"/>
                <w:color w:val="000000"/>
                <w:sz w:val="18"/>
                <w:szCs w:val="20"/>
              </w:rPr>
              <w:t>Mixed or Multiple Ethnic Group</w:t>
            </w:r>
          </w:p>
        </w:tc>
        <w:tc>
          <w:tcPr>
            <w:tcW w:w="334" w:type="pct"/>
            <w:shd w:val="clear" w:color="auto" w:fill="auto"/>
            <w:noWrap/>
            <w:vAlign w:val="center"/>
            <w:hideMark/>
          </w:tcPr>
          <w:p w14:paraId="26D1AD19"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54EA4D94"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3BAF1B21"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47B09E33"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5DB1E2DE"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0C593E69"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vAlign w:val="center"/>
          </w:tcPr>
          <w:p w14:paraId="56BBFADD" w14:textId="77777777" w:rsidR="009757C3" w:rsidRPr="009757C3" w:rsidRDefault="009757C3" w:rsidP="00AC5B73">
            <w:pPr>
              <w:jc w:val="right"/>
              <w:rPr>
                <w:rFonts w:cs="Arial"/>
                <w:color w:val="000000"/>
                <w:sz w:val="18"/>
                <w:szCs w:val="20"/>
              </w:rPr>
            </w:pPr>
            <w:r w:rsidRPr="009757C3">
              <w:rPr>
                <w:rFonts w:cs="Arial"/>
                <w:color w:val="000000"/>
                <w:sz w:val="18"/>
                <w:szCs w:val="20"/>
              </w:rPr>
              <w:t>0.8%</w:t>
            </w:r>
          </w:p>
        </w:tc>
        <w:tc>
          <w:tcPr>
            <w:tcW w:w="334" w:type="pct"/>
            <w:shd w:val="clear" w:color="auto" w:fill="auto"/>
            <w:vAlign w:val="center"/>
            <w:hideMark/>
          </w:tcPr>
          <w:p w14:paraId="0493DD62" w14:textId="77777777" w:rsidR="009757C3" w:rsidRPr="009757C3" w:rsidRDefault="009757C3" w:rsidP="00AC5B73">
            <w:pPr>
              <w:jc w:val="right"/>
              <w:rPr>
                <w:rFonts w:cs="Arial"/>
                <w:color w:val="000000"/>
                <w:sz w:val="18"/>
                <w:szCs w:val="20"/>
              </w:rPr>
            </w:pPr>
            <w:r w:rsidRPr="009757C3">
              <w:rPr>
                <w:rFonts w:cs="Arial"/>
                <w:color w:val="000000"/>
                <w:sz w:val="18"/>
                <w:szCs w:val="20"/>
              </w:rPr>
              <w:t>0.7%</w:t>
            </w:r>
          </w:p>
        </w:tc>
        <w:tc>
          <w:tcPr>
            <w:tcW w:w="334" w:type="pct"/>
            <w:vAlign w:val="center"/>
          </w:tcPr>
          <w:p w14:paraId="37A0BE10" w14:textId="77777777" w:rsidR="009757C3" w:rsidRPr="009757C3" w:rsidRDefault="009757C3" w:rsidP="00AC5B73">
            <w:pPr>
              <w:jc w:val="right"/>
              <w:rPr>
                <w:rFonts w:cs="Arial"/>
                <w:color w:val="000000"/>
                <w:sz w:val="18"/>
                <w:szCs w:val="20"/>
              </w:rPr>
            </w:pPr>
            <w:r w:rsidRPr="009757C3">
              <w:rPr>
                <w:rFonts w:cs="Arial"/>
                <w:color w:val="000000"/>
                <w:sz w:val="18"/>
                <w:szCs w:val="20"/>
              </w:rPr>
              <w:t>0.7%</w:t>
            </w:r>
          </w:p>
        </w:tc>
        <w:tc>
          <w:tcPr>
            <w:tcW w:w="334" w:type="pct"/>
            <w:shd w:val="clear" w:color="auto" w:fill="auto"/>
            <w:noWrap/>
            <w:vAlign w:val="center"/>
            <w:hideMark/>
          </w:tcPr>
          <w:p w14:paraId="2CA82DE7" w14:textId="77777777" w:rsidR="009757C3" w:rsidRPr="009757C3" w:rsidRDefault="009757C3" w:rsidP="00AC5B73">
            <w:pPr>
              <w:jc w:val="right"/>
              <w:rPr>
                <w:rFonts w:cs="Arial"/>
                <w:color w:val="000000"/>
                <w:sz w:val="18"/>
                <w:szCs w:val="20"/>
              </w:rPr>
            </w:pPr>
            <w:r w:rsidRPr="009757C3">
              <w:rPr>
                <w:rFonts w:cs="Arial"/>
                <w:color w:val="000000"/>
                <w:sz w:val="18"/>
                <w:szCs w:val="20"/>
              </w:rPr>
              <w:t>0.7%</w:t>
            </w:r>
          </w:p>
        </w:tc>
        <w:tc>
          <w:tcPr>
            <w:tcW w:w="333" w:type="pct"/>
            <w:vAlign w:val="center"/>
          </w:tcPr>
          <w:p w14:paraId="2BAA6A0A" w14:textId="4FACD5AA" w:rsidR="009757C3" w:rsidRPr="009757C3" w:rsidRDefault="000C0050" w:rsidP="00AC5B73">
            <w:pPr>
              <w:jc w:val="right"/>
              <w:rPr>
                <w:rFonts w:cs="Arial"/>
                <w:color w:val="000000"/>
                <w:sz w:val="18"/>
                <w:szCs w:val="20"/>
              </w:rPr>
            </w:pPr>
            <w:r>
              <w:rPr>
                <w:rFonts w:cs="Arial"/>
                <w:color w:val="000000"/>
                <w:sz w:val="18"/>
                <w:szCs w:val="20"/>
              </w:rPr>
              <w:t>0.6%</w:t>
            </w:r>
          </w:p>
        </w:tc>
      </w:tr>
      <w:tr w:rsidR="009757C3" w:rsidRPr="009757C3" w14:paraId="6148E40C" w14:textId="4B09817E" w:rsidTr="00364CA3">
        <w:trPr>
          <w:trHeight w:val="300"/>
        </w:trPr>
        <w:tc>
          <w:tcPr>
            <w:tcW w:w="1327" w:type="pct"/>
            <w:shd w:val="clear" w:color="auto" w:fill="auto"/>
            <w:noWrap/>
            <w:vAlign w:val="center"/>
            <w:hideMark/>
          </w:tcPr>
          <w:p w14:paraId="4EC768A7" w14:textId="76A019D9" w:rsidR="009757C3" w:rsidRPr="009757C3" w:rsidRDefault="00D20E81" w:rsidP="00AC5B73">
            <w:pPr>
              <w:rPr>
                <w:rFonts w:cs="Arial"/>
                <w:color w:val="000000"/>
                <w:sz w:val="20"/>
                <w:szCs w:val="20"/>
              </w:rPr>
            </w:pPr>
            <w:r>
              <w:rPr>
                <w:rFonts w:cs="Arial"/>
                <w:color w:val="000000"/>
                <w:sz w:val="20"/>
                <w:szCs w:val="20"/>
              </w:rPr>
              <w:t>Asian – Pakistani</w:t>
            </w:r>
          </w:p>
        </w:tc>
        <w:tc>
          <w:tcPr>
            <w:tcW w:w="334" w:type="pct"/>
            <w:shd w:val="clear" w:color="auto" w:fill="auto"/>
            <w:noWrap/>
            <w:vAlign w:val="center"/>
            <w:hideMark/>
          </w:tcPr>
          <w:p w14:paraId="5306BF96"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44F0AD11"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602C3B44"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1BEA9498" w14:textId="77777777" w:rsidR="009757C3" w:rsidRPr="009757C3" w:rsidRDefault="009757C3" w:rsidP="00AC5B73">
            <w:pPr>
              <w:jc w:val="right"/>
              <w:rPr>
                <w:rFonts w:cs="Arial"/>
                <w:color w:val="000000"/>
                <w:sz w:val="18"/>
                <w:szCs w:val="20"/>
              </w:rPr>
            </w:pPr>
            <w:r w:rsidRPr="009757C3">
              <w:rPr>
                <w:rFonts w:cs="Arial"/>
                <w:color w:val="000000"/>
                <w:sz w:val="18"/>
                <w:szCs w:val="20"/>
              </w:rPr>
              <w:t>0.4%</w:t>
            </w:r>
          </w:p>
        </w:tc>
        <w:tc>
          <w:tcPr>
            <w:tcW w:w="334" w:type="pct"/>
            <w:shd w:val="clear" w:color="auto" w:fill="auto"/>
            <w:noWrap/>
            <w:vAlign w:val="center"/>
            <w:hideMark/>
          </w:tcPr>
          <w:p w14:paraId="11534C7C" w14:textId="77777777" w:rsidR="009757C3" w:rsidRPr="009757C3" w:rsidRDefault="009757C3" w:rsidP="00AC5B73">
            <w:pPr>
              <w:jc w:val="right"/>
              <w:rPr>
                <w:rFonts w:cs="Arial"/>
                <w:color w:val="000000"/>
                <w:sz w:val="18"/>
                <w:szCs w:val="20"/>
              </w:rPr>
            </w:pPr>
            <w:r w:rsidRPr="009757C3">
              <w:rPr>
                <w:rFonts w:cs="Arial"/>
                <w:color w:val="000000"/>
                <w:sz w:val="18"/>
                <w:szCs w:val="20"/>
              </w:rPr>
              <w:t>0.6%</w:t>
            </w:r>
          </w:p>
        </w:tc>
        <w:tc>
          <w:tcPr>
            <w:tcW w:w="334" w:type="pct"/>
            <w:shd w:val="clear" w:color="auto" w:fill="auto"/>
            <w:noWrap/>
            <w:vAlign w:val="center"/>
            <w:hideMark/>
          </w:tcPr>
          <w:p w14:paraId="43A9EC8A" w14:textId="77777777" w:rsidR="009757C3" w:rsidRPr="009757C3" w:rsidRDefault="009757C3" w:rsidP="00AC5B73">
            <w:pPr>
              <w:jc w:val="right"/>
              <w:rPr>
                <w:rFonts w:cs="Arial"/>
                <w:color w:val="000000"/>
                <w:sz w:val="18"/>
                <w:szCs w:val="20"/>
              </w:rPr>
            </w:pPr>
            <w:r w:rsidRPr="009757C3">
              <w:rPr>
                <w:rFonts w:cs="Arial"/>
                <w:color w:val="000000"/>
                <w:sz w:val="18"/>
                <w:szCs w:val="20"/>
              </w:rPr>
              <w:t>0.6%</w:t>
            </w:r>
          </w:p>
        </w:tc>
        <w:tc>
          <w:tcPr>
            <w:tcW w:w="334" w:type="pct"/>
            <w:vAlign w:val="center"/>
          </w:tcPr>
          <w:p w14:paraId="68E44C83" w14:textId="77777777" w:rsidR="009757C3" w:rsidRPr="009757C3" w:rsidRDefault="009757C3" w:rsidP="00AC5B73">
            <w:pPr>
              <w:jc w:val="right"/>
              <w:rPr>
                <w:rFonts w:cs="Arial"/>
                <w:color w:val="000000"/>
                <w:sz w:val="18"/>
                <w:szCs w:val="20"/>
              </w:rPr>
            </w:pPr>
            <w:r w:rsidRPr="009757C3">
              <w:rPr>
                <w:rFonts w:cs="Arial"/>
                <w:color w:val="000000"/>
                <w:sz w:val="18"/>
                <w:szCs w:val="20"/>
              </w:rPr>
              <w:t>0.7%</w:t>
            </w:r>
          </w:p>
        </w:tc>
        <w:tc>
          <w:tcPr>
            <w:tcW w:w="334" w:type="pct"/>
            <w:shd w:val="clear" w:color="auto" w:fill="auto"/>
            <w:vAlign w:val="center"/>
            <w:hideMark/>
          </w:tcPr>
          <w:p w14:paraId="19582A63" w14:textId="77777777" w:rsidR="009757C3" w:rsidRPr="009757C3" w:rsidRDefault="009757C3" w:rsidP="00AC5B73">
            <w:pPr>
              <w:jc w:val="right"/>
              <w:rPr>
                <w:rFonts w:cs="Arial"/>
                <w:color w:val="000000"/>
                <w:sz w:val="18"/>
                <w:szCs w:val="20"/>
              </w:rPr>
            </w:pPr>
            <w:r w:rsidRPr="009757C3">
              <w:rPr>
                <w:rFonts w:cs="Arial"/>
                <w:color w:val="000000"/>
                <w:sz w:val="18"/>
                <w:szCs w:val="20"/>
              </w:rPr>
              <w:t>0.3%</w:t>
            </w:r>
          </w:p>
        </w:tc>
        <w:tc>
          <w:tcPr>
            <w:tcW w:w="334" w:type="pct"/>
            <w:vAlign w:val="center"/>
          </w:tcPr>
          <w:p w14:paraId="665EE7E9" w14:textId="77777777" w:rsidR="009757C3" w:rsidRPr="009757C3" w:rsidRDefault="009757C3" w:rsidP="00AC5B73">
            <w:pPr>
              <w:jc w:val="right"/>
              <w:rPr>
                <w:rFonts w:cs="Arial"/>
                <w:color w:val="000000"/>
                <w:sz w:val="18"/>
                <w:szCs w:val="20"/>
              </w:rPr>
            </w:pPr>
            <w:r w:rsidRPr="009757C3">
              <w:rPr>
                <w:rFonts w:cs="Arial"/>
                <w:color w:val="000000"/>
                <w:sz w:val="18"/>
                <w:szCs w:val="20"/>
              </w:rPr>
              <w:t>0.5%</w:t>
            </w:r>
          </w:p>
        </w:tc>
        <w:tc>
          <w:tcPr>
            <w:tcW w:w="334" w:type="pct"/>
            <w:shd w:val="clear" w:color="auto" w:fill="auto"/>
            <w:noWrap/>
            <w:vAlign w:val="center"/>
            <w:hideMark/>
          </w:tcPr>
          <w:p w14:paraId="61F3CE94" w14:textId="77777777" w:rsidR="009757C3" w:rsidRPr="009757C3" w:rsidRDefault="009757C3" w:rsidP="00AC5B73">
            <w:pPr>
              <w:jc w:val="right"/>
              <w:rPr>
                <w:rFonts w:cs="Arial"/>
                <w:color w:val="000000"/>
                <w:sz w:val="18"/>
                <w:szCs w:val="20"/>
              </w:rPr>
            </w:pPr>
            <w:r w:rsidRPr="009757C3">
              <w:rPr>
                <w:rFonts w:cs="Arial"/>
                <w:color w:val="000000"/>
                <w:sz w:val="18"/>
                <w:szCs w:val="20"/>
              </w:rPr>
              <w:t>0.5%</w:t>
            </w:r>
          </w:p>
        </w:tc>
        <w:tc>
          <w:tcPr>
            <w:tcW w:w="333" w:type="pct"/>
            <w:vAlign w:val="center"/>
          </w:tcPr>
          <w:p w14:paraId="4FF562D3" w14:textId="7393E54B" w:rsidR="009757C3" w:rsidRPr="009757C3" w:rsidRDefault="000C0050" w:rsidP="00AC5B73">
            <w:pPr>
              <w:jc w:val="right"/>
              <w:rPr>
                <w:rFonts w:cs="Arial"/>
                <w:color w:val="000000"/>
                <w:sz w:val="18"/>
                <w:szCs w:val="20"/>
              </w:rPr>
            </w:pPr>
            <w:r>
              <w:rPr>
                <w:rFonts w:cs="Arial"/>
                <w:color w:val="000000"/>
                <w:sz w:val="18"/>
                <w:szCs w:val="20"/>
              </w:rPr>
              <w:t>0.6%</w:t>
            </w:r>
          </w:p>
        </w:tc>
      </w:tr>
      <w:tr w:rsidR="009757C3" w:rsidRPr="009757C3" w14:paraId="511384A0" w14:textId="36908B4B" w:rsidTr="00364CA3">
        <w:trPr>
          <w:trHeight w:val="300"/>
        </w:trPr>
        <w:tc>
          <w:tcPr>
            <w:tcW w:w="1327" w:type="pct"/>
            <w:shd w:val="clear" w:color="auto" w:fill="auto"/>
            <w:noWrap/>
            <w:vAlign w:val="center"/>
            <w:hideMark/>
          </w:tcPr>
          <w:p w14:paraId="446189DC" w14:textId="77777777" w:rsidR="009757C3" w:rsidRPr="009757C3" w:rsidRDefault="009757C3" w:rsidP="00AC5B73">
            <w:pPr>
              <w:rPr>
                <w:rFonts w:cs="Arial"/>
                <w:color w:val="000000"/>
                <w:sz w:val="20"/>
                <w:szCs w:val="20"/>
              </w:rPr>
            </w:pPr>
            <w:r w:rsidRPr="009757C3">
              <w:rPr>
                <w:rFonts w:cs="Arial"/>
                <w:color w:val="000000"/>
                <w:sz w:val="20"/>
                <w:szCs w:val="20"/>
              </w:rPr>
              <w:t>White - Polish</w:t>
            </w:r>
          </w:p>
        </w:tc>
        <w:tc>
          <w:tcPr>
            <w:tcW w:w="334" w:type="pct"/>
            <w:shd w:val="clear" w:color="auto" w:fill="auto"/>
            <w:noWrap/>
            <w:vAlign w:val="center"/>
            <w:hideMark/>
          </w:tcPr>
          <w:p w14:paraId="6CF28D2B"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301E9911"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20E2F120"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3D492B32"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3B0AFD73"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2FA9E7EA"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vAlign w:val="center"/>
          </w:tcPr>
          <w:p w14:paraId="2432CC42"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vAlign w:val="center"/>
            <w:hideMark/>
          </w:tcPr>
          <w:p w14:paraId="4BD2C80F"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vAlign w:val="center"/>
          </w:tcPr>
          <w:p w14:paraId="7051B73F" w14:textId="77777777" w:rsidR="009757C3" w:rsidRPr="009757C3" w:rsidRDefault="009757C3" w:rsidP="00AC5B73">
            <w:pPr>
              <w:jc w:val="right"/>
              <w:rPr>
                <w:rFonts w:cs="Arial"/>
                <w:color w:val="000000"/>
                <w:sz w:val="18"/>
                <w:szCs w:val="20"/>
              </w:rPr>
            </w:pPr>
            <w:r w:rsidRPr="009757C3">
              <w:rPr>
                <w:rFonts w:cs="Arial"/>
                <w:color w:val="000000"/>
                <w:sz w:val="18"/>
                <w:szCs w:val="20"/>
              </w:rPr>
              <w:t>N/A</w:t>
            </w:r>
          </w:p>
        </w:tc>
        <w:tc>
          <w:tcPr>
            <w:tcW w:w="334" w:type="pct"/>
            <w:shd w:val="clear" w:color="auto" w:fill="auto"/>
            <w:noWrap/>
            <w:vAlign w:val="center"/>
            <w:hideMark/>
          </w:tcPr>
          <w:p w14:paraId="09EFD6E3" w14:textId="77777777" w:rsidR="009757C3" w:rsidRPr="009757C3" w:rsidRDefault="009757C3" w:rsidP="00AC5B73">
            <w:pPr>
              <w:jc w:val="right"/>
              <w:rPr>
                <w:rFonts w:cs="Arial"/>
                <w:color w:val="000000"/>
                <w:sz w:val="18"/>
                <w:szCs w:val="20"/>
              </w:rPr>
            </w:pPr>
            <w:r w:rsidRPr="009757C3">
              <w:rPr>
                <w:rFonts w:cs="Arial"/>
                <w:color w:val="000000"/>
                <w:sz w:val="18"/>
                <w:szCs w:val="20"/>
              </w:rPr>
              <w:t>0.2%</w:t>
            </w:r>
          </w:p>
        </w:tc>
        <w:tc>
          <w:tcPr>
            <w:tcW w:w="333" w:type="pct"/>
            <w:vAlign w:val="center"/>
          </w:tcPr>
          <w:p w14:paraId="0DC6BF2E" w14:textId="585B225B" w:rsidR="009757C3" w:rsidRPr="009757C3" w:rsidRDefault="000C0050" w:rsidP="00AC5B73">
            <w:pPr>
              <w:jc w:val="right"/>
              <w:rPr>
                <w:rFonts w:cs="Arial"/>
                <w:color w:val="000000"/>
                <w:sz w:val="18"/>
                <w:szCs w:val="20"/>
              </w:rPr>
            </w:pPr>
            <w:r>
              <w:rPr>
                <w:rFonts w:cs="Arial"/>
                <w:color w:val="000000"/>
                <w:sz w:val="18"/>
                <w:szCs w:val="20"/>
              </w:rPr>
              <w:t>N/A</w:t>
            </w:r>
          </w:p>
        </w:tc>
      </w:tr>
    </w:tbl>
    <w:p w14:paraId="09214A0E" w14:textId="4BF97CB9" w:rsidR="00CD1313" w:rsidRPr="00705A09" w:rsidRDefault="00CD1313" w:rsidP="00AC5B73">
      <w:pPr>
        <w:pStyle w:val="NoSpacing"/>
        <w:rPr>
          <w:rFonts w:ascii="Arial" w:hAnsi="Arial" w:cs="Arial"/>
          <w:szCs w:val="24"/>
        </w:rPr>
      </w:pPr>
    </w:p>
    <w:p w14:paraId="155BC5C1" w14:textId="4FCB0883" w:rsidR="008A5B80" w:rsidRPr="00705A09" w:rsidRDefault="008A5B80" w:rsidP="00AC5B73">
      <w:pPr>
        <w:pStyle w:val="NoSpacing"/>
        <w:rPr>
          <w:rFonts w:ascii="Arial" w:hAnsi="Arial" w:cs="Arial"/>
          <w:szCs w:val="24"/>
        </w:rPr>
      </w:pPr>
      <w:r w:rsidRPr="00705A09">
        <w:rPr>
          <w:rFonts w:ascii="Arial" w:hAnsi="Arial" w:cs="Arial"/>
          <w:szCs w:val="24"/>
        </w:rPr>
        <w:t>The national census in 2011 showed the racial breakdown of those living in Scotland as at 27 March 2011.</w:t>
      </w:r>
      <w:r w:rsidR="00901CC7" w:rsidRPr="00705A09">
        <w:rPr>
          <w:rFonts w:ascii="Arial" w:hAnsi="Arial" w:cs="Arial"/>
          <w:szCs w:val="24"/>
        </w:rPr>
        <w:t xml:space="preserve"> </w:t>
      </w:r>
      <w:r w:rsidRPr="00705A09">
        <w:rPr>
          <w:rFonts w:ascii="Arial" w:hAnsi="Arial" w:cs="Arial"/>
          <w:szCs w:val="24"/>
        </w:rPr>
        <w:t xml:space="preserve">At that </w:t>
      </w:r>
      <w:r w:rsidR="00E96186" w:rsidRPr="00705A09">
        <w:rPr>
          <w:rFonts w:ascii="Arial" w:hAnsi="Arial" w:cs="Arial"/>
          <w:szCs w:val="24"/>
        </w:rPr>
        <w:t>time,</w:t>
      </w:r>
      <w:r w:rsidRPr="00705A09">
        <w:rPr>
          <w:rFonts w:ascii="Arial" w:hAnsi="Arial" w:cs="Arial"/>
          <w:szCs w:val="24"/>
        </w:rPr>
        <w:t xml:space="preserve"> it indicated that the people of Scotland identified</w:t>
      </w:r>
      <w:r w:rsidR="00550496" w:rsidRPr="00705A09">
        <w:rPr>
          <w:rFonts w:ascii="Arial" w:hAnsi="Arial" w:cs="Arial"/>
          <w:szCs w:val="24"/>
        </w:rPr>
        <w:t xml:space="preserve"> their ethnicity as shown in the table below.</w:t>
      </w:r>
      <w:r w:rsidR="00901CC7" w:rsidRPr="00705A09">
        <w:rPr>
          <w:rFonts w:ascii="Arial" w:hAnsi="Arial" w:cs="Arial"/>
          <w:szCs w:val="24"/>
        </w:rPr>
        <w:t xml:space="preserve"> </w:t>
      </w:r>
      <w:r w:rsidR="00550496" w:rsidRPr="00705A09">
        <w:rPr>
          <w:rFonts w:ascii="Arial" w:hAnsi="Arial" w:cs="Arial"/>
          <w:szCs w:val="24"/>
        </w:rPr>
        <w:t xml:space="preserve">The </w:t>
      </w:r>
      <w:hyperlink r:id="rId68" w:history="1">
        <w:r w:rsidR="00054373" w:rsidRPr="00331C97">
          <w:rPr>
            <w:rStyle w:val="Hyperlink"/>
            <w:rFonts w:ascii="Arial" w:hAnsi="Arial" w:cs="Arial"/>
            <w:szCs w:val="24"/>
          </w:rPr>
          <w:t>NHS Scotland Workforce Statistics</w:t>
        </w:r>
        <w:r w:rsidR="00550496" w:rsidRPr="00331C97">
          <w:rPr>
            <w:rStyle w:val="Hyperlink"/>
            <w:rFonts w:ascii="Arial" w:hAnsi="Arial" w:cs="Arial"/>
            <w:szCs w:val="24"/>
          </w:rPr>
          <w:t xml:space="preserve"> release as at 31 March 2</w:t>
        </w:r>
        <w:r w:rsidR="00331C97" w:rsidRPr="00331C97">
          <w:rPr>
            <w:rStyle w:val="Hyperlink"/>
            <w:rFonts w:ascii="Arial" w:hAnsi="Arial" w:cs="Arial"/>
            <w:szCs w:val="24"/>
          </w:rPr>
          <w:t>022</w:t>
        </w:r>
      </w:hyperlink>
      <w:r w:rsidR="00550496" w:rsidRPr="00705A09">
        <w:rPr>
          <w:rFonts w:ascii="Arial" w:hAnsi="Arial" w:cs="Arial"/>
          <w:szCs w:val="24"/>
        </w:rPr>
        <w:t>, shows the ethnic group breakdown for staff in NHS Greater Glasgow and Clyde as at 31 March 2</w:t>
      </w:r>
      <w:r w:rsidR="00331C97">
        <w:rPr>
          <w:rFonts w:ascii="Arial" w:hAnsi="Arial" w:cs="Arial"/>
          <w:szCs w:val="24"/>
        </w:rPr>
        <w:t>022</w:t>
      </w:r>
      <w:r w:rsidR="00550496" w:rsidRPr="00705A09">
        <w:rPr>
          <w:rFonts w:ascii="Arial" w:hAnsi="Arial" w:cs="Arial"/>
          <w:szCs w:val="24"/>
        </w:rPr>
        <w:t>.</w:t>
      </w:r>
      <w:r w:rsidR="00901CC7" w:rsidRPr="00705A09">
        <w:rPr>
          <w:rFonts w:ascii="Arial" w:hAnsi="Arial" w:cs="Arial"/>
          <w:szCs w:val="24"/>
        </w:rPr>
        <w:t xml:space="preserve"> </w:t>
      </w:r>
      <w:r w:rsidR="00550496" w:rsidRPr="00705A09">
        <w:rPr>
          <w:rFonts w:ascii="Arial" w:hAnsi="Arial" w:cs="Arial"/>
          <w:szCs w:val="24"/>
        </w:rPr>
        <w:t xml:space="preserve">It might be expected that this would be similar to </w:t>
      </w:r>
      <w:r w:rsidR="00CF0F31" w:rsidRPr="00705A09">
        <w:rPr>
          <w:rFonts w:ascii="Arial" w:hAnsi="Arial" w:cs="Arial"/>
          <w:szCs w:val="24"/>
        </w:rPr>
        <w:t>NHS GJ</w:t>
      </w:r>
      <w:r w:rsidR="00550496" w:rsidRPr="00705A09">
        <w:rPr>
          <w:rFonts w:ascii="Arial" w:hAnsi="Arial" w:cs="Arial"/>
          <w:szCs w:val="24"/>
        </w:rPr>
        <w:t>, but:</w:t>
      </w:r>
    </w:p>
    <w:p w14:paraId="6BE175F3" w14:textId="4B7A73CF" w:rsidR="00CD1313" w:rsidRPr="00705A09" w:rsidRDefault="00CD1313" w:rsidP="00305EA0">
      <w:pPr>
        <w:pStyle w:val="NoSpacing"/>
        <w:shd w:val="clear" w:color="auto" w:fill="FFFFFF" w:themeFill="background1"/>
        <w:rPr>
          <w:rFonts w:ascii="Arial" w:hAnsi="Arial" w:cs="Arial"/>
          <w:szCs w:val="24"/>
        </w:rPr>
      </w:pPr>
    </w:p>
    <w:tbl>
      <w:tblPr>
        <w:tblStyle w:val="TableGrid"/>
        <w:tblW w:w="0" w:type="auto"/>
        <w:tblLook w:val="04A0" w:firstRow="1" w:lastRow="0" w:firstColumn="1" w:lastColumn="0" w:noHBand="0" w:noVBand="1"/>
      </w:tblPr>
      <w:tblGrid>
        <w:gridCol w:w="3085"/>
        <w:gridCol w:w="2598"/>
        <w:gridCol w:w="2599"/>
        <w:gridCol w:w="2599"/>
      </w:tblGrid>
      <w:tr w:rsidR="00550496" w:rsidRPr="00705A09" w14:paraId="6DA0566D" w14:textId="77777777" w:rsidTr="00305EA0">
        <w:tc>
          <w:tcPr>
            <w:tcW w:w="3085" w:type="dxa"/>
            <w:shd w:val="clear" w:color="auto" w:fill="FFFFFF" w:themeFill="background1"/>
            <w:vAlign w:val="center"/>
          </w:tcPr>
          <w:p w14:paraId="27CAFD7C" w14:textId="77777777" w:rsidR="00550496" w:rsidRPr="00705A09" w:rsidRDefault="00550496" w:rsidP="00305EA0">
            <w:pPr>
              <w:shd w:val="clear" w:color="auto" w:fill="FFFFFF" w:themeFill="background1"/>
              <w:rPr>
                <w:rFonts w:eastAsia="Times New Roman" w:cs="Arial"/>
                <w:b/>
                <w:color w:val="000000"/>
                <w:sz w:val="24"/>
                <w:szCs w:val="24"/>
                <w:lang w:eastAsia="en-GB"/>
              </w:rPr>
            </w:pPr>
            <w:r w:rsidRPr="00705A09">
              <w:rPr>
                <w:rFonts w:eastAsia="Times New Roman" w:cs="Arial"/>
                <w:b/>
                <w:color w:val="000000"/>
                <w:sz w:val="24"/>
                <w:szCs w:val="24"/>
                <w:lang w:eastAsia="en-GB"/>
              </w:rPr>
              <w:t>Ethnicity</w:t>
            </w:r>
          </w:p>
        </w:tc>
        <w:tc>
          <w:tcPr>
            <w:tcW w:w="2598" w:type="dxa"/>
            <w:shd w:val="clear" w:color="auto" w:fill="FFFFFF" w:themeFill="background1"/>
            <w:vAlign w:val="center"/>
          </w:tcPr>
          <w:p w14:paraId="316B503F" w14:textId="77777777" w:rsidR="00550496" w:rsidRPr="00705A09" w:rsidRDefault="004A6687" w:rsidP="00305EA0">
            <w:pPr>
              <w:shd w:val="clear" w:color="auto" w:fill="FFFFFF" w:themeFill="background1"/>
              <w:rPr>
                <w:rFonts w:eastAsia="Times New Roman" w:cs="Arial"/>
                <w:b/>
                <w:bCs/>
                <w:color w:val="000000"/>
                <w:szCs w:val="24"/>
                <w:lang w:eastAsia="en-GB"/>
              </w:rPr>
            </w:pPr>
            <w:r w:rsidRPr="00705A09">
              <w:rPr>
                <w:rFonts w:eastAsia="Times New Roman" w:cs="Arial"/>
                <w:b/>
                <w:bCs/>
                <w:color w:val="000000"/>
                <w:szCs w:val="24"/>
                <w:lang w:eastAsia="en-GB"/>
              </w:rPr>
              <w:t xml:space="preserve">% </w:t>
            </w:r>
            <w:r w:rsidR="00550496" w:rsidRPr="00705A09">
              <w:rPr>
                <w:rFonts w:eastAsia="Times New Roman" w:cs="Arial"/>
                <w:b/>
                <w:bCs/>
                <w:color w:val="000000"/>
                <w:szCs w:val="24"/>
                <w:lang w:eastAsia="en-GB"/>
              </w:rPr>
              <w:t>Scottish population</w:t>
            </w:r>
          </w:p>
        </w:tc>
        <w:tc>
          <w:tcPr>
            <w:tcW w:w="2599" w:type="dxa"/>
            <w:shd w:val="clear" w:color="auto" w:fill="FFFFFF" w:themeFill="background1"/>
            <w:vAlign w:val="center"/>
          </w:tcPr>
          <w:p w14:paraId="7CF23E53" w14:textId="77777777" w:rsidR="00550496" w:rsidRPr="00705A09" w:rsidRDefault="004A6687" w:rsidP="00305EA0">
            <w:pPr>
              <w:shd w:val="clear" w:color="auto" w:fill="FFFFFF" w:themeFill="background1"/>
              <w:rPr>
                <w:rFonts w:cs="Arial"/>
                <w:b/>
                <w:sz w:val="24"/>
                <w:szCs w:val="24"/>
              </w:rPr>
            </w:pPr>
            <w:r w:rsidRPr="00705A09">
              <w:rPr>
                <w:rFonts w:cs="Arial"/>
                <w:b/>
                <w:sz w:val="24"/>
                <w:szCs w:val="24"/>
              </w:rPr>
              <w:t xml:space="preserve">% </w:t>
            </w:r>
            <w:r w:rsidR="00550496" w:rsidRPr="00705A09">
              <w:rPr>
                <w:rFonts w:cs="Arial"/>
                <w:b/>
                <w:sz w:val="24"/>
                <w:szCs w:val="24"/>
              </w:rPr>
              <w:t>NHSGGC staff</w:t>
            </w:r>
          </w:p>
        </w:tc>
        <w:tc>
          <w:tcPr>
            <w:tcW w:w="2599" w:type="dxa"/>
            <w:shd w:val="clear" w:color="auto" w:fill="FFFFFF" w:themeFill="background1"/>
            <w:vAlign w:val="center"/>
          </w:tcPr>
          <w:p w14:paraId="744DF441" w14:textId="77777777" w:rsidR="00550496" w:rsidRPr="00705A09" w:rsidRDefault="004A6687" w:rsidP="00305EA0">
            <w:pPr>
              <w:shd w:val="clear" w:color="auto" w:fill="FFFFFF" w:themeFill="background1"/>
              <w:rPr>
                <w:rFonts w:cs="Arial"/>
                <w:b/>
                <w:sz w:val="24"/>
                <w:szCs w:val="24"/>
              </w:rPr>
            </w:pPr>
            <w:r w:rsidRPr="00705A09">
              <w:rPr>
                <w:rFonts w:cs="Arial"/>
                <w:b/>
                <w:sz w:val="24"/>
                <w:szCs w:val="24"/>
              </w:rPr>
              <w:t xml:space="preserve">% </w:t>
            </w:r>
            <w:r w:rsidR="00CF0F31" w:rsidRPr="00705A09">
              <w:rPr>
                <w:rFonts w:cs="Arial"/>
                <w:b/>
                <w:sz w:val="24"/>
                <w:szCs w:val="24"/>
              </w:rPr>
              <w:t>NHS GJ</w:t>
            </w:r>
            <w:r w:rsidR="00550496" w:rsidRPr="00705A09">
              <w:rPr>
                <w:rFonts w:cs="Arial"/>
                <w:b/>
                <w:sz w:val="24"/>
                <w:szCs w:val="24"/>
              </w:rPr>
              <w:t xml:space="preserve"> staff</w:t>
            </w:r>
          </w:p>
        </w:tc>
      </w:tr>
      <w:tr w:rsidR="008A3C0B" w:rsidRPr="00705A09" w14:paraId="3CEF6D49" w14:textId="77777777" w:rsidTr="00305EA0">
        <w:tc>
          <w:tcPr>
            <w:tcW w:w="3085" w:type="dxa"/>
            <w:shd w:val="clear" w:color="auto" w:fill="FFFFFF" w:themeFill="background1"/>
            <w:vAlign w:val="center"/>
          </w:tcPr>
          <w:p w14:paraId="3B207455" w14:textId="77777777" w:rsidR="008A3C0B" w:rsidRPr="00705A09" w:rsidRDefault="008A3C0B" w:rsidP="00305EA0">
            <w:pPr>
              <w:shd w:val="clear" w:color="auto" w:fill="FFFFFF" w:themeFill="background1"/>
              <w:rPr>
                <w:rFonts w:eastAsia="Times New Roman" w:cs="Arial"/>
                <w:b/>
                <w:bCs/>
                <w:color w:val="000000"/>
                <w:sz w:val="24"/>
                <w:szCs w:val="24"/>
                <w:lang w:eastAsia="en-GB"/>
              </w:rPr>
            </w:pPr>
            <w:r w:rsidRPr="00705A09">
              <w:rPr>
                <w:rFonts w:eastAsia="Times New Roman" w:cs="Arial"/>
                <w:b/>
                <w:bCs/>
                <w:color w:val="000000"/>
                <w:sz w:val="24"/>
                <w:szCs w:val="24"/>
                <w:lang w:eastAsia="en-GB"/>
              </w:rPr>
              <w:t>White – Scottish</w:t>
            </w:r>
          </w:p>
        </w:tc>
        <w:tc>
          <w:tcPr>
            <w:tcW w:w="2598" w:type="dxa"/>
            <w:shd w:val="clear" w:color="auto" w:fill="FFFFFF" w:themeFill="background1"/>
            <w:vAlign w:val="center"/>
          </w:tcPr>
          <w:p w14:paraId="671BA789" w14:textId="77777777" w:rsidR="008A3C0B" w:rsidRPr="00705A09"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84.0%</w:t>
            </w:r>
          </w:p>
        </w:tc>
        <w:tc>
          <w:tcPr>
            <w:tcW w:w="2599" w:type="dxa"/>
            <w:shd w:val="clear" w:color="auto" w:fill="FFFFFF" w:themeFill="background1"/>
            <w:vAlign w:val="center"/>
          </w:tcPr>
          <w:p w14:paraId="2AF717A0" w14:textId="43D502A6" w:rsidR="008A3C0B" w:rsidRPr="00705A09" w:rsidRDefault="00096AA0"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50.8</w:t>
            </w:r>
            <w:r w:rsidR="008A3C0B" w:rsidRPr="00705A09">
              <w:rPr>
                <w:rFonts w:eastAsia="Times New Roman" w:cs="Arial"/>
                <w:color w:val="000000"/>
                <w:sz w:val="24"/>
                <w:szCs w:val="24"/>
                <w:lang w:eastAsia="en-GB"/>
              </w:rPr>
              <w:t>%</w:t>
            </w:r>
          </w:p>
        </w:tc>
        <w:tc>
          <w:tcPr>
            <w:tcW w:w="2599" w:type="dxa"/>
            <w:shd w:val="clear" w:color="auto" w:fill="FFFFFF" w:themeFill="background1"/>
            <w:vAlign w:val="center"/>
          </w:tcPr>
          <w:p w14:paraId="64521B55" w14:textId="1BCC3276" w:rsidR="008A3C0B" w:rsidRPr="00705A09" w:rsidRDefault="005129F2"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67.7</w:t>
            </w:r>
            <w:r w:rsidR="008A3C0B" w:rsidRPr="00705A09">
              <w:rPr>
                <w:rFonts w:eastAsia="Times New Roman" w:cs="Arial"/>
                <w:color w:val="000000"/>
                <w:sz w:val="24"/>
                <w:szCs w:val="24"/>
                <w:lang w:eastAsia="en-GB"/>
              </w:rPr>
              <w:t>%</w:t>
            </w:r>
          </w:p>
        </w:tc>
      </w:tr>
      <w:tr w:rsidR="008A3C0B" w:rsidRPr="00705A09" w14:paraId="0118A5E7" w14:textId="77777777" w:rsidTr="00305EA0">
        <w:tc>
          <w:tcPr>
            <w:tcW w:w="3085" w:type="dxa"/>
            <w:shd w:val="clear" w:color="auto" w:fill="FFFFFF" w:themeFill="background1"/>
            <w:vAlign w:val="center"/>
          </w:tcPr>
          <w:p w14:paraId="48406874" w14:textId="77777777" w:rsidR="008A3C0B" w:rsidRPr="00705A09" w:rsidRDefault="008A3C0B" w:rsidP="00305EA0">
            <w:pPr>
              <w:shd w:val="clear" w:color="auto" w:fill="FFFFFF" w:themeFill="background1"/>
              <w:rPr>
                <w:rFonts w:eastAsia="Times New Roman" w:cs="Arial"/>
                <w:b/>
                <w:bCs/>
                <w:color w:val="000000"/>
                <w:sz w:val="24"/>
                <w:szCs w:val="24"/>
                <w:lang w:eastAsia="en-GB"/>
              </w:rPr>
            </w:pPr>
            <w:r w:rsidRPr="00705A09">
              <w:rPr>
                <w:rFonts w:eastAsia="Times New Roman" w:cs="Arial"/>
                <w:b/>
                <w:bCs/>
                <w:color w:val="000000"/>
                <w:sz w:val="24"/>
                <w:szCs w:val="24"/>
                <w:lang w:eastAsia="en-GB"/>
              </w:rPr>
              <w:t>No information provided</w:t>
            </w:r>
          </w:p>
        </w:tc>
        <w:tc>
          <w:tcPr>
            <w:tcW w:w="2598" w:type="dxa"/>
            <w:shd w:val="clear" w:color="auto" w:fill="FFFFFF" w:themeFill="background1"/>
            <w:vAlign w:val="center"/>
          </w:tcPr>
          <w:p w14:paraId="69F4094C" w14:textId="77777777" w:rsidR="008A3C0B" w:rsidRPr="00705A09"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0.0%</w:t>
            </w:r>
          </w:p>
        </w:tc>
        <w:tc>
          <w:tcPr>
            <w:tcW w:w="2599" w:type="dxa"/>
            <w:shd w:val="clear" w:color="auto" w:fill="FFFFFF" w:themeFill="background1"/>
            <w:vAlign w:val="center"/>
          </w:tcPr>
          <w:p w14:paraId="52159CAC" w14:textId="77BFFEBC" w:rsidR="008A3C0B" w:rsidRPr="00705A09" w:rsidRDefault="00117A14"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30.6</w:t>
            </w:r>
            <w:r w:rsidR="008A3C0B" w:rsidRPr="00705A09">
              <w:rPr>
                <w:rFonts w:eastAsia="Times New Roman" w:cs="Arial"/>
                <w:color w:val="000000"/>
                <w:sz w:val="24"/>
                <w:szCs w:val="24"/>
                <w:lang w:eastAsia="en-GB"/>
              </w:rPr>
              <w:t>%</w:t>
            </w:r>
          </w:p>
        </w:tc>
        <w:tc>
          <w:tcPr>
            <w:tcW w:w="2599" w:type="dxa"/>
            <w:shd w:val="clear" w:color="auto" w:fill="FFFFFF" w:themeFill="background1"/>
            <w:vAlign w:val="center"/>
          </w:tcPr>
          <w:p w14:paraId="22285A30" w14:textId="232ECB1C" w:rsidR="008A3C0B" w:rsidRPr="00705A09" w:rsidRDefault="005129F2"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10</w:t>
            </w:r>
            <w:r w:rsidR="008A3C0B" w:rsidRPr="00705A09">
              <w:rPr>
                <w:rFonts w:eastAsia="Times New Roman" w:cs="Arial"/>
                <w:color w:val="000000"/>
                <w:sz w:val="24"/>
                <w:szCs w:val="24"/>
                <w:lang w:eastAsia="en-GB"/>
              </w:rPr>
              <w:t>.8%</w:t>
            </w:r>
          </w:p>
        </w:tc>
      </w:tr>
      <w:tr w:rsidR="008A3C0B" w:rsidRPr="00705A09" w14:paraId="1C1C4725" w14:textId="77777777" w:rsidTr="00305EA0">
        <w:tc>
          <w:tcPr>
            <w:tcW w:w="3085" w:type="dxa"/>
            <w:shd w:val="clear" w:color="auto" w:fill="FFFFFF" w:themeFill="background1"/>
            <w:vAlign w:val="center"/>
          </w:tcPr>
          <w:p w14:paraId="29A146D1" w14:textId="77777777" w:rsidR="008A3C0B" w:rsidRPr="00705A09" w:rsidRDefault="008A3C0B" w:rsidP="00305EA0">
            <w:pPr>
              <w:shd w:val="clear" w:color="auto" w:fill="FFFFFF" w:themeFill="background1"/>
              <w:rPr>
                <w:rFonts w:eastAsia="Times New Roman" w:cs="Arial"/>
                <w:b/>
                <w:bCs/>
                <w:color w:val="000000"/>
                <w:sz w:val="24"/>
                <w:szCs w:val="24"/>
                <w:lang w:eastAsia="en-GB"/>
              </w:rPr>
            </w:pPr>
            <w:r w:rsidRPr="00705A09">
              <w:rPr>
                <w:rFonts w:eastAsia="Times New Roman" w:cs="Arial"/>
                <w:b/>
                <w:bCs/>
                <w:color w:val="000000"/>
                <w:sz w:val="24"/>
                <w:szCs w:val="24"/>
                <w:lang w:eastAsia="en-GB"/>
              </w:rPr>
              <w:t>White – Other British</w:t>
            </w:r>
          </w:p>
        </w:tc>
        <w:tc>
          <w:tcPr>
            <w:tcW w:w="2598" w:type="dxa"/>
            <w:shd w:val="clear" w:color="auto" w:fill="FFFFFF" w:themeFill="background1"/>
            <w:vAlign w:val="center"/>
          </w:tcPr>
          <w:p w14:paraId="2B2686BC" w14:textId="77777777" w:rsidR="008A3C0B" w:rsidRPr="00705A09"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7.9%</w:t>
            </w:r>
          </w:p>
        </w:tc>
        <w:tc>
          <w:tcPr>
            <w:tcW w:w="2599" w:type="dxa"/>
            <w:shd w:val="clear" w:color="auto" w:fill="FFFFFF" w:themeFill="background1"/>
            <w:vAlign w:val="center"/>
          </w:tcPr>
          <w:p w14:paraId="000BB23B" w14:textId="6E4A9B10" w:rsidR="008A3C0B" w:rsidRPr="00705A09" w:rsidRDefault="005129F2"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8.8</w:t>
            </w:r>
            <w:r w:rsidR="008A3C0B" w:rsidRPr="00705A09">
              <w:rPr>
                <w:rFonts w:eastAsia="Times New Roman" w:cs="Arial"/>
                <w:color w:val="000000"/>
                <w:sz w:val="24"/>
                <w:szCs w:val="24"/>
                <w:lang w:eastAsia="en-GB"/>
              </w:rPr>
              <w:t>%</w:t>
            </w:r>
          </w:p>
        </w:tc>
        <w:tc>
          <w:tcPr>
            <w:tcW w:w="2599" w:type="dxa"/>
            <w:shd w:val="clear" w:color="auto" w:fill="FFFFFF" w:themeFill="background1"/>
            <w:vAlign w:val="center"/>
          </w:tcPr>
          <w:p w14:paraId="5BC127AF" w14:textId="3D53FC94" w:rsidR="008A3C0B" w:rsidRPr="00705A09" w:rsidRDefault="005129F2"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6.3</w:t>
            </w:r>
            <w:r w:rsidR="008A3C0B" w:rsidRPr="00705A09">
              <w:rPr>
                <w:rFonts w:eastAsia="Times New Roman" w:cs="Arial"/>
                <w:color w:val="000000"/>
                <w:sz w:val="24"/>
                <w:szCs w:val="24"/>
                <w:lang w:eastAsia="en-GB"/>
              </w:rPr>
              <w:t>%</w:t>
            </w:r>
          </w:p>
        </w:tc>
      </w:tr>
      <w:tr w:rsidR="008A3C0B" w:rsidRPr="00705A09" w14:paraId="23969095" w14:textId="77777777" w:rsidTr="00305EA0">
        <w:tc>
          <w:tcPr>
            <w:tcW w:w="3085" w:type="dxa"/>
            <w:shd w:val="clear" w:color="auto" w:fill="FFFFFF" w:themeFill="background1"/>
            <w:vAlign w:val="center"/>
          </w:tcPr>
          <w:p w14:paraId="03E228CB" w14:textId="77777777" w:rsidR="008A3C0B" w:rsidRPr="00705A09" w:rsidRDefault="008A3C0B" w:rsidP="00305EA0">
            <w:pPr>
              <w:shd w:val="clear" w:color="auto" w:fill="FFFFFF" w:themeFill="background1"/>
              <w:rPr>
                <w:rFonts w:eastAsia="Times New Roman" w:cs="Arial"/>
                <w:b/>
                <w:bCs/>
                <w:color w:val="000000"/>
                <w:sz w:val="24"/>
                <w:szCs w:val="24"/>
                <w:lang w:eastAsia="en-GB"/>
              </w:rPr>
            </w:pPr>
            <w:r w:rsidRPr="00705A09">
              <w:rPr>
                <w:rFonts w:eastAsia="Times New Roman" w:cs="Arial"/>
                <w:b/>
                <w:bCs/>
                <w:color w:val="000000"/>
                <w:sz w:val="24"/>
                <w:szCs w:val="24"/>
                <w:lang w:eastAsia="en-GB"/>
              </w:rPr>
              <w:t>White – Other</w:t>
            </w:r>
          </w:p>
        </w:tc>
        <w:tc>
          <w:tcPr>
            <w:tcW w:w="2598" w:type="dxa"/>
            <w:shd w:val="clear" w:color="auto" w:fill="FFFFFF" w:themeFill="background1"/>
            <w:vAlign w:val="center"/>
          </w:tcPr>
          <w:p w14:paraId="164398C3" w14:textId="77777777" w:rsidR="008A3C0B" w:rsidRPr="00705A09"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2.0%</w:t>
            </w:r>
          </w:p>
        </w:tc>
        <w:tc>
          <w:tcPr>
            <w:tcW w:w="2599" w:type="dxa"/>
            <w:shd w:val="clear" w:color="auto" w:fill="FFFFFF" w:themeFill="background1"/>
            <w:vAlign w:val="center"/>
          </w:tcPr>
          <w:p w14:paraId="3A484057" w14:textId="102C9ACB" w:rsidR="008A3C0B" w:rsidRPr="00705A09" w:rsidRDefault="00117A14"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3.0</w:t>
            </w:r>
            <w:r w:rsidR="008A3C0B" w:rsidRPr="00705A09">
              <w:rPr>
                <w:rFonts w:eastAsia="Times New Roman" w:cs="Arial"/>
                <w:color w:val="000000"/>
                <w:sz w:val="24"/>
                <w:szCs w:val="24"/>
                <w:lang w:eastAsia="en-GB"/>
              </w:rPr>
              <w:t>%</w:t>
            </w:r>
          </w:p>
        </w:tc>
        <w:tc>
          <w:tcPr>
            <w:tcW w:w="2599" w:type="dxa"/>
            <w:shd w:val="clear" w:color="auto" w:fill="FFFFFF" w:themeFill="background1"/>
            <w:vAlign w:val="center"/>
          </w:tcPr>
          <w:p w14:paraId="00D918BC" w14:textId="53499DF9" w:rsidR="008A3C0B" w:rsidRPr="00705A09" w:rsidRDefault="005129F2"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3.8</w:t>
            </w:r>
            <w:r w:rsidR="008A3C0B" w:rsidRPr="00705A09">
              <w:rPr>
                <w:rFonts w:eastAsia="Times New Roman" w:cs="Arial"/>
                <w:color w:val="000000"/>
                <w:sz w:val="24"/>
                <w:szCs w:val="24"/>
                <w:lang w:eastAsia="en-GB"/>
              </w:rPr>
              <w:t>%</w:t>
            </w:r>
          </w:p>
        </w:tc>
      </w:tr>
      <w:tr w:rsidR="008A3C0B" w:rsidRPr="00705A09" w14:paraId="20DC145D" w14:textId="77777777" w:rsidTr="00305EA0">
        <w:tc>
          <w:tcPr>
            <w:tcW w:w="3085" w:type="dxa"/>
            <w:shd w:val="clear" w:color="auto" w:fill="FFFFFF" w:themeFill="background1"/>
            <w:vAlign w:val="center"/>
          </w:tcPr>
          <w:p w14:paraId="62356504" w14:textId="77777777" w:rsidR="008A3C0B" w:rsidRPr="00705A09" w:rsidRDefault="008A3C0B" w:rsidP="00305EA0">
            <w:pPr>
              <w:shd w:val="clear" w:color="auto" w:fill="FFFFFF" w:themeFill="background1"/>
              <w:rPr>
                <w:rFonts w:eastAsia="Times New Roman" w:cs="Arial"/>
                <w:b/>
                <w:bCs/>
                <w:color w:val="000000"/>
                <w:sz w:val="24"/>
                <w:szCs w:val="24"/>
                <w:lang w:eastAsia="en-GB"/>
              </w:rPr>
            </w:pPr>
            <w:r w:rsidRPr="00705A09">
              <w:rPr>
                <w:rFonts w:eastAsia="Times New Roman" w:cs="Arial"/>
                <w:b/>
                <w:bCs/>
                <w:color w:val="000000"/>
                <w:sz w:val="24"/>
                <w:szCs w:val="24"/>
                <w:lang w:eastAsia="en-GB"/>
              </w:rPr>
              <w:t>Prefer not to say</w:t>
            </w:r>
          </w:p>
        </w:tc>
        <w:tc>
          <w:tcPr>
            <w:tcW w:w="2598" w:type="dxa"/>
            <w:shd w:val="clear" w:color="auto" w:fill="FFFFFF" w:themeFill="background1"/>
            <w:vAlign w:val="center"/>
          </w:tcPr>
          <w:p w14:paraId="35713B55" w14:textId="77777777" w:rsidR="008A3C0B" w:rsidRPr="00705A09"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0.0%</w:t>
            </w:r>
          </w:p>
        </w:tc>
        <w:tc>
          <w:tcPr>
            <w:tcW w:w="2599" w:type="dxa"/>
            <w:shd w:val="clear" w:color="auto" w:fill="FFFFFF" w:themeFill="background1"/>
            <w:vAlign w:val="center"/>
          </w:tcPr>
          <w:p w14:paraId="53FE0B30" w14:textId="0F97A91A" w:rsidR="008A3C0B" w:rsidRPr="00705A09" w:rsidRDefault="00117A14"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0.8</w:t>
            </w:r>
            <w:r w:rsidR="008A3C0B" w:rsidRPr="00705A09">
              <w:rPr>
                <w:rFonts w:eastAsia="Times New Roman" w:cs="Arial"/>
                <w:color w:val="000000"/>
                <w:sz w:val="24"/>
                <w:szCs w:val="24"/>
                <w:lang w:eastAsia="en-GB"/>
              </w:rPr>
              <w:t>%</w:t>
            </w:r>
          </w:p>
        </w:tc>
        <w:tc>
          <w:tcPr>
            <w:tcW w:w="2599" w:type="dxa"/>
            <w:shd w:val="clear" w:color="auto" w:fill="FFFFFF" w:themeFill="background1"/>
            <w:vAlign w:val="center"/>
          </w:tcPr>
          <w:p w14:paraId="54000C13" w14:textId="2B034D52" w:rsidR="008A3C0B" w:rsidRPr="00705A09" w:rsidRDefault="005129F2"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3.0</w:t>
            </w:r>
            <w:r w:rsidR="008A3C0B" w:rsidRPr="00705A09">
              <w:rPr>
                <w:rFonts w:eastAsia="Times New Roman" w:cs="Arial"/>
                <w:color w:val="000000"/>
                <w:sz w:val="24"/>
                <w:szCs w:val="24"/>
                <w:lang w:eastAsia="en-GB"/>
              </w:rPr>
              <w:t>%</w:t>
            </w:r>
          </w:p>
        </w:tc>
      </w:tr>
      <w:tr w:rsidR="008A3C0B" w:rsidRPr="00705A09" w14:paraId="5D02BD09" w14:textId="77777777" w:rsidTr="00305EA0">
        <w:tc>
          <w:tcPr>
            <w:tcW w:w="3085" w:type="dxa"/>
            <w:shd w:val="clear" w:color="auto" w:fill="FFFFFF" w:themeFill="background1"/>
            <w:vAlign w:val="center"/>
          </w:tcPr>
          <w:p w14:paraId="3605F6FF" w14:textId="77777777" w:rsidR="008A3C0B" w:rsidRPr="00705A09" w:rsidRDefault="008A3C0B" w:rsidP="00305EA0">
            <w:pPr>
              <w:shd w:val="clear" w:color="auto" w:fill="FFFFFF" w:themeFill="background1"/>
              <w:rPr>
                <w:rFonts w:eastAsia="Times New Roman" w:cs="Arial"/>
                <w:b/>
                <w:bCs/>
                <w:color w:val="000000"/>
                <w:sz w:val="24"/>
                <w:szCs w:val="24"/>
                <w:lang w:eastAsia="en-GB"/>
              </w:rPr>
            </w:pPr>
            <w:r w:rsidRPr="00705A09">
              <w:rPr>
                <w:rFonts w:eastAsia="Times New Roman" w:cs="Arial"/>
                <w:b/>
                <w:bCs/>
                <w:color w:val="000000"/>
                <w:sz w:val="24"/>
                <w:szCs w:val="24"/>
                <w:lang w:eastAsia="en-GB"/>
              </w:rPr>
              <w:t>Minority ethnic group</w:t>
            </w:r>
          </w:p>
        </w:tc>
        <w:tc>
          <w:tcPr>
            <w:tcW w:w="2598" w:type="dxa"/>
            <w:shd w:val="clear" w:color="auto" w:fill="FFFFFF" w:themeFill="background1"/>
            <w:vAlign w:val="center"/>
          </w:tcPr>
          <w:p w14:paraId="1DE16BDB" w14:textId="77777777" w:rsidR="008A3C0B" w:rsidRPr="00705A09"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4.0%</w:t>
            </w:r>
          </w:p>
        </w:tc>
        <w:tc>
          <w:tcPr>
            <w:tcW w:w="2599" w:type="dxa"/>
            <w:shd w:val="clear" w:color="auto" w:fill="FFFFFF" w:themeFill="background1"/>
            <w:vAlign w:val="center"/>
          </w:tcPr>
          <w:p w14:paraId="6BF37484" w14:textId="0E5D6EC2" w:rsidR="008A3C0B" w:rsidRPr="00705A09" w:rsidRDefault="00117A14"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4.8</w:t>
            </w:r>
            <w:r w:rsidR="008A3C0B" w:rsidRPr="00705A09">
              <w:rPr>
                <w:rFonts w:eastAsia="Times New Roman" w:cs="Arial"/>
                <w:color w:val="000000"/>
                <w:sz w:val="24"/>
                <w:szCs w:val="24"/>
                <w:lang w:eastAsia="en-GB"/>
              </w:rPr>
              <w:t>%</w:t>
            </w:r>
          </w:p>
        </w:tc>
        <w:tc>
          <w:tcPr>
            <w:tcW w:w="2599" w:type="dxa"/>
            <w:shd w:val="clear" w:color="auto" w:fill="FFFFFF" w:themeFill="background1"/>
            <w:vAlign w:val="center"/>
          </w:tcPr>
          <w:p w14:paraId="75C9E27D" w14:textId="77777777" w:rsidR="008A3C0B" w:rsidRPr="00705A09"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6.6%</w:t>
            </w:r>
          </w:p>
        </w:tc>
      </w:tr>
      <w:tr w:rsidR="008A3C0B" w:rsidRPr="00F825B7" w14:paraId="5F2C2168" w14:textId="77777777" w:rsidTr="00305EA0">
        <w:tc>
          <w:tcPr>
            <w:tcW w:w="3085" w:type="dxa"/>
            <w:shd w:val="clear" w:color="auto" w:fill="FFFFFF" w:themeFill="background1"/>
            <w:vAlign w:val="center"/>
          </w:tcPr>
          <w:p w14:paraId="4D1AE433" w14:textId="77777777" w:rsidR="008A3C0B" w:rsidRPr="00705A09" w:rsidRDefault="008A3C0B" w:rsidP="00305EA0">
            <w:pPr>
              <w:shd w:val="clear" w:color="auto" w:fill="FFFFFF" w:themeFill="background1"/>
              <w:rPr>
                <w:rFonts w:eastAsia="Times New Roman" w:cs="Arial"/>
                <w:b/>
                <w:bCs/>
                <w:color w:val="000000"/>
                <w:sz w:val="24"/>
                <w:szCs w:val="24"/>
                <w:lang w:eastAsia="en-GB"/>
              </w:rPr>
            </w:pPr>
            <w:r w:rsidRPr="00705A09">
              <w:rPr>
                <w:rFonts w:eastAsia="Times New Roman" w:cs="Arial"/>
                <w:b/>
                <w:bCs/>
                <w:color w:val="000000"/>
                <w:sz w:val="24"/>
                <w:szCs w:val="24"/>
                <w:lang w:eastAsia="en-GB"/>
              </w:rPr>
              <w:t>White Irish</w:t>
            </w:r>
          </w:p>
        </w:tc>
        <w:tc>
          <w:tcPr>
            <w:tcW w:w="2598" w:type="dxa"/>
            <w:shd w:val="clear" w:color="auto" w:fill="FFFFFF" w:themeFill="background1"/>
            <w:vAlign w:val="center"/>
          </w:tcPr>
          <w:p w14:paraId="1BB161E1" w14:textId="77777777" w:rsidR="008A3C0B" w:rsidRPr="00705A09"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1.0%</w:t>
            </w:r>
          </w:p>
        </w:tc>
        <w:tc>
          <w:tcPr>
            <w:tcW w:w="2599" w:type="dxa"/>
            <w:shd w:val="clear" w:color="auto" w:fill="FFFFFF" w:themeFill="background1"/>
            <w:vAlign w:val="center"/>
          </w:tcPr>
          <w:p w14:paraId="7F04B70C" w14:textId="54F6B7AD" w:rsidR="008A3C0B" w:rsidRPr="00705A09" w:rsidRDefault="005129F2" w:rsidP="00305EA0">
            <w:pPr>
              <w:shd w:val="clear" w:color="auto" w:fill="FFFFFF" w:themeFill="background1"/>
              <w:jc w:val="right"/>
              <w:rPr>
                <w:rFonts w:eastAsia="Times New Roman" w:cs="Arial"/>
                <w:color w:val="000000"/>
                <w:sz w:val="24"/>
                <w:szCs w:val="24"/>
                <w:lang w:eastAsia="en-GB"/>
              </w:rPr>
            </w:pPr>
            <w:r>
              <w:rPr>
                <w:rFonts w:eastAsia="Times New Roman" w:cs="Arial"/>
                <w:color w:val="000000"/>
                <w:sz w:val="24"/>
                <w:szCs w:val="24"/>
                <w:lang w:eastAsia="en-GB"/>
              </w:rPr>
              <w:t>1.0</w:t>
            </w:r>
            <w:r w:rsidR="008A3C0B" w:rsidRPr="00705A09">
              <w:rPr>
                <w:rFonts w:eastAsia="Times New Roman" w:cs="Arial"/>
                <w:color w:val="000000"/>
                <w:sz w:val="24"/>
                <w:szCs w:val="24"/>
                <w:lang w:eastAsia="en-GB"/>
              </w:rPr>
              <w:t>%</w:t>
            </w:r>
          </w:p>
        </w:tc>
        <w:tc>
          <w:tcPr>
            <w:tcW w:w="2599" w:type="dxa"/>
            <w:shd w:val="clear" w:color="auto" w:fill="FFFFFF" w:themeFill="background1"/>
            <w:vAlign w:val="center"/>
          </w:tcPr>
          <w:p w14:paraId="72EF3E0B" w14:textId="570B8434" w:rsidR="008A3C0B" w:rsidRPr="008A3C0B" w:rsidRDefault="008A3C0B" w:rsidP="00305EA0">
            <w:pPr>
              <w:shd w:val="clear" w:color="auto" w:fill="FFFFFF" w:themeFill="background1"/>
              <w:jc w:val="right"/>
              <w:rPr>
                <w:rFonts w:eastAsia="Times New Roman" w:cs="Arial"/>
                <w:color w:val="000000"/>
                <w:sz w:val="24"/>
                <w:szCs w:val="24"/>
                <w:lang w:eastAsia="en-GB"/>
              </w:rPr>
            </w:pPr>
            <w:r w:rsidRPr="00705A09">
              <w:rPr>
                <w:rFonts w:eastAsia="Times New Roman" w:cs="Arial"/>
                <w:color w:val="000000"/>
                <w:sz w:val="24"/>
                <w:szCs w:val="24"/>
                <w:lang w:eastAsia="en-GB"/>
              </w:rPr>
              <w:t>1</w:t>
            </w:r>
            <w:r w:rsidR="005129F2">
              <w:rPr>
                <w:rFonts w:eastAsia="Times New Roman" w:cs="Arial"/>
                <w:color w:val="000000"/>
                <w:sz w:val="24"/>
                <w:szCs w:val="24"/>
                <w:lang w:eastAsia="en-GB"/>
              </w:rPr>
              <w:t>.5</w:t>
            </w:r>
            <w:r w:rsidRPr="00705A09">
              <w:rPr>
                <w:rFonts w:eastAsia="Times New Roman" w:cs="Arial"/>
                <w:color w:val="000000"/>
                <w:sz w:val="24"/>
                <w:szCs w:val="24"/>
                <w:lang w:eastAsia="en-GB"/>
              </w:rPr>
              <w:t>%</w:t>
            </w:r>
          </w:p>
        </w:tc>
      </w:tr>
    </w:tbl>
    <w:p w14:paraId="3B0A84E6" w14:textId="1BD97DC5" w:rsidR="00B30298" w:rsidRDefault="00B30298" w:rsidP="00305EA0">
      <w:pPr>
        <w:pStyle w:val="NoSpacing"/>
        <w:shd w:val="clear" w:color="auto" w:fill="FFFFFF" w:themeFill="background1"/>
        <w:rPr>
          <w:rFonts w:ascii="Arial" w:hAnsi="Arial" w:cs="Arial"/>
          <w:szCs w:val="24"/>
        </w:rPr>
      </w:pPr>
    </w:p>
    <w:p w14:paraId="01BABC59" w14:textId="13598C68" w:rsidR="006226E9" w:rsidRDefault="006226E9" w:rsidP="00AC5B73">
      <w:pPr>
        <w:pStyle w:val="Heading3"/>
      </w:pPr>
      <w:bookmarkStart w:id="91" w:name="_Toc108076919"/>
      <w:r>
        <w:t>Pay Gap</w:t>
      </w:r>
      <w:bookmarkEnd w:id="91"/>
    </w:p>
    <w:p w14:paraId="64CA004C" w14:textId="6DCA0474" w:rsidR="006226E9" w:rsidRDefault="00776740" w:rsidP="00AC5B73">
      <w:pPr>
        <w:rPr>
          <w:rFonts w:cs="Arial"/>
          <w:szCs w:val="24"/>
        </w:rPr>
      </w:pPr>
      <w:r>
        <w:rPr>
          <w:rFonts w:cs="Arial"/>
          <w:szCs w:val="24"/>
        </w:rPr>
        <w:t>For the first time, this year NHS GJ’s pay gap analysis includes information on pay gaps present between staff from different ethnic backgrounds.</w:t>
      </w:r>
      <w:r w:rsidR="00D464C3">
        <w:rPr>
          <w:rFonts w:cs="Arial"/>
          <w:szCs w:val="24"/>
        </w:rPr>
        <w:t xml:space="preserve"> </w:t>
      </w:r>
      <w:r w:rsidR="006226E9">
        <w:rPr>
          <w:rFonts w:cs="Arial"/>
          <w:szCs w:val="24"/>
        </w:rPr>
        <w:t>We will not dissect pay gaps between individual ethnic groups, but inst</w:t>
      </w:r>
      <w:r w:rsidR="006E1D74">
        <w:rPr>
          <w:rFonts w:cs="Arial"/>
          <w:szCs w:val="24"/>
        </w:rPr>
        <w:t>ead highlight the gaps between W</w:t>
      </w:r>
      <w:r w:rsidR="006226E9">
        <w:rPr>
          <w:rFonts w:cs="Arial"/>
          <w:szCs w:val="24"/>
        </w:rPr>
        <w:t xml:space="preserve">hite and </w:t>
      </w:r>
      <w:r w:rsidR="006E1D74">
        <w:rPr>
          <w:rFonts w:cs="Arial"/>
          <w:szCs w:val="24"/>
        </w:rPr>
        <w:t>BAME</w:t>
      </w:r>
      <w:r w:rsidR="006226E9">
        <w:rPr>
          <w:rFonts w:cs="Arial"/>
          <w:szCs w:val="24"/>
        </w:rPr>
        <w:t xml:space="preserve"> staff.  Across NHS GJ, the median pay gap between</w:t>
      </w:r>
      <w:r w:rsidR="006E1D74">
        <w:rPr>
          <w:rFonts w:cs="Arial"/>
          <w:szCs w:val="24"/>
        </w:rPr>
        <w:t xml:space="preserve"> W</w:t>
      </w:r>
      <w:r w:rsidR="006226E9">
        <w:rPr>
          <w:rFonts w:cs="Arial"/>
          <w:szCs w:val="24"/>
        </w:rPr>
        <w:t>hite and BAME</w:t>
      </w:r>
      <w:r w:rsidR="006E1D74">
        <w:rPr>
          <w:rFonts w:cs="Arial"/>
          <w:szCs w:val="24"/>
        </w:rPr>
        <w:t xml:space="preserve"> staff was -£0.88 per hour, meaning that BAME staff were found to earn an extra 88p per hour in comparison to their White colleagues.  The mean pay gap is also negative, meaning that BAME pay is on average £6.08 per hour higher than their White counterparts. BAME staff are relatively over-represented at higher pay bands, most likely due to the relatively large presence of BAMD staff in the Medical and Dental job family when compared to their White colleagues.</w:t>
      </w:r>
    </w:p>
    <w:p w14:paraId="7A19C3C2" w14:textId="47985950" w:rsidR="00D464C3" w:rsidRDefault="00D464C3" w:rsidP="00AC5B73">
      <w:pPr>
        <w:rPr>
          <w:rFonts w:cs="Arial"/>
          <w:szCs w:val="24"/>
        </w:rPr>
      </w:pPr>
    </w:p>
    <w:p w14:paraId="3AA7345E" w14:textId="7BC3CDA8" w:rsidR="00D464C3" w:rsidRDefault="00D464C3" w:rsidP="00AC5B73">
      <w:pPr>
        <w:rPr>
          <w:rFonts w:cs="Arial"/>
          <w:szCs w:val="24"/>
        </w:rPr>
      </w:pPr>
      <w:r>
        <w:rPr>
          <w:rFonts w:cs="Arial"/>
          <w:szCs w:val="24"/>
        </w:rPr>
        <w:t>However, this pay gap reverses when looking at individual job families.  In the Medical and Dental job family, there was found to be a mean wage gap off £5.93 per hour (12.67%).  This is true of all non-clinical staff, where a £2.28 (14.12%) pay gap was found. Only in clinical staff was a negative pay gap replicated, through the negative pay gap is much smaller at -£0.62 (-3.52%).</w:t>
      </w:r>
    </w:p>
    <w:p w14:paraId="062B9C8B" w14:textId="77777777" w:rsidR="006226E9" w:rsidRPr="00F825B7" w:rsidRDefault="006226E9" w:rsidP="00AC5B73">
      <w:pPr>
        <w:pStyle w:val="NoSpacing"/>
        <w:rPr>
          <w:rFonts w:ascii="Arial" w:hAnsi="Arial" w:cs="Arial"/>
          <w:szCs w:val="24"/>
        </w:rPr>
      </w:pPr>
    </w:p>
    <w:p w14:paraId="1D993789" w14:textId="77777777" w:rsidR="000147F4" w:rsidRPr="009D41AC" w:rsidRDefault="00DF1963" w:rsidP="00AC5B73">
      <w:pPr>
        <w:pStyle w:val="Heading3"/>
      </w:pPr>
      <w:bookmarkStart w:id="92" w:name="_Toc76025120"/>
      <w:bookmarkStart w:id="93" w:name="_Toc108076920"/>
      <w:r w:rsidRPr="009D41AC">
        <w:t>Recruitment Activity</w:t>
      </w:r>
      <w:bookmarkEnd w:id="92"/>
      <w:bookmarkEnd w:id="93"/>
    </w:p>
    <w:p w14:paraId="242AFF96" w14:textId="21F8A029" w:rsidR="005129F2" w:rsidRDefault="005129F2" w:rsidP="00AC5B73">
      <w:pPr>
        <w:widowControl w:val="0"/>
        <w:rPr>
          <w:rFonts w:cs="Arial"/>
          <w:szCs w:val="24"/>
        </w:rPr>
      </w:pPr>
      <w:r>
        <w:rPr>
          <w:rFonts w:cs="Arial"/>
          <w:szCs w:val="24"/>
        </w:rPr>
        <w:t>We are unable to provide a breakdown by age of applicants and those who were shortlisted for the period under review, as this is not provided by the current suite of Jobtrain reports. We can, however, provide details of the ethnicity of starters within the organisation</w:t>
      </w:r>
      <w:r w:rsidR="00CD1313">
        <w:rPr>
          <w:rStyle w:val="FootnoteReference"/>
          <w:rFonts w:cs="Arial"/>
          <w:szCs w:val="24"/>
        </w:rPr>
        <w:footnoteReference w:customMarkFollows="1" w:id="5"/>
        <w:t>4</w:t>
      </w:r>
      <w:r>
        <w:rPr>
          <w:rFonts w:cs="Arial"/>
          <w:szCs w:val="24"/>
        </w:rPr>
        <w:t>:</w:t>
      </w:r>
    </w:p>
    <w:p w14:paraId="2475EB72" w14:textId="4C1EAB3B" w:rsidR="005129F2" w:rsidRDefault="005129F2" w:rsidP="00AC5B73">
      <w:pPr>
        <w:rPr>
          <w:rFonts w:cs="Arial"/>
          <w:szCs w:val="24"/>
        </w:rPr>
      </w:pPr>
    </w:p>
    <w:p w14:paraId="4F9BE361" w14:textId="245534D5" w:rsidR="005129F2" w:rsidRDefault="00434095" w:rsidP="00AC5B73">
      <w:pPr>
        <w:rPr>
          <w:rFonts w:cs="Arial"/>
          <w:szCs w:val="24"/>
        </w:rPr>
      </w:pPr>
      <w:r>
        <w:rPr>
          <w:noProof/>
          <w:lang w:eastAsia="en-GB"/>
        </w:rPr>
        <w:drawing>
          <wp:inline distT="0" distB="0" distL="0" distR="0" wp14:anchorId="79E163EF" wp14:editId="63F8C281">
            <wp:extent cx="6840000" cy="2160000"/>
            <wp:effectExtent l="0" t="0" r="18415" b="1206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14:paraId="50F705D1" w14:textId="77777777" w:rsidR="00FF5F8E" w:rsidRPr="00F825B7" w:rsidRDefault="00FF5F8E" w:rsidP="00AC5B73">
      <w:pPr>
        <w:rPr>
          <w:rFonts w:cs="Arial"/>
          <w:szCs w:val="24"/>
        </w:rPr>
      </w:pPr>
    </w:p>
    <w:p w14:paraId="2FA7028A" w14:textId="77777777" w:rsidR="00A31C18" w:rsidRPr="00F825B7" w:rsidRDefault="00B763E2" w:rsidP="00AC5B73">
      <w:pPr>
        <w:pStyle w:val="Heading3"/>
      </w:pPr>
      <w:bookmarkStart w:id="94" w:name="_Toc76025121"/>
      <w:bookmarkStart w:id="95" w:name="_Toc108076921"/>
      <w:r w:rsidRPr="00F825B7">
        <w:t>Training Activity</w:t>
      </w:r>
      <w:bookmarkEnd w:id="94"/>
      <w:bookmarkEnd w:id="95"/>
    </w:p>
    <w:p w14:paraId="351929EC" w14:textId="2009617F" w:rsidR="00A46AE8" w:rsidRPr="00705A09" w:rsidRDefault="00A46AE8" w:rsidP="00AC5B73">
      <w:pPr>
        <w:rPr>
          <w:rFonts w:cs="Arial"/>
          <w:szCs w:val="24"/>
        </w:rPr>
      </w:pPr>
      <w:r w:rsidRPr="00705A09">
        <w:rPr>
          <w:rFonts w:cs="Arial"/>
          <w:szCs w:val="24"/>
        </w:rPr>
        <w:t>When considering training activity undertaken during the monitored period, in terms of the ethnicity of the participants, the percentage corresponds with the proportion of the workforce those ethnic grouping represents:</w:t>
      </w:r>
    </w:p>
    <w:p w14:paraId="216A08A5" w14:textId="7B8C2B6D" w:rsidR="00946D52" w:rsidRDefault="00946D52" w:rsidP="00AC5B73">
      <w:pPr>
        <w:rPr>
          <w:rFonts w:cs="Arial"/>
          <w:szCs w:val="24"/>
        </w:rPr>
      </w:pPr>
    </w:p>
    <w:p w14:paraId="4B6ADD7F" w14:textId="2530067B" w:rsidR="00263B28" w:rsidRDefault="00263B28" w:rsidP="00AC5B73">
      <w:pPr>
        <w:rPr>
          <w:rFonts w:cs="Arial"/>
          <w:szCs w:val="24"/>
        </w:rPr>
      </w:pPr>
      <w:r>
        <w:rPr>
          <w:noProof/>
          <w:lang w:eastAsia="en-GB"/>
        </w:rPr>
        <w:drawing>
          <wp:inline distT="0" distB="0" distL="0" distR="0" wp14:anchorId="3E756A16" wp14:editId="6AFA5826">
            <wp:extent cx="6840000" cy="2160000"/>
            <wp:effectExtent l="0" t="0" r="18415" b="1206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48641DBB" w14:textId="77777777" w:rsidR="006E65E2" w:rsidRPr="00705A09" w:rsidRDefault="006E65E2" w:rsidP="00AC5B73">
      <w:pPr>
        <w:rPr>
          <w:rFonts w:cs="Arial"/>
          <w:szCs w:val="24"/>
        </w:rPr>
      </w:pPr>
    </w:p>
    <w:p w14:paraId="4282E9B8" w14:textId="77777777" w:rsidR="00AA12D2" w:rsidRPr="00705A09" w:rsidRDefault="00AA12D2" w:rsidP="00AC5B73">
      <w:pPr>
        <w:pStyle w:val="Heading3"/>
      </w:pPr>
      <w:bookmarkStart w:id="96" w:name="_Toc76025122"/>
      <w:bookmarkStart w:id="97" w:name="_Toc108076922"/>
      <w:r w:rsidRPr="00705A09">
        <w:t>Career Progression</w:t>
      </w:r>
      <w:bookmarkEnd w:id="96"/>
      <w:bookmarkEnd w:id="97"/>
    </w:p>
    <w:p w14:paraId="334D0C4A" w14:textId="39837718" w:rsidR="00FC2E5D" w:rsidRPr="00705A09" w:rsidRDefault="00127B40" w:rsidP="00AC5B73">
      <w:pPr>
        <w:rPr>
          <w:rFonts w:cs="Arial"/>
          <w:szCs w:val="24"/>
        </w:rPr>
      </w:pPr>
      <w:r w:rsidRPr="00705A09">
        <w:rPr>
          <w:rFonts w:cs="Arial"/>
          <w:szCs w:val="24"/>
        </w:rPr>
        <w:t xml:space="preserve">During the period under review, of the </w:t>
      </w:r>
      <w:r w:rsidR="00434095">
        <w:rPr>
          <w:rFonts w:cs="Arial"/>
          <w:szCs w:val="24"/>
        </w:rPr>
        <w:t>152</w:t>
      </w:r>
      <w:r w:rsidR="00FC2E5D" w:rsidRPr="00705A09">
        <w:rPr>
          <w:rFonts w:cs="Arial"/>
          <w:szCs w:val="24"/>
        </w:rPr>
        <w:t xml:space="preserve"> </w:t>
      </w:r>
      <w:r w:rsidRPr="00705A09">
        <w:rPr>
          <w:rFonts w:cs="Arial"/>
          <w:szCs w:val="24"/>
        </w:rPr>
        <w:t xml:space="preserve">promoted staff </w:t>
      </w:r>
      <w:r w:rsidR="00434095">
        <w:rPr>
          <w:rFonts w:cs="Arial"/>
          <w:szCs w:val="24"/>
        </w:rPr>
        <w:t>119</w:t>
      </w:r>
      <w:r w:rsidRPr="00705A09">
        <w:rPr>
          <w:rFonts w:cs="Arial"/>
          <w:szCs w:val="24"/>
        </w:rPr>
        <w:t xml:space="preserve"> (</w:t>
      </w:r>
      <w:r w:rsidR="00434095">
        <w:rPr>
          <w:rFonts w:cs="Arial"/>
          <w:szCs w:val="24"/>
        </w:rPr>
        <w:t>78.3</w:t>
      </w:r>
      <w:r w:rsidRPr="00705A09">
        <w:rPr>
          <w:rFonts w:cs="Arial"/>
          <w:szCs w:val="24"/>
        </w:rPr>
        <w:t xml:space="preserve">%) identified as “White – Scottish”, compared with </w:t>
      </w:r>
      <w:r w:rsidR="00434095">
        <w:rPr>
          <w:rFonts w:cs="Arial"/>
          <w:szCs w:val="24"/>
        </w:rPr>
        <w:t>67.7</w:t>
      </w:r>
      <w:r w:rsidR="0010501E" w:rsidRPr="00705A09">
        <w:rPr>
          <w:rFonts w:cs="Arial"/>
          <w:szCs w:val="24"/>
        </w:rPr>
        <w:t>% of the workforce.</w:t>
      </w:r>
      <w:r w:rsidR="000F5640">
        <w:rPr>
          <w:rFonts w:cs="Arial"/>
          <w:szCs w:val="24"/>
        </w:rPr>
        <w:t xml:space="preserve"> </w:t>
      </w:r>
      <w:r w:rsidR="00434095">
        <w:rPr>
          <w:rFonts w:cs="Arial"/>
          <w:szCs w:val="24"/>
        </w:rPr>
        <w:t>14 (9.2</w:t>
      </w:r>
      <w:r w:rsidR="003E43E1" w:rsidRPr="00705A09">
        <w:rPr>
          <w:rFonts w:cs="Arial"/>
          <w:szCs w:val="24"/>
        </w:rPr>
        <w:t>%) of those promoted had not provided information on their</w:t>
      </w:r>
      <w:r w:rsidR="00BE4A68" w:rsidRPr="00705A09">
        <w:rPr>
          <w:rFonts w:cs="Arial"/>
          <w:szCs w:val="24"/>
        </w:rPr>
        <w:t xml:space="preserve"> ethnicity</w:t>
      </w:r>
      <w:r w:rsidR="0010501E" w:rsidRPr="00705A09">
        <w:rPr>
          <w:rFonts w:cs="Arial"/>
          <w:szCs w:val="24"/>
        </w:rPr>
        <w:t xml:space="preserve">, </w:t>
      </w:r>
      <w:r w:rsidR="00434095">
        <w:rPr>
          <w:rFonts w:cs="Arial"/>
          <w:szCs w:val="24"/>
        </w:rPr>
        <w:t xml:space="preserve">eight </w:t>
      </w:r>
      <w:r w:rsidR="004164A8">
        <w:rPr>
          <w:rFonts w:cs="Arial"/>
          <w:szCs w:val="24"/>
        </w:rPr>
        <w:t xml:space="preserve">(5.3%) </w:t>
      </w:r>
      <w:r w:rsidR="00434095">
        <w:rPr>
          <w:rFonts w:cs="Arial"/>
          <w:szCs w:val="24"/>
        </w:rPr>
        <w:t xml:space="preserve">identified as “White – Other British”, </w:t>
      </w:r>
      <w:r w:rsidR="004164A8">
        <w:rPr>
          <w:rFonts w:cs="Arial"/>
          <w:szCs w:val="24"/>
        </w:rPr>
        <w:t>and five (3.3</w:t>
      </w:r>
      <w:r w:rsidR="0010501E" w:rsidRPr="00705A09">
        <w:rPr>
          <w:rFonts w:cs="Arial"/>
          <w:szCs w:val="24"/>
        </w:rPr>
        <w:t>%) preferred not to say</w:t>
      </w:r>
      <w:r w:rsidR="00BE4A68" w:rsidRPr="00705A09">
        <w:rPr>
          <w:rFonts w:cs="Arial"/>
          <w:szCs w:val="24"/>
        </w:rPr>
        <w:t>.</w:t>
      </w:r>
      <w:r w:rsidR="00901CC7" w:rsidRPr="00705A09">
        <w:rPr>
          <w:rFonts w:cs="Arial"/>
          <w:szCs w:val="24"/>
        </w:rPr>
        <w:t xml:space="preserve"> </w:t>
      </w:r>
      <w:r w:rsidR="0010501E" w:rsidRPr="00705A09">
        <w:rPr>
          <w:rFonts w:cs="Arial"/>
          <w:szCs w:val="24"/>
        </w:rPr>
        <w:t xml:space="preserve">The remaining </w:t>
      </w:r>
      <w:r w:rsidR="004164A8">
        <w:rPr>
          <w:rFonts w:cs="Arial"/>
          <w:szCs w:val="24"/>
        </w:rPr>
        <w:t>six</w:t>
      </w:r>
      <w:r w:rsidR="00BE4A68" w:rsidRPr="00705A09">
        <w:rPr>
          <w:rFonts w:cs="Arial"/>
          <w:szCs w:val="24"/>
        </w:rPr>
        <w:t xml:space="preserve"> promoted staff came from </w:t>
      </w:r>
      <w:r w:rsidR="00771FD0" w:rsidRPr="00705A09">
        <w:rPr>
          <w:rFonts w:cs="Arial"/>
          <w:szCs w:val="24"/>
        </w:rPr>
        <w:t xml:space="preserve">several of the other identified ethnic </w:t>
      </w:r>
      <w:r w:rsidR="00771FD0" w:rsidRPr="00705A09">
        <w:rPr>
          <w:rFonts w:cs="Arial"/>
          <w:szCs w:val="24"/>
        </w:rPr>
        <w:lastRenderedPageBreak/>
        <w:t>groups.</w:t>
      </w:r>
      <w:r w:rsidR="00901CC7" w:rsidRPr="00705A09">
        <w:rPr>
          <w:rFonts w:cs="Arial"/>
          <w:szCs w:val="24"/>
        </w:rPr>
        <w:t xml:space="preserve"> </w:t>
      </w:r>
      <w:r w:rsidR="00771FD0" w:rsidRPr="00705A09">
        <w:rPr>
          <w:rFonts w:cs="Arial"/>
          <w:szCs w:val="24"/>
        </w:rPr>
        <w:t>Howev</w:t>
      </w:r>
      <w:r w:rsidR="004164A8">
        <w:rPr>
          <w:rFonts w:cs="Arial"/>
          <w:szCs w:val="24"/>
        </w:rPr>
        <w:t>er, the numbers are so small that</w:t>
      </w:r>
      <w:r w:rsidR="00771FD0" w:rsidRPr="00705A09">
        <w:rPr>
          <w:rFonts w:cs="Arial"/>
          <w:szCs w:val="24"/>
        </w:rPr>
        <w:t xml:space="preserve"> splitting them may enable identification of the successful applicants. </w:t>
      </w:r>
    </w:p>
    <w:p w14:paraId="2DDD418F" w14:textId="77777777" w:rsidR="00FC2E5D" w:rsidRPr="00705A09" w:rsidRDefault="00FC2E5D" w:rsidP="00AC5B73">
      <w:pPr>
        <w:rPr>
          <w:rFonts w:cs="Arial"/>
          <w:szCs w:val="24"/>
        </w:rPr>
      </w:pPr>
    </w:p>
    <w:p w14:paraId="1C28DA27" w14:textId="77777777" w:rsidR="00127B40" w:rsidRPr="00705A09" w:rsidRDefault="00127B40" w:rsidP="00AC5B73">
      <w:pPr>
        <w:pStyle w:val="Heading3"/>
      </w:pPr>
      <w:bookmarkStart w:id="98" w:name="_Toc76025123"/>
      <w:bookmarkStart w:id="99" w:name="_Toc108076923"/>
      <w:r w:rsidRPr="00705A09">
        <w:t>Turnover</w:t>
      </w:r>
      <w:bookmarkEnd w:id="98"/>
      <w:bookmarkEnd w:id="99"/>
    </w:p>
    <w:p w14:paraId="6645BD6B" w14:textId="77777777" w:rsidR="00127B40" w:rsidRPr="00705A09" w:rsidRDefault="0013134D" w:rsidP="00AC5B73">
      <w:pPr>
        <w:rPr>
          <w:rFonts w:cs="Arial"/>
          <w:szCs w:val="24"/>
        </w:rPr>
      </w:pPr>
      <w:r w:rsidRPr="00705A09">
        <w:rPr>
          <w:rFonts w:cs="Arial"/>
          <w:szCs w:val="24"/>
        </w:rPr>
        <w:t>During</w:t>
      </w:r>
      <w:r w:rsidR="00B07720" w:rsidRPr="00705A09">
        <w:rPr>
          <w:rFonts w:cs="Arial"/>
          <w:szCs w:val="24"/>
        </w:rPr>
        <w:t xml:space="preserve"> the </w:t>
      </w:r>
      <w:r w:rsidR="00887BE2" w:rsidRPr="00705A09">
        <w:rPr>
          <w:rFonts w:cs="Arial"/>
          <w:szCs w:val="24"/>
        </w:rPr>
        <w:t>period under review t</w:t>
      </w:r>
      <w:r w:rsidR="00B07720" w:rsidRPr="00705A09">
        <w:rPr>
          <w:rFonts w:cs="Arial"/>
          <w:szCs w:val="24"/>
        </w:rPr>
        <w:t>he majority of leavers were “White – Scottish”.</w:t>
      </w:r>
      <w:r w:rsidR="00901CC7" w:rsidRPr="00705A09">
        <w:rPr>
          <w:rFonts w:cs="Arial"/>
          <w:szCs w:val="24"/>
        </w:rPr>
        <w:t xml:space="preserve"> </w:t>
      </w:r>
      <w:r w:rsidR="00B07720" w:rsidRPr="00705A09">
        <w:rPr>
          <w:rFonts w:cs="Arial"/>
          <w:szCs w:val="24"/>
        </w:rPr>
        <w:t xml:space="preserve">The proportion of them was </w:t>
      </w:r>
      <w:r w:rsidR="00A07069" w:rsidRPr="00705A09">
        <w:rPr>
          <w:rFonts w:cs="Arial"/>
          <w:szCs w:val="24"/>
        </w:rPr>
        <w:t>just over 10% lower than</w:t>
      </w:r>
      <w:r w:rsidR="0033293A" w:rsidRPr="00705A09">
        <w:rPr>
          <w:rFonts w:cs="Arial"/>
          <w:szCs w:val="24"/>
        </w:rPr>
        <w:t xml:space="preserve"> the</w:t>
      </w:r>
      <w:r w:rsidR="00B07720" w:rsidRPr="00705A09">
        <w:rPr>
          <w:rFonts w:cs="Arial"/>
          <w:szCs w:val="24"/>
        </w:rPr>
        <w:t xml:space="preserve"> proportion of the workforce they make up: </w:t>
      </w:r>
      <w:r w:rsidR="00A07069" w:rsidRPr="00705A09">
        <w:rPr>
          <w:rFonts w:cs="Arial"/>
          <w:szCs w:val="24"/>
        </w:rPr>
        <w:t>57.4%</w:t>
      </w:r>
      <w:r w:rsidR="00B07720" w:rsidRPr="00705A09">
        <w:rPr>
          <w:rFonts w:cs="Arial"/>
          <w:szCs w:val="24"/>
        </w:rPr>
        <w:t xml:space="preserve"> against </w:t>
      </w:r>
      <w:r w:rsidR="00A07069" w:rsidRPr="00705A09">
        <w:rPr>
          <w:rFonts w:cs="Arial"/>
          <w:szCs w:val="24"/>
        </w:rPr>
        <w:t>67.7</w:t>
      </w:r>
      <w:r w:rsidR="00B07720" w:rsidRPr="00705A09">
        <w:rPr>
          <w:rFonts w:cs="Arial"/>
          <w:szCs w:val="24"/>
        </w:rPr>
        <w:t>%.</w:t>
      </w:r>
      <w:r w:rsidR="00901CC7" w:rsidRPr="00705A09">
        <w:rPr>
          <w:rFonts w:cs="Arial"/>
          <w:szCs w:val="24"/>
        </w:rPr>
        <w:t xml:space="preserve"> </w:t>
      </w:r>
      <w:r w:rsidR="00887BE2" w:rsidRPr="00705A09">
        <w:rPr>
          <w:rFonts w:cs="Arial"/>
          <w:szCs w:val="24"/>
        </w:rPr>
        <w:t xml:space="preserve">The proportion of leavers for whom no information on ethnicity was provided was </w:t>
      </w:r>
      <w:r w:rsidR="00A07069" w:rsidRPr="00705A09">
        <w:rPr>
          <w:rFonts w:cs="Arial"/>
          <w:szCs w:val="24"/>
        </w:rPr>
        <w:t>7.7%, compared to the 12.5% of the workforce who did not provide information on their ethnicity.</w:t>
      </w:r>
      <w:r w:rsidR="00901CC7" w:rsidRPr="00705A09">
        <w:rPr>
          <w:rFonts w:cs="Arial"/>
          <w:szCs w:val="24"/>
        </w:rPr>
        <w:t xml:space="preserve"> </w:t>
      </w:r>
      <w:r w:rsidR="00FA6168" w:rsidRPr="00705A09">
        <w:rPr>
          <w:rFonts w:cs="Arial"/>
          <w:szCs w:val="24"/>
        </w:rPr>
        <w:t>Information on the ethnicity of leavers and the workforce can be seen in the table below:</w:t>
      </w:r>
    </w:p>
    <w:p w14:paraId="1C809501" w14:textId="72685D28" w:rsidR="009459C1" w:rsidRDefault="009459C1" w:rsidP="00AC5B73">
      <w:pPr>
        <w:rPr>
          <w:rFonts w:cs="Arial"/>
          <w:szCs w:val="24"/>
        </w:rPr>
      </w:pPr>
    </w:p>
    <w:tbl>
      <w:tblPr>
        <w:tblStyle w:val="TableGrid"/>
        <w:tblW w:w="0" w:type="auto"/>
        <w:tblLook w:val="04A0" w:firstRow="1" w:lastRow="0" w:firstColumn="1" w:lastColumn="0" w:noHBand="0" w:noVBand="1"/>
      </w:tblPr>
      <w:tblGrid>
        <w:gridCol w:w="2660"/>
        <w:gridCol w:w="2082"/>
        <w:gridCol w:w="2082"/>
        <w:gridCol w:w="2082"/>
        <w:gridCol w:w="2082"/>
      </w:tblGrid>
      <w:tr w:rsidR="00F12BED" w14:paraId="39386BBD" w14:textId="77777777" w:rsidTr="00F12BED">
        <w:tc>
          <w:tcPr>
            <w:tcW w:w="2660" w:type="dxa"/>
            <w:vMerge w:val="restart"/>
            <w:tcBorders>
              <w:top w:val="nil"/>
              <w:left w:val="nil"/>
              <w:bottom w:val="single" w:sz="4" w:space="0" w:color="auto"/>
              <w:right w:val="single" w:sz="4" w:space="0" w:color="auto"/>
            </w:tcBorders>
          </w:tcPr>
          <w:p w14:paraId="321A101C" w14:textId="115BE61F" w:rsidR="00F12BED" w:rsidRDefault="00F12BED" w:rsidP="00AC5B73">
            <w:pPr>
              <w:rPr>
                <w:rFonts w:cs="Arial"/>
                <w:szCs w:val="24"/>
              </w:rPr>
            </w:pPr>
          </w:p>
        </w:tc>
        <w:tc>
          <w:tcPr>
            <w:tcW w:w="4164" w:type="dxa"/>
            <w:gridSpan w:val="2"/>
            <w:tcBorders>
              <w:left w:val="single" w:sz="4" w:space="0" w:color="auto"/>
            </w:tcBorders>
            <w:vAlign w:val="bottom"/>
          </w:tcPr>
          <w:p w14:paraId="7B6A1AFA" w14:textId="1D6D39D8" w:rsidR="00F12BED" w:rsidRDefault="00F12BED" w:rsidP="00AC5B73">
            <w:pPr>
              <w:rPr>
                <w:rFonts w:cs="Arial"/>
                <w:szCs w:val="24"/>
              </w:rPr>
            </w:pPr>
            <w:r>
              <w:rPr>
                <w:rFonts w:eastAsia="Times New Roman" w:cs="Arial"/>
                <w:b/>
                <w:bCs/>
                <w:color w:val="000000"/>
                <w:sz w:val="24"/>
                <w:szCs w:val="24"/>
                <w:lang w:eastAsia="en-GB"/>
              </w:rPr>
              <w:t>Leavers</w:t>
            </w:r>
          </w:p>
        </w:tc>
        <w:tc>
          <w:tcPr>
            <w:tcW w:w="4164" w:type="dxa"/>
            <w:gridSpan w:val="2"/>
            <w:vAlign w:val="bottom"/>
          </w:tcPr>
          <w:p w14:paraId="18881FCB" w14:textId="0250E85E" w:rsidR="00F12BED" w:rsidRDefault="00F12BED" w:rsidP="00AC5B73">
            <w:pPr>
              <w:rPr>
                <w:rFonts w:cs="Arial"/>
                <w:szCs w:val="24"/>
              </w:rPr>
            </w:pPr>
            <w:r>
              <w:rPr>
                <w:rFonts w:eastAsia="Times New Roman" w:cs="Arial"/>
                <w:b/>
                <w:bCs/>
                <w:color w:val="000000"/>
                <w:sz w:val="24"/>
                <w:szCs w:val="24"/>
                <w:lang w:eastAsia="en-GB"/>
              </w:rPr>
              <w:t>Workforce</w:t>
            </w:r>
          </w:p>
        </w:tc>
      </w:tr>
      <w:tr w:rsidR="00F12BED" w14:paraId="36D4E058" w14:textId="77777777" w:rsidTr="00F12BED">
        <w:tc>
          <w:tcPr>
            <w:tcW w:w="2660" w:type="dxa"/>
            <w:vMerge/>
            <w:tcBorders>
              <w:top w:val="single" w:sz="4" w:space="0" w:color="auto"/>
              <w:left w:val="nil"/>
              <w:bottom w:val="single" w:sz="4" w:space="0" w:color="auto"/>
              <w:right w:val="single" w:sz="4" w:space="0" w:color="auto"/>
            </w:tcBorders>
          </w:tcPr>
          <w:p w14:paraId="1D65C90E" w14:textId="77777777" w:rsidR="00F12BED" w:rsidRDefault="00F12BED" w:rsidP="00AC5B73">
            <w:pPr>
              <w:rPr>
                <w:rFonts w:cs="Arial"/>
                <w:szCs w:val="24"/>
              </w:rPr>
            </w:pPr>
          </w:p>
        </w:tc>
        <w:tc>
          <w:tcPr>
            <w:tcW w:w="2082" w:type="dxa"/>
            <w:tcBorders>
              <w:left w:val="single" w:sz="4" w:space="0" w:color="auto"/>
            </w:tcBorders>
            <w:vAlign w:val="bottom"/>
          </w:tcPr>
          <w:p w14:paraId="64DEE33E" w14:textId="105BD8DC" w:rsidR="00F12BED" w:rsidRDefault="00F12BED" w:rsidP="00AC5B73">
            <w:pPr>
              <w:rPr>
                <w:rFonts w:cs="Arial"/>
                <w:szCs w:val="24"/>
              </w:rPr>
            </w:pPr>
            <w:r w:rsidRPr="009D087B">
              <w:rPr>
                <w:rFonts w:eastAsia="Times New Roman" w:cs="Arial"/>
                <w:b/>
                <w:bCs/>
                <w:color w:val="000000"/>
                <w:sz w:val="24"/>
                <w:szCs w:val="24"/>
                <w:lang w:eastAsia="en-GB"/>
              </w:rPr>
              <w:t>Headcount</w:t>
            </w:r>
          </w:p>
        </w:tc>
        <w:tc>
          <w:tcPr>
            <w:tcW w:w="2082" w:type="dxa"/>
            <w:vAlign w:val="bottom"/>
          </w:tcPr>
          <w:p w14:paraId="55C0B476" w14:textId="2E9B220D" w:rsidR="00F12BED" w:rsidRDefault="00F12BED" w:rsidP="00AC5B73">
            <w:pPr>
              <w:rPr>
                <w:rFonts w:cs="Arial"/>
                <w:szCs w:val="24"/>
              </w:rPr>
            </w:pPr>
            <w:r w:rsidRPr="009D087B">
              <w:rPr>
                <w:rFonts w:eastAsia="Times New Roman" w:cs="Arial"/>
                <w:b/>
                <w:bCs/>
                <w:color w:val="000000"/>
                <w:sz w:val="24"/>
                <w:szCs w:val="24"/>
                <w:lang w:eastAsia="en-GB"/>
              </w:rPr>
              <w:t>% Headcount</w:t>
            </w:r>
          </w:p>
        </w:tc>
        <w:tc>
          <w:tcPr>
            <w:tcW w:w="2082" w:type="dxa"/>
            <w:vAlign w:val="bottom"/>
          </w:tcPr>
          <w:p w14:paraId="5CD80522" w14:textId="1076140F" w:rsidR="00F12BED" w:rsidRDefault="00F12BED" w:rsidP="00AC5B73">
            <w:pPr>
              <w:rPr>
                <w:rFonts w:cs="Arial"/>
                <w:szCs w:val="24"/>
              </w:rPr>
            </w:pPr>
            <w:r w:rsidRPr="009D087B">
              <w:rPr>
                <w:rFonts w:eastAsia="Times New Roman" w:cs="Arial"/>
                <w:b/>
                <w:bCs/>
                <w:color w:val="000000"/>
                <w:sz w:val="24"/>
                <w:szCs w:val="24"/>
                <w:lang w:eastAsia="en-GB"/>
              </w:rPr>
              <w:t>Headcount</w:t>
            </w:r>
          </w:p>
        </w:tc>
        <w:tc>
          <w:tcPr>
            <w:tcW w:w="2082" w:type="dxa"/>
            <w:vAlign w:val="bottom"/>
          </w:tcPr>
          <w:p w14:paraId="6649C343" w14:textId="1CEC33EE" w:rsidR="00F12BED" w:rsidRDefault="00F12BED" w:rsidP="00AC5B73">
            <w:pPr>
              <w:rPr>
                <w:rFonts w:cs="Arial"/>
                <w:szCs w:val="24"/>
              </w:rPr>
            </w:pPr>
            <w:r w:rsidRPr="009D087B">
              <w:rPr>
                <w:rFonts w:eastAsia="Times New Roman" w:cs="Arial"/>
                <w:b/>
                <w:bCs/>
                <w:color w:val="000000"/>
                <w:sz w:val="24"/>
                <w:szCs w:val="24"/>
                <w:lang w:eastAsia="en-GB"/>
              </w:rPr>
              <w:t>% Headcount</w:t>
            </w:r>
          </w:p>
        </w:tc>
      </w:tr>
      <w:tr w:rsidR="00F12BED" w14:paraId="735B9DC0" w14:textId="77777777" w:rsidTr="00F12BED">
        <w:tc>
          <w:tcPr>
            <w:tcW w:w="2660" w:type="dxa"/>
            <w:tcBorders>
              <w:top w:val="single" w:sz="4" w:space="0" w:color="auto"/>
            </w:tcBorders>
          </w:tcPr>
          <w:p w14:paraId="5EED58A2" w14:textId="1D5ACDC2" w:rsidR="00F12BED" w:rsidRDefault="00F12BED" w:rsidP="00AC5B73">
            <w:pPr>
              <w:rPr>
                <w:rFonts w:cs="Arial"/>
                <w:szCs w:val="24"/>
              </w:rPr>
            </w:pPr>
            <w:r w:rsidRPr="004F299D">
              <w:t>White - Scottish</w:t>
            </w:r>
          </w:p>
        </w:tc>
        <w:tc>
          <w:tcPr>
            <w:tcW w:w="2082" w:type="dxa"/>
          </w:tcPr>
          <w:p w14:paraId="526E14F2" w14:textId="3F94415A" w:rsidR="00F12BED" w:rsidRDefault="00F12BED" w:rsidP="00AC5B73">
            <w:pPr>
              <w:jc w:val="right"/>
              <w:rPr>
                <w:rFonts w:cs="Arial"/>
                <w:szCs w:val="24"/>
              </w:rPr>
            </w:pPr>
            <w:r w:rsidRPr="002E4652">
              <w:t>178</w:t>
            </w:r>
          </w:p>
        </w:tc>
        <w:tc>
          <w:tcPr>
            <w:tcW w:w="2082" w:type="dxa"/>
          </w:tcPr>
          <w:p w14:paraId="64265670" w14:textId="359BE42D" w:rsidR="00F12BED" w:rsidRDefault="00F12BED" w:rsidP="00AC5B73">
            <w:pPr>
              <w:jc w:val="right"/>
              <w:rPr>
                <w:rFonts w:cs="Arial"/>
                <w:szCs w:val="24"/>
              </w:rPr>
            </w:pPr>
            <w:r w:rsidRPr="002E4652">
              <w:t>68.7%</w:t>
            </w:r>
          </w:p>
        </w:tc>
        <w:tc>
          <w:tcPr>
            <w:tcW w:w="2082" w:type="dxa"/>
            <w:vAlign w:val="bottom"/>
          </w:tcPr>
          <w:p w14:paraId="2DCEEE51" w14:textId="388D5AF4" w:rsidR="00F12BED" w:rsidRDefault="00F12BED" w:rsidP="00AC5B73">
            <w:pPr>
              <w:jc w:val="right"/>
              <w:rPr>
                <w:rFonts w:cs="Arial"/>
                <w:szCs w:val="24"/>
              </w:rPr>
            </w:pPr>
            <w:r>
              <w:rPr>
                <w:rFonts w:eastAsia="Times New Roman" w:cs="Arial"/>
                <w:color w:val="000000"/>
                <w:sz w:val="24"/>
                <w:szCs w:val="24"/>
                <w:lang w:eastAsia="en-GB"/>
              </w:rPr>
              <w:t>1445</w:t>
            </w:r>
          </w:p>
        </w:tc>
        <w:tc>
          <w:tcPr>
            <w:tcW w:w="2082" w:type="dxa"/>
            <w:vAlign w:val="bottom"/>
          </w:tcPr>
          <w:p w14:paraId="769954EA" w14:textId="21E71CDB" w:rsidR="00F12BED" w:rsidRDefault="00F12BED" w:rsidP="00AC5B73">
            <w:pPr>
              <w:jc w:val="right"/>
              <w:rPr>
                <w:rFonts w:cs="Arial"/>
                <w:szCs w:val="24"/>
              </w:rPr>
            </w:pPr>
            <w:r>
              <w:rPr>
                <w:rFonts w:eastAsia="Times New Roman" w:cs="Arial"/>
                <w:color w:val="000000"/>
                <w:sz w:val="24"/>
                <w:szCs w:val="24"/>
                <w:lang w:eastAsia="en-GB"/>
              </w:rPr>
              <w:t>67.7%</w:t>
            </w:r>
          </w:p>
        </w:tc>
      </w:tr>
      <w:tr w:rsidR="00F12BED" w14:paraId="0351AD53" w14:textId="77777777" w:rsidTr="00F12BED">
        <w:tc>
          <w:tcPr>
            <w:tcW w:w="2660" w:type="dxa"/>
          </w:tcPr>
          <w:p w14:paraId="448A05F4" w14:textId="23E0DD55" w:rsidR="00F12BED" w:rsidRDefault="00F12BED" w:rsidP="00AC5B73">
            <w:pPr>
              <w:rPr>
                <w:rFonts w:cs="Arial"/>
                <w:szCs w:val="24"/>
              </w:rPr>
            </w:pPr>
            <w:r>
              <w:t>Other Ethnic Group</w:t>
            </w:r>
            <w:r w:rsidR="000F3CEB">
              <w:rPr>
                <w:rStyle w:val="FootnoteReference"/>
                <w:rFonts w:cs="Arial"/>
                <w:szCs w:val="24"/>
              </w:rPr>
              <w:footnoteReference w:customMarkFollows="1" w:id="6"/>
              <w:t>5</w:t>
            </w:r>
          </w:p>
        </w:tc>
        <w:tc>
          <w:tcPr>
            <w:tcW w:w="2082" w:type="dxa"/>
          </w:tcPr>
          <w:p w14:paraId="7E1348BD" w14:textId="67322242" w:rsidR="00F12BED" w:rsidRDefault="00F12BED" w:rsidP="00AC5B73">
            <w:pPr>
              <w:jc w:val="right"/>
              <w:rPr>
                <w:rFonts w:cs="Arial"/>
                <w:szCs w:val="24"/>
              </w:rPr>
            </w:pPr>
            <w:r w:rsidRPr="002E4652">
              <w:t>22</w:t>
            </w:r>
          </w:p>
        </w:tc>
        <w:tc>
          <w:tcPr>
            <w:tcW w:w="2082" w:type="dxa"/>
          </w:tcPr>
          <w:p w14:paraId="44DA7877" w14:textId="095927A1" w:rsidR="00F12BED" w:rsidRDefault="00F12BED" w:rsidP="00AC5B73">
            <w:pPr>
              <w:jc w:val="right"/>
              <w:rPr>
                <w:rFonts w:cs="Arial"/>
                <w:szCs w:val="24"/>
              </w:rPr>
            </w:pPr>
            <w:r w:rsidRPr="002E4652">
              <w:t>8.5%</w:t>
            </w:r>
          </w:p>
        </w:tc>
        <w:tc>
          <w:tcPr>
            <w:tcW w:w="2082" w:type="dxa"/>
            <w:vAlign w:val="bottom"/>
          </w:tcPr>
          <w:p w14:paraId="0C4C462D" w14:textId="3C52034F" w:rsidR="00F12BED" w:rsidRDefault="00F12BED" w:rsidP="00AC5B73">
            <w:pPr>
              <w:jc w:val="right"/>
              <w:rPr>
                <w:rFonts w:cs="Arial"/>
                <w:szCs w:val="24"/>
              </w:rPr>
            </w:pPr>
            <w:r>
              <w:rPr>
                <w:rFonts w:eastAsia="Times New Roman" w:cs="Arial"/>
                <w:color w:val="000000"/>
                <w:szCs w:val="24"/>
                <w:lang w:eastAsia="en-GB"/>
              </w:rPr>
              <w:t>123</w:t>
            </w:r>
          </w:p>
        </w:tc>
        <w:tc>
          <w:tcPr>
            <w:tcW w:w="2082" w:type="dxa"/>
            <w:vAlign w:val="bottom"/>
          </w:tcPr>
          <w:p w14:paraId="652CD0C3" w14:textId="3155D3E7" w:rsidR="00F12BED" w:rsidRDefault="00F12BED" w:rsidP="00AC5B73">
            <w:pPr>
              <w:jc w:val="right"/>
              <w:rPr>
                <w:rFonts w:cs="Arial"/>
                <w:szCs w:val="24"/>
              </w:rPr>
            </w:pPr>
            <w:r>
              <w:rPr>
                <w:rFonts w:eastAsia="Times New Roman" w:cs="Arial"/>
                <w:color w:val="000000"/>
                <w:szCs w:val="24"/>
                <w:lang w:eastAsia="en-GB"/>
              </w:rPr>
              <w:t>8.5%</w:t>
            </w:r>
          </w:p>
        </w:tc>
      </w:tr>
      <w:tr w:rsidR="00F12BED" w14:paraId="39660F6C" w14:textId="77777777" w:rsidTr="00F12BED">
        <w:tc>
          <w:tcPr>
            <w:tcW w:w="2660" w:type="dxa"/>
          </w:tcPr>
          <w:p w14:paraId="6F72EC84" w14:textId="44AF1577" w:rsidR="00F12BED" w:rsidRDefault="00F12BED" w:rsidP="00AC5B73">
            <w:pPr>
              <w:rPr>
                <w:rFonts w:cs="Arial"/>
                <w:szCs w:val="24"/>
              </w:rPr>
            </w:pPr>
            <w:r w:rsidRPr="004F299D">
              <w:t>No information provided</w:t>
            </w:r>
          </w:p>
        </w:tc>
        <w:tc>
          <w:tcPr>
            <w:tcW w:w="2082" w:type="dxa"/>
          </w:tcPr>
          <w:p w14:paraId="26E879F8" w14:textId="0BD75A30" w:rsidR="00F12BED" w:rsidRDefault="00F12BED" w:rsidP="00AC5B73">
            <w:pPr>
              <w:jc w:val="right"/>
              <w:rPr>
                <w:rFonts w:cs="Arial"/>
                <w:szCs w:val="24"/>
              </w:rPr>
            </w:pPr>
            <w:r w:rsidRPr="002E4652">
              <w:t>20</w:t>
            </w:r>
          </w:p>
        </w:tc>
        <w:tc>
          <w:tcPr>
            <w:tcW w:w="2082" w:type="dxa"/>
          </w:tcPr>
          <w:p w14:paraId="3F9BECCB" w14:textId="5FABA2C0" w:rsidR="00F12BED" w:rsidRDefault="00F12BED" w:rsidP="00AC5B73">
            <w:pPr>
              <w:jc w:val="right"/>
              <w:rPr>
                <w:rFonts w:cs="Arial"/>
                <w:szCs w:val="24"/>
              </w:rPr>
            </w:pPr>
            <w:r w:rsidRPr="002E4652">
              <w:t>7.7%</w:t>
            </w:r>
          </w:p>
        </w:tc>
        <w:tc>
          <w:tcPr>
            <w:tcW w:w="2082" w:type="dxa"/>
            <w:vAlign w:val="bottom"/>
          </w:tcPr>
          <w:p w14:paraId="5BD80F72" w14:textId="568F8C3F" w:rsidR="00F12BED" w:rsidRDefault="00F12BED" w:rsidP="00AC5B73">
            <w:pPr>
              <w:jc w:val="right"/>
              <w:rPr>
                <w:rFonts w:cs="Arial"/>
                <w:szCs w:val="24"/>
              </w:rPr>
            </w:pPr>
            <w:r>
              <w:rPr>
                <w:rFonts w:eastAsia="Times New Roman" w:cs="Arial"/>
                <w:color w:val="000000"/>
                <w:szCs w:val="24"/>
                <w:lang w:eastAsia="en-GB"/>
              </w:rPr>
              <w:t>230</w:t>
            </w:r>
          </w:p>
        </w:tc>
        <w:tc>
          <w:tcPr>
            <w:tcW w:w="2082" w:type="dxa"/>
            <w:vAlign w:val="bottom"/>
          </w:tcPr>
          <w:p w14:paraId="0AD5713E" w14:textId="5C042753" w:rsidR="00F12BED" w:rsidRDefault="00F12BED" w:rsidP="00AC5B73">
            <w:pPr>
              <w:jc w:val="right"/>
              <w:rPr>
                <w:rFonts w:cs="Arial"/>
                <w:szCs w:val="24"/>
              </w:rPr>
            </w:pPr>
            <w:r>
              <w:rPr>
                <w:rFonts w:eastAsia="Times New Roman" w:cs="Arial"/>
                <w:color w:val="000000"/>
                <w:szCs w:val="24"/>
                <w:lang w:eastAsia="en-GB"/>
              </w:rPr>
              <w:t>10.8%</w:t>
            </w:r>
          </w:p>
        </w:tc>
      </w:tr>
      <w:tr w:rsidR="00F12BED" w14:paraId="44826FF9" w14:textId="77777777" w:rsidTr="00F12BED">
        <w:tc>
          <w:tcPr>
            <w:tcW w:w="2660" w:type="dxa"/>
          </w:tcPr>
          <w:p w14:paraId="1B6A690B" w14:textId="26657E36" w:rsidR="00F12BED" w:rsidRDefault="00F12BED" w:rsidP="00AC5B73">
            <w:pPr>
              <w:rPr>
                <w:rFonts w:cs="Arial"/>
                <w:szCs w:val="24"/>
              </w:rPr>
            </w:pPr>
            <w:r w:rsidRPr="004F299D">
              <w:t>White - Other British</w:t>
            </w:r>
          </w:p>
        </w:tc>
        <w:tc>
          <w:tcPr>
            <w:tcW w:w="2082" w:type="dxa"/>
          </w:tcPr>
          <w:p w14:paraId="5C4C976C" w14:textId="1EA7960A" w:rsidR="00F12BED" w:rsidRDefault="00F12BED" w:rsidP="00AC5B73">
            <w:pPr>
              <w:jc w:val="right"/>
              <w:rPr>
                <w:rFonts w:cs="Arial"/>
                <w:szCs w:val="24"/>
              </w:rPr>
            </w:pPr>
            <w:r w:rsidRPr="002E4652">
              <w:t>17</w:t>
            </w:r>
          </w:p>
        </w:tc>
        <w:tc>
          <w:tcPr>
            <w:tcW w:w="2082" w:type="dxa"/>
          </w:tcPr>
          <w:p w14:paraId="0159EE91" w14:textId="1E33CEDC" w:rsidR="00F12BED" w:rsidRDefault="00F12BED" w:rsidP="00AC5B73">
            <w:pPr>
              <w:jc w:val="right"/>
              <w:rPr>
                <w:rFonts w:cs="Arial"/>
                <w:szCs w:val="24"/>
              </w:rPr>
            </w:pPr>
            <w:r w:rsidRPr="002E4652">
              <w:t>6.6%</w:t>
            </w:r>
          </w:p>
        </w:tc>
        <w:tc>
          <w:tcPr>
            <w:tcW w:w="2082" w:type="dxa"/>
            <w:vAlign w:val="bottom"/>
          </w:tcPr>
          <w:p w14:paraId="7221EC77" w14:textId="44937D80" w:rsidR="00F12BED" w:rsidRDefault="00F12BED" w:rsidP="00AC5B73">
            <w:pPr>
              <w:jc w:val="right"/>
              <w:rPr>
                <w:rFonts w:cs="Arial"/>
                <w:szCs w:val="24"/>
              </w:rPr>
            </w:pPr>
            <w:r>
              <w:rPr>
                <w:rFonts w:eastAsia="Times New Roman" w:cs="Arial"/>
                <w:color w:val="000000"/>
                <w:szCs w:val="24"/>
                <w:lang w:eastAsia="en-GB"/>
              </w:rPr>
              <w:t>135</w:t>
            </w:r>
          </w:p>
        </w:tc>
        <w:tc>
          <w:tcPr>
            <w:tcW w:w="2082" w:type="dxa"/>
            <w:vAlign w:val="bottom"/>
          </w:tcPr>
          <w:p w14:paraId="1A798F7D" w14:textId="69427E73" w:rsidR="00F12BED" w:rsidRDefault="00F12BED" w:rsidP="00AC5B73">
            <w:pPr>
              <w:jc w:val="right"/>
              <w:rPr>
                <w:rFonts w:cs="Arial"/>
                <w:szCs w:val="24"/>
              </w:rPr>
            </w:pPr>
            <w:r>
              <w:rPr>
                <w:rFonts w:eastAsia="Times New Roman" w:cs="Arial"/>
                <w:color w:val="000000"/>
                <w:szCs w:val="24"/>
                <w:lang w:eastAsia="en-GB"/>
              </w:rPr>
              <w:t>6.3%</w:t>
            </w:r>
          </w:p>
        </w:tc>
      </w:tr>
      <w:tr w:rsidR="00F12BED" w14:paraId="6E432473" w14:textId="77777777" w:rsidTr="00F12BED">
        <w:tc>
          <w:tcPr>
            <w:tcW w:w="2660" w:type="dxa"/>
          </w:tcPr>
          <w:p w14:paraId="5B0E7AD2" w14:textId="36F9F1A5" w:rsidR="00F12BED" w:rsidRDefault="00F12BED" w:rsidP="00AC5B73">
            <w:pPr>
              <w:rPr>
                <w:rFonts w:cs="Arial"/>
                <w:szCs w:val="24"/>
              </w:rPr>
            </w:pPr>
            <w:r w:rsidRPr="004F299D">
              <w:t>White - Other</w:t>
            </w:r>
          </w:p>
        </w:tc>
        <w:tc>
          <w:tcPr>
            <w:tcW w:w="2082" w:type="dxa"/>
          </w:tcPr>
          <w:p w14:paraId="558AC28C" w14:textId="2DB8280D" w:rsidR="00F12BED" w:rsidRDefault="00F12BED" w:rsidP="00AC5B73">
            <w:pPr>
              <w:jc w:val="right"/>
              <w:rPr>
                <w:rFonts w:cs="Arial"/>
                <w:szCs w:val="24"/>
              </w:rPr>
            </w:pPr>
            <w:r w:rsidRPr="002E4652">
              <w:t>9</w:t>
            </w:r>
          </w:p>
        </w:tc>
        <w:tc>
          <w:tcPr>
            <w:tcW w:w="2082" w:type="dxa"/>
          </w:tcPr>
          <w:p w14:paraId="47566327" w14:textId="0CE53DC9" w:rsidR="00F12BED" w:rsidRDefault="00F12BED" w:rsidP="00AC5B73">
            <w:pPr>
              <w:jc w:val="right"/>
              <w:rPr>
                <w:rFonts w:cs="Arial"/>
                <w:szCs w:val="24"/>
              </w:rPr>
            </w:pPr>
            <w:r w:rsidRPr="002E4652">
              <w:t>3.5%</w:t>
            </w:r>
          </w:p>
        </w:tc>
        <w:tc>
          <w:tcPr>
            <w:tcW w:w="2082" w:type="dxa"/>
            <w:vAlign w:val="bottom"/>
          </w:tcPr>
          <w:p w14:paraId="5826B764" w14:textId="5180114C" w:rsidR="00F12BED" w:rsidRDefault="00F12BED" w:rsidP="00AC5B73">
            <w:pPr>
              <w:jc w:val="right"/>
              <w:rPr>
                <w:rFonts w:cs="Arial"/>
                <w:szCs w:val="24"/>
              </w:rPr>
            </w:pPr>
            <w:r>
              <w:rPr>
                <w:rFonts w:eastAsia="Times New Roman" w:cs="Arial"/>
                <w:color w:val="000000"/>
                <w:szCs w:val="24"/>
                <w:lang w:eastAsia="en-GB"/>
              </w:rPr>
              <w:t>82</w:t>
            </w:r>
          </w:p>
        </w:tc>
        <w:tc>
          <w:tcPr>
            <w:tcW w:w="2082" w:type="dxa"/>
            <w:vAlign w:val="bottom"/>
          </w:tcPr>
          <w:p w14:paraId="60566A91" w14:textId="3924832D" w:rsidR="00F12BED" w:rsidRDefault="00F12BED" w:rsidP="00AC5B73">
            <w:pPr>
              <w:jc w:val="right"/>
              <w:rPr>
                <w:rFonts w:cs="Arial"/>
                <w:szCs w:val="24"/>
              </w:rPr>
            </w:pPr>
            <w:r>
              <w:rPr>
                <w:rFonts w:eastAsia="Times New Roman" w:cs="Arial"/>
                <w:color w:val="000000"/>
                <w:szCs w:val="24"/>
                <w:lang w:eastAsia="en-GB"/>
              </w:rPr>
              <w:t>1.2%</w:t>
            </w:r>
          </w:p>
        </w:tc>
      </w:tr>
      <w:tr w:rsidR="00F12BED" w14:paraId="1EDFEBA6" w14:textId="77777777" w:rsidTr="00F12BED">
        <w:tc>
          <w:tcPr>
            <w:tcW w:w="2660" w:type="dxa"/>
          </w:tcPr>
          <w:p w14:paraId="20DA3F93" w14:textId="48C924C5" w:rsidR="00F12BED" w:rsidRDefault="00F12BED" w:rsidP="00AC5B73">
            <w:pPr>
              <w:rPr>
                <w:rFonts w:cs="Arial"/>
                <w:szCs w:val="24"/>
              </w:rPr>
            </w:pPr>
            <w:r>
              <w:t>Asian – Indian</w:t>
            </w:r>
          </w:p>
        </w:tc>
        <w:tc>
          <w:tcPr>
            <w:tcW w:w="2082" w:type="dxa"/>
          </w:tcPr>
          <w:p w14:paraId="6FC59E2D" w14:textId="67948815" w:rsidR="00F12BED" w:rsidRDefault="00F12BED" w:rsidP="00AC5B73">
            <w:pPr>
              <w:jc w:val="right"/>
              <w:rPr>
                <w:rFonts w:cs="Arial"/>
                <w:szCs w:val="24"/>
              </w:rPr>
            </w:pPr>
            <w:r w:rsidRPr="002E4652">
              <w:t>7</w:t>
            </w:r>
          </w:p>
        </w:tc>
        <w:tc>
          <w:tcPr>
            <w:tcW w:w="2082" w:type="dxa"/>
          </w:tcPr>
          <w:p w14:paraId="0B5211E5" w14:textId="48358AC2" w:rsidR="00F12BED" w:rsidRDefault="00F12BED" w:rsidP="00AC5B73">
            <w:pPr>
              <w:jc w:val="right"/>
              <w:rPr>
                <w:rFonts w:cs="Arial"/>
                <w:szCs w:val="24"/>
              </w:rPr>
            </w:pPr>
            <w:r w:rsidRPr="002E4652">
              <w:t>2.7%</w:t>
            </w:r>
          </w:p>
        </w:tc>
        <w:tc>
          <w:tcPr>
            <w:tcW w:w="2082" w:type="dxa"/>
            <w:vAlign w:val="bottom"/>
          </w:tcPr>
          <w:p w14:paraId="6685473F" w14:textId="49191B5A" w:rsidR="00F12BED" w:rsidRDefault="00F12BED" w:rsidP="00AC5B73">
            <w:pPr>
              <w:jc w:val="right"/>
              <w:rPr>
                <w:rFonts w:cs="Arial"/>
                <w:szCs w:val="24"/>
              </w:rPr>
            </w:pPr>
            <w:r>
              <w:rPr>
                <w:rFonts w:eastAsia="Times New Roman" w:cs="Arial"/>
                <w:color w:val="000000"/>
                <w:szCs w:val="24"/>
                <w:lang w:eastAsia="en-GB"/>
              </w:rPr>
              <w:t>54</w:t>
            </w:r>
          </w:p>
        </w:tc>
        <w:tc>
          <w:tcPr>
            <w:tcW w:w="2082" w:type="dxa"/>
            <w:vAlign w:val="bottom"/>
          </w:tcPr>
          <w:p w14:paraId="220B198D" w14:textId="633B3498" w:rsidR="00F12BED" w:rsidRDefault="00F12BED" w:rsidP="00AC5B73">
            <w:pPr>
              <w:jc w:val="right"/>
              <w:rPr>
                <w:rFonts w:cs="Arial"/>
                <w:szCs w:val="24"/>
              </w:rPr>
            </w:pPr>
            <w:r>
              <w:rPr>
                <w:rFonts w:eastAsia="Times New Roman" w:cs="Arial"/>
                <w:color w:val="000000"/>
                <w:szCs w:val="24"/>
                <w:lang w:eastAsia="en-GB"/>
              </w:rPr>
              <w:t>2.5%</w:t>
            </w:r>
          </w:p>
        </w:tc>
      </w:tr>
      <w:tr w:rsidR="00F12BED" w14:paraId="0839A2AD" w14:textId="77777777" w:rsidTr="00F12BED">
        <w:tc>
          <w:tcPr>
            <w:tcW w:w="2660" w:type="dxa"/>
          </w:tcPr>
          <w:p w14:paraId="0F600657" w14:textId="715D9072" w:rsidR="00F12BED" w:rsidRDefault="00F12BED" w:rsidP="00AC5B73">
            <w:pPr>
              <w:rPr>
                <w:rFonts w:cs="Arial"/>
                <w:szCs w:val="24"/>
              </w:rPr>
            </w:pPr>
            <w:r>
              <w:t>Prefer not to say</w:t>
            </w:r>
          </w:p>
        </w:tc>
        <w:tc>
          <w:tcPr>
            <w:tcW w:w="2082" w:type="dxa"/>
          </w:tcPr>
          <w:p w14:paraId="71DFF292" w14:textId="2D7B4E77" w:rsidR="00F12BED" w:rsidRDefault="00F12BED" w:rsidP="00AC5B73">
            <w:pPr>
              <w:jc w:val="right"/>
              <w:rPr>
                <w:rFonts w:cs="Arial"/>
                <w:szCs w:val="24"/>
              </w:rPr>
            </w:pPr>
            <w:r w:rsidRPr="002E4652">
              <w:t>6</w:t>
            </w:r>
          </w:p>
        </w:tc>
        <w:tc>
          <w:tcPr>
            <w:tcW w:w="2082" w:type="dxa"/>
          </w:tcPr>
          <w:p w14:paraId="3769C95E" w14:textId="6E7DF82E" w:rsidR="00F12BED" w:rsidRDefault="00F12BED" w:rsidP="00AC5B73">
            <w:pPr>
              <w:jc w:val="right"/>
              <w:rPr>
                <w:rFonts w:cs="Arial"/>
                <w:szCs w:val="24"/>
              </w:rPr>
            </w:pPr>
            <w:r w:rsidRPr="002E4652">
              <w:t>2.3%</w:t>
            </w:r>
          </w:p>
        </w:tc>
        <w:tc>
          <w:tcPr>
            <w:tcW w:w="2082" w:type="dxa"/>
            <w:vAlign w:val="bottom"/>
          </w:tcPr>
          <w:p w14:paraId="705EFE93" w14:textId="71A6EB74" w:rsidR="00F12BED" w:rsidRDefault="00F12BED" w:rsidP="00AC5B73">
            <w:pPr>
              <w:jc w:val="right"/>
              <w:rPr>
                <w:rFonts w:cs="Arial"/>
                <w:szCs w:val="24"/>
              </w:rPr>
            </w:pPr>
            <w:r>
              <w:rPr>
                <w:rFonts w:eastAsia="Times New Roman" w:cs="Arial"/>
                <w:color w:val="000000"/>
                <w:szCs w:val="24"/>
                <w:lang w:eastAsia="en-GB"/>
              </w:rPr>
              <w:t>65</w:t>
            </w:r>
          </w:p>
        </w:tc>
        <w:tc>
          <w:tcPr>
            <w:tcW w:w="2082" w:type="dxa"/>
            <w:vAlign w:val="bottom"/>
          </w:tcPr>
          <w:p w14:paraId="07594F08" w14:textId="2BA3ACF7" w:rsidR="00F12BED" w:rsidRDefault="00F12BED" w:rsidP="00AC5B73">
            <w:pPr>
              <w:jc w:val="right"/>
              <w:rPr>
                <w:rFonts w:cs="Arial"/>
                <w:szCs w:val="24"/>
              </w:rPr>
            </w:pPr>
            <w:r>
              <w:rPr>
                <w:rFonts w:eastAsia="Times New Roman" w:cs="Arial"/>
                <w:color w:val="000000"/>
                <w:szCs w:val="24"/>
                <w:lang w:eastAsia="en-GB"/>
              </w:rPr>
              <w:t>3.0%</w:t>
            </w:r>
          </w:p>
        </w:tc>
      </w:tr>
      <w:tr w:rsidR="00F12BED" w14:paraId="2C09B5F8" w14:textId="77777777" w:rsidTr="00F12BED">
        <w:tc>
          <w:tcPr>
            <w:tcW w:w="2660" w:type="dxa"/>
          </w:tcPr>
          <w:p w14:paraId="2622863D" w14:textId="412F41E4" w:rsidR="00F12BED" w:rsidRDefault="00F12BED" w:rsidP="00AC5B73">
            <w:pPr>
              <w:rPr>
                <w:rFonts w:cs="Arial"/>
                <w:szCs w:val="24"/>
              </w:rPr>
            </w:pPr>
            <w:r>
              <w:t>Total</w:t>
            </w:r>
          </w:p>
        </w:tc>
        <w:tc>
          <w:tcPr>
            <w:tcW w:w="2082" w:type="dxa"/>
          </w:tcPr>
          <w:p w14:paraId="15849F44" w14:textId="4CFFB094" w:rsidR="00F12BED" w:rsidRDefault="00F12BED" w:rsidP="00AC5B73">
            <w:pPr>
              <w:jc w:val="right"/>
              <w:rPr>
                <w:rFonts w:cs="Arial"/>
                <w:szCs w:val="24"/>
              </w:rPr>
            </w:pPr>
            <w:r w:rsidRPr="002E4652">
              <w:t>259</w:t>
            </w:r>
          </w:p>
        </w:tc>
        <w:tc>
          <w:tcPr>
            <w:tcW w:w="2082" w:type="dxa"/>
          </w:tcPr>
          <w:p w14:paraId="1BDEA3A9" w14:textId="0825F510" w:rsidR="00F12BED" w:rsidRDefault="00F12BED" w:rsidP="00AC5B73">
            <w:pPr>
              <w:jc w:val="right"/>
              <w:rPr>
                <w:rFonts w:cs="Arial"/>
                <w:szCs w:val="24"/>
              </w:rPr>
            </w:pPr>
            <w:r w:rsidRPr="002E4652">
              <w:t>100.0%</w:t>
            </w:r>
          </w:p>
        </w:tc>
        <w:tc>
          <w:tcPr>
            <w:tcW w:w="2082" w:type="dxa"/>
            <w:vAlign w:val="bottom"/>
          </w:tcPr>
          <w:p w14:paraId="47394776" w14:textId="33370B61" w:rsidR="00F12BED" w:rsidRDefault="00F12BED" w:rsidP="00AC5B73">
            <w:pPr>
              <w:jc w:val="right"/>
              <w:rPr>
                <w:rFonts w:cs="Arial"/>
                <w:szCs w:val="24"/>
              </w:rPr>
            </w:pPr>
            <w:r>
              <w:rPr>
                <w:rFonts w:eastAsia="Times New Roman" w:cs="Arial"/>
                <w:color w:val="000000"/>
                <w:szCs w:val="24"/>
                <w:lang w:eastAsia="en-GB"/>
              </w:rPr>
              <w:t>2134</w:t>
            </w:r>
          </w:p>
        </w:tc>
        <w:tc>
          <w:tcPr>
            <w:tcW w:w="2082" w:type="dxa"/>
            <w:vAlign w:val="bottom"/>
          </w:tcPr>
          <w:p w14:paraId="7B775520" w14:textId="61BC544A" w:rsidR="00F12BED" w:rsidRDefault="00F12BED" w:rsidP="00AC5B73">
            <w:pPr>
              <w:jc w:val="right"/>
              <w:rPr>
                <w:rFonts w:cs="Arial"/>
                <w:szCs w:val="24"/>
              </w:rPr>
            </w:pPr>
            <w:r>
              <w:rPr>
                <w:rFonts w:eastAsia="Times New Roman" w:cs="Arial"/>
                <w:color w:val="000000"/>
                <w:szCs w:val="24"/>
                <w:lang w:eastAsia="en-GB"/>
              </w:rPr>
              <w:t>100.0%</w:t>
            </w:r>
          </w:p>
        </w:tc>
      </w:tr>
    </w:tbl>
    <w:p w14:paraId="5CA8922D" w14:textId="77777777" w:rsidR="00D464C3" w:rsidRDefault="00D464C3" w:rsidP="00AC5B73"/>
    <w:p w14:paraId="3FD121E3" w14:textId="3E294FB6" w:rsidR="00D464C3" w:rsidRDefault="00D464C3" w:rsidP="00AC5B73">
      <w:r>
        <w:t>It can be instructive to examine what proportion of each ethnic group is leaving the workforce.  This year, as shown in the table below, the group leaving the organisation at the highest rate is the “Other Ethnic Group category.</w:t>
      </w:r>
    </w:p>
    <w:p w14:paraId="51E3CA44" w14:textId="77777777" w:rsidR="00D464C3" w:rsidRDefault="00D464C3" w:rsidP="00AC5B73"/>
    <w:tbl>
      <w:tblPr>
        <w:tblStyle w:val="TableGrid"/>
        <w:tblW w:w="0" w:type="auto"/>
        <w:jc w:val="center"/>
        <w:tblLook w:val="04A0" w:firstRow="1" w:lastRow="0" w:firstColumn="1" w:lastColumn="0" w:noHBand="0" w:noVBand="1"/>
      </w:tblPr>
      <w:tblGrid>
        <w:gridCol w:w="2864"/>
        <w:gridCol w:w="4252"/>
      </w:tblGrid>
      <w:tr w:rsidR="00D464C3" w:rsidRPr="00D734CF" w14:paraId="0BF0ACB5" w14:textId="77777777" w:rsidTr="00D734CF">
        <w:trPr>
          <w:jc w:val="center"/>
        </w:trPr>
        <w:tc>
          <w:tcPr>
            <w:tcW w:w="2864" w:type="dxa"/>
          </w:tcPr>
          <w:p w14:paraId="161B9A47" w14:textId="405349DF" w:rsidR="00D464C3" w:rsidRPr="00D734CF" w:rsidRDefault="00D464C3" w:rsidP="00AC5B73">
            <w:pPr>
              <w:rPr>
                <w:b/>
                <w:sz w:val="24"/>
              </w:rPr>
            </w:pPr>
            <w:r w:rsidRPr="00D734CF">
              <w:rPr>
                <w:b/>
                <w:sz w:val="24"/>
              </w:rPr>
              <w:t>Ethnic Group</w:t>
            </w:r>
          </w:p>
        </w:tc>
        <w:tc>
          <w:tcPr>
            <w:tcW w:w="4252" w:type="dxa"/>
          </w:tcPr>
          <w:p w14:paraId="3BFA49DE" w14:textId="688DE61E" w:rsidR="00D464C3" w:rsidRPr="00D734CF" w:rsidRDefault="00D464C3" w:rsidP="00D464C3">
            <w:pPr>
              <w:rPr>
                <w:b/>
                <w:sz w:val="24"/>
              </w:rPr>
            </w:pPr>
            <w:r w:rsidRPr="00D734CF">
              <w:rPr>
                <w:b/>
                <w:sz w:val="24"/>
              </w:rPr>
              <w:t>Leavers as % of that Ethnic Group</w:t>
            </w:r>
          </w:p>
        </w:tc>
      </w:tr>
      <w:tr w:rsidR="00D464C3" w:rsidRPr="00D734CF" w14:paraId="434B9DFB" w14:textId="77777777" w:rsidTr="00D734CF">
        <w:trPr>
          <w:jc w:val="center"/>
        </w:trPr>
        <w:tc>
          <w:tcPr>
            <w:tcW w:w="2864" w:type="dxa"/>
          </w:tcPr>
          <w:p w14:paraId="2B1E542D" w14:textId="5433D34A" w:rsidR="00D464C3" w:rsidRPr="00D734CF" w:rsidRDefault="00D464C3" w:rsidP="00AC5B73">
            <w:pPr>
              <w:rPr>
                <w:sz w:val="24"/>
              </w:rPr>
            </w:pPr>
            <w:r w:rsidRPr="00D734CF">
              <w:rPr>
                <w:sz w:val="24"/>
              </w:rPr>
              <w:t>White – Scottish</w:t>
            </w:r>
          </w:p>
        </w:tc>
        <w:tc>
          <w:tcPr>
            <w:tcW w:w="4252" w:type="dxa"/>
          </w:tcPr>
          <w:p w14:paraId="45901392" w14:textId="5ABFEF67" w:rsidR="00D464C3" w:rsidRPr="00D734CF" w:rsidRDefault="00D734CF" w:rsidP="00D464C3">
            <w:pPr>
              <w:jc w:val="right"/>
              <w:rPr>
                <w:sz w:val="24"/>
              </w:rPr>
            </w:pPr>
            <w:r w:rsidRPr="00D734CF">
              <w:rPr>
                <w:sz w:val="24"/>
              </w:rPr>
              <w:t>12.3</w:t>
            </w:r>
            <w:r w:rsidR="00D464C3" w:rsidRPr="00D734CF">
              <w:rPr>
                <w:sz w:val="24"/>
              </w:rPr>
              <w:t>%</w:t>
            </w:r>
          </w:p>
        </w:tc>
      </w:tr>
      <w:tr w:rsidR="00D464C3" w:rsidRPr="00D734CF" w14:paraId="0A11E274" w14:textId="77777777" w:rsidTr="00D734CF">
        <w:trPr>
          <w:jc w:val="center"/>
        </w:trPr>
        <w:tc>
          <w:tcPr>
            <w:tcW w:w="2864" w:type="dxa"/>
          </w:tcPr>
          <w:p w14:paraId="46F88D23" w14:textId="3FB0FC19" w:rsidR="00D464C3" w:rsidRPr="00D734CF" w:rsidRDefault="00D464C3" w:rsidP="00D464C3">
            <w:pPr>
              <w:rPr>
                <w:sz w:val="24"/>
              </w:rPr>
            </w:pPr>
            <w:r w:rsidRPr="00D734CF">
              <w:rPr>
                <w:sz w:val="24"/>
              </w:rPr>
              <w:t>Other Ethnic Group</w:t>
            </w:r>
          </w:p>
        </w:tc>
        <w:tc>
          <w:tcPr>
            <w:tcW w:w="4252" w:type="dxa"/>
          </w:tcPr>
          <w:p w14:paraId="484B4138" w14:textId="51F7C534" w:rsidR="00D464C3" w:rsidRPr="00D734CF" w:rsidRDefault="00D734CF" w:rsidP="00D464C3">
            <w:pPr>
              <w:jc w:val="right"/>
              <w:rPr>
                <w:sz w:val="24"/>
              </w:rPr>
            </w:pPr>
            <w:r w:rsidRPr="00D734CF">
              <w:rPr>
                <w:sz w:val="24"/>
              </w:rPr>
              <w:t>17.9</w:t>
            </w:r>
            <w:r w:rsidR="00D464C3" w:rsidRPr="00D734CF">
              <w:rPr>
                <w:sz w:val="24"/>
              </w:rPr>
              <w:t>%</w:t>
            </w:r>
          </w:p>
        </w:tc>
      </w:tr>
      <w:tr w:rsidR="00D464C3" w:rsidRPr="00D734CF" w14:paraId="176A9F57" w14:textId="77777777" w:rsidTr="00D734CF">
        <w:trPr>
          <w:jc w:val="center"/>
        </w:trPr>
        <w:tc>
          <w:tcPr>
            <w:tcW w:w="2864" w:type="dxa"/>
          </w:tcPr>
          <w:p w14:paraId="6B293F33" w14:textId="69E437EA" w:rsidR="00D464C3" w:rsidRPr="00D734CF" w:rsidRDefault="00D464C3" w:rsidP="00D464C3">
            <w:pPr>
              <w:rPr>
                <w:sz w:val="24"/>
              </w:rPr>
            </w:pPr>
            <w:r w:rsidRPr="00D734CF">
              <w:rPr>
                <w:sz w:val="24"/>
              </w:rPr>
              <w:t>No information provided</w:t>
            </w:r>
          </w:p>
        </w:tc>
        <w:tc>
          <w:tcPr>
            <w:tcW w:w="4252" w:type="dxa"/>
          </w:tcPr>
          <w:p w14:paraId="286A772C" w14:textId="568F010F" w:rsidR="00D464C3" w:rsidRPr="00D734CF" w:rsidRDefault="00D464C3" w:rsidP="00D464C3">
            <w:pPr>
              <w:jc w:val="right"/>
              <w:rPr>
                <w:sz w:val="24"/>
              </w:rPr>
            </w:pPr>
            <w:r w:rsidRPr="00D734CF">
              <w:rPr>
                <w:sz w:val="24"/>
              </w:rPr>
              <w:t>8.7%</w:t>
            </w:r>
          </w:p>
        </w:tc>
      </w:tr>
      <w:tr w:rsidR="00D464C3" w:rsidRPr="00D734CF" w14:paraId="26880F4D" w14:textId="77777777" w:rsidTr="00D734CF">
        <w:trPr>
          <w:jc w:val="center"/>
        </w:trPr>
        <w:tc>
          <w:tcPr>
            <w:tcW w:w="2864" w:type="dxa"/>
          </w:tcPr>
          <w:p w14:paraId="706F839A" w14:textId="5CBA4BB4" w:rsidR="00D464C3" w:rsidRPr="00D734CF" w:rsidRDefault="00D464C3" w:rsidP="00D464C3">
            <w:pPr>
              <w:rPr>
                <w:sz w:val="24"/>
              </w:rPr>
            </w:pPr>
            <w:r w:rsidRPr="00D734CF">
              <w:rPr>
                <w:sz w:val="24"/>
              </w:rPr>
              <w:t>White – Other British</w:t>
            </w:r>
          </w:p>
        </w:tc>
        <w:tc>
          <w:tcPr>
            <w:tcW w:w="4252" w:type="dxa"/>
          </w:tcPr>
          <w:p w14:paraId="0118913A" w14:textId="177BA3E2" w:rsidR="00D464C3" w:rsidRPr="00D734CF" w:rsidRDefault="00D734CF" w:rsidP="00D464C3">
            <w:pPr>
              <w:jc w:val="right"/>
              <w:rPr>
                <w:sz w:val="24"/>
              </w:rPr>
            </w:pPr>
            <w:r w:rsidRPr="00D734CF">
              <w:rPr>
                <w:sz w:val="24"/>
              </w:rPr>
              <w:t>12.6</w:t>
            </w:r>
            <w:r w:rsidR="00D464C3" w:rsidRPr="00D734CF">
              <w:rPr>
                <w:sz w:val="24"/>
              </w:rPr>
              <w:t>%</w:t>
            </w:r>
          </w:p>
        </w:tc>
      </w:tr>
      <w:tr w:rsidR="00D464C3" w:rsidRPr="00D734CF" w14:paraId="09B6C971" w14:textId="77777777" w:rsidTr="00D734CF">
        <w:trPr>
          <w:jc w:val="center"/>
        </w:trPr>
        <w:tc>
          <w:tcPr>
            <w:tcW w:w="2864" w:type="dxa"/>
          </w:tcPr>
          <w:p w14:paraId="4CBFBD69" w14:textId="1D2E166F" w:rsidR="00D464C3" w:rsidRPr="00D734CF" w:rsidRDefault="00D464C3" w:rsidP="00D464C3">
            <w:pPr>
              <w:rPr>
                <w:sz w:val="24"/>
              </w:rPr>
            </w:pPr>
            <w:r w:rsidRPr="00D734CF">
              <w:rPr>
                <w:sz w:val="24"/>
              </w:rPr>
              <w:t>White – Other</w:t>
            </w:r>
          </w:p>
        </w:tc>
        <w:tc>
          <w:tcPr>
            <w:tcW w:w="4252" w:type="dxa"/>
          </w:tcPr>
          <w:p w14:paraId="72D25293" w14:textId="6A6AB516" w:rsidR="00D464C3" w:rsidRPr="00D734CF" w:rsidRDefault="00D734CF" w:rsidP="00D464C3">
            <w:pPr>
              <w:jc w:val="right"/>
              <w:rPr>
                <w:sz w:val="24"/>
              </w:rPr>
            </w:pPr>
            <w:r w:rsidRPr="00D734CF">
              <w:rPr>
                <w:sz w:val="24"/>
              </w:rPr>
              <w:t>11.0%</w:t>
            </w:r>
          </w:p>
        </w:tc>
      </w:tr>
      <w:tr w:rsidR="00D464C3" w:rsidRPr="00D734CF" w14:paraId="5650194E" w14:textId="77777777" w:rsidTr="00D734CF">
        <w:trPr>
          <w:jc w:val="center"/>
        </w:trPr>
        <w:tc>
          <w:tcPr>
            <w:tcW w:w="2864" w:type="dxa"/>
          </w:tcPr>
          <w:p w14:paraId="445AA73A" w14:textId="7EE367DC" w:rsidR="00D464C3" w:rsidRPr="00D734CF" w:rsidRDefault="00D464C3" w:rsidP="00D464C3">
            <w:pPr>
              <w:rPr>
                <w:sz w:val="24"/>
              </w:rPr>
            </w:pPr>
            <w:r w:rsidRPr="00D734CF">
              <w:rPr>
                <w:sz w:val="24"/>
              </w:rPr>
              <w:t>Asian – Indian</w:t>
            </w:r>
          </w:p>
        </w:tc>
        <w:tc>
          <w:tcPr>
            <w:tcW w:w="4252" w:type="dxa"/>
          </w:tcPr>
          <w:p w14:paraId="64CE383B" w14:textId="7A1B32ED" w:rsidR="00D464C3" w:rsidRPr="00D734CF" w:rsidRDefault="00D734CF" w:rsidP="00D464C3">
            <w:pPr>
              <w:jc w:val="right"/>
              <w:rPr>
                <w:sz w:val="24"/>
              </w:rPr>
            </w:pPr>
            <w:r w:rsidRPr="00D734CF">
              <w:rPr>
                <w:sz w:val="24"/>
              </w:rPr>
              <w:t>12.0%</w:t>
            </w:r>
          </w:p>
        </w:tc>
      </w:tr>
      <w:tr w:rsidR="00D464C3" w:rsidRPr="00D734CF" w14:paraId="3B79255C" w14:textId="77777777" w:rsidTr="00D734CF">
        <w:trPr>
          <w:jc w:val="center"/>
        </w:trPr>
        <w:tc>
          <w:tcPr>
            <w:tcW w:w="2864" w:type="dxa"/>
          </w:tcPr>
          <w:p w14:paraId="59E7B86D" w14:textId="2C5F6A04" w:rsidR="00D464C3" w:rsidRPr="00D734CF" w:rsidRDefault="00D464C3" w:rsidP="00D464C3">
            <w:pPr>
              <w:rPr>
                <w:sz w:val="24"/>
              </w:rPr>
            </w:pPr>
            <w:r w:rsidRPr="00D734CF">
              <w:rPr>
                <w:sz w:val="24"/>
              </w:rPr>
              <w:t>Prefer not to say</w:t>
            </w:r>
          </w:p>
        </w:tc>
        <w:tc>
          <w:tcPr>
            <w:tcW w:w="4252" w:type="dxa"/>
          </w:tcPr>
          <w:p w14:paraId="299B0770" w14:textId="31BADAF2" w:rsidR="00D464C3" w:rsidRPr="00D734CF" w:rsidRDefault="00D734CF" w:rsidP="00D464C3">
            <w:pPr>
              <w:jc w:val="right"/>
              <w:rPr>
                <w:sz w:val="24"/>
              </w:rPr>
            </w:pPr>
            <w:r w:rsidRPr="00D734CF">
              <w:rPr>
                <w:sz w:val="24"/>
              </w:rPr>
              <w:t>9.2%</w:t>
            </w:r>
          </w:p>
        </w:tc>
      </w:tr>
    </w:tbl>
    <w:p w14:paraId="2C35AD4D" w14:textId="170AEACD" w:rsidR="001A0A42" w:rsidRPr="00F825B7" w:rsidRDefault="001A0A42" w:rsidP="00AC5B73">
      <w:pPr>
        <w:rPr>
          <w:rFonts w:eastAsiaTheme="majorEastAsia"/>
          <w:sz w:val="28"/>
          <w:szCs w:val="26"/>
        </w:rPr>
      </w:pPr>
      <w:r w:rsidRPr="00F825B7">
        <w:br w:type="page"/>
      </w:r>
    </w:p>
    <w:p w14:paraId="22463FE3" w14:textId="77777777" w:rsidR="00C06EE9" w:rsidRPr="00F825B7" w:rsidRDefault="003E0991" w:rsidP="00AC5B73">
      <w:pPr>
        <w:pStyle w:val="Heading2"/>
        <w:rPr>
          <w:rFonts w:cs="Arial"/>
        </w:rPr>
      </w:pPr>
      <w:bookmarkStart w:id="100" w:name="_Toc76025124"/>
      <w:bookmarkStart w:id="101" w:name="_Toc108076924"/>
      <w:r w:rsidRPr="00F825B7">
        <w:rPr>
          <w:rFonts w:cs="Arial"/>
        </w:rPr>
        <w:lastRenderedPageBreak/>
        <w:t>Religion and</w:t>
      </w:r>
      <w:r w:rsidR="00C06EE9" w:rsidRPr="00F825B7">
        <w:rPr>
          <w:rFonts w:cs="Arial"/>
        </w:rPr>
        <w:t xml:space="preserve"> Belief</w:t>
      </w:r>
      <w:bookmarkEnd w:id="100"/>
      <w:bookmarkEnd w:id="101"/>
    </w:p>
    <w:p w14:paraId="7C0DA3EE" w14:textId="77777777" w:rsidR="00516441" w:rsidRPr="00F825B7" w:rsidRDefault="00516441" w:rsidP="00AC5B73">
      <w:pPr>
        <w:pStyle w:val="Heading3"/>
      </w:pPr>
      <w:bookmarkStart w:id="102" w:name="_Toc76025125"/>
      <w:bookmarkStart w:id="103" w:name="_Toc108076925"/>
      <w:r w:rsidRPr="00F825B7">
        <w:t>Workforce Breakdown</w:t>
      </w:r>
      <w:bookmarkEnd w:id="102"/>
      <w:bookmarkEnd w:id="103"/>
    </w:p>
    <w:p w14:paraId="3256D1B4" w14:textId="62CBDC3C" w:rsidR="00D02860" w:rsidRPr="00705A09" w:rsidRDefault="0064236F" w:rsidP="00AC5B73">
      <w:pPr>
        <w:rPr>
          <w:rFonts w:cs="Arial"/>
          <w:szCs w:val="24"/>
        </w:rPr>
      </w:pPr>
      <w:r w:rsidRPr="00705A09">
        <w:rPr>
          <w:rFonts w:cs="Arial"/>
          <w:szCs w:val="24"/>
        </w:rPr>
        <w:t>As with other protected characteristics new starts are asked to provide information in respect of their religious and faith beliefs, as part of the staff engagement process.</w:t>
      </w:r>
      <w:r w:rsidR="00901CC7" w:rsidRPr="00705A09">
        <w:rPr>
          <w:rFonts w:cs="Arial"/>
          <w:szCs w:val="24"/>
        </w:rPr>
        <w:t xml:space="preserve"> </w:t>
      </w:r>
      <w:r w:rsidRPr="00705A09">
        <w:rPr>
          <w:rFonts w:cs="Arial"/>
          <w:szCs w:val="24"/>
        </w:rPr>
        <w:t>Over the last few years the quality of information provided has improved, with fewer people not providing information on religion and beliefs in the monitored period than in previous years, as can be seen in the chart below.</w:t>
      </w:r>
      <w:r w:rsidR="00901CC7" w:rsidRPr="00705A09">
        <w:rPr>
          <w:rFonts w:cs="Arial"/>
          <w:szCs w:val="24"/>
        </w:rPr>
        <w:t xml:space="preserve"> </w:t>
      </w:r>
      <w:r w:rsidRPr="00705A09">
        <w:rPr>
          <w:rFonts w:cs="Arial"/>
          <w:szCs w:val="24"/>
        </w:rPr>
        <w:t xml:space="preserve">Of those who provided information the largest proportion of staff identify themselves as </w:t>
      </w:r>
      <w:r w:rsidR="00B465E3" w:rsidRPr="00705A09">
        <w:rPr>
          <w:rFonts w:cs="Arial"/>
          <w:szCs w:val="24"/>
        </w:rPr>
        <w:t xml:space="preserve">“No Religion” </w:t>
      </w:r>
      <w:r w:rsidR="00D02860" w:rsidRPr="00705A09">
        <w:rPr>
          <w:rFonts w:cs="Arial"/>
          <w:szCs w:val="24"/>
        </w:rPr>
        <w:t>(</w:t>
      </w:r>
      <w:r w:rsidR="00C705E8">
        <w:rPr>
          <w:rFonts w:cs="Arial"/>
          <w:szCs w:val="24"/>
        </w:rPr>
        <w:t>26.4</w:t>
      </w:r>
      <w:r w:rsidR="00D02860" w:rsidRPr="00705A09">
        <w:rPr>
          <w:rFonts w:cs="Arial"/>
          <w:szCs w:val="24"/>
        </w:rPr>
        <w:t>%</w:t>
      </w:r>
      <w:r w:rsidR="00C705E8">
        <w:rPr>
          <w:rFonts w:cs="Arial"/>
          <w:szCs w:val="24"/>
        </w:rPr>
        <w:t xml:space="preserve"> - 1.8% higher than the previous year</w:t>
      </w:r>
      <w:r w:rsidR="00D02860" w:rsidRPr="00705A09">
        <w:rPr>
          <w:rFonts w:cs="Arial"/>
          <w:szCs w:val="24"/>
        </w:rPr>
        <w:t xml:space="preserve">) </w:t>
      </w:r>
      <w:r w:rsidR="00B465E3" w:rsidRPr="00705A09">
        <w:rPr>
          <w:rFonts w:cs="Arial"/>
          <w:szCs w:val="24"/>
        </w:rPr>
        <w:t>or “Roman Catholic”</w:t>
      </w:r>
      <w:r w:rsidR="00C705E8">
        <w:rPr>
          <w:rFonts w:cs="Arial"/>
          <w:szCs w:val="24"/>
        </w:rPr>
        <w:t xml:space="preserve"> (22.3</w:t>
      </w:r>
      <w:r w:rsidR="00D02860" w:rsidRPr="00705A09">
        <w:rPr>
          <w:rFonts w:cs="Arial"/>
          <w:szCs w:val="24"/>
        </w:rPr>
        <w:t>%</w:t>
      </w:r>
      <w:r w:rsidR="00C705E8">
        <w:rPr>
          <w:rFonts w:cs="Arial"/>
          <w:szCs w:val="24"/>
        </w:rPr>
        <w:t xml:space="preserve"> - 0.4% up on 2020/2021</w:t>
      </w:r>
      <w:r w:rsidR="00D02860" w:rsidRPr="00705A09">
        <w:rPr>
          <w:rFonts w:cs="Arial"/>
          <w:szCs w:val="24"/>
        </w:rPr>
        <w:t>)</w:t>
      </w:r>
      <w:r w:rsidR="008772E2">
        <w:rPr>
          <w:rStyle w:val="FootnoteReference"/>
          <w:rFonts w:cs="Arial"/>
          <w:szCs w:val="24"/>
        </w:rPr>
        <w:footnoteReference w:customMarkFollows="1" w:id="7"/>
        <w:t>6</w:t>
      </w:r>
      <w:r w:rsidR="00B465E3" w:rsidRPr="00705A09">
        <w:rPr>
          <w:rFonts w:cs="Arial"/>
          <w:szCs w:val="24"/>
        </w:rPr>
        <w:t>.</w:t>
      </w:r>
    </w:p>
    <w:p w14:paraId="47B7C420" w14:textId="0FE02AE5" w:rsidR="00D02860" w:rsidRDefault="00D02860" w:rsidP="00AC5B73">
      <w:pPr>
        <w:rPr>
          <w:rFonts w:cs="Arial"/>
          <w:szCs w:val="24"/>
        </w:rPr>
      </w:pPr>
    </w:p>
    <w:p w14:paraId="25DA4924" w14:textId="5B61788C" w:rsidR="00C705E8" w:rsidRDefault="00C705E8" w:rsidP="00AC5B73">
      <w:pPr>
        <w:rPr>
          <w:rFonts w:cs="Arial"/>
          <w:szCs w:val="24"/>
        </w:rPr>
      </w:pPr>
      <w:r>
        <w:rPr>
          <w:noProof/>
          <w:lang w:eastAsia="en-GB"/>
        </w:rPr>
        <w:drawing>
          <wp:inline distT="0" distB="0" distL="0" distR="0" wp14:anchorId="455A84FA" wp14:editId="57A9A3C2">
            <wp:extent cx="6840000" cy="2160000"/>
            <wp:effectExtent l="0" t="0" r="0" b="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14:paraId="213E9AED" w14:textId="77777777" w:rsidR="0064236F" w:rsidRPr="00705A09" w:rsidRDefault="0064236F" w:rsidP="00AC5B73">
      <w:pPr>
        <w:rPr>
          <w:rFonts w:cs="Arial"/>
          <w:szCs w:val="24"/>
        </w:rPr>
      </w:pPr>
    </w:p>
    <w:p w14:paraId="79CA40A6" w14:textId="761FDE80" w:rsidR="00BB52A0" w:rsidRPr="00705A09" w:rsidRDefault="00BB52A0" w:rsidP="00AC5B73">
      <w:pPr>
        <w:rPr>
          <w:rFonts w:cs="Arial"/>
          <w:szCs w:val="24"/>
        </w:rPr>
      </w:pPr>
      <w:r w:rsidRPr="00705A09">
        <w:rPr>
          <w:rFonts w:cs="Arial"/>
          <w:szCs w:val="24"/>
        </w:rPr>
        <w:t xml:space="preserve">Across Scotland the 2011 census </w:t>
      </w:r>
      <w:r w:rsidR="004E62A1" w:rsidRPr="00705A09">
        <w:rPr>
          <w:rFonts w:cs="Arial"/>
          <w:szCs w:val="24"/>
        </w:rPr>
        <w:t>(</w:t>
      </w:r>
      <w:hyperlink r:id="rId72" w:history="1">
        <w:r w:rsidR="004E62A1" w:rsidRPr="00705A09">
          <w:rPr>
            <w:rStyle w:val="Hyperlink"/>
            <w:rFonts w:cs="Arial"/>
            <w:szCs w:val="24"/>
          </w:rPr>
          <w:t>https://www.scotlandscensus.gov.uk/</w:t>
        </w:r>
      </w:hyperlink>
      <w:r w:rsidR="004E62A1" w:rsidRPr="00705A09">
        <w:rPr>
          <w:rFonts w:cs="Arial"/>
          <w:szCs w:val="24"/>
        </w:rPr>
        <w:t xml:space="preserve">; </w:t>
      </w:r>
      <w:hyperlink r:id="rId73" w:history="1">
        <w:r w:rsidR="004E62A1" w:rsidRPr="00705A09">
          <w:rPr>
            <w:rStyle w:val="Hyperlink"/>
            <w:rFonts w:cs="Arial"/>
            <w:szCs w:val="24"/>
          </w:rPr>
          <w:t>Census 2011 equality results: analysis, part two</w:t>
        </w:r>
      </w:hyperlink>
      <w:r w:rsidR="004E62A1" w:rsidRPr="00705A09">
        <w:rPr>
          <w:rFonts w:cs="Arial"/>
          <w:szCs w:val="24"/>
        </w:rPr>
        <w:t xml:space="preserve">) </w:t>
      </w:r>
      <w:r w:rsidRPr="00705A09">
        <w:rPr>
          <w:rFonts w:cs="Arial"/>
          <w:szCs w:val="24"/>
        </w:rPr>
        <w:t xml:space="preserve">showed quite a different picture with regard to religion compared to the staff at </w:t>
      </w:r>
      <w:r w:rsidR="00CF0F31" w:rsidRPr="00705A09">
        <w:rPr>
          <w:rFonts w:cs="Arial"/>
          <w:szCs w:val="24"/>
        </w:rPr>
        <w:t>NHS GJ</w:t>
      </w:r>
      <w:r w:rsidRPr="00705A09">
        <w:rPr>
          <w:rFonts w:cs="Arial"/>
          <w:szCs w:val="24"/>
        </w:rPr>
        <w:t>, as can be seen from the table below.</w:t>
      </w:r>
      <w:r w:rsidR="00901CC7" w:rsidRPr="00705A09">
        <w:rPr>
          <w:rFonts w:cs="Arial"/>
          <w:szCs w:val="24"/>
        </w:rPr>
        <w:t xml:space="preserve"> </w:t>
      </w:r>
      <w:r w:rsidR="008C7B64" w:rsidRPr="00705A09">
        <w:rPr>
          <w:rFonts w:cs="Arial"/>
          <w:szCs w:val="24"/>
        </w:rPr>
        <w:t xml:space="preserve">Closer to home NHS Greater Glasgow and Clyde, the geographical Board surrounding </w:t>
      </w:r>
      <w:r w:rsidR="00CF0F31" w:rsidRPr="00705A09">
        <w:rPr>
          <w:rFonts w:cs="Arial"/>
          <w:szCs w:val="24"/>
        </w:rPr>
        <w:t>NHS GJ</w:t>
      </w:r>
      <w:r w:rsidR="008C7B64" w:rsidRPr="00705A09">
        <w:rPr>
          <w:rFonts w:cs="Arial"/>
          <w:szCs w:val="24"/>
        </w:rPr>
        <w:t>, which one might expect to roughly match our percentages, showed a marked difference (</w:t>
      </w:r>
      <w:hyperlink r:id="rId74" w:history="1">
        <w:r w:rsidR="00331C97" w:rsidRPr="00331C97">
          <w:rPr>
            <w:rStyle w:val="Hyperlink"/>
            <w:rFonts w:cs="Arial"/>
            <w:szCs w:val="24"/>
          </w:rPr>
          <w:t>NHS Scotland Workforce Statistics release as at 31 March 2022</w:t>
        </w:r>
      </w:hyperlink>
      <w:r w:rsidR="008C7B64" w:rsidRPr="00705A09">
        <w:rPr>
          <w:rFonts w:cs="Arial"/>
          <w:szCs w:val="24"/>
        </w:rPr>
        <w:t>).</w:t>
      </w:r>
      <w:r w:rsidR="00901CC7" w:rsidRPr="00705A09">
        <w:rPr>
          <w:rFonts w:cs="Arial"/>
          <w:szCs w:val="24"/>
        </w:rPr>
        <w:t xml:space="preserve"> </w:t>
      </w:r>
      <w:r w:rsidRPr="00705A09">
        <w:rPr>
          <w:rFonts w:cs="Arial"/>
          <w:szCs w:val="24"/>
        </w:rPr>
        <w:t xml:space="preserve">Our proportion of staff who state that they are “Church of Scotland” is </w:t>
      </w:r>
      <w:r w:rsidR="004E62A1" w:rsidRPr="00705A09">
        <w:rPr>
          <w:rFonts w:cs="Arial"/>
          <w:szCs w:val="24"/>
        </w:rPr>
        <w:t>significantly</w:t>
      </w:r>
      <w:r w:rsidRPr="00705A09">
        <w:rPr>
          <w:rFonts w:cs="Arial"/>
          <w:szCs w:val="24"/>
        </w:rPr>
        <w:t xml:space="preserve"> lower than the national figure, while our proportion in the “Roman Catholic” faith is </w:t>
      </w:r>
      <w:r w:rsidR="004E62A1" w:rsidRPr="00705A09">
        <w:rPr>
          <w:rFonts w:cs="Arial"/>
          <w:szCs w:val="24"/>
        </w:rPr>
        <w:t>much</w:t>
      </w:r>
      <w:r w:rsidRPr="00705A09">
        <w:rPr>
          <w:rFonts w:cs="Arial"/>
          <w:szCs w:val="24"/>
        </w:rPr>
        <w:t xml:space="preserve"> higher.</w:t>
      </w:r>
      <w:r w:rsidR="00901CC7" w:rsidRPr="00705A09">
        <w:rPr>
          <w:rFonts w:cs="Arial"/>
          <w:szCs w:val="24"/>
        </w:rPr>
        <w:t xml:space="preserve"> </w:t>
      </w:r>
      <w:r w:rsidRPr="00705A09">
        <w:rPr>
          <w:rFonts w:cs="Arial"/>
          <w:szCs w:val="24"/>
        </w:rPr>
        <w:t xml:space="preserve">Interestingly, </w:t>
      </w:r>
      <w:r w:rsidR="00D02860" w:rsidRPr="00705A09">
        <w:rPr>
          <w:rFonts w:cs="Arial"/>
          <w:szCs w:val="24"/>
        </w:rPr>
        <w:t>while 24.6</w:t>
      </w:r>
      <w:r w:rsidR="00127BD3" w:rsidRPr="00705A09">
        <w:rPr>
          <w:rFonts w:cs="Arial"/>
          <w:szCs w:val="24"/>
        </w:rPr>
        <w:t xml:space="preserve">% of staff at </w:t>
      </w:r>
      <w:r w:rsidR="00CF0F31" w:rsidRPr="00705A09">
        <w:rPr>
          <w:rFonts w:cs="Arial"/>
          <w:szCs w:val="24"/>
        </w:rPr>
        <w:t>NHS GJ</w:t>
      </w:r>
      <w:r w:rsidR="00127BD3" w:rsidRPr="00705A09">
        <w:rPr>
          <w:rFonts w:cs="Arial"/>
          <w:szCs w:val="24"/>
        </w:rPr>
        <w:t xml:space="preserve"> say they have “No Religion”, this is much lower than for Scotland as a whole, with 36.7% of the general population stating in the 2011 census that they had “No Religion”.</w:t>
      </w:r>
    </w:p>
    <w:p w14:paraId="5F1F163E" w14:textId="77777777" w:rsidR="00127BD3" w:rsidRPr="00705A09" w:rsidRDefault="00127BD3" w:rsidP="00AC5B73">
      <w:pPr>
        <w:rPr>
          <w:rFonts w:cs="Arial"/>
          <w:szCs w:val="24"/>
        </w:rPr>
      </w:pPr>
    </w:p>
    <w:tbl>
      <w:tblPr>
        <w:tblStyle w:val="TableGrid"/>
        <w:tblW w:w="0" w:type="auto"/>
        <w:tblLook w:val="04A0" w:firstRow="1" w:lastRow="0" w:firstColumn="1" w:lastColumn="0" w:noHBand="0" w:noVBand="1"/>
      </w:tblPr>
      <w:tblGrid>
        <w:gridCol w:w="2747"/>
        <w:gridCol w:w="2747"/>
        <w:gridCol w:w="2747"/>
        <w:gridCol w:w="2747"/>
      </w:tblGrid>
      <w:tr w:rsidR="00127BD3" w:rsidRPr="00705A09" w14:paraId="31F065EA" w14:textId="77777777" w:rsidTr="00F568FA">
        <w:tc>
          <w:tcPr>
            <w:tcW w:w="2747" w:type="dxa"/>
            <w:vAlign w:val="center"/>
          </w:tcPr>
          <w:p w14:paraId="46A51EC4" w14:textId="77777777" w:rsidR="00127BD3" w:rsidRPr="00705A09" w:rsidRDefault="00127BD3" w:rsidP="00AC5B73">
            <w:pPr>
              <w:rPr>
                <w:rFonts w:cs="Arial"/>
                <w:b/>
                <w:bCs/>
                <w:color w:val="000000"/>
                <w:sz w:val="24"/>
                <w:szCs w:val="24"/>
              </w:rPr>
            </w:pPr>
            <w:r w:rsidRPr="00705A09">
              <w:rPr>
                <w:rFonts w:cs="Arial"/>
                <w:b/>
                <w:bCs/>
                <w:color w:val="000000"/>
                <w:sz w:val="24"/>
                <w:szCs w:val="24"/>
              </w:rPr>
              <w:t>Religion or Belief</w:t>
            </w:r>
          </w:p>
        </w:tc>
        <w:tc>
          <w:tcPr>
            <w:tcW w:w="2747" w:type="dxa"/>
            <w:vAlign w:val="center"/>
          </w:tcPr>
          <w:p w14:paraId="479A21AA" w14:textId="77777777" w:rsidR="00127BD3" w:rsidRPr="00705A09" w:rsidRDefault="00127BD3" w:rsidP="00AC5B73">
            <w:pPr>
              <w:rPr>
                <w:rFonts w:cs="Arial"/>
                <w:b/>
                <w:bCs/>
                <w:color w:val="000000"/>
                <w:sz w:val="24"/>
                <w:szCs w:val="24"/>
              </w:rPr>
            </w:pPr>
            <w:r w:rsidRPr="00705A09">
              <w:rPr>
                <w:rFonts w:cs="Arial"/>
                <w:b/>
                <w:bCs/>
                <w:color w:val="000000"/>
                <w:sz w:val="24"/>
                <w:szCs w:val="24"/>
              </w:rPr>
              <w:t>% Scottish population</w:t>
            </w:r>
          </w:p>
        </w:tc>
        <w:tc>
          <w:tcPr>
            <w:tcW w:w="2747" w:type="dxa"/>
            <w:vAlign w:val="center"/>
          </w:tcPr>
          <w:p w14:paraId="7F0A5623" w14:textId="77777777" w:rsidR="00127BD3" w:rsidRPr="00705A09" w:rsidRDefault="00127BD3" w:rsidP="00AC5B73">
            <w:pPr>
              <w:rPr>
                <w:rFonts w:cs="Arial"/>
                <w:b/>
                <w:bCs/>
                <w:color w:val="000000"/>
                <w:sz w:val="24"/>
                <w:szCs w:val="24"/>
              </w:rPr>
            </w:pPr>
            <w:r w:rsidRPr="00705A09">
              <w:rPr>
                <w:rFonts w:cs="Arial"/>
                <w:b/>
                <w:bCs/>
                <w:color w:val="000000"/>
                <w:sz w:val="24"/>
                <w:szCs w:val="24"/>
              </w:rPr>
              <w:t>% NHSGGC staff</w:t>
            </w:r>
          </w:p>
        </w:tc>
        <w:tc>
          <w:tcPr>
            <w:tcW w:w="2747" w:type="dxa"/>
            <w:vAlign w:val="center"/>
          </w:tcPr>
          <w:p w14:paraId="4A9785AF" w14:textId="77777777" w:rsidR="00127BD3" w:rsidRPr="00705A09" w:rsidRDefault="00127BD3" w:rsidP="00AC5B73">
            <w:pPr>
              <w:rPr>
                <w:rFonts w:cs="Arial"/>
                <w:b/>
                <w:bCs/>
                <w:color w:val="000000"/>
                <w:sz w:val="24"/>
                <w:szCs w:val="24"/>
              </w:rPr>
            </w:pPr>
            <w:r w:rsidRPr="00705A09">
              <w:rPr>
                <w:rFonts w:cs="Arial"/>
                <w:b/>
                <w:bCs/>
                <w:color w:val="000000"/>
                <w:sz w:val="24"/>
                <w:szCs w:val="24"/>
              </w:rPr>
              <w:t xml:space="preserve">% </w:t>
            </w:r>
            <w:r w:rsidR="00CF0F31" w:rsidRPr="00705A09">
              <w:rPr>
                <w:rFonts w:cs="Arial"/>
                <w:b/>
                <w:bCs/>
                <w:color w:val="000000"/>
                <w:sz w:val="24"/>
                <w:szCs w:val="24"/>
              </w:rPr>
              <w:t>NHS GJ</w:t>
            </w:r>
            <w:r w:rsidRPr="00705A09">
              <w:rPr>
                <w:rFonts w:cs="Arial"/>
                <w:b/>
                <w:bCs/>
                <w:color w:val="000000"/>
                <w:sz w:val="24"/>
                <w:szCs w:val="24"/>
              </w:rPr>
              <w:t xml:space="preserve"> staff</w:t>
            </w:r>
          </w:p>
        </w:tc>
      </w:tr>
      <w:tr w:rsidR="00127BD3" w:rsidRPr="00705A09" w14:paraId="62F66728" w14:textId="77777777" w:rsidTr="001F2184">
        <w:tc>
          <w:tcPr>
            <w:tcW w:w="2747" w:type="dxa"/>
            <w:vAlign w:val="bottom"/>
          </w:tcPr>
          <w:p w14:paraId="6E828597" w14:textId="77777777" w:rsidR="00127BD3" w:rsidRPr="00705A09" w:rsidRDefault="00127BD3" w:rsidP="00AC5B73">
            <w:pPr>
              <w:rPr>
                <w:rFonts w:cs="Arial"/>
                <w:color w:val="000000"/>
                <w:sz w:val="24"/>
              </w:rPr>
            </w:pPr>
            <w:r w:rsidRPr="00705A09">
              <w:rPr>
                <w:rFonts w:cs="Arial"/>
                <w:color w:val="000000"/>
                <w:sz w:val="24"/>
              </w:rPr>
              <w:t>No religion</w:t>
            </w:r>
          </w:p>
        </w:tc>
        <w:tc>
          <w:tcPr>
            <w:tcW w:w="2747" w:type="dxa"/>
            <w:vAlign w:val="bottom"/>
          </w:tcPr>
          <w:p w14:paraId="204BEBEA" w14:textId="77777777" w:rsidR="00127BD3" w:rsidRPr="00705A09" w:rsidRDefault="00127BD3" w:rsidP="00AC5B73">
            <w:pPr>
              <w:jc w:val="right"/>
              <w:rPr>
                <w:rFonts w:cs="Arial"/>
                <w:color w:val="000000"/>
                <w:sz w:val="24"/>
              </w:rPr>
            </w:pPr>
            <w:r w:rsidRPr="00705A09">
              <w:rPr>
                <w:rFonts w:cs="Arial"/>
                <w:color w:val="000000"/>
                <w:sz w:val="24"/>
              </w:rPr>
              <w:t>36.7%</w:t>
            </w:r>
          </w:p>
        </w:tc>
        <w:tc>
          <w:tcPr>
            <w:tcW w:w="2747" w:type="dxa"/>
            <w:vAlign w:val="bottom"/>
          </w:tcPr>
          <w:p w14:paraId="1BA645CE" w14:textId="6742E936" w:rsidR="00127BD3" w:rsidRPr="00705A09" w:rsidRDefault="00331C97" w:rsidP="00AC5B73">
            <w:pPr>
              <w:jc w:val="right"/>
              <w:rPr>
                <w:rFonts w:cs="Arial"/>
                <w:color w:val="000000"/>
                <w:sz w:val="24"/>
              </w:rPr>
            </w:pPr>
            <w:r>
              <w:rPr>
                <w:rFonts w:cs="Arial"/>
                <w:color w:val="000000"/>
                <w:sz w:val="24"/>
              </w:rPr>
              <w:t>31.2</w:t>
            </w:r>
            <w:r w:rsidR="00127BD3" w:rsidRPr="00705A09">
              <w:rPr>
                <w:rFonts w:cs="Arial"/>
                <w:color w:val="000000"/>
                <w:sz w:val="24"/>
              </w:rPr>
              <w:t>%</w:t>
            </w:r>
          </w:p>
        </w:tc>
        <w:tc>
          <w:tcPr>
            <w:tcW w:w="2747" w:type="dxa"/>
            <w:vAlign w:val="bottom"/>
          </w:tcPr>
          <w:p w14:paraId="54D0A27D" w14:textId="77777777" w:rsidR="00127BD3" w:rsidRPr="00705A09" w:rsidRDefault="00D02860" w:rsidP="00AC5B73">
            <w:pPr>
              <w:jc w:val="right"/>
              <w:rPr>
                <w:rFonts w:cs="Arial"/>
                <w:color w:val="000000"/>
                <w:sz w:val="24"/>
              </w:rPr>
            </w:pPr>
            <w:r w:rsidRPr="00705A09">
              <w:rPr>
                <w:rFonts w:cs="Arial"/>
                <w:color w:val="000000"/>
                <w:sz w:val="24"/>
              </w:rPr>
              <w:t>24.6</w:t>
            </w:r>
            <w:r w:rsidR="00127BD3" w:rsidRPr="00705A09">
              <w:rPr>
                <w:rFonts w:cs="Arial"/>
                <w:color w:val="000000"/>
                <w:sz w:val="24"/>
              </w:rPr>
              <w:t>%</w:t>
            </w:r>
          </w:p>
        </w:tc>
      </w:tr>
      <w:tr w:rsidR="00127BD3" w:rsidRPr="00705A09" w14:paraId="478FB95C" w14:textId="77777777" w:rsidTr="001F2184">
        <w:tc>
          <w:tcPr>
            <w:tcW w:w="2747" w:type="dxa"/>
            <w:vAlign w:val="bottom"/>
          </w:tcPr>
          <w:p w14:paraId="21E049E4" w14:textId="77777777" w:rsidR="00127BD3" w:rsidRPr="00705A09" w:rsidRDefault="00127BD3" w:rsidP="00AC5B73">
            <w:pPr>
              <w:rPr>
                <w:rFonts w:cs="Arial"/>
                <w:color w:val="000000"/>
                <w:sz w:val="24"/>
              </w:rPr>
            </w:pPr>
            <w:r w:rsidRPr="00705A09">
              <w:rPr>
                <w:rFonts w:cs="Arial"/>
                <w:color w:val="000000"/>
                <w:sz w:val="24"/>
              </w:rPr>
              <w:t>Roman Catholic</w:t>
            </w:r>
          </w:p>
        </w:tc>
        <w:tc>
          <w:tcPr>
            <w:tcW w:w="2747" w:type="dxa"/>
            <w:vAlign w:val="bottom"/>
          </w:tcPr>
          <w:p w14:paraId="347F79EF" w14:textId="77777777" w:rsidR="00127BD3" w:rsidRPr="00705A09" w:rsidRDefault="00127BD3" w:rsidP="00AC5B73">
            <w:pPr>
              <w:jc w:val="right"/>
              <w:rPr>
                <w:rFonts w:cs="Arial"/>
                <w:color w:val="000000"/>
                <w:sz w:val="24"/>
              </w:rPr>
            </w:pPr>
            <w:r w:rsidRPr="00705A09">
              <w:rPr>
                <w:rFonts w:cs="Arial"/>
                <w:color w:val="000000"/>
                <w:sz w:val="24"/>
              </w:rPr>
              <w:t>15.9%</w:t>
            </w:r>
          </w:p>
        </w:tc>
        <w:tc>
          <w:tcPr>
            <w:tcW w:w="2747" w:type="dxa"/>
            <w:vAlign w:val="bottom"/>
          </w:tcPr>
          <w:p w14:paraId="197591F4" w14:textId="39082D28" w:rsidR="00127BD3" w:rsidRPr="00705A09" w:rsidRDefault="00331C97" w:rsidP="00AC5B73">
            <w:pPr>
              <w:jc w:val="right"/>
              <w:rPr>
                <w:rFonts w:cs="Arial"/>
                <w:color w:val="000000"/>
                <w:sz w:val="24"/>
              </w:rPr>
            </w:pPr>
            <w:r>
              <w:rPr>
                <w:rFonts w:cs="Arial"/>
                <w:color w:val="000000"/>
                <w:sz w:val="24"/>
              </w:rPr>
              <w:t>15.6</w:t>
            </w:r>
            <w:r w:rsidR="00127BD3" w:rsidRPr="00705A09">
              <w:rPr>
                <w:rFonts w:cs="Arial"/>
                <w:color w:val="000000"/>
                <w:sz w:val="24"/>
              </w:rPr>
              <w:t>%</w:t>
            </w:r>
          </w:p>
        </w:tc>
        <w:tc>
          <w:tcPr>
            <w:tcW w:w="2747" w:type="dxa"/>
            <w:vAlign w:val="bottom"/>
          </w:tcPr>
          <w:p w14:paraId="4E6D0619" w14:textId="77777777" w:rsidR="00127BD3" w:rsidRPr="00705A09" w:rsidRDefault="00D02860" w:rsidP="00AC5B73">
            <w:pPr>
              <w:jc w:val="right"/>
              <w:rPr>
                <w:rFonts w:cs="Arial"/>
                <w:color w:val="000000"/>
                <w:sz w:val="24"/>
              </w:rPr>
            </w:pPr>
            <w:r w:rsidRPr="00705A09">
              <w:rPr>
                <w:rFonts w:cs="Arial"/>
                <w:color w:val="000000"/>
                <w:sz w:val="24"/>
              </w:rPr>
              <w:t>21.9</w:t>
            </w:r>
            <w:r w:rsidR="00127BD3" w:rsidRPr="00705A09">
              <w:rPr>
                <w:rFonts w:cs="Arial"/>
                <w:color w:val="000000"/>
                <w:sz w:val="24"/>
              </w:rPr>
              <w:t>%</w:t>
            </w:r>
          </w:p>
        </w:tc>
      </w:tr>
      <w:tr w:rsidR="00127BD3" w:rsidRPr="00705A09" w14:paraId="23A71F6D" w14:textId="77777777" w:rsidTr="001F2184">
        <w:tc>
          <w:tcPr>
            <w:tcW w:w="2747" w:type="dxa"/>
            <w:vAlign w:val="bottom"/>
          </w:tcPr>
          <w:p w14:paraId="6FC6D4D0" w14:textId="77777777" w:rsidR="00127BD3" w:rsidRPr="00705A09" w:rsidRDefault="00127BD3" w:rsidP="00AC5B73">
            <w:pPr>
              <w:rPr>
                <w:rFonts w:cs="Arial"/>
                <w:color w:val="000000"/>
                <w:sz w:val="24"/>
              </w:rPr>
            </w:pPr>
            <w:r w:rsidRPr="00705A09">
              <w:rPr>
                <w:rFonts w:cs="Arial"/>
                <w:color w:val="000000"/>
                <w:sz w:val="24"/>
              </w:rPr>
              <w:t>Church of Scotland</w:t>
            </w:r>
          </w:p>
        </w:tc>
        <w:tc>
          <w:tcPr>
            <w:tcW w:w="2747" w:type="dxa"/>
            <w:vAlign w:val="bottom"/>
          </w:tcPr>
          <w:p w14:paraId="39DF19F6" w14:textId="77777777" w:rsidR="00127BD3" w:rsidRPr="00705A09" w:rsidRDefault="00127BD3" w:rsidP="00AC5B73">
            <w:pPr>
              <w:jc w:val="right"/>
              <w:rPr>
                <w:rFonts w:cs="Arial"/>
                <w:color w:val="000000"/>
                <w:sz w:val="24"/>
              </w:rPr>
            </w:pPr>
            <w:r w:rsidRPr="00705A09">
              <w:rPr>
                <w:rFonts w:cs="Arial"/>
                <w:color w:val="000000"/>
                <w:sz w:val="24"/>
              </w:rPr>
              <w:t>32.4%</w:t>
            </w:r>
          </w:p>
        </w:tc>
        <w:tc>
          <w:tcPr>
            <w:tcW w:w="2747" w:type="dxa"/>
            <w:vAlign w:val="bottom"/>
          </w:tcPr>
          <w:p w14:paraId="3EF3C982" w14:textId="609ECFE9" w:rsidR="00127BD3" w:rsidRPr="00705A09" w:rsidRDefault="00331C97" w:rsidP="00AC5B73">
            <w:pPr>
              <w:jc w:val="right"/>
              <w:rPr>
                <w:rFonts w:cs="Arial"/>
                <w:color w:val="000000"/>
                <w:sz w:val="24"/>
              </w:rPr>
            </w:pPr>
            <w:r>
              <w:rPr>
                <w:rFonts w:cs="Arial"/>
                <w:color w:val="000000"/>
                <w:sz w:val="24"/>
              </w:rPr>
              <w:t>12.9</w:t>
            </w:r>
            <w:r w:rsidR="00127BD3" w:rsidRPr="00705A09">
              <w:rPr>
                <w:rFonts w:cs="Arial"/>
                <w:color w:val="000000"/>
                <w:sz w:val="24"/>
              </w:rPr>
              <w:t>%</w:t>
            </w:r>
          </w:p>
        </w:tc>
        <w:tc>
          <w:tcPr>
            <w:tcW w:w="2747" w:type="dxa"/>
            <w:vAlign w:val="bottom"/>
          </w:tcPr>
          <w:p w14:paraId="29866395" w14:textId="77777777" w:rsidR="00127BD3" w:rsidRPr="00705A09" w:rsidRDefault="00D02860" w:rsidP="00AC5B73">
            <w:pPr>
              <w:jc w:val="right"/>
              <w:rPr>
                <w:rFonts w:cs="Arial"/>
                <w:color w:val="000000"/>
                <w:sz w:val="24"/>
              </w:rPr>
            </w:pPr>
            <w:r w:rsidRPr="00705A09">
              <w:rPr>
                <w:rFonts w:cs="Arial"/>
                <w:color w:val="000000"/>
                <w:sz w:val="24"/>
              </w:rPr>
              <w:t>19</w:t>
            </w:r>
            <w:r w:rsidR="00127BD3" w:rsidRPr="00705A09">
              <w:rPr>
                <w:rFonts w:cs="Arial"/>
                <w:color w:val="000000"/>
                <w:sz w:val="24"/>
              </w:rPr>
              <w:t>.4%</w:t>
            </w:r>
          </w:p>
        </w:tc>
      </w:tr>
      <w:tr w:rsidR="00127BD3" w:rsidRPr="00705A09" w14:paraId="493FF786" w14:textId="77777777" w:rsidTr="001F2184">
        <w:tc>
          <w:tcPr>
            <w:tcW w:w="2747" w:type="dxa"/>
            <w:vAlign w:val="bottom"/>
          </w:tcPr>
          <w:p w14:paraId="5D6D5956" w14:textId="77777777" w:rsidR="00127BD3" w:rsidRPr="00705A09" w:rsidRDefault="00127BD3" w:rsidP="00AC5B73">
            <w:pPr>
              <w:rPr>
                <w:rFonts w:cs="Arial"/>
                <w:color w:val="000000"/>
                <w:sz w:val="24"/>
              </w:rPr>
            </w:pPr>
            <w:r w:rsidRPr="00705A09">
              <w:rPr>
                <w:rFonts w:cs="Arial"/>
                <w:color w:val="000000"/>
                <w:sz w:val="24"/>
              </w:rPr>
              <w:t>Not stated</w:t>
            </w:r>
          </w:p>
        </w:tc>
        <w:tc>
          <w:tcPr>
            <w:tcW w:w="2747" w:type="dxa"/>
            <w:vAlign w:val="bottom"/>
          </w:tcPr>
          <w:p w14:paraId="47090FAF" w14:textId="77777777" w:rsidR="00127BD3" w:rsidRPr="00705A09" w:rsidRDefault="00127BD3" w:rsidP="00AC5B73">
            <w:pPr>
              <w:jc w:val="right"/>
              <w:rPr>
                <w:rFonts w:cs="Arial"/>
                <w:color w:val="000000"/>
                <w:sz w:val="24"/>
              </w:rPr>
            </w:pPr>
            <w:r w:rsidRPr="00705A09">
              <w:rPr>
                <w:rFonts w:cs="Arial"/>
                <w:color w:val="000000"/>
                <w:sz w:val="24"/>
              </w:rPr>
              <w:t>7.0%</w:t>
            </w:r>
          </w:p>
        </w:tc>
        <w:tc>
          <w:tcPr>
            <w:tcW w:w="2747" w:type="dxa"/>
            <w:vAlign w:val="bottom"/>
          </w:tcPr>
          <w:p w14:paraId="41AB8570" w14:textId="513C3E34" w:rsidR="00127BD3" w:rsidRPr="00705A09" w:rsidRDefault="00331C97" w:rsidP="00AC5B73">
            <w:pPr>
              <w:jc w:val="right"/>
              <w:rPr>
                <w:rFonts w:cs="Arial"/>
                <w:color w:val="000000"/>
                <w:sz w:val="24"/>
              </w:rPr>
            </w:pPr>
            <w:r>
              <w:rPr>
                <w:rFonts w:cs="Arial"/>
                <w:color w:val="000000"/>
                <w:sz w:val="24"/>
              </w:rPr>
              <w:t>31.3</w:t>
            </w:r>
            <w:r w:rsidR="00127BD3" w:rsidRPr="00705A09">
              <w:rPr>
                <w:rFonts w:cs="Arial"/>
                <w:color w:val="000000"/>
                <w:sz w:val="24"/>
              </w:rPr>
              <w:t>%</w:t>
            </w:r>
          </w:p>
        </w:tc>
        <w:tc>
          <w:tcPr>
            <w:tcW w:w="2747" w:type="dxa"/>
            <w:vAlign w:val="bottom"/>
          </w:tcPr>
          <w:p w14:paraId="6C2B03DC" w14:textId="77777777" w:rsidR="00127BD3" w:rsidRPr="00705A09" w:rsidRDefault="00D02860" w:rsidP="00AC5B73">
            <w:pPr>
              <w:jc w:val="right"/>
              <w:rPr>
                <w:rFonts w:cs="Arial"/>
                <w:color w:val="000000"/>
                <w:sz w:val="24"/>
              </w:rPr>
            </w:pPr>
            <w:r w:rsidRPr="00705A09">
              <w:rPr>
                <w:rFonts w:cs="Arial"/>
                <w:color w:val="000000"/>
                <w:sz w:val="24"/>
              </w:rPr>
              <w:t>21</w:t>
            </w:r>
            <w:r w:rsidR="00127BD3" w:rsidRPr="00705A09">
              <w:rPr>
                <w:rFonts w:cs="Arial"/>
                <w:color w:val="000000"/>
                <w:sz w:val="24"/>
              </w:rPr>
              <w:t>.2%</w:t>
            </w:r>
          </w:p>
        </w:tc>
      </w:tr>
      <w:tr w:rsidR="00127BD3" w:rsidRPr="00705A09" w14:paraId="0AB1221B" w14:textId="77777777" w:rsidTr="001F2184">
        <w:tc>
          <w:tcPr>
            <w:tcW w:w="2747" w:type="dxa"/>
            <w:vAlign w:val="bottom"/>
          </w:tcPr>
          <w:p w14:paraId="36079909" w14:textId="77777777" w:rsidR="00127BD3" w:rsidRPr="00705A09" w:rsidRDefault="00127BD3" w:rsidP="00AC5B73">
            <w:pPr>
              <w:rPr>
                <w:rFonts w:cs="Arial"/>
                <w:color w:val="000000"/>
                <w:sz w:val="24"/>
              </w:rPr>
            </w:pPr>
            <w:r w:rsidRPr="00705A09">
              <w:rPr>
                <w:rFonts w:cs="Arial"/>
                <w:color w:val="000000"/>
                <w:sz w:val="24"/>
              </w:rPr>
              <w:t>Christian – Other</w:t>
            </w:r>
          </w:p>
        </w:tc>
        <w:tc>
          <w:tcPr>
            <w:tcW w:w="2747" w:type="dxa"/>
            <w:vAlign w:val="bottom"/>
          </w:tcPr>
          <w:p w14:paraId="5C86C170" w14:textId="77777777" w:rsidR="00127BD3" w:rsidRPr="00705A09" w:rsidRDefault="00127BD3" w:rsidP="00AC5B73">
            <w:pPr>
              <w:jc w:val="right"/>
              <w:rPr>
                <w:rFonts w:cs="Arial"/>
                <w:color w:val="000000"/>
                <w:sz w:val="24"/>
              </w:rPr>
            </w:pPr>
            <w:r w:rsidRPr="00705A09">
              <w:rPr>
                <w:rFonts w:cs="Arial"/>
                <w:color w:val="000000"/>
                <w:sz w:val="24"/>
              </w:rPr>
              <w:t>5.5%</w:t>
            </w:r>
          </w:p>
        </w:tc>
        <w:tc>
          <w:tcPr>
            <w:tcW w:w="2747" w:type="dxa"/>
            <w:vAlign w:val="bottom"/>
          </w:tcPr>
          <w:p w14:paraId="38B7D75B" w14:textId="77777777" w:rsidR="00127BD3" w:rsidRPr="00705A09" w:rsidRDefault="00127BD3" w:rsidP="00AC5B73">
            <w:pPr>
              <w:jc w:val="right"/>
              <w:rPr>
                <w:rFonts w:cs="Arial"/>
                <w:color w:val="000000"/>
                <w:sz w:val="24"/>
              </w:rPr>
            </w:pPr>
            <w:r w:rsidRPr="00705A09">
              <w:rPr>
                <w:rFonts w:cs="Arial"/>
                <w:color w:val="000000"/>
                <w:sz w:val="24"/>
              </w:rPr>
              <w:t>5.6%</w:t>
            </w:r>
          </w:p>
        </w:tc>
        <w:tc>
          <w:tcPr>
            <w:tcW w:w="2747" w:type="dxa"/>
            <w:vAlign w:val="bottom"/>
          </w:tcPr>
          <w:p w14:paraId="7FCD8696" w14:textId="77777777" w:rsidR="00127BD3" w:rsidRPr="00705A09" w:rsidRDefault="00D02860" w:rsidP="00AC5B73">
            <w:pPr>
              <w:jc w:val="right"/>
              <w:rPr>
                <w:rFonts w:cs="Arial"/>
                <w:color w:val="000000"/>
                <w:sz w:val="24"/>
              </w:rPr>
            </w:pPr>
            <w:r w:rsidRPr="00705A09">
              <w:rPr>
                <w:rFonts w:cs="Arial"/>
                <w:color w:val="000000"/>
                <w:sz w:val="24"/>
              </w:rPr>
              <w:t>7.5</w:t>
            </w:r>
            <w:r w:rsidR="00127BD3" w:rsidRPr="00705A09">
              <w:rPr>
                <w:rFonts w:cs="Arial"/>
                <w:color w:val="000000"/>
                <w:sz w:val="24"/>
              </w:rPr>
              <w:t>%</w:t>
            </w:r>
          </w:p>
        </w:tc>
      </w:tr>
      <w:tr w:rsidR="00127BD3" w:rsidRPr="00705A09" w14:paraId="5BBA1144" w14:textId="77777777" w:rsidTr="001F2184">
        <w:tc>
          <w:tcPr>
            <w:tcW w:w="2747" w:type="dxa"/>
            <w:vAlign w:val="bottom"/>
          </w:tcPr>
          <w:p w14:paraId="487611CB" w14:textId="70C4A31F" w:rsidR="00127BD3" w:rsidRPr="00705A09" w:rsidRDefault="00127BD3" w:rsidP="00AC5B73">
            <w:pPr>
              <w:rPr>
                <w:rFonts w:cs="Arial"/>
                <w:color w:val="000000"/>
                <w:sz w:val="24"/>
              </w:rPr>
            </w:pPr>
            <w:r w:rsidRPr="00705A09">
              <w:rPr>
                <w:rFonts w:cs="Arial"/>
                <w:color w:val="000000"/>
                <w:sz w:val="24"/>
              </w:rPr>
              <w:t>Other</w:t>
            </w:r>
            <w:r w:rsidR="000F3CEB">
              <w:rPr>
                <w:szCs w:val="24"/>
                <w:vertAlign w:val="superscript"/>
              </w:rPr>
              <w:t>6</w:t>
            </w:r>
          </w:p>
        </w:tc>
        <w:tc>
          <w:tcPr>
            <w:tcW w:w="2747" w:type="dxa"/>
            <w:vAlign w:val="bottom"/>
          </w:tcPr>
          <w:p w14:paraId="7495641F" w14:textId="77777777" w:rsidR="00127BD3" w:rsidRPr="00705A09" w:rsidRDefault="00127BD3" w:rsidP="00AC5B73">
            <w:pPr>
              <w:jc w:val="right"/>
              <w:rPr>
                <w:rFonts w:cs="Arial"/>
                <w:color w:val="000000"/>
                <w:sz w:val="24"/>
              </w:rPr>
            </w:pPr>
            <w:r w:rsidRPr="00705A09">
              <w:rPr>
                <w:rFonts w:cs="Arial"/>
                <w:color w:val="000000"/>
                <w:sz w:val="24"/>
              </w:rPr>
              <w:t>1.1%</w:t>
            </w:r>
          </w:p>
        </w:tc>
        <w:tc>
          <w:tcPr>
            <w:tcW w:w="2747" w:type="dxa"/>
            <w:vAlign w:val="bottom"/>
          </w:tcPr>
          <w:p w14:paraId="222EEF20" w14:textId="4696FE33" w:rsidR="00127BD3" w:rsidRPr="00705A09" w:rsidRDefault="00331C97" w:rsidP="00AC5B73">
            <w:pPr>
              <w:jc w:val="right"/>
              <w:rPr>
                <w:rFonts w:cs="Arial"/>
                <w:color w:val="000000"/>
                <w:sz w:val="24"/>
              </w:rPr>
            </w:pPr>
            <w:r>
              <w:rPr>
                <w:rFonts w:cs="Arial"/>
                <w:color w:val="000000"/>
                <w:sz w:val="24"/>
              </w:rPr>
              <w:t>6.2</w:t>
            </w:r>
            <w:r w:rsidR="00127BD3" w:rsidRPr="00705A09">
              <w:rPr>
                <w:rFonts w:cs="Arial"/>
                <w:color w:val="000000"/>
                <w:sz w:val="24"/>
              </w:rPr>
              <w:t>%</w:t>
            </w:r>
          </w:p>
        </w:tc>
        <w:tc>
          <w:tcPr>
            <w:tcW w:w="2747" w:type="dxa"/>
            <w:vAlign w:val="bottom"/>
          </w:tcPr>
          <w:p w14:paraId="7D986DD2" w14:textId="77777777" w:rsidR="00127BD3" w:rsidRPr="00705A09" w:rsidRDefault="00127BD3" w:rsidP="00AC5B73">
            <w:pPr>
              <w:jc w:val="right"/>
              <w:rPr>
                <w:rFonts w:cs="Arial"/>
                <w:color w:val="000000"/>
                <w:sz w:val="24"/>
              </w:rPr>
            </w:pPr>
            <w:r w:rsidRPr="00705A09">
              <w:rPr>
                <w:rFonts w:cs="Arial"/>
                <w:color w:val="000000"/>
                <w:sz w:val="24"/>
              </w:rPr>
              <w:t>4.2%</w:t>
            </w:r>
          </w:p>
        </w:tc>
      </w:tr>
      <w:tr w:rsidR="00127BD3" w:rsidRPr="00705A09" w14:paraId="75EAC5CD" w14:textId="77777777" w:rsidTr="001F2184">
        <w:tc>
          <w:tcPr>
            <w:tcW w:w="2747" w:type="dxa"/>
            <w:vAlign w:val="bottom"/>
          </w:tcPr>
          <w:p w14:paraId="0C3540D6" w14:textId="77777777" w:rsidR="00127BD3" w:rsidRPr="00705A09" w:rsidRDefault="00127BD3" w:rsidP="00AC5B73">
            <w:pPr>
              <w:rPr>
                <w:rFonts w:cs="Arial"/>
                <w:color w:val="000000"/>
                <w:sz w:val="24"/>
              </w:rPr>
            </w:pPr>
            <w:r w:rsidRPr="00705A09">
              <w:rPr>
                <w:rFonts w:cs="Arial"/>
                <w:color w:val="000000"/>
                <w:sz w:val="24"/>
              </w:rPr>
              <w:t>Muslim</w:t>
            </w:r>
          </w:p>
        </w:tc>
        <w:tc>
          <w:tcPr>
            <w:tcW w:w="2747" w:type="dxa"/>
            <w:vAlign w:val="bottom"/>
          </w:tcPr>
          <w:p w14:paraId="72051121" w14:textId="77777777" w:rsidR="00127BD3" w:rsidRPr="00705A09" w:rsidRDefault="00127BD3" w:rsidP="00AC5B73">
            <w:pPr>
              <w:jc w:val="right"/>
              <w:rPr>
                <w:rFonts w:cs="Arial"/>
                <w:color w:val="000000"/>
                <w:sz w:val="24"/>
              </w:rPr>
            </w:pPr>
            <w:r w:rsidRPr="00705A09">
              <w:rPr>
                <w:rFonts w:cs="Arial"/>
                <w:color w:val="000000"/>
                <w:sz w:val="24"/>
              </w:rPr>
              <w:t>1.4%</w:t>
            </w:r>
          </w:p>
        </w:tc>
        <w:tc>
          <w:tcPr>
            <w:tcW w:w="2747" w:type="dxa"/>
            <w:vAlign w:val="bottom"/>
          </w:tcPr>
          <w:p w14:paraId="476F1274" w14:textId="4DBB9929" w:rsidR="00127BD3" w:rsidRPr="00705A09" w:rsidRDefault="00331C97" w:rsidP="00AC5B73">
            <w:pPr>
              <w:jc w:val="right"/>
              <w:rPr>
                <w:rFonts w:cs="Arial"/>
                <w:color w:val="000000"/>
                <w:sz w:val="24"/>
              </w:rPr>
            </w:pPr>
            <w:r>
              <w:rPr>
                <w:rFonts w:cs="Arial"/>
                <w:color w:val="000000"/>
                <w:sz w:val="24"/>
              </w:rPr>
              <w:t>1.4</w:t>
            </w:r>
            <w:r w:rsidR="00127BD3" w:rsidRPr="00705A09">
              <w:rPr>
                <w:rFonts w:cs="Arial"/>
                <w:color w:val="000000"/>
                <w:sz w:val="24"/>
              </w:rPr>
              <w:t>%</w:t>
            </w:r>
          </w:p>
        </w:tc>
        <w:tc>
          <w:tcPr>
            <w:tcW w:w="2747" w:type="dxa"/>
            <w:vAlign w:val="bottom"/>
          </w:tcPr>
          <w:p w14:paraId="0B23C289" w14:textId="77777777" w:rsidR="00127BD3" w:rsidRPr="00705A09" w:rsidRDefault="00127BD3" w:rsidP="00AC5B73">
            <w:pPr>
              <w:jc w:val="right"/>
              <w:rPr>
                <w:rFonts w:cs="Arial"/>
                <w:color w:val="000000"/>
                <w:sz w:val="24"/>
              </w:rPr>
            </w:pPr>
            <w:r w:rsidRPr="00705A09">
              <w:rPr>
                <w:rFonts w:cs="Arial"/>
                <w:color w:val="000000"/>
                <w:sz w:val="24"/>
              </w:rPr>
              <w:t>1.3%</w:t>
            </w:r>
          </w:p>
        </w:tc>
      </w:tr>
    </w:tbl>
    <w:p w14:paraId="312D1A84" w14:textId="77777777" w:rsidR="005270AD" w:rsidRPr="00F825B7" w:rsidRDefault="005270AD" w:rsidP="00AC5B73">
      <w:pPr>
        <w:rPr>
          <w:rFonts w:cs="Arial"/>
          <w:szCs w:val="24"/>
        </w:rPr>
      </w:pPr>
    </w:p>
    <w:p w14:paraId="2A5EF692" w14:textId="77777777" w:rsidR="00516441" w:rsidRPr="003B111C" w:rsidRDefault="00516441" w:rsidP="00AC5B73">
      <w:pPr>
        <w:pStyle w:val="Heading3"/>
      </w:pPr>
      <w:bookmarkStart w:id="104" w:name="_Toc76025126"/>
      <w:bookmarkStart w:id="105" w:name="_Toc108076926"/>
      <w:r w:rsidRPr="003B111C">
        <w:t>Recruitment Activity</w:t>
      </w:r>
      <w:bookmarkEnd w:id="104"/>
      <w:bookmarkEnd w:id="105"/>
    </w:p>
    <w:p w14:paraId="2E8C34BA" w14:textId="48C8927F" w:rsidR="00717389" w:rsidRDefault="00717389" w:rsidP="00AC5B73">
      <w:pPr>
        <w:rPr>
          <w:rFonts w:cs="Arial"/>
          <w:szCs w:val="24"/>
        </w:rPr>
      </w:pPr>
      <w:r>
        <w:rPr>
          <w:rFonts w:cs="Arial"/>
          <w:szCs w:val="24"/>
        </w:rPr>
        <w:t>We are unable to provide a breakdown by religion and belief of applicants and those who were shortlisted for the period under review, as this is not provided by the current suite of Jobtrain reports. We can, however, provide details of the religion or belief of starters within the organisation</w:t>
      </w:r>
      <w:r w:rsidR="00F12BED">
        <w:rPr>
          <w:rFonts w:cs="Arial"/>
          <w:szCs w:val="24"/>
          <w:vertAlign w:val="superscript"/>
        </w:rPr>
        <w:t>7</w:t>
      </w:r>
      <w:r>
        <w:rPr>
          <w:rFonts w:cs="Arial"/>
          <w:szCs w:val="24"/>
        </w:rPr>
        <w:t>:</w:t>
      </w:r>
    </w:p>
    <w:p w14:paraId="46C20A85" w14:textId="6DDCA7A9" w:rsidR="006A0895" w:rsidRPr="00717389" w:rsidRDefault="006A0895" w:rsidP="00AC5B73">
      <w:pPr>
        <w:rPr>
          <w:rFonts w:cs="Arial"/>
          <w:szCs w:val="24"/>
        </w:rPr>
      </w:pPr>
    </w:p>
    <w:p w14:paraId="1D1A6E6E" w14:textId="22EDBFFB" w:rsidR="003B111C" w:rsidRDefault="00F12BED" w:rsidP="00AC5B73">
      <w:pPr>
        <w:rPr>
          <w:rFonts w:cs="Arial"/>
          <w:szCs w:val="24"/>
          <w:highlight w:val="green"/>
        </w:rPr>
      </w:pPr>
      <w:r>
        <w:rPr>
          <w:noProof/>
          <w:lang w:eastAsia="en-GB"/>
        </w:rPr>
        <w:lastRenderedPageBreak/>
        <w:drawing>
          <wp:inline distT="0" distB="0" distL="0" distR="0" wp14:anchorId="15EAC485" wp14:editId="30E8E0BE">
            <wp:extent cx="6840000" cy="2160000"/>
            <wp:effectExtent l="0" t="0" r="18415" b="12065"/>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14:paraId="3977020C" w14:textId="77777777" w:rsidR="00DE4DE2" w:rsidRPr="00F825B7" w:rsidRDefault="00DE4DE2" w:rsidP="00AC5B73">
      <w:pPr>
        <w:rPr>
          <w:rFonts w:cs="Arial"/>
          <w:szCs w:val="24"/>
        </w:rPr>
      </w:pPr>
    </w:p>
    <w:p w14:paraId="259669F1" w14:textId="77777777" w:rsidR="003D0C4A" w:rsidRPr="00F825B7" w:rsidRDefault="003D0C4A" w:rsidP="00AC5B73">
      <w:pPr>
        <w:pStyle w:val="Heading3"/>
      </w:pPr>
      <w:bookmarkStart w:id="106" w:name="_Toc76025127"/>
      <w:bookmarkStart w:id="107" w:name="_Toc108076927"/>
      <w:r w:rsidRPr="00F825B7">
        <w:t>Training Activity</w:t>
      </w:r>
      <w:bookmarkEnd w:id="106"/>
      <w:bookmarkEnd w:id="107"/>
    </w:p>
    <w:p w14:paraId="166B0564" w14:textId="440132CE" w:rsidR="001675C8" w:rsidRPr="0096798A" w:rsidRDefault="001675C8" w:rsidP="00AC5B73">
      <w:pPr>
        <w:rPr>
          <w:rFonts w:cs="Arial"/>
          <w:szCs w:val="24"/>
        </w:rPr>
      </w:pPr>
      <w:r w:rsidRPr="0096798A">
        <w:rPr>
          <w:rFonts w:cs="Arial"/>
          <w:szCs w:val="24"/>
        </w:rPr>
        <w:t>The chart below shows that members of each religious group undertook roughly proportionate training in relation to that gr</w:t>
      </w:r>
      <w:r w:rsidR="005270AD" w:rsidRPr="0096798A">
        <w:rPr>
          <w:rFonts w:cs="Arial"/>
          <w:szCs w:val="24"/>
        </w:rPr>
        <w:t>oup’s size within the workforce</w:t>
      </w:r>
      <w:r w:rsidR="00EF56CC">
        <w:rPr>
          <w:rStyle w:val="FootnoteReference"/>
          <w:rFonts w:cs="Arial"/>
          <w:szCs w:val="24"/>
        </w:rPr>
        <w:footnoteReference w:customMarkFollows="1" w:id="8"/>
        <w:t>7</w:t>
      </w:r>
      <w:r w:rsidR="005270AD" w:rsidRPr="0096798A">
        <w:rPr>
          <w:rFonts w:cs="Arial"/>
          <w:szCs w:val="24"/>
        </w:rPr>
        <w:t>.</w:t>
      </w:r>
    </w:p>
    <w:p w14:paraId="22BA81B5" w14:textId="52D33295" w:rsidR="005270AD" w:rsidRDefault="005270AD" w:rsidP="00AC5B73">
      <w:pPr>
        <w:rPr>
          <w:rFonts w:cs="Arial"/>
          <w:szCs w:val="24"/>
        </w:rPr>
      </w:pPr>
    </w:p>
    <w:p w14:paraId="0B485054" w14:textId="3F814119" w:rsidR="00EF56CC" w:rsidRDefault="00EF56CC" w:rsidP="00AC5B73">
      <w:pPr>
        <w:rPr>
          <w:rFonts w:cs="Arial"/>
          <w:szCs w:val="24"/>
        </w:rPr>
      </w:pPr>
      <w:r>
        <w:rPr>
          <w:noProof/>
          <w:lang w:eastAsia="en-GB"/>
        </w:rPr>
        <w:drawing>
          <wp:inline distT="0" distB="0" distL="0" distR="0" wp14:anchorId="5CAB2177" wp14:editId="22338B4C">
            <wp:extent cx="6840000" cy="2160000"/>
            <wp:effectExtent l="0" t="0" r="18415" b="1206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14:paraId="165ABB4F" w14:textId="4926F504" w:rsidR="003A3DD8" w:rsidRPr="0096798A" w:rsidRDefault="003A3DD8" w:rsidP="00AC5B73">
      <w:pPr>
        <w:rPr>
          <w:rFonts w:cs="Arial"/>
          <w:szCs w:val="24"/>
        </w:rPr>
      </w:pPr>
    </w:p>
    <w:p w14:paraId="31D0720F" w14:textId="77777777" w:rsidR="008D3A9E" w:rsidRPr="0096798A" w:rsidRDefault="008D3A9E" w:rsidP="00AC5B73">
      <w:pPr>
        <w:pStyle w:val="Heading3"/>
      </w:pPr>
      <w:bookmarkStart w:id="108" w:name="_Toc76025128"/>
      <w:bookmarkStart w:id="109" w:name="_Toc108076928"/>
      <w:r w:rsidRPr="0096798A">
        <w:t>Career Progression</w:t>
      </w:r>
      <w:bookmarkEnd w:id="108"/>
      <w:bookmarkEnd w:id="109"/>
    </w:p>
    <w:p w14:paraId="24B4714F" w14:textId="78C7DB32" w:rsidR="00BE4A68" w:rsidRPr="0096798A" w:rsidRDefault="00BE4A68" w:rsidP="00AC5B73">
      <w:pPr>
        <w:rPr>
          <w:rFonts w:cs="Arial"/>
          <w:szCs w:val="24"/>
        </w:rPr>
      </w:pPr>
      <w:r w:rsidRPr="0096798A">
        <w:rPr>
          <w:rFonts w:cs="Arial"/>
          <w:szCs w:val="24"/>
        </w:rPr>
        <w:t xml:space="preserve">The table below shows the number and proportions of promotions by </w:t>
      </w:r>
      <w:r w:rsidR="00247BCB" w:rsidRPr="0096798A">
        <w:rPr>
          <w:rFonts w:cs="Arial"/>
          <w:szCs w:val="24"/>
        </w:rPr>
        <w:t>religion</w:t>
      </w:r>
      <w:r w:rsidR="00E775D1" w:rsidRPr="0096798A">
        <w:rPr>
          <w:rFonts w:cs="Arial"/>
          <w:szCs w:val="24"/>
        </w:rPr>
        <w:t xml:space="preserve"> </w:t>
      </w:r>
      <w:r w:rsidR="00F12BED">
        <w:rPr>
          <w:rFonts w:cs="Arial"/>
          <w:szCs w:val="24"/>
        </w:rPr>
        <w:t xml:space="preserve">or belief </w:t>
      </w:r>
      <w:r w:rsidR="00E775D1" w:rsidRPr="0096798A">
        <w:rPr>
          <w:rFonts w:cs="Arial"/>
          <w:szCs w:val="24"/>
        </w:rPr>
        <w:t>and compares it to the proportion of the workforce that identifies itself as that religion</w:t>
      </w:r>
      <w:r w:rsidR="00F12BED">
        <w:rPr>
          <w:rFonts w:cs="Arial"/>
          <w:szCs w:val="24"/>
        </w:rPr>
        <w:t xml:space="preserve"> or belief</w:t>
      </w:r>
      <w:r w:rsidRPr="0096798A">
        <w:rPr>
          <w:rFonts w:cs="Arial"/>
          <w:szCs w:val="24"/>
        </w:rPr>
        <w:t>:</w:t>
      </w:r>
    </w:p>
    <w:p w14:paraId="2AB86B62" w14:textId="77777777" w:rsidR="003B111C" w:rsidRPr="0096798A" w:rsidRDefault="003B111C" w:rsidP="00AC5B73">
      <w:pPr>
        <w:rPr>
          <w:rFonts w:cs="Arial"/>
          <w:szCs w:val="24"/>
        </w:rPr>
      </w:pPr>
    </w:p>
    <w:tbl>
      <w:tblPr>
        <w:tblW w:w="10788" w:type="dxa"/>
        <w:tblInd w:w="93" w:type="dxa"/>
        <w:tblLayout w:type="fixed"/>
        <w:tblLook w:val="04A0" w:firstRow="1" w:lastRow="0" w:firstColumn="1" w:lastColumn="0" w:noHBand="0" w:noVBand="1"/>
      </w:tblPr>
      <w:tblGrid>
        <w:gridCol w:w="2850"/>
        <w:gridCol w:w="1984"/>
        <w:gridCol w:w="1985"/>
        <w:gridCol w:w="1984"/>
        <w:gridCol w:w="1985"/>
      </w:tblGrid>
      <w:tr w:rsidR="001F2184" w:rsidRPr="003229BA" w14:paraId="31966AAD" w14:textId="77777777" w:rsidTr="001F2184">
        <w:trPr>
          <w:trHeight w:val="300"/>
        </w:trPr>
        <w:tc>
          <w:tcPr>
            <w:tcW w:w="2850" w:type="dxa"/>
            <w:vMerge w:val="restart"/>
            <w:tcBorders>
              <w:top w:val="nil"/>
              <w:left w:val="nil"/>
              <w:right w:val="single" w:sz="4" w:space="0" w:color="auto"/>
            </w:tcBorders>
            <w:shd w:val="clear" w:color="auto" w:fill="auto"/>
            <w:noWrap/>
            <w:vAlign w:val="center"/>
            <w:hideMark/>
          </w:tcPr>
          <w:p w14:paraId="7FFC5B8D" w14:textId="77777777" w:rsidR="001F2184" w:rsidRPr="003229BA" w:rsidRDefault="001F2184" w:rsidP="00AC5B73">
            <w:pPr>
              <w:rPr>
                <w:rFonts w:eastAsia="Times New Roman" w:cs="Arial"/>
                <w:b/>
                <w:color w:val="000000"/>
                <w:szCs w:val="24"/>
                <w:lang w:eastAsia="en-GB"/>
              </w:rPr>
            </w:pP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11EF8" w14:textId="77777777" w:rsidR="001F2184" w:rsidRPr="003229BA" w:rsidRDefault="001F2184" w:rsidP="00AC5B73">
            <w:pPr>
              <w:rPr>
                <w:rFonts w:eastAsia="Times New Roman" w:cs="Arial"/>
                <w:b/>
                <w:color w:val="000000"/>
                <w:szCs w:val="24"/>
                <w:lang w:eastAsia="en-GB"/>
              </w:rPr>
            </w:pPr>
            <w:r w:rsidRPr="003229BA">
              <w:rPr>
                <w:rFonts w:eastAsia="Times New Roman" w:cs="Arial"/>
                <w:b/>
                <w:color w:val="000000"/>
                <w:szCs w:val="24"/>
                <w:lang w:eastAsia="en-GB"/>
              </w:rPr>
              <w:t>Promotions</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DD58E" w14:textId="77777777" w:rsidR="001F2184" w:rsidRPr="003229BA" w:rsidRDefault="001F2184" w:rsidP="00AC5B73">
            <w:pPr>
              <w:rPr>
                <w:rFonts w:eastAsia="Times New Roman" w:cs="Arial"/>
                <w:b/>
                <w:color w:val="000000"/>
                <w:szCs w:val="24"/>
                <w:lang w:eastAsia="en-GB"/>
              </w:rPr>
            </w:pPr>
            <w:r w:rsidRPr="003229BA">
              <w:rPr>
                <w:rFonts w:eastAsia="Times New Roman" w:cs="Arial"/>
                <w:b/>
                <w:color w:val="000000"/>
                <w:szCs w:val="24"/>
                <w:lang w:eastAsia="en-GB"/>
              </w:rPr>
              <w:t>Workforce</w:t>
            </w:r>
          </w:p>
        </w:tc>
      </w:tr>
      <w:tr w:rsidR="001F2184" w:rsidRPr="003229BA" w14:paraId="036D63EE" w14:textId="77777777" w:rsidTr="001F2184">
        <w:trPr>
          <w:trHeight w:val="300"/>
        </w:trPr>
        <w:tc>
          <w:tcPr>
            <w:tcW w:w="2850" w:type="dxa"/>
            <w:vMerge/>
            <w:tcBorders>
              <w:left w:val="nil"/>
              <w:bottom w:val="nil"/>
              <w:right w:val="single" w:sz="4" w:space="0" w:color="auto"/>
            </w:tcBorders>
            <w:shd w:val="clear" w:color="auto" w:fill="auto"/>
            <w:noWrap/>
            <w:vAlign w:val="center"/>
            <w:hideMark/>
          </w:tcPr>
          <w:p w14:paraId="72872A43" w14:textId="77777777" w:rsidR="001F2184" w:rsidRPr="003229BA" w:rsidRDefault="001F2184" w:rsidP="00AC5B73">
            <w:pPr>
              <w:rPr>
                <w:rFonts w:eastAsia="Times New Roman" w:cs="Arial"/>
                <w:b/>
                <w:color w:val="000000"/>
                <w:szCs w:val="24"/>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D4E1E" w14:textId="77777777" w:rsidR="001F2184" w:rsidRPr="003229BA" w:rsidRDefault="001F2184" w:rsidP="00AC5B73">
            <w:pPr>
              <w:rPr>
                <w:rFonts w:eastAsia="Times New Roman" w:cs="Arial"/>
                <w:b/>
                <w:color w:val="000000"/>
                <w:szCs w:val="24"/>
                <w:lang w:eastAsia="en-GB"/>
              </w:rPr>
            </w:pPr>
            <w:r w:rsidRPr="003229BA">
              <w:rPr>
                <w:rFonts w:eastAsia="Times New Roman" w:cs="Arial"/>
                <w:b/>
                <w:color w:val="000000"/>
                <w:szCs w:val="24"/>
                <w:lang w:eastAsia="en-GB"/>
              </w:rPr>
              <w:t>Headcount</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A5A9F73" w14:textId="77777777" w:rsidR="001F2184" w:rsidRPr="003229BA" w:rsidRDefault="001F2184" w:rsidP="00AC5B73">
            <w:pPr>
              <w:rPr>
                <w:rFonts w:eastAsia="Times New Roman" w:cs="Arial"/>
                <w:b/>
                <w:color w:val="000000"/>
                <w:szCs w:val="24"/>
                <w:lang w:eastAsia="en-GB"/>
              </w:rPr>
            </w:pPr>
            <w:r w:rsidRPr="003229BA">
              <w:rPr>
                <w:rFonts w:eastAsia="Times New Roman" w:cs="Arial"/>
                <w:b/>
                <w:color w:val="000000"/>
                <w:szCs w:val="24"/>
                <w:lang w:eastAsia="en-GB"/>
              </w:rPr>
              <w:t>% Headcount</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31A3F4B7" w14:textId="77777777" w:rsidR="001F2184" w:rsidRPr="003229BA" w:rsidRDefault="001F2184" w:rsidP="00AC5B73">
            <w:pPr>
              <w:rPr>
                <w:rFonts w:eastAsia="Times New Roman" w:cs="Arial"/>
                <w:b/>
                <w:color w:val="000000"/>
                <w:szCs w:val="24"/>
                <w:lang w:eastAsia="en-GB"/>
              </w:rPr>
            </w:pPr>
            <w:r w:rsidRPr="003229BA">
              <w:rPr>
                <w:rFonts w:eastAsia="Times New Roman" w:cs="Arial"/>
                <w:b/>
                <w:color w:val="000000"/>
                <w:szCs w:val="24"/>
                <w:lang w:eastAsia="en-GB"/>
              </w:rPr>
              <w:t>Headcount</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9EFE692" w14:textId="77777777" w:rsidR="001F2184" w:rsidRPr="003229BA" w:rsidRDefault="001F2184" w:rsidP="00AC5B73">
            <w:pPr>
              <w:rPr>
                <w:rFonts w:eastAsia="Times New Roman" w:cs="Arial"/>
                <w:b/>
                <w:color w:val="000000"/>
                <w:szCs w:val="24"/>
                <w:lang w:eastAsia="en-GB"/>
              </w:rPr>
            </w:pPr>
            <w:r w:rsidRPr="003229BA">
              <w:rPr>
                <w:rFonts w:eastAsia="Times New Roman" w:cs="Arial"/>
                <w:b/>
                <w:color w:val="000000"/>
                <w:szCs w:val="24"/>
                <w:lang w:eastAsia="en-GB"/>
              </w:rPr>
              <w:t>% Headcount</w:t>
            </w:r>
          </w:p>
        </w:tc>
      </w:tr>
      <w:tr w:rsidR="003229BA" w:rsidRPr="003229BA" w14:paraId="742457DD" w14:textId="77777777" w:rsidTr="00787E70">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hideMark/>
          </w:tcPr>
          <w:p w14:paraId="169F62BA" w14:textId="77D7A768" w:rsidR="003229BA" w:rsidRPr="003229BA" w:rsidRDefault="003229BA" w:rsidP="00AC5B73">
            <w:pPr>
              <w:rPr>
                <w:rFonts w:cs="Arial"/>
                <w:color w:val="000000"/>
                <w:szCs w:val="24"/>
              </w:rPr>
            </w:pPr>
            <w:r w:rsidRPr="007727A3">
              <w:t>No Religion</w:t>
            </w:r>
          </w:p>
        </w:tc>
        <w:tc>
          <w:tcPr>
            <w:tcW w:w="1984" w:type="dxa"/>
            <w:tcBorders>
              <w:top w:val="nil"/>
              <w:left w:val="nil"/>
              <w:bottom w:val="single" w:sz="4" w:space="0" w:color="auto"/>
              <w:right w:val="single" w:sz="4" w:space="0" w:color="auto"/>
            </w:tcBorders>
            <w:shd w:val="clear" w:color="auto" w:fill="auto"/>
            <w:noWrap/>
            <w:vAlign w:val="bottom"/>
          </w:tcPr>
          <w:p w14:paraId="7B9B350F" w14:textId="502051A6" w:rsidR="003229BA" w:rsidRPr="003229BA" w:rsidRDefault="003229BA" w:rsidP="00AC5B73">
            <w:pPr>
              <w:pStyle w:val="NoSpacing"/>
              <w:jc w:val="right"/>
              <w:rPr>
                <w:rFonts w:ascii="Arial" w:hAnsi="Arial" w:cs="Arial"/>
                <w:szCs w:val="24"/>
              </w:rPr>
            </w:pPr>
            <w:r w:rsidRPr="003229BA">
              <w:rPr>
                <w:rFonts w:ascii="Arial" w:hAnsi="Arial" w:cs="Arial"/>
                <w:szCs w:val="24"/>
              </w:rPr>
              <w:t>45</w:t>
            </w:r>
          </w:p>
        </w:tc>
        <w:tc>
          <w:tcPr>
            <w:tcW w:w="1985" w:type="dxa"/>
            <w:tcBorders>
              <w:top w:val="nil"/>
              <w:left w:val="nil"/>
              <w:bottom w:val="single" w:sz="4" w:space="0" w:color="auto"/>
              <w:right w:val="single" w:sz="4" w:space="0" w:color="auto"/>
            </w:tcBorders>
            <w:shd w:val="clear" w:color="auto" w:fill="auto"/>
            <w:noWrap/>
            <w:hideMark/>
          </w:tcPr>
          <w:p w14:paraId="0C4F8932" w14:textId="0945D5B4" w:rsidR="003229BA" w:rsidRPr="003229BA" w:rsidRDefault="003229BA" w:rsidP="00AC5B73">
            <w:pPr>
              <w:jc w:val="right"/>
              <w:rPr>
                <w:rFonts w:cs="Arial"/>
                <w:color w:val="000000"/>
                <w:szCs w:val="24"/>
              </w:rPr>
            </w:pPr>
            <w:r w:rsidRPr="009E2DC5">
              <w:t>29.6%</w:t>
            </w:r>
          </w:p>
        </w:tc>
        <w:tc>
          <w:tcPr>
            <w:tcW w:w="1984" w:type="dxa"/>
            <w:tcBorders>
              <w:top w:val="nil"/>
              <w:left w:val="nil"/>
              <w:bottom w:val="single" w:sz="4" w:space="0" w:color="auto"/>
              <w:right w:val="single" w:sz="4" w:space="0" w:color="auto"/>
            </w:tcBorders>
            <w:shd w:val="clear" w:color="auto" w:fill="auto"/>
            <w:noWrap/>
            <w:vAlign w:val="bottom"/>
          </w:tcPr>
          <w:p w14:paraId="624F09AB" w14:textId="16A0D9C8" w:rsidR="003229BA" w:rsidRPr="003229BA" w:rsidRDefault="003229BA" w:rsidP="00AC5B73">
            <w:pPr>
              <w:jc w:val="right"/>
              <w:rPr>
                <w:rFonts w:cs="Arial"/>
                <w:color w:val="000000"/>
                <w:szCs w:val="24"/>
              </w:rPr>
            </w:pPr>
            <w:r>
              <w:rPr>
                <w:rFonts w:cs="Arial"/>
                <w:color w:val="000000"/>
                <w:szCs w:val="24"/>
              </w:rPr>
              <w:t>563</w:t>
            </w:r>
          </w:p>
        </w:tc>
        <w:tc>
          <w:tcPr>
            <w:tcW w:w="1985" w:type="dxa"/>
            <w:tcBorders>
              <w:top w:val="nil"/>
              <w:left w:val="nil"/>
              <w:bottom w:val="single" w:sz="4" w:space="0" w:color="auto"/>
              <w:right w:val="single" w:sz="4" w:space="0" w:color="auto"/>
            </w:tcBorders>
            <w:shd w:val="clear" w:color="auto" w:fill="auto"/>
            <w:noWrap/>
          </w:tcPr>
          <w:p w14:paraId="0D32E268" w14:textId="32295CBE" w:rsidR="003229BA" w:rsidRPr="003229BA" w:rsidRDefault="003229BA" w:rsidP="00AC5B73">
            <w:pPr>
              <w:jc w:val="right"/>
              <w:rPr>
                <w:rFonts w:cs="Arial"/>
                <w:color w:val="000000"/>
                <w:szCs w:val="24"/>
              </w:rPr>
            </w:pPr>
            <w:r w:rsidRPr="0010066D">
              <w:t>26.4%</w:t>
            </w:r>
          </w:p>
        </w:tc>
      </w:tr>
      <w:tr w:rsidR="003229BA" w:rsidRPr="003229BA" w14:paraId="3642D0D3" w14:textId="77777777" w:rsidTr="00787E70">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tcPr>
          <w:p w14:paraId="314BC04F" w14:textId="27E5B3A4" w:rsidR="003229BA" w:rsidRPr="003229BA" w:rsidRDefault="003229BA" w:rsidP="00AC5B73">
            <w:pPr>
              <w:rPr>
                <w:rFonts w:cs="Arial"/>
                <w:color w:val="000000"/>
                <w:szCs w:val="24"/>
              </w:rPr>
            </w:pPr>
            <w:r w:rsidRPr="007727A3">
              <w:t>Roman Catholic</w:t>
            </w:r>
          </w:p>
        </w:tc>
        <w:tc>
          <w:tcPr>
            <w:tcW w:w="1984" w:type="dxa"/>
            <w:tcBorders>
              <w:top w:val="nil"/>
              <w:left w:val="nil"/>
              <w:bottom w:val="single" w:sz="4" w:space="0" w:color="auto"/>
              <w:right w:val="single" w:sz="4" w:space="0" w:color="auto"/>
            </w:tcBorders>
            <w:shd w:val="clear" w:color="auto" w:fill="auto"/>
            <w:noWrap/>
            <w:vAlign w:val="bottom"/>
          </w:tcPr>
          <w:p w14:paraId="421D5677" w14:textId="45560AB3" w:rsidR="003229BA" w:rsidRPr="003229BA" w:rsidRDefault="003229BA" w:rsidP="00AC5B73">
            <w:pPr>
              <w:pStyle w:val="NoSpacing"/>
              <w:jc w:val="right"/>
              <w:rPr>
                <w:rFonts w:ascii="Arial" w:hAnsi="Arial" w:cs="Arial"/>
                <w:szCs w:val="24"/>
              </w:rPr>
            </w:pPr>
            <w:r w:rsidRPr="003229BA">
              <w:rPr>
                <w:rFonts w:ascii="Arial" w:hAnsi="Arial" w:cs="Arial"/>
                <w:szCs w:val="24"/>
              </w:rPr>
              <w:t>32</w:t>
            </w:r>
          </w:p>
        </w:tc>
        <w:tc>
          <w:tcPr>
            <w:tcW w:w="1985" w:type="dxa"/>
            <w:tcBorders>
              <w:top w:val="nil"/>
              <w:left w:val="nil"/>
              <w:bottom w:val="single" w:sz="4" w:space="0" w:color="auto"/>
              <w:right w:val="single" w:sz="4" w:space="0" w:color="auto"/>
            </w:tcBorders>
            <w:shd w:val="clear" w:color="auto" w:fill="auto"/>
            <w:noWrap/>
          </w:tcPr>
          <w:p w14:paraId="7A8ADCCF" w14:textId="1BCD7F7D" w:rsidR="003229BA" w:rsidRPr="003229BA" w:rsidRDefault="003229BA" w:rsidP="00AC5B73">
            <w:pPr>
              <w:jc w:val="right"/>
              <w:rPr>
                <w:rFonts w:cs="Arial"/>
                <w:color w:val="000000"/>
                <w:szCs w:val="24"/>
              </w:rPr>
            </w:pPr>
            <w:r w:rsidRPr="009E2DC5">
              <w:t>21.1%</w:t>
            </w:r>
          </w:p>
        </w:tc>
        <w:tc>
          <w:tcPr>
            <w:tcW w:w="1984" w:type="dxa"/>
            <w:tcBorders>
              <w:top w:val="nil"/>
              <w:left w:val="nil"/>
              <w:bottom w:val="single" w:sz="4" w:space="0" w:color="auto"/>
              <w:right w:val="single" w:sz="4" w:space="0" w:color="auto"/>
            </w:tcBorders>
            <w:shd w:val="clear" w:color="auto" w:fill="auto"/>
            <w:noWrap/>
            <w:vAlign w:val="bottom"/>
          </w:tcPr>
          <w:p w14:paraId="3C45D946" w14:textId="379A921C" w:rsidR="003229BA" w:rsidRPr="003229BA" w:rsidRDefault="003229BA" w:rsidP="00AC5B73">
            <w:pPr>
              <w:jc w:val="right"/>
              <w:rPr>
                <w:rFonts w:cs="Arial"/>
                <w:color w:val="000000"/>
                <w:szCs w:val="24"/>
              </w:rPr>
            </w:pPr>
            <w:r>
              <w:rPr>
                <w:rFonts w:cs="Arial"/>
                <w:color w:val="000000"/>
                <w:szCs w:val="24"/>
              </w:rPr>
              <w:t>475</w:t>
            </w:r>
          </w:p>
        </w:tc>
        <w:tc>
          <w:tcPr>
            <w:tcW w:w="1985" w:type="dxa"/>
            <w:tcBorders>
              <w:top w:val="nil"/>
              <w:left w:val="nil"/>
              <w:bottom w:val="single" w:sz="4" w:space="0" w:color="auto"/>
              <w:right w:val="single" w:sz="4" w:space="0" w:color="auto"/>
            </w:tcBorders>
            <w:shd w:val="clear" w:color="auto" w:fill="auto"/>
            <w:noWrap/>
          </w:tcPr>
          <w:p w14:paraId="5EAD37CE" w14:textId="74D198F4" w:rsidR="003229BA" w:rsidRPr="003229BA" w:rsidRDefault="003229BA" w:rsidP="00AC5B73">
            <w:pPr>
              <w:jc w:val="right"/>
              <w:rPr>
                <w:rFonts w:cs="Arial"/>
                <w:color w:val="000000"/>
                <w:szCs w:val="24"/>
              </w:rPr>
            </w:pPr>
            <w:r w:rsidRPr="0010066D">
              <w:t>22.3%</w:t>
            </w:r>
          </w:p>
        </w:tc>
      </w:tr>
      <w:tr w:rsidR="003229BA" w:rsidRPr="003229BA" w14:paraId="65BC2039" w14:textId="77777777" w:rsidTr="00787E70">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tcPr>
          <w:p w14:paraId="3C51F336" w14:textId="0F240B49" w:rsidR="003229BA" w:rsidRPr="003229BA" w:rsidRDefault="003229BA" w:rsidP="00AC5B73">
            <w:pPr>
              <w:rPr>
                <w:rFonts w:cs="Arial"/>
                <w:color w:val="000000"/>
                <w:szCs w:val="24"/>
              </w:rPr>
            </w:pPr>
            <w:r w:rsidRPr="007727A3">
              <w:t>Church of Scotland</w:t>
            </w:r>
          </w:p>
        </w:tc>
        <w:tc>
          <w:tcPr>
            <w:tcW w:w="1984" w:type="dxa"/>
            <w:tcBorders>
              <w:top w:val="nil"/>
              <w:left w:val="nil"/>
              <w:bottom w:val="single" w:sz="4" w:space="0" w:color="auto"/>
              <w:right w:val="single" w:sz="4" w:space="0" w:color="auto"/>
            </w:tcBorders>
            <w:shd w:val="clear" w:color="auto" w:fill="auto"/>
            <w:noWrap/>
            <w:vAlign w:val="bottom"/>
          </w:tcPr>
          <w:p w14:paraId="2EEC402D" w14:textId="48D8BA45" w:rsidR="003229BA" w:rsidRPr="003229BA" w:rsidRDefault="003229BA" w:rsidP="00AC5B73">
            <w:pPr>
              <w:pStyle w:val="NoSpacing"/>
              <w:jc w:val="right"/>
              <w:rPr>
                <w:rFonts w:ascii="Arial" w:hAnsi="Arial" w:cs="Arial"/>
                <w:szCs w:val="24"/>
              </w:rPr>
            </w:pPr>
            <w:r w:rsidRPr="003229BA">
              <w:rPr>
                <w:rFonts w:ascii="Arial" w:hAnsi="Arial" w:cs="Arial"/>
                <w:szCs w:val="24"/>
              </w:rPr>
              <w:t>30</w:t>
            </w:r>
          </w:p>
        </w:tc>
        <w:tc>
          <w:tcPr>
            <w:tcW w:w="1985" w:type="dxa"/>
            <w:tcBorders>
              <w:top w:val="nil"/>
              <w:left w:val="nil"/>
              <w:bottom w:val="single" w:sz="4" w:space="0" w:color="auto"/>
              <w:right w:val="single" w:sz="4" w:space="0" w:color="auto"/>
            </w:tcBorders>
            <w:shd w:val="clear" w:color="auto" w:fill="auto"/>
            <w:noWrap/>
          </w:tcPr>
          <w:p w14:paraId="3866C4DB" w14:textId="6E6DC796" w:rsidR="003229BA" w:rsidRPr="003229BA" w:rsidRDefault="003229BA" w:rsidP="00AC5B73">
            <w:pPr>
              <w:jc w:val="right"/>
              <w:rPr>
                <w:rFonts w:cs="Arial"/>
                <w:color w:val="000000"/>
                <w:szCs w:val="24"/>
              </w:rPr>
            </w:pPr>
            <w:r w:rsidRPr="009E2DC5">
              <w:t>19.7%</w:t>
            </w:r>
          </w:p>
        </w:tc>
        <w:tc>
          <w:tcPr>
            <w:tcW w:w="1984" w:type="dxa"/>
            <w:tcBorders>
              <w:top w:val="nil"/>
              <w:left w:val="nil"/>
              <w:bottom w:val="single" w:sz="4" w:space="0" w:color="auto"/>
              <w:right w:val="single" w:sz="4" w:space="0" w:color="auto"/>
            </w:tcBorders>
            <w:shd w:val="clear" w:color="auto" w:fill="auto"/>
            <w:noWrap/>
            <w:vAlign w:val="bottom"/>
          </w:tcPr>
          <w:p w14:paraId="599ADC79" w14:textId="3C1B4710" w:rsidR="003229BA" w:rsidRPr="003229BA" w:rsidRDefault="003229BA" w:rsidP="00AC5B73">
            <w:pPr>
              <w:jc w:val="right"/>
              <w:rPr>
                <w:rFonts w:cs="Arial"/>
                <w:color w:val="000000"/>
                <w:szCs w:val="24"/>
              </w:rPr>
            </w:pPr>
            <w:r>
              <w:rPr>
                <w:rFonts w:cs="Arial"/>
                <w:color w:val="000000"/>
                <w:szCs w:val="24"/>
              </w:rPr>
              <w:t>400</w:t>
            </w:r>
          </w:p>
        </w:tc>
        <w:tc>
          <w:tcPr>
            <w:tcW w:w="1985" w:type="dxa"/>
            <w:tcBorders>
              <w:top w:val="nil"/>
              <w:left w:val="nil"/>
              <w:bottom w:val="single" w:sz="4" w:space="0" w:color="auto"/>
              <w:right w:val="single" w:sz="4" w:space="0" w:color="auto"/>
            </w:tcBorders>
            <w:shd w:val="clear" w:color="auto" w:fill="auto"/>
            <w:noWrap/>
          </w:tcPr>
          <w:p w14:paraId="250902C6" w14:textId="481956CE" w:rsidR="003229BA" w:rsidRPr="003229BA" w:rsidRDefault="003229BA" w:rsidP="00AC5B73">
            <w:pPr>
              <w:jc w:val="right"/>
              <w:rPr>
                <w:rFonts w:cs="Arial"/>
                <w:color w:val="000000"/>
                <w:szCs w:val="24"/>
              </w:rPr>
            </w:pPr>
            <w:r w:rsidRPr="0010066D">
              <w:t>18.7%</w:t>
            </w:r>
          </w:p>
        </w:tc>
      </w:tr>
      <w:tr w:rsidR="003229BA" w:rsidRPr="003229BA" w14:paraId="433E5175" w14:textId="77777777" w:rsidTr="00787E70">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tcPr>
          <w:p w14:paraId="7D2D10AE" w14:textId="0DD539DC" w:rsidR="003229BA" w:rsidRPr="003229BA" w:rsidRDefault="003229BA" w:rsidP="00AC5B73">
            <w:pPr>
              <w:rPr>
                <w:rFonts w:cs="Arial"/>
                <w:color w:val="000000"/>
                <w:szCs w:val="24"/>
              </w:rPr>
            </w:pPr>
            <w:r w:rsidRPr="007727A3">
              <w:t>No information provided</w:t>
            </w:r>
          </w:p>
        </w:tc>
        <w:tc>
          <w:tcPr>
            <w:tcW w:w="1984" w:type="dxa"/>
            <w:tcBorders>
              <w:top w:val="nil"/>
              <w:left w:val="nil"/>
              <w:bottom w:val="single" w:sz="4" w:space="0" w:color="auto"/>
              <w:right w:val="single" w:sz="4" w:space="0" w:color="auto"/>
            </w:tcBorders>
            <w:shd w:val="clear" w:color="auto" w:fill="auto"/>
            <w:noWrap/>
            <w:vAlign w:val="bottom"/>
          </w:tcPr>
          <w:p w14:paraId="44E5EB95" w14:textId="5E8E2090" w:rsidR="003229BA" w:rsidRPr="003229BA" w:rsidRDefault="003229BA" w:rsidP="00AC5B73">
            <w:pPr>
              <w:pStyle w:val="NoSpacing"/>
              <w:jc w:val="right"/>
              <w:rPr>
                <w:rFonts w:ascii="Arial" w:hAnsi="Arial" w:cs="Arial"/>
                <w:szCs w:val="24"/>
              </w:rPr>
            </w:pPr>
            <w:r w:rsidRPr="003229BA">
              <w:rPr>
                <w:rFonts w:ascii="Arial" w:hAnsi="Arial" w:cs="Arial"/>
                <w:szCs w:val="24"/>
              </w:rPr>
              <w:t>16</w:t>
            </w:r>
          </w:p>
        </w:tc>
        <w:tc>
          <w:tcPr>
            <w:tcW w:w="1985" w:type="dxa"/>
            <w:tcBorders>
              <w:top w:val="nil"/>
              <w:left w:val="nil"/>
              <w:bottom w:val="single" w:sz="4" w:space="0" w:color="auto"/>
              <w:right w:val="single" w:sz="4" w:space="0" w:color="auto"/>
            </w:tcBorders>
            <w:shd w:val="clear" w:color="auto" w:fill="auto"/>
            <w:noWrap/>
          </w:tcPr>
          <w:p w14:paraId="438B7D15" w14:textId="74E1285F" w:rsidR="003229BA" w:rsidRPr="003229BA" w:rsidRDefault="003229BA" w:rsidP="00AC5B73">
            <w:pPr>
              <w:jc w:val="right"/>
              <w:rPr>
                <w:rFonts w:cs="Arial"/>
                <w:color w:val="000000"/>
                <w:szCs w:val="24"/>
              </w:rPr>
            </w:pPr>
            <w:r w:rsidRPr="009E2DC5">
              <w:t>10.5%</w:t>
            </w:r>
          </w:p>
        </w:tc>
        <w:tc>
          <w:tcPr>
            <w:tcW w:w="1984" w:type="dxa"/>
            <w:tcBorders>
              <w:top w:val="nil"/>
              <w:left w:val="nil"/>
              <w:bottom w:val="single" w:sz="4" w:space="0" w:color="auto"/>
              <w:right w:val="single" w:sz="4" w:space="0" w:color="auto"/>
            </w:tcBorders>
            <w:shd w:val="clear" w:color="auto" w:fill="auto"/>
            <w:noWrap/>
            <w:vAlign w:val="bottom"/>
          </w:tcPr>
          <w:p w14:paraId="594A732E" w14:textId="0AAA6489" w:rsidR="003229BA" w:rsidRPr="003229BA" w:rsidRDefault="003229BA" w:rsidP="00AC5B73">
            <w:pPr>
              <w:jc w:val="right"/>
              <w:rPr>
                <w:rFonts w:cs="Arial"/>
                <w:color w:val="000000"/>
                <w:szCs w:val="24"/>
              </w:rPr>
            </w:pPr>
            <w:r>
              <w:rPr>
                <w:rFonts w:cs="Arial"/>
                <w:color w:val="000000"/>
                <w:szCs w:val="24"/>
              </w:rPr>
              <w:t>259</w:t>
            </w:r>
          </w:p>
        </w:tc>
        <w:tc>
          <w:tcPr>
            <w:tcW w:w="1985" w:type="dxa"/>
            <w:tcBorders>
              <w:top w:val="nil"/>
              <w:left w:val="nil"/>
              <w:bottom w:val="single" w:sz="4" w:space="0" w:color="auto"/>
              <w:right w:val="single" w:sz="4" w:space="0" w:color="auto"/>
            </w:tcBorders>
            <w:shd w:val="clear" w:color="auto" w:fill="auto"/>
            <w:noWrap/>
          </w:tcPr>
          <w:p w14:paraId="1831A2C6" w14:textId="680E7617" w:rsidR="003229BA" w:rsidRPr="003229BA" w:rsidRDefault="003229BA" w:rsidP="00AC5B73">
            <w:pPr>
              <w:jc w:val="right"/>
              <w:rPr>
                <w:rFonts w:cs="Arial"/>
                <w:color w:val="000000"/>
                <w:szCs w:val="24"/>
              </w:rPr>
            </w:pPr>
            <w:r w:rsidRPr="0010066D">
              <w:t>12.1%</w:t>
            </w:r>
          </w:p>
        </w:tc>
      </w:tr>
      <w:tr w:rsidR="003229BA" w:rsidRPr="003229BA" w14:paraId="5398150E" w14:textId="77777777" w:rsidTr="00787E70">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tcPr>
          <w:p w14:paraId="48C7D2F0" w14:textId="58C7121B" w:rsidR="003229BA" w:rsidRPr="003229BA" w:rsidRDefault="003229BA" w:rsidP="00AC5B73">
            <w:pPr>
              <w:rPr>
                <w:rFonts w:cs="Arial"/>
                <w:color w:val="000000"/>
                <w:szCs w:val="24"/>
              </w:rPr>
            </w:pPr>
            <w:r w:rsidRPr="007727A3">
              <w:t>Prefer not to say</w:t>
            </w:r>
          </w:p>
        </w:tc>
        <w:tc>
          <w:tcPr>
            <w:tcW w:w="1984" w:type="dxa"/>
            <w:tcBorders>
              <w:top w:val="nil"/>
              <w:left w:val="nil"/>
              <w:bottom w:val="single" w:sz="4" w:space="0" w:color="auto"/>
              <w:right w:val="single" w:sz="4" w:space="0" w:color="auto"/>
            </w:tcBorders>
            <w:shd w:val="clear" w:color="auto" w:fill="auto"/>
            <w:noWrap/>
            <w:vAlign w:val="bottom"/>
          </w:tcPr>
          <w:p w14:paraId="34F42E6F" w14:textId="1F4D9243" w:rsidR="003229BA" w:rsidRPr="003229BA" w:rsidRDefault="003229BA" w:rsidP="00AC5B73">
            <w:pPr>
              <w:pStyle w:val="NoSpacing"/>
              <w:jc w:val="right"/>
              <w:rPr>
                <w:rFonts w:ascii="Arial" w:hAnsi="Arial" w:cs="Arial"/>
                <w:szCs w:val="24"/>
              </w:rPr>
            </w:pPr>
            <w:r w:rsidRPr="003229BA">
              <w:rPr>
                <w:rFonts w:ascii="Arial" w:hAnsi="Arial" w:cs="Arial"/>
                <w:szCs w:val="24"/>
              </w:rPr>
              <w:t>15</w:t>
            </w:r>
          </w:p>
        </w:tc>
        <w:tc>
          <w:tcPr>
            <w:tcW w:w="1985" w:type="dxa"/>
            <w:tcBorders>
              <w:top w:val="nil"/>
              <w:left w:val="nil"/>
              <w:bottom w:val="single" w:sz="4" w:space="0" w:color="auto"/>
              <w:right w:val="single" w:sz="4" w:space="0" w:color="auto"/>
            </w:tcBorders>
            <w:shd w:val="clear" w:color="auto" w:fill="auto"/>
            <w:noWrap/>
          </w:tcPr>
          <w:p w14:paraId="16A62BB9" w14:textId="53123729" w:rsidR="003229BA" w:rsidRPr="003229BA" w:rsidRDefault="003229BA" w:rsidP="00AC5B73">
            <w:pPr>
              <w:jc w:val="right"/>
              <w:rPr>
                <w:rFonts w:cs="Arial"/>
                <w:color w:val="000000"/>
                <w:szCs w:val="24"/>
              </w:rPr>
            </w:pPr>
            <w:r w:rsidRPr="009E2DC5">
              <w:t>9.9%</w:t>
            </w:r>
          </w:p>
        </w:tc>
        <w:tc>
          <w:tcPr>
            <w:tcW w:w="1984" w:type="dxa"/>
            <w:tcBorders>
              <w:top w:val="nil"/>
              <w:left w:val="nil"/>
              <w:bottom w:val="single" w:sz="4" w:space="0" w:color="auto"/>
              <w:right w:val="single" w:sz="4" w:space="0" w:color="auto"/>
            </w:tcBorders>
            <w:shd w:val="clear" w:color="auto" w:fill="auto"/>
            <w:noWrap/>
            <w:vAlign w:val="bottom"/>
          </w:tcPr>
          <w:p w14:paraId="7FE8120C" w14:textId="40FF1E1D" w:rsidR="003229BA" w:rsidRPr="003229BA" w:rsidRDefault="003229BA" w:rsidP="00AC5B73">
            <w:pPr>
              <w:jc w:val="right"/>
              <w:rPr>
                <w:rFonts w:cs="Arial"/>
                <w:color w:val="000000"/>
                <w:szCs w:val="24"/>
              </w:rPr>
            </w:pPr>
            <w:r>
              <w:rPr>
                <w:rFonts w:cs="Arial"/>
                <w:color w:val="000000"/>
                <w:szCs w:val="24"/>
              </w:rPr>
              <w:t>173</w:t>
            </w:r>
          </w:p>
        </w:tc>
        <w:tc>
          <w:tcPr>
            <w:tcW w:w="1985" w:type="dxa"/>
            <w:tcBorders>
              <w:top w:val="nil"/>
              <w:left w:val="nil"/>
              <w:bottom w:val="single" w:sz="4" w:space="0" w:color="auto"/>
              <w:right w:val="single" w:sz="4" w:space="0" w:color="auto"/>
            </w:tcBorders>
            <w:shd w:val="clear" w:color="auto" w:fill="auto"/>
            <w:noWrap/>
          </w:tcPr>
          <w:p w14:paraId="05095F42" w14:textId="1E81131D" w:rsidR="003229BA" w:rsidRPr="003229BA" w:rsidRDefault="003229BA" w:rsidP="00AC5B73">
            <w:pPr>
              <w:jc w:val="right"/>
              <w:rPr>
                <w:rFonts w:cs="Arial"/>
                <w:color w:val="000000"/>
                <w:szCs w:val="24"/>
              </w:rPr>
            </w:pPr>
            <w:r w:rsidRPr="0010066D">
              <w:t>8.1%</w:t>
            </w:r>
          </w:p>
        </w:tc>
      </w:tr>
      <w:tr w:rsidR="003229BA" w:rsidRPr="003229BA" w14:paraId="7B99D273" w14:textId="77777777" w:rsidTr="00787E70">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tcPr>
          <w:p w14:paraId="0C6CAF21" w14:textId="52298932" w:rsidR="003229BA" w:rsidRPr="003229BA" w:rsidRDefault="003229BA" w:rsidP="00AC5B73">
            <w:pPr>
              <w:rPr>
                <w:rFonts w:cs="Arial"/>
                <w:color w:val="000000"/>
                <w:szCs w:val="24"/>
              </w:rPr>
            </w:pPr>
            <w:r w:rsidRPr="007727A3">
              <w:t>Christian - Other</w:t>
            </w:r>
          </w:p>
        </w:tc>
        <w:tc>
          <w:tcPr>
            <w:tcW w:w="1984" w:type="dxa"/>
            <w:tcBorders>
              <w:top w:val="nil"/>
              <w:left w:val="nil"/>
              <w:bottom w:val="single" w:sz="4" w:space="0" w:color="auto"/>
              <w:right w:val="single" w:sz="4" w:space="0" w:color="auto"/>
            </w:tcBorders>
            <w:shd w:val="clear" w:color="auto" w:fill="auto"/>
            <w:noWrap/>
            <w:vAlign w:val="bottom"/>
          </w:tcPr>
          <w:p w14:paraId="40872DD3" w14:textId="1D41DFA8" w:rsidR="003229BA" w:rsidRPr="003229BA" w:rsidRDefault="003229BA" w:rsidP="00AC5B73">
            <w:pPr>
              <w:pStyle w:val="NoSpacing"/>
              <w:jc w:val="right"/>
              <w:rPr>
                <w:rFonts w:ascii="Arial" w:hAnsi="Arial" w:cs="Arial"/>
                <w:szCs w:val="24"/>
              </w:rPr>
            </w:pPr>
            <w:r w:rsidRPr="003229BA">
              <w:rPr>
                <w:rFonts w:ascii="Arial" w:hAnsi="Arial" w:cs="Arial"/>
                <w:szCs w:val="24"/>
              </w:rPr>
              <w:t>9</w:t>
            </w:r>
          </w:p>
        </w:tc>
        <w:tc>
          <w:tcPr>
            <w:tcW w:w="1985" w:type="dxa"/>
            <w:tcBorders>
              <w:top w:val="nil"/>
              <w:left w:val="nil"/>
              <w:bottom w:val="single" w:sz="4" w:space="0" w:color="auto"/>
              <w:right w:val="single" w:sz="4" w:space="0" w:color="auto"/>
            </w:tcBorders>
            <w:shd w:val="clear" w:color="auto" w:fill="auto"/>
            <w:noWrap/>
          </w:tcPr>
          <w:p w14:paraId="1CF5D145" w14:textId="777D7509" w:rsidR="003229BA" w:rsidRPr="003229BA" w:rsidRDefault="003229BA" w:rsidP="00AC5B73">
            <w:pPr>
              <w:jc w:val="right"/>
              <w:rPr>
                <w:rFonts w:cs="Arial"/>
                <w:color w:val="000000"/>
                <w:szCs w:val="24"/>
              </w:rPr>
            </w:pPr>
            <w:r w:rsidRPr="009E2DC5">
              <w:t>5.9%</w:t>
            </w:r>
          </w:p>
        </w:tc>
        <w:tc>
          <w:tcPr>
            <w:tcW w:w="1984" w:type="dxa"/>
            <w:tcBorders>
              <w:top w:val="nil"/>
              <w:left w:val="nil"/>
              <w:bottom w:val="single" w:sz="4" w:space="0" w:color="auto"/>
              <w:right w:val="single" w:sz="4" w:space="0" w:color="auto"/>
            </w:tcBorders>
            <w:shd w:val="clear" w:color="auto" w:fill="auto"/>
            <w:noWrap/>
            <w:vAlign w:val="bottom"/>
          </w:tcPr>
          <w:p w14:paraId="1D6A00D6" w14:textId="54C14688" w:rsidR="003229BA" w:rsidRPr="003229BA" w:rsidRDefault="003229BA" w:rsidP="00AC5B73">
            <w:pPr>
              <w:jc w:val="right"/>
              <w:rPr>
                <w:rFonts w:cs="Arial"/>
                <w:color w:val="000000"/>
                <w:szCs w:val="24"/>
              </w:rPr>
            </w:pPr>
            <w:r>
              <w:rPr>
                <w:rFonts w:cs="Arial"/>
                <w:color w:val="000000"/>
                <w:szCs w:val="24"/>
              </w:rPr>
              <w:t>154</w:t>
            </w:r>
          </w:p>
        </w:tc>
        <w:tc>
          <w:tcPr>
            <w:tcW w:w="1985" w:type="dxa"/>
            <w:tcBorders>
              <w:top w:val="nil"/>
              <w:left w:val="nil"/>
              <w:bottom w:val="single" w:sz="4" w:space="0" w:color="auto"/>
              <w:right w:val="single" w:sz="4" w:space="0" w:color="auto"/>
            </w:tcBorders>
            <w:shd w:val="clear" w:color="auto" w:fill="auto"/>
            <w:noWrap/>
          </w:tcPr>
          <w:p w14:paraId="06AED123" w14:textId="790BBB9E" w:rsidR="003229BA" w:rsidRPr="003229BA" w:rsidRDefault="003229BA" w:rsidP="00AC5B73">
            <w:pPr>
              <w:jc w:val="right"/>
              <w:rPr>
                <w:rFonts w:cs="Arial"/>
                <w:color w:val="000000"/>
                <w:szCs w:val="24"/>
              </w:rPr>
            </w:pPr>
            <w:r w:rsidRPr="0010066D">
              <w:t>7.2%</w:t>
            </w:r>
          </w:p>
        </w:tc>
      </w:tr>
      <w:tr w:rsidR="003229BA" w:rsidRPr="003229BA" w14:paraId="07DF09C7" w14:textId="77777777" w:rsidTr="00787E70">
        <w:trPr>
          <w:trHeight w:val="300"/>
        </w:trPr>
        <w:tc>
          <w:tcPr>
            <w:tcW w:w="2850" w:type="dxa"/>
            <w:tcBorders>
              <w:top w:val="nil"/>
              <w:left w:val="single" w:sz="4" w:space="0" w:color="auto"/>
              <w:bottom w:val="single" w:sz="4" w:space="0" w:color="auto"/>
              <w:right w:val="single" w:sz="4" w:space="0" w:color="auto"/>
            </w:tcBorders>
            <w:shd w:val="clear" w:color="auto" w:fill="auto"/>
            <w:noWrap/>
            <w:hideMark/>
          </w:tcPr>
          <w:p w14:paraId="572B8275" w14:textId="3FDA667B" w:rsidR="003229BA" w:rsidRPr="003229BA" w:rsidRDefault="003229BA" w:rsidP="00AC5B73">
            <w:pPr>
              <w:rPr>
                <w:rFonts w:cs="Arial"/>
                <w:color w:val="000000"/>
                <w:szCs w:val="24"/>
              </w:rPr>
            </w:pPr>
            <w:r w:rsidRPr="007727A3">
              <w:t>Other</w:t>
            </w:r>
            <w:r w:rsidR="00EF56CC">
              <w:rPr>
                <w:rStyle w:val="FootnoteReference"/>
                <w:rFonts w:cs="Arial"/>
                <w:color w:val="000000"/>
                <w:szCs w:val="24"/>
              </w:rPr>
              <w:footnoteReference w:customMarkFollows="1" w:id="9"/>
              <w:t>8</w:t>
            </w:r>
          </w:p>
        </w:tc>
        <w:tc>
          <w:tcPr>
            <w:tcW w:w="1984" w:type="dxa"/>
            <w:tcBorders>
              <w:top w:val="nil"/>
              <w:left w:val="nil"/>
              <w:bottom w:val="single" w:sz="4" w:space="0" w:color="auto"/>
              <w:right w:val="single" w:sz="4" w:space="0" w:color="auto"/>
            </w:tcBorders>
            <w:shd w:val="clear" w:color="auto" w:fill="auto"/>
            <w:noWrap/>
            <w:vAlign w:val="bottom"/>
          </w:tcPr>
          <w:p w14:paraId="3B38A5EF" w14:textId="12780429" w:rsidR="003229BA" w:rsidRPr="003229BA" w:rsidRDefault="003229BA" w:rsidP="00AC5B73">
            <w:pPr>
              <w:pStyle w:val="NoSpacing"/>
              <w:jc w:val="right"/>
              <w:rPr>
                <w:rFonts w:ascii="Arial" w:hAnsi="Arial" w:cs="Arial"/>
                <w:szCs w:val="24"/>
              </w:rPr>
            </w:pPr>
            <w:r w:rsidRPr="003229BA">
              <w:rPr>
                <w:rFonts w:ascii="Arial" w:hAnsi="Arial" w:cs="Arial"/>
                <w:szCs w:val="24"/>
              </w:rPr>
              <w:t>5</w:t>
            </w:r>
          </w:p>
        </w:tc>
        <w:tc>
          <w:tcPr>
            <w:tcW w:w="1985" w:type="dxa"/>
            <w:tcBorders>
              <w:top w:val="nil"/>
              <w:left w:val="nil"/>
              <w:bottom w:val="single" w:sz="4" w:space="0" w:color="auto"/>
              <w:right w:val="single" w:sz="4" w:space="0" w:color="auto"/>
            </w:tcBorders>
            <w:shd w:val="clear" w:color="auto" w:fill="auto"/>
            <w:noWrap/>
            <w:hideMark/>
          </w:tcPr>
          <w:p w14:paraId="07429D17" w14:textId="4AC3B8D8" w:rsidR="003229BA" w:rsidRPr="003229BA" w:rsidRDefault="003229BA" w:rsidP="00AC5B73">
            <w:pPr>
              <w:jc w:val="right"/>
              <w:rPr>
                <w:rFonts w:cs="Arial"/>
                <w:color w:val="000000"/>
                <w:szCs w:val="24"/>
              </w:rPr>
            </w:pPr>
            <w:r w:rsidRPr="009E2DC5">
              <w:t>3.3%</w:t>
            </w:r>
          </w:p>
        </w:tc>
        <w:tc>
          <w:tcPr>
            <w:tcW w:w="1984" w:type="dxa"/>
            <w:tcBorders>
              <w:top w:val="nil"/>
              <w:left w:val="nil"/>
              <w:bottom w:val="single" w:sz="4" w:space="0" w:color="auto"/>
              <w:right w:val="single" w:sz="4" w:space="0" w:color="auto"/>
            </w:tcBorders>
            <w:shd w:val="clear" w:color="auto" w:fill="auto"/>
            <w:noWrap/>
            <w:vAlign w:val="bottom"/>
          </w:tcPr>
          <w:p w14:paraId="219137FA" w14:textId="4BA0E4A9" w:rsidR="003229BA" w:rsidRPr="003229BA" w:rsidRDefault="003229BA" w:rsidP="00AC5B73">
            <w:pPr>
              <w:jc w:val="right"/>
              <w:rPr>
                <w:rFonts w:cs="Arial"/>
                <w:color w:val="000000"/>
                <w:szCs w:val="24"/>
              </w:rPr>
            </w:pPr>
            <w:r>
              <w:rPr>
                <w:rFonts w:cs="Arial"/>
                <w:color w:val="000000"/>
                <w:szCs w:val="24"/>
              </w:rPr>
              <w:t>110</w:t>
            </w:r>
          </w:p>
        </w:tc>
        <w:tc>
          <w:tcPr>
            <w:tcW w:w="1985" w:type="dxa"/>
            <w:tcBorders>
              <w:top w:val="nil"/>
              <w:left w:val="nil"/>
              <w:bottom w:val="single" w:sz="4" w:space="0" w:color="auto"/>
              <w:right w:val="single" w:sz="4" w:space="0" w:color="auto"/>
            </w:tcBorders>
            <w:shd w:val="clear" w:color="auto" w:fill="auto"/>
            <w:noWrap/>
          </w:tcPr>
          <w:p w14:paraId="5B1D2346" w14:textId="74DA6DEB" w:rsidR="003229BA" w:rsidRPr="003229BA" w:rsidRDefault="003229BA" w:rsidP="00AC5B73">
            <w:pPr>
              <w:jc w:val="right"/>
              <w:rPr>
                <w:rFonts w:cs="Arial"/>
                <w:color w:val="000000"/>
                <w:szCs w:val="24"/>
              </w:rPr>
            </w:pPr>
            <w:r>
              <w:rPr>
                <w:rFonts w:cs="Arial"/>
                <w:color w:val="000000"/>
                <w:szCs w:val="24"/>
              </w:rPr>
              <w:t>5.2%</w:t>
            </w:r>
          </w:p>
        </w:tc>
      </w:tr>
      <w:tr w:rsidR="003229BA" w:rsidRPr="003229BA" w14:paraId="39325396" w14:textId="77777777" w:rsidTr="003229BA">
        <w:trPr>
          <w:trHeight w:val="300"/>
        </w:trPr>
        <w:tc>
          <w:tcPr>
            <w:tcW w:w="2850" w:type="dxa"/>
            <w:tcBorders>
              <w:top w:val="nil"/>
              <w:left w:val="single" w:sz="4" w:space="0" w:color="auto"/>
              <w:bottom w:val="single" w:sz="4" w:space="0" w:color="auto"/>
              <w:right w:val="single" w:sz="4" w:space="0" w:color="auto"/>
            </w:tcBorders>
            <w:shd w:val="clear" w:color="auto" w:fill="auto"/>
            <w:noWrap/>
            <w:hideMark/>
          </w:tcPr>
          <w:p w14:paraId="1286C680" w14:textId="67A600E9" w:rsidR="003229BA" w:rsidRPr="003229BA" w:rsidRDefault="003229BA" w:rsidP="00AC5B73">
            <w:pPr>
              <w:rPr>
                <w:rFonts w:cs="Arial"/>
                <w:color w:val="000000"/>
                <w:szCs w:val="24"/>
              </w:rPr>
            </w:pPr>
            <w:r w:rsidRPr="007727A3">
              <w:t>Grand Total</w:t>
            </w:r>
          </w:p>
        </w:tc>
        <w:tc>
          <w:tcPr>
            <w:tcW w:w="1984" w:type="dxa"/>
            <w:tcBorders>
              <w:top w:val="nil"/>
              <w:left w:val="nil"/>
              <w:bottom w:val="single" w:sz="4" w:space="0" w:color="auto"/>
              <w:right w:val="single" w:sz="4" w:space="0" w:color="auto"/>
            </w:tcBorders>
            <w:shd w:val="clear" w:color="auto" w:fill="auto"/>
            <w:noWrap/>
            <w:vAlign w:val="bottom"/>
          </w:tcPr>
          <w:p w14:paraId="5779E09C" w14:textId="555DB3BC" w:rsidR="003229BA" w:rsidRPr="003229BA" w:rsidRDefault="003229BA" w:rsidP="00AC5B73">
            <w:pPr>
              <w:pStyle w:val="NoSpacing"/>
              <w:jc w:val="right"/>
              <w:rPr>
                <w:rFonts w:ascii="Arial" w:hAnsi="Arial" w:cs="Arial"/>
                <w:szCs w:val="24"/>
              </w:rPr>
            </w:pPr>
            <w:r w:rsidRPr="003229BA">
              <w:rPr>
                <w:rFonts w:ascii="Arial" w:hAnsi="Arial" w:cs="Arial"/>
                <w:szCs w:val="24"/>
              </w:rPr>
              <w:t>152</w:t>
            </w:r>
          </w:p>
        </w:tc>
        <w:tc>
          <w:tcPr>
            <w:tcW w:w="1985" w:type="dxa"/>
            <w:tcBorders>
              <w:top w:val="nil"/>
              <w:left w:val="nil"/>
              <w:bottom w:val="single" w:sz="4" w:space="0" w:color="auto"/>
              <w:right w:val="single" w:sz="4" w:space="0" w:color="auto"/>
            </w:tcBorders>
            <w:shd w:val="clear" w:color="auto" w:fill="auto"/>
            <w:noWrap/>
            <w:hideMark/>
          </w:tcPr>
          <w:p w14:paraId="79AA9EC7" w14:textId="2BBE13D9" w:rsidR="003229BA" w:rsidRPr="003229BA" w:rsidRDefault="003229BA" w:rsidP="00AC5B73">
            <w:pPr>
              <w:jc w:val="right"/>
              <w:rPr>
                <w:rFonts w:cs="Arial"/>
                <w:color w:val="000000"/>
                <w:szCs w:val="24"/>
              </w:rPr>
            </w:pPr>
            <w:r w:rsidRPr="009E2DC5">
              <w:t>100.0%</w:t>
            </w:r>
          </w:p>
        </w:tc>
        <w:tc>
          <w:tcPr>
            <w:tcW w:w="1984" w:type="dxa"/>
            <w:tcBorders>
              <w:top w:val="nil"/>
              <w:left w:val="nil"/>
              <w:bottom w:val="single" w:sz="4" w:space="0" w:color="auto"/>
              <w:right w:val="single" w:sz="4" w:space="0" w:color="auto"/>
            </w:tcBorders>
            <w:shd w:val="clear" w:color="auto" w:fill="auto"/>
            <w:noWrap/>
            <w:vAlign w:val="bottom"/>
          </w:tcPr>
          <w:p w14:paraId="219A3DE4" w14:textId="2BF2AB3D" w:rsidR="003229BA" w:rsidRPr="003229BA" w:rsidRDefault="003229BA" w:rsidP="00AC5B73">
            <w:pPr>
              <w:jc w:val="right"/>
              <w:rPr>
                <w:rFonts w:cs="Arial"/>
                <w:color w:val="000000"/>
                <w:szCs w:val="24"/>
              </w:rPr>
            </w:pPr>
            <w:r>
              <w:rPr>
                <w:rFonts w:cs="Arial"/>
                <w:color w:val="000000"/>
                <w:szCs w:val="24"/>
              </w:rPr>
              <w:t>2134</w:t>
            </w:r>
          </w:p>
        </w:tc>
        <w:tc>
          <w:tcPr>
            <w:tcW w:w="1985" w:type="dxa"/>
            <w:tcBorders>
              <w:top w:val="nil"/>
              <w:left w:val="nil"/>
              <w:bottom w:val="single" w:sz="4" w:space="0" w:color="auto"/>
              <w:right w:val="single" w:sz="4" w:space="0" w:color="auto"/>
            </w:tcBorders>
            <w:shd w:val="clear" w:color="auto" w:fill="auto"/>
            <w:noWrap/>
            <w:vAlign w:val="bottom"/>
          </w:tcPr>
          <w:p w14:paraId="35452893" w14:textId="73908CFC" w:rsidR="003229BA" w:rsidRPr="003229BA" w:rsidRDefault="003229BA" w:rsidP="00AC5B73">
            <w:pPr>
              <w:jc w:val="right"/>
              <w:rPr>
                <w:rFonts w:cs="Arial"/>
                <w:color w:val="000000"/>
                <w:szCs w:val="24"/>
              </w:rPr>
            </w:pPr>
            <w:r>
              <w:rPr>
                <w:rFonts w:cs="Arial"/>
                <w:color w:val="000000"/>
                <w:szCs w:val="24"/>
              </w:rPr>
              <w:t>100.0%</w:t>
            </w:r>
          </w:p>
        </w:tc>
      </w:tr>
    </w:tbl>
    <w:p w14:paraId="43552F36" w14:textId="7B603154" w:rsidR="00E775D1" w:rsidRDefault="00E775D1" w:rsidP="00AC5B73">
      <w:pPr>
        <w:rPr>
          <w:rFonts w:cs="Arial"/>
          <w:szCs w:val="24"/>
        </w:rPr>
      </w:pPr>
    </w:p>
    <w:p w14:paraId="3451569B" w14:textId="77777777" w:rsidR="006376F4" w:rsidRPr="0096798A" w:rsidRDefault="006376F4" w:rsidP="00AC5B73">
      <w:pPr>
        <w:rPr>
          <w:rFonts w:cs="Arial"/>
          <w:szCs w:val="24"/>
        </w:rPr>
      </w:pPr>
    </w:p>
    <w:p w14:paraId="36010AAD" w14:textId="77777777" w:rsidR="00AB0126" w:rsidRPr="0096798A" w:rsidRDefault="00AB0126" w:rsidP="00AC5B73">
      <w:pPr>
        <w:pStyle w:val="Heading3"/>
      </w:pPr>
      <w:bookmarkStart w:id="110" w:name="_Toc76025129"/>
      <w:bookmarkStart w:id="111" w:name="_Toc108076929"/>
      <w:r w:rsidRPr="0096798A">
        <w:t>Turnover</w:t>
      </w:r>
      <w:bookmarkEnd w:id="110"/>
      <w:bookmarkEnd w:id="111"/>
    </w:p>
    <w:p w14:paraId="61036371" w14:textId="2A8E558F" w:rsidR="00AC4B2B" w:rsidRPr="0096798A" w:rsidRDefault="00C54255" w:rsidP="00AC5B73">
      <w:pPr>
        <w:widowControl w:val="0"/>
        <w:rPr>
          <w:rFonts w:cs="Arial"/>
          <w:szCs w:val="24"/>
        </w:rPr>
      </w:pPr>
      <w:r w:rsidRPr="0096798A">
        <w:rPr>
          <w:rFonts w:cs="Arial"/>
          <w:szCs w:val="24"/>
        </w:rPr>
        <w:t xml:space="preserve">During </w:t>
      </w:r>
      <w:r w:rsidR="00787E70">
        <w:rPr>
          <w:rFonts w:cs="Arial"/>
          <w:szCs w:val="24"/>
        </w:rPr>
        <w:t>2021-2022</w:t>
      </w:r>
      <w:r w:rsidRPr="0096798A">
        <w:rPr>
          <w:rFonts w:cs="Arial"/>
          <w:szCs w:val="24"/>
        </w:rPr>
        <w:t xml:space="preserve"> turnover of staff was highest in the </w:t>
      </w:r>
      <w:r w:rsidR="00AC4B2B" w:rsidRPr="0096798A">
        <w:rPr>
          <w:rFonts w:cs="Arial"/>
          <w:szCs w:val="24"/>
        </w:rPr>
        <w:t xml:space="preserve">group of staff who had </w:t>
      </w:r>
      <w:r w:rsidR="00DD3504" w:rsidRPr="0096798A">
        <w:rPr>
          <w:rFonts w:cs="Arial"/>
          <w:szCs w:val="24"/>
        </w:rPr>
        <w:t>“No Religion”</w:t>
      </w:r>
      <w:r w:rsidR="00AC4B2B" w:rsidRPr="0096798A">
        <w:rPr>
          <w:rFonts w:cs="Arial"/>
          <w:szCs w:val="24"/>
        </w:rPr>
        <w:t xml:space="preserve">: </w:t>
      </w:r>
      <w:r w:rsidR="00FE5124" w:rsidRPr="0096798A">
        <w:rPr>
          <w:rFonts w:cs="Arial"/>
          <w:szCs w:val="24"/>
        </w:rPr>
        <w:t>2</w:t>
      </w:r>
      <w:r w:rsidR="00E5597F" w:rsidRPr="0096798A">
        <w:rPr>
          <w:rFonts w:cs="Arial"/>
          <w:szCs w:val="24"/>
        </w:rPr>
        <w:t>7.3% of turnover compared to 24.6</w:t>
      </w:r>
      <w:r w:rsidR="00AC4B2B" w:rsidRPr="0096798A">
        <w:rPr>
          <w:rFonts w:cs="Arial"/>
          <w:szCs w:val="24"/>
        </w:rPr>
        <w:t>% of staff</w:t>
      </w:r>
      <w:r w:rsidR="008C0FA4" w:rsidRPr="0096798A">
        <w:rPr>
          <w:rFonts w:cs="Arial"/>
          <w:szCs w:val="24"/>
        </w:rPr>
        <w:t>:</w:t>
      </w:r>
    </w:p>
    <w:p w14:paraId="5A0AC2A9" w14:textId="77777777" w:rsidR="0006021C" w:rsidRPr="0096798A" w:rsidRDefault="0006021C" w:rsidP="00AC5B73">
      <w:pPr>
        <w:rPr>
          <w:rFonts w:cs="Arial"/>
          <w:sz w:val="28"/>
          <w:szCs w:val="24"/>
        </w:rPr>
      </w:pPr>
    </w:p>
    <w:tbl>
      <w:tblPr>
        <w:tblStyle w:val="TableGrid"/>
        <w:tblW w:w="0" w:type="auto"/>
        <w:tblLook w:val="04A0" w:firstRow="1" w:lastRow="0" w:firstColumn="1" w:lastColumn="0" w:noHBand="0" w:noVBand="1"/>
      </w:tblPr>
      <w:tblGrid>
        <w:gridCol w:w="2660"/>
        <w:gridCol w:w="2055"/>
        <w:gridCol w:w="2055"/>
        <w:gridCol w:w="2055"/>
        <w:gridCol w:w="2056"/>
      </w:tblGrid>
      <w:tr w:rsidR="00787E70" w:rsidRPr="00E33A55" w14:paraId="65FAB69E" w14:textId="77777777" w:rsidTr="00787E70">
        <w:tc>
          <w:tcPr>
            <w:tcW w:w="2660" w:type="dxa"/>
            <w:vMerge w:val="restart"/>
            <w:tcBorders>
              <w:top w:val="nil"/>
              <w:left w:val="nil"/>
              <w:bottom w:val="single" w:sz="4" w:space="0" w:color="auto"/>
              <w:right w:val="single" w:sz="4" w:space="0" w:color="auto"/>
            </w:tcBorders>
          </w:tcPr>
          <w:p w14:paraId="5DAC65A2" w14:textId="77777777" w:rsidR="00787E70" w:rsidRPr="00E33A55" w:rsidRDefault="00787E70" w:rsidP="00AC5B73">
            <w:pPr>
              <w:rPr>
                <w:rFonts w:cs="Arial"/>
                <w:b/>
                <w:sz w:val="24"/>
                <w:szCs w:val="24"/>
              </w:rPr>
            </w:pPr>
          </w:p>
          <w:p w14:paraId="69DABAB6" w14:textId="52447B3B" w:rsidR="00787E70" w:rsidRPr="00E33A55" w:rsidRDefault="00787E70" w:rsidP="00AC5B73">
            <w:pPr>
              <w:rPr>
                <w:rFonts w:cs="Arial"/>
                <w:b/>
                <w:sz w:val="24"/>
                <w:szCs w:val="24"/>
              </w:rPr>
            </w:pPr>
          </w:p>
        </w:tc>
        <w:tc>
          <w:tcPr>
            <w:tcW w:w="4110" w:type="dxa"/>
            <w:gridSpan w:val="2"/>
            <w:tcBorders>
              <w:left w:val="single" w:sz="4" w:space="0" w:color="auto"/>
            </w:tcBorders>
            <w:vAlign w:val="center"/>
          </w:tcPr>
          <w:p w14:paraId="0739D8D9" w14:textId="0F8BEEE0" w:rsidR="00787E70" w:rsidRPr="00E33A55" w:rsidRDefault="00787E70" w:rsidP="00AC5B73">
            <w:pPr>
              <w:rPr>
                <w:rFonts w:eastAsia="Times New Roman" w:cs="Arial"/>
                <w:b/>
                <w:color w:val="000000"/>
                <w:sz w:val="24"/>
                <w:szCs w:val="24"/>
                <w:lang w:eastAsia="en-GB"/>
              </w:rPr>
            </w:pPr>
            <w:r w:rsidRPr="00E33A55">
              <w:rPr>
                <w:rFonts w:eastAsia="Times New Roman" w:cs="Arial"/>
                <w:b/>
                <w:color w:val="000000"/>
                <w:sz w:val="24"/>
                <w:szCs w:val="24"/>
                <w:lang w:eastAsia="en-GB"/>
              </w:rPr>
              <w:t>Leavers</w:t>
            </w:r>
          </w:p>
        </w:tc>
        <w:tc>
          <w:tcPr>
            <w:tcW w:w="4111" w:type="dxa"/>
            <w:gridSpan w:val="2"/>
            <w:vAlign w:val="center"/>
          </w:tcPr>
          <w:p w14:paraId="5140B28E" w14:textId="40BBB345" w:rsidR="00787E70" w:rsidRPr="00E33A55" w:rsidRDefault="00787E70" w:rsidP="00AC5B73">
            <w:pPr>
              <w:rPr>
                <w:rFonts w:eastAsia="Times New Roman" w:cs="Arial"/>
                <w:b/>
                <w:color w:val="000000"/>
                <w:sz w:val="24"/>
                <w:szCs w:val="24"/>
                <w:lang w:eastAsia="en-GB"/>
              </w:rPr>
            </w:pPr>
            <w:r w:rsidRPr="00E33A55">
              <w:rPr>
                <w:rFonts w:eastAsia="Times New Roman" w:cs="Arial"/>
                <w:b/>
                <w:color w:val="000000"/>
                <w:sz w:val="24"/>
                <w:szCs w:val="24"/>
                <w:lang w:eastAsia="en-GB"/>
              </w:rPr>
              <w:t>Workforce</w:t>
            </w:r>
          </w:p>
        </w:tc>
      </w:tr>
      <w:tr w:rsidR="00787E70" w:rsidRPr="00E33A55" w14:paraId="4B10B367" w14:textId="77777777" w:rsidTr="00787E70">
        <w:tc>
          <w:tcPr>
            <w:tcW w:w="2660" w:type="dxa"/>
            <w:vMerge/>
            <w:tcBorders>
              <w:left w:val="nil"/>
              <w:bottom w:val="single" w:sz="4" w:space="0" w:color="auto"/>
              <w:right w:val="single" w:sz="4" w:space="0" w:color="auto"/>
            </w:tcBorders>
          </w:tcPr>
          <w:p w14:paraId="5E3CCB39" w14:textId="1C405EB8" w:rsidR="00787E70" w:rsidRPr="00E33A55" w:rsidRDefault="00787E70" w:rsidP="00AC5B73">
            <w:pPr>
              <w:rPr>
                <w:rFonts w:cs="Arial"/>
                <w:b/>
                <w:sz w:val="24"/>
                <w:szCs w:val="24"/>
              </w:rPr>
            </w:pPr>
          </w:p>
        </w:tc>
        <w:tc>
          <w:tcPr>
            <w:tcW w:w="2055" w:type="dxa"/>
            <w:tcBorders>
              <w:left w:val="single" w:sz="4" w:space="0" w:color="auto"/>
            </w:tcBorders>
            <w:vAlign w:val="center"/>
          </w:tcPr>
          <w:p w14:paraId="5D4D4543" w14:textId="2CCA740F" w:rsidR="00787E70" w:rsidRPr="00E33A55" w:rsidRDefault="00787E70" w:rsidP="00AC5B73">
            <w:pPr>
              <w:rPr>
                <w:rFonts w:eastAsia="Times New Roman" w:cs="Arial"/>
                <w:b/>
                <w:color w:val="000000"/>
                <w:sz w:val="24"/>
                <w:szCs w:val="24"/>
                <w:lang w:eastAsia="en-GB"/>
              </w:rPr>
            </w:pPr>
            <w:r w:rsidRPr="00E33A55">
              <w:rPr>
                <w:rFonts w:eastAsia="Times New Roman" w:cs="Arial"/>
                <w:b/>
                <w:color w:val="000000"/>
                <w:sz w:val="24"/>
                <w:szCs w:val="24"/>
                <w:lang w:eastAsia="en-GB"/>
              </w:rPr>
              <w:t>Headcount</w:t>
            </w:r>
          </w:p>
        </w:tc>
        <w:tc>
          <w:tcPr>
            <w:tcW w:w="2055" w:type="dxa"/>
            <w:vAlign w:val="center"/>
          </w:tcPr>
          <w:p w14:paraId="78670955" w14:textId="77777777" w:rsidR="00787E70" w:rsidRPr="00E33A55" w:rsidRDefault="00787E70" w:rsidP="00AC5B73">
            <w:pPr>
              <w:rPr>
                <w:rFonts w:eastAsia="Times New Roman" w:cs="Arial"/>
                <w:b/>
                <w:color w:val="000000"/>
                <w:sz w:val="24"/>
                <w:lang w:eastAsia="en-GB"/>
              </w:rPr>
            </w:pPr>
            <w:r w:rsidRPr="00E33A55">
              <w:rPr>
                <w:rFonts w:eastAsia="Times New Roman" w:cs="Arial"/>
                <w:b/>
                <w:color w:val="000000"/>
                <w:sz w:val="24"/>
                <w:lang w:eastAsia="en-GB"/>
              </w:rPr>
              <w:t>% Headcount</w:t>
            </w:r>
          </w:p>
        </w:tc>
        <w:tc>
          <w:tcPr>
            <w:tcW w:w="2055" w:type="dxa"/>
            <w:vAlign w:val="center"/>
          </w:tcPr>
          <w:p w14:paraId="23DDF499" w14:textId="77777777" w:rsidR="00787E70" w:rsidRPr="00E33A55" w:rsidRDefault="00787E70" w:rsidP="00AC5B73">
            <w:pPr>
              <w:rPr>
                <w:rFonts w:eastAsia="Times New Roman" w:cs="Arial"/>
                <w:b/>
                <w:color w:val="000000"/>
                <w:sz w:val="24"/>
                <w:szCs w:val="24"/>
                <w:lang w:eastAsia="en-GB"/>
              </w:rPr>
            </w:pPr>
            <w:r w:rsidRPr="00E33A55">
              <w:rPr>
                <w:rFonts w:eastAsia="Times New Roman" w:cs="Arial"/>
                <w:b/>
                <w:color w:val="000000"/>
                <w:sz w:val="24"/>
                <w:szCs w:val="24"/>
                <w:lang w:eastAsia="en-GB"/>
              </w:rPr>
              <w:t>Headcount</w:t>
            </w:r>
          </w:p>
        </w:tc>
        <w:tc>
          <w:tcPr>
            <w:tcW w:w="2056" w:type="dxa"/>
            <w:vAlign w:val="center"/>
          </w:tcPr>
          <w:p w14:paraId="14FD48A8" w14:textId="77777777" w:rsidR="00787E70" w:rsidRPr="00E33A55" w:rsidRDefault="00787E70" w:rsidP="00AC5B73">
            <w:pPr>
              <w:rPr>
                <w:rFonts w:eastAsia="Times New Roman" w:cs="Arial"/>
                <w:b/>
                <w:color w:val="000000"/>
                <w:sz w:val="24"/>
                <w:szCs w:val="24"/>
                <w:lang w:eastAsia="en-GB"/>
              </w:rPr>
            </w:pPr>
            <w:r w:rsidRPr="00E33A55">
              <w:rPr>
                <w:rFonts w:eastAsia="Times New Roman" w:cs="Arial"/>
                <w:b/>
                <w:color w:val="000000"/>
                <w:sz w:val="24"/>
                <w:szCs w:val="24"/>
                <w:lang w:eastAsia="en-GB"/>
              </w:rPr>
              <w:t>% Headcount</w:t>
            </w:r>
          </w:p>
        </w:tc>
      </w:tr>
      <w:tr w:rsidR="00787E70" w:rsidRPr="00E33A55" w14:paraId="287DEC3A" w14:textId="77777777" w:rsidTr="00787E70">
        <w:tc>
          <w:tcPr>
            <w:tcW w:w="2660" w:type="dxa"/>
            <w:tcBorders>
              <w:top w:val="single" w:sz="4" w:space="0" w:color="auto"/>
            </w:tcBorders>
          </w:tcPr>
          <w:p w14:paraId="5ABF56A0" w14:textId="03466E36" w:rsidR="00787E70" w:rsidRPr="00E33A55" w:rsidRDefault="00787E70" w:rsidP="00AC5B73">
            <w:pPr>
              <w:rPr>
                <w:rFonts w:cs="Arial"/>
                <w:b/>
                <w:bCs/>
                <w:color w:val="000000"/>
                <w:sz w:val="24"/>
                <w:szCs w:val="24"/>
              </w:rPr>
            </w:pPr>
            <w:r w:rsidRPr="0014112D">
              <w:t>No Religion</w:t>
            </w:r>
          </w:p>
        </w:tc>
        <w:tc>
          <w:tcPr>
            <w:tcW w:w="2055" w:type="dxa"/>
          </w:tcPr>
          <w:p w14:paraId="796B1AA7" w14:textId="2B7EE4AE" w:rsidR="00787E70" w:rsidRPr="00E33A55" w:rsidRDefault="00787E70" w:rsidP="00AC5B73">
            <w:pPr>
              <w:jc w:val="right"/>
              <w:rPr>
                <w:rFonts w:cs="Arial"/>
                <w:color w:val="000000"/>
                <w:sz w:val="24"/>
                <w:szCs w:val="24"/>
              </w:rPr>
            </w:pPr>
            <w:r w:rsidRPr="0014112D">
              <w:t>86</w:t>
            </w:r>
          </w:p>
        </w:tc>
        <w:tc>
          <w:tcPr>
            <w:tcW w:w="2055" w:type="dxa"/>
          </w:tcPr>
          <w:p w14:paraId="1CEA7367" w14:textId="2C7ECDA0" w:rsidR="00787E70" w:rsidRPr="00E33A55" w:rsidRDefault="00787E70" w:rsidP="00AC5B73">
            <w:pPr>
              <w:jc w:val="right"/>
              <w:rPr>
                <w:rFonts w:cs="Arial"/>
                <w:color w:val="000000"/>
                <w:sz w:val="24"/>
                <w:szCs w:val="24"/>
              </w:rPr>
            </w:pPr>
            <w:r w:rsidRPr="0014112D">
              <w:t>33.2%</w:t>
            </w:r>
          </w:p>
        </w:tc>
        <w:tc>
          <w:tcPr>
            <w:tcW w:w="2055" w:type="dxa"/>
            <w:vAlign w:val="bottom"/>
          </w:tcPr>
          <w:p w14:paraId="6959FE46" w14:textId="050ACD3D" w:rsidR="00787E70" w:rsidRPr="00E33A55" w:rsidRDefault="00787E70" w:rsidP="00AC5B73">
            <w:pPr>
              <w:jc w:val="right"/>
              <w:rPr>
                <w:rFonts w:cs="Arial"/>
                <w:color w:val="000000"/>
                <w:sz w:val="24"/>
                <w:szCs w:val="24"/>
              </w:rPr>
            </w:pPr>
            <w:r>
              <w:rPr>
                <w:rFonts w:cs="Arial"/>
                <w:color w:val="000000"/>
                <w:sz w:val="24"/>
                <w:szCs w:val="24"/>
              </w:rPr>
              <w:t>563</w:t>
            </w:r>
          </w:p>
        </w:tc>
        <w:tc>
          <w:tcPr>
            <w:tcW w:w="2056" w:type="dxa"/>
            <w:vAlign w:val="bottom"/>
          </w:tcPr>
          <w:p w14:paraId="3C7CA4B0" w14:textId="5556A083" w:rsidR="00787E70" w:rsidRPr="00E33A55" w:rsidRDefault="00787E70" w:rsidP="00AC5B73">
            <w:pPr>
              <w:jc w:val="right"/>
              <w:rPr>
                <w:rFonts w:cs="Arial"/>
                <w:color w:val="000000"/>
                <w:sz w:val="24"/>
                <w:szCs w:val="24"/>
              </w:rPr>
            </w:pPr>
            <w:r>
              <w:rPr>
                <w:rFonts w:cs="Arial"/>
                <w:color w:val="000000"/>
                <w:sz w:val="24"/>
                <w:szCs w:val="24"/>
              </w:rPr>
              <w:t>26.4%</w:t>
            </w:r>
          </w:p>
        </w:tc>
      </w:tr>
      <w:tr w:rsidR="00787E70" w:rsidRPr="00E33A55" w14:paraId="199358C2" w14:textId="77777777" w:rsidTr="00787E70">
        <w:tc>
          <w:tcPr>
            <w:tcW w:w="2660" w:type="dxa"/>
          </w:tcPr>
          <w:p w14:paraId="01DC3A07" w14:textId="6D3A0381" w:rsidR="00787E70" w:rsidRPr="00E33A55" w:rsidRDefault="00787E70" w:rsidP="00AC5B73">
            <w:pPr>
              <w:rPr>
                <w:rFonts w:cs="Arial"/>
                <w:b/>
                <w:bCs/>
                <w:color w:val="000000"/>
                <w:sz w:val="24"/>
                <w:szCs w:val="24"/>
              </w:rPr>
            </w:pPr>
            <w:r w:rsidRPr="0014112D">
              <w:t>Roman Catholic</w:t>
            </w:r>
          </w:p>
        </w:tc>
        <w:tc>
          <w:tcPr>
            <w:tcW w:w="2055" w:type="dxa"/>
          </w:tcPr>
          <w:p w14:paraId="78AAC08F" w14:textId="1657D81D" w:rsidR="00787E70" w:rsidRPr="00E33A55" w:rsidRDefault="00787E70" w:rsidP="00AC5B73">
            <w:pPr>
              <w:jc w:val="right"/>
              <w:rPr>
                <w:rFonts w:cs="Arial"/>
                <w:color w:val="000000"/>
                <w:sz w:val="24"/>
                <w:szCs w:val="24"/>
              </w:rPr>
            </w:pPr>
            <w:r w:rsidRPr="0014112D">
              <w:t>49</w:t>
            </w:r>
          </w:p>
        </w:tc>
        <w:tc>
          <w:tcPr>
            <w:tcW w:w="2055" w:type="dxa"/>
          </w:tcPr>
          <w:p w14:paraId="49AA19A0" w14:textId="094B6CAA" w:rsidR="00787E70" w:rsidRPr="00E33A55" w:rsidRDefault="00787E70" w:rsidP="00AC5B73">
            <w:pPr>
              <w:jc w:val="right"/>
              <w:rPr>
                <w:rFonts w:cs="Arial"/>
                <w:color w:val="000000"/>
                <w:sz w:val="24"/>
                <w:szCs w:val="24"/>
              </w:rPr>
            </w:pPr>
            <w:r w:rsidRPr="0014112D">
              <w:t>18.9%</w:t>
            </w:r>
          </w:p>
        </w:tc>
        <w:tc>
          <w:tcPr>
            <w:tcW w:w="2055" w:type="dxa"/>
            <w:vAlign w:val="bottom"/>
          </w:tcPr>
          <w:p w14:paraId="1DA5DA48" w14:textId="13B4C6AF" w:rsidR="00787E70" w:rsidRPr="00E33A55" w:rsidRDefault="00787E70" w:rsidP="00AC5B73">
            <w:pPr>
              <w:jc w:val="right"/>
              <w:rPr>
                <w:rFonts w:cs="Arial"/>
                <w:color w:val="000000"/>
                <w:sz w:val="24"/>
                <w:szCs w:val="24"/>
              </w:rPr>
            </w:pPr>
            <w:r>
              <w:rPr>
                <w:rFonts w:cs="Arial"/>
                <w:color w:val="000000"/>
                <w:sz w:val="24"/>
                <w:szCs w:val="24"/>
              </w:rPr>
              <w:t>475</w:t>
            </w:r>
          </w:p>
        </w:tc>
        <w:tc>
          <w:tcPr>
            <w:tcW w:w="2056" w:type="dxa"/>
            <w:vAlign w:val="bottom"/>
          </w:tcPr>
          <w:p w14:paraId="7EB3B6BF" w14:textId="5DF9FE71" w:rsidR="00787E70" w:rsidRPr="00E33A55" w:rsidRDefault="00787E70" w:rsidP="00AC5B73">
            <w:pPr>
              <w:jc w:val="right"/>
              <w:rPr>
                <w:rFonts w:cs="Arial"/>
                <w:color w:val="000000"/>
                <w:sz w:val="24"/>
                <w:szCs w:val="24"/>
              </w:rPr>
            </w:pPr>
            <w:r>
              <w:rPr>
                <w:rFonts w:cs="Arial"/>
                <w:color w:val="000000"/>
                <w:sz w:val="24"/>
                <w:szCs w:val="24"/>
              </w:rPr>
              <w:t>22.3%</w:t>
            </w:r>
          </w:p>
        </w:tc>
      </w:tr>
      <w:tr w:rsidR="00787E70" w:rsidRPr="00E33A55" w14:paraId="30AC4D2A" w14:textId="77777777" w:rsidTr="00787E70">
        <w:tc>
          <w:tcPr>
            <w:tcW w:w="2660" w:type="dxa"/>
          </w:tcPr>
          <w:p w14:paraId="44C0DCE6" w14:textId="33A3FCCE" w:rsidR="00787E70" w:rsidRPr="00E33A55" w:rsidRDefault="00787E70" w:rsidP="00AC5B73">
            <w:pPr>
              <w:rPr>
                <w:rFonts w:cs="Arial"/>
                <w:b/>
                <w:bCs/>
                <w:color w:val="000000"/>
                <w:sz w:val="24"/>
                <w:szCs w:val="24"/>
              </w:rPr>
            </w:pPr>
            <w:r w:rsidRPr="0014112D">
              <w:t>Church of Scotland</w:t>
            </w:r>
          </w:p>
        </w:tc>
        <w:tc>
          <w:tcPr>
            <w:tcW w:w="2055" w:type="dxa"/>
          </w:tcPr>
          <w:p w14:paraId="35E735E7" w14:textId="144B7EE2" w:rsidR="00787E70" w:rsidRPr="00E33A55" w:rsidRDefault="00787E70" w:rsidP="00AC5B73">
            <w:pPr>
              <w:jc w:val="right"/>
              <w:rPr>
                <w:rFonts w:cs="Arial"/>
                <w:color w:val="000000"/>
                <w:sz w:val="24"/>
                <w:szCs w:val="24"/>
              </w:rPr>
            </w:pPr>
            <w:r w:rsidRPr="0014112D">
              <w:t>40</w:t>
            </w:r>
          </w:p>
        </w:tc>
        <w:tc>
          <w:tcPr>
            <w:tcW w:w="2055" w:type="dxa"/>
          </w:tcPr>
          <w:p w14:paraId="020BAA4D" w14:textId="10EB456F" w:rsidR="00787E70" w:rsidRPr="00E33A55" w:rsidRDefault="00787E70" w:rsidP="00AC5B73">
            <w:pPr>
              <w:jc w:val="right"/>
              <w:rPr>
                <w:rFonts w:cs="Arial"/>
                <w:color w:val="000000"/>
                <w:sz w:val="24"/>
                <w:szCs w:val="24"/>
              </w:rPr>
            </w:pPr>
            <w:r w:rsidRPr="0014112D">
              <w:t>15.4%</w:t>
            </w:r>
          </w:p>
        </w:tc>
        <w:tc>
          <w:tcPr>
            <w:tcW w:w="2055" w:type="dxa"/>
            <w:vAlign w:val="bottom"/>
          </w:tcPr>
          <w:p w14:paraId="1490F51C" w14:textId="3628CDA8" w:rsidR="00787E70" w:rsidRPr="00E33A55" w:rsidRDefault="00787E70" w:rsidP="00AC5B73">
            <w:pPr>
              <w:jc w:val="right"/>
              <w:rPr>
                <w:rFonts w:cs="Arial"/>
                <w:color w:val="000000"/>
                <w:sz w:val="24"/>
                <w:szCs w:val="24"/>
              </w:rPr>
            </w:pPr>
            <w:r>
              <w:rPr>
                <w:rFonts w:cs="Arial"/>
                <w:color w:val="000000"/>
                <w:sz w:val="24"/>
                <w:szCs w:val="24"/>
              </w:rPr>
              <w:t>400</w:t>
            </w:r>
          </w:p>
        </w:tc>
        <w:tc>
          <w:tcPr>
            <w:tcW w:w="2056" w:type="dxa"/>
            <w:vAlign w:val="bottom"/>
          </w:tcPr>
          <w:p w14:paraId="1818024D" w14:textId="3AE9E31A" w:rsidR="00787E70" w:rsidRPr="00E33A55" w:rsidRDefault="00787E70" w:rsidP="00AC5B73">
            <w:pPr>
              <w:jc w:val="right"/>
              <w:rPr>
                <w:rFonts w:cs="Arial"/>
                <w:color w:val="000000"/>
                <w:sz w:val="24"/>
                <w:szCs w:val="24"/>
              </w:rPr>
            </w:pPr>
            <w:r>
              <w:rPr>
                <w:rFonts w:cs="Arial"/>
                <w:color w:val="000000"/>
                <w:sz w:val="24"/>
                <w:szCs w:val="24"/>
              </w:rPr>
              <w:t>18.7%</w:t>
            </w:r>
          </w:p>
        </w:tc>
      </w:tr>
      <w:tr w:rsidR="00787E70" w:rsidRPr="00E33A55" w14:paraId="60AC933E" w14:textId="77777777" w:rsidTr="00787E70">
        <w:tc>
          <w:tcPr>
            <w:tcW w:w="2660" w:type="dxa"/>
          </w:tcPr>
          <w:p w14:paraId="5D19042C" w14:textId="45CAF041" w:rsidR="00787E70" w:rsidRPr="00E33A55" w:rsidRDefault="00787E70" w:rsidP="00AC5B73">
            <w:pPr>
              <w:rPr>
                <w:rFonts w:cs="Arial"/>
                <w:b/>
                <w:bCs/>
                <w:color w:val="000000"/>
                <w:sz w:val="20"/>
                <w:szCs w:val="20"/>
              </w:rPr>
            </w:pPr>
            <w:r w:rsidRPr="0014112D">
              <w:t>Christian - Other</w:t>
            </w:r>
          </w:p>
        </w:tc>
        <w:tc>
          <w:tcPr>
            <w:tcW w:w="2055" w:type="dxa"/>
          </w:tcPr>
          <w:p w14:paraId="23C1E381" w14:textId="7EC481F8" w:rsidR="00787E70" w:rsidRPr="00E33A55" w:rsidRDefault="00787E70" w:rsidP="00AC5B73">
            <w:pPr>
              <w:jc w:val="right"/>
              <w:rPr>
                <w:rFonts w:cs="Arial"/>
                <w:color w:val="000000"/>
                <w:sz w:val="24"/>
                <w:szCs w:val="24"/>
              </w:rPr>
            </w:pPr>
            <w:r w:rsidRPr="0014112D">
              <w:t>24</w:t>
            </w:r>
          </w:p>
        </w:tc>
        <w:tc>
          <w:tcPr>
            <w:tcW w:w="2055" w:type="dxa"/>
          </w:tcPr>
          <w:p w14:paraId="60418555" w14:textId="49449E15" w:rsidR="00787E70" w:rsidRPr="00E33A55" w:rsidRDefault="00787E70" w:rsidP="00AC5B73">
            <w:pPr>
              <w:jc w:val="right"/>
              <w:rPr>
                <w:rFonts w:cs="Arial"/>
                <w:color w:val="000000"/>
                <w:sz w:val="24"/>
                <w:szCs w:val="24"/>
              </w:rPr>
            </w:pPr>
            <w:r w:rsidRPr="0014112D">
              <w:t>9.3%</w:t>
            </w:r>
          </w:p>
        </w:tc>
        <w:tc>
          <w:tcPr>
            <w:tcW w:w="2055" w:type="dxa"/>
            <w:vAlign w:val="bottom"/>
          </w:tcPr>
          <w:p w14:paraId="4CA4F3EE" w14:textId="1AC6ECBC" w:rsidR="00787E70" w:rsidRPr="00E33A55" w:rsidRDefault="00787E70" w:rsidP="00AC5B73">
            <w:pPr>
              <w:jc w:val="right"/>
              <w:rPr>
                <w:rFonts w:cs="Arial"/>
                <w:color w:val="000000"/>
                <w:sz w:val="24"/>
                <w:szCs w:val="24"/>
              </w:rPr>
            </w:pPr>
            <w:r>
              <w:rPr>
                <w:rFonts w:cs="Arial"/>
                <w:color w:val="000000"/>
                <w:sz w:val="24"/>
                <w:szCs w:val="24"/>
              </w:rPr>
              <w:t>154</w:t>
            </w:r>
          </w:p>
        </w:tc>
        <w:tc>
          <w:tcPr>
            <w:tcW w:w="2056" w:type="dxa"/>
            <w:vAlign w:val="bottom"/>
          </w:tcPr>
          <w:p w14:paraId="6F2EDA6F" w14:textId="53023DCE" w:rsidR="00787E70" w:rsidRPr="00E33A55" w:rsidRDefault="00787E70" w:rsidP="00AC5B73">
            <w:pPr>
              <w:jc w:val="right"/>
              <w:rPr>
                <w:rFonts w:cs="Arial"/>
                <w:color w:val="000000"/>
                <w:sz w:val="24"/>
                <w:szCs w:val="24"/>
              </w:rPr>
            </w:pPr>
            <w:r>
              <w:rPr>
                <w:rFonts w:cs="Arial"/>
                <w:color w:val="000000"/>
                <w:sz w:val="24"/>
                <w:szCs w:val="24"/>
              </w:rPr>
              <w:t>7.2%</w:t>
            </w:r>
          </w:p>
        </w:tc>
      </w:tr>
      <w:tr w:rsidR="00787E70" w:rsidRPr="00E33A55" w14:paraId="62406976" w14:textId="77777777" w:rsidTr="00787E70">
        <w:tc>
          <w:tcPr>
            <w:tcW w:w="2660" w:type="dxa"/>
          </w:tcPr>
          <w:p w14:paraId="5799A523" w14:textId="623D1388" w:rsidR="00787E70" w:rsidRPr="00E33A55" w:rsidRDefault="00787E70" w:rsidP="00AC5B73">
            <w:pPr>
              <w:rPr>
                <w:rFonts w:cs="Arial"/>
                <w:b/>
                <w:bCs/>
                <w:color w:val="000000"/>
                <w:sz w:val="24"/>
                <w:szCs w:val="24"/>
              </w:rPr>
            </w:pPr>
            <w:r w:rsidRPr="0014112D">
              <w:t>No information provided</w:t>
            </w:r>
          </w:p>
        </w:tc>
        <w:tc>
          <w:tcPr>
            <w:tcW w:w="2055" w:type="dxa"/>
          </w:tcPr>
          <w:p w14:paraId="3C6113F8" w14:textId="4B4FF7C6" w:rsidR="00787E70" w:rsidRPr="00E33A55" w:rsidRDefault="00787E70" w:rsidP="00AC5B73">
            <w:pPr>
              <w:jc w:val="right"/>
              <w:rPr>
                <w:rFonts w:cs="Arial"/>
                <w:color w:val="000000"/>
                <w:sz w:val="24"/>
                <w:szCs w:val="24"/>
              </w:rPr>
            </w:pPr>
            <w:r w:rsidRPr="0014112D">
              <w:t>20</w:t>
            </w:r>
          </w:p>
        </w:tc>
        <w:tc>
          <w:tcPr>
            <w:tcW w:w="2055" w:type="dxa"/>
          </w:tcPr>
          <w:p w14:paraId="7347EC47" w14:textId="3D92B655" w:rsidR="00787E70" w:rsidRPr="00E33A55" w:rsidRDefault="00787E70" w:rsidP="00AC5B73">
            <w:pPr>
              <w:jc w:val="right"/>
              <w:rPr>
                <w:rFonts w:cs="Arial"/>
                <w:color w:val="000000"/>
                <w:sz w:val="24"/>
                <w:szCs w:val="24"/>
              </w:rPr>
            </w:pPr>
            <w:r w:rsidRPr="0014112D">
              <w:t>7.7%</w:t>
            </w:r>
          </w:p>
        </w:tc>
        <w:tc>
          <w:tcPr>
            <w:tcW w:w="2055" w:type="dxa"/>
            <w:vAlign w:val="bottom"/>
          </w:tcPr>
          <w:p w14:paraId="2940622B" w14:textId="5DDFF944" w:rsidR="00787E70" w:rsidRPr="00E33A55" w:rsidRDefault="00787E70" w:rsidP="00AC5B73">
            <w:pPr>
              <w:jc w:val="right"/>
              <w:rPr>
                <w:rFonts w:cs="Arial"/>
                <w:color w:val="000000"/>
                <w:sz w:val="24"/>
                <w:szCs w:val="24"/>
              </w:rPr>
            </w:pPr>
            <w:r>
              <w:rPr>
                <w:rFonts w:cs="Arial"/>
                <w:color w:val="000000"/>
                <w:sz w:val="24"/>
                <w:szCs w:val="24"/>
              </w:rPr>
              <w:t>259</w:t>
            </w:r>
          </w:p>
        </w:tc>
        <w:tc>
          <w:tcPr>
            <w:tcW w:w="2056" w:type="dxa"/>
            <w:vAlign w:val="bottom"/>
          </w:tcPr>
          <w:p w14:paraId="2602E78F" w14:textId="42D91211" w:rsidR="00787E70" w:rsidRPr="00E33A55" w:rsidRDefault="00787E70" w:rsidP="00AC5B73">
            <w:pPr>
              <w:jc w:val="right"/>
              <w:rPr>
                <w:rFonts w:cs="Arial"/>
                <w:color w:val="000000"/>
                <w:sz w:val="24"/>
                <w:szCs w:val="24"/>
              </w:rPr>
            </w:pPr>
            <w:r>
              <w:rPr>
                <w:rFonts w:cs="Arial"/>
                <w:color w:val="000000"/>
                <w:sz w:val="24"/>
                <w:szCs w:val="24"/>
              </w:rPr>
              <w:t>12.1%</w:t>
            </w:r>
          </w:p>
        </w:tc>
      </w:tr>
      <w:tr w:rsidR="00787E70" w:rsidRPr="00E33A55" w14:paraId="1C62CC9B" w14:textId="77777777" w:rsidTr="00787E70">
        <w:tc>
          <w:tcPr>
            <w:tcW w:w="2660" w:type="dxa"/>
          </w:tcPr>
          <w:p w14:paraId="5C1AAC95" w14:textId="33A298DE" w:rsidR="00787E70" w:rsidRPr="00E33A55" w:rsidRDefault="00787E70" w:rsidP="00AC5B73">
            <w:pPr>
              <w:rPr>
                <w:rFonts w:cs="Arial"/>
                <w:b/>
                <w:bCs/>
                <w:color w:val="000000"/>
                <w:sz w:val="24"/>
                <w:szCs w:val="24"/>
              </w:rPr>
            </w:pPr>
            <w:r w:rsidRPr="0014112D">
              <w:t>Prefer not to say</w:t>
            </w:r>
          </w:p>
        </w:tc>
        <w:tc>
          <w:tcPr>
            <w:tcW w:w="2055" w:type="dxa"/>
          </w:tcPr>
          <w:p w14:paraId="065BAC5F" w14:textId="50276BBA" w:rsidR="00787E70" w:rsidRPr="00E33A55" w:rsidRDefault="00787E70" w:rsidP="00AC5B73">
            <w:pPr>
              <w:jc w:val="right"/>
              <w:rPr>
                <w:rFonts w:cs="Arial"/>
                <w:color w:val="000000"/>
                <w:sz w:val="24"/>
                <w:szCs w:val="24"/>
              </w:rPr>
            </w:pPr>
            <w:r w:rsidRPr="0014112D">
              <w:t>20</w:t>
            </w:r>
          </w:p>
        </w:tc>
        <w:tc>
          <w:tcPr>
            <w:tcW w:w="2055" w:type="dxa"/>
          </w:tcPr>
          <w:p w14:paraId="05F05CA2" w14:textId="6557E2E5" w:rsidR="00787E70" w:rsidRPr="00E33A55" w:rsidRDefault="00787E70" w:rsidP="00AC5B73">
            <w:pPr>
              <w:jc w:val="right"/>
              <w:rPr>
                <w:rFonts w:cs="Arial"/>
                <w:color w:val="000000"/>
                <w:sz w:val="24"/>
                <w:szCs w:val="24"/>
              </w:rPr>
            </w:pPr>
            <w:r w:rsidRPr="0014112D">
              <w:t>7.7%</w:t>
            </w:r>
          </w:p>
        </w:tc>
        <w:tc>
          <w:tcPr>
            <w:tcW w:w="2055" w:type="dxa"/>
            <w:vAlign w:val="bottom"/>
          </w:tcPr>
          <w:p w14:paraId="711E5517" w14:textId="0823CAD7" w:rsidR="00787E70" w:rsidRPr="00E33A55" w:rsidRDefault="00787E70" w:rsidP="00AC5B73">
            <w:pPr>
              <w:jc w:val="right"/>
              <w:rPr>
                <w:rFonts w:cs="Arial"/>
                <w:color w:val="000000"/>
                <w:sz w:val="24"/>
                <w:szCs w:val="24"/>
              </w:rPr>
            </w:pPr>
            <w:r>
              <w:rPr>
                <w:rFonts w:cs="Arial"/>
                <w:color w:val="000000"/>
                <w:sz w:val="24"/>
                <w:szCs w:val="24"/>
              </w:rPr>
              <w:t>173</w:t>
            </w:r>
          </w:p>
        </w:tc>
        <w:tc>
          <w:tcPr>
            <w:tcW w:w="2056" w:type="dxa"/>
            <w:vAlign w:val="bottom"/>
          </w:tcPr>
          <w:p w14:paraId="33B353EF" w14:textId="14D144B9" w:rsidR="00787E70" w:rsidRPr="00E33A55" w:rsidRDefault="00787E70" w:rsidP="00AC5B73">
            <w:pPr>
              <w:jc w:val="right"/>
              <w:rPr>
                <w:rFonts w:cs="Arial"/>
                <w:color w:val="000000"/>
                <w:sz w:val="24"/>
                <w:szCs w:val="24"/>
              </w:rPr>
            </w:pPr>
            <w:r>
              <w:rPr>
                <w:rFonts w:cs="Arial"/>
                <w:color w:val="000000"/>
                <w:sz w:val="24"/>
                <w:szCs w:val="24"/>
              </w:rPr>
              <w:t>8.1%</w:t>
            </w:r>
          </w:p>
        </w:tc>
      </w:tr>
      <w:tr w:rsidR="00787E70" w:rsidRPr="00E33A55" w14:paraId="5DF24E1E" w14:textId="77777777" w:rsidTr="00787E70">
        <w:tc>
          <w:tcPr>
            <w:tcW w:w="2660" w:type="dxa"/>
          </w:tcPr>
          <w:p w14:paraId="15502669" w14:textId="7127AA4A" w:rsidR="00787E70" w:rsidRPr="00E33A55" w:rsidRDefault="00787E70" w:rsidP="00AC5B73">
            <w:pPr>
              <w:rPr>
                <w:rFonts w:cs="Arial"/>
                <w:b/>
                <w:bCs/>
                <w:color w:val="000000"/>
                <w:sz w:val="24"/>
                <w:szCs w:val="24"/>
              </w:rPr>
            </w:pPr>
            <w:r w:rsidRPr="0014112D">
              <w:t>Other</w:t>
            </w:r>
            <w:r w:rsidR="005325C4">
              <w:rPr>
                <w:rStyle w:val="FootnoteReference"/>
                <w:rFonts w:cs="Arial"/>
                <w:b/>
                <w:bCs/>
                <w:color w:val="000000"/>
                <w:sz w:val="24"/>
                <w:szCs w:val="24"/>
              </w:rPr>
              <w:footnoteReference w:customMarkFollows="1" w:id="10"/>
              <w:t>9</w:t>
            </w:r>
          </w:p>
        </w:tc>
        <w:tc>
          <w:tcPr>
            <w:tcW w:w="2055" w:type="dxa"/>
          </w:tcPr>
          <w:p w14:paraId="3EDE4FCA" w14:textId="66407AB1" w:rsidR="00787E70" w:rsidRPr="00E33A55" w:rsidRDefault="00787E70" w:rsidP="00AC5B73">
            <w:pPr>
              <w:jc w:val="right"/>
              <w:rPr>
                <w:rFonts w:cs="Arial"/>
                <w:color w:val="000000"/>
                <w:sz w:val="24"/>
                <w:szCs w:val="24"/>
              </w:rPr>
            </w:pPr>
            <w:r w:rsidRPr="0014112D">
              <w:t>20</w:t>
            </w:r>
          </w:p>
        </w:tc>
        <w:tc>
          <w:tcPr>
            <w:tcW w:w="2055" w:type="dxa"/>
          </w:tcPr>
          <w:p w14:paraId="71A7DF12" w14:textId="3A3216AA" w:rsidR="00787E70" w:rsidRPr="00E33A55" w:rsidRDefault="00787E70" w:rsidP="00AC5B73">
            <w:pPr>
              <w:jc w:val="right"/>
              <w:rPr>
                <w:rFonts w:cs="Arial"/>
                <w:color w:val="000000"/>
                <w:sz w:val="24"/>
                <w:szCs w:val="24"/>
              </w:rPr>
            </w:pPr>
            <w:r w:rsidRPr="0014112D">
              <w:t>7.7%</w:t>
            </w:r>
          </w:p>
        </w:tc>
        <w:tc>
          <w:tcPr>
            <w:tcW w:w="2055" w:type="dxa"/>
            <w:vAlign w:val="bottom"/>
          </w:tcPr>
          <w:p w14:paraId="5025A03C" w14:textId="7B832E17" w:rsidR="00787E70" w:rsidRPr="00E33A55" w:rsidRDefault="00787E70" w:rsidP="00AC5B73">
            <w:pPr>
              <w:jc w:val="right"/>
              <w:rPr>
                <w:rFonts w:cs="Arial"/>
                <w:color w:val="000000"/>
                <w:sz w:val="24"/>
                <w:szCs w:val="24"/>
              </w:rPr>
            </w:pPr>
            <w:r>
              <w:rPr>
                <w:rFonts w:cs="Arial"/>
                <w:color w:val="000000"/>
                <w:sz w:val="24"/>
                <w:szCs w:val="24"/>
              </w:rPr>
              <w:t>110</w:t>
            </w:r>
          </w:p>
        </w:tc>
        <w:tc>
          <w:tcPr>
            <w:tcW w:w="2056" w:type="dxa"/>
            <w:vAlign w:val="bottom"/>
          </w:tcPr>
          <w:p w14:paraId="4E8110D0" w14:textId="1DAEE795" w:rsidR="00787E70" w:rsidRPr="00E33A55" w:rsidRDefault="00787E70" w:rsidP="00AC5B73">
            <w:pPr>
              <w:jc w:val="right"/>
              <w:rPr>
                <w:rFonts w:cs="Arial"/>
                <w:color w:val="000000"/>
                <w:sz w:val="24"/>
                <w:szCs w:val="24"/>
              </w:rPr>
            </w:pPr>
            <w:r>
              <w:rPr>
                <w:rFonts w:cs="Arial"/>
                <w:color w:val="000000"/>
                <w:sz w:val="24"/>
                <w:szCs w:val="24"/>
              </w:rPr>
              <w:t>5.2%</w:t>
            </w:r>
          </w:p>
        </w:tc>
      </w:tr>
      <w:tr w:rsidR="00787E70" w:rsidRPr="00E33A55" w14:paraId="3E23D0E5" w14:textId="77777777" w:rsidTr="00787E70">
        <w:tc>
          <w:tcPr>
            <w:tcW w:w="2660" w:type="dxa"/>
          </w:tcPr>
          <w:p w14:paraId="33ABADEA" w14:textId="3BB4461F" w:rsidR="00787E70" w:rsidRPr="00E33A55" w:rsidRDefault="00787E70" w:rsidP="00AC5B73">
            <w:pPr>
              <w:rPr>
                <w:rFonts w:cs="Arial"/>
                <w:b/>
                <w:bCs/>
                <w:color w:val="000000"/>
                <w:sz w:val="24"/>
                <w:szCs w:val="24"/>
              </w:rPr>
            </w:pPr>
            <w:r w:rsidRPr="0014112D">
              <w:t>Grand Total</w:t>
            </w:r>
          </w:p>
        </w:tc>
        <w:tc>
          <w:tcPr>
            <w:tcW w:w="2055" w:type="dxa"/>
          </w:tcPr>
          <w:p w14:paraId="5C3BBBC1" w14:textId="3876B309" w:rsidR="00787E70" w:rsidRPr="00E33A55" w:rsidRDefault="00787E70" w:rsidP="00AC5B73">
            <w:pPr>
              <w:jc w:val="right"/>
              <w:rPr>
                <w:rFonts w:cs="Arial"/>
                <w:color w:val="000000"/>
                <w:sz w:val="24"/>
                <w:szCs w:val="24"/>
              </w:rPr>
            </w:pPr>
            <w:r w:rsidRPr="0014112D">
              <w:t>259</w:t>
            </w:r>
          </w:p>
        </w:tc>
        <w:tc>
          <w:tcPr>
            <w:tcW w:w="2055" w:type="dxa"/>
          </w:tcPr>
          <w:p w14:paraId="7A9EBB78" w14:textId="0F19965D" w:rsidR="00787E70" w:rsidRPr="00E33A55" w:rsidRDefault="00787E70" w:rsidP="00AC5B73">
            <w:pPr>
              <w:jc w:val="right"/>
              <w:rPr>
                <w:rFonts w:cs="Arial"/>
                <w:color w:val="000000"/>
                <w:sz w:val="24"/>
                <w:szCs w:val="24"/>
              </w:rPr>
            </w:pPr>
            <w:r w:rsidRPr="0014112D">
              <w:t>100.0%</w:t>
            </w:r>
          </w:p>
        </w:tc>
        <w:tc>
          <w:tcPr>
            <w:tcW w:w="2055" w:type="dxa"/>
            <w:vAlign w:val="bottom"/>
          </w:tcPr>
          <w:p w14:paraId="368ADB10" w14:textId="0DEF5B95" w:rsidR="00787E70" w:rsidRPr="00E33A55" w:rsidRDefault="00787E70" w:rsidP="00AC5B73">
            <w:pPr>
              <w:jc w:val="right"/>
              <w:rPr>
                <w:rFonts w:cs="Arial"/>
                <w:color w:val="000000"/>
                <w:sz w:val="24"/>
                <w:szCs w:val="24"/>
              </w:rPr>
            </w:pPr>
            <w:r>
              <w:rPr>
                <w:rFonts w:cs="Arial"/>
                <w:color w:val="000000"/>
                <w:sz w:val="24"/>
                <w:szCs w:val="24"/>
              </w:rPr>
              <w:t>2134</w:t>
            </w:r>
          </w:p>
        </w:tc>
        <w:tc>
          <w:tcPr>
            <w:tcW w:w="2056" w:type="dxa"/>
            <w:vAlign w:val="bottom"/>
          </w:tcPr>
          <w:p w14:paraId="0802C105" w14:textId="77777777" w:rsidR="00787E70" w:rsidRPr="00E33A55" w:rsidRDefault="00787E70" w:rsidP="00AC5B73">
            <w:pPr>
              <w:jc w:val="right"/>
              <w:rPr>
                <w:rFonts w:cs="Arial"/>
                <w:color w:val="000000"/>
                <w:sz w:val="24"/>
                <w:szCs w:val="24"/>
              </w:rPr>
            </w:pPr>
            <w:r w:rsidRPr="00E33A55">
              <w:rPr>
                <w:rFonts w:cs="Arial"/>
                <w:color w:val="000000"/>
                <w:sz w:val="24"/>
                <w:szCs w:val="24"/>
              </w:rPr>
              <w:t>100.0%</w:t>
            </w:r>
          </w:p>
        </w:tc>
      </w:tr>
    </w:tbl>
    <w:p w14:paraId="3A193F27" w14:textId="77777777" w:rsidR="00787E70" w:rsidRDefault="00787E70" w:rsidP="00AC5B73">
      <w:bookmarkStart w:id="112" w:name="_Toc76025130"/>
    </w:p>
    <w:p w14:paraId="43BD3369" w14:textId="77777777" w:rsidR="00462B15" w:rsidRDefault="00462B15" w:rsidP="00AC5B73">
      <w:pPr>
        <w:spacing w:after="200" w:line="276" w:lineRule="auto"/>
        <w:rPr>
          <w:rFonts w:eastAsiaTheme="majorEastAsia" w:cs="Arial"/>
          <w:b/>
          <w:bCs/>
          <w:sz w:val="28"/>
          <w:szCs w:val="26"/>
        </w:rPr>
      </w:pPr>
      <w:r>
        <w:rPr>
          <w:rFonts w:cs="Arial"/>
        </w:rPr>
        <w:br w:type="page"/>
      </w:r>
    </w:p>
    <w:p w14:paraId="2F555A63" w14:textId="5234841D" w:rsidR="00C06EE9" w:rsidRPr="00F825B7" w:rsidRDefault="00C06EE9" w:rsidP="00AC5B73">
      <w:pPr>
        <w:pStyle w:val="Heading2"/>
        <w:rPr>
          <w:rFonts w:cs="Arial"/>
        </w:rPr>
      </w:pPr>
      <w:bookmarkStart w:id="113" w:name="_Toc108076930"/>
      <w:r w:rsidRPr="00F825B7">
        <w:rPr>
          <w:rFonts w:cs="Arial"/>
        </w:rPr>
        <w:lastRenderedPageBreak/>
        <w:t>Disability</w:t>
      </w:r>
      <w:bookmarkEnd w:id="112"/>
      <w:bookmarkEnd w:id="113"/>
    </w:p>
    <w:p w14:paraId="7879653F" w14:textId="2971E9E9" w:rsidR="00C966A7" w:rsidRPr="0096798A" w:rsidRDefault="00E52910" w:rsidP="00AC5B73">
      <w:pPr>
        <w:rPr>
          <w:rFonts w:cs="Arial"/>
          <w:szCs w:val="24"/>
        </w:rPr>
      </w:pPr>
      <w:r>
        <w:rPr>
          <w:rFonts w:cs="Arial"/>
          <w:szCs w:val="24"/>
        </w:rPr>
        <w:t>NHS GJ</w:t>
      </w:r>
      <w:r w:rsidR="00341719" w:rsidRPr="0096798A">
        <w:rPr>
          <w:rFonts w:cs="Arial"/>
          <w:szCs w:val="24"/>
        </w:rPr>
        <w:t xml:space="preserve"> achieved Disability Confident Leader status and was the first NHS Board in Scotland to achieve this status.</w:t>
      </w:r>
      <w:r w:rsidR="00901CC7" w:rsidRPr="0096798A">
        <w:rPr>
          <w:rFonts w:cs="Arial"/>
          <w:szCs w:val="24"/>
        </w:rPr>
        <w:t xml:space="preserve"> </w:t>
      </w:r>
      <w:r w:rsidR="00341719" w:rsidRPr="0096798A">
        <w:rPr>
          <w:rFonts w:cs="Arial"/>
          <w:szCs w:val="24"/>
        </w:rPr>
        <w:t>Since that time, we have been supporting other NHS Boards to work towards becoming Disability Confident Leaders which is one of the criteria for maintaining that status.</w:t>
      </w:r>
      <w:r w:rsidR="00901CC7" w:rsidRPr="0096798A">
        <w:rPr>
          <w:rFonts w:cs="Arial"/>
          <w:szCs w:val="24"/>
        </w:rPr>
        <w:t xml:space="preserve"> </w:t>
      </w:r>
      <w:r w:rsidR="00341719" w:rsidRPr="0096798A">
        <w:rPr>
          <w:rFonts w:cs="Arial"/>
          <w:szCs w:val="24"/>
        </w:rPr>
        <w:t>This level is reviewed every 3 years.</w:t>
      </w:r>
    </w:p>
    <w:p w14:paraId="642E278F" w14:textId="77777777" w:rsidR="00341719" w:rsidRPr="0096798A" w:rsidRDefault="00341719" w:rsidP="00AC5B73">
      <w:pPr>
        <w:rPr>
          <w:rFonts w:cs="Arial"/>
          <w:szCs w:val="24"/>
        </w:rPr>
      </w:pPr>
    </w:p>
    <w:p w14:paraId="59B07496" w14:textId="77777777" w:rsidR="00C966A7" w:rsidRPr="0096798A" w:rsidRDefault="00C966A7" w:rsidP="00AC5B73">
      <w:pPr>
        <w:rPr>
          <w:rFonts w:cs="Arial"/>
          <w:szCs w:val="24"/>
        </w:rPr>
      </w:pPr>
      <w:r w:rsidRPr="0096798A">
        <w:rPr>
          <w:rFonts w:cs="Arial"/>
          <w:szCs w:val="24"/>
        </w:rPr>
        <w:t>Disability Confident aims to help businesses to employ and retain disabled people and those with health conditions.</w:t>
      </w:r>
      <w:r w:rsidR="00901CC7" w:rsidRPr="0096798A">
        <w:rPr>
          <w:rFonts w:cs="Arial"/>
          <w:szCs w:val="24"/>
        </w:rPr>
        <w:t xml:space="preserve"> </w:t>
      </w:r>
      <w:r w:rsidRPr="0096798A">
        <w:rPr>
          <w:rFonts w:cs="Arial"/>
          <w:szCs w:val="24"/>
        </w:rPr>
        <w:t>The scheme was developed by employers and disabled people’s representatives to make it rigorous but easily accessible.</w:t>
      </w:r>
      <w:r w:rsidR="00901CC7" w:rsidRPr="0096798A">
        <w:rPr>
          <w:rFonts w:cs="Arial"/>
          <w:szCs w:val="24"/>
        </w:rPr>
        <w:t xml:space="preserve"> </w:t>
      </w:r>
      <w:r w:rsidRPr="0096798A">
        <w:rPr>
          <w:rFonts w:cs="Arial"/>
          <w:szCs w:val="24"/>
        </w:rPr>
        <w:t>The scheme is voluntary and access to guidance, self-assessments and resources is completely free.</w:t>
      </w:r>
    </w:p>
    <w:p w14:paraId="61757DF3" w14:textId="77777777" w:rsidR="00C966A7" w:rsidRPr="0096798A" w:rsidRDefault="00C966A7" w:rsidP="00AC5B73">
      <w:pPr>
        <w:rPr>
          <w:rFonts w:cs="Arial"/>
          <w:szCs w:val="24"/>
        </w:rPr>
      </w:pPr>
    </w:p>
    <w:p w14:paraId="736DBCD9" w14:textId="77777777" w:rsidR="00C966A7" w:rsidRPr="0096798A" w:rsidRDefault="00C966A7" w:rsidP="00AC5B73">
      <w:pPr>
        <w:rPr>
          <w:rFonts w:cs="Arial"/>
          <w:szCs w:val="24"/>
        </w:rPr>
      </w:pPr>
      <w:r w:rsidRPr="0096798A">
        <w:rPr>
          <w:rFonts w:cs="Arial"/>
          <w:szCs w:val="24"/>
        </w:rPr>
        <w:t>Through “Disability Confident” the UK Government will work with employers to fulfil these aims and objectives:</w:t>
      </w:r>
    </w:p>
    <w:p w14:paraId="53F2CE69" w14:textId="77777777" w:rsidR="00C966A7" w:rsidRPr="0096798A" w:rsidRDefault="00C966A7" w:rsidP="00AC5B73">
      <w:pPr>
        <w:pStyle w:val="ListParagraph"/>
        <w:numPr>
          <w:ilvl w:val="0"/>
          <w:numId w:val="3"/>
        </w:numPr>
        <w:rPr>
          <w:rFonts w:cs="Arial"/>
          <w:szCs w:val="24"/>
        </w:rPr>
      </w:pPr>
      <w:r w:rsidRPr="0096798A">
        <w:rPr>
          <w:rFonts w:cs="Arial"/>
          <w:szCs w:val="24"/>
        </w:rPr>
        <w:t>challenge attitudes towards disability;</w:t>
      </w:r>
    </w:p>
    <w:p w14:paraId="24E57C78" w14:textId="77777777" w:rsidR="00C966A7" w:rsidRPr="0096798A" w:rsidRDefault="00C966A7" w:rsidP="00AC5B73">
      <w:pPr>
        <w:pStyle w:val="ListParagraph"/>
        <w:numPr>
          <w:ilvl w:val="0"/>
          <w:numId w:val="3"/>
        </w:numPr>
        <w:rPr>
          <w:rFonts w:cs="Arial"/>
          <w:szCs w:val="24"/>
        </w:rPr>
      </w:pPr>
      <w:r w:rsidRPr="0096798A">
        <w:rPr>
          <w:rFonts w:cs="Arial"/>
          <w:szCs w:val="24"/>
        </w:rPr>
        <w:t>increase understanding of disability;</w:t>
      </w:r>
    </w:p>
    <w:p w14:paraId="12E4D7C5" w14:textId="77777777" w:rsidR="00C966A7" w:rsidRPr="0096798A" w:rsidRDefault="00C966A7" w:rsidP="00AC5B73">
      <w:pPr>
        <w:pStyle w:val="ListParagraph"/>
        <w:numPr>
          <w:ilvl w:val="0"/>
          <w:numId w:val="3"/>
        </w:numPr>
        <w:rPr>
          <w:rFonts w:cs="Arial"/>
          <w:szCs w:val="24"/>
        </w:rPr>
      </w:pPr>
      <w:r w:rsidRPr="0096798A">
        <w:rPr>
          <w:rFonts w:cs="Arial"/>
          <w:szCs w:val="24"/>
        </w:rPr>
        <w:t>remove barriers to disabled people and those with long term health conditions in employment; and</w:t>
      </w:r>
    </w:p>
    <w:p w14:paraId="703661AD" w14:textId="77777777" w:rsidR="00C966A7" w:rsidRPr="0096798A" w:rsidRDefault="00C966A7" w:rsidP="00AC5B73">
      <w:pPr>
        <w:pStyle w:val="ListParagraph"/>
        <w:numPr>
          <w:ilvl w:val="0"/>
          <w:numId w:val="3"/>
        </w:numPr>
        <w:rPr>
          <w:rFonts w:cs="Arial"/>
          <w:szCs w:val="24"/>
        </w:rPr>
      </w:pPr>
      <w:r w:rsidRPr="0096798A">
        <w:rPr>
          <w:rFonts w:cs="Arial"/>
          <w:szCs w:val="24"/>
        </w:rPr>
        <w:t>ensure that disabled people have the opportunities to fulfil their potential and realise their aspirations.</w:t>
      </w:r>
    </w:p>
    <w:p w14:paraId="714E2421" w14:textId="77777777" w:rsidR="00C966A7" w:rsidRPr="0096798A" w:rsidRDefault="00C966A7" w:rsidP="00AC5B73">
      <w:pPr>
        <w:rPr>
          <w:rFonts w:cs="Arial"/>
          <w:szCs w:val="24"/>
        </w:rPr>
      </w:pPr>
    </w:p>
    <w:p w14:paraId="5DCCF09C" w14:textId="57EE582D" w:rsidR="00C966A7" w:rsidRDefault="00C966A7" w:rsidP="00AC5B73">
      <w:pPr>
        <w:rPr>
          <w:rFonts w:cs="Arial"/>
          <w:szCs w:val="24"/>
        </w:rPr>
      </w:pPr>
      <w:r w:rsidRPr="0096798A">
        <w:rPr>
          <w:rFonts w:cs="Arial"/>
          <w:szCs w:val="24"/>
        </w:rPr>
        <w:t>Further information on “Disabi</w:t>
      </w:r>
      <w:r w:rsidR="007A628C" w:rsidRPr="0096798A">
        <w:rPr>
          <w:rFonts w:cs="Arial"/>
          <w:szCs w:val="24"/>
        </w:rPr>
        <w:t xml:space="preserve">lity Confident” can be found at: </w:t>
      </w:r>
      <w:hyperlink r:id="rId77" w:history="1">
        <w:r w:rsidRPr="0096798A">
          <w:rPr>
            <w:rStyle w:val="Hyperlink"/>
            <w:rFonts w:cs="Arial"/>
            <w:szCs w:val="24"/>
          </w:rPr>
          <w:t>https://www.gov.uk/government/collections/disability-confident-campaign</w:t>
        </w:r>
      </w:hyperlink>
      <w:r w:rsidRPr="0096798A">
        <w:rPr>
          <w:rFonts w:cs="Arial"/>
          <w:szCs w:val="24"/>
        </w:rPr>
        <w:t>.</w:t>
      </w:r>
    </w:p>
    <w:p w14:paraId="004644BF" w14:textId="77777777" w:rsidR="00D35273" w:rsidRDefault="00D35273" w:rsidP="00AC5B73">
      <w:pPr>
        <w:rPr>
          <w:rFonts w:cs="Arial"/>
          <w:szCs w:val="24"/>
        </w:rPr>
      </w:pPr>
    </w:p>
    <w:p w14:paraId="6DB9950E" w14:textId="0BE58C5B" w:rsidR="00D35273" w:rsidRDefault="00D35273" w:rsidP="00AC5B73">
      <w:pPr>
        <w:pStyle w:val="Heading3"/>
      </w:pPr>
      <w:bookmarkStart w:id="114" w:name="_Toc108076931"/>
      <w:r>
        <w:t>Definitions</w:t>
      </w:r>
      <w:bookmarkEnd w:id="114"/>
    </w:p>
    <w:p w14:paraId="1109F1A5" w14:textId="26509EB3" w:rsidR="00D35273" w:rsidRPr="0096798A" w:rsidRDefault="00D35273" w:rsidP="00AC5B73">
      <w:pPr>
        <w:rPr>
          <w:rFonts w:cs="Arial"/>
          <w:szCs w:val="24"/>
        </w:rPr>
      </w:pPr>
      <w:r>
        <w:rPr>
          <w:rFonts w:cs="Arial"/>
          <w:szCs w:val="24"/>
        </w:rPr>
        <w:t>Staff have the ability to self-identify as disabled and report on their disability or disabilities, using the staff engagement form when they begin employment, and eESS once they have started employment.  We do not ask staff to disclose details of any disability they may identify.</w:t>
      </w:r>
    </w:p>
    <w:p w14:paraId="1A377CCC" w14:textId="77777777" w:rsidR="002035C6" w:rsidRPr="0096798A" w:rsidRDefault="002035C6" w:rsidP="00AC5B73">
      <w:pPr>
        <w:rPr>
          <w:rFonts w:cs="Arial"/>
          <w:szCs w:val="24"/>
        </w:rPr>
      </w:pPr>
    </w:p>
    <w:p w14:paraId="5DBB55B4" w14:textId="77777777" w:rsidR="00C06EE9" w:rsidRPr="0096798A" w:rsidRDefault="003552A9" w:rsidP="00AC5B73">
      <w:pPr>
        <w:pStyle w:val="Heading3"/>
      </w:pPr>
      <w:bookmarkStart w:id="115" w:name="_Toc76025131"/>
      <w:bookmarkStart w:id="116" w:name="_Toc108076932"/>
      <w:r w:rsidRPr="0096798A">
        <w:t>Workforce Breakdown</w:t>
      </w:r>
      <w:bookmarkEnd w:id="115"/>
      <w:bookmarkEnd w:id="116"/>
    </w:p>
    <w:p w14:paraId="76D3D20C" w14:textId="2376A978" w:rsidR="00820EA1" w:rsidRDefault="00152B21" w:rsidP="00AC5B73">
      <w:pPr>
        <w:rPr>
          <w:rFonts w:cs="Arial"/>
          <w:szCs w:val="24"/>
        </w:rPr>
      </w:pPr>
      <w:r w:rsidRPr="0096798A">
        <w:rPr>
          <w:rFonts w:cs="Arial"/>
          <w:szCs w:val="24"/>
        </w:rPr>
        <w:t>A large</w:t>
      </w:r>
      <w:r w:rsidR="00F82A08" w:rsidRPr="0096798A">
        <w:rPr>
          <w:rFonts w:cs="Arial"/>
          <w:szCs w:val="24"/>
        </w:rPr>
        <w:t xml:space="preserve"> majority of our workforce continues to identify themselves as having “No disability”, with t</w:t>
      </w:r>
      <w:r w:rsidR="007A628C" w:rsidRPr="0096798A">
        <w:rPr>
          <w:rFonts w:cs="Arial"/>
          <w:szCs w:val="24"/>
        </w:rPr>
        <w:t xml:space="preserve">he proportion </w:t>
      </w:r>
      <w:r w:rsidR="00594058" w:rsidRPr="0096798A">
        <w:rPr>
          <w:rFonts w:cs="Arial"/>
          <w:szCs w:val="24"/>
        </w:rPr>
        <w:t>very similar</w:t>
      </w:r>
      <w:r w:rsidR="00192CD2" w:rsidRPr="0096798A">
        <w:rPr>
          <w:rFonts w:cs="Arial"/>
          <w:szCs w:val="24"/>
        </w:rPr>
        <w:t xml:space="preserve"> in both March 2</w:t>
      </w:r>
      <w:r w:rsidR="00E24A82">
        <w:rPr>
          <w:rFonts w:cs="Arial"/>
          <w:szCs w:val="24"/>
        </w:rPr>
        <w:t>013 (83.2%) and March 2022 (85.6</w:t>
      </w:r>
      <w:r w:rsidR="00192CD2" w:rsidRPr="0096798A">
        <w:rPr>
          <w:rFonts w:cs="Arial"/>
          <w:szCs w:val="24"/>
        </w:rPr>
        <w:t>%)</w:t>
      </w:r>
      <w:r w:rsidR="00B33F5A" w:rsidRPr="0096798A">
        <w:rPr>
          <w:rFonts w:cs="Arial"/>
          <w:szCs w:val="24"/>
        </w:rPr>
        <w:t>.</w:t>
      </w:r>
      <w:r w:rsidR="00901CC7" w:rsidRPr="0096798A">
        <w:rPr>
          <w:rFonts w:cs="Arial"/>
          <w:szCs w:val="24"/>
        </w:rPr>
        <w:t xml:space="preserve"> </w:t>
      </w:r>
      <w:r w:rsidR="00F82A08" w:rsidRPr="0096798A">
        <w:rPr>
          <w:rFonts w:cs="Arial"/>
          <w:szCs w:val="24"/>
        </w:rPr>
        <w:t>During this time the proportion of staff that has not provided information on their disability statu</w:t>
      </w:r>
      <w:r w:rsidR="007A628C" w:rsidRPr="0096798A">
        <w:rPr>
          <w:rFonts w:cs="Arial"/>
          <w:szCs w:val="24"/>
        </w:rPr>
        <w:t xml:space="preserve">s </w:t>
      </w:r>
      <w:r w:rsidR="00192CD2" w:rsidRPr="0096798A">
        <w:rPr>
          <w:rFonts w:cs="Arial"/>
          <w:szCs w:val="24"/>
        </w:rPr>
        <w:t>fell</w:t>
      </w:r>
      <w:r w:rsidR="007A628C" w:rsidRPr="0096798A">
        <w:rPr>
          <w:rFonts w:cs="Arial"/>
          <w:szCs w:val="24"/>
        </w:rPr>
        <w:t xml:space="preserve"> steadily </w:t>
      </w:r>
      <w:r w:rsidR="00192CD2" w:rsidRPr="0096798A">
        <w:rPr>
          <w:rFonts w:cs="Arial"/>
          <w:szCs w:val="24"/>
        </w:rPr>
        <w:t>from 14</w:t>
      </w:r>
      <w:r w:rsidR="007A628C" w:rsidRPr="0096798A">
        <w:rPr>
          <w:rFonts w:cs="Arial"/>
          <w:szCs w:val="24"/>
        </w:rPr>
        <w:t>.1</w:t>
      </w:r>
      <w:r w:rsidR="00F82A08" w:rsidRPr="0096798A">
        <w:rPr>
          <w:rFonts w:cs="Arial"/>
          <w:szCs w:val="24"/>
        </w:rPr>
        <w:t>%</w:t>
      </w:r>
      <w:r w:rsidR="00192CD2" w:rsidRPr="0096798A">
        <w:rPr>
          <w:rFonts w:cs="Arial"/>
          <w:szCs w:val="24"/>
        </w:rPr>
        <w:t xml:space="preserve"> in 2013</w:t>
      </w:r>
      <w:r w:rsidR="007A628C" w:rsidRPr="0096798A">
        <w:rPr>
          <w:rFonts w:cs="Arial"/>
          <w:szCs w:val="24"/>
        </w:rPr>
        <w:t xml:space="preserve"> to 11.9</w:t>
      </w:r>
      <w:r w:rsidR="00F82A08" w:rsidRPr="0096798A">
        <w:rPr>
          <w:rFonts w:cs="Arial"/>
          <w:szCs w:val="24"/>
        </w:rPr>
        <w:t>%</w:t>
      </w:r>
      <w:r w:rsidR="00820EA1" w:rsidRPr="0096798A">
        <w:rPr>
          <w:rFonts w:cs="Arial"/>
          <w:szCs w:val="24"/>
        </w:rPr>
        <w:t xml:space="preserve"> in 2018.</w:t>
      </w:r>
      <w:r w:rsidR="00901CC7" w:rsidRPr="0096798A">
        <w:rPr>
          <w:rFonts w:cs="Arial"/>
          <w:szCs w:val="24"/>
        </w:rPr>
        <w:t xml:space="preserve"> </w:t>
      </w:r>
      <w:r w:rsidR="00820EA1" w:rsidRPr="0096798A">
        <w:rPr>
          <w:rFonts w:cs="Arial"/>
          <w:szCs w:val="24"/>
        </w:rPr>
        <w:t>However,</w:t>
      </w:r>
      <w:r w:rsidR="00192CD2" w:rsidRPr="0096798A">
        <w:rPr>
          <w:rFonts w:cs="Arial"/>
          <w:szCs w:val="24"/>
        </w:rPr>
        <w:t xml:space="preserve"> 2019</w:t>
      </w:r>
      <w:r w:rsidR="007A628C" w:rsidRPr="0096798A">
        <w:rPr>
          <w:rFonts w:cs="Arial"/>
          <w:szCs w:val="24"/>
        </w:rPr>
        <w:t xml:space="preserve"> saw it increase to 16.1</w:t>
      </w:r>
      <w:r w:rsidR="00820EA1" w:rsidRPr="0096798A">
        <w:rPr>
          <w:rFonts w:cs="Arial"/>
          <w:szCs w:val="24"/>
        </w:rPr>
        <w:t>%</w:t>
      </w:r>
      <w:r w:rsidR="00E24A82">
        <w:rPr>
          <w:rFonts w:cs="Arial"/>
          <w:szCs w:val="24"/>
        </w:rPr>
        <w:t>, with a fall back to 11.9</w:t>
      </w:r>
      <w:r w:rsidR="00192CD2" w:rsidRPr="0096798A">
        <w:rPr>
          <w:rFonts w:cs="Arial"/>
          <w:szCs w:val="24"/>
        </w:rPr>
        <w:t>% this year</w:t>
      </w:r>
      <w:r w:rsidR="00820EA1" w:rsidRPr="0096798A">
        <w:rPr>
          <w:rFonts w:cs="Arial"/>
          <w:szCs w:val="24"/>
        </w:rPr>
        <w:t>.</w:t>
      </w:r>
    </w:p>
    <w:p w14:paraId="372E19A2" w14:textId="77777777" w:rsidR="00F10B7B" w:rsidRDefault="00F10B7B" w:rsidP="00AC5B73">
      <w:pPr>
        <w:rPr>
          <w:rFonts w:cs="Arial"/>
          <w:szCs w:val="24"/>
        </w:rPr>
      </w:pPr>
    </w:p>
    <w:p w14:paraId="7E9A3EAE" w14:textId="77777777" w:rsidR="00F10B7B" w:rsidRDefault="00F10B7B" w:rsidP="00AC5B73">
      <w:pPr>
        <w:rPr>
          <w:rFonts w:cs="Arial"/>
          <w:szCs w:val="24"/>
        </w:rPr>
      </w:pPr>
      <w:r>
        <w:rPr>
          <w:rFonts w:cs="Arial"/>
          <w:szCs w:val="24"/>
        </w:rPr>
        <w:t>It is noteworthy that the HR system’s questions about disability do not align with best practice.</w:t>
      </w:r>
      <w:r w:rsidR="00DE06B8">
        <w:rPr>
          <w:rFonts w:cs="Arial"/>
          <w:szCs w:val="24"/>
        </w:rPr>
        <w:t xml:space="preserve"> </w:t>
      </w:r>
      <w:r>
        <w:rPr>
          <w:rFonts w:cs="Arial"/>
          <w:szCs w:val="24"/>
        </w:rPr>
        <w:t>In this case, a list of disability categories is not presented to the user unless they first declare that they do have a disability.</w:t>
      </w:r>
      <w:r w:rsidR="00DE06B8">
        <w:rPr>
          <w:rFonts w:cs="Arial"/>
          <w:szCs w:val="24"/>
        </w:rPr>
        <w:t xml:space="preserve"> </w:t>
      </w:r>
      <w:r>
        <w:rPr>
          <w:rFonts w:cs="Arial"/>
          <w:szCs w:val="24"/>
        </w:rPr>
        <w:t>Best practice dictates that the questions “Are you disabled?” is answered by a “Tick all that apply” list, including broad disability categories, along with a “No disability” option.</w:t>
      </w:r>
      <w:r w:rsidR="00DE06B8">
        <w:rPr>
          <w:rFonts w:cs="Arial"/>
          <w:szCs w:val="24"/>
        </w:rPr>
        <w:t xml:space="preserve"> </w:t>
      </w:r>
      <w:r>
        <w:rPr>
          <w:rFonts w:cs="Arial"/>
          <w:szCs w:val="24"/>
        </w:rPr>
        <w:t>This allows a user to recognised any of their disabilities within the list.</w:t>
      </w:r>
    </w:p>
    <w:p w14:paraId="7E638973" w14:textId="54F5D08D" w:rsidR="00F10B7B" w:rsidRDefault="00F10B7B" w:rsidP="00AC5B73">
      <w:pPr>
        <w:rPr>
          <w:rFonts w:cs="Arial"/>
          <w:szCs w:val="24"/>
        </w:rPr>
      </w:pPr>
    </w:p>
    <w:p w14:paraId="754EA642" w14:textId="5154622A" w:rsidR="00E24A82" w:rsidRDefault="00E24A82" w:rsidP="00AC5B73">
      <w:pPr>
        <w:rPr>
          <w:rFonts w:cs="Arial"/>
          <w:szCs w:val="24"/>
        </w:rPr>
      </w:pPr>
      <w:r>
        <w:rPr>
          <w:noProof/>
          <w:lang w:eastAsia="en-GB"/>
        </w:rPr>
        <w:lastRenderedPageBreak/>
        <w:drawing>
          <wp:inline distT="0" distB="0" distL="0" distR="0" wp14:anchorId="2D46C8B0" wp14:editId="38ED5F26">
            <wp:extent cx="6840000" cy="2160000"/>
            <wp:effectExtent l="0" t="0" r="18415" b="12065"/>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14:paraId="61D0E834" w14:textId="1F217B20" w:rsidR="00F10B7B" w:rsidRDefault="00F10B7B" w:rsidP="00AC5B73">
      <w:pPr>
        <w:rPr>
          <w:rFonts w:cs="Arial"/>
          <w:szCs w:val="24"/>
        </w:rPr>
      </w:pPr>
    </w:p>
    <w:p w14:paraId="26690323" w14:textId="55DD126D" w:rsidR="0072544F" w:rsidRPr="0096798A" w:rsidRDefault="0072544F" w:rsidP="00AC5B73">
      <w:pPr>
        <w:rPr>
          <w:rFonts w:cs="Arial"/>
          <w:szCs w:val="24"/>
        </w:rPr>
      </w:pPr>
      <w:r w:rsidRPr="0096798A">
        <w:rPr>
          <w:rFonts w:cs="Arial"/>
          <w:szCs w:val="24"/>
        </w:rPr>
        <w:t>The proportion of staff members who identify themselves as “Disabled” has remained relatively steady over the</w:t>
      </w:r>
      <w:r w:rsidR="007A628C" w:rsidRPr="0096798A">
        <w:rPr>
          <w:rFonts w:cs="Arial"/>
          <w:szCs w:val="24"/>
        </w:rPr>
        <w:t xml:space="preserve"> same time perio</w:t>
      </w:r>
      <w:r w:rsidR="0088223B" w:rsidRPr="0096798A">
        <w:rPr>
          <w:rFonts w:cs="Arial"/>
          <w:szCs w:val="24"/>
        </w:rPr>
        <w:t xml:space="preserve">d at around 1.0%, </w:t>
      </w:r>
      <w:r w:rsidR="00E24A82">
        <w:rPr>
          <w:rFonts w:cs="Arial"/>
          <w:szCs w:val="24"/>
        </w:rPr>
        <w:t>and</w:t>
      </w:r>
      <w:r w:rsidR="0088223B" w:rsidRPr="0096798A">
        <w:rPr>
          <w:rFonts w:cs="Arial"/>
          <w:szCs w:val="24"/>
        </w:rPr>
        <w:t xml:space="preserve"> this year</w:t>
      </w:r>
      <w:r w:rsidR="00594058" w:rsidRPr="0096798A">
        <w:rPr>
          <w:rFonts w:cs="Arial"/>
          <w:szCs w:val="24"/>
        </w:rPr>
        <w:t xml:space="preserve"> it</w:t>
      </w:r>
      <w:r w:rsidR="0088223B" w:rsidRPr="0096798A">
        <w:rPr>
          <w:rFonts w:cs="Arial"/>
          <w:szCs w:val="24"/>
        </w:rPr>
        <w:t xml:space="preserve"> </w:t>
      </w:r>
      <w:r w:rsidR="00E24A82">
        <w:rPr>
          <w:rFonts w:cs="Arial"/>
          <w:szCs w:val="24"/>
        </w:rPr>
        <w:t>stood at 1.1</w:t>
      </w:r>
      <w:r w:rsidR="007A628C" w:rsidRPr="0096798A">
        <w:rPr>
          <w:rFonts w:cs="Arial"/>
          <w:szCs w:val="24"/>
        </w:rPr>
        <w:t>%, a fall from 1.7</w:t>
      </w:r>
      <w:r w:rsidRPr="0096798A">
        <w:rPr>
          <w:rFonts w:cs="Arial"/>
          <w:szCs w:val="24"/>
        </w:rPr>
        <w:t xml:space="preserve">% </w:t>
      </w:r>
      <w:r w:rsidR="0088223B" w:rsidRPr="0096798A">
        <w:rPr>
          <w:rFonts w:cs="Arial"/>
          <w:szCs w:val="24"/>
        </w:rPr>
        <w:t>in 2018.</w:t>
      </w:r>
      <w:r w:rsidR="00901CC7" w:rsidRPr="0096798A">
        <w:rPr>
          <w:rFonts w:cs="Arial"/>
          <w:szCs w:val="24"/>
        </w:rPr>
        <w:t xml:space="preserve"> </w:t>
      </w:r>
      <w:r w:rsidRPr="0096798A">
        <w:rPr>
          <w:rFonts w:cs="Arial"/>
          <w:szCs w:val="24"/>
        </w:rPr>
        <w:t>While the proportion of staff who declare they have a disability is low in comparison to the general population: 32% of all adults in Scotland (</w:t>
      </w:r>
      <w:hyperlink r:id="rId79" w:history="1">
        <w:r w:rsidRPr="0096798A">
          <w:rPr>
            <w:rStyle w:val="Hyperlink"/>
            <w:rFonts w:cs="Arial"/>
            <w:szCs w:val="24"/>
          </w:rPr>
          <w:t>Scottish Health Survey 2017</w:t>
        </w:r>
      </w:hyperlink>
      <w:r w:rsidRPr="0096798A">
        <w:rPr>
          <w:rFonts w:cs="Arial"/>
          <w:szCs w:val="24"/>
        </w:rPr>
        <w:t>), this is repeated across B</w:t>
      </w:r>
      <w:r w:rsidR="00E24A82">
        <w:rPr>
          <w:rFonts w:cs="Arial"/>
          <w:szCs w:val="24"/>
        </w:rPr>
        <w:t>oards in NHS Scotland, where 1.2</w:t>
      </w:r>
      <w:r w:rsidRPr="0096798A">
        <w:rPr>
          <w:rFonts w:cs="Arial"/>
          <w:szCs w:val="24"/>
        </w:rPr>
        <w:t xml:space="preserve">% identified themselves as disabled as at 31 March </w:t>
      </w:r>
      <w:r w:rsidR="00E24A82">
        <w:rPr>
          <w:rFonts w:cs="Arial"/>
          <w:szCs w:val="24"/>
        </w:rPr>
        <w:t>2022</w:t>
      </w:r>
      <w:r w:rsidRPr="0096798A">
        <w:rPr>
          <w:rFonts w:cs="Arial"/>
          <w:szCs w:val="24"/>
        </w:rPr>
        <w:t xml:space="preserve"> (</w:t>
      </w:r>
      <w:hyperlink r:id="rId80" w:history="1">
        <w:r w:rsidR="00E24A82" w:rsidRPr="00331C97">
          <w:rPr>
            <w:rStyle w:val="Hyperlink"/>
            <w:rFonts w:cs="Arial"/>
            <w:szCs w:val="24"/>
          </w:rPr>
          <w:t>NHS Scotland Workforce Statistics release as at 31 March 2022</w:t>
        </w:r>
      </w:hyperlink>
      <w:r w:rsidR="00E20E0D">
        <w:rPr>
          <w:rFonts w:cs="Arial"/>
          <w:szCs w:val="24"/>
        </w:rPr>
        <w:t>), wi</w:t>
      </w:r>
      <w:r w:rsidR="00E24A82">
        <w:rPr>
          <w:rFonts w:cs="Arial"/>
          <w:szCs w:val="24"/>
        </w:rPr>
        <w:t>th a notable exception in NHS24, where 9.5% of the workforce declared a disability.</w:t>
      </w:r>
    </w:p>
    <w:p w14:paraId="25AA0CF0" w14:textId="77777777" w:rsidR="00137C96" w:rsidRPr="0096798A" w:rsidRDefault="00137C96" w:rsidP="00AC5B73">
      <w:pPr>
        <w:rPr>
          <w:rFonts w:cs="Arial"/>
          <w:szCs w:val="24"/>
        </w:rPr>
      </w:pPr>
    </w:p>
    <w:p w14:paraId="07BF2803" w14:textId="77777777" w:rsidR="00137C96" w:rsidRPr="00F825B7" w:rsidRDefault="00137C96" w:rsidP="00AC5B73">
      <w:pPr>
        <w:rPr>
          <w:rFonts w:cs="Arial"/>
          <w:szCs w:val="24"/>
        </w:rPr>
      </w:pPr>
      <w:r w:rsidRPr="0096798A">
        <w:rPr>
          <w:rFonts w:cs="Arial"/>
          <w:szCs w:val="24"/>
        </w:rPr>
        <w:t>It should be noted that some disabilities may arise during the course of employment, so unless staff are regularly surveyed we may never capture that change in information.</w:t>
      </w:r>
      <w:r w:rsidR="00901CC7" w:rsidRPr="0096798A">
        <w:rPr>
          <w:rFonts w:cs="Arial"/>
          <w:szCs w:val="24"/>
        </w:rPr>
        <w:t xml:space="preserve"> </w:t>
      </w:r>
      <w:r w:rsidRPr="0096798A">
        <w:rPr>
          <w:rFonts w:cs="Arial"/>
          <w:szCs w:val="24"/>
        </w:rPr>
        <w:t>The HR system allows members of staff to make changes to their self-identified protected characteristics at any time, including their disability status.</w:t>
      </w:r>
      <w:r w:rsidR="00DE06B8">
        <w:rPr>
          <w:rFonts w:cs="Arial"/>
          <w:szCs w:val="24"/>
        </w:rPr>
        <w:t xml:space="preserve"> </w:t>
      </w:r>
      <w:r w:rsidR="00E20E0D">
        <w:rPr>
          <w:rFonts w:cs="Arial"/>
          <w:szCs w:val="24"/>
        </w:rPr>
        <w:t>However, as previously noted, this question is not asked in line with best practice.</w:t>
      </w:r>
    </w:p>
    <w:p w14:paraId="4B6E9FE1" w14:textId="71520968" w:rsidR="0072544F" w:rsidRDefault="0072544F" w:rsidP="00AC5B73">
      <w:pPr>
        <w:rPr>
          <w:rFonts w:cs="Arial"/>
          <w:szCs w:val="24"/>
        </w:rPr>
      </w:pPr>
    </w:p>
    <w:p w14:paraId="733FDF67" w14:textId="7310A099" w:rsidR="00D35273" w:rsidRDefault="00D35273" w:rsidP="00AC5B73">
      <w:pPr>
        <w:pStyle w:val="Heading3"/>
      </w:pPr>
      <w:bookmarkStart w:id="117" w:name="_Toc108076933"/>
      <w:r>
        <w:t>Pay Gap</w:t>
      </w:r>
      <w:bookmarkEnd w:id="117"/>
    </w:p>
    <w:p w14:paraId="2C26273A" w14:textId="53998AA0" w:rsidR="00D734CF" w:rsidRDefault="00D734CF" w:rsidP="00AC5B73">
      <w:pPr>
        <w:rPr>
          <w:rFonts w:cs="Arial"/>
          <w:szCs w:val="24"/>
        </w:rPr>
      </w:pPr>
      <w:r>
        <w:rPr>
          <w:rFonts w:cs="Arial"/>
          <w:szCs w:val="24"/>
        </w:rPr>
        <w:t>The pay gap between disabled and non-disabled staff has also been calculated for this year’s pay gap analysis.  However, due to the relatively low rate of disability disclosure, this analysis is an overall pay gap analysis only.  There is no median pay gap between disabled and non-disabled staff.  The mean pay gap is £0.23 (1.22%), with non-disabled staff earning slightly more than their disabled colleagues.  The inclusion of both median and mean pay gaps highlights the skew in the pay distributions.  The small difference between the median and mean pay gaps indicates that the pay of non-disabled staff has a wider tail (is less skewed) than their disabled colleagues.</w:t>
      </w:r>
    </w:p>
    <w:p w14:paraId="69C9A648" w14:textId="5DF199FD" w:rsidR="00D35273" w:rsidRPr="00F825B7" w:rsidRDefault="00D35273" w:rsidP="00AC5B73">
      <w:pPr>
        <w:rPr>
          <w:rFonts w:cs="Arial"/>
          <w:szCs w:val="24"/>
        </w:rPr>
      </w:pPr>
    </w:p>
    <w:p w14:paraId="6DF85BB1" w14:textId="77777777" w:rsidR="003552A9" w:rsidRPr="00ED7FFA" w:rsidRDefault="003552A9" w:rsidP="00AC5B73">
      <w:pPr>
        <w:pStyle w:val="Heading3"/>
      </w:pPr>
      <w:bookmarkStart w:id="118" w:name="_Toc76025132"/>
      <w:bookmarkStart w:id="119" w:name="_Toc108076934"/>
      <w:r w:rsidRPr="00ED7FFA">
        <w:t>Recruitment Activity</w:t>
      </w:r>
      <w:bookmarkEnd w:id="118"/>
      <w:bookmarkEnd w:id="119"/>
    </w:p>
    <w:p w14:paraId="20A856BA" w14:textId="2BF0E421" w:rsidR="00CD51A5" w:rsidRDefault="00CD51A5" w:rsidP="00AC5B73">
      <w:pPr>
        <w:rPr>
          <w:rFonts w:cs="Arial"/>
          <w:szCs w:val="24"/>
        </w:rPr>
      </w:pPr>
      <w:r>
        <w:rPr>
          <w:rFonts w:cs="Arial"/>
          <w:szCs w:val="24"/>
        </w:rPr>
        <w:t>We are unable to provide a breakdown disability status of applicants and those who were shortlisted for the period under review, as this is not provided by the current suite of Jobtrain reports. Due to the low numbers of starters who declared that they had a disability we cannot provide a breakdown of disability status for starters.</w:t>
      </w:r>
    </w:p>
    <w:p w14:paraId="72921D6A" w14:textId="77777777" w:rsidR="00251C44" w:rsidRPr="00F825B7" w:rsidRDefault="00251C44" w:rsidP="00AC5B73">
      <w:pPr>
        <w:rPr>
          <w:rFonts w:cs="Arial"/>
          <w:szCs w:val="24"/>
        </w:rPr>
      </w:pPr>
    </w:p>
    <w:p w14:paraId="6A7F6018" w14:textId="77777777" w:rsidR="00AB10C4" w:rsidRPr="00F825B7" w:rsidRDefault="00AB10C4" w:rsidP="00AC5B73">
      <w:pPr>
        <w:pStyle w:val="Heading3"/>
      </w:pPr>
      <w:bookmarkStart w:id="120" w:name="_Toc76025133"/>
      <w:bookmarkStart w:id="121" w:name="_Toc108076935"/>
      <w:r w:rsidRPr="00F825B7">
        <w:t>Training Activity</w:t>
      </w:r>
      <w:bookmarkEnd w:id="120"/>
      <w:bookmarkEnd w:id="121"/>
    </w:p>
    <w:p w14:paraId="33966AD6" w14:textId="522BDAF1" w:rsidR="00946D21" w:rsidRPr="0096798A" w:rsidRDefault="00946D21" w:rsidP="00AC5B73">
      <w:pPr>
        <w:rPr>
          <w:rFonts w:cs="Arial"/>
          <w:szCs w:val="24"/>
        </w:rPr>
      </w:pPr>
      <w:r w:rsidRPr="0096798A">
        <w:rPr>
          <w:rFonts w:cs="Arial"/>
          <w:szCs w:val="24"/>
        </w:rPr>
        <w:t xml:space="preserve">Members of staff who declared themselves to be disabled undertook </w:t>
      </w:r>
      <w:r w:rsidR="00DD0F25" w:rsidRPr="0096798A">
        <w:rPr>
          <w:rFonts w:cs="Arial"/>
          <w:szCs w:val="24"/>
        </w:rPr>
        <w:t>1.1</w:t>
      </w:r>
      <w:r w:rsidRPr="0096798A">
        <w:rPr>
          <w:rFonts w:cs="Arial"/>
          <w:szCs w:val="24"/>
        </w:rPr>
        <w:t>% of</w:t>
      </w:r>
      <w:r w:rsidR="00DD0F25" w:rsidRPr="0096798A">
        <w:rPr>
          <w:rFonts w:cs="Arial"/>
          <w:szCs w:val="24"/>
        </w:rPr>
        <w:t xml:space="preserve"> </w:t>
      </w:r>
      <w:r w:rsidR="00C465FA">
        <w:rPr>
          <w:rFonts w:cs="Arial"/>
          <w:szCs w:val="24"/>
        </w:rPr>
        <w:t>all training carried out in 2021</w:t>
      </w:r>
      <w:r w:rsidR="0088223B" w:rsidRPr="0096798A">
        <w:rPr>
          <w:rFonts w:cs="Arial"/>
          <w:szCs w:val="24"/>
        </w:rPr>
        <w:t>-202</w:t>
      </w:r>
      <w:r w:rsidR="00C465FA">
        <w:rPr>
          <w:rFonts w:cs="Arial"/>
          <w:szCs w:val="24"/>
        </w:rPr>
        <w:t>2</w:t>
      </w:r>
      <w:r w:rsidR="00DD0F25" w:rsidRPr="0096798A">
        <w:rPr>
          <w:rFonts w:cs="Arial"/>
          <w:szCs w:val="24"/>
        </w:rPr>
        <w:t xml:space="preserve">, which is exactly the </w:t>
      </w:r>
      <w:r w:rsidRPr="0096798A">
        <w:rPr>
          <w:rFonts w:cs="Arial"/>
          <w:szCs w:val="24"/>
        </w:rPr>
        <w:t>proportion of the</w:t>
      </w:r>
      <w:r w:rsidR="002878FA" w:rsidRPr="0096798A">
        <w:rPr>
          <w:rFonts w:cs="Arial"/>
          <w:szCs w:val="24"/>
        </w:rPr>
        <w:t xml:space="preserve"> workforce t</w:t>
      </w:r>
      <w:r w:rsidR="00C465FA">
        <w:rPr>
          <w:rFonts w:cs="Arial"/>
          <w:szCs w:val="24"/>
        </w:rPr>
        <w:t>hey represent.</w:t>
      </w:r>
    </w:p>
    <w:p w14:paraId="2C8D5FB9" w14:textId="77777777" w:rsidR="00AB10C4" w:rsidRPr="0096798A" w:rsidRDefault="00AB10C4" w:rsidP="00AC5B73">
      <w:pPr>
        <w:rPr>
          <w:rFonts w:cs="Arial"/>
          <w:szCs w:val="24"/>
        </w:rPr>
      </w:pPr>
    </w:p>
    <w:p w14:paraId="469DF6BA" w14:textId="77777777" w:rsidR="00381C6E" w:rsidRPr="0096798A" w:rsidRDefault="00381C6E" w:rsidP="00AC5B73">
      <w:pPr>
        <w:pStyle w:val="Heading3"/>
      </w:pPr>
      <w:bookmarkStart w:id="122" w:name="_Toc76025134"/>
      <w:bookmarkStart w:id="123" w:name="_Toc108076936"/>
      <w:r w:rsidRPr="0096798A">
        <w:t>Career Progression</w:t>
      </w:r>
      <w:bookmarkEnd w:id="122"/>
      <w:bookmarkEnd w:id="123"/>
    </w:p>
    <w:p w14:paraId="350F1217" w14:textId="63D65160" w:rsidR="00381C6E" w:rsidRPr="0096798A" w:rsidRDefault="00CD51A5" w:rsidP="00AC5B73">
      <w:pPr>
        <w:rPr>
          <w:rFonts w:cs="Arial"/>
          <w:szCs w:val="24"/>
        </w:rPr>
      </w:pPr>
      <w:r>
        <w:rPr>
          <w:rFonts w:cs="Arial"/>
          <w:szCs w:val="24"/>
        </w:rPr>
        <w:t>Five of the 152 members of the workforce who were promoted indicated that they have a disability.</w:t>
      </w:r>
      <w:r w:rsidR="006226E9">
        <w:rPr>
          <w:rFonts w:cs="Arial"/>
          <w:szCs w:val="24"/>
        </w:rPr>
        <w:t xml:space="preserve"> </w:t>
      </w:r>
      <w:r>
        <w:rPr>
          <w:rFonts w:cs="Arial"/>
          <w:szCs w:val="24"/>
        </w:rPr>
        <w:t>This is 3.3% of all promotions, and three times the 1.1% of the workforce our disabled colleagues represent.</w:t>
      </w:r>
    </w:p>
    <w:p w14:paraId="1E35D200" w14:textId="77777777" w:rsidR="00DB1ACA" w:rsidRPr="0096798A" w:rsidRDefault="00DB1ACA" w:rsidP="00AC5B73">
      <w:pPr>
        <w:rPr>
          <w:rFonts w:cs="Arial"/>
          <w:szCs w:val="24"/>
        </w:rPr>
      </w:pPr>
    </w:p>
    <w:p w14:paraId="11C61515" w14:textId="77777777" w:rsidR="00DB1ACA" w:rsidRPr="0096798A" w:rsidRDefault="00DB1ACA" w:rsidP="00AC5B73">
      <w:pPr>
        <w:pStyle w:val="Heading3"/>
      </w:pPr>
      <w:bookmarkStart w:id="124" w:name="_Toc76025135"/>
      <w:bookmarkStart w:id="125" w:name="_Toc108076937"/>
      <w:r w:rsidRPr="0096798A">
        <w:t>Turnover</w:t>
      </w:r>
      <w:bookmarkEnd w:id="124"/>
      <w:bookmarkEnd w:id="125"/>
    </w:p>
    <w:p w14:paraId="59BBCD09" w14:textId="41913040" w:rsidR="00305EA0" w:rsidRDefault="007C08F7" w:rsidP="00AC5B73">
      <w:pPr>
        <w:rPr>
          <w:rFonts w:cs="Arial"/>
          <w:szCs w:val="24"/>
        </w:rPr>
      </w:pPr>
      <w:r w:rsidRPr="0096798A">
        <w:rPr>
          <w:rFonts w:cs="Arial"/>
          <w:szCs w:val="24"/>
        </w:rPr>
        <w:lastRenderedPageBreak/>
        <w:t xml:space="preserve">Of the </w:t>
      </w:r>
      <w:r w:rsidR="00CD51A5">
        <w:rPr>
          <w:rFonts w:cs="Arial"/>
          <w:szCs w:val="24"/>
        </w:rPr>
        <w:t>259</w:t>
      </w:r>
      <w:r w:rsidRPr="0096798A">
        <w:rPr>
          <w:rFonts w:cs="Arial"/>
          <w:szCs w:val="24"/>
        </w:rPr>
        <w:t xml:space="preserve"> </w:t>
      </w:r>
      <w:r w:rsidR="00DB1ACA" w:rsidRPr="0096798A">
        <w:rPr>
          <w:rFonts w:cs="Arial"/>
          <w:szCs w:val="24"/>
        </w:rPr>
        <w:t>members of staff who lef</w:t>
      </w:r>
      <w:r w:rsidR="001E2F89" w:rsidRPr="0096798A">
        <w:rPr>
          <w:rFonts w:cs="Arial"/>
          <w:szCs w:val="24"/>
        </w:rPr>
        <w:t xml:space="preserve">t the Board’s employment in </w:t>
      </w:r>
      <w:r w:rsidR="00CD51A5">
        <w:rPr>
          <w:rFonts w:cs="Arial"/>
          <w:szCs w:val="24"/>
        </w:rPr>
        <w:t>2021</w:t>
      </w:r>
      <w:r w:rsidR="004B4433" w:rsidRPr="0096798A">
        <w:rPr>
          <w:rFonts w:cs="Arial"/>
          <w:szCs w:val="24"/>
        </w:rPr>
        <w:t>-20</w:t>
      </w:r>
      <w:r w:rsidR="00CD51A5">
        <w:rPr>
          <w:rFonts w:cs="Arial"/>
          <w:szCs w:val="24"/>
        </w:rPr>
        <w:t>22, eight declared that they had a disability, representing 3.1% of leavers, almost three times higher than the 1.1% of the workforce they represent.</w:t>
      </w:r>
    </w:p>
    <w:p w14:paraId="79F4CE47" w14:textId="3F376F5F" w:rsidR="00D734CF" w:rsidRDefault="00D734CF" w:rsidP="00AC5B73">
      <w:pPr>
        <w:rPr>
          <w:rFonts w:cs="Arial"/>
          <w:szCs w:val="24"/>
        </w:rPr>
      </w:pPr>
    </w:p>
    <w:p w14:paraId="4CB86754" w14:textId="78B575F0" w:rsidR="00D734CF" w:rsidRDefault="00D734CF" w:rsidP="00D734CF">
      <w:pPr>
        <w:pStyle w:val="Heading3"/>
      </w:pPr>
      <w:bookmarkStart w:id="126" w:name="_Toc108076938"/>
      <w:r>
        <w:t>Intersectionality</w:t>
      </w:r>
      <w:bookmarkEnd w:id="126"/>
    </w:p>
    <w:p w14:paraId="73153F83" w14:textId="145C2631" w:rsidR="005F78FF" w:rsidRDefault="00D734CF" w:rsidP="005F78FF">
      <w:pPr>
        <w:rPr>
          <w:rFonts w:cs="Arial"/>
          <w:szCs w:val="24"/>
        </w:rPr>
      </w:pPr>
      <w:r>
        <w:rPr>
          <w:rFonts w:cs="Arial"/>
          <w:szCs w:val="24"/>
        </w:rPr>
        <w:t>Having explored sex and disability separately, it may be insightful to examine the intersection of the two protected characteristics.  Specifically, at NHS GJ, both male and female staff are equally likely not to disclose whether they have a disability, combining “Don’t know” and “No information provided”.  Male staff do not disclose at a rate of 3.0%, versus 3.2% for female staff. However, as is shown in the table below, male staff are roughly four times more likely to disclose a disability than female staff, despite global disabilities and long term health conditions being more prevalent in women</w:t>
      </w:r>
      <w:r w:rsidR="005F78FF">
        <w:rPr>
          <w:rStyle w:val="FootnoteReference"/>
          <w:rFonts w:cs="Arial"/>
          <w:szCs w:val="24"/>
        </w:rPr>
        <w:footnoteReference w:customMarkFollows="1" w:id="11"/>
        <w:t>10</w:t>
      </w:r>
      <w:r w:rsidR="005F78FF">
        <w:rPr>
          <w:rFonts w:cs="Arial"/>
          <w:szCs w:val="24"/>
        </w:rPr>
        <w:t>.</w:t>
      </w:r>
    </w:p>
    <w:p w14:paraId="2E31EDCF" w14:textId="63DC32B0" w:rsidR="005F78FF" w:rsidRDefault="005F78FF" w:rsidP="005F78FF">
      <w:pPr>
        <w:rPr>
          <w:rFonts w:cs="Arial"/>
          <w:szCs w:val="24"/>
        </w:rPr>
      </w:pPr>
    </w:p>
    <w:tbl>
      <w:tblPr>
        <w:tblStyle w:val="TableGrid"/>
        <w:tblW w:w="0" w:type="auto"/>
        <w:tblLook w:val="04A0" w:firstRow="1" w:lastRow="0" w:firstColumn="1" w:lastColumn="0" w:noHBand="0" w:noVBand="1"/>
      </w:tblPr>
      <w:tblGrid>
        <w:gridCol w:w="2802"/>
        <w:gridCol w:w="1063"/>
        <w:gridCol w:w="1063"/>
      </w:tblGrid>
      <w:tr w:rsidR="005F78FF" w:rsidRPr="005F78FF" w14:paraId="6935CABE" w14:textId="77777777" w:rsidTr="005F78FF">
        <w:tc>
          <w:tcPr>
            <w:tcW w:w="2802" w:type="dxa"/>
          </w:tcPr>
          <w:p w14:paraId="3CE01BD5" w14:textId="19816036" w:rsidR="005F78FF" w:rsidRPr="005F78FF" w:rsidRDefault="005F78FF" w:rsidP="005F78FF">
            <w:pPr>
              <w:rPr>
                <w:rFonts w:cs="Arial"/>
                <w:b/>
                <w:sz w:val="24"/>
                <w:szCs w:val="24"/>
              </w:rPr>
            </w:pPr>
            <w:r w:rsidRPr="005F78FF">
              <w:rPr>
                <w:rFonts w:cs="Arial"/>
                <w:b/>
                <w:sz w:val="24"/>
                <w:szCs w:val="24"/>
              </w:rPr>
              <w:t>Disability declaration</w:t>
            </w:r>
          </w:p>
        </w:tc>
        <w:tc>
          <w:tcPr>
            <w:tcW w:w="1063" w:type="dxa"/>
          </w:tcPr>
          <w:p w14:paraId="7C989198" w14:textId="536490F6" w:rsidR="005F78FF" w:rsidRPr="005F78FF" w:rsidRDefault="005F78FF" w:rsidP="005F78FF">
            <w:pPr>
              <w:rPr>
                <w:rFonts w:cs="Arial"/>
                <w:b/>
                <w:sz w:val="24"/>
                <w:szCs w:val="24"/>
              </w:rPr>
            </w:pPr>
            <w:r w:rsidRPr="005F78FF">
              <w:rPr>
                <w:rFonts w:cs="Arial"/>
                <w:b/>
                <w:sz w:val="24"/>
                <w:szCs w:val="24"/>
              </w:rPr>
              <w:t>Female</w:t>
            </w:r>
          </w:p>
        </w:tc>
        <w:tc>
          <w:tcPr>
            <w:tcW w:w="1063" w:type="dxa"/>
          </w:tcPr>
          <w:p w14:paraId="04165E8C" w14:textId="56F08965" w:rsidR="005F78FF" w:rsidRPr="005F78FF" w:rsidRDefault="005F78FF" w:rsidP="005F78FF">
            <w:pPr>
              <w:rPr>
                <w:rFonts w:cs="Arial"/>
                <w:b/>
                <w:sz w:val="24"/>
                <w:szCs w:val="24"/>
              </w:rPr>
            </w:pPr>
            <w:r w:rsidRPr="005F78FF">
              <w:rPr>
                <w:rFonts w:cs="Arial"/>
                <w:b/>
                <w:sz w:val="24"/>
                <w:szCs w:val="24"/>
              </w:rPr>
              <w:t>Male</w:t>
            </w:r>
          </w:p>
        </w:tc>
      </w:tr>
      <w:tr w:rsidR="005F78FF" w:rsidRPr="005F78FF" w14:paraId="230993AE" w14:textId="77777777" w:rsidTr="005F78FF">
        <w:tc>
          <w:tcPr>
            <w:tcW w:w="2802" w:type="dxa"/>
          </w:tcPr>
          <w:p w14:paraId="4FAFC978" w14:textId="14EBB4FF" w:rsidR="005F78FF" w:rsidRPr="005F78FF" w:rsidRDefault="005F78FF" w:rsidP="005F78FF">
            <w:pPr>
              <w:rPr>
                <w:rFonts w:cs="Arial"/>
                <w:sz w:val="24"/>
                <w:szCs w:val="24"/>
              </w:rPr>
            </w:pPr>
            <w:r>
              <w:rPr>
                <w:rFonts w:cs="Arial"/>
                <w:sz w:val="24"/>
                <w:szCs w:val="24"/>
              </w:rPr>
              <w:t>Don’t know</w:t>
            </w:r>
          </w:p>
        </w:tc>
        <w:tc>
          <w:tcPr>
            <w:tcW w:w="1063" w:type="dxa"/>
          </w:tcPr>
          <w:p w14:paraId="25D0D065" w14:textId="5EB32E57" w:rsidR="005F78FF" w:rsidRPr="005F78FF" w:rsidRDefault="005F78FF" w:rsidP="005F78FF">
            <w:pPr>
              <w:jc w:val="right"/>
              <w:rPr>
                <w:rFonts w:cs="Arial"/>
                <w:sz w:val="24"/>
                <w:szCs w:val="24"/>
              </w:rPr>
            </w:pPr>
            <w:r>
              <w:rPr>
                <w:rFonts w:cs="Arial"/>
                <w:sz w:val="24"/>
                <w:szCs w:val="24"/>
              </w:rPr>
              <w:t>9.4%</w:t>
            </w:r>
          </w:p>
        </w:tc>
        <w:tc>
          <w:tcPr>
            <w:tcW w:w="1063" w:type="dxa"/>
          </w:tcPr>
          <w:p w14:paraId="56D77753" w14:textId="217135D9" w:rsidR="005F78FF" w:rsidRPr="005F78FF" w:rsidRDefault="005F78FF" w:rsidP="005F78FF">
            <w:pPr>
              <w:jc w:val="right"/>
              <w:rPr>
                <w:rFonts w:cs="Arial"/>
                <w:sz w:val="24"/>
                <w:szCs w:val="24"/>
              </w:rPr>
            </w:pPr>
            <w:r>
              <w:rPr>
                <w:rFonts w:cs="Arial"/>
                <w:sz w:val="24"/>
                <w:szCs w:val="24"/>
              </w:rPr>
              <w:t>11.4%</w:t>
            </w:r>
          </w:p>
        </w:tc>
      </w:tr>
      <w:tr w:rsidR="005F78FF" w:rsidRPr="005F78FF" w14:paraId="1180F864" w14:textId="77777777" w:rsidTr="005F78FF">
        <w:tc>
          <w:tcPr>
            <w:tcW w:w="2802" w:type="dxa"/>
          </w:tcPr>
          <w:p w14:paraId="41733C99" w14:textId="0C8A8095" w:rsidR="005F78FF" w:rsidRPr="005F78FF" w:rsidRDefault="005F78FF" w:rsidP="005F78FF">
            <w:pPr>
              <w:rPr>
                <w:rFonts w:cs="Arial"/>
                <w:sz w:val="24"/>
                <w:szCs w:val="24"/>
              </w:rPr>
            </w:pPr>
            <w:r>
              <w:rPr>
                <w:rFonts w:cs="Arial"/>
                <w:sz w:val="24"/>
                <w:szCs w:val="24"/>
              </w:rPr>
              <w:t>No</w:t>
            </w:r>
          </w:p>
        </w:tc>
        <w:tc>
          <w:tcPr>
            <w:tcW w:w="1063" w:type="dxa"/>
          </w:tcPr>
          <w:p w14:paraId="7CE890DF" w14:textId="49F1D319" w:rsidR="005F78FF" w:rsidRPr="005F78FF" w:rsidRDefault="005F78FF" w:rsidP="005F78FF">
            <w:pPr>
              <w:jc w:val="right"/>
              <w:rPr>
                <w:rFonts w:cs="Arial"/>
                <w:sz w:val="24"/>
                <w:szCs w:val="24"/>
              </w:rPr>
            </w:pPr>
            <w:r>
              <w:rPr>
                <w:rFonts w:cs="Arial"/>
                <w:sz w:val="24"/>
                <w:szCs w:val="24"/>
              </w:rPr>
              <w:t>86.4%</w:t>
            </w:r>
          </w:p>
        </w:tc>
        <w:tc>
          <w:tcPr>
            <w:tcW w:w="1063" w:type="dxa"/>
          </w:tcPr>
          <w:p w14:paraId="010AAC4F" w14:textId="64CCD848" w:rsidR="005F78FF" w:rsidRPr="005F78FF" w:rsidRDefault="005F78FF" w:rsidP="005F78FF">
            <w:pPr>
              <w:jc w:val="right"/>
              <w:rPr>
                <w:rFonts w:cs="Arial"/>
                <w:sz w:val="24"/>
                <w:szCs w:val="24"/>
              </w:rPr>
            </w:pPr>
            <w:r>
              <w:rPr>
                <w:rFonts w:cs="Arial"/>
                <w:sz w:val="24"/>
                <w:szCs w:val="24"/>
              </w:rPr>
              <w:t>83.3%</w:t>
            </w:r>
          </w:p>
        </w:tc>
      </w:tr>
      <w:tr w:rsidR="005F78FF" w:rsidRPr="005F78FF" w14:paraId="43E426C2" w14:textId="77777777" w:rsidTr="005F78FF">
        <w:tc>
          <w:tcPr>
            <w:tcW w:w="2802" w:type="dxa"/>
          </w:tcPr>
          <w:p w14:paraId="1BC5D5D2" w14:textId="20C5A631" w:rsidR="005F78FF" w:rsidRPr="005F78FF" w:rsidRDefault="005F78FF" w:rsidP="005F78FF">
            <w:pPr>
              <w:rPr>
                <w:rFonts w:cs="Arial"/>
                <w:sz w:val="24"/>
                <w:szCs w:val="24"/>
              </w:rPr>
            </w:pPr>
            <w:r>
              <w:rPr>
                <w:rFonts w:cs="Arial"/>
                <w:sz w:val="24"/>
                <w:szCs w:val="24"/>
              </w:rPr>
              <w:t>No information provided</w:t>
            </w:r>
          </w:p>
        </w:tc>
        <w:tc>
          <w:tcPr>
            <w:tcW w:w="1063" w:type="dxa"/>
          </w:tcPr>
          <w:p w14:paraId="0FA88ED4" w14:textId="5DBCEAE5" w:rsidR="005F78FF" w:rsidRPr="005F78FF" w:rsidRDefault="005F78FF" w:rsidP="005F78FF">
            <w:pPr>
              <w:jc w:val="right"/>
              <w:rPr>
                <w:rFonts w:cs="Arial"/>
                <w:sz w:val="24"/>
                <w:szCs w:val="24"/>
              </w:rPr>
            </w:pPr>
            <w:r>
              <w:rPr>
                <w:rFonts w:cs="Arial"/>
                <w:sz w:val="24"/>
                <w:szCs w:val="24"/>
              </w:rPr>
              <w:t>1.9%</w:t>
            </w:r>
          </w:p>
        </w:tc>
        <w:tc>
          <w:tcPr>
            <w:tcW w:w="1063" w:type="dxa"/>
          </w:tcPr>
          <w:p w14:paraId="507C1951" w14:textId="6B940E5C" w:rsidR="005F78FF" w:rsidRPr="005F78FF" w:rsidRDefault="005F78FF" w:rsidP="005F78FF">
            <w:pPr>
              <w:jc w:val="right"/>
              <w:rPr>
                <w:rFonts w:cs="Arial"/>
                <w:sz w:val="24"/>
                <w:szCs w:val="24"/>
              </w:rPr>
            </w:pPr>
            <w:r>
              <w:rPr>
                <w:rFonts w:cs="Arial"/>
                <w:sz w:val="24"/>
                <w:szCs w:val="24"/>
              </w:rPr>
              <w:t>0.9%</w:t>
            </w:r>
          </w:p>
        </w:tc>
      </w:tr>
      <w:tr w:rsidR="005F78FF" w:rsidRPr="005F78FF" w14:paraId="71DCD3BC" w14:textId="77777777" w:rsidTr="005F78FF">
        <w:tc>
          <w:tcPr>
            <w:tcW w:w="2802" w:type="dxa"/>
          </w:tcPr>
          <w:p w14:paraId="22AFB90B" w14:textId="3511BA6A" w:rsidR="005F78FF" w:rsidRPr="005F78FF" w:rsidRDefault="005F78FF" w:rsidP="005F78FF">
            <w:pPr>
              <w:rPr>
                <w:rFonts w:cs="Arial"/>
                <w:sz w:val="24"/>
                <w:szCs w:val="24"/>
              </w:rPr>
            </w:pPr>
            <w:r>
              <w:rPr>
                <w:rFonts w:cs="Arial"/>
                <w:sz w:val="24"/>
                <w:szCs w:val="24"/>
              </w:rPr>
              <w:t>Prefer not to say</w:t>
            </w:r>
          </w:p>
        </w:tc>
        <w:tc>
          <w:tcPr>
            <w:tcW w:w="1063" w:type="dxa"/>
          </w:tcPr>
          <w:p w14:paraId="4A5AA94C" w14:textId="3547C1E6" w:rsidR="005F78FF" w:rsidRPr="005F78FF" w:rsidRDefault="005F78FF" w:rsidP="005F78FF">
            <w:pPr>
              <w:jc w:val="right"/>
              <w:rPr>
                <w:rFonts w:cs="Arial"/>
                <w:sz w:val="24"/>
                <w:szCs w:val="24"/>
              </w:rPr>
            </w:pPr>
            <w:r>
              <w:rPr>
                <w:rFonts w:cs="Arial"/>
                <w:sz w:val="24"/>
                <w:szCs w:val="24"/>
              </w:rPr>
              <w:t>1.3%</w:t>
            </w:r>
          </w:p>
        </w:tc>
        <w:tc>
          <w:tcPr>
            <w:tcW w:w="1063" w:type="dxa"/>
          </w:tcPr>
          <w:p w14:paraId="131D9B55" w14:textId="1A076354" w:rsidR="005F78FF" w:rsidRPr="005F78FF" w:rsidRDefault="005F78FF" w:rsidP="005F78FF">
            <w:pPr>
              <w:jc w:val="right"/>
              <w:rPr>
                <w:rFonts w:cs="Arial"/>
                <w:sz w:val="24"/>
                <w:szCs w:val="24"/>
              </w:rPr>
            </w:pPr>
            <w:r>
              <w:rPr>
                <w:rFonts w:cs="Arial"/>
                <w:sz w:val="24"/>
                <w:szCs w:val="24"/>
              </w:rPr>
              <w:t>2.1%</w:t>
            </w:r>
          </w:p>
        </w:tc>
      </w:tr>
      <w:tr w:rsidR="005F78FF" w:rsidRPr="005F78FF" w14:paraId="6EDBCD49" w14:textId="77777777" w:rsidTr="005F78FF">
        <w:tc>
          <w:tcPr>
            <w:tcW w:w="2802" w:type="dxa"/>
          </w:tcPr>
          <w:p w14:paraId="3FB3B48E" w14:textId="1D00563C" w:rsidR="005F78FF" w:rsidRPr="005F78FF" w:rsidRDefault="005F78FF" w:rsidP="005F78FF">
            <w:pPr>
              <w:rPr>
                <w:rFonts w:cs="Arial"/>
                <w:sz w:val="24"/>
                <w:szCs w:val="24"/>
              </w:rPr>
            </w:pPr>
            <w:r>
              <w:rPr>
                <w:rFonts w:cs="Arial"/>
                <w:sz w:val="24"/>
                <w:szCs w:val="24"/>
              </w:rPr>
              <w:t>Yes</w:t>
            </w:r>
          </w:p>
        </w:tc>
        <w:tc>
          <w:tcPr>
            <w:tcW w:w="1063" w:type="dxa"/>
          </w:tcPr>
          <w:p w14:paraId="6C227CBB" w14:textId="22856C68" w:rsidR="005F78FF" w:rsidRPr="005F78FF" w:rsidRDefault="005F78FF" w:rsidP="005F78FF">
            <w:pPr>
              <w:jc w:val="right"/>
              <w:rPr>
                <w:rFonts w:cs="Arial"/>
                <w:sz w:val="24"/>
                <w:szCs w:val="24"/>
              </w:rPr>
            </w:pPr>
            <w:r>
              <w:rPr>
                <w:rFonts w:cs="Arial"/>
                <w:sz w:val="24"/>
                <w:szCs w:val="24"/>
              </w:rPr>
              <w:t>0.6%</w:t>
            </w:r>
          </w:p>
        </w:tc>
        <w:tc>
          <w:tcPr>
            <w:tcW w:w="1063" w:type="dxa"/>
          </w:tcPr>
          <w:p w14:paraId="02180747" w14:textId="32DEC447" w:rsidR="005F78FF" w:rsidRPr="005F78FF" w:rsidRDefault="005F78FF" w:rsidP="005F78FF">
            <w:pPr>
              <w:jc w:val="right"/>
              <w:rPr>
                <w:rFonts w:cs="Arial"/>
                <w:sz w:val="24"/>
                <w:szCs w:val="24"/>
              </w:rPr>
            </w:pPr>
            <w:r>
              <w:rPr>
                <w:rFonts w:cs="Arial"/>
                <w:sz w:val="24"/>
                <w:szCs w:val="24"/>
              </w:rPr>
              <w:t>2.4%</w:t>
            </w:r>
          </w:p>
        </w:tc>
      </w:tr>
    </w:tbl>
    <w:p w14:paraId="75FF7733" w14:textId="766523AB" w:rsidR="00D734CF" w:rsidRDefault="00D734CF">
      <w:pPr>
        <w:spacing w:after="200" w:line="276" w:lineRule="auto"/>
        <w:rPr>
          <w:rFonts w:eastAsiaTheme="majorEastAsia" w:cs="Arial"/>
          <w:b/>
          <w:bCs/>
          <w:sz w:val="28"/>
          <w:szCs w:val="26"/>
        </w:rPr>
      </w:pPr>
      <w:bookmarkStart w:id="127" w:name="_Toc76025136"/>
      <w:r>
        <w:rPr>
          <w:rFonts w:cs="Arial"/>
        </w:rPr>
        <w:br w:type="page"/>
      </w:r>
    </w:p>
    <w:p w14:paraId="501D5688" w14:textId="0C88C523" w:rsidR="00C06EE9" w:rsidRPr="00F825B7" w:rsidRDefault="00C06EE9" w:rsidP="00AC5B73">
      <w:pPr>
        <w:pStyle w:val="Heading2"/>
        <w:rPr>
          <w:rFonts w:cs="Arial"/>
        </w:rPr>
      </w:pPr>
      <w:bookmarkStart w:id="128" w:name="_Toc108076939"/>
      <w:r w:rsidRPr="00F825B7">
        <w:rPr>
          <w:rFonts w:cs="Arial"/>
        </w:rPr>
        <w:lastRenderedPageBreak/>
        <w:t>Sexual Orientation</w:t>
      </w:r>
      <w:bookmarkEnd w:id="127"/>
      <w:bookmarkEnd w:id="128"/>
    </w:p>
    <w:p w14:paraId="108D8A7B" w14:textId="77777777" w:rsidR="00852B0E" w:rsidRPr="00F825B7" w:rsidRDefault="00852B0E" w:rsidP="00AC5B73">
      <w:pPr>
        <w:pStyle w:val="Heading3"/>
      </w:pPr>
      <w:bookmarkStart w:id="129" w:name="_Toc76025137"/>
      <w:bookmarkStart w:id="130" w:name="_Toc108076940"/>
      <w:r w:rsidRPr="00F825B7">
        <w:t>Workforce Breakdown</w:t>
      </w:r>
      <w:bookmarkEnd w:id="129"/>
      <w:bookmarkEnd w:id="130"/>
    </w:p>
    <w:p w14:paraId="210659D1" w14:textId="22652EF3" w:rsidR="001C02F5" w:rsidRDefault="00852B0E" w:rsidP="00AC5B73">
      <w:pPr>
        <w:rPr>
          <w:rFonts w:cs="Arial"/>
          <w:szCs w:val="24"/>
        </w:rPr>
      </w:pPr>
      <w:r w:rsidRPr="0096798A">
        <w:rPr>
          <w:rFonts w:cs="Arial"/>
          <w:szCs w:val="24"/>
        </w:rPr>
        <w:t xml:space="preserve">Trend analysis of sexual orientation over the last </w:t>
      </w:r>
      <w:r w:rsidR="001A15DE">
        <w:rPr>
          <w:rFonts w:cs="Arial"/>
          <w:szCs w:val="24"/>
        </w:rPr>
        <w:t>five</w:t>
      </w:r>
      <w:r w:rsidR="001129CF" w:rsidRPr="0096798A">
        <w:rPr>
          <w:rFonts w:cs="Arial"/>
          <w:szCs w:val="24"/>
        </w:rPr>
        <w:t xml:space="preserve"> y</w:t>
      </w:r>
      <w:r w:rsidRPr="0096798A">
        <w:rPr>
          <w:rFonts w:cs="Arial"/>
          <w:szCs w:val="24"/>
        </w:rPr>
        <w:t xml:space="preserve">ears indicates that the proportion of staff members who </w:t>
      </w:r>
      <w:r w:rsidR="00E20E0D">
        <w:rPr>
          <w:rFonts w:cs="Arial"/>
          <w:szCs w:val="24"/>
        </w:rPr>
        <w:t>report identifying</w:t>
      </w:r>
      <w:r w:rsidRPr="0096798A">
        <w:rPr>
          <w:rFonts w:cs="Arial"/>
          <w:szCs w:val="24"/>
        </w:rPr>
        <w:t xml:space="preserve"> themselves as “Heterosexual” </w:t>
      </w:r>
      <w:r w:rsidR="001129CF" w:rsidRPr="0096798A">
        <w:rPr>
          <w:rFonts w:cs="Arial"/>
          <w:szCs w:val="24"/>
        </w:rPr>
        <w:t xml:space="preserve">has </w:t>
      </w:r>
      <w:r w:rsidR="001A15DE">
        <w:rPr>
          <w:rFonts w:cs="Arial"/>
          <w:szCs w:val="24"/>
        </w:rPr>
        <w:t>remained relatively steady at around 76% to 77%</w:t>
      </w:r>
      <w:r w:rsidR="001129CF" w:rsidRPr="0096798A">
        <w:rPr>
          <w:rFonts w:cs="Arial"/>
          <w:szCs w:val="24"/>
        </w:rPr>
        <w:t>.</w:t>
      </w:r>
      <w:r w:rsidR="00901CC7" w:rsidRPr="0096798A">
        <w:rPr>
          <w:rFonts w:cs="Arial"/>
          <w:szCs w:val="24"/>
        </w:rPr>
        <w:t xml:space="preserve"> </w:t>
      </w:r>
      <w:r w:rsidR="00CD21BE" w:rsidRPr="0096798A">
        <w:rPr>
          <w:rFonts w:cs="Arial"/>
          <w:szCs w:val="24"/>
        </w:rPr>
        <w:t>The numbers of those who did not provide information or who</w:t>
      </w:r>
      <w:r w:rsidR="00130DA3" w:rsidRPr="0096798A">
        <w:rPr>
          <w:rFonts w:cs="Arial"/>
          <w:szCs w:val="24"/>
        </w:rPr>
        <w:t xml:space="preserve"> </w:t>
      </w:r>
      <w:r w:rsidR="001129CF" w:rsidRPr="0096798A">
        <w:rPr>
          <w:rFonts w:cs="Arial"/>
          <w:szCs w:val="24"/>
        </w:rPr>
        <w:t>“P</w:t>
      </w:r>
      <w:r w:rsidR="00CD21BE" w:rsidRPr="0096798A">
        <w:rPr>
          <w:rFonts w:cs="Arial"/>
          <w:szCs w:val="24"/>
        </w:rPr>
        <w:t>refer not to say”</w:t>
      </w:r>
      <w:r w:rsidR="00130DA3" w:rsidRPr="0096798A">
        <w:rPr>
          <w:rFonts w:cs="Arial"/>
          <w:szCs w:val="24"/>
        </w:rPr>
        <w:t xml:space="preserve"> </w:t>
      </w:r>
      <w:r w:rsidR="00BB22CC">
        <w:rPr>
          <w:rFonts w:cs="Arial"/>
          <w:szCs w:val="24"/>
        </w:rPr>
        <w:t>has fallen slightly over this time</w:t>
      </w:r>
      <w:r w:rsidR="00130DA3" w:rsidRPr="0096798A">
        <w:rPr>
          <w:rFonts w:cs="Arial"/>
          <w:szCs w:val="24"/>
        </w:rPr>
        <w:t>.</w:t>
      </w:r>
      <w:r w:rsidR="00901CC7" w:rsidRPr="0096798A">
        <w:rPr>
          <w:rFonts w:cs="Arial"/>
          <w:szCs w:val="24"/>
        </w:rPr>
        <w:t xml:space="preserve"> </w:t>
      </w:r>
      <w:r w:rsidR="00AC645F" w:rsidRPr="0096798A">
        <w:rPr>
          <w:rFonts w:cs="Arial"/>
          <w:szCs w:val="24"/>
        </w:rPr>
        <w:t xml:space="preserve">To help improve the </w:t>
      </w:r>
      <w:r w:rsidR="00BB22CC">
        <w:rPr>
          <w:rFonts w:cs="Arial"/>
          <w:szCs w:val="24"/>
        </w:rPr>
        <w:t>quality</w:t>
      </w:r>
      <w:r w:rsidR="00AC645F" w:rsidRPr="0096798A">
        <w:rPr>
          <w:rFonts w:cs="Arial"/>
          <w:szCs w:val="24"/>
        </w:rPr>
        <w:t xml:space="preserve"> of information the Recruitment Team ensure</w:t>
      </w:r>
      <w:r w:rsidR="008A19C8" w:rsidRPr="0096798A">
        <w:rPr>
          <w:rFonts w:cs="Arial"/>
          <w:szCs w:val="24"/>
        </w:rPr>
        <w:t>s</w:t>
      </w:r>
      <w:r w:rsidR="00AC645F" w:rsidRPr="0096798A">
        <w:rPr>
          <w:rFonts w:cs="Arial"/>
          <w:szCs w:val="24"/>
        </w:rPr>
        <w:t xml:space="preserve"> that new members of staff completing engagement </w:t>
      </w:r>
      <w:r w:rsidR="008A19C8" w:rsidRPr="0096798A">
        <w:rPr>
          <w:rFonts w:cs="Arial"/>
          <w:szCs w:val="24"/>
        </w:rPr>
        <w:t>forms are asked to complete all parts of the Equal Opportunities Information section of the engagement form, reminding them that replying “</w:t>
      </w:r>
      <w:r w:rsidR="00CD21BE" w:rsidRPr="0096798A">
        <w:rPr>
          <w:rFonts w:cs="Arial"/>
          <w:szCs w:val="24"/>
        </w:rPr>
        <w:t>Prefer not to say</w:t>
      </w:r>
      <w:r w:rsidR="008A19C8" w:rsidRPr="0096798A">
        <w:rPr>
          <w:rFonts w:cs="Arial"/>
          <w:szCs w:val="24"/>
        </w:rPr>
        <w:t>” is an acceptable response, and preferable to not providing any information.</w:t>
      </w:r>
    </w:p>
    <w:p w14:paraId="67E760B2" w14:textId="77777777" w:rsidR="000D0A6A" w:rsidRDefault="000D0A6A" w:rsidP="00AC5B73">
      <w:pPr>
        <w:rPr>
          <w:rFonts w:cs="Arial"/>
          <w:szCs w:val="24"/>
        </w:rPr>
      </w:pPr>
    </w:p>
    <w:tbl>
      <w:tblPr>
        <w:tblStyle w:val="TableGrid"/>
        <w:tblW w:w="0" w:type="auto"/>
        <w:tblLook w:val="04A0" w:firstRow="1" w:lastRow="0" w:firstColumn="1" w:lastColumn="0" w:noHBand="0" w:noVBand="1"/>
      </w:tblPr>
      <w:tblGrid>
        <w:gridCol w:w="3085"/>
        <w:gridCol w:w="1580"/>
        <w:gridCol w:w="1581"/>
        <w:gridCol w:w="1580"/>
        <w:gridCol w:w="1581"/>
        <w:gridCol w:w="1581"/>
      </w:tblGrid>
      <w:tr w:rsidR="00D11157" w:rsidRPr="00370401" w14:paraId="04C425ED" w14:textId="77777777" w:rsidTr="00370401">
        <w:tc>
          <w:tcPr>
            <w:tcW w:w="3085" w:type="dxa"/>
            <w:tcBorders>
              <w:top w:val="nil"/>
              <w:left w:val="nil"/>
              <w:bottom w:val="single" w:sz="4" w:space="0" w:color="auto"/>
              <w:right w:val="single" w:sz="4" w:space="0" w:color="auto"/>
            </w:tcBorders>
          </w:tcPr>
          <w:p w14:paraId="656D06A9" w14:textId="7695A8CC" w:rsidR="00D11157" w:rsidRPr="00370401" w:rsidRDefault="00D11157" w:rsidP="00AC5B73">
            <w:pPr>
              <w:rPr>
                <w:rFonts w:cs="Arial"/>
                <w:sz w:val="24"/>
                <w:szCs w:val="24"/>
              </w:rPr>
            </w:pPr>
          </w:p>
        </w:tc>
        <w:tc>
          <w:tcPr>
            <w:tcW w:w="1580" w:type="dxa"/>
            <w:tcBorders>
              <w:left w:val="single" w:sz="4" w:space="0" w:color="auto"/>
            </w:tcBorders>
            <w:vAlign w:val="bottom"/>
          </w:tcPr>
          <w:p w14:paraId="22A57EFA" w14:textId="0643549D" w:rsidR="00D11157" w:rsidRPr="00370401" w:rsidRDefault="00D11157" w:rsidP="00AC5B73">
            <w:pPr>
              <w:rPr>
                <w:rFonts w:cs="Arial"/>
                <w:sz w:val="24"/>
                <w:szCs w:val="24"/>
              </w:rPr>
            </w:pPr>
            <w:r w:rsidRPr="00370401">
              <w:rPr>
                <w:rFonts w:eastAsia="Times New Roman" w:cs="Arial"/>
                <w:b/>
                <w:bCs/>
                <w:color w:val="000000"/>
                <w:sz w:val="24"/>
                <w:szCs w:val="24"/>
                <w:lang w:eastAsia="en-GB"/>
              </w:rPr>
              <w:t>2018</w:t>
            </w:r>
          </w:p>
        </w:tc>
        <w:tc>
          <w:tcPr>
            <w:tcW w:w="1581" w:type="dxa"/>
            <w:vAlign w:val="bottom"/>
          </w:tcPr>
          <w:p w14:paraId="420500C8" w14:textId="6011AEA0" w:rsidR="00D11157" w:rsidRPr="00370401" w:rsidRDefault="00D11157" w:rsidP="00AC5B73">
            <w:pPr>
              <w:rPr>
                <w:rFonts w:cs="Arial"/>
                <w:sz w:val="24"/>
                <w:szCs w:val="24"/>
              </w:rPr>
            </w:pPr>
            <w:r w:rsidRPr="00370401">
              <w:rPr>
                <w:rFonts w:eastAsia="Times New Roman" w:cs="Arial"/>
                <w:b/>
                <w:bCs/>
                <w:color w:val="000000"/>
                <w:sz w:val="24"/>
                <w:szCs w:val="24"/>
                <w:lang w:eastAsia="en-GB"/>
              </w:rPr>
              <w:t>2019</w:t>
            </w:r>
          </w:p>
        </w:tc>
        <w:tc>
          <w:tcPr>
            <w:tcW w:w="1580" w:type="dxa"/>
            <w:vAlign w:val="bottom"/>
          </w:tcPr>
          <w:p w14:paraId="54FBC8D4" w14:textId="216514AE" w:rsidR="00D11157" w:rsidRPr="00370401" w:rsidRDefault="00D11157" w:rsidP="00AC5B73">
            <w:pPr>
              <w:rPr>
                <w:rFonts w:cs="Arial"/>
                <w:sz w:val="24"/>
                <w:szCs w:val="24"/>
              </w:rPr>
            </w:pPr>
            <w:r w:rsidRPr="00370401">
              <w:rPr>
                <w:rFonts w:eastAsia="Times New Roman" w:cs="Arial"/>
                <w:b/>
                <w:bCs/>
                <w:color w:val="000000"/>
                <w:sz w:val="24"/>
                <w:szCs w:val="24"/>
                <w:lang w:eastAsia="en-GB"/>
              </w:rPr>
              <w:t>2020</w:t>
            </w:r>
          </w:p>
        </w:tc>
        <w:tc>
          <w:tcPr>
            <w:tcW w:w="1581" w:type="dxa"/>
            <w:vAlign w:val="bottom"/>
          </w:tcPr>
          <w:p w14:paraId="5A54547E" w14:textId="3DD727E9" w:rsidR="00D11157" w:rsidRPr="00370401" w:rsidRDefault="00D11157" w:rsidP="00AC5B73">
            <w:pPr>
              <w:rPr>
                <w:rFonts w:cs="Arial"/>
                <w:sz w:val="24"/>
                <w:szCs w:val="24"/>
              </w:rPr>
            </w:pPr>
            <w:r w:rsidRPr="00370401">
              <w:rPr>
                <w:rFonts w:eastAsia="Times New Roman" w:cs="Arial"/>
                <w:b/>
                <w:bCs/>
                <w:color w:val="000000"/>
                <w:sz w:val="24"/>
                <w:szCs w:val="24"/>
                <w:lang w:eastAsia="en-GB"/>
              </w:rPr>
              <w:t>2021</w:t>
            </w:r>
          </w:p>
        </w:tc>
        <w:tc>
          <w:tcPr>
            <w:tcW w:w="1581" w:type="dxa"/>
          </w:tcPr>
          <w:p w14:paraId="703A39B1" w14:textId="0222E12D" w:rsidR="00D11157" w:rsidRPr="00370401" w:rsidRDefault="00D11157" w:rsidP="00AC5B73">
            <w:pPr>
              <w:rPr>
                <w:rFonts w:cs="Arial"/>
                <w:sz w:val="24"/>
                <w:szCs w:val="24"/>
              </w:rPr>
            </w:pPr>
            <w:r w:rsidRPr="00370401">
              <w:rPr>
                <w:rFonts w:eastAsia="Times New Roman" w:cs="Arial"/>
                <w:b/>
                <w:bCs/>
                <w:color w:val="000000"/>
                <w:sz w:val="24"/>
                <w:szCs w:val="24"/>
                <w:lang w:eastAsia="en-GB"/>
              </w:rPr>
              <w:t>2022</w:t>
            </w:r>
          </w:p>
        </w:tc>
      </w:tr>
      <w:tr w:rsidR="00D11157" w:rsidRPr="00370401" w14:paraId="4C99C307" w14:textId="77777777" w:rsidTr="00370401">
        <w:tc>
          <w:tcPr>
            <w:tcW w:w="3085" w:type="dxa"/>
            <w:tcBorders>
              <w:top w:val="single" w:sz="4" w:space="0" w:color="auto"/>
            </w:tcBorders>
            <w:vAlign w:val="bottom"/>
          </w:tcPr>
          <w:p w14:paraId="73EFBADA" w14:textId="71908280" w:rsidR="00D11157" w:rsidRPr="00370401" w:rsidRDefault="00D11157" w:rsidP="00AC5B73">
            <w:pPr>
              <w:rPr>
                <w:rFonts w:cs="Arial"/>
                <w:sz w:val="24"/>
                <w:szCs w:val="24"/>
              </w:rPr>
            </w:pPr>
            <w:r w:rsidRPr="00370401">
              <w:rPr>
                <w:rFonts w:eastAsia="Times New Roman" w:cs="Arial"/>
                <w:b/>
                <w:bCs/>
                <w:color w:val="000000"/>
                <w:sz w:val="24"/>
                <w:szCs w:val="24"/>
                <w:lang w:eastAsia="en-GB"/>
              </w:rPr>
              <w:t>Heterosexual</w:t>
            </w:r>
          </w:p>
        </w:tc>
        <w:tc>
          <w:tcPr>
            <w:tcW w:w="1580" w:type="dxa"/>
          </w:tcPr>
          <w:p w14:paraId="4EE04185" w14:textId="0F25326C" w:rsidR="00D11157" w:rsidRPr="00370401" w:rsidRDefault="00D11157" w:rsidP="00AC5B73">
            <w:pPr>
              <w:jc w:val="right"/>
              <w:rPr>
                <w:rFonts w:cs="Arial"/>
                <w:sz w:val="24"/>
                <w:szCs w:val="24"/>
              </w:rPr>
            </w:pPr>
            <w:r w:rsidRPr="00370401">
              <w:rPr>
                <w:rFonts w:cs="Arial"/>
                <w:sz w:val="24"/>
                <w:szCs w:val="24"/>
              </w:rPr>
              <w:t>76.7%</w:t>
            </w:r>
          </w:p>
        </w:tc>
        <w:tc>
          <w:tcPr>
            <w:tcW w:w="1581" w:type="dxa"/>
          </w:tcPr>
          <w:p w14:paraId="0C3E5CC4" w14:textId="210C201F" w:rsidR="00D11157" w:rsidRPr="00370401" w:rsidRDefault="00D11157" w:rsidP="00AC5B73">
            <w:pPr>
              <w:jc w:val="right"/>
              <w:rPr>
                <w:rFonts w:cs="Arial"/>
                <w:sz w:val="24"/>
                <w:szCs w:val="24"/>
              </w:rPr>
            </w:pPr>
            <w:r w:rsidRPr="00370401">
              <w:rPr>
                <w:rFonts w:cs="Arial"/>
                <w:sz w:val="24"/>
                <w:szCs w:val="24"/>
              </w:rPr>
              <w:t>74.6%</w:t>
            </w:r>
          </w:p>
        </w:tc>
        <w:tc>
          <w:tcPr>
            <w:tcW w:w="1580" w:type="dxa"/>
          </w:tcPr>
          <w:p w14:paraId="4F798FB0" w14:textId="6939094B" w:rsidR="00D11157" w:rsidRPr="00370401" w:rsidRDefault="00D11157" w:rsidP="00AC5B73">
            <w:pPr>
              <w:jc w:val="right"/>
              <w:rPr>
                <w:rFonts w:cs="Arial"/>
                <w:sz w:val="24"/>
                <w:szCs w:val="24"/>
              </w:rPr>
            </w:pPr>
            <w:r w:rsidRPr="00370401">
              <w:rPr>
                <w:rFonts w:cs="Arial"/>
                <w:sz w:val="24"/>
                <w:szCs w:val="24"/>
              </w:rPr>
              <w:t>76.0%</w:t>
            </w:r>
          </w:p>
        </w:tc>
        <w:tc>
          <w:tcPr>
            <w:tcW w:w="1581" w:type="dxa"/>
          </w:tcPr>
          <w:p w14:paraId="058A2D88" w14:textId="4C267FC0" w:rsidR="00D11157" w:rsidRPr="00370401" w:rsidRDefault="00D11157" w:rsidP="00AC5B73">
            <w:pPr>
              <w:jc w:val="right"/>
              <w:rPr>
                <w:rFonts w:cs="Arial"/>
                <w:sz w:val="24"/>
                <w:szCs w:val="24"/>
              </w:rPr>
            </w:pPr>
            <w:r w:rsidRPr="00370401">
              <w:rPr>
                <w:rFonts w:cs="Arial"/>
                <w:sz w:val="24"/>
                <w:szCs w:val="24"/>
              </w:rPr>
              <w:t>77.0%</w:t>
            </w:r>
          </w:p>
        </w:tc>
        <w:tc>
          <w:tcPr>
            <w:tcW w:w="1581" w:type="dxa"/>
          </w:tcPr>
          <w:p w14:paraId="21015EAC" w14:textId="7BFFCC1A" w:rsidR="00D11157" w:rsidRPr="00370401" w:rsidRDefault="00D11157" w:rsidP="00AC5B73">
            <w:pPr>
              <w:jc w:val="right"/>
              <w:rPr>
                <w:rFonts w:cs="Arial"/>
                <w:sz w:val="24"/>
                <w:szCs w:val="24"/>
              </w:rPr>
            </w:pPr>
            <w:r w:rsidRPr="00370401">
              <w:rPr>
                <w:rFonts w:cs="Arial"/>
                <w:sz w:val="24"/>
                <w:szCs w:val="24"/>
              </w:rPr>
              <w:t>77.3%</w:t>
            </w:r>
          </w:p>
        </w:tc>
      </w:tr>
      <w:tr w:rsidR="00D11157" w:rsidRPr="00370401" w14:paraId="248F569A" w14:textId="77777777" w:rsidTr="00370401">
        <w:tc>
          <w:tcPr>
            <w:tcW w:w="3085" w:type="dxa"/>
            <w:vAlign w:val="bottom"/>
          </w:tcPr>
          <w:p w14:paraId="41DBB584" w14:textId="4FEB664E" w:rsidR="00D11157" w:rsidRPr="00370401" w:rsidRDefault="00D11157" w:rsidP="00AC5B73">
            <w:pPr>
              <w:rPr>
                <w:rFonts w:cs="Arial"/>
                <w:sz w:val="24"/>
                <w:szCs w:val="24"/>
              </w:rPr>
            </w:pPr>
            <w:r w:rsidRPr="00370401">
              <w:rPr>
                <w:rFonts w:eastAsia="Times New Roman" w:cs="Arial"/>
                <w:b/>
                <w:bCs/>
                <w:color w:val="000000"/>
                <w:sz w:val="24"/>
                <w:szCs w:val="24"/>
                <w:lang w:eastAsia="en-GB"/>
              </w:rPr>
              <w:t>No information provided</w:t>
            </w:r>
          </w:p>
        </w:tc>
        <w:tc>
          <w:tcPr>
            <w:tcW w:w="1580" w:type="dxa"/>
          </w:tcPr>
          <w:p w14:paraId="24CF57DB" w14:textId="1F45FC1B" w:rsidR="00D11157" w:rsidRPr="00370401" w:rsidRDefault="00D11157" w:rsidP="00AC5B73">
            <w:pPr>
              <w:jc w:val="right"/>
              <w:rPr>
                <w:rFonts w:cs="Arial"/>
                <w:sz w:val="24"/>
                <w:szCs w:val="24"/>
              </w:rPr>
            </w:pPr>
            <w:r w:rsidRPr="00370401">
              <w:rPr>
                <w:rFonts w:cs="Arial"/>
                <w:sz w:val="24"/>
                <w:szCs w:val="24"/>
              </w:rPr>
              <w:t>14.4%</w:t>
            </w:r>
          </w:p>
        </w:tc>
        <w:tc>
          <w:tcPr>
            <w:tcW w:w="1581" w:type="dxa"/>
          </w:tcPr>
          <w:p w14:paraId="416A2A4D" w14:textId="5AE5589F" w:rsidR="00D11157" w:rsidRPr="00370401" w:rsidRDefault="00D11157" w:rsidP="00AC5B73">
            <w:pPr>
              <w:jc w:val="right"/>
              <w:rPr>
                <w:rFonts w:cs="Arial"/>
                <w:sz w:val="24"/>
                <w:szCs w:val="24"/>
              </w:rPr>
            </w:pPr>
            <w:r w:rsidRPr="00370401">
              <w:rPr>
                <w:rFonts w:cs="Arial"/>
                <w:sz w:val="24"/>
                <w:szCs w:val="24"/>
              </w:rPr>
              <w:t>15.8%</w:t>
            </w:r>
          </w:p>
        </w:tc>
        <w:tc>
          <w:tcPr>
            <w:tcW w:w="1580" w:type="dxa"/>
          </w:tcPr>
          <w:p w14:paraId="20E5993A" w14:textId="2B85AA2C" w:rsidR="00D11157" w:rsidRPr="00370401" w:rsidRDefault="00D11157" w:rsidP="00AC5B73">
            <w:pPr>
              <w:jc w:val="right"/>
              <w:rPr>
                <w:rFonts w:cs="Arial"/>
                <w:sz w:val="24"/>
                <w:szCs w:val="24"/>
              </w:rPr>
            </w:pPr>
            <w:r w:rsidRPr="00370401">
              <w:rPr>
                <w:rFonts w:cs="Arial"/>
                <w:sz w:val="24"/>
                <w:szCs w:val="24"/>
              </w:rPr>
              <w:t>14.9%</w:t>
            </w:r>
          </w:p>
        </w:tc>
        <w:tc>
          <w:tcPr>
            <w:tcW w:w="1581" w:type="dxa"/>
          </w:tcPr>
          <w:p w14:paraId="233403F7" w14:textId="41DE2EBA" w:rsidR="00D11157" w:rsidRPr="00370401" w:rsidRDefault="00D11157" w:rsidP="00AC5B73">
            <w:pPr>
              <w:jc w:val="right"/>
              <w:rPr>
                <w:rFonts w:cs="Arial"/>
                <w:sz w:val="24"/>
                <w:szCs w:val="24"/>
              </w:rPr>
            </w:pPr>
            <w:r w:rsidRPr="00370401">
              <w:rPr>
                <w:rFonts w:cs="Arial"/>
                <w:sz w:val="24"/>
                <w:szCs w:val="24"/>
              </w:rPr>
              <w:t>14.3%</w:t>
            </w:r>
          </w:p>
        </w:tc>
        <w:tc>
          <w:tcPr>
            <w:tcW w:w="1581" w:type="dxa"/>
          </w:tcPr>
          <w:p w14:paraId="1D88CF8F" w14:textId="03B3801F" w:rsidR="00D11157" w:rsidRPr="00370401" w:rsidRDefault="00D11157" w:rsidP="00AC5B73">
            <w:pPr>
              <w:jc w:val="right"/>
              <w:rPr>
                <w:rFonts w:cs="Arial"/>
                <w:sz w:val="24"/>
                <w:szCs w:val="24"/>
              </w:rPr>
            </w:pPr>
            <w:r w:rsidRPr="00370401">
              <w:rPr>
                <w:rFonts w:cs="Arial"/>
                <w:sz w:val="24"/>
                <w:szCs w:val="24"/>
              </w:rPr>
              <w:t>13.3%</w:t>
            </w:r>
          </w:p>
        </w:tc>
      </w:tr>
      <w:tr w:rsidR="00D11157" w:rsidRPr="00370401" w14:paraId="4452A452" w14:textId="77777777" w:rsidTr="00370401">
        <w:tc>
          <w:tcPr>
            <w:tcW w:w="3085" w:type="dxa"/>
            <w:vAlign w:val="bottom"/>
          </w:tcPr>
          <w:p w14:paraId="29FA0785" w14:textId="14C09747" w:rsidR="00D11157" w:rsidRPr="00370401" w:rsidRDefault="00D11157" w:rsidP="00AC5B73">
            <w:pPr>
              <w:rPr>
                <w:rFonts w:cs="Arial"/>
                <w:sz w:val="24"/>
                <w:szCs w:val="24"/>
              </w:rPr>
            </w:pPr>
            <w:r w:rsidRPr="00370401">
              <w:rPr>
                <w:rFonts w:eastAsia="Times New Roman" w:cs="Arial"/>
                <w:b/>
                <w:bCs/>
                <w:color w:val="000000"/>
                <w:sz w:val="24"/>
                <w:szCs w:val="24"/>
                <w:lang w:eastAsia="en-GB"/>
              </w:rPr>
              <w:t>Prefer not to say</w:t>
            </w:r>
          </w:p>
        </w:tc>
        <w:tc>
          <w:tcPr>
            <w:tcW w:w="1580" w:type="dxa"/>
          </w:tcPr>
          <w:p w14:paraId="77FF4E48" w14:textId="1846E3FB" w:rsidR="00D11157" w:rsidRPr="00370401" w:rsidRDefault="00D11157" w:rsidP="00AC5B73">
            <w:pPr>
              <w:jc w:val="right"/>
              <w:rPr>
                <w:rFonts w:cs="Arial"/>
                <w:sz w:val="24"/>
                <w:szCs w:val="24"/>
              </w:rPr>
            </w:pPr>
            <w:r w:rsidRPr="00370401">
              <w:rPr>
                <w:rFonts w:cs="Arial"/>
                <w:sz w:val="24"/>
                <w:szCs w:val="24"/>
              </w:rPr>
              <w:t>6.9%</w:t>
            </w:r>
          </w:p>
        </w:tc>
        <w:tc>
          <w:tcPr>
            <w:tcW w:w="1581" w:type="dxa"/>
          </w:tcPr>
          <w:p w14:paraId="186B1F9D" w14:textId="72A4C8EE" w:rsidR="00D11157" w:rsidRPr="00370401" w:rsidRDefault="00D11157" w:rsidP="00AC5B73">
            <w:pPr>
              <w:jc w:val="right"/>
              <w:rPr>
                <w:rFonts w:cs="Arial"/>
                <w:sz w:val="24"/>
                <w:szCs w:val="24"/>
              </w:rPr>
            </w:pPr>
            <w:r w:rsidRPr="00370401">
              <w:rPr>
                <w:rFonts w:cs="Arial"/>
                <w:sz w:val="24"/>
                <w:szCs w:val="24"/>
              </w:rPr>
              <w:t>7.4%</w:t>
            </w:r>
          </w:p>
        </w:tc>
        <w:tc>
          <w:tcPr>
            <w:tcW w:w="1580" w:type="dxa"/>
          </w:tcPr>
          <w:p w14:paraId="60A87C76" w14:textId="36BD4DDE" w:rsidR="00D11157" w:rsidRPr="00370401" w:rsidRDefault="00D11157" w:rsidP="00AC5B73">
            <w:pPr>
              <w:jc w:val="right"/>
              <w:rPr>
                <w:rFonts w:cs="Arial"/>
                <w:sz w:val="24"/>
                <w:szCs w:val="24"/>
              </w:rPr>
            </w:pPr>
            <w:r w:rsidRPr="00370401">
              <w:rPr>
                <w:rFonts w:cs="Arial"/>
                <w:sz w:val="24"/>
                <w:szCs w:val="24"/>
              </w:rPr>
              <w:t>7.0%</w:t>
            </w:r>
          </w:p>
        </w:tc>
        <w:tc>
          <w:tcPr>
            <w:tcW w:w="1581" w:type="dxa"/>
          </w:tcPr>
          <w:p w14:paraId="3ABB9E13" w14:textId="17611DC9" w:rsidR="00D11157" w:rsidRPr="00370401" w:rsidRDefault="00D11157" w:rsidP="00AC5B73">
            <w:pPr>
              <w:jc w:val="right"/>
              <w:rPr>
                <w:rFonts w:cs="Arial"/>
                <w:sz w:val="24"/>
                <w:szCs w:val="24"/>
              </w:rPr>
            </w:pPr>
            <w:r w:rsidRPr="00370401">
              <w:rPr>
                <w:rFonts w:cs="Arial"/>
                <w:sz w:val="24"/>
                <w:szCs w:val="24"/>
              </w:rPr>
              <w:t>6.1%</w:t>
            </w:r>
          </w:p>
        </w:tc>
        <w:tc>
          <w:tcPr>
            <w:tcW w:w="1581" w:type="dxa"/>
          </w:tcPr>
          <w:p w14:paraId="4AAC0542" w14:textId="03C05D39" w:rsidR="00D11157" w:rsidRPr="00370401" w:rsidRDefault="00D11157" w:rsidP="00AC5B73">
            <w:pPr>
              <w:jc w:val="right"/>
              <w:rPr>
                <w:rFonts w:cs="Arial"/>
                <w:sz w:val="24"/>
                <w:szCs w:val="24"/>
              </w:rPr>
            </w:pPr>
            <w:r w:rsidRPr="00370401">
              <w:rPr>
                <w:rFonts w:cs="Arial"/>
                <w:sz w:val="24"/>
                <w:szCs w:val="24"/>
              </w:rPr>
              <w:t>6.3%</w:t>
            </w:r>
          </w:p>
        </w:tc>
      </w:tr>
      <w:tr w:rsidR="00D11157" w:rsidRPr="00370401" w14:paraId="76DB407A" w14:textId="77777777" w:rsidTr="00370401">
        <w:tc>
          <w:tcPr>
            <w:tcW w:w="3085" w:type="dxa"/>
            <w:vAlign w:val="bottom"/>
          </w:tcPr>
          <w:p w14:paraId="3176B47B" w14:textId="6D7EE968" w:rsidR="00D11157" w:rsidRPr="00370401" w:rsidRDefault="00037C7A" w:rsidP="00AC5B73">
            <w:pPr>
              <w:rPr>
                <w:rFonts w:cs="Arial"/>
                <w:sz w:val="24"/>
                <w:szCs w:val="24"/>
              </w:rPr>
            </w:pPr>
            <w:r>
              <w:rPr>
                <w:rFonts w:eastAsia="Times New Roman" w:cs="Arial"/>
                <w:b/>
                <w:bCs/>
                <w:color w:val="000000"/>
                <w:sz w:val="24"/>
                <w:szCs w:val="24"/>
                <w:lang w:eastAsia="en-GB"/>
              </w:rPr>
              <w:t>Gay/</w:t>
            </w:r>
            <w:r w:rsidR="00D11157" w:rsidRPr="00370401">
              <w:rPr>
                <w:rFonts w:eastAsia="Times New Roman" w:cs="Arial"/>
                <w:b/>
                <w:bCs/>
                <w:color w:val="000000"/>
                <w:sz w:val="24"/>
                <w:szCs w:val="24"/>
                <w:lang w:eastAsia="en-GB"/>
              </w:rPr>
              <w:t>Lesbian</w:t>
            </w:r>
          </w:p>
        </w:tc>
        <w:tc>
          <w:tcPr>
            <w:tcW w:w="1580" w:type="dxa"/>
          </w:tcPr>
          <w:p w14:paraId="31F6B298" w14:textId="358DD5DD" w:rsidR="00D11157" w:rsidRPr="00370401" w:rsidRDefault="00037C7A" w:rsidP="00AC5B73">
            <w:pPr>
              <w:jc w:val="right"/>
              <w:rPr>
                <w:rFonts w:cs="Arial"/>
                <w:sz w:val="24"/>
                <w:szCs w:val="24"/>
              </w:rPr>
            </w:pPr>
            <w:r>
              <w:rPr>
                <w:rFonts w:cs="Arial"/>
                <w:sz w:val="24"/>
                <w:szCs w:val="24"/>
              </w:rPr>
              <w:t>1.3</w:t>
            </w:r>
            <w:r w:rsidR="00D11157" w:rsidRPr="00370401">
              <w:rPr>
                <w:rFonts w:cs="Arial"/>
                <w:sz w:val="24"/>
                <w:szCs w:val="24"/>
              </w:rPr>
              <w:t>%</w:t>
            </w:r>
          </w:p>
        </w:tc>
        <w:tc>
          <w:tcPr>
            <w:tcW w:w="1581" w:type="dxa"/>
          </w:tcPr>
          <w:p w14:paraId="602E37E0" w14:textId="1474B56D" w:rsidR="00D11157" w:rsidRPr="00370401" w:rsidRDefault="00037C7A" w:rsidP="00AC5B73">
            <w:pPr>
              <w:jc w:val="right"/>
              <w:rPr>
                <w:rFonts w:cs="Arial"/>
                <w:sz w:val="24"/>
                <w:szCs w:val="24"/>
              </w:rPr>
            </w:pPr>
            <w:r>
              <w:rPr>
                <w:rFonts w:cs="Arial"/>
                <w:sz w:val="24"/>
                <w:szCs w:val="24"/>
              </w:rPr>
              <w:t>1.5</w:t>
            </w:r>
            <w:r w:rsidR="00D11157" w:rsidRPr="00370401">
              <w:rPr>
                <w:rFonts w:cs="Arial"/>
                <w:sz w:val="24"/>
                <w:szCs w:val="24"/>
              </w:rPr>
              <w:t>%</w:t>
            </w:r>
          </w:p>
        </w:tc>
        <w:tc>
          <w:tcPr>
            <w:tcW w:w="1580" w:type="dxa"/>
          </w:tcPr>
          <w:p w14:paraId="6822713A" w14:textId="77FBF708" w:rsidR="00D11157" w:rsidRPr="00370401" w:rsidRDefault="00037C7A" w:rsidP="00AC5B73">
            <w:pPr>
              <w:jc w:val="right"/>
              <w:rPr>
                <w:rFonts w:cs="Arial"/>
                <w:sz w:val="24"/>
                <w:szCs w:val="24"/>
              </w:rPr>
            </w:pPr>
            <w:r>
              <w:rPr>
                <w:rFonts w:cs="Arial"/>
                <w:sz w:val="24"/>
                <w:szCs w:val="24"/>
              </w:rPr>
              <w:t>1.4</w:t>
            </w:r>
            <w:r w:rsidR="00D11157" w:rsidRPr="00370401">
              <w:rPr>
                <w:rFonts w:cs="Arial"/>
                <w:sz w:val="24"/>
                <w:szCs w:val="24"/>
              </w:rPr>
              <w:t>%</w:t>
            </w:r>
          </w:p>
        </w:tc>
        <w:tc>
          <w:tcPr>
            <w:tcW w:w="1581" w:type="dxa"/>
          </w:tcPr>
          <w:p w14:paraId="0C5EAAA5" w14:textId="03417D76" w:rsidR="00D11157" w:rsidRPr="00370401" w:rsidRDefault="00037C7A" w:rsidP="00AC5B73">
            <w:pPr>
              <w:jc w:val="right"/>
              <w:rPr>
                <w:rFonts w:cs="Arial"/>
                <w:sz w:val="24"/>
                <w:szCs w:val="24"/>
              </w:rPr>
            </w:pPr>
            <w:r>
              <w:rPr>
                <w:rFonts w:cs="Arial"/>
                <w:sz w:val="24"/>
                <w:szCs w:val="24"/>
              </w:rPr>
              <w:t>1.8</w:t>
            </w:r>
            <w:r w:rsidR="00D11157" w:rsidRPr="00370401">
              <w:rPr>
                <w:rFonts w:cs="Arial"/>
                <w:sz w:val="24"/>
                <w:szCs w:val="24"/>
              </w:rPr>
              <w:t>%</w:t>
            </w:r>
          </w:p>
        </w:tc>
        <w:tc>
          <w:tcPr>
            <w:tcW w:w="1581" w:type="dxa"/>
          </w:tcPr>
          <w:p w14:paraId="26C536FD" w14:textId="71B4E906" w:rsidR="00D11157" w:rsidRPr="00370401" w:rsidRDefault="00037C7A" w:rsidP="00AC5B73">
            <w:pPr>
              <w:jc w:val="right"/>
              <w:rPr>
                <w:rFonts w:cs="Arial"/>
                <w:sz w:val="24"/>
                <w:szCs w:val="24"/>
              </w:rPr>
            </w:pPr>
            <w:r>
              <w:rPr>
                <w:rFonts w:cs="Arial"/>
                <w:sz w:val="24"/>
                <w:szCs w:val="24"/>
              </w:rPr>
              <w:t>2.1</w:t>
            </w:r>
            <w:r w:rsidR="00D11157" w:rsidRPr="00370401">
              <w:rPr>
                <w:rFonts w:cs="Arial"/>
                <w:sz w:val="24"/>
                <w:szCs w:val="24"/>
              </w:rPr>
              <w:t>%</w:t>
            </w:r>
          </w:p>
        </w:tc>
      </w:tr>
      <w:tr w:rsidR="00D11157" w:rsidRPr="00370401" w14:paraId="487947C2" w14:textId="77777777" w:rsidTr="00370401">
        <w:tc>
          <w:tcPr>
            <w:tcW w:w="3085" w:type="dxa"/>
            <w:vAlign w:val="bottom"/>
          </w:tcPr>
          <w:p w14:paraId="3948303F" w14:textId="16569A0C" w:rsidR="00D11157" w:rsidRPr="00370401" w:rsidRDefault="00D11157" w:rsidP="00AC5B73">
            <w:pPr>
              <w:rPr>
                <w:rFonts w:cs="Arial"/>
                <w:sz w:val="24"/>
                <w:szCs w:val="24"/>
              </w:rPr>
            </w:pPr>
            <w:r w:rsidRPr="00370401">
              <w:rPr>
                <w:rFonts w:eastAsia="Times New Roman" w:cs="Arial"/>
                <w:b/>
                <w:bCs/>
                <w:color w:val="000000"/>
                <w:sz w:val="24"/>
                <w:szCs w:val="24"/>
                <w:lang w:eastAsia="en-GB"/>
              </w:rPr>
              <w:t>Bisexual</w:t>
            </w:r>
          </w:p>
        </w:tc>
        <w:tc>
          <w:tcPr>
            <w:tcW w:w="1580" w:type="dxa"/>
          </w:tcPr>
          <w:p w14:paraId="216FC631" w14:textId="26A604AB" w:rsidR="00D11157" w:rsidRPr="00370401" w:rsidRDefault="00D11157" w:rsidP="00AC5B73">
            <w:pPr>
              <w:jc w:val="right"/>
              <w:rPr>
                <w:rFonts w:cs="Arial"/>
                <w:sz w:val="24"/>
                <w:szCs w:val="24"/>
              </w:rPr>
            </w:pPr>
            <w:r w:rsidRPr="00370401">
              <w:rPr>
                <w:rFonts w:cs="Arial"/>
                <w:sz w:val="24"/>
                <w:szCs w:val="24"/>
              </w:rPr>
              <w:t>0.4%</w:t>
            </w:r>
          </w:p>
        </w:tc>
        <w:tc>
          <w:tcPr>
            <w:tcW w:w="1581" w:type="dxa"/>
          </w:tcPr>
          <w:p w14:paraId="58130F74" w14:textId="4A0DEC03" w:rsidR="00D11157" w:rsidRPr="00370401" w:rsidRDefault="00D11157" w:rsidP="00AC5B73">
            <w:pPr>
              <w:jc w:val="right"/>
              <w:rPr>
                <w:rFonts w:cs="Arial"/>
                <w:sz w:val="24"/>
                <w:szCs w:val="24"/>
              </w:rPr>
            </w:pPr>
            <w:r w:rsidRPr="00370401">
              <w:rPr>
                <w:rFonts w:cs="Arial"/>
                <w:sz w:val="24"/>
                <w:szCs w:val="24"/>
              </w:rPr>
              <w:t>0.5%</w:t>
            </w:r>
          </w:p>
        </w:tc>
        <w:tc>
          <w:tcPr>
            <w:tcW w:w="1580" w:type="dxa"/>
          </w:tcPr>
          <w:p w14:paraId="6E44C42F" w14:textId="13240B68" w:rsidR="00D11157" w:rsidRPr="00370401" w:rsidRDefault="00D11157" w:rsidP="00AC5B73">
            <w:pPr>
              <w:jc w:val="right"/>
              <w:rPr>
                <w:rFonts w:cs="Arial"/>
                <w:sz w:val="24"/>
                <w:szCs w:val="24"/>
              </w:rPr>
            </w:pPr>
            <w:r w:rsidRPr="00370401">
              <w:rPr>
                <w:rFonts w:cs="Arial"/>
                <w:sz w:val="24"/>
                <w:szCs w:val="24"/>
              </w:rPr>
              <w:t>0.4%</w:t>
            </w:r>
          </w:p>
        </w:tc>
        <w:tc>
          <w:tcPr>
            <w:tcW w:w="1581" w:type="dxa"/>
          </w:tcPr>
          <w:p w14:paraId="5F272041" w14:textId="68D63FDD" w:rsidR="00D11157" w:rsidRPr="00370401" w:rsidRDefault="00D11157" w:rsidP="00AC5B73">
            <w:pPr>
              <w:jc w:val="right"/>
              <w:rPr>
                <w:rFonts w:cs="Arial"/>
                <w:sz w:val="24"/>
                <w:szCs w:val="24"/>
              </w:rPr>
            </w:pPr>
            <w:r w:rsidRPr="00370401">
              <w:rPr>
                <w:rFonts w:cs="Arial"/>
                <w:sz w:val="24"/>
                <w:szCs w:val="24"/>
              </w:rPr>
              <w:t>0.6%</w:t>
            </w:r>
          </w:p>
        </w:tc>
        <w:tc>
          <w:tcPr>
            <w:tcW w:w="1581" w:type="dxa"/>
          </w:tcPr>
          <w:p w14:paraId="7B0D4E14" w14:textId="7E5CEC21" w:rsidR="00D11157" w:rsidRPr="00370401" w:rsidRDefault="00D11157" w:rsidP="00AC5B73">
            <w:pPr>
              <w:jc w:val="right"/>
              <w:rPr>
                <w:rFonts w:cs="Arial"/>
                <w:sz w:val="24"/>
                <w:szCs w:val="24"/>
              </w:rPr>
            </w:pPr>
            <w:r w:rsidRPr="00370401">
              <w:rPr>
                <w:rFonts w:cs="Arial"/>
                <w:sz w:val="24"/>
                <w:szCs w:val="24"/>
              </w:rPr>
              <w:t>0.7%</w:t>
            </w:r>
          </w:p>
        </w:tc>
      </w:tr>
      <w:tr w:rsidR="00D11157" w:rsidRPr="00370401" w14:paraId="16514A10" w14:textId="77777777" w:rsidTr="00370401">
        <w:tc>
          <w:tcPr>
            <w:tcW w:w="3085" w:type="dxa"/>
            <w:vAlign w:val="bottom"/>
          </w:tcPr>
          <w:p w14:paraId="6FC2A5EE" w14:textId="13608E03" w:rsidR="00D11157" w:rsidRPr="00370401" w:rsidRDefault="00D11157" w:rsidP="00AC5B73">
            <w:pPr>
              <w:rPr>
                <w:rFonts w:cs="Arial"/>
                <w:sz w:val="24"/>
                <w:szCs w:val="24"/>
              </w:rPr>
            </w:pPr>
            <w:r w:rsidRPr="00370401">
              <w:rPr>
                <w:rFonts w:eastAsia="Times New Roman" w:cs="Arial"/>
                <w:b/>
                <w:bCs/>
                <w:color w:val="000000"/>
                <w:sz w:val="24"/>
                <w:szCs w:val="24"/>
                <w:lang w:eastAsia="en-GB"/>
              </w:rPr>
              <w:t>Other</w:t>
            </w:r>
          </w:p>
        </w:tc>
        <w:tc>
          <w:tcPr>
            <w:tcW w:w="1580" w:type="dxa"/>
          </w:tcPr>
          <w:p w14:paraId="19648E1B" w14:textId="4DDBAEF0" w:rsidR="00D11157" w:rsidRPr="00370401" w:rsidRDefault="00D11157" w:rsidP="00AC5B73">
            <w:pPr>
              <w:jc w:val="right"/>
              <w:rPr>
                <w:rFonts w:cs="Arial"/>
                <w:sz w:val="24"/>
                <w:szCs w:val="24"/>
              </w:rPr>
            </w:pPr>
            <w:r w:rsidRPr="00370401">
              <w:rPr>
                <w:rFonts w:cs="Arial"/>
                <w:sz w:val="24"/>
                <w:szCs w:val="24"/>
              </w:rPr>
              <w:t>0.2%</w:t>
            </w:r>
          </w:p>
        </w:tc>
        <w:tc>
          <w:tcPr>
            <w:tcW w:w="1581" w:type="dxa"/>
          </w:tcPr>
          <w:p w14:paraId="41AC51FD" w14:textId="7FD31E40" w:rsidR="00D11157" w:rsidRPr="00370401" w:rsidRDefault="00D11157" w:rsidP="00AC5B73">
            <w:pPr>
              <w:jc w:val="right"/>
              <w:rPr>
                <w:rFonts w:cs="Arial"/>
                <w:sz w:val="24"/>
                <w:szCs w:val="24"/>
              </w:rPr>
            </w:pPr>
            <w:r w:rsidRPr="00370401">
              <w:rPr>
                <w:rFonts w:cs="Arial"/>
                <w:sz w:val="24"/>
                <w:szCs w:val="24"/>
              </w:rPr>
              <w:t>0.3%</w:t>
            </w:r>
          </w:p>
        </w:tc>
        <w:tc>
          <w:tcPr>
            <w:tcW w:w="1580" w:type="dxa"/>
          </w:tcPr>
          <w:p w14:paraId="0AD228E3" w14:textId="613C811F" w:rsidR="00D11157" w:rsidRPr="00370401" w:rsidRDefault="00D11157" w:rsidP="00AC5B73">
            <w:pPr>
              <w:jc w:val="right"/>
              <w:rPr>
                <w:rFonts w:cs="Arial"/>
                <w:sz w:val="24"/>
                <w:szCs w:val="24"/>
              </w:rPr>
            </w:pPr>
            <w:r w:rsidRPr="00370401">
              <w:rPr>
                <w:rFonts w:cs="Arial"/>
                <w:sz w:val="24"/>
                <w:szCs w:val="24"/>
              </w:rPr>
              <w:t>0.3%</w:t>
            </w:r>
          </w:p>
        </w:tc>
        <w:tc>
          <w:tcPr>
            <w:tcW w:w="1581" w:type="dxa"/>
          </w:tcPr>
          <w:p w14:paraId="3B773500" w14:textId="69327679" w:rsidR="00D11157" w:rsidRPr="00370401" w:rsidRDefault="00D11157" w:rsidP="00AC5B73">
            <w:pPr>
              <w:jc w:val="right"/>
              <w:rPr>
                <w:rFonts w:cs="Arial"/>
                <w:sz w:val="24"/>
                <w:szCs w:val="24"/>
              </w:rPr>
            </w:pPr>
            <w:r w:rsidRPr="00370401">
              <w:rPr>
                <w:rFonts w:cs="Arial"/>
                <w:sz w:val="24"/>
                <w:szCs w:val="24"/>
              </w:rPr>
              <w:t>0.3%</w:t>
            </w:r>
          </w:p>
        </w:tc>
        <w:tc>
          <w:tcPr>
            <w:tcW w:w="1581" w:type="dxa"/>
          </w:tcPr>
          <w:p w14:paraId="6739251A" w14:textId="4FF7F598" w:rsidR="00D11157" w:rsidRPr="00370401" w:rsidRDefault="00D11157" w:rsidP="00AC5B73">
            <w:pPr>
              <w:jc w:val="right"/>
              <w:rPr>
                <w:rFonts w:cs="Arial"/>
                <w:sz w:val="24"/>
                <w:szCs w:val="24"/>
              </w:rPr>
            </w:pPr>
            <w:r w:rsidRPr="00370401">
              <w:rPr>
                <w:rFonts w:cs="Arial"/>
                <w:sz w:val="24"/>
                <w:szCs w:val="24"/>
              </w:rPr>
              <w:t>0.2%</w:t>
            </w:r>
          </w:p>
        </w:tc>
      </w:tr>
    </w:tbl>
    <w:p w14:paraId="6B73ECDF" w14:textId="1AE75F31" w:rsidR="001129CF" w:rsidRPr="0096798A" w:rsidRDefault="001129CF" w:rsidP="00AC5B73">
      <w:pPr>
        <w:rPr>
          <w:rFonts w:cs="Arial"/>
          <w:szCs w:val="24"/>
        </w:rPr>
      </w:pPr>
    </w:p>
    <w:p w14:paraId="59530B6A" w14:textId="7C5BF91F" w:rsidR="007D1AC2" w:rsidRPr="0096798A" w:rsidRDefault="007D1AC2" w:rsidP="00AC5B73">
      <w:pPr>
        <w:rPr>
          <w:rFonts w:cs="Arial"/>
          <w:szCs w:val="24"/>
        </w:rPr>
      </w:pPr>
      <w:r w:rsidRPr="0096798A">
        <w:rPr>
          <w:rFonts w:cs="Arial"/>
          <w:szCs w:val="24"/>
        </w:rPr>
        <w:t xml:space="preserve">The quality of information held on the declared sexual orientation of members of staff has improved over the years at </w:t>
      </w:r>
      <w:r w:rsidR="00CF0F31" w:rsidRPr="0096798A">
        <w:rPr>
          <w:rFonts w:cs="Arial"/>
          <w:szCs w:val="24"/>
        </w:rPr>
        <w:t>NHS GJ</w:t>
      </w:r>
      <w:r w:rsidRPr="0096798A">
        <w:rPr>
          <w:rFonts w:cs="Arial"/>
          <w:szCs w:val="24"/>
        </w:rPr>
        <w:t>, as can be seen in the decrease in the proportion of staff for whom no information is held.</w:t>
      </w:r>
      <w:r w:rsidR="00901CC7" w:rsidRPr="0096798A">
        <w:rPr>
          <w:rFonts w:cs="Arial"/>
          <w:szCs w:val="24"/>
        </w:rPr>
        <w:t xml:space="preserve"> </w:t>
      </w:r>
      <w:r w:rsidRPr="0096798A">
        <w:rPr>
          <w:rFonts w:cs="Arial"/>
          <w:szCs w:val="24"/>
        </w:rPr>
        <w:t>This can be seen when compared to other Boards, where the proportion of staff for whom no information has been provided on sexual orientation tends to be higher (</w:t>
      </w:r>
      <w:hyperlink r:id="rId81" w:history="1">
        <w:r w:rsidR="00685653" w:rsidRPr="00331C97">
          <w:rPr>
            <w:rStyle w:val="Hyperlink"/>
            <w:rFonts w:cs="Arial"/>
            <w:szCs w:val="24"/>
          </w:rPr>
          <w:t>NHS Scotland Workforce Statistics release as at 31 March 2022</w:t>
        </w:r>
      </w:hyperlink>
      <w:r w:rsidR="00685653">
        <w:t>)</w:t>
      </w:r>
      <w:r w:rsidRPr="0096798A">
        <w:rPr>
          <w:rFonts w:cs="Arial"/>
          <w:szCs w:val="24"/>
        </w:rPr>
        <w:t>:</w:t>
      </w:r>
    </w:p>
    <w:p w14:paraId="61E9CAA1" w14:textId="77777777" w:rsidR="007D1AC2" w:rsidRDefault="007D1AC2" w:rsidP="00AC5B73">
      <w:pPr>
        <w:rPr>
          <w:rFonts w:cs="Arial"/>
          <w:szCs w:val="24"/>
        </w:rPr>
      </w:pPr>
    </w:p>
    <w:tbl>
      <w:tblPr>
        <w:tblStyle w:val="TableGrid"/>
        <w:tblW w:w="0" w:type="auto"/>
        <w:tblLayout w:type="fixed"/>
        <w:tblLook w:val="04A0" w:firstRow="1" w:lastRow="0" w:firstColumn="1" w:lastColumn="0" w:noHBand="0" w:noVBand="1"/>
      </w:tblPr>
      <w:tblGrid>
        <w:gridCol w:w="3986"/>
        <w:gridCol w:w="1400"/>
        <w:gridCol w:w="1400"/>
        <w:gridCol w:w="1401"/>
        <w:gridCol w:w="1400"/>
        <w:gridCol w:w="1401"/>
      </w:tblGrid>
      <w:tr w:rsidR="009D09ED" w:rsidRPr="00490D8E" w14:paraId="30AD39D7" w14:textId="77777777" w:rsidTr="0027651E">
        <w:tc>
          <w:tcPr>
            <w:tcW w:w="3986" w:type="dxa"/>
            <w:vAlign w:val="bottom"/>
          </w:tcPr>
          <w:p w14:paraId="662EE584" w14:textId="10A14596" w:rsidR="009D09ED" w:rsidRPr="00490D8E" w:rsidRDefault="009D09ED" w:rsidP="00AC5B73">
            <w:pPr>
              <w:rPr>
                <w:rFonts w:cs="Arial"/>
                <w:b/>
                <w:sz w:val="24"/>
                <w:szCs w:val="24"/>
              </w:rPr>
            </w:pPr>
            <w:r w:rsidRPr="00490D8E">
              <w:rPr>
                <w:rFonts w:cs="Arial"/>
                <w:b/>
                <w:color w:val="000000"/>
                <w:sz w:val="24"/>
                <w:szCs w:val="24"/>
              </w:rPr>
              <w:t>Health Board/Area</w:t>
            </w:r>
          </w:p>
        </w:tc>
        <w:tc>
          <w:tcPr>
            <w:tcW w:w="7002" w:type="dxa"/>
            <w:gridSpan w:val="5"/>
          </w:tcPr>
          <w:p w14:paraId="64FF4955" w14:textId="2D5067A7" w:rsidR="009D09ED" w:rsidRPr="00490D8E" w:rsidRDefault="009D09ED" w:rsidP="00AC5B73">
            <w:pPr>
              <w:rPr>
                <w:rFonts w:cs="Arial"/>
                <w:b/>
                <w:sz w:val="24"/>
                <w:szCs w:val="24"/>
              </w:rPr>
            </w:pPr>
            <w:r w:rsidRPr="00490D8E">
              <w:rPr>
                <w:rFonts w:cs="Arial"/>
                <w:b/>
                <w:color w:val="000000"/>
                <w:sz w:val="24"/>
                <w:szCs w:val="24"/>
              </w:rPr>
              <w:t>Sexual Orientation – no information provided</w:t>
            </w:r>
          </w:p>
        </w:tc>
      </w:tr>
      <w:tr w:rsidR="00E56F5F" w:rsidRPr="00490D8E" w14:paraId="6EED957B" w14:textId="77777777" w:rsidTr="009D09ED">
        <w:tc>
          <w:tcPr>
            <w:tcW w:w="3986" w:type="dxa"/>
            <w:vAlign w:val="bottom"/>
          </w:tcPr>
          <w:p w14:paraId="0090BF88" w14:textId="77777777" w:rsidR="00E56F5F" w:rsidRPr="00490D8E" w:rsidRDefault="00E56F5F" w:rsidP="00AC5B73">
            <w:pPr>
              <w:rPr>
                <w:rFonts w:cs="Arial"/>
                <w:b/>
                <w:sz w:val="24"/>
                <w:szCs w:val="24"/>
              </w:rPr>
            </w:pPr>
          </w:p>
        </w:tc>
        <w:tc>
          <w:tcPr>
            <w:tcW w:w="1400" w:type="dxa"/>
            <w:vAlign w:val="bottom"/>
          </w:tcPr>
          <w:p w14:paraId="4C107064" w14:textId="65C81654" w:rsidR="00E56F5F" w:rsidRPr="00490D8E" w:rsidRDefault="00E56F5F" w:rsidP="00AC5B73">
            <w:pPr>
              <w:rPr>
                <w:rFonts w:cs="Arial"/>
                <w:b/>
                <w:sz w:val="24"/>
                <w:szCs w:val="24"/>
              </w:rPr>
            </w:pPr>
            <w:r w:rsidRPr="00490D8E">
              <w:rPr>
                <w:rFonts w:cs="Arial"/>
                <w:b/>
                <w:color w:val="000000"/>
                <w:sz w:val="24"/>
                <w:szCs w:val="24"/>
              </w:rPr>
              <w:t>2018</w:t>
            </w:r>
          </w:p>
        </w:tc>
        <w:tc>
          <w:tcPr>
            <w:tcW w:w="1400" w:type="dxa"/>
            <w:vAlign w:val="bottom"/>
          </w:tcPr>
          <w:p w14:paraId="2DB477B5" w14:textId="480D8C67" w:rsidR="00E56F5F" w:rsidRPr="00490D8E" w:rsidRDefault="00E56F5F" w:rsidP="00AC5B73">
            <w:pPr>
              <w:rPr>
                <w:rFonts w:cs="Arial"/>
                <w:b/>
                <w:sz w:val="24"/>
                <w:szCs w:val="24"/>
              </w:rPr>
            </w:pPr>
            <w:r w:rsidRPr="00490D8E">
              <w:rPr>
                <w:rFonts w:cs="Arial"/>
                <w:b/>
                <w:color w:val="000000"/>
                <w:sz w:val="24"/>
                <w:szCs w:val="24"/>
              </w:rPr>
              <w:t>2019</w:t>
            </w:r>
          </w:p>
        </w:tc>
        <w:tc>
          <w:tcPr>
            <w:tcW w:w="1401" w:type="dxa"/>
            <w:vAlign w:val="bottom"/>
          </w:tcPr>
          <w:p w14:paraId="7F6135B7" w14:textId="4AD016DF" w:rsidR="00E56F5F" w:rsidRPr="00490D8E" w:rsidRDefault="00E56F5F" w:rsidP="00AC5B73">
            <w:pPr>
              <w:rPr>
                <w:rFonts w:cs="Arial"/>
                <w:b/>
                <w:sz w:val="24"/>
                <w:szCs w:val="24"/>
              </w:rPr>
            </w:pPr>
            <w:r w:rsidRPr="00490D8E">
              <w:rPr>
                <w:rFonts w:cs="Arial"/>
                <w:b/>
                <w:color w:val="000000"/>
                <w:sz w:val="24"/>
                <w:szCs w:val="24"/>
              </w:rPr>
              <w:t>2020</w:t>
            </w:r>
          </w:p>
        </w:tc>
        <w:tc>
          <w:tcPr>
            <w:tcW w:w="1400" w:type="dxa"/>
            <w:vAlign w:val="bottom"/>
          </w:tcPr>
          <w:p w14:paraId="4F569AF3" w14:textId="2C0A3F7B" w:rsidR="00E56F5F" w:rsidRPr="00490D8E" w:rsidRDefault="00E56F5F" w:rsidP="00AC5B73">
            <w:pPr>
              <w:rPr>
                <w:rFonts w:cs="Arial"/>
                <w:b/>
                <w:sz w:val="24"/>
                <w:szCs w:val="24"/>
              </w:rPr>
            </w:pPr>
            <w:r w:rsidRPr="00490D8E">
              <w:rPr>
                <w:rFonts w:cs="Arial"/>
                <w:b/>
                <w:color w:val="000000"/>
                <w:sz w:val="24"/>
                <w:szCs w:val="24"/>
              </w:rPr>
              <w:t>2021</w:t>
            </w:r>
          </w:p>
        </w:tc>
        <w:tc>
          <w:tcPr>
            <w:tcW w:w="1401" w:type="dxa"/>
            <w:vAlign w:val="bottom"/>
          </w:tcPr>
          <w:p w14:paraId="488344A7" w14:textId="20321CB0" w:rsidR="00E56F5F" w:rsidRPr="00490D8E" w:rsidRDefault="00E56F5F" w:rsidP="00AC5B73">
            <w:pPr>
              <w:rPr>
                <w:rFonts w:cs="Arial"/>
                <w:b/>
                <w:sz w:val="24"/>
                <w:szCs w:val="24"/>
              </w:rPr>
            </w:pPr>
            <w:r w:rsidRPr="00490D8E">
              <w:rPr>
                <w:rFonts w:cs="Arial"/>
                <w:b/>
                <w:color w:val="000000"/>
                <w:sz w:val="24"/>
                <w:szCs w:val="24"/>
              </w:rPr>
              <w:t>2022</w:t>
            </w:r>
          </w:p>
        </w:tc>
      </w:tr>
      <w:tr w:rsidR="00E56F5F" w:rsidRPr="00E56F5F" w14:paraId="6F7384F9" w14:textId="77777777" w:rsidTr="009D09ED">
        <w:tc>
          <w:tcPr>
            <w:tcW w:w="3986" w:type="dxa"/>
            <w:vAlign w:val="bottom"/>
          </w:tcPr>
          <w:p w14:paraId="2B8C6F38" w14:textId="15F73CB9" w:rsidR="00E56F5F" w:rsidRPr="00490D8E" w:rsidRDefault="00E56F5F" w:rsidP="00AC5B73">
            <w:pPr>
              <w:rPr>
                <w:rFonts w:cs="Arial"/>
                <w:b/>
                <w:sz w:val="24"/>
                <w:szCs w:val="24"/>
              </w:rPr>
            </w:pPr>
            <w:r w:rsidRPr="00490D8E">
              <w:rPr>
                <w:rFonts w:cs="Arial"/>
                <w:b/>
                <w:color w:val="000000"/>
                <w:sz w:val="24"/>
                <w:szCs w:val="24"/>
              </w:rPr>
              <w:t>NHS Scotland</w:t>
            </w:r>
          </w:p>
        </w:tc>
        <w:tc>
          <w:tcPr>
            <w:tcW w:w="1400" w:type="dxa"/>
            <w:vAlign w:val="bottom"/>
          </w:tcPr>
          <w:p w14:paraId="45938199" w14:textId="21D2A728" w:rsidR="00E56F5F" w:rsidRPr="00E56F5F" w:rsidRDefault="00E56F5F" w:rsidP="00AC5B73">
            <w:pPr>
              <w:rPr>
                <w:rFonts w:cs="Arial"/>
                <w:sz w:val="24"/>
                <w:szCs w:val="24"/>
              </w:rPr>
            </w:pPr>
            <w:r w:rsidRPr="00E56F5F">
              <w:rPr>
                <w:rFonts w:cs="Arial"/>
                <w:color w:val="000000"/>
                <w:sz w:val="24"/>
                <w:szCs w:val="24"/>
              </w:rPr>
              <w:t>28.7%</w:t>
            </w:r>
          </w:p>
        </w:tc>
        <w:tc>
          <w:tcPr>
            <w:tcW w:w="1400" w:type="dxa"/>
            <w:vAlign w:val="bottom"/>
          </w:tcPr>
          <w:p w14:paraId="46DFA4A5" w14:textId="29636E8B" w:rsidR="00E56F5F" w:rsidRPr="00E56F5F" w:rsidRDefault="00E56F5F" w:rsidP="00AC5B73">
            <w:pPr>
              <w:rPr>
                <w:rFonts w:cs="Arial"/>
                <w:sz w:val="24"/>
                <w:szCs w:val="24"/>
              </w:rPr>
            </w:pPr>
            <w:r w:rsidRPr="00E56F5F">
              <w:rPr>
                <w:rFonts w:cs="Arial"/>
                <w:color w:val="000000"/>
                <w:sz w:val="24"/>
                <w:szCs w:val="24"/>
              </w:rPr>
              <w:t>28.8%</w:t>
            </w:r>
          </w:p>
        </w:tc>
        <w:tc>
          <w:tcPr>
            <w:tcW w:w="1401" w:type="dxa"/>
            <w:vAlign w:val="bottom"/>
          </w:tcPr>
          <w:p w14:paraId="0CBC3486" w14:textId="66948922" w:rsidR="00E56F5F" w:rsidRPr="00E56F5F" w:rsidRDefault="00E56F5F" w:rsidP="00AC5B73">
            <w:pPr>
              <w:rPr>
                <w:rFonts w:cs="Arial"/>
                <w:sz w:val="24"/>
                <w:szCs w:val="24"/>
              </w:rPr>
            </w:pPr>
            <w:r w:rsidRPr="00E56F5F">
              <w:rPr>
                <w:rFonts w:cs="Arial"/>
                <w:color w:val="000000"/>
                <w:sz w:val="24"/>
                <w:szCs w:val="24"/>
              </w:rPr>
              <w:t>29.8%</w:t>
            </w:r>
          </w:p>
        </w:tc>
        <w:tc>
          <w:tcPr>
            <w:tcW w:w="1400" w:type="dxa"/>
            <w:vAlign w:val="bottom"/>
          </w:tcPr>
          <w:p w14:paraId="2B379F58" w14:textId="6B5DD7DB" w:rsidR="00E56F5F" w:rsidRPr="00E56F5F" w:rsidRDefault="00E56F5F" w:rsidP="00AC5B73">
            <w:pPr>
              <w:rPr>
                <w:rFonts w:cs="Arial"/>
                <w:sz w:val="24"/>
                <w:szCs w:val="24"/>
              </w:rPr>
            </w:pPr>
            <w:r w:rsidRPr="00E56F5F">
              <w:rPr>
                <w:rFonts w:cs="Arial"/>
                <w:color w:val="000000"/>
                <w:sz w:val="24"/>
                <w:szCs w:val="24"/>
              </w:rPr>
              <w:t>26.3%</w:t>
            </w:r>
          </w:p>
        </w:tc>
        <w:tc>
          <w:tcPr>
            <w:tcW w:w="1401" w:type="dxa"/>
            <w:vAlign w:val="bottom"/>
          </w:tcPr>
          <w:p w14:paraId="0FE8C252" w14:textId="0A2EEC17" w:rsidR="00E56F5F" w:rsidRPr="00E56F5F" w:rsidRDefault="00E56F5F" w:rsidP="00AC5B73">
            <w:pPr>
              <w:rPr>
                <w:rFonts w:cs="Arial"/>
                <w:sz w:val="24"/>
                <w:szCs w:val="24"/>
              </w:rPr>
            </w:pPr>
            <w:r w:rsidRPr="00E56F5F">
              <w:rPr>
                <w:rFonts w:cs="Arial"/>
                <w:color w:val="000000"/>
                <w:sz w:val="24"/>
                <w:szCs w:val="24"/>
              </w:rPr>
              <w:t>24.9%</w:t>
            </w:r>
          </w:p>
        </w:tc>
      </w:tr>
      <w:tr w:rsidR="00E56F5F" w:rsidRPr="00E56F5F" w14:paraId="16D1D1E5" w14:textId="77777777" w:rsidTr="009D09ED">
        <w:tc>
          <w:tcPr>
            <w:tcW w:w="3986" w:type="dxa"/>
            <w:vAlign w:val="bottom"/>
          </w:tcPr>
          <w:p w14:paraId="3DC145B5" w14:textId="48E145A5" w:rsidR="00E56F5F" w:rsidRPr="00490D8E" w:rsidRDefault="00E56F5F" w:rsidP="00AC5B73">
            <w:pPr>
              <w:rPr>
                <w:rFonts w:cs="Arial"/>
                <w:b/>
                <w:sz w:val="24"/>
                <w:szCs w:val="24"/>
              </w:rPr>
            </w:pPr>
            <w:r w:rsidRPr="00490D8E">
              <w:rPr>
                <w:rFonts w:cs="Arial"/>
                <w:b/>
                <w:color w:val="000000"/>
                <w:sz w:val="24"/>
                <w:szCs w:val="24"/>
              </w:rPr>
              <w:t>West of Scotland Region</w:t>
            </w:r>
          </w:p>
        </w:tc>
        <w:tc>
          <w:tcPr>
            <w:tcW w:w="1400" w:type="dxa"/>
            <w:vAlign w:val="bottom"/>
          </w:tcPr>
          <w:p w14:paraId="3A9C1755" w14:textId="4523E7D3" w:rsidR="00E56F5F" w:rsidRPr="00E56F5F" w:rsidRDefault="00E56F5F" w:rsidP="00AC5B73">
            <w:pPr>
              <w:rPr>
                <w:rFonts w:cs="Arial"/>
                <w:sz w:val="24"/>
                <w:szCs w:val="24"/>
              </w:rPr>
            </w:pPr>
            <w:r w:rsidRPr="00E56F5F">
              <w:rPr>
                <w:rFonts w:cs="Arial"/>
                <w:color w:val="000000"/>
                <w:sz w:val="24"/>
                <w:szCs w:val="24"/>
              </w:rPr>
              <w:t>32.8%</w:t>
            </w:r>
          </w:p>
        </w:tc>
        <w:tc>
          <w:tcPr>
            <w:tcW w:w="1400" w:type="dxa"/>
            <w:vAlign w:val="bottom"/>
          </w:tcPr>
          <w:p w14:paraId="1137E4E9" w14:textId="0D816FB5" w:rsidR="00E56F5F" w:rsidRPr="00E56F5F" w:rsidRDefault="00E56F5F" w:rsidP="00AC5B73">
            <w:pPr>
              <w:rPr>
                <w:rFonts w:cs="Arial"/>
                <w:sz w:val="24"/>
                <w:szCs w:val="24"/>
              </w:rPr>
            </w:pPr>
            <w:r w:rsidRPr="00E56F5F">
              <w:rPr>
                <w:rFonts w:cs="Arial"/>
                <w:color w:val="000000"/>
                <w:sz w:val="24"/>
                <w:szCs w:val="24"/>
              </w:rPr>
              <w:t>34.2%</w:t>
            </w:r>
          </w:p>
        </w:tc>
        <w:tc>
          <w:tcPr>
            <w:tcW w:w="1401" w:type="dxa"/>
            <w:vAlign w:val="bottom"/>
          </w:tcPr>
          <w:p w14:paraId="285567A2" w14:textId="39A7355E" w:rsidR="00E56F5F" w:rsidRPr="00E56F5F" w:rsidRDefault="00E56F5F" w:rsidP="00AC5B73">
            <w:pPr>
              <w:rPr>
                <w:rFonts w:cs="Arial"/>
                <w:sz w:val="24"/>
                <w:szCs w:val="24"/>
              </w:rPr>
            </w:pPr>
            <w:r w:rsidRPr="00E56F5F">
              <w:rPr>
                <w:rFonts w:cs="Arial"/>
                <w:color w:val="000000"/>
                <w:sz w:val="24"/>
                <w:szCs w:val="24"/>
              </w:rPr>
              <w:t>37.0%</w:t>
            </w:r>
          </w:p>
        </w:tc>
        <w:tc>
          <w:tcPr>
            <w:tcW w:w="1400" w:type="dxa"/>
            <w:vAlign w:val="bottom"/>
          </w:tcPr>
          <w:p w14:paraId="6F757309" w14:textId="5EB71CFB" w:rsidR="00E56F5F" w:rsidRPr="00E56F5F" w:rsidRDefault="00E56F5F" w:rsidP="00AC5B73">
            <w:pPr>
              <w:rPr>
                <w:rFonts w:cs="Arial"/>
                <w:sz w:val="24"/>
                <w:szCs w:val="24"/>
              </w:rPr>
            </w:pPr>
            <w:r w:rsidRPr="00E56F5F">
              <w:rPr>
                <w:rFonts w:cs="Arial"/>
                <w:color w:val="000000"/>
                <w:sz w:val="24"/>
                <w:szCs w:val="24"/>
              </w:rPr>
              <w:t>34.9%</w:t>
            </w:r>
          </w:p>
        </w:tc>
        <w:tc>
          <w:tcPr>
            <w:tcW w:w="1401" w:type="dxa"/>
            <w:vAlign w:val="bottom"/>
          </w:tcPr>
          <w:p w14:paraId="07CB2186" w14:textId="31DFAE1D" w:rsidR="00E56F5F" w:rsidRPr="00E56F5F" w:rsidRDefault="00E56F5F" w:rsidP="00AC5B73">
            <w:pPr>
              <w:rPr>
                <w:rFonts w:cs="Arial"/>
                <w:sz w:val="24"/>
                <w:szCs w:val="24"/>
              </w:rPr>
            </w:pPr>
            <w:r w:rsidRPr="00E56F5F">
              <w:rPr>
                <w:rFonts w:cs="Arial"/>
                <w:color w:val="000000"/>
                <w:sz w:val="24"/>
                <w:szCs w:val="24"/>
              </w:rPr>
              <w:t>32.2%</w:t>
            </w:r>
          </w:p>
        </w:tc>
      </w:tr>
      <w:tr w:rsidR="00E56F5F" w:rsidRPr="00E56F5F" w14:paraId="4965869D" w14:textId="77777777" w:rsidTr="009D09ED">
        <w:tc>
          <w:tcPr>
            <w:tcW w:w="3986" w:type="dxa"/>
            <w:vAlign w:val="bottom"/>
          </w:tcPr>
          <w:p w14:paraId="0A6E0B39" w14:textId="0539ACE0" w:rsidR="00E56F5F" w:rsidRPr="00490D8E" w:rsidRDefault="00E56F5F" w:rsidP="00AC5B73">
            <w:pPr>
              <w:rPr>
                <w:rFonts w:cs="Arial"/>
                <w:b/>
                <w:sz w:val="24"/>
                <w:szCs w:val="24"/>
              </w:rPr>
            </w:pPr>
            <w:r w:rsidRPr="00490D8E">
              <w:rPr>
                <w:rFonts w:cs="Arial"/>
                <w:b/>
                <w:color w:val="000000"/>
                <w:sz w:val="24"/>
                <w:szCs w:val="24"/>
              </w:rPr>
              <w:t>NHS Greater Glasgow and Clyde</w:t>
            </w:r>
          </w:p>
        </w:tc>
        <w:tc>
          <w:tcPr>
            <w:tcW w:w="1400" w:type="dxa"/>
            <w:vAlign w:val="bottom"/>
          </w:tcPr>
          <w:p w14:paraId="3AB132B2" w14:textId="6D275BB5" w:rsidR="00E56F5F" w:rsidRPr="00E56F5F" w:rsidRDefault="00E56F5F" w:rsidP="00AC5B73">
            <w:pPr>
              <w:rPr>
                <w:rFonts w:cs="Arial"/>
                <w:sz w:val="24"/>
                <w:szCs w:val="24"/>
              </w:rPr>
            </w:pPr>
            <w:r w:rsidRPr="00E56F5F">
              <w:rPr>
                <w:rFonts w:cs="Arial"/>
                <w:color w:val="000000"/>
                <w:sz w:val="24"/>
                <w:szCs w:val="24"/>
              </w:rPr>
              <w:t>29.6%</w:t>
            </w:r>
          </w:p>
        </w:tc>
        <w:tc>
          <w:tcPr>
            <w:tcW w:w="1400" w:type="dxa"/>
            <w:vAlign w:val="bottom"/>
          </w:tcPr>
          <w:p w14:paraId="3AF297DA" w14:textId="19F63268" w:rsidR="00E56F5F" w:rsidRPr="00E56F5F" w:rsidRDefault="00E56F5F" w:rsidP="00AC5B73">
            <w:pPr>
              <w:rPr>
                <w:rFonts w:cs="Arial"/>
                <w:sz w:val="24"/>
                <w:szCs w:val="24"/>
              </w:rPr>
            </w:pPr>
            <w:r w:rsidRPr="00E56F5F">
              <w:rPr>
                <w:rFonts w:cs="Arial"/>
                <w:color w:val="000000"/>
                <w:sz w:val="24"/>
                <w:szCs w:val="24"/>
              </w:rPr>
              <w:t>30.8%</w:t>
            </w:r>
          </w:p>
        </w:tc>
        <w:tc>
          <w:tcPr>
            <w:tcW w:w="1401" w:type="dxa"/>
            <w:vAlign w:val="bottom"/>
          </w:tcPr>
          <w:p w14:paraId="07B86116" w14:textId="14F878CE" w:rsidR="00E56F5F" w:rsidRPr="00E56F5F" w:rsidRDefault="00E56F5F" w:rsidP="00AC5B73">
            <w:pPr>
              <w:rPr>
                <w:rFonts w:cs="Arial"/>
                <w:sz w:val="24"/>
                <w:szCs w:val="24"/>
              </w:rPr>
            </w:pPr>
            <w:r w:rsidRPr="00E56F5F">
              <w:rPr>
                <w:rFonts w:cs="Arial"/>
                <w:color w:val="000000"/>
                <w:sz w:val="24"/>
                <w:szCs w:val="24"/>
              </w:rPr>
              <w:t>38.1%</w:t>
            </w:r>
          </w:p>
        </w:tc>
        <w:tc>
          <w:tcPr>
            <w:tcW w:w="1400" w:type="dxa"/>
            <w:vAlign w:val="bottom"/>
          </w:tcPr>
          <w:p w14:paraId="47714921" w14:textId="1B3F3315" w:rsidR="00E56F5F" w:rsidRPr="00E56F5F" w:rsidRDefault="00E56F5F" w:rsidP="00AC5B73">
            <w:pPr>
              <w:rPr>
                <w:rFonts w:cs="Arial"/>
                <w:sz w:val="24"/>
                <w:szCs w:val="24"/>
              </w:rPr>
            </w:pPr>
            <w:r w:rsidRPr="00E56F5F">
              <w:rPr>
                <w:rFonts w:cs="Arial"/>
                <w:color w:val="000000"/>
                <w:sz w:val="24"/>
                <w:szCs w:val="24"/>
              </w:rPr>
              <w:t>38.7%</w:t>
            </w:r>
          </w:p>
        </w:tc>
        <w:tc>
          <w:tcPr>
            <w:tcW w:w="1401" w:type="dxa"/>
            <w:vAlign w:val="bottom"/>
          </w:tcPr>
          <w:p w14:paraId="600F6368" w14:textId="6297619A" w:rsidR="00E56F5F" w:rsidRPr="00E56F5F" w:rsidRDefault="00E56F5F" w:rsidP="00AC5B73">
            <w:pPr>
              <w:rPr>
                <w:rFonts w:cs="Arial"/>
                <w:sz w:val="24"/>
                <w:szCs w:val="24"/>
              </w:rPr>
            </w:pPr>
            <w:r w:rsidRPr="00E56F5F">
              <w:rPr>
                <w:rFonts w:cs="Arial"/>
                <w:color w:val="000000"/>
                <w:sz w:val="24"/>
                <w:szCs w:val="24"/>
              </w:rPr>
              <w:t>36.3%</w:t>
            </w:r>
          </w:p>
        </w:tc>
      </w:tr>
      <w:tr w:rsidR="00E56F5F" w:rsidRPr="00E56F5F" w14:paraId="26E4278F" w14:textId="77777777" w:rsidTr="009D09ED">
        <w:tc>
          <w:tcPr>
            <w:tcW w:w="3986" w:type="dxa"/>
            <w:vAlign w:val="bottom"/>
          </w:tcPr>
          <w:p w14:paraId="56EA1C36" w14:textId="10A9D05D" w:rsidR="00E56F5F" w:rsidRPr="00490D8E" w:rsidRDefault="00E56F5F" w:rsidP="00AC5B73">
            <w:pPr>
              <w:rPr>
                <w:rFonts w:cs="Arial"/>
                <w:b/>
                <w:sz w:val="24"/>
                <w:szCs w:val="24"/>
              </w:rPr>
            </w:pPr>
            <w:r w:rsidRPr="00490D8E">
              <w:rPr>
                <w:rFonts w:cs="Arial"/>
                <w:b/>
                <w:color w:val="000000"/>
                <w:sz w:val="24"/>
                <w:szCs w:val="24"/>
              </w:rPr>
              <w:t>National Health Boards</w:t>
            </w:r>
          </w:p>
        </w:tc>
        <w:tc>
          <w:tcPr>
            <w:tcW w:w="1400" w:type="dxa"/>
            <w:vAlign w:val="bottom"/>
          </w:tcPr>
          <w:p w14:paraId="6E492206" w14:textId="64883AE4" w:rsidR="00E56F5F" w:rsidRPr="00E56F5F" w:rsidRDefault="00E56F5F" w:rsidP="00AC5B73">
            <w:pPr>
              <w:rPr>
                <w:rFonts w:cs="Arial"/>
                <w:sz w:val="24"/>
                <w:szCs w:val="24"/>
              </w:rPr>
            </w:pPr>
            <w:r w:rsidRPr="00E56F5F">
              <w:rPr>
                <w:rFonts w:cs="Arial"/>
                <w:color w:val="000000"/>
                <w:sz w:val="24"/>
                <w:szCs w:val="24"/>
              </w:rPr>
              <w:t>36.0%</w:t>
            </w:r>
          </w:p>
        </w:tc>
        <w:tc>
          <w:tcPr>
            <w:tcW w:w="1400" w:type="dxa"/>
            <w:vAlign w:val="bottom"/>
          </w:tcPr>
          <w:p w14:paraId="06AB3B4A" w14:textId="594836E3" w:rsidR="00E56F5F" w:rsidRPr="00E56F5F" w:rsidRDefault="00E56F5F" w:rsidP="00AC5B73">
            <w:pPr>
              <w:rPr>
                <w:rFonts w:cs="Arial"/>
                <w:sz w:val="24"/>
                <w:szCs w:val="24"/>
              </w:rPr>
            </w:pPr>
            <w:r w:rsidRPr="00E56F5F">
              <w:rPr>
                <w:rFonts w:cs="Arial"/>
                <w:color w:val="000000"/>
                <w:sz w:val="24"/>
                <w:szCs w:val="24"/>
              </w:rPr>
              <w:t>32.9%</w:t>
            </w:r>
          </w:p>
        </w:tc>
        <w:tc>
          <w:tcPr>
            <w:tcW w:w="1401" w:type="dxa"/>
            <w:vAlign w:val="bottom"/>
          </w:tcPr>
          <w:p w14:paraId="720E4A24" w14:textId="426E782F" w:rsidR="00E56F5F" w:rsidRPr="00E56F5F" w:rsidRDefault="00E56F5F" w:rsidP="00AC5B73">
            <w:pPr>
              <w:rPr>
                <w:rFonts w:cs="Arial"/>
                <w:sz w:val="24"/>
                <w:szCs w:val="24"/>
              </w:rPr>
            </w:pPr>
            <w:r w:rsidRPr="00E56F5F">
              <w:rPr>
                <w:rFonts w:cs="Arial"/>
                <w:color w:val="000000"/>
                <w:sz w:val="24"/>
                <w:szCs w:val="24"/>
              </w:rPr>
              <w:t>37.8%</w:t>
            </w:r>
          </w:p>
        </w:tc>
        <w:tc>
          <w:tcPr>
            <w:tcW w:w="1400" w:type="dxa"/>
            <w:vAlign w:val="bottom"/>
          </w:tcPr>
          <w:p w14:paraId="293F3320" w14:textId="2305751F" w:rsidR="00E56F5F" w:rsidRPr="00E56F5F" w:rsidRDefault="00E56F5F" w:rsidP="00AC5B73">
            <w:pPr>
              <w:rPr>
                <w:rFonts w:cs="Arial"/>
                <w:sz w:val="24"/>
                <w:szCs w:val="24"/>
              </w:rPr>
            </w:pPr>
            <w:r w:rsidRPr="00E56F5F">
              <w:rPr>
                <w:rFonts w:cs="Arial"/>
                <w:color w:val="000000"/>
                <w:sz w:val="24"/>
                <w:szCs w:val="24"/>
              </w:rPr>
              <w:t>29.4%</w:t>
            </w:r>
          </w:p>
        </w:tc>
        <w:tc>
          <w:tcPr>
            <w:tcW w:w="1401" w:type="dxa"/>
            <w:vAlign w:val="bottom"/>
          </w:tcPr>
          <w:p w14:paraId="789929C3" w14:textId="236AFC22" w:rsidR="00E56F5F" w:rsidRPr="00E56F5F" w:rsidRDefault="00E56F5F" w:rsidP="00AC5B73">
            <w:pPr>
              <w:rPr>
                <w:rFonts w:cs="Arial"/>
                <w:sz w:val="24"/>
                <w:szCs w:val="24"/>
              </w:rPr>
            </w:pPr>
            <w:r w:rsidRPr="00E56F5F">
              <w:rPr>
                <w:rFonts w:cs="Arial"/>
                <w:color w:val="000000"/>
                <w:sz w:val="24"/>
                <w:szCs w:val="24"/>
              </w:rPr>
              <w:t>28.2%</w:t>
            </w:r>
          </w:p>
        </w:tc>
      </w:tr>
      <w:tr w:rsidR="00E56F5F" w:rsidRPr="00E56F5F" w14:paraId="6B5C52D9" w14:textId="77777777" w:rsidTr="009D09ED">
        <w:tc>
          <w:tcPr>
            <w:tcW w:w="3986" w:type="dxa"/>
            <w:vAlign w:val="bottom"/>
          </w:tcPr>
          <w:p w14:paraId="19CE6D65" w14:textId="5DAB4218" w:rsidR="00E56F5F" w:rsidRPr="00490D8E" w:rsidRDefault="00E56F5F" w:rsidP="00AC5B73">
            <w:pPr>
              <w:rPr>
                <w:rFonts w:cs="Arial"/>
                <w:b/>
                <w:sz w:val="24"/>
                <w:szCs w:val="24"/>
              </w:rPr>
            </w:pPr>
            <w:r w:rsidRPr="00490D8E">
              <w:rPr>
                <w:rFonts w:cs="Arial"/>
                <w:b/>
                <w:color w:val="000000"/>
                <w:sz w:val="24"/>
                <w:szCs w:val="24"/>
              </w:rPr>
              <w:t>NHS Golden Jubilee</w:t>
            </w:r>
          </w:p>
        </w:tc>
        <w:tc>
          <w:tcPr>
            <w:tcW w:w="1400" w:type="dxa"/>
            <w:vAlign w:val="bottom"/>
          </w:tcPr>
          <w:p w14:paraId="1F478A5E" w14:textId="5A575DF8" w:rsidR="00E56F5F" w:rsidRPr="00E56F5F" w:rsidRDefault="00E56F5F" w:rsidP="00AC5B73">
            <w:pPr>
              <w:rPr>
                <w:rFonts w:cs="Arial"/>
                <w:sz w:val="24"/>
                <w:szCs w:val="24"/>
              </w:rPr>
            </w:pPr>
            <w:r w:rsidRPr="00E56F5F">
              <w:rPr>
                <w:rFonts w:cs="Arial"/>
                <w:color w:val="000000"/>
                <w:sz w:val="24"/>
                <w:szCs w:val="24"/>
              </w:rPr>
              <w:t>14.4%</w:t>
            </w:r>
          </w:p>
        </w:tc>
        <w:tc>
          <w:tcPr>
            <w:tcW w:w="1400" w:type="dxa"/>
            <w:vAlign w:val="bottom"/>
          </w:tcPr>
          <w:p w14:paraId="1694075A" w14:textId="64BCE715" w:rsidR="00E56F5F" w:rsidRPr="00E56F5F" w:rsidRDefault="00E56F5F" w:rsidP="00AC5B73">
            <w:pPr>
              <w:rPr>
                <w:rFonts w:cs="Arial"/>
                <w:sz w:val="24"/>
                <w:szCs w:val="24"/>
              </w:rPr>
            </w:pPr>
            <w:r w:rsidRPr="00E56F5F">
              <w:rPr>
                <w:rFonts w:cs="Arial"/>
                <w:color w:val="000000"/>
                <w:sz w:val="24"/>
                <w:szCs w:val="24"/>
              </w:rPr>
              <w:t>15.8%</w:t>
            </w:r>
          </w:p>
        </w:tc>
        <w:tc>
          <w:tcPr>
            <w:tcW w:w="1401" w:type="dxa"/>
            <w:vAlign w:val="bottom"/>
          </w:tcPr>
          <w:p w14:paraId="47EABAF2" w14:textId="3DF9F15D" w:rsidR="00E56F5F" w:rsidRPr="00E56F5F" w:rsidRDefault="00E56F5F" w:rsidP="00AC5B73">
            <w:pPr>
              <w:rPr>
                <w:rFonts w:cs="Arial"/>
                <w:sz w:val="24"/>
                <w:szCs w:val="24"/>
              </w:rPr>
            </w:pPr>
            <w:r w:rsidRPr="00E56F5F">
              <w:rPr>
                <w:rFonts w:cs="Arial"/>
                <w:color w:val="000000"/>
                <w:sz w:val="24"/>
                <w:szCs w:val="24"/>
              </w:rPr>
              <w:t>14.9%</w:t>
            </w:r>
          </w:p>
        </w:tc>
        <w:tc>
          <w:tcPr>
            <w:tcW w:w="1400" w:type="dxa"/>
            <w:vAlign w:val="bottom"/>
          </w:tcPr>
          <w:p w14:paraId="1312B90C" w14:textId="38AD435E" w:rsidR="00E56F5F" w:rsidRPr="00E56F5F" w:rsidRDefault="00E56F5F" w:rsidP="00AC5B73">
            <w:pPr>
              <w:rPr>
                <w:rFonts w:cs="Arial"/>
                <w:sz w:val="24"/>
                <w:szCs w:val="24"/>
              </w:rPr>
            </w:pPr>
            <w:r w:rsidRPr="00E56F5F">
              <w:rPr>
                <w:rFonts w:cs="Arial"/>
                <w:color w:val="000000"/>
                <w:sz w:val="24"/>
                <w:szCs w:val="24"/>
              </w:rPr>
              <w:t>14.3%</w:t>
            </w:r>
          </w:p>
        </w:tc>
        <w:tc>
          <w:tcPr>
            <w:tcW w:w="1401" w:type="dxa"/>
            <w:vAlign w:val="bottom"/>
          </w:tcPr>
          <w:p w14:paraId="5051C0BF" w14:textId="69FE4B08" w:rsidR="00E56F5F" w:rsidRPr="00E56F5F" w:rsidRDefault="00E56F5F" w:rsidP="00AC5B73">
            <w:pPr>
              <w:rPr>
                <w:rFonts w:cs="Arial"/>
                <w:sz w:val="24"/>
                <w:szCs w:val="24"/>
              </w:rPr>
            </w:pPr>
            <w:r w:rsidRPr="00E56F5F">
              <w:rPr>
                <w:rFonts w:cs="Arial"/>
                <w:color w:val="000000"/>
                <w:sz w:val="24"/>
                <w:szCs w:val="24"/>
              </w:rPr>
              <w:t>13.3%</w:t>
            </w:r>
          </w:p>
        </w:tc>
      </w:tr>
    </w:tbl>
    <w:p w14:paraId="2A4C3C7B" w14:textId="77777777" w:rsidR="00580FF9" w:rsidRDefault="00580FF9" w:rsidP="00AC5B73">
      <w:pPr>
        <w:rPr>
          <w:rFonts w:cs="Arial"/>
          <w:szCs w:val="24"/>
        </w:rPr>
      </w:pPr>
    </w:p>
    <w:p w14:paraId="7A2B0736" w14:textId="77777777" w:rsidR="00A03AAF" w:rsidRPr="005D0AC5" w:rsidRDefault="00A03AAF" w:rsidP="00AC5B73">
      <w:pPr>
        <w:pStyle w:val="Heading3"/>
      </w:pPr>
      <w:bookmarkStart w:id="131" w:name="_Toc76025138"/>
      <w:bookmarkStart w:id="132" w:name="_Toc108076941"/>
      <w:r w:rsidRPr="005D0AC5">
        <w:t>Recruitment Activity</w:t>
      </w:r>
      <w:bookmarkEnd w:id="131"/>
      <w:bookmarkEnd w:id="132"/>
    </w:p>
    <w:p w14:paraId="5E82C9C2" w14:textId="2672D479" w:rsidR="00285E6E" w:rsidRDefault="00285E6E" w:rsidP="00AC5B73">
      <w:pPr>
        <w:rPr>
          <w:rFonts w:cs="Arial"/>
          <w:szCs w:val="24"/>
        </w:rPr>
      </w:pPr>
      <w:r>
        <w:rPr>
          <w:rFonts w:cs="Arial"/>
          <w:szCs w:val="24"/>
        </w:rPr>
        <w:t xml:space="preserve">We are unable to provide a breakdown by </w:t>
      </w:r>
      <w:r w:rsidR="0019783F">
        <w:rPr>
          <w:rFonts w:cs="Arial"/>
          <w:szCs w:val="24"/>
        </w:rPr>
        <w:t>sexual orientation</w:t>
      </w:r>
      <w:r>
        <w:rPr>
          <w:rFonts w:cs="Arial"/>
          <w:szCs w:val="24"/>
        </w:rPr>
        <w:t xml:space="preserve"> of applicants and those who were shortlisted for the period under review, as this is not provided by the current suite of Jobtrain reports. We can, however, provide details of the </w:t>
      </w:r>
      <w:r w:rsidR="0019783F">
        <w:rPr>
          <w:rFonts w:cs="Arial"/>
          <w:szCs w:val="24"/>
        </w:rPr>
        <w:t xml:space="preserve">sexual orientation of </w:t>
      </w:r>
      <w:r>
        <w:rPr>
          <w:rFonts w:cs="Arial"/>
          <w:szCs w:val="24"/>
        </w:rPr>
        <w:t>starters within the organisation</w:t>
      </w:r>
      <w:r>
        <w:rPr>
          <w:rFonts w:cs="Arial"/>
          <w:szCs w:val="24"/>
          <w:vertAlign w:val="superscript"/>
        </w:rPr>
        <w:t>7</w:t>
      </w:r>
      <w:r>
        <w:rPr>
          <w:rFonts w:cs="Arial"/>
          <w:szCs w:val="24"/>
        </w:rPr>
        <w:t>:</w:t>
      </w:r>
    </w:p>
    <w:p w14:paraId="7A3E3B2B" w14:textId="77777777" w:rsidR="00285E6E" w:rsidRDefault="00285E6E" w:rsidP="00AC5B73">
      <w:pPr>
        <w:rPr>
          <w:rFonts w:cs="Arial"/>
          <w:szCs w:val="24"/>
        </w:rPr>
      </w:pPr>
    </w:p>
    <w:p w14:paraId="5FC08B37" w14:textId="3856EFE7" w:rsidR="00852B0E" w:rsidRDefault="00130DA3" w:rsidP="00AC5B73">
      <w:pPr>
        <w:rPr>
          <w:rFonts w:cs="Arial"/>
          <w:szCs w:val="24"/>
        </w:rPr>
      </w:pPr>
      <w:r w:rsidRPr="005D0AC5">
        <w:rPr>
          <w:rFonts w:cs="Arial"/>
          <w:szCs w:val="24"/>
        </w:rPr>
        <w:t>The table below highlights the number and proportion of people who applied for posts</w:t>
      </w:r>
      <w:r w:rsidR="005D0AC5" w:rsidRPr="005D0AC5">
        <w:rPr>
          <w:rFonts w:cs="Arial"/>
          <w:szCs w:val="24"/>
        </w:rPr>
        <w:t>, were shortlisted</w:t>
      </w:r>
      <w:r w:rsidRPr="005D0AC5">
        <w:rPr>
          <w:rFonts w:cs="Arial"/>
          <w:szCs w:val="24"/>
        </w:rPr>
        <w:t xml:space="preserve"> and came on board as new starts in the monitored period, split b</w:t>
      </w:r>
      <w:r w:rsidR="005D0AC5" w:rsidRPr="005D0AC5">
        <w:rPr>
          <w:rFonts w:cs="Arial"/>
          <w:szCs w:val="24"/>
        </w:rPr>
        <w:t>y declared sexual orientation:</w:t>
      </w:r>
    </w:p>
    <w:p w14:paraId="62F43E97" w14:textId="77777777" w:rsidR="005D0AC5" w:rsidRDefault="005D0AC5" w:rsidP="00AC5B73">
      <w:pPr>
        <w:rPr>
          <w:rFonts w:cs="Arial"/>
          <w:szCs w:val="24"/>
        </w:rPr>
      </w:pPr>
    </w:p>
    <w:tbl>
      <w:tblPr>
        <w:tblStyle w:val="TableGrid"/>
        <w:tblW w:w="0" w:type="auto"/>
        <w:jc w:val="center"/>
        <w:tblLayout w:type="fixed"/>
        <w:tblLook w:val="04A0" w:firstRow="1" w:lastRow="0" w:firstColumn="1" w:lastColumn="0" w:noHBand="0" w:noVBand="1"/>
      </w:tblPr>
      <w:tblGrid>
        <w:gridCol w:w="2802"/>
        <w:gridCol w:w="1630"/>
        <w:gridCol w:w="1630"/>
      </w:tblGrid>
      <w:tr w:rsidR="00594113" w:rsidRPr="00071A36" w14:paraId="1D3C9987" w14:textId="77777777" w:rsidTr="007374CB">
        <w:trPr>
          <w:jc w:val="center"/>
        </w:trPr>
        <w:tc>
          <w:tcPr>
            <w:tcW w:w="2802" w:type="dxa"/>
          </w:tcPr>
          <w:p w14:paraId="3A505517" w14:textId="6E8EBC5A" w:rsidR="00594113" w:rsidRPr="00071A36" w:rsidRDefault="00594113" w:rsidP="00AC5B73">
            <w:pPr>
              <w:rPr>
                <w:rFonts w:cs="Arial"/>
                <w:sz w:val="24"/>
                <w:szCs w:val="24"/>
              </w:rPr>
            </w:pPr>
            <w:r w:rsidRPr="00071A36">
              <w:rPr>
                <w:sz w:val="24"/>
                <w:szCs w:val="24"/>
              </w:rPr>
              <w:t>Sexual Orientation</w:t>
            </w:r>
          </w:p>
        </w:tc>
        <w:tc>
          <w:tcPr>
            <w:tcW w:w="1630" w:type="dxa"/>
          </w:tcPr>
          <w:p w14:paraId="36DD2FAB" w14:textId="74DCBB1C" w:rsidR="00594113" w:rsidRPr="00071A36" w:rsidRDefault="00594113" w:rsidP="00AC5B73">
            <w:pPr>
              <w:rPr>
                <w:rFonts w:cs="Arial"/>
                <w:sz w:val="24"/>
                <w:szCs w:val="24"/>
              </w:rPr>
            </w:pPr>
            <w:r w:rsidRPr="00071A36">
              <w:rPr>
                <w:sz w:val="24"/>
                <w:szCs w:val="24"/>
              </w:rPr>
              <w:t>Headcount</w:t>
            </w:r>
          </w:p>
        </w:tc>
        <w:tc>
          <w:tcPr>
            <w:tcW w:w="1630" w:type="dxa"/>
          </w:tcPr>
          <w:p w14:paraId="5E7A8491" w14:textId="4D158A7B" w:rsidR="00594113" w:rsidRPr="00071A36" w:rsidRDefault="00071A36" w:rsidP="00AC5B73">
            <w:pPr>
              <w:rPr>
                <w:rFonts w:cs="Arial"/>
                <w:sz w:val="24"/>
                <w:szCs w:val="24"/>
              </w:rPr>
            </w:pPr>
            <w:r w:rsidRPr="00071A36">
              <w:rPr>
                <w:rFonts w:cs="Arial"/>
                <w:sz w:val="24"/>
                <w:szCs w:val="24"/>
              </w:rPr>
              <w:t>Percentage</w:t>
            </w:r>
          </w:p>
        </w:tc>
      </w:tr>
      <w:tr w:rsidR="00594113" w:rsidRPr="00071A36" w14:paraId="6CCBD739" w14:textId="77777777" w:rsidTr="007374CB">
        <w:trPr>
          <w:jc w:val="center"/>
        </w:trPr>
        <w:tc>
          <w:tcPr>
            <w:tcW w:w="2802" w:type="dxa"/>
          </w:tcPr>
          <w:p w14:paraId="38DA8445" w14:textId="3680DB86" w:rsidR="00594113" w:rsidRPr="00071A36" w:rsidRDefault="00594113" w:rsidP="00AC5B73">
            <w:pPr>
              <w:rPr>
                <w:rFonts w:cs="Arial"/>
                <w:sz w:val="24"/>
                <w:szCs w:val="24"/>
              </w:rPr>
            </w:pPr>
            <w:r w:rsidRPr="00071A36">
              <w:rPr>
                <w:sz w:val="24"/>
                <w:szCs w:val="24"/>
              </w:rPr>
              <w:t>Heterosexual</w:t>
            </w:r>
          </w:p>
        </w:tc>
        <w:tc>
          <w:tcPr>
            <w:tcW w:w="1630" w:type="dxa"/>
          </w:tcPr>
          <w:p w14:paraId="321115B2" w14:textId="08727C8C" w:rsidR="00594113" w:rsidRPr="00071A36" w:rsidRDefault="00594113" w:rsidP="00AC5B73">
            <w:pPr>
              <w:jc w:val="right"/>
              <w:rPr>
                <w:rFonts w:cs="Arial"/>
                <w:sz w:val="24"/>
                <w:szCs w:val="24"/>
              </w:rPr>
            </w:pPr>
            <w:r w:rsidRPr="00071A36">
              <w:rPr>
                <w:sz w:val="24"/>
                <w:szCs w:val="24"/>
              </w:rPr>
              <w:t>256</w:t>
            </w:r>
          </w:p>
        </w:tc>
        <w:tc>
          <w:tcPr>
            <w:tcW w:w="1630" w:type="dxa"/>
          </w:tcPr>
          <w:p w14:paraId="547A2435" w14:textId="2B20CAAC" w:rsidR="00594113" w:rsidRPr="00071A36" w:rsidRDefault="00594113" w:rsidP="00AC5B73">
            <w:pPr>
              <w:jc w:val="right"/>
              <w:rPr>
                <w:rFonts w:cs="Arial"/>
                <w:sz w:val="24"/>
                <w:szCs w:val="24"/>
              </w:rPr>
            </w:pPr>
            <w:r w:rsidRPr="00071A36">
              <w:rPr>
                <w:sz w:val="24"/>
                <w:szCs w:val="24"/>
              </w:rPr>
              <w:t>83.9%</w:t>
            </w:r>
          </w:p>
        </w:tc>
      </w:tr>
      <w:tr w:rsidR="00594113" w:rsidRPr="00071A36" w14:paraId="5ED62D70" w14:textId="77777777" w:rsidTr="007374CB">
        <w:trPr>
          <w:jc w:val="center"/>
        </w:trPr>
        <w:tc>
          <w:tcPr>
            <w:tcW w:w="2802" w:type="dxa"/>
          </w:tcPr>
          <w:p w14:paraId="630C9AF8" w14:textId="240BEAB9" w:rsidR="00594113" w:rsidRPr="00071A36" w:rsidRDefault="00594113" w:rsidP="00AC5B73">
            <w:pPr>
              <w:rPr>
                <w:rFonts w:cs="Arial"/>
                <w:sz w:val="24"/>
                <w:szCs w:val="24"/>
              </w:rPr>
            </w:pPr>
            <w:r w:rsidRPr="00071A36">
              <w:rPr>
                <w:sz w:val="24"/>
                <w:szCs w:val="24"/>
              </w:rPr>
              <w:t>Prefer not to say</w:t>
            </w:r>
          </w:p>
        </w:tc>
        <w:tc>
          <w:tcPr>
            <w:tcW w:w="1630" w:type="dxa"/>
          </w:tcPr>
          <w:p w14:paraId="75A20045" w14:textId="7838848F" w:rsidR="00594113" w:rsidRPr="00071A36" w:rsidRDefault="00594113" w:rsidP="00AC5B73">
            <w:pPr>
              <w:jc w:val="right"/>
              <w:rPr>
                <w:rFonts w:cs="Arial"/>
                <w:sz w:val="24"/>
                <w:szCs w:val="24"/>
              </w:rPr>
            </w:pPr>
            <w:r w:rsidRPr="00071A36">
              <w:rPr>
                <w:sz w:val="24"/>
                <w:szCs w:val="24"/>
              </w:rPr>
              <w:t>19</w:t>
            </w:r>
          </w:p>
        </w:tc>
        <w:tc>
          <w:tcPr>
            <w:tcW w:w="1630" w:type="dxa"/>
          </w:tcPr>
          <w:p w14:paraId="62F151A6" w14:textId="2B425B7C" w:rsidR="00594113" w:rsidRPr="00071A36" w:rsidRDefault="00594113" w:rsidP="00AC5B73">
            <w:pPr>
              <w:jc w:val="right"/>
              <w:rPr>
                <w:rFonts w:cs="Arial"/>
                <w:sz w:val="24"/>
                <w:szCs w:val="24"/>
              </w:rPr>
            </w:pPr>
            <w:r w:rsidRPr="00071A36">
              <w:rPr>
                <w:sz w:val="24"/>
                <w:szCs w:val="24"/>
              </w:rPr>
              <w:t>6.2%</w:t>
            </w:r>
          </w:p>
        </w:tc>
      </w:tr>
      <w:tr w:rsidR="00594113" w:rsidRPr="00071A36" w14:paraId="52D0D1E6" w14:textId="77777777" w:rsidTr="007374CB">
        <w:trPr>
          <w:jc w:val="center"/>
        </w:trPr>
        <w:tc>
          <w:tcPr>
            <w:tcW w:w="2802" w:type="dxa"/>
          </w:tcPr>
          <w:p w14:paraId="5999FD40" w14:textId="2BBC6F80" w:rsidR="00594113" w:rsidRPr="00071A36" w:rsidRDefault="00594113" w:rsidP="00AC5B73">
            <w:pPr>
              <w:rPr>
                <w:rFonts w:cs="Arial"/>
                <w:sz w:val="24"/>
                <w:szCs w:val="24"/>
              </w:rPr>
            </w:pPr>
            <w:r w:rsidRPr="00071A36">
              <w:rPr>
                <w:sz w:val="24"/>
                <w:szCs w:val="24"/>
              </w:rPr>
              <w:t>No information provided</w:t>
            </w:r>
          </w:p>
        </w:tc>
        <w:tc>
          <w:tcPr>
            <w:tcW w:w="1630" w:type="dxa"/>
          </w:tcPr>
          <w:p w14:paraId="039558BF" w14:textId="770E57F7" w:rsidR="00594113" w:rsidRPr="00071A36" w:rsidRDefault="00594113" w:rsidP="00AC5B73">
            <w:pPr>
              <w:jc w:val="right"/>
              <w:rPr>
                <w:rFonts w:cs="Arial"/>
                <w:sz w:val="24"/>
                <w:szCs w:val="24"/>
              </w:rPr>
            </w:pPr>
            <w:r w:rsidRPr="00071A36">
              <w:rPr>
                <w:sz w:val="24"/>
                <w:szCs w:val="24"/>
              </w:rPr>
              <w:t>13</w:t>
            </w:r>
          </w:p>
        </w:tc>
        <w:tc>
          <w:tcPr>
            <w:tcW w:w="1630" w:type="dxa"/>
          </w:tcPr>
          <w:p w14:paraId="137A385C" w14:textId="7C519018" w:rsidR="00594113" w:rsidRPr="00071A36" w:rsidRDefault="00594113" w:rsidP="00AC5B73">
            <w:pPr>
              <w:jc w:val="right"/>
              <w:rPr>
                <w:rFonts w:cs="Arial"/>
                <w:sz w:val="24"/>
                <w:szCs w:val="24"/>
              </w:rPr>
            </w:pPr>
            <w:r w:rsidRPr="00071A36">
              <w:rPr>
                <w:sz w:val="24"/>
                <w:szCs w:val="24"/>
              </w:rPr>
              <w:t>4.3%</w:t>
            </w:r>
          </w:p>
        </w:tc>
      </w:tr>
      <w:tr w:rsidR="00594113" w:rsidRPr="00071A36" w14:paraId="591901B6" w14:textId="77777777" w:rsidTr="007374CB">
        <w:trPr>
          <w:jc w:val="center"/>
        </w:trPr>
        <w:tc>
          <w:tcPr>
            <w:tcW w:w="2802" w:type="dxa"/>
          </w:tcPr>
          <w:p w14:paraId="30115267" w14:textId="6011E22D" w:rsidR="00594113" w:rsidRPr="00071A36" w:rsidRDefault="00594113" w:rsidP="00AC5B73">
            <w:pPr>
              <w:rPr>
                <w:rFonts w:cs="Arial"/>
                <w:sz w:val="24"/>
                <w:szCs w:val="24"/>
              </w:rPr>
            </w:pPr>
            <w:r w:rsidRPr="00071A36">
              <w:rPr>
                <w:sz w:val="24"/>
                <w:szCs w:val="24"/>
              </w:rPr>
              <w:t>Gay/Lesbian</w:t>
            </w:r>
          </w:p>
        </w:tc>
        <w:tc>
          <w:tcPr>
            <w:tcW w:w="1630" w:type="dxa"/>
          </w:tcPr>
          <w:p w14:paraId="2392F7D6" w14:textId="291EC31F" w:rsidR="00594113" w:rsidRPr="00071A36" w:rsidRDefault="00594113" w:rsidP="00AC5B73">
            <w:pPr>
              <w:jc w:val="right"/>
              <w:rPr>
                <w:rFonts w:cs="Arial"/>
                <w:sz w:val="24"/>
                <w:szCs w:val="24"/>
              </w:rPr>
            </w:pPr>
            <w:r w:rsidRPr="00071A36">
              <w:rPr>
                <w:sz w:val="24"/>
                <w:szCs w:val="24"/>
              </w:rPr>
              <w:t>12</w:t>
            </w:r>
          </w:p>
        </w:tc>
        <w:tc>
          <w:tcPr>
            <w:tcW w:w="1630" w:type="dxa"/>
          </w:tcPr>
          <w:p w14:paraId="583A8BFB" w14:textId="1C304FE2" w:rsidR="00594113" w:rsidRPr="00071A36" w:rsidRDefault="00594113" w:rsidP="00AC5B73">
            <w:pPr>
              <w:jc w:val="right"/>
              <w:rPr>
                <w:rFonts w:cs="Arial"/>
                <w:sz w:val="24"/>
                <w:szCs w:val="24"/>
              </w:rPr>
            </w:pPr>
            <w:r w:rsidRPr="00071A36">
              <w:rPr>
                <w:sz w:val="24"/>
                <w:szCs w:val="24"/>
              </w:rPr>
              <w:t>3.9%</w:t>
            </w:r>
          </w:p>
        </w:tc>
      </w:tr>
      <w:tr w:rsidR="00594113" w:rsidRPr="00071A36" w14:paraId="4674D129" w14:textId="77777777" w:rsidTr="007374CB">
        <w:trPr>
          <w:jc w:val="center"/>
        </w:trPr>
        <w:tc>
          <w:tcPr>
            <w:tcW w:w="2802" w:type="dxa"/>
          </w:tcPr>
          <w:p w14:paraId="2F6381AE" w14:textId="04755FDB" w:rsidR="00594113" w:rsidRPr="00071A36" w:rsidRDefault="00594113" w:rsidP="00AC5B73">
            <w:pPr>
              <w:rPr>
                <w:rFonts w:cs="Arial"/>
                <w:sz w:val="24"/>
                <w:szCs w:val="24"/>
              </w:rPr>
            </w:pPr>
            <w:r w:rsidRPr="00071A36">
              <w:rPr>
                <w:sz w:val="24"/>
                <w:szCs w:val="24"/>
              </w:rPr>
              <w:t>Bisexual</w:t>
            </w:r>
          </w:p>
        </w:tc>
        <w:tc>
          <w:tcPr>
            <w:tcW w:w="1630" w:type="dxa"/>
          </w:tcPr>
          <w:p w14:paraId="1772AC88" w14:textId="25EB045D" w:rsidR="00594113" w:rsidRPr="00071A36" w:rsidRDefault="00594113" w:rsidP="00AC5B73">
            <w:pPr>
              <w:jc w:val="right"/>
              <w:rPr>
                <w:rFonts w:cs="Arial"/>
                <w:sz w:val="24"/>
                <w:szCs w:val="24"/>
              </w:rPr>
            </w:pPr>
            <w:r w:rsidRPr="00071A36">
              <w:rPr>
                <w:sz w:val="24"/>
                <w:szCs w:val="24"/>
              </w:rPr>
              <w:t>5</w:t>
            </w:r>
          </w:p>
        </w:tc>
        <w:tc>
          <w:tcPr>
            <w:tcW w:w="1630" w:type="dxa"/>
          </w:tcPr>
          <w:p w14:paraId="2551995A" w14:textId="44133947" w:rsidR="00594113" w:rsidRPr="00071A36" w:rsidRDefault="00594113" w:rsidP="00AC5B73">
            <w:pPr>
              <w:jc w:val="right"/>
              <w:rPr>
                <w:rFonts w:cs="Arial"/>
                <w:sz w:val="24"/>
                <w:szCs w:val="24"/>
              </w:rPr>
            </w:pPr>
            <w:r w:rsidRPr="00071A36">
              <w:rPr>
                <w:sz w:val="24"/>
                <w:szCs w:val="24"/>
              </w:rPr>
              <w:t>1.6%</w:t>
            </w:r>
          </w:p>
        </w:tc>
      </w:tr>
      <w:tr w:rsidR="00594113" w:rsidRPr="00071A36" w14:paraId="210496A9" w14:textId="77777777" w:rsidTr="007374CB">
        <w:trPr>
          <w:jc w:val="center"/>
        </w:trPr>
        <w:tc>
          <w:tcPr>
            <w:tcW w:w="2802" w:type="dxa"/>
          </w:tcPr>
          <w:p w14:paraId="0A88E5F8" w14:textId="30893C4D" w:rsidR="00594113" w:rsidRPr="00071A36" w:rsidRDefault="00594113" w:rsidP="00AC5B73">
            <w:pPr>
              <w:rPr>
                <w:rFonts w:cs="Arial"/>
                <w:sz w:val="24"/>
                <w:szCs w:val="24"/>
              </w:rPr>
            </w:pPr>
            <w:r w:rsidRPr="00071A36">
              <w:rPr>
                <w:sz w:val="24"/>
                <w:szCs w:val="24"/>
              </w:rPr>
              <w:t>Grand Total</w:t>
            </w:r>
          </w:p>
        </w:tc>
        <w:tc>
          <w:tcPr>
            <w:tcW w:w="1630" w:type="dxa"/>
          </w:tcPr>
          <w:p w14:paraId="40EB06ED" w14:textId="1BDB11D8" w:rsidR="00594113" w:rsidRPr="00071A36" w:rsidRDefault="00594113" w:rsidP="00AC5B73">
            <w:pPr>
              <w:jc w:val="right"/>
              <w:rPr>
                <w:rFonts w:cs="Arial"/>
                <w:sz w:val="24"/>
                <w:szCs w:val="24"/>
              </w:rPr>
            </w:pPr>
            <w:r w:rsidRPr="00071A36">
              <w:rPr>
                <w:sz w:val="24"/>
                <w:szCs w:val="24"/>
              </w:rPr>
              <w:t>305</w:t>
            </w:r>
          </w:p>
        </w:tc>
        <w:tc>
          <w:tcPr>
            <w:tcW w:w="1630" w:type="dxa"/>
          </w:tcPr>
          <w:p w14:paraId="137595E8" w14:textId="405E4C19" w:rsidR="00594113" w:rsidRPr="00071A36" w:rsidRDefault="00594113" w:rsidP="00AC5B73">
            <w:pPr>
              <w:jc w:val="right"/>
              <w:rPr>
                <w:rFonts w:cs="Arial"/>
                <w:sz w:val="24"/>
                <w:szCs w:val="24"/>
              </w:rPr>
            </w:pPr>
            <w:r w:rsidRPr="00071A36">
              <w:rPr>
                <w:sz w:val="24"/>
                <w:szCs w:val="24"/>
              </w:rPr>
              <w:t>100.0%</w:t>
            </w:r>
          </w:p>
        </w:tc>
      </w:tr>
    </w:tbl>
    <w:p w14:paraId="785846D7" w14:textId="21C1FC8C" w:rsidR="006376F4" w:rsidRPr="00F825B7" w:rsidRDefault="006376F4" w:rsidP="00AC5B73">
      <w:pPr>
        <w:rPr>
          <w:rFonts w:cs="Arial"/>
          <w:szCs w:val="24"/>
        </w:rPr>
      </w:pPr>
    </w:p>
    <w:p w14:paraId="2861D7CE" w14:textId="77777777" w:rsidR="00D761A3" w:rsidRPr="00F825B7" w:rsidRDefault="00D761A3" w:rsidP="00AC5B73">
      <w:pPr>
        <w:pStyle w:val="Heading3"/>
      </w:pPr>
      <w:bookmarkStart w:id="133" w:name="_Toc76025139"/>
      <w:bookmarkStart w:id="134" w:name="_Toc108076942"/>
      <w:r w:rsidRPr="00F825B7">
        <w:t>Training Activity</w:t>
      </w:r>
      <w:bookmarkEnd w:id="133"/>
      <w:bookmarkEnd w:id="134"/>
    </w:p>
    <w:p w14:paraId="4CA0B09C" w14:textId="0B3CF1FC" w:rsidR="00170524" w:rsidRDefault="00170524" w:rsidP="00AC5B73">
      <w:pPr>
        <w:widowControl w:val="0"/>
        <w:rPr>
          <w:rFonts w:cs="Arial"/>
          <w:szCs w:val="24"/>
        </w:rPr>
      </w:pPr>
      <w:r w:rsidRPr="0096798A">
        <w:rPr>
          <w:rFonts w:cs="Arial"/>
          <w:szCs w:val="24"/>
        </w:rPr>
        <w:t xml:space="preserve">As can be seen from the chart below training provided during the period under review by sexual </w:t>
      </w:r>
      <w:r w:rsidRPr="0096798A">
        <w:rPr>
          <w:rFonts w:cs="Arial"/>
          <w:szCs w:val="24"/>
        </w:rPr>
        <w:lastRenderedPageBreak/>
        <w:t xml:space="preserve">orientation almost </w:t>
      </w:r>
      <w:r w:rsidR="001B4969" w:rsidRPr="0096798A">
        <w:rPr>
          <w:rFonts w:cs="Arial"/>
          <w:szCs w:val="24"/>
        </w:rPr>
        <w:t xml:space="preserve">exactly </w:t>
      </w:r>
      <w:r w:rsidRPr="0096798A">
        <w:rPr>
          <w:rFonts w:cs="Arial"/>
          <w:szCs w:val="24"/>
        </w:rPr>
        <w:t>matches the proportion expected for that group as a proportion of the workforce.</w:t>
      </w:r>
    </w:p>
    <w:p w14:paraId="3C1BF45D" w14:textId="137169A7" w:rsidR="00037C7A" w:rsidRDefault="00037C7A" w:rsidP="00AC5B73">
      <w:pPr>
        <w:rPr>
          <w:rFonts w:cs="Arial"/>
          <w:szCs w:val="24"/>
        </w:rPr>
      </w:pPr>
    </w:p>
    <w:p w14:paraId="72BAE3DF" w14:textId="204F9291" w:rsidR="001B4969" w:rsidRPr="0096798A" w:rsidRDefault="00037C7A" w:rsidP="00AC5B73">
      <w:pPr>
        <w:rPr>
          <w:rFonts w:cs="Arial"/>
          <w:szCs w:val="24"/>
        </w:rPr>
      </w:pPr>
      <w:r>
        <w:rPr>
          <w:noProof/>
          <w:lang w:eastAsia="en-GB"/>
        </w:rPr>
        <w:drawing>
          <wp:inline distT="0" distB="0" distL="0" distR="0" wp14:anchorId="7EEB465A" wp14:editId="29B36D7F">
            <wp:extent cx="6840000" cy="21600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14:paraId="06C4E717" w14:textId="77777777" w:rsidR="00E22DA0" w:rsidRPr="0096798A" w:rsidRDefault="00E22DA0" w:rsidP="00AC5B73">
      <w:pPr>
        <w:rPr>
          <w:rFonts w:cs="Arial"/>
          <w:szCs w:val="24"/>
        </w:rPr>
      </w:pPr>
    </w:p>
    <w:p w14:paraId="4AE2013F" w14:textId="77777777" w:rsidR="00D761A3" w:rsidRPr="0096798A" w:rsidRDefault="00D761A3" w:rsidP="00AC5B73">
      <w:pPr>
        <w:pStyle w:val="Heading3"/>
      </w:pPr>
      <w:bookmarkStart w:id="135" w:name="_Toc76025140"/>
      <w:bookmarkStart w:id="136" w:name="_Toc108076943"/>
      <w:r w:rsidRPr="0096798A">
        <w:t>Career Progression</w:t>
      </w:r>
      <w:bookmarkEnd w:id="135"/>
      <w:bookmarkEnd w:id="136"/>
    </w:p>
    <w:p w14:paraId="5B56A7F3" w14:textId="720A17C6" w:rsidR="00247BCB" w:rsidRPr="0096798A" w:rsidRDefault="00C35657" w:rsidP="00AC5B73">
      <w:pPr>
        <w:rPr>
          <w:rFonts w:cs="Arial"/>
          <w:szCs w:val="24"/>
        </w:rPr>
      </w:pPr>
      <w:r w:rsidRPr="0096798A">
        <w:rPr>
          <w:rFonts w:cs="Arial"/>
          <w:szCs w:val="24"/>
        </w:rPr>
        <w:t>The</w:t>
      </w:r>
      <w:r w:rsidR="00AD0A72" w:rsidRPr="0096798A">
        <w:rPr>
          <w:rFonts w:cs="Arial"/>
          <w:szCs w:val="24"/>
        </w:rPr>
        <w:t xml:space="preserve"> </w:t>
      </w:r>
      <w:r w:rsidR="00247BCB" w:rsidRPr="0096798A">
        <w:rPr>
          <w:rFonts w:cs="Arial"/>
          <w:szCs w:val="24"/>
        </w:rPr>
        <w:t xml:space="preserve">great </w:t>
      </w:r>
      <w:r w:rsidR="00AD0A72" w:rsidRPr="0096798A">
        <w:rPr>
          <w:rFonts w:cs="Arial"/>
          <w:szCs w:val="24"/>
        </w:rPr>
        <w:t xml:space="preserve">majority of promoted staff have declared themselves to be “Heterosexual” – </w:t>
      </w:r>
      <w:r w:rsidR="00ED585A">
        <w:rPr>
          <w:rFonts w:cs="Arial"/>
          <w:szCs w:val="24"/>
        </w:rPr>
        <w:t>122</w:t>
      </w:r>
      <w:r w:rsidR="00247BCB" w:rsidRPr="0096798A">
        <w:rPr>
          <w:rFonts w:cs="Arial"/>
          <w:szCs w:val="24"/>
        </w:rPr>
        <w:t xml:space="preserve"> out of </w:t>
      </w:r>
      <w:r w:rsidR="00ED585A">
        <w:rPr>
          <w:rFonts w:cs="Arial"/>
          <w:szCs w:val="24"/>
        </w:rPr>
        <w:t>152</w:t>
      </w:r>
      <w:r w:rsidR="00932167" w:rsidRPr="0096798A">
        <w:rPr>
          <w:rFonts w:cs="Arial"/>
          <w:szCs w:val="24"/>
        </w:rPr>
        <w:t xml:space="preserve"> promoted posts (</w:t>
      </w:r>
      <w:r w:rsidR="0097422F">
        <w:rPr>
          <w:rFonts w:cs="Arial"/>
          <w:szCs w:val="24"/>
        </w:rPr>
        <w:t>80.3</w:t>
      </w:r>
      <w:r w:rsidR="0072544F" w:rsidRPr="0096798A">
        <w:rPr>
          <w:rFonts w:cs="Arial"/>
          <w:szCs w:val="24"/>
        </w:rPr>
        <w:t xml:space="preserve">%), which is </w:t>
      </w:r>
      <w:r w:rsidR="004A424E">
        <w:rPr>
          <w:rFonts w:cs="Arial"/>
          <w:szCs w:val="24"/>
        </w:rPr>
        <w:t>slightly more than</w:t>
      </w:r>
      <w:r w:rsidR="00E46373" w:rsidRPr="0096798A">
        <w:rPr>
          <w:rFonts w:cs="Arial"/>
          <w:szCs w:val="24"/>
        </w:rPr>
        <w:t xml:space="preserve"> the proportion of staff as a whole who identify as “Heterosexual” (</w:t>
      </w:r>
      <w:r w:rsidR="00D45113">
        <w:rPr>
          <w:rFonts w:cs="Arial"/>
          <w:szCs w:val="24"/>
        </w:rPr>
        <w:t>77.3</w:t>
      </w:r>
      <w:r w:rsidR="00247BCB" w:rsidRPr="0096798A">
        <w:rPr>
          <w:rFonts w:cs="Arial"/>
          <w:szCs w:val="24"/>
        </w:rPr>
        <w:t>%)</w:t>
      </w:r>
      <w:r w:rsidR="00AD0A72" w:rsidRPr="0096798A">
        <w:rPr>
          <w:rFonts w:cs="Arial"/>
          <w:szCs w:val="24"/>
        </w:rPr>
        <w:t>.</w:t>
      </w:r>
      <w:r w:rsidR="00901CC7" w:rsidRPr="0096798A">
        <w:rPr>
          <w:rFonts w:cs="Arial"/>
          <w:szCs w:val="24"/>
        </w:rPr>
        <w:t xml:space="preserve"> </w:t>
      </w:r>
      <w:r w:rsidR="00D45113">
        <w:rPr>
          <w:rFonts w:cs="Arial"/>
          <w:szCs w:val="24"/>
        </w:rPr>
        <w:t>15</w:t>
      </w:r>
      <w:r w:rsidR="00C94CCF" w:rsidRPr="0096798A">
        <w:rPr>
          <w:rFonts w:cs="Arial"/>
          <w:szCs w:val="24"/>
        </w:rPr>
        <w:t xml:space="preserve"> (</w:t>
      </w:r>
      <w:r w:rsidR="00D45113">
        <w:rPr>
          <w:rFonts w:cs="Arial"/>
          <w:szCs w:val="24"/>
        </w:rPr>
        <w:t>9.9</w:t>
      </w:r>
      <w:r w:rsidR="00247BCB" w:rsidRPr="0096798A">
        <w:rPr>
          <w:rFonts w:cs="Arial"/>
          <w:szCs w:val="24"/>
        </w:rPr>
        <w:t>%) promoted members of staff did not provide any information on their sexual orientation</w:t>
      </w:r>
      <w:r w:rsidR="00D45113">
        <w:rPr>
          <w:rFonts w:cs="Arial"/>
          <w:szCs w:val="24"/>
        </w:rPr>
        <w:t>, while 12 (</w:t>
      </w:r>
      <w:r w:rsidR="00972AE7">
        <w:rPr>
          <w:rFonts w:cs="Arial"/>
          <w:szCs w:val="24"/>
        </w:rPr>
        <w:t>7.9</w:t>
      </w:r>
      <w:r w:rsidR="00C94CCF" w:rsidRPr="0096798A">
        <w:rPr>
          <w:rFonts w:cs="Arial"/>
          <w:szCs w:val="24"/>
        </w:rPr>
        <w:t>%) preferred not to say</w:t>
      </w:r>
      <w:r w:rsidR="00E46373" w:rsidRPr="0096798A">
        <w:rPr>
          <w:rFonts w:cs="Arial"/>
          <w:szCs w:val="24"/>
        </w:rPr>
        <w:t>.</w:t>
      </w:r>
      <w:r w:rsidR="00901CC7" w:rsidRPr="0096798A">
        <w:rPr>
          <w:rFonts w:cs="Arial"/>
          <w:szCs w:val="24"/>
        </w:rPr>
        <w:t xml:space="preserve"> </w:t>
      </w:r>
      <w:r w:rsidR="00C94CCF" w:rsidRPr="0096798A">
        <w:rPr>
          <w:rFonts w:cs="Arial"/>
          <w:szCs w:val="24"/>
        </w:rPr>
        <w:t xml:space="preserve">Information on the sexual orientation of the </w:t>
      </w:r>
      <w:r w:rsidR="00972AE7">
        <w:rPr>
          <w:rFonts w:cs="Arial"/>
          <w:szCs w:val="24"/>
        </w:rPr>
        <w:t>c</w:t>
      </w:r>
      <w:r w:rsidR="00C94CCF" w:rsidRPr="0096798A">
        <w:rPr>
          <w:rFonts w:cs="Arial"/>
          <w:szCs w:val="24"/>
        </w:rPr>
        <w:t xml:space="preserve">olleagues who were promoted cannot be provided, as the numbers are </w:t>
      </w:r>
      <w:r w:rsidR="00972AE7">
        <w:rPr>
          <w:rFonts w:cs="Arial"/>
          <w:szCs w:val="24"/>
        </w:rPr>
        <w:t>too</w:t>
      </w:r>
      <w:r w:rsidR="00C94CCF" w:rsidRPr="0096798A">
        <w:rPr>
          <w:rFonts w:cs="Arial"/>
          <w:szCs w:val="24"/>
        </w:rPr>
        <w:t xml:space="preserve"> low.</w:t>
      </w:r>
    </w:p>
    <w:p w14:paraId="2675FBDB" w14:textId="77777777" w:rsidR="00D761A3" w:rsidRPr="0096798A" w:rsidRDefault="00D761A3" w:rsidP="00AC5B73">
      <w:pPr>
        <w:rPr>
          <w:rFonts w:cs="Arial"/>
          <w:szCs w:val="24"/>
        </w:rPr>
      </w:pPr>
    </w:p>
    <w:p w14:paraId="174BCD96" w14:textId="77777777" w:rsidR="00AD0A72" w:rsidRPr="0096798A" w:rsidRDefault="00AD0A72" w:rsidP="00AC5B73">
      <w:pPr>
        <w:pStyle w:val="Heading3"/>
      </w:pPr>
      <w:bookmarkStart w:id="137" w:name="_Toc76025141"/>
      <w:bookmarkStart w:id="138" w:name="_Toc108076944"/>
      <w:r w:rsidRPr="0096798A">
        <w:t>Turnover</w:t>
      </w:r>
      <w:bookmarkEnd w:id="137"/>
      <w:bookmarkEnd w:id="138"/>
    </w:p>
    <w:p w14:paraId="67B1E9FE" w14:textId="7C4923B9" w:rsidR="00304C7C" w:rsidRDefault="00AD0A72" w:rsidP="00AC5B73">
      <w:pPr>
        <w:rPr>
          <w:rFonts w:cs="Arial"/>
          <w:szCs w:val="24"/>
        </w:rPr>
      </w:pPr>
      <w:r w:rsidRPr="0096798A">
        <w:rPr>
          <w:rFonts w:cs="Arial"/>
          <w:szCs w:val="24"/>
        </w:rPr>
        <w:t>During the period under review</w:t>
      </w:r>
      <w:r w:rsidR="00150877">
        <w:rPr>
          <w:rFonts w:cs="Arial"/>
          <w:szCs w:val="24"/>
        </w:rPr>
        <w:t>,</w:t>
      </w:r>
      <w:r w:rsidRPr="0096798A">
        <w:rPr>
          <w:rFonts w:cs="Arial"/>
          <w:szCs w:val="24"/>
        </w:rPr>
        <w:t xml:space="preserve"> </w:t>
      </w:r>
      <w:r w:rsidR="00304C7C">
        <w:rPr>
          <w:rFonts w:cs="Arial"/>
          <w:szCs w:val="24"/>
        </w:rPr>
        <w:t>85.7% of leavers identified as “Heterosexual”, compared to 77.3% of the workforce.</w:t>
      </w:r>
      <w:r w:rsidR="00691900">
        <w:rPr>
          <w:rFonts w:cs="Arial"/>
          <w:szCs w:val="24"/>
        </w:rPr>
        <w:t xml:space="preserve"> </w:t>
      </w:r>
      <w:r w:rsidR="00304C7C">
        <w:rPr>
          <w:rFonts w:cs="Arial"/>
          <w:szCs w:val="24"/>
        </w:rPr>
        <w:t>8.1% of leavers did not provide any information on their sexual orientation, in comparison to 13.3% of the workforce.</w:t>
      </w:r>
      <w:r w:rsidR="00A63C52">
        <w:rPr>
          <w:rFonts w:cs="Arial"/>
          <w:szCs w:val="24"/>
        </w:rPr>
        <w:t xml:space="preserve"> </w:t>
      </w:r>
    </w:p>
    <w:p w14:paraId="67B199A7" w14:textId="77777777" w:rsidR="00C17021" w:rsidRPr="00F825B7" w:rsidRDefault="00C17021" w:rsidP="00AC5B73">
      <w:pPr>
        <w:rPr>
          <w:rFonts w:cs="Arial"/>
          <w:szCs w:val="24"/>
        </w:rPr>
      </w:pPr>
    </w:p>
    <w:p w14:paraId="23609CEC" w14:textId="77777777" w:rsidR="001A0A42" w:rsidRPr="00F825B7" w:rsidRDefault="001A0A42" w:rsidP="00AC5B73">
      <w:pPr>
        <w:spacing w:after="200" w:line="276" w:lineRule="auto"/>
        <w:rPr>
          <w:rFonts w:eastAsiaTheme="majorEastAsia" w:cs="Arial"/>
          <w:b/>
          <w:bCs/>
          <w:sz w:val="28"/>
          <w:szCs w:val="26"/>
        </w:rPr>
      </w:pPr>
      <w:r w:rsidRPr="00F825B7">
        <w:rPr>
          <w:rFonts w:cs="Arial"/>
        </w:rPr>
        <w:br w:type="page"/>
      </w:r>
    </w:p>
    <w:p w14:paraId="4C70C9DF" w14:textId="77777777" w:rsidR="00C06EE9" w:rsidRPr="00F825B7" w:rsidRDefault="00C06EE9" w:rsidP="00AC5B73">
      <w:pPr>
        <w:pStyle w:val="Heading2"/>
        <w:rPr>
          <w:rFonts w:cs="Arial"/>
        </w:rPr>
      </w:pPr>
      <w:bookmarkStart w:id="139" w:name="_Toc76025142"/>
      <w:bookmarkStart w:id="140" w:name="_Toc108076945"/>
      <w:r w:rsidRPr="00F825B7">
        <w:rPr>
          <w:rFonts w:cs="Arial"/>
        </w:rPr>
        <w:lastRenderedPageBreak/>
        <w:t>Marriage and Civil Partnership</w:t>
      </w:r>
      <w:bookmarkEnd w:id="139"/>
      <w:bookmarkEnd w:id="140"/>
    </w:p>
    <w:p w14:paraId="11160FED" w14:textId="43946F23" w:rsidR="00A35EA5" w:rsidRDefault="00A35EA5" w:rsidP="00AC5B73">
      <w:pPr>
        <w:rPr>
          <w:rFonts w:cs="Arial"/>
          <w:szCs w:val="24"/>
        </w:rPr>
      </w:pPr>
      <w:r w:rsidRPr="0096798A">
        <w:rPr>
          <w:rFonts w:cs="Arial"/>
          <w:szCs w:val="24"/>
        </w:rPr>
        <w:t>As can be seen fr</w:t>
      </w:r>
      <w:r w:rsidR="00327698">
        <w:rPr>
          <w:rFonts w:cs="Arial"/>
          <w:szCs w:val="24"/>
        </w:rPr>
        <w:t>om the table below in March 2022</w:t>
      </w:r>
      <w:r w:rsidRPr="0096798A">
        <w:rPr>
          <w:rFonts w:cs="Arial"/>
          <w:szCs w:val="24"/>
        </w:rPr>
        <w:t xml:space="preserve"> just </w:t>
      </w:r>
      <w:r w:rsidR="008F0F57" w:rsidRPr="0096798A">
        <w:rPr>
          <w:rFonts w:cs="Arial"/>
          <w:szCs w:val="24"/>
        </w:rPr>
        <w:t>under</w:t>
      </w:r>
      <w:r w:rsidRPr="0096798A">
        <w:rPr>
          <w:rFonts w:cs="Arial"/>
          <w:szCs w:val="24"/>
        </w:rPr>
        <w:t xml:space="preserve"> half of all s</w:t>
      </w:r>
      <w:r w:rsidR="00327698">
        <w:rPr>
          <w:rFonts w:cs="Arial"/>
          <w:szCs w:val="24"/>
        </w:rPr>
        <w:t>taff members were married (47.6</w:t>
      </w:r>
      <w:r w:rsidR="008F6550" w:rsidRPr="0096798A">
        <w:rPr>
          <w:rFonts w:cs="Arial"/>
          <w:szCs w:val="24"/>
        </w:rPr>
        <w:t xml:space="preserve">%) and </w:t>
      </w:r>
      <w:r w:rsidR="00327698">
        <w:rPr>
          <w:rFonts w:cs="Arial"/>
          <w:szCs w:val="24"/>
        </w:rPr>
        <w:t xml:space="preserve">the same percentage were single. The number of single staff members actually overtook the number of married staff members, by one, for the first time. </w:t>
      </w:r>
      <w:r w:rsidRPr="0096798A">
        <w:rPr>
          <w:rFonts w:cs="Arial"/>
          <w:szCs w:val="24"/>
        </w:rPr>
        <w:t xml:space="preserve">These proportions </w:t>
      </w:r>
      <w:r w:rsidR="008F6550" w:rsidRPr="0096798A">
        <w:rPr>
          <w:rFonts w:cs="Arial"/>
          <w:szCs w:val="24"/>
        </w:rPr>
        <w:t xml:space="preserve">have not changed markedly since 2019, but represent </w:t>
      </w:r>
      <w:r w:rsidRPr="0096798A">
        <w:rPr>
          <w:rFonts w:cs="Arial"/>
          <w:szCs w:val="24"/>
        </w:rPr>
        <w:t>sizeable changes to those reported the previous year, with both almost double th</w:t>
      </w:r>
      <w:r w:rsidR="003D58E0" w:rsidRPr="0096798A">
        <w:rPr>
          <w:rFonts w:cs="Arial"/>
          <w:szCs w:val="24"/>
        </w:rPr>
        <w:t>e percentages reported in 2018</w:t>
      </w:r>
      <w:r w:rsidR="00D734CF">
        <w:rPr>
          <w:rStyle w:val="FootnoteReference"/>
          <w:rFonts w:cs="Arial"/>
          <w:szCs w:val="24"/>
        </w:rPr>
        <w:footnoteReference w:customMarkFollows="1" w:id="12"/>
        <w:t>11</w:t>
      </w:r>
      <w:r w:rsidR="003D58E0" w:rsidRPr="0096798A">
        <w:rPr>
          <w:rFonts w:cs="Arial"/>
          <w:szCs w:val="24"/>
        </w:rPr>
        <w:t>.</w:t>
      </w:r>
    </w:p>
    <w:p w14:paraId="4F534B57" w14:textId="5EC037F6" w:rsidR="00327698" w:rsidRDefault="00327698" w:rsidP="00AC5B73">
      <w:pPr>
        <w:rPr>
          <w:rFonts w:cs="Arial"/>
          <w:szCs w:val="24"/>
        </w:rPr>
      </w:pPr>
    </w:p>
    <w:p w14:paraId="0F2FC4A4" w14:textId="2EB65DF7" w:rsidR="00327698" w:rsidRPr="0096798A" w:rsidRDefault="00327698" w:rsidP="00AC5B73">
      <w:pPr>
        <w:rPr>
          <w:rFonts w:cs="Arial"/>
          <w:szCs w:val="24"/>
        </w:rPr>
      </w:pPr>
      <w:r>
        <w:rPr>
          <w:noProof/>
          <w:lang w:eastAsia="en-GB"/>
        </w:rPr>
        <w:drawing>
          <wp:inline distT="0" distB="0" distL="0" distR="0" wp14:anchorId="253FA7EC" wp14:editId="1F289FF0">
            <wp:extent cx="6840000" cy="2160000"/>
            <wp:effectExtent l="0" t="0" r="18415"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14:paraId="52523C9F" w14:textId="77777777" w:rsidR="003D58E0" w:rsidRDefault="003D58E0" w:rsidP="00AC5B73">
      <w:pPr>
        <w:rPr>
          <w:rFonts w:cs="Arial"/>
          <w:szCs w:val="24"/>
        </w:rPr>
      </w:pPr>
    </w:p>
    <w:p w14:paraId="37EC84D7" w14:textId="77777777" w:rsidR="00E20E0D" w:rsidRDefault="00E20E0D" w:rsidP="00AC5B73">
      <w:pPr>
        <w:rPr>
          <w:rFonts w:cs="Arial"/>
          <w:szCs w:val="24"/>
        </w:rPr>
      </w:pPr>
      <w:r>
        <w:rPr>
          <w:rFonts w:cs="Arial"/>
          <w:szCs w:val="24"/>
        </w:rPr>
        <w:t>In the language used in eESS “Single” should not be taken as the opposite of “Married”.</w:t>
      </w:r>
      <w:r w:rsidR="00DE06B8">
        <w:rPr>
          <w:rFonts w:cs="Arial"/>
          <w:szCs w:val="24"/>
        </w:rPr>
        <w:t xml:space="preserve"> </w:t>
      </w:r>
      <w:r>
        <w:rPr>
          <w:rFonts w:cs="Arial"/>
          <w:szCs w:val="24"/>
        </w:rPr>
        <w:t>As more people choose not to marry due to social, economic or public health reasons, but are nevertheless in an enduring relationship, it might be better that the language</w:t>
      </w:r>
      <w:r w:rsidR="0004571D">
        <w:rPr>
          <w:rFonts w:cs="Arial"/>
          <w:szCs w:val="24"/>
        </w:rPr>
        <w:t xml:space="preserve"> be changed from “Single” to “Unmarried”, or else the focus shift from marital status to relationship status.</w:t>
      </w:r>
    </w:p>
    <w:p w14:paraId="07B10739" w14:textId="77777777" w:rsidR="00E20E0D" w:rsidRPr="0096798A" w:rsidRDefault="00E20E0D" w:rsidP="00AC5B73">
      <w:pPr>
        <w:rPr>
          <w:rFonts w:cs="Arial"/>
          <w:szCs w:val="24"/>
        </w:rPr>
      </w:pPr>
    </w:p>
    <w:p w14:paraId="2D6EC464" w14:textId="77777777" w:rsidR="00C06EE9" w:rsidRPr="0096798A" w:rsidRDefault="0074297F" w:rsidP="00AC5B73">
      <w:pPr>
        <w:pStyle w:val="Heading2"/>
        <w:rPr>
          <w:rFonts w:cs="Arial"/>
        </w:rPr>
      </w:pPr>
      <w:bookmarkStart w:id="141" w:name="_Toc76025143"/>
      <w:bookmarkStart w:id="142" w:name="_Toc108076946"/>
      <w:r w:rsidRPr="0096798A">
        <w:rPr>
          <w:rFonts w:cs="Arial"/>
        </w:rPr>
        <w:t>Trans</w:t>
      </w:r>
      <w:r w:rsidR="00105E8B" w:rsidRPr="0096798A">
        <w:rPr>
          <w:rFonts w:cs="Arial"/>
        </w:rPr>
        <w:t xml:space="preserve"> Staff</w:t>
      </w:r>
      <w:bookmarkEnd w:id="141"/>
      <w:bookmarkEnd w:id="142"/>
    </w:p>
    <w:p w14:paraId="0D70EA07" w14:textId="77777777" w:rsidR="00C06EE9" w:rsidRPr="0096798A" w:rsidRDefault="00E67574" w:rsidP="00AC5B73">
      <w:pPr>
        <w:rPr>
          <w:rFonts w:cs="Arial"/>
          <w:szCs w:val="24"/>
        </w:rPr>
      </w:pPr>
      <w:r w:rsidRPr="0096798A">
        <w:rPr>
          <w:rFonts w:cs="Arial"/>
          <w:szCs w:val="24"/>
        </w:rPr>
        <w:t>The staff engagement form does not directly ask new members of staff to confirm if they have undergone gender reassignment, or are in the process of doing so</w:t>
      </w:r>
      <w:r w:rsidR="00105E8B" w:rsidRPr="0096798A">
        <w:rPr>
          <w:rFonts w:cs="Arial"/>
          <w:szCs w:val="24"/>
        </w:rPr>
        <w:t>, although the national application form does</w:t>
      </w:r>
      <w:r w:rsidR="001A6BDB" w:rsidRPr="0096798A">
        <w:rPr>
          <w:rFonts w:cs="Arial"/>
          <w:szCs w:val="24"/>
        </w:rPr>
        <w:t>.</w:t>
      </w:r>
      <w:r w:rsidR="00901CC7" w:rsidRPr="0096798A">
        <w:rPr>
          <w:rFonts w:cs="Arial"/>
          <w:szCs w:val="24"/>
        </w:rPr>
        <w:t xml:space="preserve"> </w:t>
      </w:r>
      <w:r w:rsidR="001A6BDB" w:rsidRPr="0096798A">
        <w:rPr>
          <w:rFonts w:cs="Arial"/>
          <w:szCs w:val="24"/>
        </w:rPr>
        <w:t>However, it does ask them whether</w:t>
      </w:r>
      <w:r w:rsidRPr="0096798A">
        <w:rPr>
          <w:rFonts w:cs="Arial"/>
          <w:szCs w:val="24"/>
        </w:rPr>
        <w:t xml:space="preserve"> they </w:t>
      </w:r>
      <w:r w:rsidR="00915350" w:rsidRPr="0096798A">
        <w:rPr>
          <w:rFonts w:cs="Arial"/>
          <w:szCs w:val="24"/>
        </w:rPr>
        <w:t>describe</w:t>
      </w:r>
      <w:r w:rsidRPr="0096798A">
        <w:rPr>
          <w:rFonts w:cs="Arial"/>
          <w:szCs w:val="24"/>
        </w:rPr>
        <w:t xml:space="preserve"> themselves </w:t>
      </w:r>
      <w:r w:rsidR="00915350" w:rsidRPr="0096798A">
        <w:rPr>
          <w:rFonts w:cs="Arial"/>
          <w:szCs w:val="24"/>
        </w:rPr>
        <w:t>as trans</w:t>
      </w:r>
      <w:r w:rsidRPr="0096798A">
        <w:rPr>
          <w:rFonts w:cs="Arial"/>
          <w:szCs w:val="24"/>
        </w:rPr>
        <w:t>.</w:t>
      </w:r>
      <w:r w:rsidR="00901CC7" w:rsidRPr="0096798A">
        <w:rPr>
          <w:rFonts w:cs="Arial"/>
          <w:szCs w:val="24"/>
        </w:rPr>
        <w:t xml:space="preserve"> </w:t>
      </w:r>
      <w:r w:rsidRPr="0096798A">
        <w:rPr>
          <w:rFonts w:cs="Arial"/>
          <w:szCs w:val="24"/>
        </w:rPr>
        <w:t xml:space="preserve">During the monitored period </w:t>
      </w:r>
      <w:r w:rsidR="00EE5B92" w:rsidRPr="0096798A">
        <w:rPr>
          <w:rFonts w:cs="Arial"/>
          <w:szCs w:val="24"/>
        </w:rPr>
        <w:t>five or fewer</w:t>
      </w:r>
      <w:r w:rsidR="00EE41D1" w:rsidRPr="0096798A">
        <w:rPr>
          <w:rFonts w:cs="Arial"/>
          <w:szCs w:val="24"/>
        </w:rPr>
        <w:t xml:space="preserve"> members of staff identified as trans</w:t>
      </w:r>
      <w:r w:rsidRPr="0096798A">
        <w:rPr>
          <w:rFonts w:cs="Arial"/>
          <w:szCs w:val="24"/>
        </w:rPr>
        <w:t>.</w:t>
      </w:r>
      <w:r w:rsidR="0004571D">
        <w:rPr>
          <w:rFonts w:cs="Arial"/>
          <w:szCs w:val="24"/>
        </w:rPr>
        <w:t xml:space="preserve"> This indicates a low occurrence when compared with rates of trans people in Scotland, which is about 0.6% of people.</w:t>
      </w:r>
    </w:p>
    <w:p w14:paraId="3FCEBCC6" w14:textId="77777777" w:rsidR="008E2C8F" w:rsidRPr="0096798A" w:rsidRDefault="008E2C8F" w:rsidP="00AC5B73">
      <w:pPr>
        <w:rPr>
          <w:rFonts w:cs="Arial"/>
          <w:szCs w:val="24"/>
        </w:rPr>
      </w:pPr>
    </w:p>
    <w:p w14:paraId="792CD48A" w14:textId="7D72C77D" w:rsidR="008E2C8F" w:rsidRDefault="008E2C8F" w:rsidP="00AC5B73">
      <w:pPr>
        <w:rPr>
          <w:rFonts w:cs="Arial"/>
          <w:szCs w:val="24"/>
        </w:rPr>
      </w:pPr>
      <w:r w:rsidRPr="0096798A">
        <w:rPr>
          <w:rFonts w:cs="Arial"/>
          <w:szCs w:val="24"/>
        </w:rPr>
        <w:t xml:space="preserve">It should be noted that </w:t>
      </w:r>
      <w:r w:rsidR="00D50A76">
        <w:rPr>
          <w:rFonts w:cs="Arial"/>
          <w:szCs w:val="24"/>
        </w:rPr>
        <w:t xml:space="preserve">eESS </w:t>
      </w:r>
      <w:r w:rsidRPr="0096798A">
        <w:rPr>
          <w:rFonts w:cs="Arial"/>
          <w:szCs w:val="24"/>
        </w:rPr>
        <w:t>allows members of staff to amend their personal details, including equalities information.</w:t>
      </w:r>
      <w:r w:rsidR="00901CC7" w:rsidRPr="0096798A">
        <w:rPr>
          <w:rFonts w:cs="Arial"/>
          <w:szCs w:val="24"/>
        </w:rPr>
        <w:t xml:space="preserve"> </w:t>
      </w:r>
      <w:r w:rsidRPr="0096798A">
        <w:rPr>
          <w:rFonts w:cs="Arial"/>
          <w:szCs w:val="24"/>
        </w:rPr>
        <w:t>It also contains the question “Have you, are you or do you plan to undergo gender reassignment (changing sex)?”</w:t>
      </w:r>
      <w:r w:rsidR="00901CC7" w:rsidRPr="0096798A">
        <w:rPr>
          <w:rFonts w:cs="Arial"/>
          <w:szCs w:val="24"/>
        </w:rPr>
        <w:t xml:space="preserve"> </w:t>
      </w:r>
      <w:r w:rsidRPr="0096798A">
        <w:rPr>
          <w:rFonts w:cs="Arial"/>
          <w:szCs w:val="24"/>
        </w:rPr>
        <w:t>Members of staff have the option to respond “Yes”, “No”, “Don’t know” or “Prefer not to say”.</w:t>
      </w:r>
      <w:r w:rsidR="00901CC7" w:rsidRPr="0096798A">
        <w:rPr>
          <w:rFonts w:cs="Arial"/>
          <w:szCs w:val="24"/>
        </w:rPr>
        <w:t xml:space="preserve"> </w:t>
      </w:r>
      <w:r w:rsidR="00EA7A12" w:rsidRPr="0096798A">
        <w:rPr>
          <w:rFonts w:cs="Arial"/>
          <w:szCs w:val="24"/>
        </w:rPr>
        <w:t>Several communications have gone out to staff to inform them of the ability to amend their personal details, including equality information, on eESS.</w:t>
      </w:r>
      <w:r w:rsidR="00DE06B8">
        <w:rPr>
          <w:rFonts w:cs="Arial"/>
          <w:szCs w:val="24"/>
        </w:rPr>
        <w:t xml:space="preserve"> </w:t>
      </w:r>
      <w:r w:rsidR="0004571D">
        <w:rPr>
          <w:rFonts w:cs="Arial"/>
          <w:szCs w:val="24"/>
        </w:rPr>
        <w:t>The language of eESS is, in the context of trans individuals, out of date, and misrepresents the process of transition as a chiefly medical exercise.</w:t>
      </w:r>
    </w:p>
    <w:p w14:paraId="47E29F74" w14:textId="77777777" w:rsidR="0004571D" w:rsidRDefault="0004571D" w:rsidP="00AC5B73">
      <w:pPr>
        <w:rPr>
          <w:rFonts w:cs="Arial"/>
          <w:szCs w:val="24"/>
        </w:rPr>
      </w:pPr>
    </w:p>
    <w:p w14:paraId="5C0BFF94" w14:textId="77777777" w:rsidR="0004571D" w:rsidRPr="0096798A" w:rsidRDefault="0004571D" w:rsidP="00AC5B73">
      <w:pPr>
        <w:rPr>
          <w:rFonts w:cs="Arial"/>
          <w:szCs w:val="24"/>
        </w:rPr>
      </w:pPr>
      <w:r>
        <w:rPr>
          <w:rFonts w:cs="Arial"/>
          <w:szCs w:val="24"/>
        </w:rPr>
        <w:t>The eESS system does not account for third gender or non-binary gender options, which would fall under the Trans heading.</w:t>
      </w:r>
    </w:p>
    <w:p w14:paraId="5358B3D2" w14:textId="77777777" w:rsidR="00C06EE9" w:rsidRPr="0096798A" w:rsidRDefault="00C06EE9" w:rsidP="00AC5B73">
      <w:pPr>
        <w:rPr>
          <w:rFonts w:cs="Arial"/>
          <w:szCs w:val="24"/>
        </w:rPr>
      </w:pPr>
    </w:p>
    <w:p w14:paraId="0CF75E14" w14:textId="77777777" w:rsidR="00C06EE9" w:rsidRPr="0096798A" w:rsidRDefault="00C06EE9" w:rsidP="00AC5B73">
      <w:pPr>
        <w:pStyle w:val="Heading2"/>
        <w:rPr>
          <w:rFonts w:cs="Arial"/>
        </w:rPr>
      </w:pPr>
      <w:bookmarkStart w:id="143" w:name="_Toc76025144"/>
      <w:bookmarkStart w:id="144" w:name="_Toc108076947"/>
      <w:r w:rsidRPr="0096798A">
        <w:rPr>
          <w:rFonts w:cs="Arial"/>
        </w:rPr>
        <w:t>Pregnancy and Maternity</w:t>
      </w:r>
      <w:bookmarkEnd w:id="143"/>
      <w:bookmarkEnd w:id="144"/>
    </w:p>
    <w:p w14:paraId="08E0D021" w14:textId="5081F75D" w:rsidR="00765430" w:rsidRPr="0096798A" w:rsidRDefault="00457D5E" w:rsidP="00AC5B73">
      <w:pPr>
        <w:rPr>
          <w:rFonts w:cs="Arial"/>
          <w:szCs w:val="24"/>
        </w:rPr>
      </w:pPr>
      <w:r w:rsidRPr="0096798A">
        <w:rPr>
          <w:rFonts w:cs="Arial"/>
          <w:szCs w:val="24"/>
        </w:rPr>
        <w:t xml:space="preserve">During the monitored period a total of </w:t>
      </w:r>
      <w:r w:rsidR="00F75E18">
        <w:rPr>
          <w:rFonts w:cs="Arial"/>
          <w:szCs w:val="24"/>
        </w:rPr>
        <w:t>73 instances of maternity leave were recorded</w:t>
      </w:r>
      <w:r w:rsidR="00765430" w:rsidRPr="0096798A">
        <w:rPr>
          <w:rFonts w:cs="Arial"/>
          <w:szCs w:val="24"/>
        </w:rPr>
        <w:t xml:space="preserve">: </w:t>
      </w:r>
    </w:p>
    <w:p w14:paraId="339D3192" w14:textId="5C8582E1" w:rsidR="00765430" w:rsidRPr="0096798A" w:rsidRDefault="00F75E18" w:rsidP="00AC5B73">
      <w:pPr>
        <w:pStyle w:val="ListParagraph"/>
        <w:numPr>
          <w:ilvl w:val="0"/>
          <w:numId w:val="5"/>
        </w:numPr>
        <w:rPr>
          <w:rFonts w:cs="Arial"/>
          <w:szCs w:val="24"/>
        </w:rPr>
      </w:pPr>
      <w:r>
        <w:rPr>
          <w:rFonts w:cs="Arial"/>
          <w:szCs w:val="24"/>
        </w:rPr>
        <w:t>22</w:t>
      </w:r>
      <w:r w:rsidR="00B3602D" w:rsidRPr="0096798A">
        <w:rPr>
          <w:rFonts w:cs="Arial"/>
          <w:szCs w:val="24"/>
        </w:rPr>
        <w:t xml:space="preserve"> were on maternity l</w:t>
      </w:r>
      <w:r>
        <w:rPr>
          <w:rFonts w:cs="Arial"/>
          <w:szCs w:val="24"/>
        </w:rPr>
        <w:t>eave before 1 April 2021</w:t>
      </w:r>
      <w:r w:rsidR="00765430" w:rsidRPr="0096798A">
        <w:rPr>
          <w:rFonts w:cs="Arial"/>
          <w:szCs w:val="24"/>
        </w:rPr>
        <w:t>;</w:t>
      </w:r>
    </w:p>
    <w:p w14:paraId="30836EA1" w14:textId="64ABCF4F" w:rsidR="00765430" w:rsidRPr="0096798A" w:rsidRDefault="00BA715C" w:rsidP="00AC5B73">
      <w:pPr>
        <w:pStyle w:val="ListParagraph"/>
        <w:numPr>
          <w:ilvl w:val="0"/>
          <w:numId w:val="5"/>
        </w:numPr>
        <w:rPr>
          <w:rFonts w:cs="Arial"/>
          <w:szCs w:val="24"/>
        </w:rPr>
      </w:pPr>
      <w:r>
        <w:rPr>
          <w:rFonts w:cs="Arial"/>
          <w:szCs w:val="24"/>
        </w:rPr>
        <w:lastRenderedPageBreak/>
        <w:t>51</w:t>
      </w:r>
      <w:r w:rsidR="00B3602D" w:rsidRPr="0096798A">
        <w:rPr>
          <w:rFonts w:cs="Arial"/>
          <w:szCs w:val="24"/>
        </w:rPr>
        <w:t xml:space="preserve"> went on maternity leave between 1</w:t>
      </w:r>
      <w:r w:rsidR="00765430" w:rsidRPr="0096798A">
        <w:rPr>
          <w:rFonts w:cs="Arial"/>
          <w:szCs w:val="24"/>
        </w:rPr>
        <w:t xml:space="preserve"> April 20</w:t>
      </w:r>
      <w:r w:rsidR="00F75E18">
        <w:rPr>
          <w:rFonts w:cs="Arial"/>
          <w:szCs w:val="24"/>
        </w:rPr>
        <w:t>21 and 31 March 2022</w:t>
      </w:r>
      <w:r w:rsidR="00765430" w:rsidRPr="0096798A">
        <w:rPr>
          <w:rFonts w:cs="Arial"/>
          <w:szCs w:val="24"/>
        </w:rPr>
        <w:t>;</w:t>
      </w:r>
    </w:p>
    <w:p w14:paraId="3D37DFFE" w14:textId="17FEDDA9" w:rsidR="00765430" w:rsidRPr="0096798A" w:rsidRDefault="00BA715C" w:rsidP="00AC5B73">
      <w:pPr>
        <w:pStyle w:val="ListParagraph"/>
        <w:numPr>
          <w:ilvl w:val="0"/>
          <w:numId w:val="5"/>
        </w:numPr>
        <w:rPr>
          <w:rFonts w:cs="Arial"/>
          <w:szCs w:val="24"/>
        </w:rPr>
      </w:pPr>
      <w:r>
        <w:rPr>
          <w:rFonts w:cs="Arial"/>
          <w:szCs w:val="24"/>
        </w:rPr>
        <w:t>29</w:t>
      </w:r>
      <w:r w:rsidR="00B3602D" w:rsidRPr="0096798A">
        <w:rPr>
          <w:rFonts w:cs="Arial"/>
          <w:szCs w:val="24"/>
        </w:rPr>
        <w:t xml:space="preserve"> returned from maternity leave </w:t>
      </w:r>
      <w:r w:rsidR="00C0573D" w:rsidRPr="0096798A">
        <w:rPr>
          <w:rFonts w:cs="Arial"/>
          <w:szCs w:val="24"/>
        </w:rPr>
        <w:t>during the period under review</w:t>
      </w:r>
      <w:r w:rsidR="00765430" w:rsidRPr="0096798A">
        <w:rPr>
          <w:rFonts w:cs="Arial"/>
          <w:szCs w:val="24"/>
        </w:rPr>
        <w:t>;</w:t>
      </w:r>
    </w:p>
    <w:p w14:paraId="2398F462" w14:textId="496C8C32" w:rsidR="00765430" w:rsidRPr="0096798A" w:rsidRDefault="00BA715C" w:rsidP="00AC5B73">
      <w:pPr>
        <w:pStyle w:val="ListParagraph"/>
        <w:numPr>
          <w:ilvl w:val="0"/>
          <w:numId w:val="5"/>
        </w:numPr>
        <w:rPr>
          <w:rFonts w:cs="Arial"/>
          <w:szCs w:val="24"/>
        </w:rPr>
      </w:pPr>
      <w:r>
        <w:rPr>
          <w:rFonts w:cs="Arial"/>
          <w:szCs w:val="24"/>
        </w:rPr>
        <w:t>44</w:t>
      </w:r>
      <w:r w:rsidR="00B3602D" w:rsidRPr="0096798A">
        <w:rPr>
          <w:rFonts w:cs="Arial"/>
          <w:szCs w:val="24"/>
        </w:rPr>
        <w:t xml:space="preserve"> were still on maternity leave after</w:t>
      </w:r>
      <w:r w:rsidR="00C0573D" w:rsidRPr="0096798A">
        <w:rPr>
          <w:rFonts w:cs="Arial"/>
          <w:szCs w:val="24"/>
        </w:rPr>
        <w:t xml:space="preserve"> 31 Marc</w:t>
      </w:r>
      <w:r>
        <w:rPr>
          <w:rFonts w:cs="Arial"/>
          <w:szCs w:val="24"/>
        </w:rPr>
        <w:t>h 2022</w:t>
      </w:r>
      <w:r w:rsidR="00765430" w:rsidRPr="0096798A">
        <w:rPr>
          <w:rFonts w:cs="Arial"/>
          <w:szCs w:val="24"/>
        </w:rPr>
        <w:t>; and</w:t>
      </w:r>
    </w:p>
    <w:p w14:paraId="3DE416AA" w14:textId="24931BD0" w:rsidR="00C0573D" w:rsidRPr="0096798A" w:rsidRDefault="00C73997" w:rsidP="00AC5B73">
      <w:pPr>
        <w:pStyle w:val="ListParagraph"/>
        <w:numPr>
          <w:ilvl w:val="0"/>
          <w:numId w:val="5"/>
        </w:numPr>
        <w:spacing w:line="276" w:lineRule="auto"/>
        <w:ind w:left="357" w:hanging="357"/>
        <w:rPr>
          <w:rFonts w:cs="Arial"/>
          <w:szCs w:val="24"/>
        </w:rPr>
      </w:pPr>
      <w:r>
        <w:rPr>
          <w:rFonts w:cs="Arial"/>
          <w:szCs w:val="24"/>
        </w:rPr>
        <w:t>7</w:t>
      </w:r>
      <w:r w:rsidR="00765430" w:rsidRPr="0096798A">
        <w:rPr>
          <w:rFonts w:cs="Arial"/>
          <w:szCs w:val="24"/>
        </w:rPr>
        <w:t xml:space="preserve"> </w:t>
      </w:r>
      <w:r w:rsidR="00B3602D" w:rsidRPr="0096798A">
        <w:rPr>
          <w:rFonts w:cs="Arial"/>
          <w:szCs w:val="24"/>
        </w:rPr>
        <w:t>of those who took maternity leave both went on leave an</w:t>
      </w:r>
      <w:r w:rsidR="00C0573D" w:rsidRPr="0096798A">
        <w:rPr>
          <w:rFonts w:cs="Arial"/>
          <w:szCs w:val="24"/>
        </w:rPr>
        <w:t>d returned within the monitored period.</w:t>
      </w:r>
    </w:p>
    <w:p w14:paraId="72464109" w14:textId="77777777" w:rsidR="00C0573D" w:rsidRDefault="00C0573D" w:rsidP="00AC5B73">
      <w:r>
        <w:br w:type="page"/>
      </w:r>
    </w:p>
    <w:p w14:paraId="0C39E8D7" w14:textId="77777777" w:rsidR="00C06EE9" w:rsidRPr="00F825B7" w:rsidRDefault="00C06EE9" w:rsidP="00AC5B73">
      <w:pPr>
        <w:pStyle w:val="Heading1"/>
      </w:pPr>
      <w:bookmarkStart w:id="145" w:name="_Toc76025145"/>
      <w:bookmarkStart w:id="146" w:name="_Toc108076948"/>
      <w:r w:rsidRPr="00F825B7">
        <w:lastRenderedPageBreak/>
        <w:t>Development</w:t>
      </w:r>
      <w:r w:rsidR="00123388" w:rsidRPr="00F825B7">
        <w:t>s</w:t>
      </w:r>
      <w:bookmarkEnd w:id="145"/>
      <w:bookmarkEnd w:id="146"/>
    </w:p>
    <w:p w14:paraId="24A6293E" w14:textId="6F1B997B" w:rsidR="003D4465" w:rsidRDefault="003D4465" w:rsidP="00AC5B73">
      <w:pPr>
        <w:pStyle w:val="NoSpacing"/>
        <w:rPr>
          <w:rFonts w:ascii="Arial" w:hAnsi="Arial" w:cs="Arial"/>
          <w:szCs w:val="24"/>
        </w:rPr>
      </w:pPr>
    </w:p>
    <w:p w14:paraId="10DC089C" w14:textId="007DD8E8" w:rsidR="00305EA0" w:rsidRDefault="00305EA0" w:rsidP="00AC5B73">
      <w:pPr>
        <w:pStyle w:val="NoSpacing"/>
        <w:rPr>
          <w:rFonts w:ascii="Arial" w:hAnsi="Arial" w:cs="Arial"/>
          <w:szCs w:val="24"/>
        </w:rPr>
      </w:pPr>
      <w:r>
        <w:rPr>
          <w:rFonts w:ascii="Arial" w:hAnsi="Arial" w:cs="Arial"/>
          <w:szCs w:val="24"/>
        </w:rPr>
        <w:t>Over the coming year, NHS Golden Jubilee has a large number of developments in progress or in development, such as:</w:t>
      </w:r>
    </w:p>
    <w:p w14:paraId="76F6DE72" w14:textId="4AD1C837" w:rsidR="00305EA0" w:rsidRDefault="00305EA0" w:rsidP="00A16668">
      <w:pPr>
        <w:pStyle w:val="NoSpacing"/>
        <w:numPr>
          <w:ilvl w:val="0"/>
          <w:numId w:val="31"/>
        </w:numPr>
        <w:rPr>
          <w:rFonts w:ascii="Arial" w:hAnsi="Arial" w:cs="Arial"/>
          <w:szCs w:val="24"/>
        </w:rPr>
      </w:pPr>
      <w:r>
        <w:rPr>
          <w:rFonts w:ascii="Arial" w:hAnsi="Arial" w:cs="Arial"/>
          <w:szCs w:val="24"/>
        </w:rPr>
        <w:t>Phase 2 of our hos</w:t>
      </w:r>
      <w:r w:rsidR="00A16668">
        <w:rPr>
          <w:rFonts w:ascii="Arial" w:hAnsi="Arial" w:cs="Arial"/>
          <w:szCs w:val="24"/>
        </w:rPr>
        <w:t>pital expansion, as part of the investment in National Treatment Centres (NTCs).  Work continues on our new surgical centre, with the planned expansion of orthopaedic, general and diagnostic surgeries.  We will begin to treat patients from the summer of 2023, and are in the process of recruiting the workforce needed, both clinical and non-clinical;</w:t>
      </w:r>
    </w:p>
    <w:p w14:paraId="6CFAC836" w14:textId="0E8BC56C" w:rsidR="00A16668" w:rsidRDefault="00A16668" w:rsidP="00A16668">
      <w:pPr>
        <w:pStyle w:val="NoSpacing"/>
        <w:numPr>
          <w:ilvl w:val="0"/>
          <w:numId w:val="31"/>
        </w:numPr>
        <w:rPr>
          <w:rFonts w:ascii="Arial" w:hAnsi="Arial" w:cs="Arial"/>
          <w:szCs w:val="24"/>
        </w:rPr>
      </w:pPr>
      <w:r>
        <w:rPr>
          <w:rFonts w:ascii="Arial" w:hAnsi="Arial" w:cs="Arial"/>
          <w:szCs w:val="24"/>
        </w:rPr>
        <w:t>our post-pandemic remobilisation plan, which describes how we will support NHS Scotland to “Remobilise, Recover and Redesign”, following COVID-19;</w:t>
      </w:r>
    </w:p>
    <w:p w14:paraId="23217B34" w14:textId="120C4AF7" w:rsidR="00A16668" w:rsidRDefault="00A16668" w:rsidP="00A16668">
      <w:pPr>
        <w:pStyle w:val="NoSpacing"/>
        <w:numPr>
          <w:ilvl w:val="0"/>
          <w:numId w:val="31"/>
        </w:numPr>
        <w:rPr>
          <w:rFonts w:ascii="Arial" w:hAnsi="Arial" w:cs="Arial"/>
          <w:szCs w:val="24"/>
        </w:rPr>
      </w:pPr>
      <w:r>
        <w:rPr>
          <w:rFonts w:ascii="Arial" w:hAnsi="Arial" w:cs="Arial"/>
          <w:szCs w:val="24"/>
        </w:rPr>
        <w:t>the Scottish Government commissioned NHS GJ to establish the Centre for Sustainable Delivery (CfSD) to support care and wellbeing programmes, and to enable Boards across Scotland to achieve the transformation needed to support service recover post-COVID-19.  In the coming year and beyond, colleagues in CfSD will be key in developing new workforce capabilities and programmes, moving forward whole system working, which is crucial to NHS Scotland’s transformation ambitions;</w:t>
      </w:r>
    </w:p>
    <w:p w14:paraId="259A3BD3" w14:textId="4ED5DA7F" w:rsidR="009D49A7" w:rsidRDefault="009D49A7" w:rsidP="009D49A7">
      <w:pPr>
        <w:pStyle w:val="NoSpacing"/>
        <w:numPr>
          <w:ilvl w:val="0"/>
          <w:numId w:val="31"/>
        </w:numPr>
        <w:rPr>
          <w:rFonts w:ascii="Arial" w:hAnsi="Arial" w:cs="Arial"/>
          <w:szCs w:val="24"/>
        </w:rPr>
      </w:pPr>
      <w:r>
        <w:rPr>
          <w:rFonts w:ascii="Arial" w:hAnsi="Arial" w:cs="Arial"/>
          <w:szCs w:val="24"/>
        </w:rPr>
        <w:t>2022/2023 will see a significant expansion in the eHealth team, as we go through a period of digital transformation.  We recognise that the growth in the use of digital technology in the delivery of both clinical and support services has accelerated significantly in recent years, and will continue to do so.  We need to be able to meet the increased demands of a growing reliance on digital enabled care, which will need a well-resourced, skilled and motivated eHealth workforce;</w:t>
      </w:r>
    </w:p>
    <w:p w14:paraId="7D2C2727" w14:textId="01CB4BFA" w:rsidR="009D49A7" w:rsidRDefault="009D49A7" w:rsidP="009D49A7">
      <w:pPr>
        <w:pStyle w:val="NoSpacing"/>
        <w:numPr>
          <w:ilvl w:val="0"/>
          <w:numId w:val="31"/>
        </w:numPr>
        <w:rPr>
          <w:rFonts w:ascii="Arial" w:hAnsi="Arial" w:cs="Arial"/>
          <w:szCs w:val="24"/>
        </w:rPr>
      </w:pPr>
      <w:r>
        <w:rPr>
          <w:rFonts w:ascii="Arial" w:hAnsi="Arial" w:cs="Arial"/>
          <w:szCs w:val="24"/>
        </w:rPr>
        <w:t>NHS GJ and NHS Education for Scotland (NES) have formed the NHS Scotland Academy (NHSAA), a national joint venture that will support the implementation of NHS Scotland’s Recovery Plan.  The initial focus will be in supporting the immediate workforce priority needs of NHS Scotland, including the acceleration of the appointment of at least 1500 to the NTCs;</w:t>
      </w:r>
    </w:p>
    <w:p w14:paraId="0E8F2775" w14:textId="49E66196" w:rsidR="009D49A7" w:rsidRDefault="009D49A7" w:rsidP="009D49A7">
      <w:pPr>
        <w:pStyle w:val="ListParagraph"/>
        <w:numPr>
          <w:ilvl w:val="0"/>
          <w:numId w:val="31"/>
        </w:numPr>
      </w:pPr>
      <w:r w:rsidRPr="009D49A7">
        <w:rPr>
          <w:rFonts w:cs="Arial"/>
          <w:szCs w:val="24"/>
        </w:rPr>
        <w:t xml:space="preserve">our </w:t>
      </w:r>
      <w:hyperlink r:id="rId84" w:history="1">
        <w:r w:rsidRPr="009D49A7">
          <w:rPr>
            <w:rStyle w:val="Hyperlink"/>
            <w:rFonts w:cs="Arial"/>
            <w:szCs w:val="24"/>
          </w:rPr>
          <w:t>Health and Wellbeing Strategy 2020-2023</w:t>
        </w:r>
      </w:hyperlink>
      <w:r w:rsidRPr="009D49A7">
        <w:rPr>
          <w:rStyle w:val="Hyperlink"/>
          <w:rFonts w:cs="Arial"/>
          <w:szCs w:val="24"/>
        </w:rPr>
        <w:t xml:space="preserve"> </w:t>
      </w:r>
      <w:r w:rsidRPr="009D49A7">
        <w:rPr>
          <w:rFonts w:cs="Arial"/>
          <w:szCs w:val="24"/>
        </w:rPr>
        <w:t>describes the Board’s ambition “to be a leader in promoting and maintaining a healthy workplace and provide support for our people which maximises their health and wellbeing”.</w:t>
      </w:r>
      <w:r w:rsidRPr="009D49A7">
        <w:t xml:space="preserve"> </w:t>
      </w:r>
      <w:r>
        <w:t xml:space="preserve">Work is currently progressing on the development of the 2022/2023 Annual Delivery Plan in support of the Strategy. This plan will ensure that its objectives capture any actions that need to be carried forward, align with the </w:t>
      </w:r>
      <w:hyperlink r:id="rId85" w:history="1">
        <w:r w:rsidR="002E4C77" w:rsidRPr="009D49A7">
          <w:rPr>
            <w:rStyle w:val="Hyperlink"/>
            <w:rFonts w:cs="Arial"/>
            <w:szCs w:val="24"/>
          </w:rPr>
          <w:t>Health and Wellbeing Strategy 2020-2023</w:t>
        </w:r>
      </w:hyperlink>
      <w:r>
        <w:t xml:space="preserve"> </w:t>
      </w:r>
      <w:r w:rsidR="002E4C77">
        <w:t xml:space="preserve">and </w:t>
      </w:r>
      <w:r>
        <w:t>any requirements of the Scottish Government, and identifies associated financial support requirements. Over the next year and further into the future we will continue to offer training programmes to support staff health and wellbeing, including: mental health awareness; mindfulness to promote resilience and w</w:t>
      </w:r>
      <w:r w:rsidR="002E4C77">
        <w:t>ellbeing; and stress management; and</w:t>
      </w:r>
    </w:p>
    <w:p w14:paraId="4B4D63A1" w14:textId="77777777" w:rsidR="002E4C77" w:rsidRDefault="002E4C77" w:rsidP="002E4C77">
      <w:pPr>
        <w:pStyle w:val="ListParagraph"/>
        <w:numPr>
          <w:ilvl w:val="0"/>
          <w:numId w:val="31"/>
        </w:numPr>
      </w:pPr>
      <w:r>
        <w:t>we will continue to promote diversity in 2022/2023, working with staff to ensure we establish an inclusive workplace.  Our</w:t>
      </w:r>
      <w:r w:rsidRPr="193FA26A">
        <w:t xml:space="preserve"> </w:t>
      </w:r>
      <w:hyperlink r:id="rId86" w:history="1">
        <w:r w:rsidRPr="002E4C77">
          <w:rPr>
            <w:rStyle w:val="Hyperlink"/>
            <w:rFonts w:cs="Arial"/>
          </w:rPr>
          <w:t>Diversity and Inclusion Strategy 2021-25</w:t>
        </w:r>
      </w:hyperlink>
      <w:r w:rsidRPr="193FA26A">
        <w:t xml:space="preserve"> forms an integral part of </w:t>
      </w:r>
      <w:r>
        <w:t>our</w:t>
      </w:r>
      <w:r w:rsidRPr="193FA26A">
        <w:t xml:space="preserve"> aim to promote the health and wellbeing of staff, patients and volunteers. As such, there are a number of crossovers and interdependencies spanning across existing and future outcomes, including the </w:t>
      </w:r>
      <w:hyperlink r:id="rId87" w:history="1">
        <w:r w:rsidRPr="002E4C77">
          <w:rPr>
            <w:rStyle w:val="Hyperlink"/>
            <w:rFonts w:cs="Arial"/>
          </w:rPr>
          <w:t>Health and Wellbeing Strategy 2020-2023</w:t>
        </w:r>
      </w:hyperlink>
      <w:r w:rsidRPr="193FA26A">
        <w:t xml:space="preserve">, the </w:t>
      </w:r>
      <w:hyperlink r:id="rId88" w:history="1">
        <w:r w:rsidRPr="002E4C77">
          <w:rPr>
            <w:rStyle w:val="Hyperlink"/>
            <w:rFonts w:cs="Arial"/>
          </w:rPr>
          <w:t>Involving People Strategy</w:t>
        </w:r>
      </w:hyperlink>
      <w:r w:rsidRPr="193FA26A">
        <w:t xml:space="preserve"> and the </w:t>
      </w:r>
      <w:hyperlink r:id="rId89" w:history="1">
        <w:r w:rsidRPr="002E4C77">
          <w:rPr>
            <w:rStyle w:val="Hyperlink"/>
            <w:rFonts w:cs="Arial"/>
          </w:rPr>
          <w:t>Volunteer Strategy</w:t>
        </w:r>
      </w:hyperlink>
      <w:r w:rsidRPr="193FA26A">
        <w:t>.</w:t>
      </w:r>
      <w:r>
        <w:t xml:space="preserve"> We have worked in partnership with staff and external stakeholders to set out our strategy to further develop our approach to diversity and inclusion. This includes agreeing our equality outcomes for 2021-2025 and describing our ambition to be a leading equality employer and a leader in the design and delivery of inclusive and accessible healthcare services. Our outcomes and associated outputs relating to workforce diversity and inclusion from 2021-2025 are summarised below:</w:t>
      </w:r>
    </w:p>
    <w:p w14:paraId="72F3F093" w14:textId="77777777" w:rsidR="002E4C77" w:rsidRDefault="002E4C77" w:rsidP="002E4C77">
      <w:pPr>
        <w:pStyle w:val="ListParagraph"/>
        <w:numPr>
          <w:ilvl w:val="0"/>
          <w:numId w:val="23"/>
        </w:numPr>
      </w:pPr>
      <w:r>
        <w:t>E</w:t>
      </w:r>
      <w:r w:rsidRPr="000A022E">
        <w:t>ducation and training – we will develop a suite of new training materials to further embed equality, diversity and inclusion throughout NHS GJ;</w:t>
      </w:r>
    </w:p>
    <w:p w14:paraId="1361367C" w14:textId="77777777" w:rsidR="002E4C77" w:rsidRDefault="002E4C77" w:rsidP="002E4C77">
      <w:pPr>
        <w:pStyle w:val="ListParagraph"/>
        <w:numPr>
          <w:ilvl w:val="0"/>
          <w:numId w:val="23"/>
        </w:numPr>
      </w:pPr>
      <w:r>
        <w:t>On-board diverse talent – we will introduce a number of initiatives to attract and retain diverse talent to the organisation;</w:t>
      </w:r>
    </w:p>
    <w:p w14:paraId="1373E8EC" w14:textId="77777777" w:rsidR="002E4C77" w:rsidRPr="000A022E" w:rsidRDefault="002E4C77" w:rsidP="002E4C77">
      <w:pPr>
        <w:pStyle w:val="ListParagraph"/>
        <w:numPr>
          <w:ilvl w:val="0"/>
          <w:numId w:val="23"/>
        </w:numPr>
      </w:pPr>
      <w:r>
        <w:t xml:space="preserve">Leadership and organisation structure - </w:t>
      </w:r>
      <w:r w:rsidRPr="00B518BD">
        <w:rPr>
          <w:szCs w:val="24"/>
        </w:rPr>
        <w:t xml:space="preserve">we are committed to creating a more equitable workplace, with diversity across management structures by understanding and addressing </w:t>
      </w:r>
      <w:r w:rsidRPr="00B518BD">
        <w:rPr>
          <w:szCs w:val="24"/>
        </w:rPr>
        <w:lastRenderedPageBreak/>
        <w:t>barriers to career progression and promotion by the protected characteristics and Fairer Scotland Duty; and</w:t>
      </w:r>
    </w:p>
    <w:p w14:paraId="60BB7036" w14:textId="77777777" w:rsidR="002E4C77" w:rsidRPr="00B518BD" w:rsidRDefault="002E4C77" w:rsidP="002E4C77">
      <w:pPr>
        <w:pStyle w:val="ListParagraph"/>
        <w:numPr>
          <w:ilvl w:val="0"/>
          <w:numId w:val="23"/>
        </w:numPr>
        <w:rPr>
          <w:szCs w:val="24"/>
        </w:rPr>
      </w:pPr>
      <w:r>
        <w:t>I</w:t>
      </w:r>
      <w:r w:rsidRPr="000A022E">
        <w:t xml:space="preserve">nclusivity and data - </w:t>
      </w:r>
      <w:r w:rsidRPr="00B518BD">
        <w:rPr>
          <w:szCs w:val="24"/>
        </w:rPr>
        <w:t>we are committed to building a better understanding of diversity within the organisation by examining the data collection and analysis methods used to characterise workforce profiling.</w:t>
      </w:r>
    </w:p>
    <w:p w14:paraId="67F6A932" w14:textId="77777777" w:rsidR="009D49A7" w:rsidRDefault="009D49A7" w:rsidP="00AC5B73">
      <w:pPr>
        <w:pStyle w:val="NoSpacing"/>
        <w:rPr>
          <w:rFonts w:ascii="Arial" w:hAnsi="Arial" w:cs="Arial"/>
          <w:szCs w:val="24"/>
        </w:rPr>
      </w:pPr>
    </w:p>
    <w:p w14:paraId="5020C470" w14:textId="33329EA0" w:rsidR="00305EA0" w:rsidRDefault="009D49A7" w:rsidP="00AC5B73">
      <w:pPr>
        <w:pStyle w:val="NoSpacing"/>
        <w:rPr>
          <w:rFonts w:ascii="Arial" w:hAnsi="Arial" w:cs="Arial"/>
          <w:szCs w:val="24"/>
        </w:rPr>
      </w:pPr>
      <w:r>
        <w:rPr>
          <w:rFonts w:ascii="Arial" w:hAnsi="Arial" w:cs="Arial"/>
          <w:szCs w:val="24"/>
        </w:rPr>
        <w:t>These developments, as well as others, are covered in much more detail in our three-year Workforce Plan 2022-2025.</w:t>
      </w:r>
    </w:p>
    <w:p w14:paraId="37FC1E64" w14:textId="77777777" w:rsidR="002E4C77" w:rsidRDefault="002E4C77" w:rsidP="00AC5B73">
      <w:pPr>
        <w:pStyle w:val="NoSpacing"/>
        <w:rPr>
          <w:rFonts w:ascii="Arial" w:hAnsi="Arial" w:cs="Arial"/>
          <w:szCs w:val="24"/>
        </w:rPr>
      </w:pPr>
    </w:p>
    <w:sectPr w:rsidR="002E4C77" w:rsidSect="002161F6">
      <w:headerReference w:type="default" r:id="rId90"/>
      <w:footerReference w:type="default" r:id="rId91"/>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46BE4" w14:textId="77777777" w:rsidR="00D0252C" w:rsidRDefault="00D0252C" w:rsidP="002373BE">
      <w:r>
        <w:separator/>
      </w:r>
    </w:p>
  </w:endnote>
  <w:endnote w:type="continuationSeparator" w:id="0">
    <w:p w14:paraId="4650DD5B" w14:textId="77777777" w:rsidR="00D0252C" w:rsidRDefault="00D0252C" w:rsidP="002373BE">
      <w:r>
        <w:continuationSeparator/>
      </w:r>
    </w:p>
  </w:endnote>
  <w:endnote w:type="continuationNotice" w:id="1">
    <w:p w14:paraId="2E4175B4" w14:textId="77777777" w:rsidR="00D0252C" w:rsidRDefault="00D02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50978"/>
      <w:docPartObj>
        <w:docPartGallery w:val="Page Numbers (Bottom of Page)"/>
        <w:docPartUnique/>
      </w:docPartObj>
    </w:sdtPr>
    <w:sdtEndPr>
      <w:rPr>
        <w:color w:val="7F7F7F" w:themeColor="background1" w:themeShade="7F"/>
        <w:spacing w:val="60"/>
      </w:rPr>
    </w:sdtEndPr>
    <w:sdtContent>
      <w:p w14:paraId="532AE5BE" w14:textId="0515FA7F" w:rsidR="0071706C" w:rsidRDefault="0071706C">
        <w:pPr>
          <w:pStyle w:val="Footer"/>
          <w:pBdr>
            <w:top w:val="single" w:sz="4" w:space="1" w:color="D9D9D9" w:themeColor="background1" w:themeShade="D9"/>
          </w:pBdr>
          <w:jc w:val="right"/>
        </w:pPr>
        <w:r>
          <w:rPr>
            <w:noProof/>
          </w:rPr>
          <w:fldChar w:fldCharType="begin"/>
        </w:r>
        <w:r>
          <w:rPr>
            <w:noProof/>
          </w:rPr>
          <w:instrText xml:space="preserve"> PAGE   \* MERGEFORMAT </w:instrText>
        </w:r>
        <w:r>
          <w:rPr>
            <w:noProof/>
          </w:rPr>
          <w:fldChar w:fldCharType="separate"/>
        </w:r>
        <w:r w:rsidR="005C2AFB">
          <w:rPr>
            <w:noProof/>
          </w:rPr>
          <w:t>1</w:t>
        </w:r>
        <w:r>
          <w:rPr>
            <w:noProof/>
          </w:rPr>
          <w:fldChar w:fldCharType="end"/>
        </w:r>
        <w:r>
          <w:t xml:space="preserve"> | </w:t>
        </w:r>
        <w:r>
          <w:rPr>
            <w:color w:val="7F7F7F" w:themeColor="background1" w:themeShade="7F"/>
            <w:spacing w:val="60"/>
          </w:rPr>
          <w:t>Page</w:t>
        </w:r>
      </w:p>
    </w:sdtContent>
  </w:sdt>
  <w:p w14:paraId="2FBC8AFB" w14:textId="77777777" w:rsidR="0071706C" w:rsidRDefault="00717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7C874" w14:textId="77777777" w:rsidR="00D0252C" w:rsidRDefault="00D0252C" w:rsidP="002373BE">
      <w:r>
        <w:separator/>
      </w:r>
    </w:p>
  </w:footnote>
  <w:footnote w:type="continuationSeparator" w:id="0">
    <w:p w14:paraId="7BB85190" w14:textId="77777777" w:rsidR="00D0252C" w:rsidRDefault="00D0252C" w:rsidP="002373BE">
      <w:r>
        <w:continuationSeparator/>
      </w:r>
    </w:p>
  </w:footnote>
  <w:footnote w:type="continuationNotice" w:id="1">
    <w:p w14:paraId="40E1E30B" w14:textId="77777777" w:rsidR="00D0252C" w:rsidRDefault="00D0252C"/>
  </w:footnote>
  <w:footnote w:id="2">
    <w:p w14:paraId="04FD70BE" w14:textId="582859E7" w:rsidR="0071706C" w:rsidRDefault="0071706C" w:rsidP="00305EA0">
      <w:pPr>
        <w:pStyle w:val="FootnoteText"/>
        <w:shd w:val="clear" w:color="auto" w:fill="FFFFFF" w:themeFill="background1"/>
      </w:pPr>
      <w:r>
        <w:rPr>
          <w:rStyle w:val="FootnoteReference"/>
        </w:rPr>
        <w:footnoteRef/>
      </w:r>
      <w:r>
        <w:t xml:space="preserve"> </w:t>
      </w:r>
      <w:hyperlink r:id="rId1" w:history="1">
        <w:r w:rsidRPr="003545F2">
          <w:rPr>
            <w:rStyle w:val="Hyperlink"/>
          </w:rPr>
          <w:t>https://turasdata.nes.nhs.scot/data-and-reports/official-workforce-statistics/all-official-statistics-publications/07-june-2022-workforce/dashboards/</w:t>
        </w:r>
        <w:r>
          <w:rPr>
            <w:rStyle w:val="Hyperlink"/>
          </w:rPr>
          <w:t>NHS Scotland</w:t>
        </w:r>
        <w:r w:rsidRPr="003545F2">
          <w:rPr>
            <w:rStyle w:val="Hyperlink"/>
          </w:rPr>
          <w:t>-workforce/?pageid=6963</w:t>
        </w:r>
      </w:hyperlink>
    </w:p>
  </w:footnote>
  <w:footnote w:id="3">
    <w:p w14:paraId="6EC5B760" w14:textId="0E9F58E9" w:rsidR="0071706C" w:rsidRDefault="0071706C" w:rsidP="00305EA0">
      <w:pPr>
        <w:pStyle w:val="FootnoteText"/>
        <w:shd w:val="clear" w:color="auto" w:fill="FFFFFF" w:themeFill="background1"/>
      </w:pPr>
      <w:r>
        <w:rPr>
          <w:rStyle w:val="FootnoteReference"/>
        </w:rPr>
        <w:t>2</w:t>
      </w:r>
      <w:r>
        <w:t xml:space="preserve"> </w:t>
      </w:r>
      <w:r w:rsidRPr="00AF255D">
        <w:rPr>
          <w:rFonts w:eastAsia="Times New Roman" w:cs="Arial"/>
          <w:color w:val="000000"/>
          <w:szCs w:val="24"/>
          <w:lang w:eastAsia="en-GB"/>
        </w:rPr>
        <w:t>“Other reasons” includes “New employment with NHS o</w:t>
      </w:r>
      <w:r>
        <w:rPr>
          <w:rFonts w:eastAsia="Times New Roman" w:cs="Arial"/>
          <w:color w:val="000000"/>
          <w:szCs w:val="24"/>
          <w:lang w:eastAsia="en-GB"/>
        </w:rPr>
        <w:t>ut with Scotland”,</w:t>
      </w:r>
      <w:r w:rsidRPr="00AF255D">
        <w:rPr>
          <w:rFonts w:eastAsia="Times New Roman" w:cs="Arial"/>
          <w:color w:val="000000"/>
          <w:szCs w:val="24"/>
          <w:lang w:eastAsia="en-GB"/>
        </w:rPr>
        <w:t xml:space="preserve"> “Voluntary resignation – </w:t>
      </w:r>
      <w:r>
        <w:rPr>
          <w:rFonts w:eastAsia="Times New Roman" w:cs="Arial"/>
          <w:color w:val="000000"/>
          <w:szCs w:val="24"/>
          <w:lang w:eastAsia="en-GB"/>
        </w:rPr>
        <w:t>promotion”</w:t>
      </w:r>
      <w:r w:rsidRPr="00AF255D">
        <w:rPr>
          <w:rFonts w:eastAsia="Times New Roman" w:cs="Arial"/>
          <w:color w:val="000000"/>
          <w:szCs w:val="24"/>
          <w:lang w:eastAsia="en-GB"/>
        </w:rPr>
        <w:t>, “Death in service” and “</w:t>
      </w:r>
      <w:r>
        <w:rPr>
          <w:rFonts w:eastAsia="Times New Roman" w:cs="Arial"/>
          <w:color w:val="000000"/>
          <w:szCs w:val="24"/>
          <w:lang w:eastAsia="en-GB"/>
        </w:rPr>
        <w:t>Voluntary Resignation – lack of opportunities”. They are not identified individually,</w:t>
      </w:r>
      <w:r w:rsidRPr="00AF255D">
        <w:rPr>
          <w:rFonts w:eastAsia="Times New Roman" w:cs="Arial"/>
          <w:color w:val="000000"/>
          <w:szCs w:val="24"/>
          <w:lang w:eastAsia="en-GB"/>
        </w:rPr>
        <w:t xml:space="preserve"> as the number of leavers was too low to </w:t>
      </w:r>
      <w:r>
        <w:rPr>
          <w:rFonts w:eastAsia="Times New Roman" w:cs="Arial"/>
          <w:color w:val="000000"/>
          <w:szCs w:val="24"/>
          <w:lang w:eastAsia="en-GB"/>
        </w:rPr>
        <w:t>do so</w:t>
      </w:r>
      <w:r w:rsidRPr="00AF255D">
        <w:rPr>
          <w:rFonts w:eastAsia="Times New Roman" w:cs="Arial"/>
          <w:color w:val="000000"/>
          <w:szCs w:val="24"/>
          <w:lang w:eastAsia="en-GB"/>
        </w:rPr>
        <w:t>.</w:t>
      </w:r>
    </w:p>
  </w:footnote>
  <w:footnote w:id="4">
    <w:p w14:paraId="5EA65030" w14:textId="1C11FD90" w:rsidR="0071706C" w:rsidRDefault="0071706C" w:rsidP="00305EA0">
      <w:pPr>
        <w:pStyle w:val="NoSpacing"/>
        <w:shd w:val="clear" w:color="auto" w:fill="FFFFFF" w:themeFill="background1"/>
        <w:rPr>
          <w:rFonts w:ascii="Arial" w:eastAsia="Times New Roman" w:hAnsi="Arial" w:cs="Arial"/>
          <w:color w:val="000000"/>
          <w:sz w:val="20"/>
          <w:szCs w:val="20"/>
          <w:lang w:eastAsia="en-GB"/>
        </w:rPr>
      </w:pPr>
      <w:r>
        <w:rPr>
          <w:rStyle w:val="FootnoteReference"/>
        </w:rPr>
        <w:t>3</w:t>
      </w:r>
      <w:r>
        <w:t xml:space="preserve"> </w:t>
      </w:r>
      <w:r w:rsidRPr="00CD1313">
        <w:rPr>
          <w:rFonts w:ascii="Arial" w:eastAsia="Times New Roman" w:hAnsi="Arial" w:cs="Arial"/>
          <w:color w:val="000000"/>
          <w:sz w:val="20"/>
          <w:szCs w:val="20"/>
          <w:lang w:eastAsia="en-GB"/>
        </w:rPr>
        <w:t>In 2012, 2013 and 2014 Asian – Pakistani was counted in "Other Asian" and African was counted in "Other Ethnic Group", as the number of staff members was too low to identify separately.</w:t>
      </w:r>
    </w:p>
    <w:p w14:paraId="79394FF5" w14:textId="77777777" w:rsidR="0071706C" w:rsidRPr="00CD1313" w:rsidRDefault="0071706C" w:rsidP="00305EA0">
      <w:pPr>
        <w:pStyle w:val="NoSpacing"/>
        <w:shd w:val="clear" w:color="auto" w:fill="FFFFFF" w:themeFill="background1"/>
        <w:rPr>
          <w:rFonts w:ascii="Arial" w:hAnsi="Arial" w:cs="Arial"/>
          <w:sz w:val="20"/>
          <w:szCs w:val="20"/>
        </w:rPr>
      </w:pPr>
    </w:p>
    <w:p w14:paraId="2D5F2385" w14:textId="18D95F3A" w:rsidR="0071706C" w:rsidRDefault="0071706C" w:rsidP="00305EA0">
      <w:pPr>
        <w:pStyle w:val="NoSpacing"/>
        <w:shd w:val="clear" w:color="auto" w:fill="FFFFFF" w:themeFill="background1"/>
        <w:rPr>
          <w:rFonts w:ascii="Arial" w:eastAsia="Times New Roman" w:hAnsi="Arial" w:cs="Arial"/>
          <w:color w:val="000000"/>
          <w:sz w:val="20"/>
          <w:szCs w:val="20"/>
          <w:lang w:eastAsia="en-GB"/>
        </w:rPr>
      </w:pPr>
      <w:r w:rsidRPr="00CD1313">
        <w:rPr>
          <w:rFonts w:ascii="Arial" w:eastAsia="Times New Roman" w:hAnsi="Arial" w:cs="Arial"/>
          <w:color w:val="000000"/>
          <w:sz w:val="20"/>
          <w:szCs w:val="20"/>
          <w:lang w:eastAsia="en-GB"/>
        </w:rPr>
        <w:t xml:space="preserve">In the years prior to 2018 </w:t>
      </w:r>
      <w:r>
        <w:rPr>
          <w:rFonts w:ascii="Arial" w:eastAsia="Times New Roman" w:hAnsi="Arial" w:cs="Arial"/>
          <w:color w:val="000000"/>
          <w:sz w:val="20"/>
          <w:szCs w:val="20"/>
          <w:lang w:eastAsia="en-GB"/>
        </w:rPr>
        <w:t>“</w:t>
      </w:r>
      <w:r w:rsidRPr="00CD1313">
        <w:rPr>
          <w:rFonts w:ascii="Arial" w:eastAsia="Times New Roman" w:hAnsi="Arial" w:cs="Arial"/>
          <w:color w:val="000000"/>
          <w:sz w:val="20"/>
          <w:szCs w:val="20"/>
          <w:lang w:eastAsia="en-GB"/>
        </w:rPr>
        <w:t>White – Irish</w:t>
      </w:r>
      <w:r>
        <w:rPr>
          <w:rFonts w:ascii="Arial" w:eastAsia="Times New Roman" w:hAnsi="Arial" w:cs="Arial"/>
          <w:color w:val="000000"/>
          <w:sz w:val="20"/>
          <w:szCs w:val="20"/>
          <w:lang w:eastAsia="en-GB"/>
        </w:rPr>
        <w:t>”</w:t>
      </w:r>
      <w:r w:rsidRPr="00CD1313">
        <w:rPr>
          <w:rFonts w:ascii="Arial" w:eastAsia="Times New Roman" w:hAnsi="Arial" w:cs="Arial"/>
          <w:color w:val="000000"/>
          <w:sz w:val="20"/>
          <w:szCs w:val="20"/>
          <w:lang w:eastAsia="en-GB"/>
        </w:rPr>
        <w:t xml:space="preserve">, </w:t>
      </w:r>
      <w:r>
        <w:rPr>
          <w:rFonts w:ascii="Arial" w:eastAsia="Times New Roman" w:hAnsi="Arial" w:cs="Arial"/>
          <w:color w:val="000000"/>
          <w:sz w:val="20"/>
          <w:szCs w:val="20"/>
          <w:lang w:eastAsia="en-GB"/>
        </w:rPr>
        <w:t>“</w:t>
      </w:r>
      <w:r w:rsidRPr="00CD1313">
        <w:rPr>
          <w:rFonts w:ascii="Arial" w:eastAsia="Times New Roman" w:hAnsi="Arial" w:cs="Arial"/>
          <w:color w:val="000000"/>
          <w:sz w:val="20"/>
          <w:szCs w:val="20"/>
          <w:lang w:eastAsia="en-GB"/>
        </w:rPr>
        <w:t>Mixed or Multiple Ethnic Group</w:t>
      </w:r>
      <w:r>
        <w:rPr>
          <w:rFonts w:ascii="Arial" w:eastAsia="Times New Roman" w:hAnsi="Arial" w:cs="Arial"/>
          <w:color w:val="000000"/>
          <w:sz w:val="20"/>
          <w:szCs w:val="20"/>
          <w:lang w:eastAsia="en-GB"/>
        </w:rPr>
        <w:t>”</w:t>
      </w:r>
      <w:r w:rsidRPr="00CD1313">
        <w:rPr>
          <w:rFonts w:ascii="Arial" w:eastAsia="Times New Roman" w:hAnsi="Arial" w:cs="Arial"/>
          <w:color w:val="000000"/>
          <w:sz w:val="20"/>
          <w:szCs w:val="20"/>
          <w:lang w:eastAsia="en-GB"/>
        </w:rPr>
        <w:t xml:space="preserve"> and </w:t>
      </w:r>
      <w:r>
        <w:rPr>
          <w:rFonts w:ascii="Arial" w:eastAsia="Times New Roman" w:hAnsi="Arial" w:cs="Arial"/>
          <w:color w:val="000000"/>
          <w:sz w:val="20"/>
          <w:szCs w:val="20"/>
          <w:lang w:eastAsia="en-GB"/>
        </w:rPr>
        <w:t>“</w:t>
      </w:r>
      <w:r w:rsidRPr="00CD1313">
        <w:rPr>
          <w:rFonts w:ascii="Arial" w:eastAsia="Times New Roman" w:hAnsi="Arial" w:cs="Arial"/>
          <w:color w:val="000000"/>
          <w:sz w:val="20"/>
          <w:szCs w:val="20"/>
          <w:lang w:eastAsia="en-GB"/>
        </w:rPr>
        <w:t>Asian – Chinese</w:t>
      </w:r>
      <w:r>
        <w:rPr>
          <w:rFonts w:ascii="Arial" w:eastAsia="Times New Roman" w:hAnsi="Arial" w:cs="Arial"/>
          <w:color w:val="000000"/>
          <w:sz w:val="20"/>
          <w:szCs w:val="20"/>
          <w:lang w:eastAsia="en-GB"/>
        </w:rPr>
        <w:t>”</w:t>
      </w:r>
      <w:r w:rsidRPr="00CD1313">
        <w:rPr>
          <w:rFonts w:ascii="Arial" w:eastAsia="Times New Roman" w:hAnsi="Arial" w:cs="Arial"/>
          <w:color w:val="000000"/>
          <w:sz w:val="20"/>
          <w:szCs w:val="20"/>
          <w:lang w:eastAsia="en-GB"/>
        </w:rPr>
        <w:t xml:space="preserve"> staff members were counted in "Other Ethnic Group", as the number of staff members was too low to identify separately.</w:t>
      </w:r>
    </w:p>
    <w:p w14:paraId="3DAB19E9" w14:textId="77777777" w:rsidR="0071706C" w:rsidRPr="00CD1313" w:rsidRDefault="0071706C" w:rsidP="00305EA0">
      <w:pPr>
        <w:pStyle w:val="NoSpacing"/>
        <w:shd w:val="clear" w:color="auto" w:fill="FFFFFF" w:themeFill="background1"/>
        <w:rPr>
          <w:rFonts w:ascii="Arial" w:eastAsia="Times New Roman" w:hAnsi="Arial" w:cs="Arial"/>
          <w:color w:val="000000"/>
          <w:sz w:val="20"/>
          <w:szCs w:val="20"/>
          <w:lang w:eastAsia="en-GB"/>
        </w:rPr>
      </w:pPr>
    </w:p>
    <w:p w14:paraId="35E2763D" w14:textId="16D859FD" w:rsidR="0071706C" w:rsidRDefault="0071706C" w:rsidP="00305EA0">
      <w:pPr>
        <w:pStyle w:val="NoSpacing"/>
        <w:shd w:val="clear" w:color="auto" w:fill="FFFFFF" w:themeFill="background1"/>
        <w:rPr>
          <w:rFonts w:ascii="Arial" w:hAnsi="Arial" w:cs="Arial"/>
          <w:sz w:val="20"/>
          <w:szCs w:val="20"/>
        </w:rPr>
      </w:pPr>
      <w:r w:rsidRPr="00CD1313">
        <w:rPr>
          <w:rFonts w:ascii="Arial" w:hAnsi="Arial" w:cs="Arial"/>
          <w:sz w:val="20"/>
          <w:szCs w:val="20"/>
        </w:rPr>
        <w:t>In 2019 “Other Ethnic Group” included members of staff who identified as “White – Polish”, “Asian – Chinese”, “Other Ethnic Group – Arab” and “White – Gypsy Traveller”, as the number of staff members was too low to identify separately.</w:t>
      </w:r>
    </w:p>
    <w:p w14:paraId="0500F802" w14:textId="77777777" w:rsidR="0071706C" w:rsidRPr="00CD1313" w:rsidRDefault="0071706C" w:rsidP="00305EA0">
      <w:pPr>
        <w:pStyle w:val="NoSpacing"/>
        <w:shd w:val="clear" w:color="auto" w:fill="FFFFFF" w:themeFill="background1"/>
        <w:rPr>
          <w:rFonts w:ascii="Arial" w:hAnsi="Arial" w:cs="Arial"/>
          <w:sz w:val="20"/>
          <w:szCs w:val="20"/>
        </w:rPr>
      </w:pPr>
    </w:p>
    <w:p w14:paraId="5F762837" w14:textId="15EEDBF3" w:rsidR="0071706C" w:rsidRDefault="0071706C" w:rsidP="00305EA0">
      <w:pPr>
        <w:pStyle w:val="FootnoteText"/>
        <w:shd w:val="clear" w:color="auto" w:fill="FFFFFF" w:themeFill="background1"/>
        <w:rPr>
          <w:rFonts w:cs="Arial"/>
        </w:rPr>
      </w:pPr>
      <w:r w:rsidRPr="00CD1313">
        <w:rPr>
          <w:rFonts w:cs="Arial"/>
        </w:rPr>
        <w:t>In 2020 and 2021 "Other Ethnic Group" included members of staff who identified as "Asian - Chinese", "Other Ethnic Group - Arab", "Asian - Bangladeshi", "White - Gypsy Traveller" and "Caribbean or Black", as the number of staff members was too low to identify separately.</w:t>
      </w:r>
    </w:p>
    <w:p w14:paraId="0778B347" w14:textId="77777777" w:rsidR="0071706C" w:rsidRDefault="0071706C" w:rsidP="00305EA0">
      <w:pPr>
        <w:pStyle w:val="FootnoteText"/>
        <w:shd w:val="clear" w:color="auto" w:fill="FFFFFF" w:themeFill="background1"/>
        <w:rPr>
          <w:rFonts w:cs="Arial"/>
        </w:rPr>
      </w:pPr>
    </w:p>
    <w:p w14:paraId="677BE31D" w14:textId="1E1B48FF" w:rsidR="0071706C" w:rsidRDefault="0071706C" w:rsidP="00305EA0">
      <w:pPr>
        <w:pStyle w:val="FootnoteText"/>
        <w:shd w:val="clear" w:color="auto" w:fill="FFFFFF" w:themeFill="background1"/>
      </w:pPr>
      <w:r>
        <w:rPr>
          <w:rFonts w:cs="Arial"/>
        </w:rPr>
        <w:t>In 2022 “White – Polish” is included in “Other Ethnic Group”, as the number of staff members was too low to identify separately.</w:t>
      </w:r>
    </w:p>
  </w:footnote>
  <w:footnote w:id="5">
    <w:p w14:paraId="04A1E7EF" w14:textId="5C49ED47" w:rsidR="0071706C" w:rsidRDefault="0071706C" w:rsidP="00305EA0">
      <w:pPr>
        <w:pStyle w:val="FootnoteText"/>
        <w:shd w:val="clear" w:color="auto" w:fill="FFFFFF" w:themeFill="background1"/>
      </w:pPr>
      <w:r>
        <w:rPr>
          <w:rStyle w:val="FootnoteReference"/>
        </w:rPr>
        <w:t>4</w:t>
      </w:r>
      <w:r>
        <w:t xml:space="preserve"> </w:t>
      </w:r>
      <w:r>
        <w:rPr>
          <w:rFonts w:cs="Arial"/>
          <w:szCs w:val="24"/>
        </w:rPr>
        <w:t>“Other Ethnic Group” includes “Asian – Pakistani”, “Asian – Bangladeshi”, “Asian – Chinese”, “Asian – Other”, “Mixed or Multiple Ethnic Group” and “Caribbean or Black”, as the proportion of staff in each was too low to identify separately.</w:t>
      </w:r>
    </w:p>
    <w:p w14:paraId="524B60FD" w14:textId="77777777" w:rsidR="0071706C" w:rsidRDefault="0071706C" w:rsidP="00305EA0">
      <w:pPr>
        <w:pStyle w:val="FootnoteText"/>
        <w:shd w:val="clear" w:color="auto" w:fill="FFFFFF" w:themeFill="background1"/>
      </w:pPr>
    </w:p>
  </w:footnote>
  <w:footnote w:id="6">
    <w:p w14:paraId="2EE45E7C" w14:textId="4D359824" w:rsidR="0071706C" w:rsidRDefault="0071706C" w:rsidP="00305EA0">
      <w:pPr>
        <w:pStyle w:val="FootnoteText"/>
        <w:shd w:val="clear" w:color="auto" w:fill="FFFFFF" w:themeFill="background1"/>
      </w:pPr>
      <w:r>
        <w:rPr>
          <w:rStyle w:val="FootnoteReference"/>
        </w:rPr>
        <w:t>5</w:t>
      </w:r>
      <w:r>
        <w:t xml:space="preserve"> </w:t>
      </w:r>
      <w:r w:rsidRPr="00705A09">
        <w:rPr>
          <w:rFonts w:cs="Arial"/>
          <w:szCs w:val="24"/>
        </w:rPr>
        <w:t>"Other Ethnic Group" includes “African”</w:t>
      </w:r>
      <w:r>
        <w:rPr>
          <w:rFonts w:cs="Arial"/>
          <w:szCs w:val="24"/>
        </w:rPr>
        <w:t>,</w:t>
      </w:r>
      <w:r w:rsidRPr="00392B16">
        <w:rPr>
          <w:rFonts w:cs="Arial"/>
          <w:szCs w:val="24"/>
        </w:rPr>
        <w:t xml:space="preserve"> </w:t>
      </w:r>
      <w:r w:rsidRPr="00705A09">
        <w:rPr>
          <w:rFonts w:cs="Arial"/>
          <w:szCs w:val="24"/>
        </w:rPr>
        <w:t>“Asian – Other”,</w:t>
      </w:r>
      <w:r>
        <w:rPr>
          <w:rFonts w:cs="Arial"/>
          <w:szCs w:val="24"/>
        </w:rPr>
        <w:t xml:space="preserve"> </w:t>
      </w:r>
      <w:r w:rsidRPr="00705A09">
        <w:rPr>
          <w:rFonts w:cs="Arial"/>
          <w:szCs w:val="24"/>
        </w:rPr>
        <w:t>“Mixed or M</w:t>
      </w:r>
      <w:r>
        <w:rPr>
          <w:rFonts w:cs="Arial"/>
          <w:szCs w:val="24"/>
        </w:rPr>
        <w:t xml:space="preserve">ultiple Ethnic Group”, </w:t>
      </w:r>
      <w:r w:rsidRPr="00705A09">
        <w:rPr>
          <w:rFonts w:cs="Arial"/>
          <w:szCs w:val="24"/>
        </w:rPr>
        <w:t>“Asian – Pakistani”,</w:t>
      </w:r>
      <w:r>
        <w:rPr>
          <w:rFonts w:cs="Arial"/>
          <w:szCs w:val="24"/>
        </w:rPr>
        <w:t xml:space="preserve"> “White – Irish”, </w:t>
      </w:r>
      <w:r w:rsidRPr="00705A09">
        <w:rPr>
          <w:rFonts w:cs="Arial"/>
          <w:szCs w:val="24"/>
        </w:rPr>
        <w:t>“White – Polish”,</w:t>
      </w:r>
      <w:r>
        <w:rPr>
          <w:rFonts w:cs="Arial"/>
          <w:szCs w:val="24"/>
        </w:rPr>
        <w:t xml:space="preserve"> “Asian – Chinese”, “Asian – Bangladeshi” and “Caribbean or Black”, as the number of leavers was too low to identify separately.</w:t>
      </w:r>
    </w:p>
    <w:p w14:paraId="0A097652" w14:textId="77777777" w:rsidR="0071706C" w:rsidRDefault="0071706C" w:rsidP="00305EA0">
      <w:pPr>
        <w:pStyle w:val="FootnoteText"/>
        <w:shd w:val="clear" w:color="auto" w:fill="FFFFFF" w:themeFill="background1"/>
      </w:pPr>
    </w:p>
  </w:footnote>
  <w:footnote w:id="7">
    <w:p w14:paraId="3C737534" w14:textId="0A11F3E1" w:rsidR="0071706C" w:rsidRDefault="0071706C" w:rsidP="00305EA0">
      <w:pPr>
        <w:pStyle w:val="FootnoteText"/>
        <w:shd w:val="clear" w:color="auto" w:fill="FFFFFF" w:themeFill="background1"/>
      </w:pPr>
      <w:r>
        <w:rPr>
          <w:rStyle w:val="FootnoteReference"/>
        </w:rPr>
        <w:t>6</w:t>
      </w:r>
      <w:r>
        <w:t xml:space="preserve"> </w:t>
      </w:r>
      <w:r w:rsidRPr="00705A09">
        <w:rPr>
          <w:rFonts w:cs="Arial"/>
          <w:szCs w:val="24"/>
        </w:rPr>
        <w:t>Faiths which are represented by fewer than 5 members of staff (such as Jewish, Sikh, Buddhist) are not reported individually, but captured within “Other”.</w:t>
      </w:r>
    </w:p>
  </w:footnote>
  <w:footnote w:id="8">
    <w:p w14:paraId="7D06EFEF" w14:textId="1A41FA1E" w:rsidR="0071706C" w:rsidRDefault="0071706C" w:rsidP="00305EA0">
      <w:pPr>
        <w:pStyle w:val="FootnoteText"/>
        <w:shd w:val="clear" w:color="auto" w:fill="FFFFFF" w:themeFill="background1"/>
      </w:pPr>
      <w:r>
        <w:rPr>
          <w:rStyle w:val="FootnoteReference"/>
        </w:rPr>
        <w:t>7</w:t>
      </w:r>
      <w:r>
        <w:t xml:space="preserve"> </w:t>
      </w:r>
      <w:r w:rsidRPr="0096798A">
        <w:rPr>
          <w:rFonts w:cs="Arial"/>
          <w:szCs w:val="24"/>
        </w:rPr>
        <w:t xml:space="preserve">Faiths which are represented by fewer than five members of staff in the </w:t>
      </w:r>
      <w:r>
        <w:rPr>
          <w:rFonts w:cs="Arial"/>
          <w:szCs w:val="24"/>
        </w:rPr>
        <w:t xml:space="preserve">training % Training or % Workforce (such as </w:t>
      </w:r>
      <w:r w:rsidRPr="0096798A">
        <w:rPr>
          <w:rFonts w:cs="Arial"/>
          <w:szCs w:val="24"/>
        </w:rPr>
        <w:t>Jewish, Sikh, Buddhist) are not reported individually, but captured within “Other”.</w:t>
      </w:r>
    </w:p>
  </w:footnote>
  <w:footnote w:id="9">
    <w:p w14:paraId="79ACCD2C" w14:textId="12B152F8" w:rsidR="0071706C" w:rsidRDefault="0071706C" w:rsidP="00305EA0">
      <w:pPr>
        <w:pStyle w:val="FootnoteText"/>
        <w:shd w:val="clear" w:color="auto" w:fill="FFFFFF" w:themeFill="background1"/>
      </w:pPr>
      <w:r>
        <w:rPr>
          <w:rStyle w:val="FootnoteReference"/>
        </w:rPr>
        <w:t>8</w:t>
      </w:r>
      <w:r>
        <w:t xml:space="preserve"> </w:t>
      </w:r>
      <w:r w:rsidRPr="0096798A">
        <w:rPr>
          <w:rFonts w:cs="Arial"/>
          <w:szCs w:val="24"/>
        </w:rPr>
        <w:t>Faiths which are represented by fewer than five members of staff in the promotions or workforce headcount (such as Muslim, Hindu, Jewish, Sikh, Buddhist) are not reported individually, but captured within “Other”.</w:t>
      </w:r>
    </w:p>
  </w:footnote>
  <w:footnote w:id="10">
    <w:p w14:paraId="77D07AAA" w14:textId="7A0113D8" w:rsidR="0071706C" w:rsidRDefault="0071706C" w:rsidP="00305EA0">
      <w:pPr>
        <w:pStyle w:val="FootnoteText"/>
        <w:shd w:val="clear" w:color="auto" w:fill="FFFFFF" w:themeFill="background1"/>
      </w:pPr>
      <w:r>
        <w:rPr>
          <w:rStyle w:val="FootnoteReference"/>
        </w:rPr>
        <w:t>9</w:t>
      </w:r>
      <w:r>
        <w:t xml:space="preserve"> </w:t>
      </w:r>
      <w:r w:rsidRPr="0096798A">
        <w:rPr>
          <w:rFonts w:cs="Arial"/>
          <w:szCs w:val="24"/>
        </w:rPr>
        <w:t>Faiths which are represented by fewer than five staff members in the “Leavers Headcount” or “Workforce Headcount” column (Hindu, Muslim, Jewish, Sikh and Buddhist) are not reported individually, but captured within “Other”.</w:t>
      </w:r>
    </w:p>
  </w:footnote>
  <w:footnote w:id="11">
    <w:p w14:paraId="34AD2E05" w14:textId="73D79B85" w:rsidR="005F78FF" w:rsidRDefault="005F78FF">
      <w:pPr>
        <w:pStyle w:val="FootnoteText"/>
      </w:pPr>
      <w:r>
        <w:rPr>
          <w:rStyle w:val="FootnoteReference"/>
        </w:rPr>
        <w:t>10</w:t>
      </w:r>
      <w:r>
        <w:t xml:space="preserve"> </w:t>
      </w:r>
      <w:hyperlink r:id="rId2" w:history="1">
        <w:r w:rsidRPr="005F78FF">
          <w:rPr>
            <w:rStyle w:val="Hyperlink"/>
          </w:rPr>
          <w:t>https://pubmed.ncbi.nlm.nih.gov/10902052/</w:t>
        </w:r>
      </w:hyperlink>
    </w:p>
  </w:footnote>
  <w:footnote w:id="12">
    <w:p w14:paraId="6490961D" w14:textId="18E23FD1" w:rsidR="00D734CF" w:rsidRDefault="00D734CF" w:rsidP="00305EA0">
      <w:pPr>
        <w:pStyle w:val="FootnoteText"/>
        <w:shd w:val="clear" w:color="auto" w:fill="FFFFFF" w:themeFill="background1"/>
      </w:pPr>
      <w:r>
        <w:rPr>
          <w:rStyle w:val="FootnoteReference"/>
        </w:rPr>
        <w:t>11</w:t>
      </w:r>
      <w:r>
        <w:t xml:space="preserve"> Until 2018 members of staff did not have to provide information on their marital status, and many staff members did not provide detail of their marital status. However, eESS and Payroll required information on marital status from eESS implementation in 2018, so Payroll downloaded the detail they held to eESS and from that date onwards all starters have had to provide information on their marital status.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2066" w14:textId="287D9614" w:rsidR="0071706C" w:rsidRPr="00452E10" w:rsidRDefault="005C2AFB" w:rsidP="005C2AFB">
    <w:pPr>
      <w:pStyle w:val="Header"/>
      <w:jc w:val="center"/>
      <w:rPr>
        <w:b/>
        <w:color w:val="0070C0"/>
        <w:sz w:val="28"/>
      </w:rPr>
    </w:pPr>
    <w:r>
      <w:rPr>
        <w:b/>
        <w:color w:val="0070C0"/>
        <w:sz w:val="28"/>
      </w:rPr>
      <w:t xml:space="preserve">                                                                                                              </w:t>
    </w:r>
    <w:r w:rsidR="00452E10" w:rsidRPr="00452E10">
      <w:rPr>
        <w:b/>
        <w:color w:val="0070C0"/>
        <w:sz w:val="28"/>
      </w:rPr>
      <w:t xml:space="preserve">Item </w:t>
    </w:r>
    <w:r>
      <w:rPr>
        <w:b/>
        <w:color w:val="0070C0"/>
        <w:sz w:val="28"/>
      </w:rPr>
      <w:t>5</w:t>
    </w:r>
    <w:r w:rsidR="00D60E0B">
      <w:rPr>
        <w:b/>
        <w:color w:val="0070C0"/>
        <w:sz w:val="28"/>
      </w:rPr>
      <w:t>.3</w:t>
    </w:r>
    <w:r w:rsidR="00452E10" w:rsidRPr="00452E10">
      <w:rPr>
        <w:b/>
        <w:color w:val="0070C0"/>
        <w:sz w:val="28"/>
      </w:rPr>
      <w:t>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C37D1"/>
    <w:multiLevelType w:val="hybridMultilevel"/>
    <w:tmpl w:val="F19454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2A50477"/>
    <w:multiLevelType w:val="hybridMultilevel"/>
    <w:tmpl w:val="0E3C59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07373C"/>
    <w:multiLevelType w:val="hybridMultilevel"/>
    <w:tmpl w:val="692AF3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384185"/>
    <w:multiLevelType w:val="hybridMultilevel"/>
    <w:tmpl w:val="803038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BD045D"/>
    <w:multiLevelType w:val="hybridMultilevel"/>
    <w:tmpl w:val="0EB816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C0354B7"/>
    <w:multiLevelType w:val="hybridMultilevel"/>
    <w:tmpl w:val="49FA7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D0469F1"/>
    <w:multiLevelType w:val="hybridMultilevel"/>
    <w:tmpl w:val="2B0A6B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DB72514"/>
    <w:multiLevelType w:val="hybridMultilevel"/>
    <w:tmpl w:val="2DC68F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6C695F"/>
    <w:multiLevelType w:val="multilevel"/>
    <w:tmpl w:val="60C83A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7" w:hanging="576"/>
      </w:pPr>
      <w:rPr>
        <w:rFonts w:hint="default"/>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5AF5F2C"/>
    <w:multiLevelType w:val="hybridMultilevel"/>
    <w:tmpl w:val="DE109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AA000B0"/>
    <w:multiLevelType w:val="hybridMultilevel"/>
    <w:tmpl w:val="2018B2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0DB7F6B"/>
    <w:multiLevelType w:val="hybridMultilevel"/>
    <w:tmpl w:val="E8849A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5431C7D"/>
    <w:multiLevelType w:val="hybridMultilevel"/>
    <w:tmpl w:val="2FD2EE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57C266C"/>
    <w:multiLevelType w:val="hybridMultilevel"/>
    <w:tmpl w:val="5344D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D1334F1"/>
    <w:multiLevelType w:val="hybridMultilevel"/>
    <w:tmpl w:val="97B2EF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7B215AE"/>
    <w:multiLevelType w:val="hybridMultilevel"/>
    <w:tmpl w:val="ABD48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B7A2072"/>
    <w:multiLevelType w:val="hybridMultilevel"/>
    <w:tmpl w:val="DF5C8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376784"/>
    <w:multiLevelType w:val="hybridMultilevel"/>
    <w:tmpl w:val="B5DAE744"/>
    <w:lvl w:ilvl="0" w:tplc="41D64230">
      <w:numFmt w:val="bullet"/>
      <w:lvlText w:val="•"/>
      <w:lvlJc w:val="left"/>
      <w:pPr>
        <w:ind w:left="1215" w:hanging="855"/>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D7765A"/>
    <w:multiLevelType w:val="hybridMultilevel"/>
    <w:tmpl w:val="535C86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07654C7"/>
    <w:multiLevelType w:val="hybridMultilevel"/>
    <w:tmpl w:val="3288F6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29379CB"/>
    <w:multiLevelType w:val="hybridMultilevel"/>
    <w:tmpl w:val="78D624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3E46C1E"/>
    <w:multiLevelType w:val="hybridMultilevel"/>
    <w:tmpl w:val="34B2E9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76146D1"/>
    <w:multiLevelType w:val="hybridMultilevel"/>
    <w:tmpl w:val="1B2E0B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9DA1372"/>
    <w:multiLevelType w:val="hybridMultilevel"/>
    <w:tmpl w:val="4290F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CD27275"/>
    <w:multiLevelType w:val="hybridMultilevel"/>
    <w:tmpl w:val="8842A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DB91BED"/>
    <w:multiLevelType w:val="hybridMultilevel"/>
    <w:tmpl w:val="80C0A4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1191781"/>
    <w:multiLevelType w:val="hybridMultilevel"/>
    <w:tmpl w:val="BB3EE4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23700FB"/>
    <w:multiLevelType w:val="hybridMultilevel"/>
    <w:tmpl w:val="8F842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2B60AC8"/>
    <w:multiLevelType w:val="hybridMultilevel"/>
    <w:tmpl w:val="9F702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D12E02"/>
    <w:multiLevelType w:val="hybridMultilevel"/>
    <w:tmpl w:val="666460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EC361D3"/>
    <w:multiLevelType w:val="hybridMultilevel"/>
    <w:tmpl w:val="46126CDA"/>
    <w:lvl w:ilvl="0" w:tplc="41D64230">
      <w:numFmt w:val="bullet"/>
      <w:lvlText w:val="•"/>
      <w:lvlJc w:val="left"/>
      <w:pPr>
        <w:ind w:left="855" w:hanging="855"/>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6"/>
  </w:num>
  <w:num w:numId="2">
    <w:abstractNumId w:val="14"/>
  </w:num>
  <w:num w:numId="3">
    <w:abstractNumId w:val="11"/>
  </w:num>
  <w:num w:numId="4">
    <w:abstractNumId w:val="10"/>
  </w:num>
  <w:num w:numId="5">
    <w:abstractNumId w:val="29"/>
  </w:num>
  <w:num w:numId="6">
    <w:abstractNumId w:val="8"/>
  </w:num>
  <w:num w:numId="7">
    <w:abstractNumId w:val="23"/>
  </w:num>
  <w:num w:numId="8">
    <w:abstractNumId w:val="19"/>
  </w:num>
  <w:num w:numId="9">
    <w:abstractNumId w:val="5"/>
  </w:num>
  <w:num w:numId="10">
    <w:abstractNumId w:val="6"/>
  </w:num>
  <w:num w:numId="11">
    <w:abstractNumId w:val="21"/>
  </w:num>
  <w:num w:numId="12">
    <w:abstractNumId w:val="9"/>
  </w:num>
  <w:num w:numId="13">
    <w:abstractNumId w:val="3"/>
  </w:num>
  <w:num w:numId="14">
    <w:abstractNumId w:val="24"/>
  </w:num>
  <w:num w:numId="15">
    <w:abstractNumId w:val="0"/>
  </w:num>
  <w:num w:numId="16">
    <w:abstractNumId w:val="28"/>
  </w:num>
  <w:num w:numId="17">
    <w:abstractNumId w:val="7"/>
  </w:num>
  <w:num w:numId="18">
    <w:abstractNumId w:val="13"/>
  </w:num>
  <w:num w:numId="19">
    <w:abstractNumId w:val="27"/>
  </w:num>
  <w:num w:numId="20">
    <w:abstractNumId w:val="18"/>
  </w:num>
  <w:num w:numId="21">
    <w:abstractNumId w:val="1"/>
  </w:num>
  <w:num w:numId="22">
    <w:abstractNumId w:val="25"/>
  </w:num>
  <w:num w:numId="23">
    <w:abstractNumId w:val="15"/>
  </w:num>
  <w:num w:numId="24">
    <w:abstractNumId w:val="16"/>
  </w:num>
  <w:num w:numId="25">
    <w:abstractNumId w:val="17"/>
  </w:num>
  <w:num w:numId="26">
    <w:abstractNumId w:val="30"/>
  </w:num>
  <w:num w:numId="27">
    <w:abstractNumId w:val="20"/>
  </w:num>
  <w:num w:numId="28">
    <w:abstractNumId w:val="2"/>
  </w:num>
  <w:num w:numId="29">
    <w:abstractNumId w:val="12"/>
  </w:num>
  <w:num w:numId="30">
    <w:abstractNumId w:val="22"/>
  </w:num>
  <w:num w:numId="3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851"/>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8602C7"/>
    <w:rsid w:val="00000F6D"/>
    <w:rsid w:val="00002E42"/>
    <w:rsid w:val="00003046"/>
    <w:rsid w:val="00006384"/>
    <w:rsid w:val="00006574"/>
    <w:rsid w:val="00012C27"/>
    <w:rsid w:val="00014194"/>
    <w:rsid w:val="000147F4"/>
    <w:rsid w:val="00015FDB"/>
    <w:rsid w:val="000166E9"/>
    <w:rsid w:val="00016E21"/>
    <w:rsid w:val="00017765"/>
    <w:rsid w:val="000177BE"/>
    <w:rsid w:val="00020DD7"/>
    <w:rsid w:val="00021B65"/>
    <w:rsid w:val="0002200E"/>
    <w:rsid w:val="000231E0"/>
    <w:rsid w:val="00023275"/>
    <w:rsid w:val="00024D9B"/>
    <w:rsid w:val="000255FE"/>
    <w:rsid w:val="00025C06"/>
    <w:rsid w:val="00027122"/>
    <w:rsid w:val="00027220"/>
    <w:rsid w:val="00027A78"/>
    <w:rsid w:val="00030178"/>
    <w:rsid w:val="00030958"/>
    <w:rsid w:val="00031519"/>
    <w:rsid w:val="00033828"/>
    <w:rsid w:val="00034D56"/>
    <w:rsid w:val="00036A6C"/>
    <w:rsid w:val="00037C7A"/>
    <w:rsid w:val="000413A2"/>
    <w:rsid w:val="00041915"/>
    <w:rsid w:val="00041F4F"/>
    <w:rsid w:val="0004346E"/>
    <w:rsid w:val="00043A7B"/>
    <w:rsid w:val="0004571D"/>
    <w:rsid w:val="00047201"/>
    <w:rsid w:val="00047BED"/>
    <w:rsid w:val="000516EA"/>
    <w:rsid w:val="000519FE"/>
    <w:rsid w:val="00051E69"/>
    <w:rsid w:val="00054373"/>
    <w:rsid w:val="0006021C"/>
    <w:rsid w:val="00060756"/>
    <w:rsid w:val="00060A16"/>
    <w:rsid w:val="00065317"/>
    <w:rsid w:val="0006732E"/>
    <w:rsid w:val="00071A36"/>
    <w:rsid w:val="00072A89"/>
    <w:rsid w:val="00073078"/>
    <w:rsid w:val="00073B4A"/>
    <w:rsid w:val="00074AED"/>
    <w:rsid w:val="00080CA5"/>
    <w:rsid w:val="0008238B"/>
    <w:rsid w:val="00082A49"/>
    <w:rsid w:val="00083B53"/>
    <w:rsid w:val="00083E23"/>
    <w:rsid w:val="00086376"/>
    <w:rsid w:val="00090C13"/>
    <w:rsid w:val="0009167E"/>
    <w:rsid w:val="00092749"/>
    <w:rsid w:val="0009278E"/>
    <w:rsid w:val="00093ADA"/>
    <w:rsid w:val="0009439E"/>
    <w:rsid w:val="00094469"/>
    <w:rsid w:val="00094F9F"/>
    <w:rsid w:val="00095EDA"/>
    <w:rsid w:val="00096AA0"/>
    <w:rsid w:val="00097840"/>
    <w:rsid w:val="000A1D93"/>
    <w:rsid w:val="000A2287"/>
    <w:rsid w:val="000A3E20"/>
    <w:rsid w:val="000A612E"/>
    <w:rsid w:val="000A6BDE"/>
    <w:rsid w:val="000A707C"/>
    <w:rsid w:val="000A73E3"/>
    <w:rsid w:val="000A75C5"/>
    <w:rsid w:val="000B1784"/>
    <w:rsid w:val="000B220B"/>
    <w:rsid w:val="000B31E4"/>
    <w:rsid w:val="000B5D31"/>
    <w:rsid w:val="000B66FD"/>
    <w:rsid w:val="000B7CDF"/>
    <w:rsid w:val="000C0050"/>
    <w:rsid w:val="000C0052"/>
    <w:rsid w:val="000C09D2"/>
    <w:rsid w:val="000C10EB"/>
    <w:rsid w:val="000C151C"/>
    <w:rsid w:val="000C40E8"/>
    <w:rsid w:val="000C4EBA"/>
    <w:rsid w:val="000C5830"/>
    <w:rsid w:val="000C6423"/>
    <w:rsid w:val="000C7F5B"/>
    <w:rsid w:val="000D0A6A"/>
    <w:rsid w:val="000D29E4"/>
    <w:rsid w:val="000D2CCC"/>
    <w:rsid w:val="000D3277"/>
    <w:rsid w:val="000D36D2"/>
    <w:rsid w:val="000D481C"/>
    <w:rsid w:val="000D51AA"/>
    <w:rsid w:val="000D583C"/>
    <w:rsid w:val="000D6584"/>
    <w:rsid w:val="000E01BC"/>
    <w:rsid w:val="000E2DA8"/>
    <w:rsid w:val="000E339A"/>
    <w:rsid w:val="000E470F"/>
    <w:rsid w:val="000E4E2A"/>
    <w:rsid w:val="000E5083"/>
    <w:rsid w:val="000E72D4"/>
    <w:rsid w:val="000F001E"/>
    <w:rsid w:val="000F0EDF"/>
    <w:rsid w:val="000F2A28"/>
    <w:rsid w:val="000F3C66"/>
    <w:rsid w:val="000F3CEB"/>
    <w:rsid w:val="000F5640"/>
    <w:rsid w:val="000F626C"/>
    <w:rsid w:val="000F6B1A"/>
    <w:rsid w:val="0010115B"/>
    <w:rsid w:val="00104DAC"/>
    <w:rsid w:val="0010501E"/>
    <w:rsid w:val="0010544D"/>
    <w:rsid w:val="00105E8B"/>
    <w:rsid w:val="00107A15"/>
    <w:rsid w:val="00111C9A"/>
    <w:rsid w:val="001129CF"/>
    <w:rsid w:val="001130B3"/>
    <w:rsid w:val="00117A14"/>
    <w:rsid w:val="00117FDE"/>
    <w:rsid w:val="00123388"/>
    <w:rsid w:val="00125499"/>
    <w:rsid w:val="00126020"/>
    <w:rsid w:val="001262F0"/>
    <w:rsid w:val="0012740A"/>
    <w:rsid w:val="00127718"/>
    <w:rsid w:val="00127B40"/>
    <w:rsid w:val="00127BD3"/>
    <w:rsid w:val="00130DA3"/>
    <w:rsid w:val="0013134D"/>
    <w:rsid w:val="00132C1B"/>
    <w:rsid w:val="00134744"/>
    <w:rsid w:val="00134BE8"/>
    <w:rsid w:val="001355DD"/>
    <w:rsid w:val="00137B3D"/>
    <w:rsid w:val="00137C96"/>
    <w:rsid w:val="00140C70"/>
    <w:rsid w:val="00141E60"/>
    <w:rsid w:val="00142798"/>
    <w:rsid w:val="00142A82"/>
    <w:rsid w:val="00143CEF"/>
    <w:rsid w:val="00146363"/>
    <w:rsid w:val="00147011"/>
    <w:rsid w:val="00147433"/>
    <w:rsid w:val="00147F99"/>
    <w:rsid w:val="00150877"/>
    <w:rsid w:val="00152B21"/>
    <w:rsid w:val="00154B88"/>
    <w:rsid w:val="00155C38"/>
    <w:rsid w:val="00156A4E"/>
    <w:rsid w:val="001601EC"/>
    <w:rsid w:val="00160CB1"/>
    <w:rsid w:val="00161CBF"/>
    <w:rsid w:val="00162810"/>
    <w:rsid w:val="00162B5B"/>
    <w:rsid w:val="00162F0A"/>
    <w:rsid w:val="001635B7"/>
    <w:rsid w:val="00163F7E"/>
    <w:rsid w:val="001658BC"/>
    <w:rsid w:val="00165DC6"/>
    <w:rsid w:val="0016697D"/>
    <w:rsid w:val="001673A2"/>
    <w:rsid w:val="001675C8"/>
    <w:rsid w:val="001678E4"/>
    <w:rsid w:val="00170524"/>
    <w:rsid w:val="00170DC1"/>
    <w:rsid w:val="00170DE3"/>
    <w:rsid w:val="001717B1"/>
    <w:rsid w:val="00172290"/>
    <w:rsid w:val="00173940"/>
    <w:rsid w:val="001801AA"/>
    <w:rsid w:val="00180EDA"/>
    <w:rsid w:val="00181969"/>
    <w:rsid w:val="00181D13"/>
    <w:rsid w:val="001820CF"/>
    <w:rsid w:val="00183274"/>
    <w:rsid w:val="0018378F"/>
    <w:rsid w:val="00183E03"/>
    <w:rsid w:val="0018405E"/>
    <w:rsid w:val="0018484F"/>
    <w:rsid w:val="0018514B"/>
    <w:rsid w:val="0018616E"/>
    <w:rsid w:val="0019150E"/>
    <w:rsid w:val="00191614"/>
    <w:rsid w:val="00191EF8"/>
    <w:rsid w:val="00191FA2"/>
    <w:rsid w:val="00192809"/>
    <w:rsid w:val="00192CD2"/>
    <w:rsid w:val="001932F2"/>
    <w:rsid w:val="001939DC"/>
    <w:rsid w:val="00195892"/>
    <w:rsid w:val="00196231"/>
    <w:rsid w:val="0019783F"/>
    <w:rsid w:val="001A04B0"/>
    <w:rsid w:val="001A0A42"/>
    <w:rsid w:val="001A0EF5"/>
    <w:rsid w:val="001A15DE"/>
    <w:rsid w:val="001A1B0A"/>
    <w:rsid w:val="001A2358"/>
    <w:rsid w:val="001A2CCA"/>
    <w:rsid w:val="001A2E12"/>
    <w:rsid w:val="001A46C7"/>
    <w:rsid w:val="001A6BDB"/>
    <w:rsid w:val="001A7E25"/>
    <w:rsid w:val="001B159E"/>
    <w:rsid w:val="001B1C91"/>
    <w:rsid w:val="001B1FEA"/>
    <w:rsid w:val="001B2954"/>
    <w:rsid w:val="001B4969"/>
    <w:rsid w:val="001C02F5"/>
    <w:rsid w:val="001C0537"/>
    <w:rsid w:val="001C1A2D"/>
    <w:rsid w:val="001C374F"/>
    <w:rsid w:val="001C3EE9"/>
    <w:rsid w:val="001C41EF"/>
    <w:rsid w:val="001C4DE3"/>
    <w:rsid w:val="001C5EAC"/>
    <w:rsid w:val="001C7059"/>
    <w:rsid w:val="001D0767"/>
    <w:rsid w:val="001D1D0A"/>
    <w:rsid w:val="001D254D"/>
    <w:rsid w:val="001D3DDF"/>
    <w:rsid w:val="001E051A"/>
    <w:rsid w:val="001E1C08"/>
    <w:rsid w:val="001E20A3"/>
    <w:rsid w:val="001E2B93"/>
    <w:rsid w:val="001E2F89"/>
    <w:rsid w:val="001E38BE"/>
    <w:rsid w:val="001E4B01"/>
    <w:rsid w:val="001E61A1"/>
    <w:rsid w:val="001F0E3D"/>
    <w:rsid w:val="001F2184"/>
    <w:rsid w:val="001F22B3"/>
    <w:rsid w:val="001F26A2"/>
    <w:rsid w:val="001F28B9"/>
    <w:rsid w:val="001F600E"/>
    <w:rsid w:val="001F7566"/>
    <w:rsid w:val="001F7FCB"/>
    <w:rsid w:val="002035C6"/>
    <w:rsid w:val="00204D24"/>
    <w:rsid w:val="00212A8B"/>
    <w:rsid w:val="00213CE4"/>
    <w:rsid w:val="00215A72"/>
    <w:rsid w:val="002161F6"/>
    <w:rsid w:val="002176CD"/>
    <w:rsid w:val="00217F76"/>
    <w:rsid w:val="00221557"/>
    <w:rsid w:val="00221C66"/>
    <w:rsid w:val="00223718"/>
    <w:rsid w:val="00224ACC"/>
    <w:rsid w:val="0022655E"/>
    <w:rsid w:val="00232AAC"/>
    <w:rsid w:val="00233B45"/>
    <w:rsid w:val="00233DAB"/>
    <w:rsid w:val="00234296"/>
    <w:rsid w:val="00236F74"/>
    <w:rsid w:val="002373BE"/>
    <w:rsid w:val="002378F2"/>
    <w:rsid w:val="00237E62"/>
    <w:rsid w:val="002400C2"/>
    <w:rsid w:val="00240179"/>
    <w:rsid w:val="00240938"/>
    <w:rsid w:val="00241912"/>
    <w:rsid w:val="00243A0D"/>
    <w:rsid w:val="00243C01"/>
    <w:rsid w:val="00244DDE"/>
    <w:rsid w:val="00247320"/>
    <w:rsid w:val="0024744F"/>
    <w:rsid w:val="00247A63"/>
    <w:rsid w:val="00247BCB"/>
    <w:rsid w:val="00251999"/>
    <w:rsid w:val="00251AD9"/>
    <w:rsid w:val="00251C44"/>
    <w:rsid w:val="002521BD"/>
    <w:rsid w:val="002527B9"/>
    <w:rsid w:val="002545F2"/>
    <w:rsid w:val="00255955"/>
    <w:rsid w:val="00256EE8"/>
    <w:rsid w:val="00257A06"/>
    <w:rsid w:val="00262CC9"/>
    <w:rsid w:val="002632DA"/>
    <w:rsid w:val="002638E0"/>
    <w:rsid w:val="00263B28"/>
    <w:rsid w:val="00264EA7"/>
    <w:rsid w:val="00266B32"/>
    <w:rsid w:val="002675DB"/>
    <w:rsid w:val="00273281"/>
    <w:rsid w:val="0027333F"/>
    <w:rsid w:val="00274637"/>
    <w:rsid w:val="002753E6"/>
    <w:rsid w:val="00275EE2"/>
    <w:rsid w:val="00276034"/>
    <w:rsid w:val="0027651E"/>
    <w:rsid w:val="00280209"/>
    <w:rsid w:val="002808B8"/>
    <w:rsid w:val="00282B28"/>
    <w:rsid w:val="00284770"/>
    <w:rsid w:val="002850F8"/>
    <w:rsid w:val="00285823"/>
    <w:rsid w:val="0028582F"/>
    <w:rsid w:val="00285E6E"/>
    <w:rsid w:val="002866A5"/>
    <w:rsid w:val="002878FA"/>
    <w:rsid w:val="00287A54"/>
    <w:rsid w:val="00287AD7"/>
    <w:rsid w:val="00287DEC"/>
    <w:rsid w:val="002951C8"/>
    <w:rsid w:val="002958EB"/>
    <w:rsid w:val="00297EC2"/>
    <w:rsid w:val="002A1469"/>
    <w:rsid w:val="002A27BE"/>
    <w:rsid w:val="002A27FD"/>
    <w:rsid w:val="002A3A45"/>
    <w:rsid w:val="002A3BEB"/>
    <w:rsid w:val="002A3E92"/>
    <w:rsid w:val="002A41C4"/>
    <w:rsid w:val="002A4405"/>
    <w:rsid w:val="002A5641"/>
    <w:rsid w:val="002A707D"/>
    <w:rsid w:val="002B1DE1"/>
    <w:rsid w:val="002B3444"/>
    <w:rsid w:val="002B38C5"/>
    <w:rsid w:val="002B4489"/>
    <w:rsid w:val="002B49C7"/>
    <w:rsid w:val="002B5EBB"/>
    <w:rsid w:val="002B5F36"/>
    <w:rsid w:val="002B6861"/>
    <w:rsid w:val="002B7653"/>
    <w:rsid w:val="002B7C70"/>
    <w:rsid w:val="002C04B2"/>
    <w:rsid w:val="002C18C5"/>
    <w:rsid w:val="002C2005"/>
    <w:rsid w:val="002C66D1"/>
    <w:rsid w:val="002D0C5D"/>
    <w:rsid w:val="002D26F0"/>
    <w:rsid w:val="002D3A73"/>
    <w:rsid w:val="002D6170"/>
    <w:rsid w:val="002D6269"/>
    <w:rsid w:val="002E328A"/>
    <w:rsid w:val="002E3A65"/>
    <w:rsid w:val="002E4C77"/>
    <w:rsid w:val="002E6523"/>
    <w:rsid w:val="002F07B5"/>
    <w:rsid w:val="002F0870"/>
    <w:rsid w:val="002F1F85"/>
    <w:rsid w:val="002F493F"/>
    <w:rsid w:val="002F5B20"/>
    <w:rsid w:val="002F7924"/>
    <w:rsid w:val="0030262B"/>
    <w:rsid w:val="00303ACB"/>
    <w:rsid w:val="003040B3"/>
    <w:rsid w:val="0030439E"/>
    <w:rsid w:val="00304C7C"/>
    <w:rsid w:val="00305EA0"/>
    <w:rsid w:val="0030784A"/>
    <w:rsid w:val="003111ED"/>
    <w:rsid w:val="0031255D"/>
    <w:rsid w:val="003137D0"/>
    <w:rsid w:val="00315C89"/>
    <w:rsid w:val="0031705F"/>
    <w:rsid w:val="003203EF"/>
    <w:rsid w:val="003229BA"/>
    <w:rsid w:val="00322C15"/>
    <w:rsid w:val="00327698"/>
    <w:rsid w:val="00327A6B"/>
    <w:rsid w:val="00327FCA"/>
    <w:rsid w:val="003301EF"/>
    <w:rsid w:val="0033075B"/>
    <w:rsid w:val="00331C97"/>
    <w:rsid w:val="0033293A"/>
    <w:rsid w:val="00332CE6"/>
    <w:rsid w:val="003331A8"/>
    <w:rsid w:val="003333AF"/>
    <w:rsid w:val="00334D8E"/>
    <w:rsid w:val="003357EF"/>
    <w:rsid w:val="00335D57"/>
    <w:rsid w:val="00337A82"/>
    <w:rsid w:val="0034123E"/>
    <w:rsid w:val="00341719"/>
    <w:rsid w:val="003450E7"/>
    <w:rsid w:val="00345256"/>
    <w:rsid w:val="00345E00"/>
    <w:rsid w:val="00347D8C"/>
    <w:rsid w:val="00350238"/>
    <w:rsid w:val="003515CF"/>
    <w:rsid w:val="00352966"/>
    <w:rsid w:val="003545F2"/>
    <w:rsid w:val="003552A9"/>
    <w:rsid w:val="003569A5"/>
    <w:rsid w:val="003570A3"/>
    <w:rsid w:val="0035712D"/>
    <w:rsid w:val="0035796C"/>
    <w:rsid w:val="00360782"/>
    <w:rsid w:val="0036232D"/>
    <w:rsid w:val="00363466"/>
    <w:rsid w:val="00364CA3"/>
    <w:rsid w:val="00370401"/>
    <w:rsid w:val="00370A64"/>
    <w:rsid w:val="00371AE2"/>
    <w:rsid w:val="00381C6E"/>
    <w:rsid w:val="00384746"/>
    <w:rsid w:val="0038600E"/>
    <w:rsid w:val="00390E19"/>
    <w:rsid w:val="003910D1"/>
    <w:rsid w:val="00392B16"/>
    <w:rsid w:val="00397367"/>
    <w:rsid w:val="00397F25"/>
    <w:rsid w:val="003A01CA"/>
    <w:rsid w:val="003A2359"/>
    <w:rsid w:val="003A24DC"/>
    <w:rsid w:val="003A3D48"/>
    <w:rsid w:val="003A3DD8"/>
    <w:rsid w:val="003A7029"/>
    <w:rsid w:val="003B111C"/>
    <w:rsid w:val="003B138D"/>
    <w:rsid w:val="003B4F48"/>
    <w:rsid w:val="003B636D"/>
    <w:rsid w:val="003B6936"/>
    <w:rsid w:val="003C115F"/>
    <w:rsid w:val="003C1983"/>
    <w:rsid w:val="003C4622"/>
    <w:rsid w:val="003C5E16"/>
    <w:rsid w:val="003C6679"/>
    <w:rsid w:val="003C745A"/>
    <w:rsid w:val="003D0C4A"/>
    <w:rsid w:val="003D1FA8"/>
    <w:rsid w:val="003D4465"/>
    <w:rsid w:val="003D58E0"/>
    <w:rsid w:val="003D7261"/>
    <w:rsid w:val="003E0991"/>
    <w:rsid w:val="003E1E87"/>
    <w:rsid w:val="003E29AF"/>
    <w:rsid w:val="003E3A8D"/>
    <w:rsid w:val="003E43E1"/>
    <w:rsid w:val="003E4D7F"/>
    <w:rsid w:val="003E5ECD"/>
    <w:rsid w:val="003E65BC"/>
    <w:rsid w:val="003E6E7E"/>
    <w:rsid w:val="003E7E3A"/>
    <w:rsid w:val="003F0240"/>
    <w:rsid w:val="003F0A12"/>
    <w:rsid w:val="003F21EE"/>
    <w:rsid w:val="003F4964"/>
    <w:rsid w:val="003F4B58"/>
    <w:rsid w:val="003F4D74"/>
    <w:rsid w:val="003F50B3"/>
    <w:rsid w:val="003F6C24"/>
    <w:rsid w:val="003F7E88"/>
    <w:rsid w:val="004014EC"/>
    <w:rsid w:val="00402620"/>
    <w:rsid w:val="00402A98"/>
    <w:rsid w:val="00402FD3"/>
    <w:rsid w:val="00405AEB"/>
    <w:rsid w:val="00407A34"/>
    <w:rsid w:val="0041210A"/>
    <w:rsid w:val="00412D9B"/>
    <w:rsid w:val="0041480D"/>
    <w:rsid w:val="004156DA"/>
    <w:rsid w:val="004164A8"/>
    <w:rsid w:val="00416BD0"/>
    <w:rsid w:val="00420E64"/>
    <w:rsid w:val="00421013"/>
    <w:rsid w:val="0042140D"/>
    <w:rsid w:val="004217F8"/>
    <w:rsid w:val="004219EF"/>
    <w:rsid w:val="00422048"/>
    <w:rsid w:val="004243A1"/>
    <w:rsid w:val="00424E84"/>
    <w:rsid w:val="00425D0D"/>
    <w:rsid w:val="0042749F"/>
    <w:rsid w:val="00427B64"/>
    <w:rsid w:val="00433485"/>
    <w:rsid w:val="00433597"/>
    <w:rsid w:val="00433CD9"/>
    <w:rsid w:val="00434095"/>
    <w:rsid w:val="00434CF1"/>
    <w:rsid w:val="00436470"/>
    <w:rsid w:val="00440CB0"/>
    <w:rsid w:val="0044114B"/>
    <w:rsid w:val="004425A1"/>
    <w:rsid w:val="00443E76"/>
    <w:rsid w:val="00451C9E"/>
    <w:rsid w:val="00451F4D"/>
    <w:rsid w:val="00452065"/>
    <w:rsid w:val="00452A44"/>
    <w:rsid w:val="00452E10"/>
    <w:rsid w:val="00454BC6"/>
    <w:rsid w:val="0045544E"/>
    <w:rsid w:val="004567E1"/>
    <w:rsid w:val="00457646"/>
    <w:rsid w:val="00457D5E"/>
    <w:rsid w:val="00460539"/>
    <w:rsid w:val="00460AD1"/>
    <w:rsid w:val="00460FC3"/>
    <w:rsid w:val="00461648"/>
    <w:rsid w:val="00461778"/>
    <w:rsid w:val="00462B15"/>
    <w:rsid w:val="00463306"/>
    <w:rsid w:val="00465ADF"/>
    <w:rsid w:val="00474D48"/>
    <w:rsid w:val="0047582B"/>
    <w:rsid w:val="00476FBC"/>
    <w:rsid w:val="004778FE"/>
    <w:rsid w:val="00480057"/>
    <w:rsid w:val="00480FC1"/>
    <w:rsid w:val="004816C2"/>
    <w:rsid w:val="00482172"/>
    <w:rsid w:val="0048379B"/>
    <w:rsid w:val="00483BC6"/>
    <w:rsid w:val="00486347"/>
    <w:rsid w:val="00486B16"/>
    <w:rsid w:val="00490D8E"/>
    <w:rsid w:val="00491291"/>
    <w:rsid w:val="0049190C"/>
    <w:rsid w:val="00491DEA"/>
    <w:rsid w:val="004936C0"/>
    <w:rsid w:val="00497AA3"/>
    <w:rsid w:val="004A05B9"/>
    <w:rsid w:val="004A0E29"/>
    <w:rsid w:val="004A2099"/>
    <w:rsid w:val="004A2F78"/>
    <w:rsid w:val="004A333F"/>
    <w:rsid w:val="004A345C"/>
    <w:rsid w:val="004A424E"/>
    <w:rsid w:val="004A647A"/>
    <w:rsid w:val="004A6687"/>
    <w:rsid w:val="004A69EA"/>
    <w:rsid w:val="004A6E56"/>
    <w:rsid w:val="004A73C8"/>
    <w:rsid w:val="004A7576"/>
    <w:rsid w:val="004B01C2"/>
    <w:rsid w:val="004B1A30"/>
    <w:rsid w:val="004B1FE7"/>
    <w:rsid w:val="004B31B0"/>
    <w:rsid w:val="004B4433"/>
    <w:rsid w:val="004B4834"/>
    <w:rsid w:val="004B564B"/>
    <w:rsid w:val="004B6751"/>
    <w:rsid w:val="004B6A4F"/>
    <w:rsid w:val="004C18B7"/>
    <w:rsid w:val="004C3733"/>
    <w:rsid w:val="004C3883"/>
    <w:rsid w:val="004C40A4"/>
    <w:rsid w:val="004C5325"/>
    <w:rsid w:val="004C671E"/>
    <w:rsid w:val="004D261F"/>
    <w:rsid w:val="004D42DC"/>
    <w:rsid w:val="004E0F00"/>
    <w:rsid w:val="004E1931"/>
    <w:rsid w:val="004E2AD6"/>
    <w:rsid w:val="004E62A1"/>
    <w:rsid w:val="004F0380"/>
    <w:rsid w:val="004F1010"/>
    <w:rsid w:val="004F211A"/>
    <w:rsid w:val="004F2E8A"/>
    <w:rsid w:val="004F35DA"/>
    <w:rsid w:val="004F47D5"/>
    <w:rsid w:val="004F4E44"/>
    <w:rsid w:val="004F564A"/>
    <w:rsid w:val="004F5B7D"/>
    <w:rsid w:val="004F6279"/>
    <w:rsid w:val="004F6C9C"/>
    <w:rsid w:val="00503032"/>
    <w:rsid w:val="00504356"/>
    <w:rsid w:val="00504A53"/>
    <w:rsid w:val="0050727C"/>
    <w:rsid w:val="00507FD1"/>
    <w:rsid w:val="00510526"/>
    <w:rsid w:val="00510A50"/>
    <w:rsid w:val="00511D35"/>
    <w:rsid w:val="00512941"/>
    <w:rsid w:val="005129F2"/>
    <w:rsid w:val="00516441"/>
    <w:rsid w:val="005173C0"/>
    <w:rsid w:val="00517892"/>
    <w:rsid w:val="00520369"/>
    <w:rsid w:val="0052169F"/>
    <w:rsid w:val="00523AF3"/>
    <w:rsid w:val="005243A5"/>
    <w:rsid w:val="0052512D"/>
    <w:rsid w:val="005270AD"/>
    <w:rsid w:val="00527AC8"/>
    <w:rsid w:val="0053002B"/>
    <w:rsid w:val="005301E4"/>
    <w:rsid w:val="005325C4"/>
    <w:rsid w:val="0053311B"/>
    <w:rsid w:val="005331C3"/>
    <w:rsid w:val="00533E6B"/>
    <w:rsid w:val="00535447"/>
    <w:rsid w:val="005367A6"/>
    <w:rsid w:val="00542416"/>
    <w:rsid w:val="00543403"/>
    <w:rsid w:val="00544D39"/>
    <w:rsid w:val="005466A2"/>
    <w:rsid w:val="0054682F"/>
    <w:rsid w:val="00550496"/>
    <w:rsid w:val="00552892"/>
    <w:rsid w:val="00554642"/>
    <w:rsid w:val="005579D2"/>
    <w:rsid w:val="00561941"/>
    <w:rsid w:val="005621AF"/>
    <w:rsid w:val="00562AE6"/>
    <w:rsid w:val="0056332B"/>
    <w:rsid w:val="00564D16"/>
    <w:rsid w:val="00565534"/>
    <w:rsid w:val="00566BF5"/>
    <w:rsid w:val="005720E7"/>
    <w:rsid w:val="00572957"/>
    <w:rsid w:val="0057652D"/>
    <w:rsid w:val="00577C6C"/>
    <w:rsid w:val="00577EF3"/>
    <w:rsid w:val="00580FF9"/>
    <w:rsid w:val="0058211A"/>
    <w:rsid w:val="005829A3"/>
    <w:rsid w:val="00583797"/>
    <w:rsid w:val="00591B75"/>
    <w:rsid w:val="00592527"/>
    <w:rsid w:val="00593C95"/>
    <w:rsid w:val="00594058"/>
    <w:rsid w:val="00594113"/>
    <w:rsid w:val="00594BED"/>
    <w:rsid w:val="00595742"/>
    <w:rsid w:val="00597064"/>
    <w:rsid w:val="005973AD"/>
    <w:rsid w:val="005978E6"/>
    <w:rsid w:val="005A38DD"/>
    <w:rsid w:val="005A76E9"/>
    <w:rsid w:val="005B34D4"/>
    <w:rsid w:val="005B4436"/>
    <w:rsid w:val="005B472E"/>
    <w:rsid w:val="005B47ED"/>
    <w:rsid w:val="005B5B32"/>
    <w:rsid w:val="005B75B5"/>
    <w:rsid w:val="005C0980"/>
    <w:rsid w:val="005C0A48"/>
    <w:rsid w:val="005C2AFB"/>
    <w:rsid w:val="005C4355"/>
    <w:rsid w:val="005C5C67"/>
    <w:rsid w:val="005C6114"/>
    <w:rsid w:val="005C7AD7"/>
    <w:rsid w:val="005D0AC5"/>
    <w:rsid w:val="005D1272"/>
    <w:rsid w:val="005D1447"/>
    <w:rsid w:val="005D1BD8"/>
    <w:rsid w:val="005D35C9"/>
    <w:rsid w:val="005D6164"/>
    <w:rsid w:val="005D69DB"/>
    <w:rsid w:val="005E01F8"/>
    <w:rsid w:val="005E04C8"/>
    <w:rsid w:val="005E08FA"/>
    <w:rsid w:val="005E0BF7"/>
    <w:rsid w:val="005E4647"/>
    <w:rsid w:val="005E4741"/>
    <w:rsid w:val="005F1118"/>
    <w:rsid w:val="005F2546"/>
    <w:rsid w:val="005F27EB"/>
    <w:rsid w:val="005F53E9"/>
    <w:rsid w:val="005F5C6A"/>
    <w:rsid w:val="005F621B"/>
    <w:rsid w:val="005F78FF"/>
    <w:rsid w:val="006003E6"/>
    <w:rsid w:val="0060084E"/>
    <w:rsid w:val="00601931"/>
    <w:rsid w:val="0060206B"/>
    <w:rsid w:val="006049E4"/>
    <w:rsid w:val="00607108"/>
    <w:rsid w:val="006075A7"/>
    <w:rsid w:val="006079FA"/>
    <w:rsid w:val="00611008"/>
    <w:rsid w:val="0061147F"/>
    <w:rsid w:val="00612D89"/>
    <w:rsid w:val="00613D73"/>
    <w:rsid w:val="00614175"/>
    <w:rsid w:val="00617368"/>
    <w:rsid w:val="00620AD6"/>
    <w:rsid w:val="00621043"/>
    <w:rsid w:val="006226E9"/>
    <w:rsid w:val="00622B73"/>
    <w:rsid w:val="00622DE8"/>
    <w:rsid w:val="0062300B"/>
    <w:rsid w:val="0062375C"/>
    <w:rsid w:val="006251C6"/>
    <w:rsid w:val="006263C4"/>
    <w:rsid w:val="006268DB"/>
    <w:rsid w:val="006306C2"/>
    <w:rsid w:val="00631736"/>
    <w:rsid w:val="00631DE4"/>
    <w:rsid w:val="0063357E"/>
    <w:rsid w:val="0063617B"/>
    <w:rsid w:val="006376F4"/>
    <w:rsid w:val="00637D24"/>
    <w:rsid w:val="006406CA"/>
    <w:rsid w:val="00640A67"/>
    <w:rsid w:val="00641976"/>
    <w:rsid w:val="0064236F"/>
    <w:rsid w:val="006429F0"/>
    <w:rsid w:val="00642B06"/>
    <w:rsid w:val="00644506"/>
    <w:rsid w:val="006446F6"/>
    <w:rsid w:val="006448D5"/>
    <w:rsid w:val="00644A3F"/>
    <w:rsid w:val="006452E4"/>
    <w:rsid w:val="00647A11"/>
    <w:rsid w:val="006514AF"/>
    <w:rsid w:val="00652376"/>
    <w:rsid w:val="00653977"/>
    <w:rsid w:val="00657E65"/>
    <w:rsid w:val="00660719"/>
    <w:rsid w:val="0066288E"/>
    <w:rsid w:val="00662BD0"/>
    <w:rsid w:val="00664B60"/>
    <w:rsid w:val="00672208"/>
    <w:rsid w:val="00673C3A"/>
    <w:rsid w:val="00674526"/>
    <w:rsid w:val="00675D70"/>
    <w:rsid w:val="00676610"/>
    <w:rsid w:val="006812D2"/>
    <w:rsid w:val="0068154E"/>
    <w:rsid w:val="00682CE8"/>
    <w:rsid w:val="00684C79"/>
    <w:rsid w:val="00685296"/>
    <w:rsid w:val="00685653"/>
    <w:rsid w:val="0068630B"/>
    <w:rsid w:val="00686612"/>
    <w:rsid w:val="00687D5D"/>
    <w:rsid w:val="006915C0"/>
    <w:rsid w:val="00691741"/>
    <w:rsid w:val="00691825"/>
    <w:rsid w:val="00691900"/>
    <w:rsid w:val="006942D7"/>
    <w:rsid w:val="00696358"/>
    <w:rsid w:val="006975EF"/>
    <w:rsid w:val="00697F57"/>
    <w:rsid w:val="006A0895"/>
    <w:rsid w:val="006A23A4"/>
    <w:rsid w:val="006A26E0"/>
    <w:rsid w:val="006A36E0"/>
    <w:rsid w:val="006A49AD"/>
    <w:rsid w:val="006A617E"/>
    <w:rsid w:val="006B4821"/>
    <w:rsid w:val="006B566F"/>
    <w:rsid w:val="006B67D1"/>
    <w:rsid w:val="006C0307"/>
    <w:rsid w:val="006C69BA"/>
    <w:rsid w:val="006D323B"/>
    <w:rsid w:val="006D3387"/>
    <w:rsid w:val="006D360F"/>
    <w:rsid w:val="006D3B44"/>
    <w:rsid w:val="006D492C"/>
    <w:rsid w:val="006D4F44"/>
    <w:rsid w:val="006D571A"/>
    <w:rsid w:val="006D5D33"/>
    <w:rsid w:val="006D7D29"/>
    <w:rsid w:val="006E1511"/>
    <w:rsid w:val="006E1D74"/>
    <w:rsid w:val="006E3FE6"/>
    <w:rsid w:val="006E4174"/>
    <w:rsid w:val="006E4401"/>
    <w:rsid w:val="006E4A01"/>
    <w:rsid w:val="006E5E23"/>
    <w:rsid w:val="006E65E2"/>
    <w:rsid w:val="006E6AFC"/>
    <w:rsid w:val="006E7E14"/>
    <w:rsid w:val="006F1633"/>
    <w:rsid w:val="006F27FC"/>
    <w:rsid w:val="006F395C"/>
    <w:rsid w:val="006F420A"/>
    <w:rsid w:val="006F5159"/>
    <w:rsid w:val="006F7E70"/>
    <w:rsid w:val="007034F1"/>
    <w:rsid w:val="00703A34"/>
    <w:rsid w:val="007040EC"/>
    <w:rsid w:val="00704CF1"/>
    <w:rsid w:val="00705A09"/>
    <w:rsid w:val="00706B37"/>
    <w:rsid w:val="007104CE"/>
    <w:rsid w:val="00713FB3"/>
    <w:rsid w:val="00714BFE"/>
    <w:rsid w:val="00715396"/>
    <w:rsid w:val="00716477"/>
    <w:rsid w:val="0071706C"/>
    <w:rsid w:val="00717389"/>
    <w:rsid w:val="00720D74"/>
    <w:rsid w:val="007211EF"/>
    <w:rsid w:val="00721203"/>
    <w:rsid w:val="00721CC5"/>
    <w:rsid w:val="00723B3B"/>
    <w:rsid w:val="00724821"/>
    <w:rsid w:val="0072544F"/>
    <w:rsid w:val="00727434"/>
    <w:rsid w:val="00730464"/>
    <w:rsid w:val="00730AB2"/>
    <w:rsid w:val="007325DB"/>
    <w:rsid w:val="00732CF2"/>
    <w:rsid w:val="00732FB6"/>
    <w:rsid w:val="00734C2A"/>
    <w:rsid w:val="00734FBD"/>
    <w:rsid w:val="00736713"/>
    <w:rsid w:val="00736821"/>
    <w:rsid w:val="007374CB"/>
    <w:rsid w:val="00740980"/>
    <w:rsid w:val="0074297F"/>
    <w:rsid w:val="00742E87"/>
    <w:rsid w:val="007447A0"/>
    <w:rsid w:val="00745056"/>
    <w:rsid w:val="00745898"/>
    <w:rsid w:val="00746B5B"/>
    <w:rsid w:val="00746D80"/>
    <w:rsid w:val="007508B3"/>
    <w:rsid w:val="00751A1C"/>
    <w:rsid w:val="00751D63"/>
    <w:rsid w:val="00752CE8"/>
    <w:rsid w:val="007543FD"/>
    <w:rsid w:val="00756AA7"/>
    <w:rsid w:val="00760530"/>
    <w:rsid w:val="00760D60"/>
    <w:rsid w:val="00762E92"/>
    <w:rsid w:val="00764924"/>
    <w:rsid w:val="007652A8"/>
    <w:rsid w:val="00765430"/>
    <w:rsid w:val="00766607"/>
    <w:rsid w:val="007669F7"/>
    <w:rsid w:val="00766FF2"/>
    <w:rsid w:val="0076784B"/>
    <w:rsid w:val="0077050C"/>
    <w:rsid w:val="00771FD0"/>
    <w:rsid w:val="007725BE"/>
    <w:rsid w:val="00775CEE"/>
    <w:rsid w:val="00775D2C"/>
    <w:rsid w:val="00776740"/>
    <w:rsid w:val="0078127C"/>
    <w:rsid w:val="00781AD0"/>
    <w:rsid w:val="00781EC5"/>
    <w:rsid w:val="00782980"/>
    <w:rsid w:val="00782DD9"/>
    <w:rsid w:val="0078344A"/>
    <w:rsid w:val="00785441"/>
    <w:rsid w:val="00786BFE"/>
    <w:rsid w:val="00787E70"/>
    <w:rsid w:val="00790AA8"/>
    <w:rsid w:val="00792495"/>
    <w:rsid w:val="007930C7"/>
    <w:rsid w:val="007A11E1"/>
    <w:rsid w:val="007A238F"/>
    <w:rsid w:val="007A27C0"/>
    <w:rsid w:val="007A38B7"/>
    <w:rsid w:val="007A5883"/>
    <w:rsid w:val="007A58A2"/>
    <w:rsid w:val="007A628C"/>
    <w:rsid w:val="007B070A"/>
    <w:rsid w:val="007B2B95"/>
    <w:rsid w:val="007B34E4"/>
    <w:rsid w:val="007B42F7"/>
    <w:rsid w:val="007B7121"/>
    <w:rsid w:val="007B77E1"/>
    <w:rsid w:val="007B7F2E"/>
    <w:rsid w:val="007C08F7"/>
    <w:rsid w:val="007C0BA3"/>
    <w:rsid w:val="007C3DE8"/>
    <w:rsid w:val="007D05EB"/>
    <w:rsid w:val="007D060B"/>
    <w:rsid w:val="007D1AC2"/>
    <w:rsid w:val="007D309B"/>
    <w:rsid w:val="007D47FB"/>
    <w:rsid w:val="007D4F3A"/>
    <w:rsid w:val="007D5D9C"/>
    <w:rsid w:val="007D722A"/>
    <w:rsid w:val="007D77AE"/>
    <w:rsid w:val="007D7A19"/>
    <w:rsid w:val="007E1CC6"/>
    <w:rsid w:val="007E1EED"/>
    <w:rsid w:val="007E2638"/>
    <w:rsid w:val="007E2C98"/>
    <w:rsid w:val="007E390C"/>
    <w:rsid w:val="007E3B58"/>
    <w:rsid w:val="007E3FCD"/>
    <w:rsid w:val="007E5292"/>
    <w:rsid w:val="007E5362"/>
    <w:rsid w:val="007E697C"/>
    <w:rsid w:val="007E73FB"/>
    <w:rsid w:val="007F0BF7"/>
    <w:rsid w:val="007F1A6C"/>
    <w:rsid w:val="007F2BEA"/>
    <w:rsid w:val="007F35F1"/>
    <w:rsid w:val="007F3E73"/>
    <w:rsid w:val="007F42C4"/>
    <w:rsid w:val="007F4478"/>
    <w:rsid w:val="007F5138"/>
    <w:rsid w:val="007F540A"/>
    <w:rsid w:val="007F5F30"/>
    <w:rsid w:val="00800A24"/>
    <w:rsid w:val="00802DEE"/>
    <w:rsid w:val="00803D40"/>
    <w:rsid w:val="00804D6A"/>
    <w:rsid w:val="00805BD2"/>
    <w:rsid w:val="00810282"/>
    <w:rsid w:val="00810C3D"/>
    <w:rsid w:val="00813E81"/>
    <w:rsid w:val="008151BA"/>
    <w:rsid w:val="008157D5"/>
    <w:rsid w:val="00816300"/>
    <w:rsid w:val="00817A98"/>
    <w:rsid w:val="00820EA1"/>
    <w:rsid w:val="008215CA"/>
    <w:rsid w:val="00824D39"/>
    <w:rsid w:val="00825E9B"/>
    <w:rsid w:val="00826319"/>
    <w:rsid w:val="0082640C"/>
    <w:rsid w:val="00827513"/>
    <w:rsid w:val="008277B3"/>
    <w:rsid w:val="00830A0B"/>
    <w:rsid w:val="00831AE1"/>
    <w:rsid w:val="00831DC7"/>
    <w:rsid w:val="0083364D"/>
    <w:rsid w:val="008338EC"/>
    <w:rsid w:val="00835B34"/>
    <w:rsid w:val="0083687C"/>
    <w:rsid w:val="00836EC0"/>
    <w:rsid w:val="008371F6"/>
    <w:rsid w:val="00840ED0"/>
    <w:rsid w:val="00841051"/>
    <w:rsid w:val="008412B2"/>
    <w:rsid w:val="0084132D"/>
    <w:rsid w:val="00842C82"/>
    <w:rsid w:val="00843D22"/>
    <w:rsid w:val="00845F6A"/>
    <w:rsid w:val="0085076E"/>
    <w:rsid w:val="00851401"/>
    <w:rsid w:val="00852B0E"/>
    <w:rsid w:val="008532CA"/>
    <w:rsid w:val="00855197"/>
    <w:rsid w:val="008558BA"/>
    <w:rsid w:val="00856006"/>
    <w:rsid w:val="00856E03"/>
    <w:rsid w:val="00857525"/>
    <w:rsid w:val="008602C7"/>
    <w:rsid w:val="00860508"/>
    <w:rsid w:val="008615ED"/>
    <w:rsid w:val="00862D18"/>
    <w:rsid w:val="0086732A"/>
    <w:rsid w:val="0086735E"/>
    <w:rsid w:val="008677A8"/>
    <w:rsid w:val="0087115D"/>
    <w:rsid w:val="00871596"/>
    <w:rsid w:val="0087250D"/>
    <w:rsid w:val="0087313A"/>
    <w:rsid w:val="00873FA2"/>
    <w:rsid w:val="008772E2"/>
    <w:rsid w:val="0088128C"/>
    <w:rsid w:val="00881561"/>
    <w:rsid w:val="00881B7B"/>
    <w:rsid w:val="0088223B"/>
    <w:rsid w:val="008828C1"/>
    <w:rsid w:val="00882BBB"/>
    <w:rsid w:val="008832CF"/>
    <w:rsid w:val="008839C8"/>
    <w:rsid w:val="00885BC3"/>
    <w:rsid w:val="00887BE2"/>
    <w:rsid w:val="00892543"/>
    <w:rsid w:val="008A19C8"/>
    <w:rsid w:val="008A1B43"/>
    <w:rsid w:val="008A1D1B"/>
    <w:rsid w:val="008A2727"/>
    <w:rsid w:val="008A2810"/>
    <w:rsid w:val="008A2C06"/>
    <w:rsid w:val="008A399D"/>
    <w:rsid w:val="008A3C0B"/>
    <w:rsid w:val="008A3E01"/>
    <w:rsid w:val="008A4ECA"/>
    <w:rsid w:val="008A5B80"/>
    <w:rsid w:val="008B36FE"/>
    <w:rsid w:val="008B58FB"/>
    <w:rsid w:val="008B5D53"/>
    <w:rsid w:val="008B6AE6"/>
    <w:rsid w:val="008B7F37"/>
    <w:rsid w:val="008C0820"/>
    <w:rsid w:val="008C0FA4"/>
    <w:rsid w:val="008C232C"/>
    <w:rsid w:val="008C2D11"/>
    <w:rsid w:val="008C3AC6"/>
    <w:rsid w:val="008C3C99"/>
    <w:rsid w:val="008C3E6A"/>
    <w:rsid w:val="008C49BC"/>
    <w:rsid w:val="008C7B64"/>
    <w:rsid w:val="008D1E99"/>
    <w:rsid w:val="008D32C1"/>
    <w:rsid w:val="008D3A9E"/>
    <w:rsid w:val="008D3CB7"/>
    <w:rsid w:val="008D512F"/>
    <w:rsid w:val="008D5249"/>
    <w:rsid w:val="008D5DBF"/>
    <w:rsid w:val="008D75DA"/>
    <w:rsid w:val="008D7BA8"/>
    <w:rsid w:val="008E08EC"/>
    <w:rsid w:val="008E2C8F"/>
    <w:rsid w:val="008E3733"/>
    <w:rsid w:val="008E3B15"/>
    <w:rsid w:val="008E3F80"/>
    <w:rsid w:val="008E4604"/>
    <w:rsid w:val="008E4809"/>
    <w:rsid w:val="008E65FB"/>
    <w:rsid w:val="008E6C8F"/>
    <w:rsid w:val="008E6DBC"/>
    <w:rsid w:val="008E74EB"/>
    <w:rsid w:val="008F0E6C"/>
    <w:rsid w:val="008F0F57"/>
    <w:rsid w:val="008F12B7"/>
    <w:rsid w:val="008F299E"/>
    <w:rsid w:val="008F3352"/>
    <w:rsid w:val="008F3F75"/>
    <w:rsid w:val="008F5E42"/>
    <w:rsid w:val="008F6550"/>
    <w:rsid w:val="008F7381"/>
    <w:rsid w:val="008F74C5"/>
    <w:rsid w:val="008F7948"/>
    <w:rsid w:val="008F7D30"/>
    <w:rsid w:val="009005FA"/>
    <w:rsid w:val="009012B7"/>
    <w:rsid w:val="00901ABB"/>
    <w:rsid w:val="00901CC7"/>
    <w:rsid w:val="00903127"/>
    <w:rsid w:val="00906938"/>
    <w:rsid w:val="00907C0E"/>
    <w:rsid w:val="00907C15"/>
    <w:rsid w:val="00910481"/>
    <w:rsid w:val="00911C1E"/>
    <w:rsid w:val="009123F7"/>
    <w:rsid w:val="00912E1E"/>
    <w:rsid w:val="009146BC"/>
    <w:rsid w:val="00914AAC"/>
    <w:rsid w:val="0091514F"/>
    <w:rsid w:val="00915350"/>
    <w:rsid w:val="00916C1B"/>
    <w:rsid w:val="00920DA0"/>
    <w:rsid w:val="00922CCE"/>
    <w:rsid w:val="00924E1B"/>
    <w:rsid w:val="00924E1E"/>
    <w:rsid w:val="00927F67"/>
    <w:rsid w:val="00930B9B"/>
    <w:rsid w:val="00931459"/>
    <w:rsid w:val="00931EA9"/>
    <w:rsid w:val="009320F4"/>
    <w:rsid w:val="00932167"/>
    <w:rsid w:val="00935203"/>
    <w:rsid w:val="009405C3"/>
    <w:rsid w:val="00942467"/>
    <w:rsid w:val="00942F2F"/>
    <w:rsid w:val="00943DBA"/>
    <w:rsid w:val="00944271"/>
    <w:rsid w:val="009446E6"/>
    <w:rsid w:val="009452F5"/>
    <w:rsid w:val="0094570E"/>
    <w:rsid w:val="009459C1"/>
    <w:rsid w:val="00946D21"/>
    <w:rsid w:val="00946D52"/>
    <w:rsid w:val="00952ABE"/>
    <w:rsid w:val="00953FF4"/>
    <w:rsid w:val="00954266"/>
    <w:rsid w:val="0095426C"/>
    <w:rsid w:val="00955345"/>
    <w:rsid w:val="00955868"/>
    <w:rsid w:val="0095586B"/>
    <w:rsid w:val="0095658E"/>
    <w:rsid w:val="00956B47"/>
    <w:rsid w:val="00957D3D"/>
    <w:rsid w:val="00957D9B"/>
    <w:rsid w:val="00960362"/>
    <w:rsid w:val="009626FF"/>
    <w:rsid w:val="00962B13"/>
    <w:rsid w:val="00963993"/>
    <w:rsid w:val="00964899"/>
    <w:rsid w:val="00965487"/>
    <w:rsid w:val="00966C7F"/>
    <w:rsid w:val="0096798A"/>
    <w:rsid w:val="00967A20"/>
    <w:rsid w:val="00972878"/>
    <w:rsid w:val="00972AE7"/>
    <w:rsid w:val="0097422F"/>
    <w:rsid w:val="0097438C"/>
    <w:rsid w:val="0097455F"/>
    <w:rsid w:val="009757C3"/>
    <w:rsid w:val="00976D40"/>
    <w:rsid w:val="00976D47"/>
    <w:rsid w:val="00977E8E"/>
    <w:rsid w:val="00980CFF"/>
    <w:rsid w:val="009812CE"/>
    <w:rsid w:val="009816AC"/>
    <w:rsid w:val="00982F6B"/>
    <w:rsid w:val="00983D1F"/>
    <w:rsid w:val="00984581"/>
    <w:rsid w:val="00985044"/>
    <w:rsid w:val="00987FD2"/>
    <w:rsid w:val="009951C4"/>
    <w:rsid w:val="00997B10"/>
    <w:rsid w:val="009A0FD0"/>
    <w:rsid w:val="009A225C"/>
    <w:rsid w:val="009A2FFF"/>
    <w:rsid w:val="009A37C4"/>
    <w:rsid w:val="009A73F1"/>
    <w:rsid w:val="009A7F13"/>
    <w:rsid w:val="009B10E8"/>
    <w:rsid w:val="009B1395"/>
    <w:rsid w:val="009B1E2D"/>
    <w:rsid w:val="009B24B5"/>
    <w:rsid w:val="009B5232"/>
    <w:rsid w:val="009B5819"/>
    <w:rsid w:val="009C039B"/>
    <w:rsid w:val="009C07ED"/>
    <w:rsid w:val="009C0BBE"/>
    <w:rsid w:val="009C2EB3"/>
    <w:rsid w:val="009C3101"/>
    <w:rsid w:val="009C4363"/>
    <w:rsid w:val="009C4BCC"/>
    <w:rsid w:val="009C5EB6"/>
    <w:rsid w:val="009C69F6"/>
    <w:rsid w:val="009C7DF1"/>
    <w:rsid w:val="009D087B"/>
    <w:rsid w:val="009D09ED"/>
    <w:rsid w:val="009D1D28"/>
    <w:rsid w:val="009D4086"/>
    <w:rsid w:val="009D41AC"/>
    <w:rsid w:val="009D49A7"/>
    <w:rsid w:val="009D4C8C"/>
    <w:rsid w:val="009D4D0C"/>
    <w:rsid w:val="009D5231"/>
    <w:rsid w:val="009D5D6D"/>
    <w:rsid w:val="009D6595"/>
    <w:rsid w:val="009D7910"/>
    <w:rsid w:val="009E06E1"/>
    <w:rsid w:val="009E4AA5"/>
    <w:rsid w:val="009E6531"/>
    <w:rsid w:val="009E6E16"/>
    <w:rsid w:val="009E6F39"/>
    <w:rsid w:val="009E74FA"/>
    <w:rsid w:val="009F2585"/>
    <w:rsid w:val="00A004B1"/>
    <w:rsid w:val="00A00AF9"/>
    <w:rsid w:val="00A00F82"/>
    <w:rsid w:val="00A011DA"/>
    <w:rsid w:val="00A01830"/>
    <w:rsid w:val="00A0289D"/>
    <w:rsid w:val="00A02E8E"/>
    <w:rsid w:val="00A03AAF"/>
    <w:rsid w:val="00A04CAC"/>
    <w:rsid w:val="00A04D94"/>
    <w:rsid w:val="00A05F24"/>
    <w:rsid w:val="00A06EDA"/>
    <w:rsid w:val="00A07069"/>
    <w:rsid w:val="00A1013B"/>
    <w:rsid w:val="00A111F8"/>
    <w:rsid w:val="00A11A02"/>
    <w:rsid w:val="00A11CF6"/>
    <w:rsid w:val="00A11DCF"/>
    <w:rsid w:val="00A13308"/>
    <w:rsid w:val="00A143EF"/>
    <w:rsid w:val="00A14D80"/>
    <w:rsid w:val="00A14F45"/>
    <w:rsid w:val="00A15C6B"/>
    <w:rsid w:val="00A15F5B"/>
    <w:rsid w:val="00A16668"/>
    <w:rsid w:val="00A21B9B"/>
    <w:rsid w:val="00A21D46"/>
    <w:rsid w:val="00A22ABE"/>
    <w:rsid w:val="00A22DA6"/>
    <w:rsid w:val="00A234C6"/>
    <w:rsid w:val="00A237A3"/>
    <w:rsid w:val="00A24B8B"/>
    <w:rsid w:val="00A255ED"/>
    <w:rsid w:val="00A2593A"/>
    <w:rsid w:val="00A269F5"/>
    <w:rsid w:val="00A30CBA"/>
    <w:rsid w:val="00A31A9B"/>
    <w:rsid w:val="00A31C18"/>
    <w:rsid w:val="00A3228E"/>
    <w:rsid w:val="00A32866"/>
    <w:rsid w:val="00A32B4A"/>
    <w:rsid w:val="00A35EA5"/>
    <w:rsid w:val="00A363F7"/>
    <w:rsid w:val="00A37F81"/>
    <w:rsid w:val="00A40462"/>
    <w:rsid w:val="00A414B0"/>
    <w:rsid w:val="00A42755"/>
    <w:rsid w:val="00A44E53"/>
    <w:rsid w:val="00A45B7F"/>
    <w:rsid w:val="00A46AE8"/>
    <w:rsid w:val="00A50B8A"/>
    <w:rsid w:val="00A51786"/>
    <w:rsid w:val="00A53C62"/>
    <w:rsid w:val="00A56841"/>
    <w:rsid w:val="00A607F9"/>
    <w:rsid w:val="00A612C5"/>
    <w:rsid w:val="00A620A0"/>
    <w:rsid w:val="00A62359"/>
    <w:rsid w:val="00A62FD9"/>
    <w:rsid w:val="00A63C52"/>
    <w:rsid w:val="00A644DA"/>
    <w:rsid w:val="00A652F6"/>
    <w:rsid w:val="00A670DF"/>
    <w:rsid w:val="00A701B1"/>
    <w:rsid w:val="00A702D7"/>
    <w:rsid w:val="00A70A09"/>
    <w:rsid w:val="00A73139"/>
    <w:rsid w:val="00A74276"/>
    <w:rsid w:val="00A75944"/>
    <w:rsid w:val="00A7799C"/>
    <w:rsid w:val="00A77F23"/>
    <w:rsid w:val="00A80377"/>
    <w:rsid w:val="00A803C7"/>
    <w:rsid w:val="00A83B48"/>
    <w:rsid w:val="00A8589F"/>
    <w:rsid w:val="00A85E58"/>
    <w:rsid w:val="00A86C4A"/>
    <w:rsid w:val="00A86D73"/>
    <w:rsid w:val="00A87758"/>
    <w:rsid w:val="00A90689"/>
    <w:rsid w:val="00A906C8"/>
    <w:rsid w:val="00A91405"/>
    <w:rsid w:val="00A91C93"/>
    <w:rsid w:val="00A926FA"/>
    <w:rsid w:val="00A92AD4"/>
    <w:rsid w:val="00A9452C"/>
    <w:rsid w:val="00A95236"/>
    <w:rsid w:val="00A96C28"/>
    <w:rsid w:val="00A9700E"/>
    <w:rsid w:val="00AA0608"/>
    <w:rsid w:val="00AA0FEF"/>
    <w:rsid w:val="00AA12B2"/>
    <w:rsid w:val="00AA12D2"/>
    <w:rsid w:val="00AA12FC"/>
    <w:rsid w:val="00AA2150"/>
    <w:rsid w:val="00AA369F"/>
    <w:rsid w:val="00AA3D6C"/>
    <w:rsid w:val="00AA5466"/>
    <w:rsid w:val="00AB0126"/>
    <w:rsid w:val="00AB10C4"/>
    <w:rsid w:val="00AB10F4"/>
    <w:rsid w:val="00AB355E"/>
    <w:rsid w:val="00AB473A"/>
    <w:rsid w:val="00AB4760"/>
    <w:rsid w:val="00AB4BAD"/>
    <w:rsid w:val="00AB54B2"/>
    <w:rsid w:val="00AB5B12"/>
    <w:rsid w:val="00AB5F96"/>
    <w:rsid w:val="00AC1B67"/>
    <w:rsid w:val="00AC249E"/>
    <w:rsid w:val="00AC2BD5"/>
    <w:rsid w:val="00AC3FD6"/>
    <w:rsid w:val="00AC41A9"/>
    <w:rsid w:val="00AC4B2B"/>
    <w:rsid w:val="00AC5B73"/>
    <w:rsid w:val="00AC645F"/>
    <w:rsid w:val="00AD0A72"/>
    <w:rsid w:val="00AD27FC"/>
    <w:rsid w:val="00AD2B9E"/>
    <w:rsid w:val="00AD3678"/>
    <w:rsid w:val="00AD3EFC"/>
    <w:rsid w:val="00AD522A"/>
    <w:rsid w:val="00AD5B59"/>
    <w:rsid w:val="00AD6D52"/>
    <w:rsid w:val="00AD7648"/>
    <w:rsid w:val="00AD76BF"/>
    <w:rsid w:val="00AD7F0B"/>
    <w:rsid w:val="00AE0459"/>
    <w:rsid w:val="00AE0FD8"/>
    <w:rsid w:val="00AE1297"/>
    <w:rsid w:val="00AE140D"/>
    <w:rsid w:val="00AE2500"/>
    <w:rsid w:val="00AE4638"/>
    <w:rsid w:val="00AE52A9"/>
    <w:rsid w:val="00AE56FC"/>
    <w:rsid w:val="00AE5C41"/>
    <w:rsid w:val="00AE7854"/>
    <w:rsid w:val="00AE7E36"/>
    <w:rsid w:val="00AF1898"/>
    <w:rsid w:val="00AF255D"/>
    <w:rsid w:val="00AF3582"/>
    <w:rsid w:val="00AF3CA4"/>
    <w:rsid w:val="00AF657F"/>
    <w:rsid w:val="00AF7329"/>
    <w:rsid w:val="00AF7863"/>
    <w:rsid w:val="00B008F0"/>
    <w:rsid w:val="00B01254"/>
    <w:rsid w:val="00B0249C"/>
    <w:rsid w:val="00B02B27"/>
    <w:rsid w:val="00B04A6E"/>
    <w:rsid w:val="00B05507"/>
    <w:rsid w:val="00B060DD"/>
    <w:rsid w:val="00B07300"/>
    <w:rsid w:val="00B07720"/>
    <w:rsid w:val="00B07802"/>
    <w:rsid w:val="00B10106"/>
    <w:rsid w:val="00B11140"/>
    <w:rsid w:val="00B157CB"/>
    <w:rsid w:val="00B209A3"/>
    <w:rsid w:val="00B20D0D"/>
    <w:rsid w:val="00B22AF7"/>
    <w:rsid w:val="00B2452E"/>
    <w:rsid w:val="00B30298"/>
    <w:rsid w:val="00B31F15"/>
    <w:rsid w:val="00B32D4C"/>
    <w:rsid w:val="00B3310F"/>
    <w:rsid w:val="00B33168"/>
    <w:rsid w:val="00B33F5A"/>
    <w:rsid w:val="00B342D1"/>
    <w:rsid w:val="00B3602D"/>
    <w:rsid w:val="00B37462"/>
    <w:rsid w:val="00B41595"/>
    <w:rsid w:val="00B43E11"/>
    <w:rsid w:val="00B45A8D"/>
    <w:rsid w:val="00B45C75"/>
    <w:rsid w:val="00B465E3"/>
    <w:rsid w:val="00B47DE3"/>
    <w:rsid w:val="00B518BD"/>
    <w:rsid w:val="00B52ABB"/>
    <w:rsid w:val="00B52F33"/>
    <w:rsid w:val="00B53DE6"/>
    <w:rsid w:val="00B53F85"/>
    <w:rsid w:val="00B5523E"/>
    <w:rsid w:val="00B55342"/>
    <w:rsid w:val="00B56F0A"/>
    <w:rsid w:val="00B5768A"/>
    <w:rsid w:val="00B60FCC"/>
    <w:rsid w:val="00B62FDD"/>
    <w:rsid w:val="00B6318A"/>
    <w:rsid w:val="00B63268"/>
    <w:rsid w:val="00B648A4"/>
    <w:rsid w:val="00B65EEE"/>
    <w:rsid w:val="00B66963"/>
    <w:rsid w:val="00B67F7B"/>
    <w:rsid w:val="00B74F27"/>
    <w:rsid w:val="00B763E2"/>
    <w:rsid w:val="00B76F13"/>
    <w:rsid w:val="00B80095"/>
    <w:rsid w:val="00B80215"/>
    <w:rsid w:val="00B8100A"/>
    <w:rsid w:val="00B841D0"/>
    <w:rsid w:val="00B84EF2"/>
    <w:rsid w:val="00B86291"/>
    <w:rsid w:val="00B87788"/>
    <w:rsid w:val="00B87AAE"/>
    <w:rsid w:val="00B90252"/>
    <w:rsid w:val="00B90466"/>
    <w:rsid w:val="00B92E8C"/>
    <w:rsid w:val="00B94596"/>
    <w:rsid w:val="00B97517"/>
    <w:rsid w:val="00BA08DC"/>
    <w:rsid w:val="00BA1274"/>
    <w:rsid w:val="00BA2B5C"/>
    <w:rsid w:val="00BA2E28"/>
    <w:rsid w:val="00BA421F"/>
    <w:rsid w:val="00BA715C"/>
    <w:rsid w:val="00BB0627"/>
    <w:rsid w:val="00BB0BB6"/>
    <w:rsid w:val="00BB22CC"/>
    <w:rsid w:val="00BB3782"/>
    <w:rsid w:val="00BB3DAB"/>
    <w:rsid w:val="00BB52A0"/>
    <w:rsid w:val="00BB55B6"/>
    <w:rsid w:val="00BB6112"/>
    <w:rsid w:val="00BB6F31"/>
    <w:rsid w:val="00BB77A2"/>
    <w:rsid w:val="00BC1DFD"/>
    <w:rsid w:val="00BC2D9D"/>
    <w:rsid w:val="00BC2FF7"/>
    <w:rsid w:val="00BC4914"/>
    <w:rsid w:val="00BC4C0F"/>
    <w:rsid w:val="00BC61F0"/>
    <w:rsid w:val="00BC6928"/>
    <w:rsid w:val="00BC6B75"/>
    <w:rsid w:val="00BC79E3"/>
    <w:rsid w:val="00BD27E2"/>
    <w:rsid w:val="00BD2D87"/>
    <w:rsid w:val="00BD3FCD"/>
    <w:rsid w:val="00BD6379"/>
    <w:rsid w:val="00BD6AF5"/>
    <w:rsid w:val="00BE09C3"/>
    <w:rsid w:val="00BE0A64"/>
    <w:rsid w:val="00BE3A32"/>
    <w:rsid w:val="00BE3BF3"/>
    <w:rsid w:val="00BE3C9B"/>
    <w:rsid w:val="00BE4A68"/>
    <w:rsid w:val="00BF0FC9"/>
    <w:rsid w:val="00BF1FDD"/>
    <w:rsid w:val="00BF3576"/>
    <w:rsid w:val="00BF411B"/>
    <w:rsid w:val="00BF4338"/>
    <w:rsid w:val="00BF4CD7"/>
    <w:rsid w:val="00BF5E5A"/>
    <w:rsid w:val="00BF6AEA"/>
    <w:rsid w:val="00BF71E8"/>
    <w:rsid w:val="00BF7B4F"/>
    <w:rsid w:val="00C01DDA"/>
    <w:rsid w:val="00C021B2"/>
    <w:rsid w:val="00C034BA"/>
    <w:rsid w:val="00C041A7"/>
    <w:rsid w:val="00C0573D"/>
    <w:rsid w:val="00C0666E"/>
    <w:rsid w:val="00C06EE9"/>
    <w:rsid w:val="00C072C1"/>
    <w:rsid w:val="00C079CE"/>
    <w:rsid w:val="00C07FA4"/>
    <w:rsid w:val="00C10C1A"/>
    <w:rsid w:val="00C11C60"/>
    <w:rsid w:val="00C12721"/>
    <w:rsid w:val="00C13F02"/>
    <w:rsid w:val="00C16166"/>
    <w:rsid w:val="00C162D4"/>
    <w:rsid w:val="00C17021"/>
    <w:rsid w:val="00C2118D"/>
    <w:rsid w:val="00C25BC0"/>
    <w:rsid w:val="00C2709D"/>
    <w:rsid w:val="00C273E4"/>
    <w:rsid w:val="00C32A13"/>
    <w:rsid w:val="00C35657"/>
    <w:rsid w:val="00C4025C"/>
    <w:rsid w:val="00C40A81"/>
    <w:rsid w:val="00C40B71"/>
    <w:rsid w:val="00C41802"/>
    <w:rsid w:val="00C42964"/>
    <w:rsid w:val="00C45887"/>
    <w:rsid w:val="00C465FA"/>
    <w:rsid w:val="00C51078"/>
    <w:rsid w:val="00C52F54"/>
    <w:rsid w:val="00C53309"/>
    <w:rsid w:val="00C53632"/>
    <w:rsid w:val="00C54255"/>
    <w:rsid w:val="00C54581"/>
    <w:rsid w:val="00C5595B"/>
    <w:rsid w:val="00C55A6E"/>
    <w:rsid w:val="00C60AE3"/>
    <w:rsid w:val="00C61403"/>
    <w:rsid w:val="00C617A2"/>
    <w:rsid w:val="00C61D83"/>
    <w:rsid w:val="00C654EE"/>
    <w:rsid w:val="00C65F60"/>
    <w:rsid w:val="00C66C14"/>
    <w:rsid w:val="00C67829"/>
    <w:rsid w:val="00C705E8"/>
    <w:rsid w:val="00C709B1"/>
    <w:rsid w:val="00C7367B"/>
    <w:rsid w:val="00C73997"/>
    <w:rsid w:val="00C75C3D"/>
    <w:rsid w:val="00C806B5"/>
    <w:rsid w:val="00C80C6B"/>
    <w:rsid w:val="00C81251"/>
    <w:rsid w:val="00C81E49"/>
    <w:rsid w:val="00C82B39"/>
    <w:rsid w:val="00C83026"/>
    <w:rsid w:val="00C84178"/>
    <w:rsid w:val="00C859AF"/>
    <w:rsid w:val="00C87274"/>
    <w:rsid w:val="00C87D98"/>
    <w:rsid w:val="00C918AC"/>
    <w:rsid w:val="00C92D0A"/>
    <w:rsid w:val="00C92EF8"/>
    <w:rsid w:val="00C94CCF"/>
    <w:rsid w:val="00C94D3C"/>
    <w:rsid w:val="00C94D6E"/>
    <w:rsid w:val="00C95531"/>
    <w:rsid w:val="00C966A7"/>
    <w:rsid w:val="00CA0DE1"/>
    <w:rsid w:val="00CA17B6"/>
    <w:rsid w:val="00CA2405"/>
    <w:rsid w:val="00CA34C0"/>
    <w:rsid w:val="00CA40E1"/>
    <w:rsid w:val="00CA4C39"/>
    <w:rsid w:val="00CA5CFF"/>
    <w:rsid w:val="00CB0146"/>
    <w:rsid w:val="00CB300A"/>
    <w:rsid w:val="00CB3D4F"/>
    <w:rsid w:val="00CB54F8"/>
    <w:rsid w:val="00CB6923"/>
    <w:rsid w:val="00CB7C40"/>
    <w:rsid w:val="00CC0733"/>
    <w:rsid w:val="00CC0A16"/>
    <w:rsid w:val="00CC0B31"/>
    <w:rsid w:val="00CC0BAE"/>
    <w:rsid w:val="00CC39E5"/>
    <w:rsid w:val="00CC44D1"/>
    <w:rsid w:val="00CC4EE6"/>
    <w:rsid w:val="00CC54A3"/>
    <w:rsid w:val="00CC674B"/>
    <w:rsid w:val="00CC7D03"/>
    <w:rsid w:val="00CD0BB0"/>
    <w:rsid w:val="00CD1313"/>
    <w:rsid w:val="00CD2033"/>
    <w:rsid w:val="00CD21BE"/>
    <w:rsid w:val="00CD38C6"/>
    <w:rsid w:val="00CD46DC"/>
    <w:rsid w:val="00CD48A7"/>
    <w:rsid w:val="00CD51A5"/>
    <w:rsid w:val="00CE0033"/>
    <w:rsid w:val="00CE0A14"/>
    <w:rsid w:val="00CE111A"/>
    <w:rsid w:val="00CE2988"/>
    <w:rsid w:val="00CE45A3"/>
    <w:rsid w:val="00CE514F"/>
    <w:rsid w:val="00CF0F31"/>
    <w:rsid w:val="00CF10CC"/>
    <w:rsid w:val="00CF1E27"/>
    <w:rsid w:val="00CF215F"/>
    <w:rsid w:val="00CF2BAF"/>
    <w:rsid w:val="00CF40F1"/>
    <w:rsid w:val="00CF69EC"/>
    <w:rsid w:val="00CF70F1"/>
    <w:rsid w:val="00D00D8C"/>
    <w:rsid w:val="00D015D7"/>
    <w:rsid w:val="00D01ADF"/>
    <w:rsid w:val="00D0252C"/>
    <w:rsid w:val="00D02860"/>
    <w:rsid w:val="00D02C26"/>
    <w:rsid w:val="00D0308F"/>
    <w:rsid w:val="00D03DD3"/>
    <w:rsid w:val="00D042D4"/>
    <w:rsid w:val="00D07AEB"/>
    <w:rsid w:val="00D11157"/>
    <w:rsid w:val="00D11D49"/>
    <w:rsid w:val="00D11D71"/>
    <w:rsid w:val="00D12BD9"/>
    <w:rsid w:val="00D138A6"/>
    <w:rsid w:val="00D14EC4"/>
    <w:rsid w:val="00D172DD"/>
    <w:rsid w:val="00D17376"/>
    <w:rsid w:val="00D17BB2"/>
    <w:rsid w:val="00D17E7A"/>
    <w:rsid w:val="00D20E81"/>
    <w:rsid w:val="00D2243C"/>
    <w:rsid w:val="00D2261B"/>
    <w:rsid w:val="00D240DD"/>
    <w:rsid w:val="00D2410B"/>
    <w:rsid w:val="00D247EF"/>
    <w:rsid w:val="00D252CC"/>
    <w:rsid w:val="00D25A7D"/>
    <w:rsid w:val="00D25BF7"/>
    <w:rsid w:val="00D25CFA"/>
    <w:rsid w:val="00D26686"/>
    <w:rsid w:val="00D26CE8"/>
    <w:rsid w:val="00D2729A"/>
    <w:rsid w:val="00D276B7"/>
    <w:rsid w:val="00D31862"/>
    <w:rsid w:val="00D336BC"/>
    <w:rsid w:val="00D339F5"/>
    <w:rsid w:val="00D35273"/>
    <w:rsid w:val="00D35FB1"/>
    <w:rsid w:val="00D400B6"/>
    <w:rsid w:val="00D40F58"/>
    <w:rsid w:val="00D41A9D"/>
    <w:rsid w:val="00D41B8C"/>
    <w:rsid w:val="00D42174"/>
    <w:rsid w:val="00D42E59"/>
    <w:rsid w:val="00D43218"/>
    <w:rsid w:val="00D45113"/>
    <w:rsid w:val="00D45B3B"/>
    <w:rsid w:val="00D4620B"/>
    <w:rsid w:val="00D464C3"/>
    <w:rsid w:val="00D46782"/>
    <w:rsid w:val="00D468B8"/>
    <w:rsid w:val="00D46D4A"/>
    <w:rsid w:val="00D47E34"/>
    <w:rsid w:val="00D508ED"/>
    <w:rsid w:val="00D50A76"/>
    <w:rsid w:val="00D52C15"/>
    <w:rsid w:val="00D534BE"/>
    <w:rsid w:val="00D542FB"/>
    <w:rsid w:val="00D562F1"/>
    <w:rsid w:val="00D574A1"/>
    <w:rsid w:val="00D60991"/>
    <w:rsid w:val="00D60E0B"/>
    <w:rsid w:val="00D62147"/>
    <w:rsid w:val="00D6305D"/>
    <w:rsid w:val="00D6379F"/>
    <w:rsid w:val="00D63BAE"/>
    <w:rsid w:val="00D648D6"/>
    <w:rsid w:val="00D6520A"/>
    <w:rsid w:val="00D653B4"/>
    <w:rsid w:val="00D66CBC"/>
    <w:rsid w:val="00D715CA"/>
    <w:rsid w:val="00D71D1D"/>
    <w:rsid w:val="00D72A8F"/>
    <w:rsid w:val="00D733F0"/>
    <w:rsid w:val="00D734CF"/>
    <w:rsid w:val="00D736F2"/>
    <w:rsid w:val="00D73D12"/>
    <w:rsid w:val="00D75317"/>
    <w:rsid w:val="00D758A2"/>
    <w:rsid w:val="00D761A3"/>
    <w:rsid w:val="00D7721A"/>
    <w:rsid w:val="00D81BE1"/>
    <w:rsid w:val="00D82AD5"/>
    <w:rsid w:val="00D8395A"/>
    <w:rsid w:val="00D83A2C"/>
    <w:rsid w:val="00D83D90"/>
    <w:rsid w:val="00D867DB"/>
    <w:rsid w:val="00D92EB3"/>
    <w:rsid w:val="00D9304C"/>
    <w:rsid w:val="00D94702"/>
    <w:rsid w:val="00D96BB3"/>
    <w:rsid w:val="00DA149D"/>
    <w:rsid w:val="00DA175E"/>
    <w:rsid w:val="00DA2BF5"/>
    <w:rsid w:val="00DA3373"/>
    <w:rsid w:val="00DB0FB0"/>
    <w:rsid w:val="00DB12CA"/>
    <w:rsid w:val="00DB1ACA"/>
    <w:rsid w:val="00DB2865"/>
    <w:rsid w:val="00DB2F3C"/>
    <w:rsid w:val="00DB47A4"/>
    <w:rsid w:val="00DB4F7A"/>
    <w:rsid w:val="00DB5BAE"/>
    <w:rsid w:val="00DB6FE4"/>
    <w:rsid w:val="00DC163F"/>
    <w:rsid w:val="00DC22CD"/>
    <w:rsid w:val="00DC2C1E"/>
    <w:rsid w:val="00DC3018"/>
    <w:rsid w:val="00DC4D55"/>
    <w:rsid w:val="00DC503B"/>
    <w:rsid w:val="00DC58D2"/>
    <w:rsid w:val="00DC6BEE"/>
    <w:rsid w:val="00DC715E"/>
    <w:rsid w:val="00DC74D6"/>
    <w:rsid w:val="00DD0F25"/>
    <w:rsid w:val="00DD0F73"/>
    <w:rsid w:val="00DD1241"/>
    <w:rsid w:val="00DD3504"/>
    <w:rsid w:val="00DD3B12"/>
    <w:rsid w:val="00DD3FC6"/>
    <w:rsid w:val="00DD6040"/>
    <w:rsid w:val="00DE06B8"/>
    <w:rsid w:val="00DE11C1"/>
    <w:rsid w:val="00DE1268"/>
    <w:rsid w:val="00DE1799"/>
    <w:rsid w:val="00DE1BFC"/>
    <w:rsid w:val="00DE22D0"/>
    <w:rsid w:val="00DE4DE2"/>
    <w:rsid w:val="00DE6B20"/>
    <w:rsid w:val="00DE7966"/>
    <w:rsid w:val="00DE7A64"/>
    <w:rsid w:val="00DF048E"/>
    <w:rsid w:val="00DF1963"/>
    <w:rsid w:val="00DF2200"/>
    <w:rsid w:val="00DF56C0"/>
    <w:rsid w:val="00DF7892"/>
    <w:rsid w:val="00E00249"/>
    <w:rsid w:val="00E01DA7"/>
    <w:rsid w:val="00E02D07"/>
    <w:rsid w:val="00E04AE3"/>
    <w:rsid w:val="00E05D15"/>
    <w:rsid w:val="00E06218"/>
    <w:rsid w:val="00E11332"/>
    <w:rsid w:val="00E15DB5"/>
    <w:rsid w:val="00E175D3"/>
    <w:rsid w:val="00E204F2"/>
    <w:rsid w:val="00E20E0D"/>
    <w:rsid w:val="00E22371"/>
    <w:rsid w:val="00E22DA0"/>
    <w:rsid w:val="00E24A82"/>
    <w:rsid w:val="00E24AE4"/>
    <w:rsid w:val="00E27883"/>
    <w:rsid w:val="00E3014B"/>
    <w:rsid w:val="00E3027E"/>
    <w:rsid w:val="00E30F55"/>
    <w:rsid w:val="00E3200D"/>
    <w:rsid w:val="00E32B58"/>
    <w:rsid w:val="00E33A55"/>
    <w:rsid w:val="00E341D1"/>
    <w:rsid w:val="00E36DB8"/>
    <w:rsid w:val="00E40C04"/>
    <w:rsid w:val="00E427E9"/>
    <w:rsid w:val="00E42A21"/>
    <w:rsid w:val="00E46373"/>
    <w:rsid w:val="00E47547"/>
    <w:rsid w:val="00E52910"/>
    <w:rsid w:val="00E53431"/>
    <w:rsid w:val="00E54AAB"/>
    <w:rsid w:val="00E553FA"/>
    <w:rsid w:val="00E5597F"/>
    <w:rsid w:val="00E56681"/>
    <w:rsid w:val="00E56F5F"/>
    <w:rsid w:val="00E608F7"/>
    <w:rsid w:val="00E60C99"/>
    <w:rsid w:val="00E645B7"/>
    <w:rsid w:val="00E65DC2"/>
    <w:rsid w:val="00E66F16"/>
    <w:rsid w:val="00E67574"/>
    <w:rsid w:val="00E708E8"/>
    <w:rsid w:val="00E748CB"/>
    <w:rsid w:val="00E775D1"/>
    <w:rsid w:val="00E8222B"/>
    <w:rsid w:val="00E830AA"/>
    <w:rsid w:val="00E85B5C"/>
    <w:rsid w:val="00E85E96"/>
    <w:rsid w:val="00E8635C"/>
    <w:rsid w:val="00E90637"/>
    <w:rsid w:val="00E91954"/>
    <w:rsid w:val="00E923EB"/>
    <w:rsid w:val="00E92F26"/>
    <w:rsid w:val="00E933C4"/>
    <w:rsid w:val="00E93C1E"/>
    <w:rsid w:val="00E93E79"/>
    <w:rsid w:val="00E95691"/>
    <w:rsid w:val="00E95C6E"/>
    <w:rsid w:val="00E96186"/>
    <w:rsid w:val="00EA0177"/>
    <w:rsid w:val="00EA36C1"/>
    <w:rsid w:val="00EA4A88"/>
    <w:rsid w:val="00EA6BB8"/>
    <w:rsid w:val="00EA7A12"/>
    <w:rsid w:val="00EB04CB"/>
    <w:rsid w:val="00EB0A00"/>
    <w:rsid w:val="00EB1E47"/>
    <w:rsid w:val="00EB4B33"/>
    <w:rsid w:val="00EB59D9"/>
    <w:rsid w:val="00EB66D4"/>
    <w:rsid w:val="00EC05FA"/>
    <w:rsid w:val="00EC1666"/>
    <w:rsid w:val="00EC453A"/>
    <w:rsid w:val="00EC4B79"/>
    <w:rsid w:val="00EC4DDE"/>
    <w:rsid w:val="00EC5BC8"/>
    <w:rsid w:val="00EC62AB"/>
    <w:rsid w:val="00EC6CA6"/>
    <w:rsid w:val="00EC71AD"/>
    <w:rsid w:val="00ED04D8"/>
    <w:rsid w:val="00ED1B0B"/>
    <w:rsid w:val="00ED2150"/>
    <w:rsid w:val="00ED2535"/>
    <w:rsid w:val="00ED3369"/>
    <w:rsid w:val="00ED585A"/>
    <w:rsid w:val="00ED5FEC"/>
    <w:rsid w:val="00ED7FFA"/>
    <w:rsid w:val="00EE0706"/>
    <w:rsid w:val="00EE41BB"/>
    <w:rsid w:val="00EE41D1"/>
    <w:rsid w:val="00EE5B92"/>
    <w:rsid w:val="00EE5F1E"/>
    <w:rsid w:val="00EF2C3B"/>
    <w:rsid w:val="00EF454A"/>
    <w:rsid w:val="00EF50BD"/>
    <w:rsid w:val="00EF56CC"/>
    <w:rsid w:val="00EF6108"/>
    <w:rsid w:val="00EF63EA"/>
    <w:rsid w:val="00EF6A52"/>
    <w:rsid w:val="00EF70FB"/>
    <w:rsid w:val="00F01B83"/>
    <w:rsid w:val="00F03064"/>
    <w:rsid w:val="00F04A9E"/>
    <w:rsid w:val="00F04DA5"/>
    <w:rsid w:val="00F07550"/>
    <w:rsid w:val="00F10006"/>
    <w:rsid w:val="00F104AB"/>
    <w:rsid w:val="00F10B7B"/>
    <w:rsid w:val="00F11908"/>
    <w:rsid w:val="00F12BED"/>
    <w:rsid w:val="00F1690C"/>
    <w:rsid w:val="00F16A92"/>
    <w:rsid w:val="00F17E7D"/>
    <w:rsid w:val="00F2250A"/>
    <w:rsid w:val="00F228B3"/>
    <w:rsid w:val="00F23B83"/>
    <w:rsid w:val="00F2533C"/>
    <w:rsid w:val="00F269CD"/>
    <w:rsid w:val="00F31270"/>
    <w:rsid w:val="00F32980"/>
    <w:rsid w:val="00F33C7A"/>
    <w:rsid w:val="00F34B49"/>
    <w:rsid w:val="00F34CEA"/>
    <w:rsid w:val="00F3561C"/>
    <w:rsid w:val="00F35702"/>
    <w:rsid w:val="00F35D90"/>
    <w:rsid w:val="00F35FE3"/>
    <w:rsid w:val="00F37488"/>
    <w:rsid w:val="00F402BE"/>
    <w:rsid w:val="00F41C3C"/>
    <w:rsid w:val="00F421BD"/>
    <w:rsid w:val="00F42872"/>
    <w:rsid w:val="00F50AFE"/>
    <w:rsid w:val="00F51126"/>
    <w:rsid w:val="00F51477"/>
    <w:rsid w:val="00F51F56"/>
    <w:rsid w:val="00F52846"/>
    <w:rsid w:val="00F53A91"/>
    <w:rsid w:val="00F54147"/>
    <w:rsid w:val="00F54936"/>
    <w:rsid w:val="00F54F8B"/>
    <w:rsid w:val="00F556AD"/>
    <w:rsid w:val="00F568FA"/>
    <w:rsid w:val="00F56A67"/>
    <w:rsid w:val="00F56B58"/>
    <w:rsid w:val="00F575AF"/>
    <w:rsid w:val="00F6021B"/>
    <w:rsid w:val="00F615EE"/>
    <w:rsid w:val="00F6293C"/>
    <w:rsid w:val="00F63016"/>
    <w:rsid w:val="00F65570"/>
    <w:rsid w:val="00F6570A"/>
    <w:rsid w:val="00F70C39"/>
    <w:rsid w:val="00F7238B"/>
    <w:rsid w:val="00F736E9"/>
    <w:rsid w:val="00F75E18"/>
    <w:rsid w:val="00F75F32"/>
    <w:rsid w:val="00F76F5D"/>
    <w:rsid w:val="00F774EC"/>
    <w:rsid w:val="00F802F0"/>
    <w:rsid w:val="00F80377"/>
    <w:rsid w:val="00F80422"/>
    <w:rsid w:val="00F80CC1"/>
    <w:rsid w:val="00F81B87"/>
    <w:rsid w:val="00F825B7"/>
    <w:rsid w:val="00F82A08"/>
    <w:rsid w:val="00F865A8"/>
    <w:rsid w:val="00F86A63"/>
    <w:rsid w:val="00F86F70"/>
    <w:rsid w:val="00F87A08"/>
    <w:rsid w:val="00F91166"/>
    <w:rsid w:val="00F927F4"/>
    <w:rsid w:val="00F949F3"/>
    <w:rsid w:val="00F9551A"/>
    <w:rsid w:val="00F96E52"/>
    <w:rsid w:val="00FA3766"/>
    <w:rsid w:val="00FA3CBC"/>
    <w:rsid w:val="00FA6168"/>
    <w:rsid w:val="00FA6A9C"/>
    <w:rsid w:val="00FA7A47"/>
    <w:rsid w:val="00FB3216"/>
    <w:rsid w:val="00FB3E2F"/>
    <w:rsid w:val="00FB5BF6"/>
    <w:rsid w:val="00FB6A0C"/>
    <w:rsid w:val="00FC0158"/>
    <w:rsid w:val="00FC0CAE"/>
    <w:rsid w:val="00FC2E5D"/>
    <w:rsid w:val="00FC3BB0"/>
    <w:rsid w:val="00FC6785"/>
    <w:rsid w:val="00FD03DF"/>
    <w:rsid w:val="00FD202A"/>
    <w:rsid w:val="00FD3638"/>
    <w:rsid w:val="00FD5C0D"/>
    <w:rsid w:val="00FE0244"/>
    <w:rsid w:val="00FE1CA0"/>
    <w:rsid w:val="00FE23A2"/>
    <w:rsid w:val="00FE3271"/>
    <w:rsid w:val="00FE5124"/>
    <w:rsid w:val="00FE5982"/>
    <w:rsid w:val="00FF07D4"/>
    <w:rsid w:val="00FF0850"/>
    <w:rsid w:val="00FF1075"/>
    <w:rsid w:val="00FF2302"/>
    <w:rsid w:val="00FF27F3"/>
    <w:rsid w:val="00FF4AEA"/>
    <w:rsid w:val="00FF4C6E"/>
    <w:rsid w:val="00FF598F"/>
    <w:rsid w:val="00FF5F8E"/>
    <w:rsid w:val="00FF7886"/>
    <w:rsid w:val="00FF7C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46CBAF"/>
  <w15:docId w15:val="{427F880A-3B1B-4FCF-A471-477DCB11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A13"/>
    <w:pPr>
      <w:spacing w:after="0" w:line="240" w:lineRule="auto"/>
    </w:pPr>
    <w:rPr>
      <w:rFonts w:ascii="Arial" w:hAnsi="Arial"/>
      <w:sz w:val="24"/>
    </w:rPr>
  </w:style>
  <w:style w:type="paragraph" w:styleId="Heading1">
    <w:name w:val="heading 1"/>
    <w:next w:val="NoSpacing"/>
    <w:link w:val="Heading1Char"/>
    <w:autoRedefine/>
    <w:uiPriority w:val="9"/>
    <w:qFormat/>
    <w:rsid w:val="001F7566"/>
    <w:pPr>
      <w:keepNext/>
      <w:keepLines/>
      <w:numPr>
        <w:numId w:val="6"/>
      </w:numPr>
      <w:spacing w:after="0" w:line="240" w:lineRule="auto"/>
      <w:ind w:left="851" w:hanging="851"/>
      <w:outlineLvl w:val="0"/>
    </w:pPr>
    <w:rPr>
      <w:rFonts w:ascii="Arial" w:eastAsiaTheme="majorEastAsia" w:hAnsi="Arial" w:cstheme="majorBidi"/>
      <w:b/>
      <w:bCs/>
      <w:sz w:val="32"/>
      <w:szCs w:val="28"/>
    </w:rPr>
  </w:style>
  <w:style w:type="paragraph" w:styleId="Heading2">
    <w:name w:val="heading 2"/>
    <w:next w:val="NoSpacing"/>
    <w:link w:val="Heading2Char"/>
    <w:autoRedefine/>
    <w:uiPriority w:val="9"/>
    <w:unhideWhenUsed/>
    <w:qFormat/>
    <w:rsid w:val="001F7566"/>
    <w:pPr>
      <w:keepNext/>
      <w:keepLines/>
      <w:numPr>
        <w:ilvl w:val="1"/>
        <w:numId w:val="6"/>
      </w:numPr>
      <w:spacing w:after="0" w:line="240" w:lineRule="auto"/>
      <w:ind w:left="851" w:hanging="851"/>
      <w:outlineLvl w:val="1"/>
    </w:pPr>
    <w:rPr>
      <w:rFonts w:ascii="Arial" w:eastAsiaTheme="majorEastAsia" w:hAnsi="Arial" w:cstheme="majorBidi"/>
      <w:b/>
      <w:bCs/>
      <w:sz w:val="28"/>
      <w:szCs w:val="26"/>
    </w:rPr>
  </w:style>
  <w:style w:type="paragraph" w:styleId="Heading3">
    <w:name w:val="heading 3"/>
    <w:next w:val="NoSpacing"/>
    <w:link w:val="Heading3Char"/>
    <w:autoRedefine/>
    <w:uiPriority w:val="9"/>
    <w:unhideWhenUsed/>
    <w:qFormat/>
    <w:rsid w:val="00CB3D4F"/>
    <w:pPr>
      <w:numPr>
        <w:ilvl w:val="2"/>
        <w:numId w:val="6"/>
      </w:numPr>
      <w:spacing w:after="0" w:line="240" w:lineRule="auto"/>
      <w:ind w:left="851" w:hanging="851"/>
      <w:outlineLvl w:val="2"/>
    </w:pPr>
    <w:rPr>
      <w:rFonts w:ascii="Arial" w:eastAsiaTheme="majorEastAsia" w:hAnsi="Arial" w:cstheme="majorBidi"/>
      <w:b/>
      <w:bCs/>
      <w:sz w:val="24"/>
      <w:shd w:val="clear" w:color="auto" w:fill="FFFFFF"/>
    </w:rPr>
  </w:style>
  <w:style w:type="paragraph" w:styleId="Heading4">
    <w:name w:val="heading 4"/>
    <w:basedOn w:val="NoSpacing"/>
    <w:next w:val="Normal"/>
    <w:link w:val="Heading4Char"/>
    <w:autoRedefine/>
    <w:uiPriority w:val="9"/>
    <w:unhideWhenUsed/>
    <w:qFormat/>
    <w:rsid w:val="00533E6B"/>
    <w:pPr>
      <w:numPr>
        <w:ilvl w:val="3"/>
        <w:numId w:val="6"/>
      </w:numPr>
      <w:outlineLvl w:val="3"/>
    </w:pPr>
    <w:rPr>
      <w:rFonts w:ascii="Arial" w:hAnsi="Arial"/>
    </w:rPr>
  </w:style>
  <w:style w:type="paragraph" w:styleId="Heading5">
    <w:name w:val="heading 5"/>
    <w:basedOn w:val="Normal"/>
    <w:next w:val="Normal"/>
    <w:link w:val="Heading5Char"/>
    <w:uiPriority w:val="9"/>
    <w:unhideWhenUsed/>
    <w:qFormat/>
    <w:rsid w:val="002035C6"/>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035C6"/>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035C6"/>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035C6"/>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035C6"/>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66"/>
    <w:rPr>
      <w:rFonts w:ascii="Arial" w:eastAsiaTheme="majorEastAsia" w:hAnsi="Arial" w:cstheme="majorBidi"/>
      <w:b/>
      <w:bCs/>
      <w:sz w:val="32"/>
      <w:szCs w:val="28"/>
    </w:rPr>
  </w:style>
  <w:style w:type="paragraph" w:styleId="TOCHeading">
    <w:name w:val="TOC Heading"/>
    <w:basedOn w:val="Heading1"/>
    <w:next w:val="Normal"/>
    <w:uiPriority w:val="39"/>
    <w:unhideWhenUsed/>
    <w:qFormat/>
    <w:rsid w:val="008602C7"/>
    <w:pPr>
      <w:outlineLvl w:val="9"/>
    </w:pPr>
    <w:rPr>
      <w:lang w:val="en-US"/>
    </w:rPr>
  </w:style>
  <w:style w:type="paragraph" w:styleId="BalloonText">
    <w:name w:val="Balloon Text"/>
    <w:basedOn w:val="Normal"/>
    <w:link w:val="BalloonTextChar"/>
    <w:uiPriority w:val="99"/>
    <w:semiHidden/>
    <w:unhideWhenUsed/>
    <w:rsid w:val="008602C7"/>
    <w:rPr>
      <w:rFonts w:ascii="Tahoma" w:hAnsi="Tahoma" w:cs="Tahoma"/>
      <w:sz w:val="16"/>
      <w:szCs w:val="16"/>
    </w:rPr>
  </w:style>
  <w:style w:type="character" w:customStyle="1" w:styleId="BalloonTextChar">
    <w:name w:val="Balloon Text Char"/>
    <w:basedOn w:val="DefaultParagraphFont"/>
    <w:link w:val="BalloonText"/>
    <w:uiPriority w:val="99"/>
    <w:semiHidden/>
    <w:rsid w:val="008602C7"/>
    <w:rPr>
      <w:rFonts w:ascii="Tahoma" w:hAnsi="Tahoma" w:cs="Tahoma"/>
      <w:sz w:val="16"/>
      <w:szCs w:val="16"/>
    </w:rPr>
  </w:style>
  <w:style w:type="paragraph" w:styleId="TOC2">
    <w:name w:val="toc 2"/>
    <w:basedOn w:val="Normal"/>
    <w:next w:val="Normal"/>
    <w:autoRedefine/>
    <w:uiPriority w:val="39"/>
    <w:unhideWhenUsed/>
    <w:qFormat/>
    <w:rsid w:val="00A21B9B"/>
    <w:pPr>
      <w:tabs>
        <w:tab w:val="left" w:pos="1134"/>
        <w:tab w:val="right" w:leader="dot" w:pos="10762"/>
      </w:tabs>
      <w:spacing w:after="100"/>
    </w:pPr>
    <w:rPr>
      <w:rFonts w:eastAsiaTheme="minorEastAsia" w:cs="Arial"/>
      <w:b/>
      <w:noProof/>
      <w:lang w:val="en-US"/>
    </w:rPr>
  </w:style>
  <w:style w:type="paragraph" w:styleId="TOC1">
    <w:name w:val="toc 1"/>
    <w:basedOn w:val="Normal"/>
    <w:next w:val="Normal"/>
    <w:autoRedefine/>
    <w:uiPriority w:val="39"/>
    <w:unhideWhenUsed/>
    <w:qFormat/>
    <w:rsid w:val="00A21B9B"/>
    <w:pPr>
      <w:tabs>
        <w:tab w:val="left" w:pos="851"/>
        <w:tab w:val="right" w:leader="dot" w:pos="10762"/>
      </w:tabs>
      <w:spacing w:after="100"/>
    </w:pPr>
    <w:rPr>
      <w:rFonts w:eastAsiaTheme="minorEastAsia"/>
      <w:b/>
      <w:lang w:val="en-US"/>
    </w:rPr>
  </w:style>
  <w:style w:type="paragraph" w:styleId="TOC3">
    <w:name w:val="toc 3"/>
    <w:basedOn w:val="Normal"/>
    <w:next w:val="Normal"/>
    <w:autoRedefine/>
    <w:uiPriority w:val="39"/>
    <w:unhideWhenUsed/>
    <w:qFormat/>
    <w:rsid w:val="00A21B9B"/>
    <w:pPr>
      <w:tabs>
        <w:tab w:val="left" w:pos="1418"/>
        <w:tab w:val="right" w:leader="dot" w:pos="10762"/>
      </w:tabs>
      <w:spacing w:after="100"/>
      <w:ind w:left="1418" w:hanging="1418"/>
    </w:pPr>
    <w:rPr>
      <w:rFonts w:eastAsiaTheme="minorEastAsia"/>
      <w:b/>
      <w:lang w:val="en-US"/>
    </w:rPr>
  </w:style>
  <w:style w:type="character" w:styleId="Hyperlink">
    <w:name w:val="Hyperlink"/>
    <w:basedOn w:val="DefaultParagraphFont"/>
    <w:uiPriority w:val="99"/>
    <w:unhideWhenUsed/>
    <w:rsid w:val="008602C7"/>
    <w:rPr>
      <w:color w:val="0000FF" w:themeColor="hyperlink"/>
      <w:u w:val="single"/>
    </w:rPr>
  </w:style>
  <w:style w:type="character" w:customStyle="1" w:styleId="Heading2Char">
    <w:name w:val="Heading 2 Char"/>
    <w:basedOn w:val="DefaultParagraphFont"/>
    <w:link w:val="Heading2"/>
    <w:uiPriority w:val="9"/>
    <w:rsid w:val="001F7566"/>
    <w:rPr>
      <w:rFonts w:ascii="Arial" w:eastAsiaTheme="majorEastAsia" w:hAnsi="Arial" w:cstheme="majorBidi"/>
      <w:b/>
      <w:bCs/>
      <w:sz w:val="28"/>
      <w:szCs w:val="26"/>
    </w:rPr>
  </w:style>
  <w:style w:type="table" w:styleId="TableGrid">
    <w:name w:val="Table Grid"/>
    <w:basedOn w:val="TableNormal"/>
    <w:uiPriority w:val="59"/>
    <w:rsid w:val="00002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B3D4F"/>
    <w:rPr>
      <w:rFonts w:ascii="Arial" w:eastAsiaTheme="majorEastAsia" w:hAnsi="Arial" w:cstheme="majorBidi"/>
      <w:b/>
      <w:bCs/>
      <w:sz w:val="24"/>
    </w:rPr>
  </w:style>
  <w:style w:type="paragraph" w:styleId="NoSpacing">
    <w:name w:val="No Spacing"/>
    <w:uiPriority w:val="1"/>
    <w:qFormat/>
    <w:rsid w:val="00C32A13"/>
    <w:pPr>
      <w:spacing w:after="0" w:line="240" w:lineRule="auto"/>
    </w:pPr>
    <w:rPr>
      <w:sz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17A98"/>
    <w:pPr>
      <w:ind w:left="720"/>
      <w:contextualSpacing/>
    </w:pPr>
  </w:style>
  <w:style w:type="paragraph" w:styleId="NormalWeb">
    <w:name w:val="Normal (Web)"/>
    <w:basedOn w:val="Normal"/>
    <w:uiPriority w:val="99"/>
    <w:semiHidden/>
    <w:unhideWhenUsed/>
    <w:rsid w:val="00D43218"/>
    <w:pPr>
      <w:spacing w:before="100" w:beforeAutospacing="1" w:after="100" w:afterAutospacing="1"/>
    </w:pPr>
    <w:rPr>
      <w:rFonts w:ascii="Times New Roman" w:eastAsia="Times New Roman" w:hAnsi="Times New Roman" w:cs="Times New Roman"/>
      <w:szCs w:val="24"/>
      <w:lang w:eastAsia="en-GB"/>
    </w:rPr>
  </w:style>
  <w:style w:type="character" w:styleId="FollowedHyperlink">
    <w:name w:val="FollowedHyperlink"/>
    <w:basedOn w:val="DefaultParagraphFont"/>
    <w:uiPriority w:val="99"/>
    <w:semiHidden/>
    <w:unhideWhenUsed/>
    <w:rsid w:val="004A05B9"/>
    <w:rPr>
      <w:color w:val="800080" w:themeColor="followedHyperlink"/>
      <w:u w:val="single"/>
    </w:rPr>
  </w:style>
  <w:style w:type="paragraph" w:styleId="TOC4">
    <w:name w:val="toc 4"/>
    <w:basedOn w:val="Normal"/>
    <w:next w:val="Normal"/>
    <w:autoRedefine/>
    <w:uiPriority w:val="39"/>
    <w:unhideWhenUsed/>
    <w:rsid w:val="005466A2"/>
    <w:pPr>
      <w:spacing w:after="100"/>
      <w:ind w:left="660"/>
    </w:pPr>
  </w:style>
  <w:style w:type="character" w:customStyle="1" w:styleId="apple-converted-space">
    <w:name w:val="apple-converted-space"/>
    <w:basedOn w:val="DefaultParagraphFont"/>
    <w:rsid w:val="00F3561C"/>
  </w:style>
  <w:style w:type="character" w:styleId="Emphasis">
    <w:name w:val="Emphasis"/>
    <w:basedOn w:val="DefaultParagraphFont"/>
    <w:uiPriority w:val="20"/>
    <w:qFormat/>
    <w:rsid w:val="00F3561C"/>
    <w:rPr>
      <w:i/>
      <w:iCs/>
    </w:rPr>
  </w:style>
  <w:style w:type="paragraph" w:styleId="Header">
    <w:name w:val="header"/>
    <w:basedOn w:val="Normal"/>
    <w:link w:val="HeaderChar"/>
    <w:uiPriority w:val="99"/>
    <w:unhideWhenUsed/>
    <w:rsid w:val="002373BE"/>
    <w:pPr>
      <w:tabs>
        <w:tab w:val="center" w:pos="4513"/>
        <w:tab w:val="right" w:pos="9026"/>
      </w:tabs>
    </w:pPr>
  </w:style>
  <w:style w:type="character" w:customStyle="1" w:styleId="HeaderChar">
    <w:name w:val="Header Char"/>
    <w:basedOn w:val="DefaultParagraphFont"/>
    <w:link w:val="Header"/>
    <w:uiPriority w:val="99"/>
    <w:rsid w:val="002373BE"/>
  </w:style>
  <w:style w:type="paragraph" w:styleId="Footer">
    <w:name w:val="footer"/>
    <w:basedOn w:val="Normal"/>
    <w:link w:val="FooterChar"/>
    <w:uiPriority w:val="99"/>
    <w:unhideWhenUsed/>
    <w:rsid w:val="002373BE"/>
    <w:pPr>
      <w:tabs>
        <w:tab w:val="center" w:pos="4513"/>
        <w:tab w:val="right" w:pos="9026"/>
      </w:tabs>
    </w:pPr>
  </w:style>
  <w:style w:type="character" w:customStyle="1" w:styleId="FooterChar">
    <w:name w:val="Footer Char"/>
    <w:basedOn w:val="DefaultParagraphFont"/>
    <w:link w:val="Footer"/>
    <w:uiPriority w:val="99"/>
    <w:rsid w:val="002373BE"/>
  </w:style>
  <w:style w:type="paragraph" w:styleId="CommentText">
    <w:name w:val="annotation text"/>
    <w:basedOn w:val="Normal"/>
    <w:link w:val="CommentTextChar"/>
    <w:uiPriority w:val="99"/>
    <w:semiHidden/>
    <w:unhideWhenUsed/>
    <w:rsid w:val="00402FD3"/>
    <w:rPr>
      <w:sz w:val="20"/>
      <w:szCs w:val="20"/>
    </w:rPr>
  </w:style>
  <w:style w:type="character" w:customStyle="1" w:styleId="CommentTextChar">
    <w:name w:val="Comment Text Char"/>
    <w:basedOn w:val="DefaultParagraphFont"/>
    <w:link w:val="CommentText"/>
    <w:uiPriority w:val="99"/>
    <w:semiHidden/>
    <w:rsid w:val="00402FD3"/>
    <w:rPr>
      <w:sz w:val="20"/>
      <w:szCs w:val="20"/>
    </w:rPr>
  </w:style>
  <w:style w:type="paragraph" w:customStyle="1" w:styleId="Default">
    <w:name w:val="Default"/>
    <w:rsid w:val="00781AD0"/>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A42755"/>
    <w:rPr>
      <w:b/>
      <w:bCs/>
    </w:rPr>
  </w:style>
  <w:style w:type="character" w:customStyle="1" w:styleId="Heading4Char">
    <w:name w:val="Heading 4 Char"/>
    <w:basedOn w:val="DefaultParagraphFont"/>
    <w:link w:val="Heading4"/>
    <w:uiPriority w:val="9"/>
    <w:rsid w:val="00533E6B"/>
    <w:rPr>
      <w:rFonts w:ascii="Arial" w:hAnsi="Arial"/>
      <w:sz w:val="24"/>
    </w:rPr>
  </w:style>
  <w:style w:type="character" w:customStyle="1" w:styleId="Heading5Char">
    <w:name w:val="Heading 5 Char"/>
    <w:basedOn w:val="DefaultParagraphFont"/>
    <w:link w:val="Heading5"/>
    <w:uiPriority w:val="9"/>
    <w:rsid w:val="002035C6"/>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2035C6"/>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2035C6"/>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2035C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035C6"/>
    <w:rPr>
      <w:rFonts w:asciiTheme="majorHAnsi" w:eastAsiaTheme="majorEastAsia" w:hAnsiTheme="majorHAnsi" w:cstheme="majorBidi"/>
      <w:i/>
      <w:iCs/>
      <w:color w:val="404040" w:themeColor="text1" w:themeTint="BF"/>
      <w:sz w:val="20"/>
      <w:szCs w:val="20"/>
    </w:rPr>
  </w:style>
  <w:style w:type="character" w:customStyle="1" w:styleId="intro1">
    <w:name w:val="intro1"/>
    <w:basedOn w:val="DefaultParagraphFont"/>
    <w:rsid w:val="00F51126"/>
    <w:rPr>
      <w:sz w:val="29"/>
      <w:szCs w:val="29"/>
    </w:rPr>
  </w:style>
  <w:style w:type="character" w:styleId="CommentReference">
    <w:name w:val="annotation reference"/>
    <w:basedOn w:val="DefaultParagraphFont"/>
    <w:uiPriority w:val="99"/>
    <w:semiHidden/>
    <w:unhideWhenUsed/>
    <w:rsid w:val="00A32B4A"/>
    <w:rPr>
      <w:sz w:val="16"/>
      <w:szCs w:val="16"/>
    </w:rPr>
  </w:style>
  <w:style w:type="paragraph" w:styleId="CommentSubject">
    <w:name w:val="annotation subject"/>
    <w:basedOn w:val="CommentText"/>
    <w:next w:val="CommentText"/>
    <w:link w:val="CommentSubjectChar"/>
    <w:uiPriority w:val="99"/>
    <w:semiHidden/>
    <w:unhideWhenUsed/>
    <w:rsid w:val="00A32B4A"/>
    <w:rPr>
      <w:b/>
      <w:bCs/>
    </w:rPr>
  </w:style>
  <w:style w:type="character" w:customStyle="1" w:styleId="CommentSubjectChar">
    <w:name w:val="Comment Subject Char"/>
    <w:basedOn w:val="CommentTextChar"/>
    <w:link w:val="CommentSubject"/>
    <w:uiPriority w:val="99"/>
    <w:semiHidden/>
    <w:rsid w:val="00A32B4A"/>
    <w:rPr>
      <w:b/>
      <w:bCs/>
      <w:sz w:val="20"/>
      <w:szCs w:val="20"/>
    </w:rPr>
  </w:style>
  <w:style w:type="paragraph" w:styleId="TOC5">
    <w:name w:val="toc 5"/>
    <w:basedOn w:val="Normal"/>
    <w:next w:val="Normal"/>
    <w:autoRedefine/>
    <w:uiPriority w:val="39"/>
    <w:unhideWhenUsed/>
    <w:rsid w:val="0095426C"/>
    <w:pPr>
      <w:spacing w:after="100" w:line="259" w:lineRule="auto"/>
      <w:ind w:left="880"/>
    </w:pPr>
    <w:rPr>
      <w:rFonts w:eastAsiaTheme="minorEastAsia"/>
      <w:lang w:eastAsia="en-GB"/>
    </w:rPr>
  </w:style>
  <w:style w:type="paragraph" w:styleId="TOC6">
    <w:name w:val="toc 6"/>
    <w:basedOn w:val="Normal"/>
    <w:next w:val="Normal"/>
    <w:autoRedefine/>
    <w:uiPriority w:val="39"/>
    <w:unhideWhenUsed/>
    <w:rsid w:val="0095426C"/>
    <w:pPr>
      <w:spacing w:after="100" w:line="259" w:lineRule="auto"/>
      <w:ind w:left="1100"/>
    </w:pPr>
    <w:rPr>
      <w:rFonts w:eastAsiaTheme="minorEastAsia"/>
      <w:lang w:eastAsia="en-GB"/>
    </w:rPr>
  </w:style>
  <w:style w:type="paragraph" w:styleId="TOC7">
    <w:name w:val="toc 7"/>
    <w:basedOn w:val="Normal"/>
    <w:next w:val="Normal"/>
    <w:autoRedefine/>
    <w:uiPriority w:val="39"/>
    <w:unhideWhenUsed/>
    <w:rsid w:val="0095426C"/>
    <w:pPr>
      <w:spacing w:after="100" w:line="259" w:lineRule="auto"/>
      <w:ind w:left="1320"/>
    </w:pPr>
    <w:rPr>
      <w:rFonts w:eastAsiaTheme="minorEastAsia"/>
      <w:lang w:eastAsia="en-GB"/>
    </w:rPr>
  </w:style>
  <w:style w:type="paragraph" w:styleId="TOC8">
    <w:name w:val="toc 8"/>
    <w:basedOn w:val="Normal"/>
    <w:next w:val="Normal"/>
    <w:autoRedefine/>
    <w:uiPriority w:val="39"/>
    <w:unhideWhenUsed/>
    <w:rsid w:val="0095426C"/>
    <w:pPr>
      <w:spacing w:after="100" w:line="259" w:lineRule="auto"/>
      <w:ind w:left="1540"/>
    </w:pPr>
    <w:rPr>
      <w:rFonts w:eastAsiaTheme="minorEastAsia"/>
      <w:lang w:eastAsia="en-GB"/>
    </w:rPr>
  </w:style>
  <w:style w:type="paragraph" w:styleId="TOC9">
    <w:name w:val="toc 9"/>
    <w:basedOn w:val="Normal"/>
    <w:next w:val="Normal"/>
    <w:autoRedefine/>
    <w:uiPriority w:val="39"/>
    <w:unhideWhenUsed/>
    <w:rsid w:val="0095426C"/>
    <w:pPr>
      <w:spacing w:after="100" w:line="259" w:lineRule="auto"/>
      <w:ind w:left="1760"/>
    </w:pPr>
    <w:rPr>
      <w:rFonts w:eastAsiaTheme="minorEastAsia"/>
      <w:lang w:eastAsia="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45544E"/>
    <w:rPr>
      <w:rFonts w:ascii="Arial" w:hAnsi="Arial"/>
      <w:sz w:val="24"/>
    </w:rPr>
  </w:style>
  <w:style w:type="table" w:customStyle="1" w:styleId="TableGrid11">
    <w:name w:val="Table Grid11"/>
    <w:basedOn w:val="TableNormal"/>
    <w:next w:val="TableGrid"/>
    <w:uiPriority w:val="39"/>
    <w:rsid w:val="00E01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C0050"/>
    <w:rPr>
      <w:sz w:val="20"/>
      <w:szCs w:val="20"/>
    </w:rPr>
  </w:style>
  <w:style w:type="character" w:customStyle="1" w:styleId="FootnoteTextChar">
    <w:name w:val="Footnote Text Char"/>
    <w:basedOn w:val="DefaultParagraphFont"/>
    <w:link w:val="FootnoteText"/>
    <w:uiPriority w:val="99"/>
    <w:semiHidden/>
    <w:rsid w:val="000C0050"/>
    <w:rPr>
      <w:rFonts w:ascii="Arial" w:hAnsi="Arial"/>
      <w:sz w:val="20"/>
      <w:szCs w:val="20"/>
    </w:rPr>
  </w:style>
  <w:style w:type="character" w:styleId="FootnoteReference">
    <w:name w:val="footnote reference"/>
    <w:basedOn w:val="DefaultParagraphFont"/>
    <w:uiPriority w:val="99"/>
    <w:semiHidden/>
    <w:unhideWhenUsed/>
    <w:rsid w:val="000C0050"/>
    <w:rPr>
      <w:vertAlign w:val="superscript"/>
    </w:rPr>
  </w:style>
  <w:style w:type="paragraph" w:customStyle="1" w:styleId="Outline7">
    <w:name w:val="Outline7"/>
    <w:basedOn w:val="Normal"/>
    <w:next w:val="Normal"/>
    <w:rsid w:val="00B518BD"/>
    <w:pPr>
      <w:spacing w:after="240"/>
      <w:ind w:left="720"/>
    </w:pPr>
    <w:rPr>
      <w:rFonts w:eastAsia="Times New Roman" w:cs="Times New Roman"/>
      <w:kern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6752">
      <w:bodyDiv w:val="1"/>
      <w:marLeft w:val="0"/>
      <w:marRight w:val="0"/>
      <w:marTop w:val="0"/>
      <w:marBottom w:val="0"/>
      <w:divBdr>
        <w:top w:val="none" w:sz="0" w:space="0" w:color="auto"/>
        <w:left w:val="none" w:sz="0" w:space="0" w:color="auto"/>
        <w:bottom w:val="none" w:sz="0" w:space="0" w:color="auto"/>
        <w:right w:val="none" w:sz="0" w:space="0" w:color="auto"/>
      </w:divBdr>
    </w:div>
    <w:div w:id="9911418">
      <w:bodyDiv w:val="1"/>
      <w:marLeft w:val="0"/>
      <w:marRight w:val="0"/>
      <w:marTop w:val="0"/>
      <w:marBottom w:val="0"/>
      <w:divBdr>
        <w:top w:val="none" w:sz="0" w:space="0" w:color="auto"/>
        <w:left w:val="none" w:sz="0" w:space="0" w:color="auto"/>
        <w:bottom w:val="none" w:sz="0" w:space="0" w:color="auto"/>
        <w:right w:val="none" w:sz="0" w:space="0" w:color="auto"/>
      </w:divBdr>
    </w:div>
    <w:div w:id="23403988">
      <w:bodyDiv w:val="1"/>
      <w:marLeft w:val="0"/>
      <w:marRight w:val="0"/>
      <w:marTop w:val="0"/>
      <w:marBottom w:val="0"/>
      <w:divBdr>
        <w:top w:val="none" w:sz="0" w:space="0" w:color="auto"/>
        <w:left w:val="none" w:sz="0" w:space="0" w:color="auto"/>
        <w:bottom w:val="none" w:sz="0" w:space="0" w:color="auto"/>
        <w:right w:val="none" w:sz="0" w:space="0" w:color="auto"/>
      </w:divBdr>
    </w:div>
    <w:div w:id="42600488">
      <w:bodyDiv w:val="1"/>
      <w:marLeft w:val="0"/>
      <w:marRight w:val="0"/>
      <w:marTop w:val="0"/>
      <w:marBottom w:val="0"/>
      <w:divBdr>
        <w:top w:val="none" w:sz="0" w:space="0" w:color="auto"/>
        <w:left w:val="none" w:sz="0" w:space="0" w:color="auto"/>
        <w:bottom w:val="none" w:sz="0" w:space="0" w:color="auto"/>
        <w:right w:val="none" w:sz="0" w:space="0" w:color="auto"/>
      </w:divBdr>
    </w:div>
    <w:div w:id="60909764">
      <w:bodyDiv w:val="1"/>
      <w:marLeft w:val="0"/>
      <w:marRight w:val="0"/>
      <w:marTop w:val="0"/>
      <w:marBottom w:val="0"/>
      <w:divBdr>
        <w:top w:val="none" w:sz="0" w:space="0" w:color="auto"/>
        <w:left w:val="none" w:sz="0" w:space="0" w:color="auto"/>
        <w:bottom w:val="none" w:sz="0" w:space="0" w:color="auto"/>
        <w:right w:val="none" w:sz="0" w:space="0" w:color="auto"/>
      </w:divBdr>
    </w:div>
    <w:div w:id="85735328">
      <w:bodyDiv w:val="1"/>
      <w:marLeft w:val="0"/>
      <w:marRight w:val="0"/>
      <w:marTop w:val="0"/>
      <w:marBottom w:val="0"/>
      <w:divBdr>
        <w:top w:val="none" w:sz="0" w:space="0" w:color="auto"/>
        <w:left w:val="none" w:sz="0" w:space="0" w:color="auto"/>
        <w:bottom w:val="none" w:sz="0" w:space="0" w:color="auto"/>
        <w:right w:val="none" w:sz="0" w:space="0" w:color="auto"/>
      </w:divBdr>
    </w:div>
    <w:div w:id="86005065">
      <w:bodyDiv w:val="1"/>
      <w:marLeft w:val="0"/>
      <w:marRight w:val="0"/>
      <w:marTop w:val="0"/>
      <w:marBottom w:val="0"/>
      <w:divBdr>
        <w:top w:val="none" w:sz="0" w:space="0" w:color="auto"/>
        <w:left w:val="none" w:sz="0" w:space="0" w:color="auto"/>
        <w:bottom w:val="none" w:sz="0" w:space="0" w:color="auto"/>
        <w:right w:val="none" w:sz="0" w:space="0" w:color="auto"/>
      </w:divBdr>
    </w:div>
    <w:div w:id="86656894">
      <w:bodyDiv w:val="1"/>
      <w:marLeft w:val="0"/>
      <w:marRight w:val="0"/>
      <w:marTop w:val="0"/>
      <w:marBottom w:val="0"/>
      <w:divBdr>
        <w:top w:val="none" w:sz="0" w:space="0" w:color="auto"/>
        <w:left w:val="none" w:sz="0" w:space="0" w:color="auto"/>
        <w:bottom w:val="none" w:sz="0" w:space="0" w:color="auto"/>
        <w:right w:val="none" w:sz="0" w:space="0" w:color="auto"/>
      </w:divBdr>
    </w:div>
    <w:div w:id="128401167">
      <w:bodyDiv w:val="1"/>
      <w:marLeft w:val="0"/>
      <w:marRight w:val="0"/>
      <w:marTop w:val="0"/>
      <w:marBottom w:val="0"/>
      <w:divBdr>
        <w:top w:val="none" w:sz="0" w:space="0" w:color="auto"/>
        <w:left w:val="none" w:sz="0" w:space="0" w:color="auto"/>
        <w:bottom w:val="none" w:sz="0" w:space="0" w:color="auto"/>
        <w:right w:val="none" w:sz="0" w:space="0" w:color="auto"/>
      </w:divBdr>
    </w:div>
    <w:div w:id="138346964">
      <w:bodyDiv w:val="1"/>
      <w:marLeft w:val="0"/>
      <w:marRight w:val="0"/>
      <w:marTop w:val="0"/>
      <w:marBottom w:val="0"/>
      <w:divBdr>
        <w:top w:val="none" w:sz="0" w:space="0" w:color="auto"/>
        <w:left w:val="none" w:sz="0" w:space="0" w:color="auto"/>
        <w:bottom w:val="none" w:sz="0" w:space="0" w:color="auto"/>
        <w:right w:val="none" w:sz="0" w:space="0" w:color="auto"/>
      </w:divBdr>
    </w:div>
    <w:div w:id="145516060">
      <w:bodyDiv w:val="1"/>
      <w:marLeft w:val="0"/>
      <w:marRight w:val="0"/>
      <w:marTop w:val="0"/>
      <w:marBottom w:val="0"/>
      <w:divBdr>
        <w:top w:val="none" w:sz="0" w:space="0" w:color="auto"/>
        <w:left w:val="none" w:sz="0" w:space="0" w:color="auto"/>
        <w:bottom w:val="none" w:sz="0" w:space="0" w:color="auto"/>
        <w:right w:val="none" w:sz="0" w:space="0" w:color="auto"/>
      </w:divBdr>
    </w:div>
    <w:div w:id="160585647">
      <w:bodyDiv w:val="1"/>
      <w:marLeft w:val="0"/>
      <w:marRight w:val="0"/>
      <w:marTop w:val="0"/>
      <w:marBottom w:val="0"/>
      <w:divBdr>
        <w:top w:val="none" w:sz="0" w:space="0" w:color="auto"/>
        <w:left w:val="none" w:sz="0" w:space="0" w:color="auto"/>
        <w:bottom w:val="none" w:sz="0" w:space="0" w:color="auto"/>
        <w:right w:val="none" w:sz="0" w:space="0" w:color="auto"/>
      </w:divBdr>
    </w:div>
    <w:div w:id="238633190">
      <w:bodyDiv w:val="1"/>
      <w:marLeft w:val="0"/>
      <w:marRight w:val="0"/>
      <w:marTop w:val="0"/>
      <w:marBottom w:val="0"/>
      <w:divBdr>
        <w:top w:val="none" w:sz="0" w:space="0" w:color="auto"/>
        <w:left w:val="none" w:sz="0" w:space="0" w:color="auto"/>
        <w:bottom w:val="none" w:sz="0" w:space="0" w:color="auto"/>
        <w:right w:val="none" w:sz="0" w:space="0" w:color="auto"/>
      </w:divBdr>
    </w:div>
    <w:div w:id="245463858">
      <w:bodyDiv w:val="1"/>
      <w:marLeft w:val="0"/>
      <w:marRight w:val="0"/>
      <w:marTop w:val="0"/>
      <w:marBottom w:val="0"/>
      <w:divBdr>
        <w:top w:val="none" w:sz="0" w:space="0" w:color="auto"/>
        <w:left w:val="none" w:sz="0" w:space="0" w:color="auto"/>
        <w:bottom w:val="none" w:sz="0" w:space="0" w:color="auto"/>
        <w:right w:val="none" w:sz="0" w:space="0" w:color="auto"/>
      </w:divBdr>
    </w:div>
    <w:div w:id="247732953">
      <w:bodyDiv w:val="1"/>
      <w:marLeft w:val="0"/>
      <w:marRight w:val="0"/>
      <w:marTop w:val="0"/>
      <w:marBottom w:val="0"/>
      <w:divBdr>
        <w:top w:val="none" w:sz="0" w:space="0" w:color="auto"/>
        <w:left w:val="none" w:sz="0" w:space="0" w:color="auto"/>
        <w:bottom w:val="none" w:sz="0" w:space="0" w:color="auto"/>
        <w:right w:val="none" w:sz="0" w:space="0" w:color="auto"/>
      </w:divBdr>
    </w:div>
    <w:div w:id="264192260">
      <w:bodyDiv w:val="1"/>
      <w:marLeft w:val="0"/>
      <w:marRight w:val="0"/>
      <w:marTop w:val="0"/>
      <w:marBottom w:val="0"/>
      <w:divBdr>
        <w:top w:val="none" w:sz="0" w:space="0" w:color="auto"/>
        <w:left w:val="none" w:sz="0" w:space="0" w:color="auto"/>
        <w:bottom w:val="none" w:sz="0" w:space="0" w:color="auto"/>
        <w:right w:val="none" w:sz="0" w:space="0" w:color="auto"/>
      </w:divBdr>
    </w:div>
    <w:div w:id="264727996">
      <w:bodyDiv w:val="1"/>
      <w:marLeft w:val="0"/>
      <w:marRight w:val="0"/>
      <w:marTop w:val="0"/>
      <w:marBottom w:val="0"/>
      <w:divBdr>
        <w:top w:val="none" w:sz="0" w:space="0" w:color="auto"/>
        <w:left w:val="none" w:sz="0" w:space="0" w:color="auto"/>
        <w:bottom w:val="none" w:sz="0" w:space="0" w:color="auto"/>
        <w:right w:val="none" w:sz="0" w:space="0" w:color="auto"/>
      </w:divBdr>
    </w:div>
    <w:div w:id="292568094">
      <w:bodyDiv w:val="1"/>
      <w:marLeft w:val="0"/>
      <w:marRight w:val="0"/>
      <w:marTop w:val="0"/>
      <w:marBottom w:val="0"/>
      <w:divBdr>
        <w:top w:val="none" w:sz="0" w:space="0" w:color="auto"/>
        <w:left w:val="none" w:sz="0" w:space="0" w:color="auto"/>
        <w:bottom w:val="none" w:sz="0" w:space="0" w:color="auto"/>
        <w:right w:val="none" w:sz="0" w:space="0" w:color="auto"/>
      </w:divBdr>
    </w:div>
    <w:div w:id="351151423">
      <w:bodyDiv w:val="1"/>
      <w:marLeft w:val="0"/>
      <w:marRight w:val="0"/>
      <w:marTop w:val="0"/>
      <w:marBottom w:val="0"/>
      <w:divBdr>
        <w:top w:val="none" w:sz="0" w:space="0" w:color="auto"/>
        <w:left w:val="none" w:sz="0" w:space="0" w:color="auto"/>
        <w:bottom w:val="none" w:sz="0" w:space="0" w:color="auto"/>
        <w:right w:val="none" w:sz="0" w:space="0" w:color="auto"/>
      </w:divBdr>
    </w:div>
    <w:div w:id="377245205">
      <w:bodyDiv w:val="1"/>
      <w:marLeft w:val="0"/>
      <w:marRight w:val="0"/>
      <w:marTop w:val="0"/>
      <w:marBottom w:val="0"/>
      <w:divBdr>
        <w:top w:val="none" w:sz="0" w:space="0" w:color="auto"/>
        <w:left w:val="none" w:sz="0" w:space="0" w:color="auto"/>
        <w:bottom w:val="none" w:sz="0" w:space="0" w:color="auto"/>
        <w:right w:val="none" w:sz="0" w:space="0" w:color="auto"/>
      </w:divBdr>
    </w:div>
    <w:div w:id="402795899">
      <w:bodyDiv w:val="1"/>
      <w:marLeft w:val="0"/>
      <w:marRight w:val="0"/>
      <w:marTop w:val="0"/>
      <w:marBottom w:val="0"/>
      <w:divBdr>
        <w:top w:val="none" w:sz="0" w:space="0" w:color="auto"/>
        <w:left w:val="none" w:sz="0" w:space="0" w:color="auto"/>
        <w:bottom w:val="none" w:sz="0" w:space="0" w:color="auto"/>
        <w:right w:val="none" w:sz="0" w:space="0" w:color="auto"/>
      </w:divBdr>
    </w:div>
    <w:div w:id="445270536">
      <w:bodyDiv w:val="1"/>
      <w:marLeft w:val="0"/>
      <w:marRight w:val="0"/>
      <w:marTop w:val="0"/>
      <w:marBottom w:val="0"/>
      <w:divBdr>
        <w:top w:val="none" w:sz="0" w:space="0" w:color="auto"/>
        <w:left w:val="none" w:sz="0" w:space="0" w:color="auto"/>
        <w:bottom w:val="none" w:sz="0" w:space="0" w:color="auto"/>
        <w:right w:val="none" w:sz="0" w:space="0" w:color="auto"/>
      </w:divBdr>
    </w:div>
    <w:div w:id="498890566">
      <w:bodyDiv w:val="1"/>
      <w:marLeft w:val="0"/>
      <w:marRight w:val="0"/>
      <w:marTop w:val="0"/>
      <w:marBottom w:val="0"/>
      <w:divBdr>
        <w:top w:val="none" w:sz="0" w:space="0" w:color="auto"/>
        <w:left w:val="none" w:sz="0" w:space="0" w:color="auto"/>
        <w:bottom w:val="none" w:sz="0" w:space="0" w:color="auto"/>
        <w:right w:val="none" w:sz="0" w:space="0" w:color="auto"/>
      </w:divBdr>
    </w:div>
    <w:div w:id="502932621">
      <w:bodyDiv w:val="1"/>
      <w:marLeft w:val="0"/>
      <w:marRight w:val="0"/>
      <w:marTop w:val="0"/>
      <w:marBottom w:val="0"/>
      <w:divBdr>
        <w:top w:val="none" w:sz="0" w:space="0" w:color="auto"/>
        <w:left w:val="none" w:sz="0" w:space="0" w:color="auto"/>
        <w:bottom w:val="none" w:sz="0" w:space="0" w:color="auto"/>
        <w:right w:val="none" w:sz="0" w:space="0" w:color="auto"/>
      </w:divBdr>
    </w:div>
    <w:div w:id="517306430">
      <w:bodyDiv w:val="1"/>
      <w:marLeft w:val="0"/>
      <w:marRight w:val="0"/>
      <w:marTop w:val="0"/>
      <w:marBottom w:val="0"/>
      <w:divBdr>
        <w:top w:val="none" w:sz="0" w:space="0" w:color="auto"/>
        <w:left w:val="none" w:sz="0" w:space="0" w:color="auto"/>
        <w:bottom w:val="none" w:sz="0" w:space="0" w:color="auto"/>
        <w:right w:val="none" w:sz="0" w:space="0" w:color="auto"/>
      </w:divBdr>
    </w:div>
    <w:div w:id="553008970">
      <w:bodyDiv w:val="1"/>
      <w:marLeft w:val="0"/>
      <w:marRight w:val="0"/>
      <w:marTop w:val="0"/>
      <w:marBottom w:val="0"/>
      <w:divBdr>
        <w:top w:val="none" w:sz="0" w:space="0" w:color="auto"/>
        <w:left w:val="none" w:sz="0" w:space="0" w:color="auto"/>
        <w:bottom w:val="none" w:sz="0" w:space="0" w:color="auto"/>
        <w:right w:val="none" w:sz="0" w:space="0" w:color="auto"/>
      </w:divBdr>
    </w:div>
    <w:div w:id="570890479">
      <w:bodyDiv w:val="1"/>
      <w:marLeft w:val="0"/>
      <w:marRight w:val="0"/>
      <w:marTop w:val="0"/>
      <w:marBottom w:val="0"/>
      <w:divBdr>
        <w:top w:val="none" w:sz="0" w:space="0" w:color="auto"/>
        <w:left w:val="none" w:sz="0" w:space="0" w:color="auto"/>
        <w:bottom w:val="none" w:sz="0" w:space="0" w:color="auto"/>
        <w:right w:val="none" w:sz="0" w:space="0" w:color="auto"/>
      </w:divBdr>
    </w:div>
    <w:div w:id="578296771">
      <w:bodyDiv w:val="1"/>
      <w:marLeft w:val="0"/>
      <w:marRight w:val="0"/>
      <w:marTop w:val="0"/>
      <w:marBottom w:val="0"/>
      <w:divBdr>
        <w:top w:val="none" w:sz="0" w:space="0" w:color="auto"/>
        <w:left w:val="none" w:sz="0" w:space="0" w:color="auto"/>
        <w:bottom w:val="none" w:sz="0" w:space="0" w:color="auto"/>
        <w:right w:val="none" w:sz="0" w:space="0" w:color="auto"/>
      </w:divBdr>
    </w:div>
    <w:div w:id="589510078">
      <w:bodyDiv w:val="1"/>
      <w:marLeft w:val="0"/>
      <w:marRight w:val="0"/>
      <w:marTop w:val="0"/>
      <w:marBottom w:val="0"/>
      <w:divBdr>
        <w:top w:val="none" w:sz="0" w:space="0" w:color="auto"/>
        <w:left w:val="none" w:sz="0" w:space="0" w:color="auto"/>
        <w:bottom w:val="none" w:sz="0" w:space="0" w:color="auto"/>
        <w:right w:val="none" w:sz="0" w:space="0" w:color="auto"/>
      </w:divBdr>
    </w:div>
    <w:div w:id="597057781">
      <w:bodyDiv w:val="1"/>
      <w:marLeft w:val="0"/>
      <w:marRight w:val="0"/>
      <w:marTop w:val="0"/>
      <w:marBottom w:val="0"/>
      <w:divBdr>
        <w:top w:val="none" w:sz="0" w:space="0" w:color="auto"/>
        <w:left w:val="none" w:sz="0" w:space="0" w:color="auto"/>
        <w:bottom w:val="none" w:sz="0" w:space="0" w:color="auto"/>
        <w:right w:val="none" w:sz="0" w:space="0" w:color="auto"/>
      </w:divBdr>
    </w:div>
    <w:div w:id="629435993">
      <w:bodyDiv w:val="1"/>
      <w:marLeft w:val="0"/>
      <w:marRight w:val="0"/>
      <w:marTop w:val="0"/>
      <w:marBottom w:val="0"/>
      <w:divBdr>
        <w:top w:val="none" w:sz="0" w:space="0" w:color="auto"/>
        <w:left w:val="none" w:sz="0" w:space="0" w:color="auto"/>
        <w:bottom w:val="none" w:sz="0" w:space="0" w:color="auto"/>
        <w:right w:val="none" w:sz="0" w:space="0" w:color="auto"/>
      </w:divBdr>
    </w:div>
    <w:div w:id="651980712">
      <w:bodyDiv w:val="1"/>
      <w:marLeft w:val="0"/>
      <w:marRight w:val="0"/>
      <w:marTop w:val="0"/>
      <w:marBottom w:val="0"/>
      <w:divBdr>
        <w:top w:val="none" w:sz="0" w:space="0" w:color="auto"/>
        <w:left w:val="none" w:sz="0" w:space="0" w:color="auto"/>
        <w:bottom w:val="none" w:sz="0" w:space="0" w:color="auto"/>
        <w:right w:val="none" w:sz="0" w:space="0" w:color="auto"/>
      </w:divBdr>
    </w:div>
    <w:div w:id="685717523">
      <w:bodyDiv w:val="1"/>
      <w:marLeft w:val="0"/>
      <w:marRight w:val="0"/>
      <w:marTop w:val="0"/>
      <w:marBottom w:val="0"/>
      <w:divBdr>
        <w:top w:val="none" w:sz="0" w:space="0" w:color="auto"/>
        <w:left w:val="none" w:sz="0" w:space="0" w:color="auto"/>
        <w:bottom w:val="none" w:sz="0" w:space="0" w:color="auto"/>
        <w:right w:val="none" w:sz="0" w:space="0" w:color="auto"/>
      </w:divBdr>
    </w:div>
    <w:div w:id="723331806">
      <w:bodyDiv w:val="1"/>
      <w:marLeft w:val="0"/>
      <w:marRight w:val="0"/>
      <w:marTop w:val="0"/>
      <w:marBottom w:val="0"/>
      <w:divBdr>
        <w:top w:val="none" w:sz="0" w:space="0" w:color="auto"/>
        <w:left w:val="none" w:sz="0" w:space="0" w:color="auto"/>
        <w:bottom w:val="none" w:sz="0" w:space="0" w:color="auto"/>
        <w:right w:val="none" w:sz="0" w:space="0" w:color="auto"/>
      </w:divBdr>
    </w:div>
    <w:div w:id="801847615">
      <w:bodyDiv w:val="1"/>
      <w:marLeft w:val="0"/>
      <w:marRight w:val="0"/>
      <w:marTop w:val="0"/>
      <w:marBottom w:val="0"/>
      <w:divBdr>
        <w:top w:val="none" w:sz="0" w:space="0" w:color="auto"/>
        <w:left w:val="none" w:sz="0" w:space="0" w:color="auto"/>
        <w:bottom w:val="none" w:sz="0" w:space="0" w:color="auto"/>
        <w:right w:val="none" w:sz="0" w:space="0" w:color="auto"/>
      </w:divBdr>
    </w:div>
    <w:div w:id="852374684">
      <w:bodyDiv w:val="1"/>
      <w:marLeft w:val="0"/>
      <w:marRight w:val="0"/>
      <w:marTop w:val="0"/>
      <w:marBottom w:val="0"/>
      <w:divBdr>
        <w:top w:val="none" w:sz="0" w:space="0" w:color="auto"/>
        <w:left w:val="none" w:sz="0" w:space="0" w:color="auto"/>
        <w:bottom w:val="none" w:sz="0" w:space="0" w:color="auto"/>
        <w:right w:val="none" w:sz="0" w:space="0" w:color="auto"/>
      </w:divBdr>
    </w:div>
    <w:div w:id="869682568">
      <w:bodyDiv w:val="1"/>
      <w:marLeft w:val="0"/>
      <w:marRight w:val="0"/>
      <w:marTop w:val="0"/>
      <w:marBottom w:val="0"/>
      <w:divBdr>
        <w:top w:val="none" w:sz="0" w:space="0" w:color="auto"/>
        <w:left w:val="none" w:sz="0" w:space="0" w:color="auto"/>
        <w:bottom w:val="none" w:sz="0" w:space="0" w:color="auto"/>
        <w:right w:val="none" w:sz="0" w:space="0" w:color="auto"/>
      </w:divBdr>
    </w:div>
    <w:div w:id="875582056">
      <w:bodyDiv w:val="1"/>
      <w:marLeft w:val="0"/>
      <w:marRight w:val="0"/>
      <w:marTop w:val="0"/>
      <w:marBottom w:val="0"/>
      <w:divBdr>
        <w:top w:val="none" w:sz="0" w:space="0" w:color="auto"/>
        <w:left w:val="none" w:sz="0" w:space="0" w:color="auto"/>
        <w:bottom w:val="none" w:sz="0" w:space="0" w:color="auto"/>
        <w:right w:val="none" w:sz="0" w:space="0" w:color="auto"/>
      </w:divBdr>
    </w:div>
    <w:div w:id="883365315">
      <w:bodyDiv w:val="1"/>
      <w:marLeft w:val="0"/>
      <w:marRight w:val="0"/>
      <w:marTop w:val="0"/>
      <w:marBottom w:val="0"/>
      <w:divBdr>
        <w:top w:val="none" w:sz="0" w:space="0" w:color="auto"/>
        <w:left w:val="none" w:sz="0" w:space="0" w:color="auto"/>
        <w:bottom w:val="none" w:sz="0" w:space="0" w:color="auto"/>
        <w:right w:val="none" w:sz="0" w:space="0" w:color="auto"/>
      </w:divBdr>
    </w:div>
    <w:div w:id="899053108">
      <w:bodyDiv w:val="1"/>
      <w:marLeft w:val="0"/>
      <w:marRight w:val="0"/>
      <w:marTop w:val="0"/>
      <w:marBottom w:val="0"/>
      <w:divBdr>
        <w:top w:val="none" w:sz="0" w:space="0" w:color="auto"/>
        <w:left w:val="none" w:sz="0" w:space="0" w:color="auto"/>
        <w:bottom w:val="none" w:sz="0" w:space="0" w:color="auto"/>
        <w:right w:val="none" w:sz="0" w:space="0" w:color="auto"/>
      </w:divBdr>
    </w:div>
    <w:div w:id="914124391">
      <w:bodyDiv w:val="1"/>
      <w:marLeft w:val="0"/>
      <w:marRight w:val="0"/>
      <w:marTop w:val="0"/>
      <w:marBottom w:val="0"/>
      <w:divBdr>
        <w:top w:val="none" w:sz="0" w:space="0" w:color="auto"/>
        <w:left w:val="none" w:sz="0" w:space="0" w:color="auto"/>
        <w:bottom w:val="none" w:sz="0" w:space="0" w:color="auto"/>
        <w:right w:val="none" w:sz="0" w:space="0" w:color="auto"/>
      </w:divBdr>
    </w:div>
    <w:div w:id="936448244">
      <w:bodyDiv w:val="1"/>
      <w:marLeft w:val="0"/>
      <w:marRight w:val="0"/>
      <w:marTop w:val="0"/>
      <w:marBottom w:val="0"/>
      <w:divBdr>
        <w:top w:val="none" w:sz="0" w:space="0" w:color="auto"/>
        <w:left w:val="none" w:sz="0" w:space="0" w:color="auto"/>
        <w:bottom w:val="none" w:sz="0" w:space="0" w:color="auto"/>
        <w:right w:val="none" w:sz="0" w:space="0" w:color="auto"/>
      </w:divBdr>
    </w:div>
    <w:div w:id="983200227">
      <w:bodyDiv w:val="1"/>
      <w:marLeft w:val="0"/>
      <w:marRight w:val="0"/>
      <w:marTop w:val="0"/>
      <w:marBottom w:val="0"/>
      <w:divBdr>
        <w:top w:val="none" w:sz="0" w:space="0" w:color="auto"/>
        <w:left w:val="none" w:sz="0" w:space="0" w:color="auto"/>
        <w:bottom w:val="none" w:sz="0" w:space="0" w:color="auto"/>
        <w:right w:val="none" w:sz="0" w:space="0" w:color="auto"/>
      </w:divBdr>
    </w:div>
    <w:div w:id="1062362369">
      <w:bodyDiv w:val="1"/>
      <w:marLeft w:val="0"/>
      <w:marRight w:val="0"/>
      <w:marTop w:val="0"/>
      <w:marBottom w:val="0"/>
      <w:divBdr>
        <w:top w:val="none" w:sz="0" w:space="0" w:color="auto"/>
        <w:left w:val="none" w:sz="0" w:space="0" w:color="auto"/>
        <w:bottom w:val="none" w:sz="0" w:space="0" w:color="auto"/>
        <w:right w:val="none" w:sz="0" w:space="0" w:color="auto"/>
      </w:divBdr>
    </w:div>
    <w:div w:id="1074623661">
      <w:bodyDiv w:val="1"/>
      <w:marLeft w:val="0"/>
      <w:marRight w:val="0"/>
      <w:marTop w:val="0"/>
      <w:marBottom w:val="0"/>
      <w:divBdr>
        <w:top w:val="none" w:sz="0" w:space="0" w:color="auto"/>
        <w:left w:val="none" w:sz="0" w:space="0" w:color="auto"/>
        <w:bottom w:val="none" w:sz="0" w:space="0" w:color="auto"/>
        <w:right w:val="none" w:sz="0" w:space="0" w:color="auto"/>
      </w:divBdr>
    </w:div>
    <w:div w:id="1173689594">
      <w:bodyDiv w:val="1"/>
      <w:marLeft w:val="0"/>
      <w:marRight w:val="0"/>
      <w:marTop w:val="0"/>
      <w:marBottom w:val="0"/>
      <w:divBdr>
        <w:top w:val="none" w:sz="0" w:space="0" w:color="auto"/>
        <w:left w:val="none" w:sz="0" w:space="0" w:color="auto"/>
        <w:bottom w:val="none" w:sz="0" w:space="0" w:color="auto"/>
        <w:right w:val="none" w:sz="0" w:space="0" w:color="auto"/>
      </w:divBdr>
    </w:div>
    <w:div w:id="1210604373">
      <w:bodyDiv w:val="1"/>
      <w:marLeft w:val="0"/>
      <w:marRight w:val="0"/>
      <w:marTop w:val="0"/>
      <w:marBottom w:val="0"/>
      <w:divBdr>
        <w:top w:val="none" w:sz="0" w:space="0" w:color="auto"/>
        <w:left w:val="none" w:sz="0" w:space="0" w:color="auto"/>
        <w:bottom w:val="none" w:sz="0" w:space="0" w:color="auto"/>
        <w:right w:val="none" w:sz="0" w:space="0" w:color="auto"/>
      </w:divBdr>
    </w:div>
    <w:div w:id="1226574842">
      <w:bodyDiv w:val="1"/>
      <w:marLeft w:val="0"/>
      <w:marRight w:val="0"/>
      <w:marTop w:val="0"/>
      <w:marBottom w:val="0"/>
      <w:divBdr>
        <w:top w:val="none" w:sz="0" w:space="0" w:color="auto"/>
        <w:left w:val="none" w:sz="0" w:space="0" w:color="auto"/>
        <w:bottom w:val="none" w:sz="0" w:space="0" w:color="auto"/>
        <w:right w:val="none" w:sz="0" w:space="0" w:color="auto"/>
      </w:divBdr>
    </w:div>
    <w:div w:id="1226641734">
      <w:bodyDiv w:val="1"/>
      <w:marLeft w:val="0"/>
      <w:marRight w:val="0"/>
      <w:marTop w:val="0"/>
      <w:marBottom w:val="0"/>
      <w:divBdr>
        <w:top w:val="none" w:sz="0" w:space="0" w:color="auto"/>
        <w:left w:val="none" w:sz="0" w:space="0" w:color="auto"/>
        <w:bottom w:val="none" w:sz="0" w:space="0" w:color="auto"/>
        <w:right w:val="none" w:sz="0" w:space="0" w:color="auto"/>
      </w:divBdr>
    </w:div>
    <w:div w:id="1231694898">
      <w:bodyDiv w:val="1"/>
      <w:marLeft w:val="0"/>
      <w:marRight w:val="0"/>
      <w:marTop w:val="0"/>
      <w:marBottom w:val="0"/>
      <w:divBdr>
        <w:top w:val="none" w:sz="0" w:space="0" w:color="auto"/>
        <w:left w:val="none" w:sz="0" w:space="0" w:color="auto"/>
        <w:bottom w:val="none" w:sz="0" w:space="0" w:color="auto"/>
        <w:right w:val="none" w:sz="0" w:space="0" w:color="auto"/>
      </w:divBdr>
    </w:div>
    <w:div w:id="1233542046">
      <w:bodyDiv w:val="1"/>
      <w:marLeft w:val="0"/>
      <w:marRight w:val="0"/>
      <w:marTop w:val="0"/>
      <w:marBottom w:val="0"/>
      <w:divBdr>
        <w:top w:val="none" w:sz="0" w:space="0" w:color="auto"/>
        <w:left w:val="none" w:sz="0" w:space="0" w:color="auto"/>
        <w:bottom w:val="none" w:sz="0" w:space="0" w:color="auto"/>
        <w:right w:val="none" w:sz="0" w:space="0" w:color="auto"/>
      </w:divBdr>
    </w:div>
    <w:div w:id="1236357504">
      <w:bodyDiv w:val="1"/>
      <w:marLeft w:val="0"/>
      <w:marRight w:val="0"/>
      <w:marTop w:val="0"/>
      <w:marBottom w:val="0"/>
      <w:divBdr>
        <w:top w:val="none" w:sz="0" w:space="0" w:color="auto"/>
        <w:left w:val="none" w:sz="0" w:space="0" w:color="auto"/>
        <w:bottom w:val="none" w:sz="0" w:space="0" w:color="auto"/>
        <w:right w:val="none" w:sz="0" w:space="0" w:color="auto"/>
      </w:divBdr>
    </w:div>
    <w:div w:id="1253079615">
      <w:bodyDiv w:val="1"/>
      <w:marLeft w:val="0"/>
      <w:marRight w:val="0"/>
      <w:marTop w:val="0"/>
      <w:marBottom w:val="0"/>
      <w:divBdr>
        <w:top w:val="none" w:sz="0" w:space="0" w:color="auto"/>
        <w:left w:val="none" w:sz="0" w:space="0" w:color="auto"/>
        <w:bottom w:val="none" w:sz="0" w:space="0" w:color="auto"/>
        <w:right w:val="none" w:sz="0" w:space="0" w:color="auto"/>
      </w:divBdr>
    </w:div>
    <w:div w:id="1263994596">
      <w:bodyDiv w:val="1"/>
      <w:marLeft w:val="0"/>
      <w:marRight w:val="0"/>
      <w:marTop w:val="0"/>
      <w:marBottom w:val="0"/>
      <w:divBdr>
        <w:top w:val="none" w:sz="0" w:space="0" w:color="auto"/>
        <w:left w:val="none" w:sz="0" w:space="0" w:color="auto"/>
        <w:bottom w:val="none" w:sz="0" w:space="0" w:color="auto"/>
        <w:right w:val="none" w:sz="0" w:space="0" w:color="auto"/>
      </w:divBdr>
    </w:div>
    <w:div w:id="1269966688">
      <w:bodyDiv w:val="1"/>
      <w:marLeft w:val="0"/>
      <w:marRight w:val="0"/>
      <w:marTop w:val="0"/>
      <w:marBottom w:val="0"/>
      <w:divBdr>
        <w:top w:val="none" w:sz="0" w:space="0" w:color="auto"/>
        <w:left w:val="none" w:sz="0" w:space="0" w:color="auto"/>
        <w:bottom w:val="none" w:sz="0" w:space="0" w:color="auto"/>
        <w:right w:val="none" w:sz="0" w:space="0" w:color="auto"/>
      </w:divBdr>
    </w:div>
    <w:div w:id="1278030101">
      <w:bodyDiv w:val="1"/>
      <w:marLeft w:val="0"/>
      <w:marRight w:val="0"/>
      <w:marTop w:val="0"/>
      <w:marBottom w:val="0"/>
      <w:divBdr>
        <w:top w:val="none" w:sz="0" w:space="0" w:color="auto"/>
        <w:left w:val="none" w:sz="0" w:space="0" w:color="auto"/>
        <w:bottom w:val="none" w:sz="0" w:space="0" w:color="auto"/>
        <w:right w:val="none" w:sz="0" w:space="0" w:color="auto"/>
      </w:divBdr>
    </w:div>
    <w:div w:id="1285039418">
      <w:bodyDiv w:val="1"/>
      <w:marLeft w:val="0"/>
      <w:marRight w:val="0"/>
      <w:marTop w:val="0"/>
      <w:marBottom w:val="0"/>
      <w:divBdr>
        <w:top w:val="none" w:sz="0" w:space="0" w:color="auto"/>
        <w:left w:val="none" w:sz="0" w:space="0" w:color="auto"/>
        <w:bottom w:val="none" w:sz="0" w:space="0" w:color="auto"/>
        <w:right w:val="none" w:sz="0" w:space="0" w:color="auto"/>
      </w:divBdr>
    </w:div>
    <w:div w:id="1286034798">
      <w:bodyDiv w:val="1"/>
      <w:marLeft w:val="0"/>
      <w:marRight w:val="0"/>
      <w:marTop w:val="0"/>
      <w:marBottom w:val="0"/>
      <w:divBdr>
        <w:top w:val="none" w:sz="0" w:space="0" w:color="auto"/>
        <w:left w:val="none" w:sz="0" w:space="0" w:color="auto"/>
        <w:bottom w:val="none" w:sz="0" w:space="0" w:color="auto"/>
        <w:right w:val="none" w:sz="0" w:space="0" w:color="auto"/>
      </w:divBdr>
    </w:div>
    <w:div w:id="1304233790">
      <w:bodyDiv w:val="1"/>
      <w:marLeft w:val="0"/>
      <w:marRight w:val="0"/>
      <w:marTop w:val="0"/>
      <w:marBottom w:val="0"/>
      <w:divBdr>
        <w:top w:val="none" w:sz="0" w:space="0" w:color="auto"/>
        <w:left w:val="none" w:sz="0" w:space="0" w:color="auto"/>
        <w:bottom w:val="none" w:sz="0" w:space="0" w:color="auto"/>
        <w:right w:val="none" w:sz="0" w:space="0" w:color="auto"/>
      </w:divBdr>
    </w:div>
    <w:div w:id="1328898497">
      <w:bodyDiv w:val="1"/>
      <w:marLeft w:val="0"/>
      <w:marRight w:val="0"/>
      <w:marTop w:val="0"/>
      <w:marBottom w:val="0"/>
      <w:divBdr>
        <w:top w:val="none" w:sz="0" w:space="0" w:color="auto"/>
        <w:left w:val="none" w:sz="0" w:space="0" w:color="auto"/>
        <w:bottom w:val="none" w:sz="0" w:space="0" w:color="auto"/>
        <w:right w:val="none" w:sz="0" w:space="0" w:color="auto"/>
      </w:divBdr>
    </w:div>
    <w:div w:id="1329208129">
      <w:bodyDiv w:val="1"/>
      <w:marLeft w:val="0"/>
      <w:marRight w:val="0"/>
      <w:marTop w:val="0"/>
      <w:marBottom w:val="0"/>
      <w:divBdr>
        <w:top w:val="none" w:sz="0" w:space="0" w:color="auto"/>
        <w:left w:val="none" w:sz="0" w:space="0" w:color="auto"/>
        <w:bottom w:val="none" w:sz="0" w:space="0" w:color="auto"/>
        <w:right w:val="none" w:sz="0" w:space="0" w:color="auto"/>
      </w:divBdr>
    </w:div>
    <w:div w:id="1358501587">
      <w:bodyDiv w:val="1"/>
      <w:marLeft w:val="0"/>
      <w:marRight w:val="0"/>
      <w:marTop w:val="0"/>
      <w:marBottom w:val="0"/>
      <w:divBdr>
        <w:top w:val="none" w:sz="0" w:space="0" w:color="auto"/>
        <w:left w:val="none" w:sz="0" w:space="0" w:color="auto"/>
        <w:bottom w:val="none" w:sz="0" w:space="0" w:color="auto"/>
        <w:right w:val="none" w:sz="0" w:space="0" w:color="auto"/>
      </w:divBdr>
    </w:div>
    <w:div w:id="1365984087">
      <w:bodyDiv w:val="1"/>
      <w:marLeft w:val="0"/>
      <w:marRight w:val="0"/>
      <w:marTop w:val="0"/>
      <w:marBottom w:val="0"/>
      <w:divBdr>
        <w:top w:val="none" w:sz="0" w:space="0" w:color="auto"/>
        <w:left w:val="none" w:sz="0" w:space="0" w:color="auto"/>
        <w:bottom w:val="none" w:sz="0" w:space="0" w:color="auto"/>
        <w:right w:val="none" w:sz="0" w:space="0" w:color="auto"/>
      </w:divBdr>
    </w:div>
    <w:div w:id="1401177741">
      <w:bodyDiv w:val="1"/>
      <w:marLeft w:val="0"/>
      <w:marRight w:val="0"/>
      <w:marTop w:val="0"/>
      <w:marBottom w:val="0"/>
      <w:divBdr>
        <w:top w:val="none" w:sz="0" w:space="0" w:color="auto"/>
        <w:left w:val="none" w:sz="0" w:space="0" w:color="auto"/>
        <w:bottom w:val="none" w:sz="0" w:space="0" w:color="auto"/>
        <w:right w:val="none" w:sz="0" w:space="0" w:color="auto"/>
      </w:divBdr>
    </w:div>
    <w:div w:id="1408915094">
      <w:bodyDiv w:val="1"/>
      <w:marLeft w:val="0"/>
      <w:marRight w:val="0"/>
      <w:marTop w:val="0"/>
      <w:marBottom w:val="0"/>
      <w:divBdr>
        <w:top w:val="none" w:sz="0" w:space="0" w:color="auto"/>
        <w:left w:val="none" w:sz="0" w:space="0" w:color="auto"/>
        <w:bottom w:val="none" w:sz="0" w:space="0" w:color="auto"/>
        <w:right w:val="none" w:sz="0" w:space="0" w:color="auto"/>
      </w:divBdr>
    </w:div>
    <w:div w:id="1410730280">
      <w:bodyDiv w:val="1"/>
      <w:marLeft w:val="0"/>
      <w:marRight w:val="0"/>
      <w:marTop w:val="0"/>
      <w:marBottom w:val="0"/>
      <w:divBdr>
        <w:top w:val="none" w:sz="0" w:space="0" w:color="auto"/>
        <w:left w:val="none" w:sz="0" w:space="0" w:color="auto"/>
        <w:bottom w:val="none" w:sz="0" w:space="0" w:color="auto"/>
        <w:right w:val="none" w:sz="0" w:space="0" w:color="auto"/>
      </w:divBdr>
    </w:div>
    <w:div w:id="1423717093">
      <w:bodyDiv w:val="1"/>
      <w:marLeft w:val="0"/>
      <w:marRight w:val="0"/>
      <w:marTop w:val="0"/>
      <w:marBottom w:val="0"/>
      <w:divBdr>
        <w:top w:val="none" w:sz="0" w:space="0" w:color="auto"/>
        <w:left w:val="none" w:sz="0" w:space="0" w:color="auto"/>
        <w:bottom w:val="none" w:sz="0" w:space="0" w:color="auto"/>
        <w:right w:val="none" w:sz="0" w:space="0" w:color="auto"/>
      </w:divBdr>
    </w:div>
    <w:div w:id="1437679642">
      <w:bodyDiv w:val="1"/>
      <w:marLeft w:val="0"/>
      <w:marRight w:val="0"/>
      <w:marTop w:val="0"/>
      <w:marBottom w:val="0"/>
      <w:divBdr>
        <w:top w:val="none" w:sz="0" w:space="0" w:color="auto"/>
        <w:left w:val="none" w:sz="0" w:space="0" w:color="auto"/>
        <w:bottom w:val="none" w:sz="0" w:space="0" w:color="auto"/>
        <w:right w:val="none" w:sz="0" w:space="0" w:color="auto"/>
      </w:divBdr>
    </w:div>
    <w:div w:id="1441334130">
      <w:bodyDiv w:val="1"/>
      <w:marLeft w:val="0"/>
      <w:marRight w:val="0"/>
      <w:marTop w:val="0"/>
      <w:marBottom w:val="0"/>
      <w:divBdr>
        <w:top w:val="none" w:sz="0" w:space="0" w:color="auto"/>
        <w:left w:val="none" w:sz="0" w:space="0" w:color="auto"/>
        <w:bottom w:val="none" w:sz="0" w:space="0" w:color="auto"/>
        <w:right w:val="none" w:sz="0" w:space="0" w:color="auto"/>
      </w:divBdr>
    </w:div>
    <w:div w:id="1508903854">
      <w:bodyDiv w:val="1"/>
      <w:marLeft w:val="0"/>
      <w:marRight w:val="0"/>
      <w:marTop w:val="0"/>
      <w:marBottom w:val="0"/>
      <w:divBdr>
        <w:top w:val="none" w:sz="0" w:space="0" w:color="auto"/>
        <w:left w:val="none" w:sz="0" w:space="0" w:color="auto"/>
        <w:bottom w:val="none" w:sz="0" w:space="0" w:color="auto"/>
        <w:right w:val="none" w:sz="0" w:space="0" w:color="auto"/>
      </w:divBdr>
    </w:div>
    <w:div w:id="1540435369">
      <w:bodyDiv w:val="1"/>
      <w:marLeft w:val="0"/>
      <w:marRight w:val="0"/>
      <w:marTop w:val="0"/>
      <w:marBottom w:val="0"/>
      <w:divBdr>
        <w:top w:val="none" w:sz="0" w:space="0" w:color="auto"/>
        <w:left w:val="none" w:sz="0" w:space="0" w:color="auto"/>
        <w:bottom w:val="none" w:sz="0" w:space="0" w:color="auto"/>
        <w:right w:val="none" w:sz="0" w:space="0" w:color="auto"/>
      </w:divBdr>
    </w:div>
    <w:div w:id="1572085526">
      <w:bodyDiv w:val="1"/>
      <w:marLeft w:val="0"/>
      <w:marRight w:val="0"/>
      <w:marTop w:val="0"/>
      <w:marBottom w:val="0"/>
      <w:divBdr>
        <w:top w:val="none" w:sz="0" w:space="0" w:color="auto"/>
        <w:left w:val="none" w:sz="0" w:space="0" w:color="auto"/>
        <w:bottom w:val="none" w:sz="0" w:space="0" w:color="auto"/>
        <w:right w:val="none" w:sz="0" w:space="0" w:color="auto"/>
      </w:divBdr>
    </w:div>
    <w:div w:id="1590306782">
      <w:bodyDiv w:val="1"/>
      <w:marLeft w:val="0"/>
      <w:marRight w:val="0"/>
      <w:marTop w:val="0"/>
      <w:marBottom w:val="0"/>
      <w:divBdr>
        <w:top w:val="none" w:sz="0" w:space="0" w:color="auto"/>
        <w:left w:val="none" w:sz="0" w:space="0" w:color="auto"/>
        <w:bottom w:val="none" w:sz="0" w:space="0" w:color="auto"/>
        <w:right w:val="none" w:sz="0" w:space="0" w:color="auto"/>
      </w:divBdr>
    </w:div>
    <w:div w:id="1619335866">
      <w:bodyDiv w:val="1"/>
      <w:marLeft w:val="0"/>
      <w:marRight w:val="0"/>
      <w:marTop w:val="0"/>
      <w:marBottom w:val="0"/>
      <w:divBdr>
        <w:top w:val="none" w:sz="0" w:space="0" w:color="auto"/>
        <w:left w:val="none" w:sz="0" w:space="0" w:color="auto"/>
        <w:bottom w:val="none" w:sz="0" w:space="0" w:color="auto"/>
        <w:right w:val="none" w:sz="0" w:space="0" w:color="auto"/>
      </w:divBdr>
    </w:div>
    <w:div w:id="1635912775">
      <w:bodyDiv w:val="1"/>
      <w:marLeft w:val="0"/>
      <w:marRight w:val="0"/>
      <w:marTop w:val="0"/>
      <w:marBottom w:val="0"/>
      <w:divBdr>
        <w:top w:val="none" w:sz="0" w:space="0" w:color="auto"/>
        <w:left w:val="none" w:sz="0" w:space="0" w:color="auto"/>
        <w:bottom w:val="none" w:sz="0" w:space="0" w:color="auto"/>
        <w:right w:val="none" w:sz="0" w:space="0" w:color="auto"/>
      </w:divBdr>
    </w:div>
    <w:div w:id="1661499469">
      <w:bodyDiv w:val="1"/>
      <w:marLeft w:val="0"/>
      <w:marRight w:val="0"/>
      <w:marTop w:val="0"/>
      <w:marBottom w:val="0"/>
      <w:divBdr>
        <w:top w:val="none" w:sz="0" w:space="0" w:color="auto"/>
        <w:left w:val="none" w:sz="0" w:space="0" w:color="auto"/>
        <w:bottom w:val="none" w:sz="0" w:space="0" w:color="auto"/>
        <w:right w:val="none" w:sz="0" w:space="0" w:color="auto"/>
      </w:divBdr>
    </w:div>
    <w:div w:id="1691561036">
      <w:bodyDiv w:val="1"/>
      <w:marLeft w:val="0"/>
      <w:marRight w:val="0"/>
      <w:marTop w:val="0"/>
      <w:marBottom w:val="0"/>
      <w:divBdr>
        <w:top w:val="none" w:sz="0" w:space="0" w:color="auto"/>
        <w:left w:val="none" w:sz="0" w:space="0" w:color="auto"/>
        <w:bottom w:val="none" w:sz="0" w:space="0" w:color="auto"/>
        <w:right w:val="none" w:sz="0" w:space="0" w:color="auto"/>
      </w:divBdr>
    </w:div>
    <w:div w:id="1693191714">
      <w:bodyDiv w:val="1"/>
      <w:marLeft w:val="0"/>
      <w:marRight w:val="0"/>
      <w:marTop w:val="0"/>
      <w:marBottom w:val="0"/>
      <w:divBdr>
        <w:top w:val="none" w:sz="0" w:space="0" w:color="auto"/>
        <w:left w:val="none" w:sz="0" w:space="0" w:color="auto"/>
        <w:bottom w:val="none" w:sz="0" w:space="0" w:color="auto"/>
        <w:right w:val="none" w:sz="0" w:space="0" w:color="auto"/>
      </w:divBdr>
    </w:div>
    <w:div w:id="1740710538">
      <w:bodyDiv w:val="1"/>
      <w:marLeft w:val="0"/>
      <w:marRight w:val="0"/>
      <w:marTop w:val="0"/>
      <w:marBottom w:val="0"/>
      <w:divBdr>
        <w:top w:val="none" w:sz="0" w:space="0" w:color="auto"/>
        <w:left w:val="none" w:sz="0" w:space="0" w:color="auto"/>
        <w:bottom w:val="none" w:sz="0" w:space="0" w:color="auto"/>
        <w:right w:val="none" w:sz="0" w:space="0" w:color="auto"/>
      </w:divBdr>
    </w:div>
    <w:div w:id="1771700449">
      <w:bodyDiv w:val="1"/>
      <w:marLeft w:val="0"/>
      <w:marRight w:val="0"/>
      <w:marTop w:val="0"/>
      <w:marBottom w:val="0"/>
      <w:divBdr>
        <w:top w:val="none" w:sz="0" w:space="0" w:color="auto"/>
        <w:left w:val="none" w:sz="0" w:space="0" w:color="auto"/>
        <w:bottom w:val="none" w:sz="0" w:space="0" w:color="auto"/>
        <w:right w:val="none" w:sz="0" w:space="0" w:color="auto"/>
      </w:divBdr>
    </w:div>
    <w:div w:id="1785611097">
      <w:bodyDiv w:val="1"/>
      <w:marLeft w:val="0"/>
      <w:marRight w:val="0"/>
      <w:marTop w:val="0"/>
      <w:marBottom w:val="0"/>
      <w:divBdr>
        <w:top w:val="none" w:sz="0" w:space="0" w:color="auto"/>
        <w:left w:val="none" w:sz="0" w:space="0" w:color="auto"/>
        <w:bottom w:val="none" w:sz="0" w:space="0" w:color="auto"/>
        <w:right w:val="none" w:sz="0" w:space="0" w:color="auto"/>
      </w:divBdr>
    </w:div>
    <w:div w:id="1804038381">
      <w:bodyDiv w:val="1"/>
      <w:marLeft w:val="0"/>
      <w:marRight w:val="0"/>
      <w:marTop w:val="0"/>
      <w:marBottom w:val="0"/>
      <w:divBdr>
        <w:top w:val="none" w:sz="0" w:space="0" w:color="auto"/>
        <w:left w:val="none" w:sz="0" w:space="0" w:color="auto"/>
        <w:bottom w:val="none" w:sz="0" w:space="0" w:color="auto"/>
        <w:right w:val="none" w:sz="0" w:space="0" w:color="auto"/>
      </w:divBdr>
    </w:div>
    <w:div w:id="1815564162">
      <w:bodyDiv w:val="1"/>
      <w:marLeft w:val="0"/>
      <w:marRight w:val="0"/>
      <w:marTop w:val="0"/>
      <w:marBottom w:val="0"/>
      <w:divBdr>
        <w:top w:val="none" w:sz="0" w:space="0" w:color="auto"/>
        <w:left w:val="none" w:sz="0" w:space="0" w:color="auto"/>
        <w:bottom w:val="none" w:sz="0" w:space="0" w:color="auto"/>
        <w:right w:val="none" w:sz="0" w:space="0" w:color="auto"/>
      </w:divBdr>
    </w:div>
    <w:div w:id="1834686537">
      <w:bodyDiv w:val="1"/>
      <w:marLeft w:val="0"/>
      <w:marRight w:val="0"/>
      <w:marTop w:val="0"/>
      <w:marBottom w:val="0"/>
      <w:divBdr>
        <w:top w:val="none" w:sz="0" w:space="0" w:color="auto"/>
        <w:left w:val="none" w:sz="0" w:space="0" w:color="auto"/>
        <w:bottom w:val="none" w:sz="0" w:space="0" w:color="auto"/>
        <w:right w:val="none" w:sz="0" w:space="0" w:color="auto"/>
      </w:divBdr>
    </w:div>
    <w:div w:id="1935091018">
      <w:bodyDiv w:val="1"/>
      <w:marLeft w:val="0"/>
      <w:marRight w:val="0"/>
      <w:marTop w:val="0"/>
      <w:marBottom w:val="0"/>
      <w:divBdr>
        <w:top w:val="none" w:sz="0" w:space="0" w:color="auto"/>
        <w:left w:val="none" w:sz="0" w:space="0" w:color="auto"/>
        <w:bottom w:val="none" w:sz="0" w:space="0" w:color="auto"/>
        <w:right w:val="none" w:sz="0" w:space="0" w:color="auto"/>
      </w:divBdr>
    </w:div>
    <w:div w:id="1936785509">
      <w:bodyDiv w:val="1"/>
      <w:marLeft w:val="0"/>
      <w:marRight w:val="0"/>
      <w:marTop w:val="0"/>
      <w:marBottom w:val="0"/>
      <w:divBdr>
        <w:top w:val="none" w:sz="0" w:space="0" w:color="auto"/>
        <w:left w:val="none" w:sz="0" w:space="0" w:color="auto"/>
        <w:bottom w:val="none" w:sz="0" w:space="0" w:color="auto"/>
        <w:right w:val="none" w:sz="0" w:space="0" w:color="auto"/>
      </w:divBdr>
    </w:div>
    <w:div w:id="1936858961">
      <w:bodyDiv w:val="1"/>
      <w:marLeft w:val="0"/>
      <w:marRight w:val="0"/>
      <w:marTop w:val="0"/>
      <w:marBottom w:val="0"/>
      <w:divBdr>
        <w:top w:val="none" w:sz="0" w:space="0" w:color="auto"/>
        <w:left w:val="none" w:sz="0" w:space="0" w:color="auto"/>
        <w:bottom w:val="none" w:sz="0" w:space="0" w:color="auto"/>
        <w:right w:val="none" w:sz="0" w:space="0" w:color="auto"/>
      </w:divBdr>
    </w:div>
    <w:div w:id="1945188917">
      <w:bodyDiv w:val="1"/>
      <w:marLeft w:val="0"/>
      <w:marRight w:val="0"/>
      <w:marTop w:val="0"/>
      <w:marBottom w:val="0"/>
      <w:divBdr>
        <w:top w:val="none" w:sz="0" w:space="0" w:color="auto"/>
        <w:left w:val="none" w:sz="0" w:space="0" w:color="auto"/>
        <w:bottom w:val="none" w:sz="0" w:space="0" w:color="auto"/>
        <w:right w:val="none" w:sz="0" w:space="0" w:color="auto"/>
      </w:divBdr>
    </w:div>
    <w:div w:id="1967277709">
      <w:bodyDiv w:val="1"/>
      <w:marLeft w:val="0"/>
      <w:marRight w:val="0"/>
      <w:marTop w:val="0"/>
      <w:marBottom w:val="0"/>
      <w:divBdr>
        <w:top w:val="none" w:sz="0" w:space="0" w:color="auto"/>
        <w:left w:val="none" w:sz="0" w:space="0" w:color="auto"/>
        <w:bottom w:val="none" w:sz="0" w:space="0" w:color="auto"/>
        <w:right w:val="none" w:sz="0" w:space="0" w:color="auto"/>
      </w:divBdr>
    </w:div>
    <w:div w:id="1996568274">
      <w:bodyDiv w:val="1"/>
      <w:marLeft w:val="0"/>
      <w:marRight w:val="0"/>
      <w:marTop w:val="0"/>
      <w:marBottom w:val="0"/>
      <w:divBdr>
        <w:top w:val="none" w:sz="0" w:space="0" w:color="auto"/>
        <w:left w:val="none" w:sz="0" w:space="0" w:color="auto"/>
        <w:bottom w:val="none" w:sz="0" w:space="0" w:color="auto"/>
        <w:right w:val="none" w:sz="0" w:space="0" w:color="auto"/>
      </w:divBdr>
    </w:div>
    <w:div w:id="1997879077">
      <w:bodyDiv w:val="1"/>
      <w:marLeft w:val="0"/>
      <w:marRight w:val="0"/>
      <w:marTop w:val="0"/>
      <w:marBottom w:val="0"/>
      <w:divBdr>
        <w:top w:val="none" w:sz="0" w:space="0" w:color="auto"/>
        <w:left w:val="none" w:sz="0" w:space="0" w:color="auto"/>
        <w:bottom w:val="none" w:sz="0" w:space="0" w:color="auto"/>
        <w:right w:val="none" w:sz="0" w:space="0" w:color="auto"/>
      </w:divBdr>
    </w:div>
    <w:div w:id="2043940351">
      <w:bodyDiv w:val="1"/>
      <w:marLeft w:val="0"/>
      <w:marRight w:val="0"/>
      <w:marTop w:val="0"/>
      <w:marBottom w:val="0"/>
      <w:divBdr>
        <w:top w:val="none" w:sz="0" w:space="0" w:color="auto"/>
        <w:left w:val="none" w:sz="0" w:space="0" w:color="auto"/>
        <w:bottom w:val="none" w:sz="0" w:space="0" w:color="auto"/>
        <w:right w:val="none" w:sz="0" w:space="0" w:color="auto"/>
      </w:divBdr>
    </w:div>
    <w:div w:id="2054499950">
      <w:bodyDiv w:val="1"/>
      <w:marLeft w:val="0"/>
      <w:marRight w:val="0"/>
      <w:marTop w:val="0"/>
      <w:marBottom w:val="0"/>
      <w:divBdr>
        <w:top w:val="none" w:sz="0" w:space="0" w:color="auto"/>
        <w:left w:val="none" w:sz="0" w:space="0" w:color="auto"/>
        <w:bottom w:val="none" w:sz="0" w:space="0" w:color="auto"/>
        <w:right w:val="none" w:sz="0" w:space="0" w:color="auto"/>
      </w:divBdr>
    </w:div>
    <w:div w:id="2068066688">
      <w:bodyDiv w:val="1"/>
      <w:marLeft w:val="0"/>
      <w:marRight w:val="0"/>
      <w:marTop w:val="0"/>
      <w:marBottom w:val="0"/>
      <w:divBdr>
        <w:top w:val="none" w:sz="0" w:space="0" w:color="auto"/>
        <w:left w:val="none" w:sz="0" w:space="0" w:color="auto"/>
        <w:bottom w:val="none" w:sz="0" w:space="0" w:color="auto"/>
        <w:right w:val="none" w:sz="0" w:space="0" w:color="auto"/>
      </w:divBdr>
    </w:div>
    <w:div w:id="2091387097">
      <w:bodyDiv w:val="1"/>
      <w:marLeft w:val="0"/>
      <w:marRight w:val="0"/>
      <w:marTop w:val="0"/>
      <w:marBottom w:val="0"/>
      <w:divBdr>
        <w:top w:val="none" w:sz="0" w:space="0" w:color="auto"/>
        <w:left w:val="none" w:sz="0" w:space="0" w:color="auto"/>
        <w:bottom w:val="none" w:sz="0" w:space="0" w:color="auto"/>
        <w:right w:val="none" w:sz="0" w:space="0" w:color="auto"/>
      </w:divBdr>
    </w:div>
    <w:div w:id="211735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nhsnational-hr.scot.nhs.uk/2.NATIONAL%20BOARDS/GJNH/OCC%20HEALTH%20SAFETY%20AND%20WELLBEING/Wellbeing/Wellbeing%20Policy%20Process%20and%20Guidance/Health%20and%20Wellbeing%20Strategy%20Golden%20Jubilee.pdf" TargetMode="External"/><Relationship Id="rId18" Type="http://schemas.openxmlformats.org/officeDocument/2006/relationships/chart" Target="charts/chart5.xml"/><Relationship Id="rId26" Type="http://schemas.openxmlformats.org/officeDocument/2006/relationships/chart" Target="charts/chart13.xml"/><Relationship Id="rId39" Type="http://schemas.openxmlformats.org/officeDocument/2006/relationships/hyperlink" Target="https://www.nhsnational-hr.scot.nhs.uk/2.NATIONAL%20BOARDS/GJNH/POLICY%20PROCESS%20AND%20Ts%20AND%20Cs/Equality%20and%20Diversity/Equality%20and%20Diversity/Embracing%20Equality%20Diversity%20and%20Human%20Rights%20Policy%20Golden%20Jubilee.pdf" TargetMode="External"/><Relationship Id="rId21" Type="http://schemas.openxmlformats.org/officeDocument/2006/relationships/chart" Target="charts/chart8.xml"/><Relationship Id="rId34" Type="http://schemas.openxmlformats.org/officeDocument/2006/relationships/hyperlink" Target="https://www.nhsnational-hr.scot.nhs.uk/2.NATIONAL%20BOARDS/GJNH/OCC%20HEALTH%20SAFETY%20AND%20WELLBEING/Wellbeing/Wellbeing%20Policy%20Process%20and%20Guidance/Health%20and%20Wellbeing%20Strategy%20Golden%20Jubilee.pdf" TargetMode="External"/><Relationship Id="rId42" Type="http://schemas.openxmlformats.org/officeDocument/2006/relationships/hyperlink" Target="https://www.nhsgoldenjubilee.co.uk/application/files/1915/4402/1744/Involving_People_Strategy_2017.pdf" TargetMode="External"/><Relationship Id="rId47" Type="http://schemas.openxmlformats.org/officeDocument/2006/relationships/hyperlink" Target="https://statistics.gov.scot/home" TargetMode="External"/><Relationship Id="rId50" Type="http://schemas.openxmlformats.org/officeDocument/2006/relationships/chart" Target="charts/chart25.xml"/><Relationship Id="rId55" Type="http://schemas.openxmlformats.org/officeDocument/2006/relationships/chart" Target="charts/chart30.xml"/><Relationship Id="rId63" Type="http://schemas.openxmlformats.org/officeDocument/2006/relationships/chart" Target="charts/chart37.xml"/><Relationship Id="rId68" Type="http://schemas.openxmlformats.org/officeDocument/2006/relationships/hyperlink" Target="https://turasdata.nes.nhs.scot/" TargetMode="External"/><Relationship Id="rId76" Type="http://schemas.openxmlformats.org/officeDocument/2006/relationships/chart" Target="charts/chart44.xml"/><Relationship Id="rId84" Type="http://schemas.openxmlformats.org/officeDocument/2006/relationships/hyperlink" Target="https://www.nhsnational-hr.scot.nhs.uk/2.NATIONAL%20BOARDS/GJNH/OCC%20HEALTH%20SAFETY%20AND%20WELLBEING/Wellbeing/Wellbeing%20Policy%20Process%20and%20Guidance/Health%20and%20Wellbeing%20Strategy%20Golden%20Jubilee.pdf" TargetMode="External"/><Relationship Id="rId89" Type="http://schemas.openxmlformats.org/officeDocument/2006/relationships/hyperlink" Target="https://www.nhsgoldenjubilee.co.uk/application/files/3815/5721/9096/Volunteer_Services_Strategic_Plan_Revised_8_-_March_19.pdf" TargetMode="External"/><Relationship Id="rId7" Type="http://schemas.openxmlformats.org/officeDocument/2006/relationships/settings" Target="settings.xml"/><Relationship Id="rId71" Type="http://schemas.openxmlformats.org/officeDocument/2006/relationships/chart" Target="charts/chart42.xml"/><Relationship Id="rId9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3.xml"/><Relationship Id="rId29" Type="http://schemas.openxmlformats.org/officeDocument/2006/relationships/chart" Target="charts/chart16.xml"/><Relationship Id="rId11" Type="http://schemas.openxmlformats.org/officeDocument/2006/relationships/image" Target="media/image1.png"/><Relationship Id="rId24" Type="http://schemas.openxmlformats.org/officeDocument/2006/relationships/chart" Target="charts/chart11.xml"/><Relationship Id="rId32" Type="http://schemas.openxmlformats.org/officeDocument/2006/relationships/chart" Target="charts/chart19.xml"/><Relationship Id="rId37" Type="http://schemas.openxmlformats.org/officeDocument/2006/relationships/hyperlink" Target="https://www.nhsnational-hr.scot.nhs.uk/2.NATIONAL%20BOARDS/GJNH/POLICY%20PROCESS%20AND%20Ts%20AND%20Cs/Leave/Special%20Leave/Carers%20Guide%20Golden%20Jubilee.pdf" TargetMode="External"/><Relationship Id="rId40" Type="http://schemas.openxmlformats.org/officeDocument/2006/relationships/hyperlink" Target="https://www.nhsgoldenjubilee.co.uk/application/files/1216/1614/9040/6.4b_Diversity_Inclusion_Strategy_Final_Version.pdf" TargetMode="External"/><Relationship Id="rId45" Type="http://schemas.openxmlformats.org/officeDocument/2006/relationships/hyperlink" Target="https://www.gov.scot/publications/fairer-scotland-duty-guidance-public-bodies/" TargetMode="External"/><Relationship Id="rId53" Type="http://schemas.openxmlformats.org/officeDocument/2006/relationships/chart" Target="charts/chart28.xml"/><Relationship Id="rId58" Type="http://schemas.openxmlformats.org/officeDocument/2006/relationships/chart" Target="charts/chart33.xml"/><Relationship Id="rId66" Type="http://schemas.openxmlformats.org/officeDocument/2006/relationships/hyperlink" Target="https://www.scotlandscensus.gov.uk/" TargetMode="External"/><Relationship Id="rId74" Type="http://schemas.openxmlformats.org/officeDocument/2006/relationships/hyperlink" Target="https://turasdata.nes.nhs.scot/" TargetMode="External"/><Relationship Id="rId79" Type="http://schemas.openxmlformats.org/officeDocument/2006/relationships/hyperlink" Target="https://www.gov.scot/publications/scottish-health-survey-2017-volume-1-main-report/" TargetMode="External"/><Relationship Id="rId87" Type="http://schemas.openxmlformats.org/officeDocument/2006/relationships/hyperlink" Target="https://www.nhsnational-hr.scot.nhs.uk/2.NATIONAL%20BOARDS/GJNH/OCC%20HEALTH%20SAFETY%20AND%20WELLBEING/Wellbeing/Wellbeing%20Policy%20Process%20and%20Guidance/Health%20and%20Wellbeing%20Strategy%20Golden%20Jubilee.pdf" TargetMode="External"/><Relationship Id="rId5" Type="http://schemas.openxmlformats.org/officeDocument/2006/relationships/numbering" Target="numbering.xml"/><Relationship Id="rId61" Type="http://schemas.openxmlformats.org/officeDocument/2006/relationships/chart" Target="charts/chart36.xml"/><Relationship Id="rId82" Type="http://schemas.openxmlformats.org/officeDocument/2006/relationships/chart" Target="charts/chart46.xml"/><Relationship Id="rId90" Type="http://schemas.openxmlformats.org/officeDocument/2006/relationships/header" Target="header1.xml"/><Relationship Id="rId19" Type="http://schemas.openxmlformats.org/officeDocument/2006/relationships/chart" Target="charts/chart6.xml"/><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chart" Target="charts/chart17.xml"/><Relationship Id="rId35" Type="http://schemas.openxmlformats.org/officeDocument/2006/relationships/hyperlink" Target="https://www.nhsnational-hr.scot.nhs.uk/2.NATIONAL%20BOARDS/GJNH/OCC%20HEALTH%20SAFETY%20AND%20WELLBEING/Wellbeing/Wellbeing%20Policy%20Process%20and%20Guidance/Health%20and%20Wellbeing%20Strategy%20Golden%20Jubilee.pdf" TargetMode="External"/><Relationship Id="rId43" Type="http://schemas.openxmlformats.org/officeDocument/2006/relationships/hyperlink" Target="https://www.nhsgoldenjubilee.co.uk/application/files/3815/5721/9096/Volunteer_Services_Strategic_Plan_Revised_8_-_March_19.pdf" TargetMode="External"/><Relationship Id="rId48" Type="http://schemas.openxmlformats.org/officeDocument/2006/relationships/chart" Target="charts/chart23.xml"/><Relationship Id="rId56" Type="http://schemas.openxmlformats.org/officeDocument/2006/relationships/chart" Target="charts/chart31.xml"/><Relationship Id="rId64" Type="http://schemas.openxmlformats.org/officeDocument/2006/relationships/chart" Target="charts/chart38.xml"/><Relationship Id="rId69" Type="http://schemas.openxmlformats.org/officeDocument/2006/relationships/chart" Target="charts/chart40.xml"/><Relationship Id="rId77" Type="http://schemas.openxmlformats.org/officeDocument/2006/relationships/hyperlink" Target="https://www.gov.uk/government/collections/disability-confident-campaign" TargetMode="External"/><Relationship Id="rId8" Type="http://schemas.openxmlformats.org/officeDocument/2006/relationships/webSettings" Target="webSettings.xml"/><Relationship Id="rId51" Type="http://schemas.openxmlformats.org/officeDocument/2006/relationships/chart" Target="charts/chart26.xml"/><Relationship Id="rId72" Type="http://schemas.openxmlformats.org/officeDocument/2006/relationships/hyperlink" Target="https://www.scotlandscensus.gov.uk/" TargetMode="External"/><Relationship Id="rId80" Type="http://schemas.openxmlformats.org/officeDocument/2006/relationships/hyperlink" Target="https://turasdata.nes.nhs.scot/" TargetMode="External"/><Relationship Id="rId85" Type="http://schemas.openxmlformats.org/officeDocument/2006/relationships/hyperlink" Target="https://www.nhsnational-hr.scot.nhs.uk/2.NATIONAL%20BOARDS/GJNH/OCC%20HEALTH%20SAFETY%20AND%20WELLBEING/Wellbeing/Wellbeing%20Policy%20Process%20and%20Guidance/Health%20and%20Wellbeing%20Strategy%20Golden%20Jubilee.pdf"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taffgovernance.scot.nhs.uk/media/1363/embracing-equality-diversity-and-human-rights-in-nhsscotland-pin-policy.pdf" TargetMode="External"/><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chart" Target="charts/chart20.xml"/><Relationship Id="rId38" Type="http://schemas.openxmlformats.org/officeDocument/2006/relationships/chart" Target="charts/chart21.xml"/><Relationship Id="rId46" Type="http://schemas.openxmlformats.org/officeDocument/2006/relationships/chart" Target="charts/chart22.xml"/><Relationship Id="rId59" Type="http://schemas.openxmlformats.org/officeDocument/2006/relationships/chart" Target="charts/chart34.xml"/><Relationship Id="rId67" Type="http://schemas.openxmlformats.org/officeDocument/2006/relationships/hyperlink" Target="https://www.gov.scot/publications/analysis-equality-results-2011-census-part-2/" TargetMode="External"/><Relationship Id="rId20" Type="http://schemas.openxmlformats.org/officeDocument/2006/relationships/chart" Target="charts/chart7.xml"/><Relationship Id="rId41" Type="http://schemas.openxmlformats.org/officeDocument/2006/relationships/hyperlink" Target="https://www.nhsnational-hr.scot.nhs.uk/2.NATIONAL%20BOARDS/GJNH/OCC%20HEALTH%20SAFETY%20AND%20WELLBEING/Wellbeing/Wellbeing%20Policy%20Process%20and%20Guidance/Health%20and%20Wellbeing%20Strategy%20Golden%20Jubilee.pdf" TargetMode="External"/><Relationship Id="rId54" Type="http://schemas.openxmlformats.org/officeDocument/2006/relationships/chart" Target="charts/chart29.xml"/><Relationship Id="rId62" Type="http://schemas.openxmlformats.org/officeDocument/2006/relationships/hyperlink" Target="https://statistics.gov.scot/home" TargetMode="External"/><Relationship Id="rId70" Type="http://schemas.openxmlformats.org/officeDocument/2006/relationships/chart" Target="charts/chart41.xml"/><Relationship Id="rId75" Type="http://schemas.openxmlformats.org/officeDocument/2006/relationships/chart" Target="charts/chart43.xml"/><Relationship Id="rId83" Type="http://schemas.openxmlformats.org/officeDocument/2006/relationships/chart" Target="charts/chart47.xml"/><Relationship Id="rId88" Type="http://schemas.openxmlformats.org/officeDocument/2006/relationships/hyperlink" Target="https://www.nhsgoldenjubilee.co.uk/application/files/1915/4402/1744/Involving_People_Strategy_2017.pdf" TargetMode="External"/><Relationship Id="rId9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hart" Target="charts/chart15.xml"/><Relationship Id="rId36" Type="http://schemas.openxmlformats.org/officeDocument/2006/relationships/hyperlink" Target="http://www.staffgovernance.scot.nhs.uk/media/1332/swlb-pin-website-july-2015.pdf" TargetMode="External"/><Relationship Id="rId49" Type="http://schemas.openxmlformats.org/officeDocument/2006/relationships/chart" Target="charts/chart24.xml"/><Relationship Id="rId57" Type="http://schemas.openxmlformats.org/officeDocument/2006/relationships/chart" Target="charts/chart32.xml"/><Relationship Id="rId10" Type="http://schemas.openxmlformats.org/officeDocument/2006/relationships/endnotes" Target="endnotes.xml"/><Relationship Id="rId31" Type="http://schemas.openxmlformats.org/officeDocument/2006/relationships/chart" Target="charts/chart18.xml"/><Relationship Id="rId44" Type="http://schemas.openxmlformats.org/officeDocument/2006/relationships/hyperlink" Target="https://www.gov.scot/publications/fairer-scotland-duty-guidance-public-bodies/" TargetMode="External"/><Relationship Id="rId52" Type="http://schemas.openxmlformats.org/officeDocument/2006/relationships/chart" Target="charts/chart27.xml"/><Relationship Id="rId60" Type="http://schemas.openxmlformats.org/officeDocument/2006/relationships/chart" Target="charts/chart35.xml"/><Relationship Id="rId65" Type="http://schemas.openxmlformats.org/officeDocument/2006/relationships/chart" Target="charts/chart39.xml"/><Relationship Id="rId73" Type="http://schemas.openxmlformats.org/officeDocument/2006/relationships/hyperlink" Target="https://www.gov.scot/publications/analysis-equality-results-2011-census-part-2/" TargetMode="External"/><Relationship Id="rId78" Type="http://schemas.openxmlformats.org/officeDocument/2006/relationships/chart" Target="charts/chart45.xml"/><Relationship Id="rId81" Type="http://schemas.openxmlformats.org/officeDocument/2006/relationships/hyperlink" Target="https://turasdata.nes.nhs.scot/" TargetMode="External"/><Relationship Id="rId86" Type="http://schemas.openxmlformats.org/officeDocument/2006/relationships/hyperlink" Target="https://www.nhsgoldenjubilee.co.uk/application/files/1216/1614/9040/6.4b_Diversity_Inclusion_Strategy_Final_Version.pdf"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pubmed.ncbi.nlm.nih.gov/10902052/" TargetMode="External"/><Relationship Id="rId1" Type="http://schemas.openxmlformats.org/officeDocument/2006/relationships/hyperlink" Target="https://turasdata.nes.nhs.scot/data-and-reports/official-workforce-statistics/all-official-statistics-publications/07-june-2022-workforce/dashboards/nhsscotland-workforce/?pageid=6963"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ickness%20Absence%2001.04.21%20to%2031.03.22.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21.xml"/><Relationship Id="rId1" Type="http://schemas.microsoft.com/office/2011/relationships/chartStyle" Target="style21.xml"/></Relationships>
</file>

<file path=word/charts/_rels/chart22.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2.xml"/><Relationship Id="rId1" Type="http://schemas.microsoft.com/office/2011/relationships/chartStyle" Target="style22.xml"/></Relationships>
</file>

<file path=word/charts/_rels/chart23.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3.xml"/><Relationship Id="rId1" Type="http://schemas.microsoft.com/office/2011/relationships/chartStyle" Target="style23.xml"/></Relationships>
</file>

<file path=word/charts/_rels/chart24.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4.xml"/><Relationship Id="rId1" Type="http://schemas.microsoft.com/office/2011/relationships/chartStyle" Target="style24.xml"/></Relationships>
</file>

<file path=word/charts/_rels/chart25.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5.xml"/><Relationship Id="rId1" Type="http://schemas.microsoft.com/office/2011/relationships/chartStyle" Target="style25.xml"/></Relationships>
</file>

<file path=word/charts/_rels/chart26.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6.xml"/><Relationship Id="rId1" Type="http://schemas.microsoft.com/office/2011/relationships/chartStyle" Target="style26.xml"/></Relationships>
</file>

<file path=word/charts/_rels/chart27.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7.xml"/><Relationship Id="rId1" Type="http://schemas.microsoft.com/office/2011/relationships/chartStyle" Target="style27.xml"/></Relationships>
</file>

<file path=word/charts/_rels/chart28.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8.xml"/><Relationship Id="rId1" Type="http://schemas.microsoft.com/office/2011/relationships/chartStyle" Target="style28.xml"/></Relationships>
</file>

<file path=word/charts/_rels/chart29.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29.xml"/><Relationship Id="rId1" Type="http://schemas.microsoft.com/office/2011/relationships/chartStyle" Target="style29.xml"/></Relationships>
</file>

<file path=word/charts/_rels/chart3.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Turnover%2001.04.21%20to%2031.03.22.xlsx" TargetMode="External"/><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30.xml"/><Relationship Id="rId1" Type="http://schemas.microsoft.com/office/2011/relationships/chartStyle" Target="style30.xml"/></Relationships>
</file>

<file path=word/charts/_rels/chart31.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31.xml"/><Relationship Id="rId1" Type="http://schemas.microsoft.com/office/2011/relationships/chartStyle" Target="style31.xml"/></Relationships>
</file>

<file path=word/charts/_rels/chart32.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32.xml"/><Relationship Id="rId1" Type="http://schemas.microsoft.com/office/2011/relationships/chartStyle" Target="style32.xml"/></Relationships>
</file>

<file path=word/charts/_rels/chart33.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33.xml"/><Relationship Id="rId1" Type="http://schemas.microsoft.com/office/2011/relationships/chartStyle" Target="style33.xml"/></Relationships>
</file>

<file path=word/charts/_rels/chart34.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34.xml"/><Relationship Id="rId1" Type="http://schemas.microsoft.com/office/2011/relationships/chartStyle" Target="style34.xml"/></Relationships>
</file>

<file path=word/charts/_rels/chart35.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35.xml"/><Relationship Id="rId1" Type="http://schemas.microsoft.com/office/2011/relationships/chartStyle" Target="style35.xml"/></Relationships>
</file>

<file path=word/charts/_rels/chart36.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36.xml"/><Relationship Id="rId1" Type="http://schemas.microsoft.com/office/2011/relationships/chartStyle" Target="style36.xml"/></Relationships>
</file>

<file path=word/charts/_rels/chart37.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rters%2001.04.21%20to%2031.03.22.xlsx" TargetMode="External"/><Relationship Id="rId2" Type="http://schemas.microsoft.com/office/2011/relationships/chartColorStyle" Target="colors37.xml"/><Relationship Id="rId1" Type="http://schemas.microsoft.com/office/2011/relationships/chartStyle" Target="style37.xml"/></Relationships>
</file>

<file path=word/charts/_rels/chart38.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Training%2001.04.21%20to%2031.03.22.xlsx" TargetMode="External"/><Relationship Id="rId2" Type="http://schemas.microsoft.com/office/2011/relationships/chartColorStyle" Target="colors38.xml"/><Relationship Id="rId1" Type="http://schemas.microsoft.com/office/2011/relationships/chartStyle" Target="style38.xml"/></Relationships>
</file>

<file path=word/charts/_rels/chart39.xml.rels><?xml version="1.0" encoding="UTF-8" standalone="yes"?>
<Relationships xmlns="http://schemas.openxmlformats.org/package/2006/relationships"><Relationship Id="rId3" Type="http://schemas.openxmlformats.org/officeDocument/2006/relationships/oleObject" Target="file:///\\nwtc-filesrv.nwtc.local\departments\Performance&amp;Planning\Common\2.EQUALITIES\07.%20Reports\Workforce%20Monitoring%20Reports\WMR%202022\Analysis.xlsx" TargetMode="External"/><Relationship Id="rId2" Type="http://schemas.microsoft.com/office/2011/relationships/chartColorStyle" Target="colors39.xml"/><Relationship Id="rId1" Type="http://schemas.microsoft.com/office/2011/relationships/chartStyle" Target="style39.xml"/></Relationships>
</file>

<file path=word/charts/_rels/chart4.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Turnover%2001.04.21%20to%2031.03.22.xlsx" TargetMode="External"/><Relationship Id="rId2" Type="http://schemas.microsoft.com/office/2011/relationships/chartColorStyle" Target="colors4.xml"/><Relationship Id="rId1" Type="http://schemas.microsoft.com/office/2011/relationships/chartStyle" Target="style4.xml"/></Relationships>
</file>

<file path=word/charts/_rels/chart40.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rters%2001.04.21%20to%2031.03.22.xlsx" TargetMode="External"/><Relationship Id="rId2" Type="http://schemas.microsoft.com/office/2011/relationships/chartColorStyle" Target="colors40.xml"/><Relationship Id="rId1" Type="http://schemas.microsoft.com/office/2011/relationships/chartStyle" Target="style40.xml"/></Relationships>
</file>

<file path=word/charts/_rels/chart41.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Training%2001.04.21%20to%2031.03.22.xlsx" TargetMode="External"/><Relationship Id="rId2" Type="http://schemas.microsoft.com/office/2011/relationships/chartColorStyle" Target="colors41.xml"/><Relationship Id="rId1" Type="http://schemas.microsoft.com/office/2011/relationships/chartStyle" Target="style41.xml"/></Relationships>
</file>

<file path=word/charts/_rels/chart42.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42.xml"/><Relationship Id="rId1" Type="http://schemas.microsoft.com/office/2011/relationships/chartStyle" Target="style42.xml"/></Relationships>
</file>

<file path=word/charts/_rels/chart43.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rters%2001.04.21%20to%2031.03.22.xlsx" TargetMode="External"/><Relationship Id="rId2" Type="http://schemas.microsoft.com/office/2011/relationships/chartColorStyle" Target="colors43.xml"/><Relationship Id="rId1" Type="http://schemas.microsoft.com/office/2011/relationships/chartStyle" Target="style43.xml"/></Relationships>
</file>

<file path=word/charts/_rels/chart44.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Training%2001.04.21%20to%2031.03.22.xlsx" TargetMode="External"/><Relationship Id="rId2" Type="http://schemas.microsoft.com/office/2011/relationships/chartColorStyle" Target="colors44.xml"/><Relationship Id="rId1" Type="http://schemas.microsoft.com/office/2011/relationships/chartStyle" Target="style44.xml"/></Relationships>
</file>

<file path=word/charts/_rels/chart45.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45.xml"/><Relationship Id="rId1" Type="http://schemas.microsoft.com/office/2011/relationships/chartStyle" Target="style45.xml"/></Relationships>
</file>

<file path=word/charts/_rels/chart46.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Training%2001.04.21%20to%2031.03.22.xlsx" TargetMode="External"/><Relationship Id="rId2" Type="http://schemas.microsoft.com/office/2011/relationships/chartColorStyle" Target="colors46.xml"/><Relationship Id="rId1" Type="http://schemas.microsoft.com/office/2011/relationships/chartStyle" Target="style46.xml"/></Relationships>
</file>

<file path=word/charts/_rels/chart47.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Staff%20List%20March%202022.xlsx" TargetMode="External"/><Relationship Id="rId2" Type="http://schemas.microsoft.com/office/2011/relationships/chartColorStyle" Target="colors47.xml"/><Relationship Id="rId1" Type="http://schemas.microsoft.com/office/2011/relationships/chartStyle" Target="style47.xml"/></Relationships>
</file>

<file path=word/charts/_rels/chart5.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Planning\Workforce%20Plan%202022-2025\1%20Spreadsheets%20with%20data%20for%20workforce%20plan\Turnover%2001.04.21%20to%2031.03.2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tarters%2001.04.21%20to%2031.03.2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tarters%2001.04.21%20to%2031.03.22.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nwtc-filesrv\Departments\HRDirectorate\HR\Private\Work\Workforce%20Monitoring\01.04.21%20to%2031.03.22\1%20Spreadsheets%20with%20data%20for%20workforce%20plan\Sickness%20Absence%2001.04.21%20to%2031.03.22.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Proportion of Staff for Whom no Information was Provided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'Data Quality'!$A$3</c:f>
              <c:strCache>
                <c:ptCount val="1"/>
                <c:pt idx="0">
                  <c:v>2013</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Quality'!$B$3:$E$3</c:f>
              <c:numCache>
                <c:formatCode>0.0%</c:formatCode>
                <c:ptCount val="4"/>
                <c:pt idx="0">
                  <c:v>0.22600000000000001</c:v>
                </c:pt>
                <c:pt idx="1">
                  <c:v>0.254</c:v>
                </c:pt>
                <c:pt idx="2">
                  <c:v>0.14099999999999999</c:v>
                </c:pt>
                <c:pt idx="3">
                  <c:v>0.2</c:v>
                </c:pt>
              </c:numCache>
            </c:numRef>
          </c:val>
          <c:extLst>
            <c:ext xmlns:c16="http://schemas.microsoft.com/office/drawing/2014/chart" uri="{C3380CC4-5D6E-409C-BE32-E72D297353CC}">
              <c16:uniqueId val="{00000000-186C-46E0-9C56-7BBD99CBD349}"/>
            </c:ext>
          </c:extLst>
        </c:ser>
        <c:ser>
          <c:idx val="1"/>
          <c:order val="1"/>
          <c:tx>
            <c:strRef>
              <c:f>'Data Quality'!$A$4</c:f>
              <c:strCache>
                <c:ptCount val="1"/>
                <c:pt idx="0">
                  <c:v>2014</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Quality'!$B$4:$E$4</c:f>
              <c:numCache>
                <c:formatCode>0.0%</c:formatCode>
                <c:ptCount val="4"/>
                <c:pt idx="0">
                  <c:v>0.16900000000000001</c:v>
                </c:pt>
                <c:pt idx="1">
                  <c:v>0.19800000000000001</c:v>
                </c:pt>
                <c:pt idx="2">
                  <c:v>0.14299999999999999</c:v>
                </c:pt>
                <c:pt idx="3">
                  <c:v>0.189</c:v>
                </c:pt>
              </c:numCache>
            </c:numRef>
          </c:val>
          <c:extLst>
            <c:ext xmlns:c16="http://schemas.microsoft.com/office/drawing/2014/chart" uri="{C3380CC4-5D6E-409C-BE32-E72D297353CC}">
              <c16:uniqueId val="{00000001-186C-46E0-9C56-7BBD99CBD349}"/>
            </c:ext>
          </c:extLst>
        </c:ser>
        <c:ser>
          <c:idx val="2"/>
          <c:order val="2"/>
          <c:tx>
            <c:strRef>
              <c:f>'Data Quality'!$A$5</c:f>
              <c:strCache>
                <c:ptCount val="1"/>
                <c:pt idx="0">
                  <c:v>2015</c:v>
                </c:pt>
              </c:strCache>
            </c:strRef>
          </c:tx>
          <c:spPr>
            <a:solidFill>
              <a:schemeClr val="accent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Quality'!$B$5:$E$5</c:f>
              <c:numCache>
                <c:formatCode>0.0%</c:formatCode>
                <c:ptCount val="4"/>
                <c:pt idx="0">
                  <c:v>0.14799999999999999</c:v>
                </c:pt>
                <c:pt idx="1">
                  <c:v>0.17199999999999999</c:v>
                </c:pt>
                <c:pt idx="2">
                  <c:v>0.124</c:v>
                </c:pt>
                <c:pt idx="3">
                  <c:v>0.17799999999999999</c:v>
                </c:pt>
              </c:numCache>
            </c:numRef>
          </c:val>
          <c:extLst>
            <c:ext xmlns:c16="http://schemas.microsoft.com/office/drawing/2014/chart" uri="{C3380CC4-5D6E-409C-BE32-E72D297353CC}">
              <c16:uniqueId val="{00000002-186C-46E0-9C56-7BBD99CBD349}"/>
            </c:ext>
          </c:extLst>
        </c:ser>
        <c:ser>
          <c:idx val="3"/>
          <c:order val="3"/>
          <c:tx>
            <c:strRef>
              <c:f>'Data Quality'!$A$6</c:f>
              <c:strCache>
                <c:ptCount val="1"/>
                <c:pt idx="0">
                  <c:v>2016</c:v>
                </c:pt>
              </c:strCache>
            </c:strRef>
          </c:tx>
          <c:spPr>
            <a:solidFill>
              <a:schemeClr val="accent4"/>
            </a:solidFill>
            <a:ln>
              <a:noFill/>
            </a:ln>
            <a:effectLst/>
          </c:spPr>
          <c:invertIfNegative val="0"/>
          <c:dLbls>
            <c:dLbl>
              <c:idx val="0"/>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en-US"/>
                </a:p>
              </c:txPr>
              <c:dLblPos val="outEnd"/>
              <c:showLegendKey val="0"/>
              <c:showVal val="1"/>
              <c:showCatName val="0"/>
              <c:showSerName val="0"/>
              <c:showPercent val="0"/>
              <c:showBubbleSize val="0"/>
              <c:extLst>
                <c:ext xmlns:c16="http://schemas.microsoft.com/office/drawing/2014/chart" uri="{C3380CC4-5D6E-409C-BE32-E72D297353CC}">
                  <c16:uniqueId val="{00000003-186C-46E0-9C56-7BBD99CBD34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4"/>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Quality'!$B$6:$E$6</c:f>
              <c:numCache>
                <c:formatCode>0.0%</c:formatCode>
                <c:ptCount val="4"/>
                <c:pt idx="0">
                  <c:v>0.13900000000000001</c:v>
                </c:pt>
                <c:pt idx="1">
                  <c:v>0.16</c:v>
                </c:pt>
                <c:pt idx="2">
                  <c:v>0.11699999999999999</c:v>
                </c:pt>
                <c:pt idx="3">
                  <c:v>0.16</c:v>
                </c:pt>
              </c:numCache>
            </c:numRef>
          </c:val>
          <c:extLst>
            <c:ext xmlns:c16="http://schemas.microsoft.com/office/drawing/2014/chart" uri="{C3380CC4-5D6E-409C-BE32-E72D297353CC}">
              <c16:uniqueId val="{00000004-186C-46E0-9C56-7BBD99CBD349}"/>
            </c:ext>
          </c:extLst>
        </c:ser>
        <c:ser>
          <c:idx val="4"/>
          <c:order val="4"/>
          <c:tx>
            <c:strRef>
              <c:f>'Data Quality'!$A$7</c:f>
              <c:strCache>
                <c:ptCount val="1"/>
                <c:pt idx="0">
                  <c:v>2017</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Quality'!$B$7:$E$7</c:f>
              <c:numCache>
                <c:formatCode>0.0%</c:formatCode>
                <c:ptCount val="4"/>
                <c:pt idx="0">
                  <c:v>0.13500000000000001</c:v>
                </c:pt>
                <c:pt idx="1">
                  <c:v>0.153</c:v>
                </c:pt>
                <c:pt idx="2">
                  <c:v>0.115</c:v>
                </c:pt>
                <c:pt idx="3">
                  <c:v>0.154</c:v>
                </c:pt>
              </c:numCache>
            </c:numRef>
          </c:val>
          <c:extLst>
            <c:ext xmlns:c16="http://schemas.microsoft.com/office/drawing/2014/chart" uri="{C3380CC4-5D6E-409C-BE32-E72D297353CC}">
              <c16:uniqueId val="{00000005-186C-46E0-9C56-7BBD99CBD349}"/>
            </c:ext>
          </c:extLst>
        </c:ser>
        <c:ser>
          <c:idx val="5"/>
          <c:order val="5"/>
          <c:tx>
            <c:strRef>
              <c:f>'Data Quality'!$A$8</c:f>
              <c:strCache>
                <c:ptCount val="1"/>
                <c:pt idx="0">
                  <c:v>2018</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6"/>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Quality'!$B$8:$E$8</c:f>
              <c:numCache>
                <c:formatCode>0.0%</c:formatCode>
                <c:ptCount val="4"/>
                <c:pt idx="0">
                  <c:v>0.11899999999999999</c:v>
                </c:pt>
                <c:pt idx="1">
                  <c:v>0.14499999999999999</c:v>
                </c:pt>
                <c:pt idx="2">
                  <c:v>0.11899999999999999</c:v>
                </c:pt>
                <c:pt idx="3">
                  <c:v>0.14399999999999999</c:v>
                </c:pt>
              </c:numCache>
            </c:numRef>
          </c:val>
          <c:extLst>
            <c:ext xmlns:c16="http://schemas.microsoft.com/office/drawing/2014/chart" uri="{C3380CC4-5D6E-409C-BE32-E72D297353CC}">
              <c16:uniqueId val="{00000006-186C-46E0-9C56-7BBD99CBD349}"/>
            </c:ext>
          </c:extLst>
        </c:ser>
        <c:ser>
          <c:idx val="6"/>
          <c:order val="6"/>
          <c:tx>
            <c:strRef>
              <c:f>'Data Quality'!$A$9</c:f>
              <c:strCache>
                <c:ptCount val="1"/>
                <c:pt idx="0">
                  <c:v>2019</c:v>
                </c:pt>
              </c:strCache>
            </c:strRef>
          </c:tx>
          <c:spPr>
            <a:solidFill>
              <a:schemeClr val="accent1">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lumMod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Quality'!$B$9:$E$9</c:f>
              <c:numCache>
                <c:formatCode>0.0%</c:formatCode>
                <c:ptCount val="4"/>
                <c:pt idx="0">
                  <c:v>0.13400000000000001</c:v>
                </c:pt>
                <c:pt idx="1">
                  <c:v>0.151</c:v>
                </c:pt>
                <c:pt idx="2">
                  <c:v>0.161</c:v>
                </c:pt>
                <c:pt idx="3">
                  <c:v>0.158</c:v>
                </c:pt>
              </c:numCache>
            </c:numRef>
          </c:val>
          <c:extLst>
            <c:ext xmlns:c16="http://schemas.microsoft.com/office/drawing/2014/chart" uri="{C3380CC4-5D6E-409C-BE32-E72D297353CC}">
              <c16:uniqueId val="{00000007-186C-46E0-9C56-7BBD99CBD349}"/>
            </c:ext>
          </c:extLst>
        </c:ser>
        <c:ser>
          <c:idx val="7"/>
          <c:order val="7"/>
          <c:tx>
            <c:strRef>
              <c:f>'Data Quality'!$A$10</c:f>
              <c:strCache>
                <c:ptCount val="1"/>
                <c:pt idx="0">
                  <c:v>2020</c:v>
                </c:pt>
              </c:strCache>
            </c:strRef>
          </c:tx>
          <c:spPr>
            <a:solidFill>
              <a:schemeClr val="accent2">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lumMod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Quality'!$B$10:$E$10</c:f>
              <c:numCache>
                <c:formatCode>0.0%</c:formatCode>
                <c:ptCount val="4"/>
                <c:pt idx="0">
                  <c:v>0.125</c:v>
                </c:pt>
                <c:pt idx="1">
                  <c:v>0.14299999999999999</c:v>
                </c:pt>
                <c:pt idx="2">
                  <c:v>0.14499999999999999</c:v>
                </c:pt>
                <c:pt idx="3">
                  <c:v>0.14899999999999999</c:v>
                </c:pt>
              </c:numCache>
            </c:numRef>
          </c:val>
          <c:extLst>
            <c:ext xmlns:c16="http://schemas.microsoft.com/office/drawing/2014/chart" uri="{C3380CC4-5D6E-409C-BE32-E72D297353CC}">
              <c16:uniqueId val="{00000008-186C-46E0-9C56-7BBD99CBD349}"/>
            </c:ext>
          </c:extLst>
        </c:ser>
        <c:ser>
          <c:idx val="8"/>
          <c:order val="8"/>
          <c:tx>
            <c:strRef>
              <c:f>'Data Quality'!$A$11</c:f>
              <c:strCache>
                <c:ptCount val="1"/>
                <c:pt idx="0">
                  <c:v>2021</c:v>
                </c:pt>
              </c:strCache>
            </c:strRef>
          </c:tx>
          <c:spPr>
            <a:solidFill>
              <a:schemeClr val="accent3">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lumMod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Quality'!$B$11:$E$11</c:f>
              <c:numCache>
                <c:formatCode>0.0%</c:formatCode>
                <c:ptCount val="4"/>
                <c:pt idx="0">
                  <c:v>0.11799999999999999</c:v>
                </c:pt>
                <c:pt idx="1">
                  <c:v>0.13200000000000001</c:v>
                </c:pt>
                <c:pt idx="2">
                  <c:v>0.13100000000000001</c:v>
                </c:pt>
                <c:pt idx="3">
                  <c:v>0.14299999999999999</c:v>
                </c:pt>
              </c:numCache>
            </c:numRef>
          </c:val>
          <c:extLst>
            <c:ext xmlns:c16="http://schemas.microsoft.com/office/drawing/2014/chart" uri="{C3380CC4-5D6E-409C-BE32-E72D297353CC}">
              <c16:uniqueId val="{00000009-186C-46E0-9C56-7BBD99CBD349}"/>
            </c:ext>
          </c:extLst>
        </c:ser>
        <c:ser>
          <c:idx val="9"/>
          <c:order val="9"/>
          <c:tx>
            <c:strRef>
              <c:f>'Data Quality'!$A$12</c:f>
              <c:strCache>
                <c:ptCount val="1"/>
                <c:pt idx="0">
                  <c:v>2022</c:v>
                </c:pt>
              </c:strCache>
            </c:strRef>
          </c:tx>
          <c:spPr>
            <a:solidFill>
              <a:schemeClr val="accent4">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4">
                        <a:lumMod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'Data Quality'!$B$2:$E$2</c:f>
              <c:strCache>
                <c:ptCount val="4"/>
                <c:pt idx="0">
                  <c:v>Ethnicity</c:v>
                </c:pt>
                <c:pt idx="1">
                  <c:v>Religion and Belief</c:v>
                </c:pt>
                <c:pt idx="2">
                  <c:v>Disability</c:v>
                </c:pt>
                <c:pt idx="3">
                  <c:v>Sexual Orientation</c:v>
                </c:pt>
              </c:strCache>
            </c:strRef>
          </c:cat>
          <c:val>
            <c:numRef>
              <c:f>'Data Quality'!$B$12:$E$12</c:f>
              <c:numCache>
                <c:formatCode>0.0%</c:formatCode>
                <c:ptCount val="4"/>
                <c:pt idx="0">
                  <c:v>0.108</c:v>
                </c:pt>
                <c:pt idx="1">
                  <c:v>0.121</c:v>
                </c:pt>
                <c:pt idx="2">
                  <c:v>0.11899999999999999</c:v>
                </c:pt>
                <c:pt idx="3">
                  <c:v>0.13300000000000001</c:v>
                </c:pt>
              </c:numCache>
            </c:numRef>
          </c:val>
          <c:extLst>
            <c:ext xmlns:c16="http://schemas.microsoft.com/office/drawing/2014/chart" uri="{C3380CC4-5D6E-409C-BE32-E72D297353CC}">
              <c16:uniqueId val="{0000000A-186C-46E0-9C56-7BBD99CBD349}"/>
            </c:ext>
          </c:extLst>
        </c:ser>
        <c:dLbls>
          <c:dLblPos val="outEnd"/>
          <c:showLegendKey val="0"/>
          <c:showVal val="1"/>
          <c:showCatName val="0"/>
          <c:showSerName val="0"/>
          <c:showPercent val="0"/>
          <c:showBubbleSize val="0"/>
        </c:dLbls>
        <c:gapWidth val="219"/>
        <c:overlap val="-27"/>
        <c:axId val="490282264"/>
        <c:axId val="490282592"/>
      </c:barChart>
      <c:catAx>
        <c:axId val="490282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0282592"/>
        <c:crosses val="autoZero"/>
        <c:auto val="1"/>
        <c:lblAlgn val="ctr"/>
        <c:lblOffset val="100"/>
        <c:noMultiLvlLbl val="0"/>
      </c:catAx>
      <c:valAx>
        <c:axId val="49028259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02822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5"/>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Annual Sickness Absence Rates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'Sickness absence rates'!$A$28</c:f>
              <c:strCache>
                <c:ptCount val="1"/>
                <c:pt idx="0">
                  <c:v>NHS GJ</c:v>
                </c:pt>
              </c:strCache>
            </c:strRef>
          </c:tx>
          <c:spPr>
            <a:ln w="28575" cap="rnd">
              <a:solidFill>
                <a:schemeClr val="accent1"/>
              </a:solidFill>
              <a:round/>
            </a:ln>
            <a:effectLst/>
          </c:spPr>
          <c:marker>
            <c:symbol val="none"/>
          </c:marker>
          <c:cat>
            <c:strRef>
              <c:f>'Sickness absence rates'!$B$27:$H$27</c:f>
              <c:strCache>
                <c:ptCount val="7"/>
                <c:pt idx="0">
                  <c:v>2015/2016</c:v>
                </c:pt>
                <c:pt idx="1">
                  <c:v>2016/2017</c:v>
                </c:pt>
                <c:pt idx="2">
                  <c:v>2017/2018</c:v>
                </c:pt>
                <c:pt idx="3">
                  <c:v>2018/2019</c:v>
                </c:pt>
                <c:pt idx="4">
                  <c:v>2019/2020</c:v>
                </c:pt>
                <c:pt idx="5">
                  <c:v>2020/2021</c:v>
                </c:pt>
                <c:pt idx="6">
                  <c:v>2021/2022</c:v>
                </c:pt>
              </c:strCache>
            </c:strRef>
          </c:cat>
          <c:val>
            <c:numRef>
              <c:f>'Sickness absence rates'!$B$28:$H$28</c:f>
              <c:numCache>
                <c:formatCode>0.0%</c:formatCode>
                <c:ptCount val="7"/>
                <c:pt idx="0">
                  <c:v>5.1999999999999998E-2</c:v>
                </c:pt>
                <c:pt idx="1">
                  <c:v>4.7E-2</c:v>
                </c:pt>
                <c:pt idx="2">
                  <c:v>5.0999999999999997E-2</c:v>
                </c:pt>
                <c:pt idx="3">
                  <c:v>4.8000000000000001E-2</c:v>
                </c:pt>
                <c:pt idx="4">
                  <c:v>4.9000000000000002E-2</c:v>
                </c:pt>
                <c:pt idx="5">
                  <c:v>4.3999999999999997E-2</c:v>
                </c:pt>
                <c:pt idx="6">
                  <c:v>5.7000000000000002E-2</c:v>
                </c:pt>
              </c:numCache>
            </c:numRef>
          </c:val>
          <c:smooth val="0"/>
          <c:extLst>
            <c:ext xmlns:c16="http://schemas.microsoft.com/office/drawing/2014/chart" uri="{C3380CC4-5D6E-409C-BE32-E72D297353CC}">
              <c16:uniqueId val="{00000000-8C6D-4EE5-8105-0698AB482CE9}"/>
            </c:ext>
          </c:extLst>
        </c:ser>
        <c:ser>
          <c:idx val="1"/>
          <c:order val="1"/>
          <c:tx>
            <c:strRef>
              <c:f>'Sickness absence rates'!$A$29</c:f>
              <c:strCache>
                <c:ptCount val="1"/>
                <c:pt idx="0">
                  <c:v>National Boards</c:v>
                </c:pt>
              </c:strCache>
            </c:strRef>
          </c:tx>
          <c:spPr>
            <a:ln w="28575" cap="rnd">
              <a:solidFill>
                <a:schemeClr val="accent2"/>
              </a:solidFill>
              <a:round/>
            </a:ln>
            <a:effectLst/>
          </c:spPr>
          <c:marker>
            <c:symbol val="none"/>
          </c:marker>
          <c:cat>
            <c:strRef>
              <c:f>'Sickness absence rates'!$B$27:$H$27</c:f>
              <c:strCache>
                <c:ptCount val="7"/>
                <c:pt idx="0">
                  <c:v>2015/2016</c:v>
                </c:pt>
                <c:pt idx="1">
                  <c:v>2016/2017</c:v>
                </c:pt>
                <c:pt idx="2">
                  <c:v>2017/2018</c:v>
                </c:pt>
                <c:pt idx="3">
                  <c:v>2018/2019</c:v>
                </c:pt>
                <c:pt idx="4">
                  <c:v>2019/2020</c:v>
                </c:pt>
                <c:pt idx="5">
                  <c:v>2020/2021</c:v>
                </c:pt>
                <c:pt idx="6">
                  <c:v>2021/2022</c:v>
                </c:pt>
              </c:strCache>
            </c:strRef>
          </c:cat>
          <c:val>
            <c:numRef>
              <c:f>'Sickness absence rates'!$B$29:$H$29</c:f>
              <c:numCache>
                <c:formatCode>0.0%</c:formatCode>
                <c:ptCount val="7"/>
                <c:pt idx="0">
                  <c:v>5.7000000000000002E-2</c:v>
                </c:pt>
                <c:pt idx="1">
                  <c:v>5.8000000000000003E-2</c:v>
                </c:pt>
                <c:pt idx="2">
                  <c:v>0.06</c:v>
                </c:pt>
                <c:pt idx="3">
                  <c:v>5.8999999999999997E-2</c:v>
                </c:pt>
                <c:pt idx="4">
                  <c:v>4.2999999999999997E-2</c:v>
                </c:pt>
                <c:pt idx="5">
                  <c:v>4.2000000000000003E-2</c:v>
                </c:pt>
                <c:pt idx="6">
                  <c:v>5.8999999999999997E-2</c:v>
                </c:pt>
              </c:numCache>
            </c:numRef>
          </c:val>
          <c:smooth val="0"/>
          <c:extLst>
            <c:ext xmlns:c16="http://schemas.microsoft.com/office/drawing/2014/chart" uri="{C3380CC4-5D6E-409C-BE32-E72D297353CC}">
              <c16:uniqueId val="{00000001-8C6D-4EE5-8105-0698AB482CE9}"/>
            </c:ext>
          </c:extLst>
        </c:ser>
        <c:ser>
          <c:idx val="2"/>
          <c:order val="2"/>
          <c:tx>
            <c:strRef>
              <c:f>'Sickness absence rates'!$A$30</c:f>
              <c:strCache>
                <c:ptCount val="1"/>
                <c:pt idx="0">
                  <c:v>NHS Scotland</c:v>
                </c:pt>
              </c:strCache>
            </c:strRef>
          </c:tx>
          <c:spPr>
            <a:ln w="28575" cap="rnd">
              <a:solidFill>
                <a:schemeClr val="accent3"/>
              </a:solidFill>
              <a:round/>
            </a:ln>
            <a:effectLst/>
          </c:spPr>
          <c:marker>
            <c:symbol val="none"/>
          </c:marker>
          <c:cat>
            <c:strRef>
              <c:f>'Sickness absence rates'!$B$27:$H$27</c:f>
              <c:strCache>
                <c:ptCount val="7"/>
                <c:pt idx="0">
                  <c:v>2015/2016</c:v>
                </c:pt>
                <c:pt idx="1">
                  <c:v>2016/2017</c:v>
                </c:pt>
                <c:pt idx="2">
                  <c:v>2017/2018</c:v>
                </c:pt>
                <c:pt idx="3">
                  <c:v>2018/2019</c:v>
                </c:pt>
                <c:pt idx="4">
                  <c:v>2019/2020</c:v>
                </c:pt>
                <c:pt idx="5">
                  <c:v>2020/2021</c:v>
                </c:pt>
                <c:pt idx="6">
                  <c:v>2021/2022</c:v>
                </c:pt>
              </c:strCache>
            </c:strRef>
          </c:cat>
          <c:val>
            <c:numRef>
              <c:f>'Sickness absence rates'!$B$30:$H$30</c:f>
              <c:numCache>
                <c:formatCode>0.0%</c:formatCode>
                <c:ptCount val="7"/>
                <c:pt idx="0">
                  <c:v>5.1999999999999998E-2</c:v>
                </c:pt>
                <c:pt idx="1">
                  <c:v>5.1999999999999998E-2</c:v>
                </c:pt>
                <c:pt idx="2">
                  <c:v>5.3999999999999999E-2</c:v>
                </c:pt>
                <c:pt idx="3">
                  <c:v>5.3999999999999999E-2</c:v>
                </c:pt>
                <c:pt idx="4">
                  <c:v>5.2999999999999999E-2</c:v>
                </c:pt>
                <c:pt idx="5">
                  <c:v>4.7E-2</c:v>
                </c:pt>
                <c:pt idx="6">
                  <c:v>5.7000000000000002E-2</c:v>
                </c:pt>
              </c:numCache>
            </c:numRef>
          </c:val>
          <c:smooth val="0"/>
          <c:extLst>
            <c:ext xmlns:c16="http://schemas.microsoft.com/office/drawing/2014/chart" uri="{C3380CC4-5D6E-409C-BE32-E72D297353CC}">
              <c16:uniqueId val="{00000002-8C6D-4EE5-8105-0698AB482CE9}"/>
            </c:ext>
          </c:extLst>
        </c:ser>
        <c:dLbls>
          <c:showLegendKey val="0"/>
          <c:showVal val="0"/>
          <c:showCatName val="0"/>
          <c:showSerName val="0"/>
          <c:showPercent val="0"/>
          <c:showBubbleSize val="0"/>
        </c:dLbls>
        <c:smooth val="0"/>
        <c:axId val="473888288"/>
        <c:axId val="473891896"/>
      </c:lineChart>
      <c:catAx>
        <c:axId val="473888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891896"/>
        <c:crosses val="autoZero"/>
        <c:auto val="1"/>
        <c:lblAlgn val="ctr"/>
        <c:lblOffset val="100"/>
        <c:noMultiLvlLbl val="0"/>
      </c:catAx>
      <c:valAx>
        <c:axId val="473891896"/>
        <c:scaling>
          <c:orientation val="minMax"/>
          <c:min val="3.0000000000000006E-2"/>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8882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Sickness Absence Percentage</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Sheet1!$A$37</c:f>
              <c:strCache>
                <c:ptCount val="1"/>
                <c:pt idx="0">
                  <c:v>All Sickness Absence</c:v>
                </c:pt>
              </c:strCache>
            </c:strRef>
          </c:tx>
          <c:spPr>
            <a:ln w="28575" cap="rnd">
              <a:solidFill>
                <a:schemeClr val="accent1"/>
              </a:solidFill>
              <a:round/>
            </a:ln>
            <a:effectLst/>
          </c:spPr>
          <c:marker>
            <c:symbol val="none"/>
          </c:marker>
          <c:cat>
            <c:numRef>
              <c:f>Sheet1!$B$36:$M$36</c:f>
              <c:numCache>
                <c:formatCode>mmm\-yy</c:formatCode>
                <c:ptCount val="12"/>
                <c:pt idx="0">
                  <c:v>44287</c:v>
                </c:pt>
                <c:pt idx="1">
                  <c:v>44317</c:v>
                </c:pt>
                <c:pt idx="2">
                  <c:v>44348</c:v>
                </c:pt>
                <c:pt idx="3">
                  <c:v>44378</c:v>
                </c:pt>
                <c:pt idx="4">
                  <c:v>44409</c:v>
                </c:pt>
                <c:pt idx="5">
                  <c:v>44440</c:v>
                </c:pt>
                <c:pt idx="6">
                  <c:v>44470</c:v>
                </c:pt>
                <c:pt idx="7">
                  <c:v>44501</c:v>
                </c:pt>
                <c:pt idx="8">
                  <c:v>44531</c:v>
                </c:pt>
                <c:pt idx="9">
                  <c:v>44562</c:v>
                </c:pt>
                <c:pt idx="10">
                  <c:v>44593</c:v>
                </c:pt>
                <c:pt idx="11">
                  <c:v>44621</c:v>
                </c:pt>
              </c:numCache>
            </c:numRef>
          </c:cat>
          <c:val>
            <c:numRef>
              <c:f>Sheet1!$B$37:$M$37</c:f>
              <c:numCache>
                <c:formatCode>0.0%</c:formatCode>
                <c:ptCount val="12"/>
                <c:pt idx="0">
                  <c:v>4.9000000000000002E-2</c:v>
                </c:pt>
                <c:pt idx="1">
                  <c:v>4.8000000000000001E-2</c:v>
                </c:pt>
                <c:pt idx="2">
                  <c:v>0.05</c:v>
                </c:pt>
                <c:pt idx="3">
                  <c:v>5.5E-2</c:v>
                </c:pt>
                <c:pt idx="4">
                  <c:v>6.4000000000000001E-2</c:v>
                </c:pt>
                <c:pt idx="5">
                  <c:v>6.9000000000000006E-2</c:v>
                </c:pt>
                <c:pt idx="6">
                  <c:v>6.9000000000000006E-2</c:v>
                </c:pt>
                <c:pt idx="7">
                  <c:v>7.0999999999999994E-2</c:v>
                </c:pt>
                <c:pt idx="8">
                  <c:v>7.0999999999999994E-2</c:v>
                </c:pt>
                <c:pt idx="9">
                  <c:v>5.8999999999999997E-2</c:v>
                </c:pt>
                <c:pt idx="10">
                  <c:v>0.06</c:v>
                </c:pt>
                <c:pt idx="11">
                  <c:v>6.0199999999999997E-2</c:v>
                </c:pt>
              </c:numCache>
            </c:numRef>
          </c:val>
          <c:smooth val="0"/>
          <c:extLst>
            <c:ext xmlns:c16="http://schemas.microsoft.com/office/drawing/2014/chart" uri="{C3380CC4-5D6E-409C-BE32-E72D297353CC}">
              <c16:uniqueId val="{00000000-0F1D-4CDA-9FDE-F0B29B413A32}"/>
            </c:ext>
          </c:extLst>
        </c:ser>
        <c:ser>
          <c:idx val="1"/>
          <c:order val="1"/>
          <c:tx>
            <c:strRef>
              <c:f>Sheet1!$A$38</c:f>
              <c:strCache>
                <c:ptCount val="1"/>
                <c:pt idx="0">
                  <c:v>Long Term Sickness Absence</c:v>
                </c:pt>
              </c:strCache>
            </c:strRef>
          </c:tx>
          <c:spPr>
            <a:ln w="28575" cap="rnd">
              <a:solidFill>
                <a:schemeClr val="accent2"/>
              </a:solidFill>
              <a:round/>
            </a:ln>
            <a:effectLst/>
          </c:spPr>
          <c:marker>
            <c:symbol val="none"/>
          </c:marker>
          <c:cat>
            <c:numRef>
              <c:f>Sheet1!$B$36:$M$36</c:f>
              <c:numCache>
                <c:formatCode>mmm\-yy</c:formatCode>
                <c:ptCount val="12"/>
                <c:pt idx="0">
                  <c:v>44287</c:v>
                </c:pt>
                <c:pt idx="1">
                  <c:v>44317</c:v>
                </c:pt>
                <c:pt idx="2">
                  <c:v>44348</c:v>
                </c:pt>
                <c:pt idx="3">
                  <c:v>44378</c:v>
                </c:pt>
                <c:pt idx="4">
                  <c:v>44409</c:v>
                </c:pt>
                <c:pt idx="5">
                  <c:v>44440</c:v>
                </c:pt>
                <c:pt idx="6">
                  <c:v>44470</c:v>
                </c:pt>
                <c:pt idx="7">
                  <c:v>44501</c:v>
                </c:pt>
                <c:pt idx="8">
                  <c:v>44531</c:v>
                </c:pt>
                <c:pt idx="9">
                  <c:v>44562</c:v>
                </c:pt>
                <c:pt idx="10">
                  <c:v>44593</c:v>
                </c:pt>
                <c:pt idx="11">
                  <c:v>44621</c:v>
                </c:pt>
              </c:numCache>
            </c:numRef>
          </c:cat>
          <c:val>
            <c:numRef>
              <c:f>Sheet1!$B$38:$M$38</c:f>
              <c:numCache>
                <c:formatCode>0.0%</c:formatCode>
                <c:ptCount val="12"/>
                <c:pt idx="0">
                  <c:v>2.1999999999999999E-2</c:v>
                </c:pt>
                <c:pt idx="1">
                  <c:v>0.03</c:v>
                </c:pt>
                <c:pt idx="2">
                  <c:v>2.7E-2</c:v>
                </c:pt>
                <c:pt idx="3">
                  <c:v>3.5999999999999997E-2</c:v>
                </c:pt>
                <c:pt idx="4">
                  <c:v>3.6999999999999998E-2</c:v>
                </c:pt>
                <c:pt idx="5">
                  <c:v>4.1000000000000002E-2</c:v>
                </c:pt>
                <c:pt idx="6">
                  <c:v>4.2000000000000003E-2</c:v>
                </c:pt>
                <c:pt idx="7">
                  <c:v>3.7999999999999999E-2</c:v>
                </c:pt>
                <c:pt idx="8">
                  <c:v>4.4999999999999998E-2</c:v>
                </c:pt>
                <c:pt idx="9">
                  <c:v>3.9E-2</c:v>
                </c:pt>
                <c:pt idx="10">
                  <c:v>3.7999999999999999E-2</c:v>
                </c:pt>
                <c:pt idx="11">
                  <c:v>3.5999999999999997E-2</c:v>
                </c:pt>
              </c:numCache>
            </c:numRef>
          </c:val>
          <c:smooth val="0"/>
          <c:extLst>
            <c:ext xmlns:c16="http://schemas.microsoft.com/office/drawing/2014/chart" uri="{C3380CC4-5D6E-409C-BE32-E72D297353CC}">
              <c16:uniqueId val="{00000001-0F1D-4CDA-9FDE-F0B29B413A32}"/>
            </c:ext>
          </c:extLst>
        </c:ser>
        <c:ser>
          <c:idx val="2"/>
          <c:order val="2"/>
          <c:tx>
            <c:strRef>
              <c:f>Sheet1!$A$39</c:f>
              <c:strCache>
                <c:ptCount val="1"/>
                <c:pt idx="0">
                  <c:v>Short Term Sickness Absence</c:v>
                </c:pt>
              </c:strCache>
            </c:strRef>
          </c:tx>
          <c:spPr>
            <a:ln w="28575" cap="rnd">
              <a:solidFill>
                <a:schemeClr val="accent3"/>
              </a:solidFill>
              <a:round/>
            </a:ln>
            <a:effectLst/>
          </c:spPr>
          <c:marker>
            <c:symbol val="none"/>
          </c:marker>
          <c:cat>
            <c:numRef>
              <c:f>Sheet1!$B$36:$M$36</c:f>
              <c:numCache>
                <c:formatCode>mmm\-yy</c:formatCode>
                <c:ptCount val="12"/>
                <c:pt idx="0">
                  <c:v>44287</c:v>
                </c:pt>
                <c:pt idx="1">
                  <c:v>44317</c:v>
                </c:pt>
                <c:pt idx="2">
                  <c:v>44348</c:v>
                </c:pt>
                <c:pt idx="3">
                  <c:v>44378</c:v>
                </c:pt>
                <c:pt idx="4">
                  <c:v>44409</c:v>
                </c:pt>
                <c:pt idx="5">
                  <c:v>44440</c:v>
                </c:pt>
                <c:pt idx="6">
                  <c:v>44470</c:v>
                </c:pt>
                <c:pt idx="7">
                  <c:v>44501</c:v>
                </c:pt>
                <c:pt idx="8">
                  <c:v>44531</c:v>
                </c:pt>
                <c:pt idx="9">
                  <c:v>44562</c:v>
                </c:pt>
                <c:pt idx="10">
                  <c:v>44593</c:v>
                </c:pt>
                <c:pt idx="11">
                  <c:v>44621</c:v>
                </c:pt>
              </c:numCache>
            </c:numRef>
          </c:cat>
          <c:val>
            <c:numRef>
              <c:f>Sheet1!$B$39:$M$39</c:f>
              <c:numCache>
                <c:formatCode>0.0%</c:formatCode>
                <c:ptCount val="12"/>
                <c:pt idx="0">
                  <c:v>2.7000000000000003E-2</c:v>
                </c:pt>
                <c:pt idx="1">
                  <c:v>1.8000000000000002E-2</c:v>
                </c:pt>
                <c:pt idx="2">
                  <c:v>2.3000000000000003E-2</c:v>
                </c:pt>
                <c:pt idx="3">
                  <c:v>1.9000000000000003E-2</c:v>
                </c:pt>
                <c:pt idx="4">
                  <c:v>2.7000000000000003E-2</c:v>
                </c:pt>
                <c:pt idx="5">
                  <c:v>2.8000000000000004E-2</c:v>
                </c:pt>
                <c:pt idx="6">
                  <c:v>2.7000000000000003E-2</c:v>
                </c:pt>
                <c:pt idx="7">
                  <c:v>3.2999999999999995E-2</c:v>
                </c:pt>
                <c:pt idx="8">
                  <c:v>2.5999999999999995E-2</c:v>
                </c:pt>
                <c:pt idx="9">
                  <c:v>1.9999999999999997E-2</c:v>
                </c:pt>
                <c:pt idx="10">
                  <c:v>2.1999999999999999E-2</c:v>
                </c:pt>
                <c:pt idx="11">
                  <c:v>2.4199999999999999E-2</c:v>
                </c:pt>
              </c:numCache>
            </c:numRef>
          </c:val>
          <c:smooth val="0"/>
          <c:extLst>
            <c:ext xmlns:c16="http://schemas.microsoft.com/office/drawing/2014/chart" uri="{C3380CC4-5D6E-409C-BE32-E72D297353CC}">
              <c16:uniqueId val="{00000002-0F1D-4CDA-9FDE-F0B29B413A32}"/>
            </c:ext>
          </c:extLst>
        </c:ser>
        <c:dLbls>
          <c:showLegendKey val="0"/>
          <c:showVal val="0"/>
          <c:showCatName val="0"/>
          <c:showSerName val="0"/>
          <c:showPercent val="0"/>
          <c:showBubbleSize val="0"/>
        </c:dLbls>
        <c:smooth val="0"/>
        <c:axId val="688336936"/>
        <c:axId val="688333984"/>
      </c:lineChart>
      <c:dateAx>
        <c:axId val="688336936"/>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8333984"/>
        <c:crosses val="autoZero"/>
        <c:auto val="1"/>
        <c:lblOffset val="100"/>
        <c:baseTimeUnit val="months"/>
      </c:dateAx>
      <c:valAx>
        <c:axId val="6883339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83369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Sickness Absence Rate by Directorate</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'Sickness absence rates'!$C$1</c:f>
              <c:strCache>
                <c:ptCount val="1"/>
                <c:pt idx="0">
                  <c:v>Absence Rate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'Sickness absence rates'!$A$2:$A$5</c:f>
              <c:strCache>
                <c:ptCount val="4"/>
                <c:pt idx="0">
                  <c:v>Corporate</c:v>
                </c:pt>
                <c:pt idx="1">
                  <c:v>Golden Jubilee Conference Hotel</c:v>
                </c:pt>
                <c:pt idx="2">
                  <c:v>Heart Lung and Diagnostics Services</c:v>
                </c:pt>
                <c:pt idx="3">
                  <c:v>National Elective Services</c:v>
                </c:pt>
              </c:strCache>
            </c:strRef>
          </c:cat>
          <c:val>
            <c:numRef>
              <c:f>'Sickness absence rates'!$C$2:$C$5</c:f>
              <c:numCache>
                <c:formatCode>0.0%</c:formatCode>
                <c:ptCount val="4"/>
                <c:pt idx="0">
                  <c:v>4.0013893018347353E-2</c:v>
                </c:pt>
                <c:pt idx="1">
                  <c:v>2.0288068807169567E-2</c:v>
                </c:pt>
                <c:pt idx="2">
                  <c:v>6.5464158994914284E-2</c:v>
                </c:pt>
                <c:pt idx="3">
                  <c:v>6.6404442510727552E-2</c:v>
                </c:pt>
              </c:numCache>
            </c:numRef>
          </c:val>
          <c:extLst>
            <c:ext xmlns:c16="http://schemas.microsoft.com/office/drawing/2014/chart" uri="{C3380CC4-5D6E-409C-BE32-E72D297353CC}">
              <c16:uniqueId val="{00000000-1A81-44B3-A593-DADC0F4DC79E}"/>
            </c:ext>
          </c:extLst>
        </c:ser>
        <c:ser>
          <c:idx val="1"/>
          <c:order val="1"/>
          <c:tx>
            <c:strRef>
              <c:f>'Sickness absence rates'!$E$1</c:f>
              <c:strCache>
                <c:ptCount val="1"/>
                <c:pt idx="0">
                  <c:v>Long Term Absence Rate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'Sickness absence rates'!$A$2:$A$5</c:f>
              <c:strCache>
                <c:ptCount val="4"/>
                <c:pt idx="0">
                  <c:v>Corporate</c:v>
                </c:pt>
                <c:pt idx="1">
                  <c:v>Golden Jubilee Conference Hotel</c:v>
                </c:pt>
                <c:pt idx="2">
                  <c:v>Heart Lung and Diagnostics Services</c:v>
                </c:pt>
                <c:pt idx="3">
                  <c:v>National Elective Services</c:v>
                </c:pt>
              </c:strCache>
            </c:strRef>
          </c:cat>
          <c:val>
            <c:numRef>
              <c:f>'Sickness absence rates'!$E$2:$E$5</c:f>
              <c:numCache>
                <c:formatCode>0.0%</c:formatCode>
                <c:ptCount val="4"/>
                <c:pt idx="0">
                  <c:v>2.6132796322790055E-2</c:v>
                </c:pt>
                <c:pt idx="1">
                  <c:v>8.7592347306499219E-3</c:v>
                </c:pt>
                <c:pt idx="2">
                  <c:v>4.3424182396346038E-2</c:v>
                </c:pt>
                <c:pt idx="3">
                  <c:v>4.3262658904865386E-2</c:v>
                </c:pt>
              </c:numCache>
            </c:numRef>
          </c:val>
          <c:extLst>
            <c:ext xmlns:c16="http://schemas.microsoft.com/office/drawing/2014/chart" uri="{C3380CC4-5D6E-409C-BE32-E72D297353CC}">
              <c16:uniqueId val="{00000001-1A81-44B3-A593-DADC0F4DC79E}"/>
            </c:ext>
          </c:extLst>
        </c:ser>
        <c:ser>
          <c:idx val="2"/>
          <c:order val="2"/>
          <c:tx>
            <c:strRef>
              <c:f>'Sickness absence rates'!$G$1</c:f>
              <c:strCache>
                <c:ptCount val="1"/>
                <c:pt idx="0">
                  <c:v>Short Term Sickness Absence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'Sickness absence rates'!$A$2:$A$5</c:f>
              <c:strCache>
                <c:ptCount val="4"/>
                <c:pt idx="0">
                  <c:v>Corporate</c:v>
                </c:pt>
                <c:pt idx="1">
                  <c:v>Golden Jubilee Conference Hotel</c:v>
                </c:pt>
                <c:pt idx="2">
                  <c:v>Heart Lung and Diagnostics Services</c:v>
                </c:pt>
                <c:pt idx="3">
                  <c:v>National Elective Services</c:v>
                </c:pt>
              </c:strCache>
            </c:strRef>
          </c:cat>
          <c:val>
            <c:numRef>
              <c:f>'Sickness absence rates'!$G$2:$G$5</c:f>
              <c:numCache>
                <c:formatCode>0.0%</c:formatCode>
                <c:ptCount val="4"/>
                <c:pt idx="0">
                  <c:v>1.38810966955573E-2</c:v>
                </c:pt>
                <c:pt idx="1">
                  <c:v>1.1528834076519646E-2</c:v>
                </c:pt>
                <c:pt idx="2">
                  <c:v>2.203997659856825E-2</c:v>
                </c:pt>
                <c:pt idx="3">
                  <c:v>2.3141783605862162E-2</c:v>
                </c:pt>
              </c:numCache>
            </c:numRef>
          </c:val>
          <c:extLst>
            <c:ext xmlns:c16="http://schemas.microsoft.com/office/drawing/2014/chart" uri="{C3380CC4-5D6E-409C-BE32-E72D297353CC}">
              <c16:uniqueId val="{00000002-1A81-44B3-A593-DADC0F4DC79E}"/>
            </c:ext>
          </c:extLst>
        </c:ser>
        <c:dLbls>
          <c:dLblPos val="outEnd"/>
          <c:showLegendKey val="0"/>
          <c:showVal val="1"/>
          <c:showCatName val="0"/>
          <c:showSerName val="0"/>
          <c:showPercent val="0"/>
          <c:showBubbleSize val="0"/>
        </c:dLbls>
        <c:gapWidth val="219"/>
        <c:overlap val="-27"/>
        <c:axId val="686814160"/>
        <c:axId val="686807600"/>
      </c:barChart>
      <c:catAx>
        <c:axId val="686814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6807600"/>
        <c:crosses val="autoZero"/>
        <c:auto val="1"/>
        <c:lblAlgn val="ctr"/>
        <c:lblOffset val="100"/>
        <c:noMultiLvlLbl val="0"/>
      </c:catAx>
      <c:valAx>
        <c:axId val="686807600"/>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68141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'Sickness absence rates'!$A$27</c:f>
              <c:strCache>
                <c:ptCount val="1"/>
                <c:pt idx="0">
                  <c:v>Corporate</c:v>
                </c:pt>
              </c:strCache>
            </c:strRef>
          </c:tx>
          <c:spPr>
            <a:solidFill>
              <a:schemeClr val="accent1"/>
            </a:solidFill>
            <a:ln>
              <a:noFill/>
            </a:ln>
            <a:effectLst/>
          </c:spPr>
          <c:invertIfNegative val="0"/>
          <c:dLbls>
            <c:dLbl>
              <c:idx val="0"/>
              <c:layout>
                <c:manualLayout>
                  <c:x val="0"/>
                  <c:y val="-2.940311673037347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F7A-4AE3-84D7-025A352D5C17}"/>
                </c:ext>
              </c:extLst>
            </c:dLbl>
            <c:dLbl>
              <c:idx val="4"/>
              <c:layout>
                <c:manualLayout>
                  <c:x val="0"/>
                  <c:y val="-1.764187003822410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F7A-4AE3-84D7-025A352D5C17}"/>
                </c:ext>
              </c:extLst>
            </c:dLbl>
            <c:dLbl>
              <c:idx val="5"/>
              <c:layout>
                <c:manualLayout>
                  <c:x val="0"/>
                  <c:y val="-2.940311673037341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F7A-4AE3-84D7-025A352D5C1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cap="rnd">
                <a:solidFill>
                  <a:schemeClr val="accent1"/>
                </a:solidFill>
                <a:prstDash val="sysDot"/>
              </a:ln>
              <a:effectLst/>
            </c:spPr>
            <c:trendlineType val="linear"/>
            <c:dispRSqr val="0"/>
            <c:dispEq val="0"/>
          </c:trendline>
          <c:cat>
            <c:strRef>
              <c:f>'Sickness absence rates'!$B$26:$H$26</c:f>
              <c:strCache>
                <c:ptCount val="7"/>
                <c:pt idx="0">
                  <c:v>2015/
2016</c:v>
                </c:pt>
                <c:pt idx="1">
                  <c:v>2016/
2017</c:v>
                </c:pt>
                <c:pt idx="2">
                  <c:v>2017/
2018</c:v>
                </c:pt>
                <c:pt idx="3">
                  <c:v>2018/
2019</c:v>
                </c:pt>
                <c:pt idx="4">
                  <c:v>2019/
2020</c:v>
                </c:pt>
                <c:pt idx="5">
                  <c:v>2020/
2021</c:v>
                </c:pt>
                <c:pt idx="6">
                  <c:v>2021/
2022</c:v>
                </c:pt>
              </c:strCache>
            </c:strRef>
          </c:cat>
          <c:val>
            <c:numRef>
              <c:f>'Sickness absence rates'!$B$27:$H$27</c:f>
              <c:numCache>
                <c:formatCode>0.0%</c:formatCode>
                <c:ptCount val="7"/>
                <c:pt idx="0">
                  <c:v>3.7999999999999999E-2</c:v>
                </c:pt>
                <c:pt idx="1">
                  <c:v>4.1000000000000002E-2</c:v>
                </c:pt>
                <c:pt idx="2">
                  <c:v>0.05</c:v>
                </c:pt>
                <c:pt idx="3">
                  <c:v>3.9E-2</c:v>
                </c:pt>
                <c:pt idx="4">
                  <c:v>3.5000000000000003E-2</c:v>
                </c:pt>
                <c:pt idx="5">
                  <c:v>3.4000000000000002E-2</c:v>
                </c:pt>
                <c:pt idx="6">
                  <c:v>4.0013893018347353E-2</c:v>
                </c:pt>
              </c:numCache>
            </c:numRef>
          </c:val>
          <c:extLst>
            <c:ext xmlns:c16="http://schemas.microsoft.com/office/drawing/2014/chart" uri="{C3380CC4-5D6E-409C-BE32-E72D297353CC}">
              <c16:uniqueId val="{00000000-AEB0-487D-AED1-28492E5F8DD0}"/>
            </c:ext>
          </c:extLst>
        </c:ser>
        <c:dLbls>
          <c:showLegendKey val="0"/>
          <c:showVal val="0"/>
          <c:showCatName val="0"/>
          <c:showSerName val="0"/>
          <c:showPercent val="0"/>
          <c:showBubbleSize val="0"/>
        </c:dLbls>
        <c:gapWidth val="219"/>
        <c:overlap val="-27"/>
        <c:axId val="482921632"/>
        <c:axId val="482922616"/>
      </c:barChart>
      <c:catAx>
        <c:axId val="482921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2922616"/>
        <c:crosses val="autoZero"/>
        <c:auto val="1"/>
        <c:lblAlgn val="ctr"/>
        <c:lblOffset val="100"/>
        <c:noMultiLvlLbl val="0"/>
      </c:catAx>
      <c:valAx>
        <c:axId val="48292261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2921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'Sickness absence rates'!$A$28</c:f>
              <c:strCache>
                <c:ptCount val="1"/>
                <c:pt idx="0">
                  <c:v>Golden Jubilee Conference Hotel</c:v>
                </c:pt>
              </c:strCache>
            </c:strRef>
          </c:tx>
          <c:spPr>
            <a:solidFill>
              <a:schemeClr val="accent2"/>
            </a:solidFill>
            <a:ln>
              <a:noFill/>
            </a:ln>
            <a:effectLst/>
          </c:spPr>
          <c:invertIfNegative val="0"/>
          <c:dLbls>
            <c:dLbl>
              <c:idx val="2"/>
              <c:layout>
                <c:manualLayout>
                  <c:x val="-7.1866411397682443E-17"/>
                  <c:y val="-8.820935019112026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F5C-4677-A4D0-0A7C79CFB02F}"/>
                </c:ext>
              </c:extLst>
            </c:dLbl>
            <c:dLbl>
              <c:idx val="3"/>
              <c:layout>
                <c:manualLayout>
                  <c:x val="-7.1866411397682443E-17"/>
                  <c:y val="-3.528374007644810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F5C-4677-A4D0-0A7C79CFB02F}"/>
                </c:ext>
              </c:extLst>
            </c:dLbl>
            <c:dLbl>
              <c:idx val="4"/>
              <c:layout>
                <c:manualLayout>
                  <c:x val="0"/>
                  <c:y val="-9.40899735371949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F5C-4677-A4D0-0A7C79CFB02F}"/>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cap="rnd">
                <a:solidFill>
                  <a:schemeClr val="accent2"/>
                </a:solidFill>
                <a:prstDash val="sysDot"/>
              </a:ln>
              <a:effectLst/>
            </c:spPr>
            <c:trendlineType val="linear"/>
            <c:dispRSqr val="0"/>
            <c:dispEq val="0"/>
          </c:trendline>
          <c:cat>
            <c:strRef>
              <c:f>'Sickness absence rates'!$B$26:$H$26</c:f>
              <c:strCache>
                <c:ptCount val="7"/>
                <c:pt idx="0">
                  <c:v>2015/
2016</c:v>
                </c:pt>
                <c:pt idx="1">
                  <c:v>2016/
2017</c:v>
                </c:pt>
                <c:pt idx="2">
                  <c:v>2017/
2018</c:v>
                </c:pt>
                <c:pt idx="3">
                  <c:v>2018/
2019</c:v>
                </c:pt>
                <c:pt idx="4">
                  <c:v>2019/
2020</c:v>
                </c:pt>
                <c:pt idx="5">
                  <c:v>2020/
2021</c:v>
                </c:pt>
                <c:pt idx="6">
                  <c:v>2021/
2022</c:v>
                </c:pt>
              </c:strCache>
            </c:strRef>
          </c:cat>
          <c:val>
            <c:numRef>
              <c:f>'Sickness absence rates'!$B$28:$H$28</c:f>
              <c:numCache>
                <c:formatCode>0.0%</c:formatCode>
                <c:ptCount val="7"/>
                <c:pt idx="0">
                  <c:v>3.7999999999999999E-2</c:v>
                </c:pt>
                <c:pt idx="1">
                  <c:v>3.1E-2</c:v>
                </c:pt>
                <c:pt idx="2">
                  <c:v>2.1999999999999999E-2</c:v>
                </c:pt>
                <c:pt idx="3">
                  <c:v>2.3E-2</c:v>
                </c:pt>
                <c:pt idx="4">
                  <c:v>1.6E-2</c:v>
                </c:pt>
                <c:pt idx="5">
                  <c:v>2.5000000000000001E-2</c:v>
                </c:pt>
                <c:pt idx="6">
                  <c:v>2.0288068807169567E-2</c:v>
                </c:pt>
              </c:numCache>
            </c:numRef>
          </c:val>
          <c:extLst>
            <c:ext xmlns:c16="http://schemas.microsoft.com/office/drawing/2014/chart" uri="{C3380CC4-5D6E-409C-BE32-E72D297353CC}">
              <c16:uniqueId val="{00000000-CE07-410F-9A17-A41867721DA2}"/>
            </c:ext>
          </c:extLst>
        </c:ser>
        <c:dLbls>
          <c:showLegendKey val="0"/>
          <c:showVal val="0"/>
          <c:showCatName val="0"/>
          <c:showSerName val="0"/>
          <c:showPercent val="0"/>
          <c:showBubbleSize val="0"/>
        </c:dLbls>
        <c:gapWidth val="219"/>
        <c:overlap val="-27"/>
        <c:axId val="482921632"/>
        <c:axId val="482922616"/>
      </c:barChart>
      <c:catAx>
        <c:axId val="482921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2922616"/>
        <c:crosses val="autoZero"/>
        <c:auto val="1"/>
        <c:lblAlgn val="ctr"/>
        <c:lblOffset val="100"/>
        <c:noMultiLvlLbl val="0"/>
      </c:catAx>
      <c:valAx>
        <c:axId val="48292261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2921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'Sickness absence rates'!$A$29</c:f>
              <c:strCache>
                <c:ptCount val="1"/>
                <c:pt idx="0">
                  <c:v>Heart Lung and Diagnostics Services</c:v>
                </c:pt>
              </c:strCache>
            </c:strRef>
          </c:tx>
          <c:spPr>
            <a:solidFill>
              <a:schemeClr val="accent3"/>
            </a:solidFill>
            <a:ln>
              <a:noFill/>
            </a:ln>
            <a:effectLst/>
          </c:spPr>
          <c:invertIfNegative val="0"/>
          <c:dLbls>
            <c:dLbl>
              <c:idx val="1"/>
              <c:layout>
                <c:manualLayout>
                  <c:x val="-3.9200313602509177E-3"/>
                  <c:y val="-7.056748015289626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9A1-4B64-9F38-4938B8764894}"/>
                </c:ext>
              </c:extLst>
            </c:dLbl>
            <c:dLbl>
              <c:idx val="3"/>
              <c:layout>
                <c:manualLayout>
                  <c:x val="-7.1866411397682443E-17"/>
                  <c:y val="-7.056748015289615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9A1-4B64-9F38-4938B8764894}"/>
                </c:ext>
              </c:extLst>
            </c:dLbl>
            <c:dLbl>
              <c:idx val="5"/>
              <c:layout>
                <c:manualLayout>
                  <c:x val="0"/>
                  <c:y val="-7.056748015289621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9A1-4B64-9F38-4938B876489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cap="rnd">
                <a:solidFill>
                  <a:schemeClr val="accent3"/>
                </a:solidFill>
                <a:prstDash val="sysDot"/>
              </a:ln>
              <a:effectLst/>
            </c:spPr>
            <c:trendlineType val="linear"/>
            <c:dispRSqr val="0"/>
            <c:dispEq val="0"/>
          </c:trendline>
          <c:cat>
            <c:strRef>
              <c:f>'Sickness absence rates'!$B$26:$H$26</c:f>
              <c:strCache>
                <c:ptCount val="7"/>
                <c:pt idx="0">
                  <c:v>2015/
2016</c:v>
                </c:pt>
                <c:pt idx="1">
                  <c:v>2016/
2017</c:v>
                </c:pt>
                <c:pt idx="2">
                  <c:v>2017/
2018</c:v>
                </c:pt>
                <c:pt idx="3">
                  <c:v>2018/
2019</c:v>
                </c:pt>
                <c:pt idx="4">
                  <c:v>2019/
2020</c:v>
                </c:pt>
                <c:pt idx="5">
                  <c:v>2020/
2021</c:v>
                </c:pt>
                <c:pt idx="6">
                  <c:v>2021/
2022</c:v>
                </c:pt>
              </c:strCache>
            </c:strRef>
          </c:cat>
          <c:val>
            <c:numRef>
              <c:f>'Sickness absence rates'!$B$29:$H$29</c:f>
              <c:numCache>
                <c:formatCode>0.0%</c:formatCode>
                <c:ptCount val="7"/>
                <c:pt idx="0">
                  <c:v>4.9000000000000002E-2</c:v>
                </c:pt>
                <c:pt idx="1">
                  <c:v>3.5000000000000003E-2</c:v>
                </c:pt>
                <c:pt idx="2">
                  <c:v>4.8000000000000001E-2</c:v>
                </c:pt>
                <c:pt idx="3">
                  <c:v>3.5999999999999997E-2</c:v>
                </c:pt>
                <c:pt idx="4">
                  <c:v>5.7000000000000002E-2</c:v>
                </c:pt>
                <c:pt idx="5">
                  <c:v>4.4999999999999998E-2</c:v>
                </c:pt>
                <c:pt idx="6">
                  <c:v>6.5464158994914284E-2</c:v>
                </c:pt>
              </c:numCache>
            </c:numRef>
          </c:val>
          <c:extLst>
            <c:ext xmlns:c16="http://schemas.microsoft.com/office/drawing/2014/chart" uri="{C3380CC4-5D6E-409C-BE32-E72D297353CC}">
              <c16:uniqueId val="{00000000-BACF-40B1-B620-11049BE35BFB}"/>
            </c:ext>
          </c:extLst>
        </c:ser>
        <c:dLbls>
          <c:showLegendKey val="0"/>
          <c:showVal val="0"/>
          <c:showCatName val="0"/>
          <c:showSerName val="0"/>
          <c:showPercent val="0"/>
          <c:showBubbleSize val="0"/>
        </c:dLbls>
        <c:gapWidth val="219"/>
        <c:overlap val="-27"/>
        <c:axId val="482921632"/>
        <c:axId val="482922616"/>
      </c:barChart>
      <c:catAx>
        <c:axId val="482921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2922616"/>
        <c:crosses val="autoZero"/>
        <c:auto val="1"/>
        <c:lblAlgn val="ctr"/>
        <c:lblOffset val="100"/>
        <c:noMultiLvlLbl val="0"/>
      </c:catAx>
      <c:valAx>
        <c:axId val="48292261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2921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'Sickness absence rates'!$A$30</c:f>
              <c:strCache>
                <c:ptCount val="1"/>
                <c:pt idx="0">
                  <c:v>National Elective Services</c:v>
                </c:pt>
              </c:strCache>
            </c:strRef>
          </c:tx>
          <c:spPr>
            <a:solidFill>
              <a:schemeClr val="accent4"/>
            </a:solidFill>
            <a:ln>
              <a:noFill/>
            </a:ln>
            <a:effectLst/>
          </c:spPr>
          <c:invertIfNegative val="0"/>
          <c:dLbls>
            <c:dLbl>
              <c:idx val="5"/>
              <c:layout>
                <c:manualLayout>
                  <c:x val="0"/>
                  <c:y val="-2.940311673037344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8F6-4AAD-AF50-4D82604E6E1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cap="rnd">
                <a:solidFill>
                  <a:schemeClr val="accent4"/>
                </a:solidFill>
                <a:prstDash val="sysDot"/>
              </a:ln>
              <a:effectLst/>
            </c:spPr>
            <c:trendlineType val="linear"/>
            <c:dispRSqr val="0"/>
            <c:dispEq val="0"/>
          </c:trendline>
          <c:cat>
            <c:strRef>
              <c:f>'Sickness absence rates'!$B$26:$H$26</c:f>
              <c:strCache>
                <c:ptCount val="7"/>
                <c:pt idx="0">
                  <c:v>2015/
2016</c:v>
                </c:pt>
                <c:pt idx="1">
                  <c:v>2016/
2017</c:v>
                </c:pt>
                <c:pt idx="2">
                  <c:v>2017/
2018</c:v>
                </c:pt>
                <c:pt idx="3">
                  <c:v>2018/
2019</c:v>
                </c:pt>
                <c:pt idx="4">
                  <c:v>2019/
2020</c:v>
                </c:pt>
                <c:pt idx="5">
                  <c:v>2020/
2021</c:v>
                </c:pt>
                <c:pt idx="6">
                  <c:v>2021/
2022</c:v>
                </c:pt>
              </c:strCache>
            </c:strRef>
          </c:cat>
          <c:val>
            <c:numRef>
              <c:f>'Sickness absence rates'!$B$30:$H$30</c:f>
              <c:numCache>
                <c:formatCode>0.0%</c:formatCode>
                <c:ptCount val="7"/>
                <c:pt idx="0">
                  <c:v>6.3E-2</c:v>
                </c:pt>
                <c:pt idx="1">
                  <c:v>5.8999999999999997E-2</c:v>
                </c:pt>
                <c:pt idx="2">
                  <c:v>5.6000000000000001E-2</c:v>
                </c:pt>
                <c:pt idx="3">
                  <c:v>6.0999999999999999E-2</c:v>
                </c:pt>
                <c:pt idx="4">
                  <c:v>5.6000000000000001E-2</c:v>
                </c:pt>
                <c:pt idx="5">
                  <c:v>5.2999999999999999E-2</c:v>
                </c:pt>
                <c:pt idx="6">
                  <c:v>6.6404442510727552E-2</c:v>
                </c:pt>
              </c:numCache>
            </c:numRef>
          </c:val>
          <c:extLst>
            <c:ext xmlns:c16="http://schemas.microsoft.com/office/drawing/2014/chart" uri="{C3380CC4-5D6E-409C-BE32-E72D297353CC}">
              <c16:uniqueId val="{00000000-3865-4A28-839A-D13A05372320}"/>
            </c:ext>
          </c:extLst>
        </c:ser>
        <c:dLbls>
          <c:showLegendKey val="0"/>
          <c:showVal val="0"/>
          <c:showCatName val="0"/>
          <c:showSerName val="0"/>
          <c:showPercent val="0"/>
          <c:showBubbleSize val="0"/>
        </c:dLbls>
        <c:gapWidth val="219"/>
        <c:overlap val="-27"/>
        <c:axId val="482921632"/>
        <c:axId val="482922616"/>
      </c:barChart>
      <c:catAx>
        <c:axId val="482921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2922616"/>
        <c:crosses val="autoZero"/>
        <c:auto val="1"/>
        <c:lblAlgn val="ctr"/>
        <c:lblOffset val="100"/>
        <c:noMultiLvlLbl val="0"/>
      </c:catAx>
      <c:valAx>
        <c:axId val="48292261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2921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Percentage of Sickness Absence by Job Family</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9133625730994158E-2"/>
          <c:y val="0.26511250000000003"/>
          <c:w val="0.91044239766081869"/>
          <c:h val="0.31709027777777776"/>
        </c:manualLayout>
      </c:layout>
      <c:barChart>
        <c:barDir val="col"/>
        <c:grouping val="clustered"/>
        <c:varyColors val="0"/>
        <c:ser>
          <c:idx val="0"/>
          <c:order val="0"/>
          <c:tx>
            <c:strRef>
              <c:f>'Sickness absence rates'!$D$59</c:f>
              <c:strCache>
                <c:ptCount val="1"/>
                <c:pt idx="0">
                  <c:v>% of Sickness Absence</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accen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'Sickness absence rates'!$A$60:$A$69</c:f>
              <c:strCache>
                <c:ptCount val="10"/>
                <c:pt idx="0">
                  <c:v>Administrative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Senior
Managers</c:v>
                </c:pt>
                <c:pt idx="9">
                  <c:v>Support
Services</c:v>
                </c:pt>
              </c:strCache>
            </c:strRef>
          </c:cat>
          <c:val>
            <c:numRef>
              <c:f>'Sickness absence rates'!$D$60:$D$69</c:f>
              <c:numCache>
                <c:formatCode>0.0%</c:formatCode>
                <c:ptCount val="10"/>
                <c:pt idx="0">
                  <c:v>0.10577920971082894</c:v>
                </c:pt>
                <c:pt idx="1">
                  <c:v>4.7580968652624067E-2</c:v>
                </c:pt>
                <c:pt idx="2">
                  <c:v>5.8280797814001119E-2</c:v>
                </c:pt>
                <c:pt idx="3">
                  <c:v>1.0154063071596999E-2</c:v>
                </c:pt>
                <c:pt idx="4">
                  <c:v>1.5755617887402335E-2</c:v>
                </c:pt>
                <c:pt idx="5">
                  <c:v>0.62314419679636146</c:v>
                </c:pt>
                <c:pt idx="6">
                  <c:v>1.8583906475175237E-2</c:v>
                </c:pt>
                <c:pt idx="7">
                  <c:v>0</c:v>
                </c:pt>
                <c:pt idx="8">
                  <c:v>0</c:v>
                </c:pt>
                <c:pt idx="9">
                  <c:v>0.12072123959200989</c:v>
                </c:pt>
              </c:numCache>
            </c:numRef>
          </c:val>
          <c:extLst>
            <c:ext xmlns:c16="http://schemas.microsoft.com/office/drawing/2014/chart" uri="{C3380CC4-5D6E-409C-BE32-E72D297353CC}">
              <c16:uniqueId val="{00000000-3FE2-46AF-8922-213B6E6CC84F}"/>
            </c:ext>
          </c:extLst>
        </c:ser>
        <c:ser>
          <c:idx val="1"/>
          <c:order val="1"/>
          <c:tx>
            <c:strRef>
              <c:f>'Sickness absence rates'!$E$59</c:f>
              <c:strCache>
                <c:ptCount val="1"/>
                <c:pt idx="0">
                  <c:v>% of Workforce</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'Sickness absence rates'!$A$60:$A$69</c:f>
              <c:strCache>
                <c:ptCount val="10"/>
                <c:pt idx="0">
                  <c:v>Administrative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Senior
Managers</c:v>
                </c:pt>
                <c:pt idx="9">
                  <c:v>Support
Services</c:v>
                </c:pt>
              </c:strCache>
            </c:strRef>
          </c:cat>
          <c:val>
            <c:numRef>
              <c:f>'Sickness absence rates'!$E$60:$E$69</c:f>
              <c:numCache>
                <c:formatCode>0.0%</c:formatCode>
                <c:ptCount val="10"/>
                <c:pt idx="0">
                  <c:v>0.20699999999999999</c:v>
                </c:pt>
                <c:pt idx="1">
                  <c:v>6.7000000000000004E-2</c:v>
                </c:pt>
                <c:pt idx="2">
                  <c:v>6.7000000000000004E-2</c:v>
                </c:pt>
                <c:pt idx="3">
                  <c:v>7.3999999999999996E-2</c:v>
                </c:pt>
                <c:pt idx="4">
                  <c:v>1.2E-2</c:v>
                </c:pt>
                <c:pt idx="5">
                  <c:v>0.437</c:v>
                </c:pt>
                <c:pt idx="6">
                  <c:v>2.4E-2</c:v>
                </c:pt>
                <c:pt idx="7">
                  <c:v>1E-3</c:v>
                </c:pt>
                <c:pt idx="8">
                  <c:v>4.0000000000000001E-3</c:v>
                </c:pt>
                <c:pt idx="9">
                  <c:v>0.107</c:v>
                </c:pt>
              </c:numCache>
            </c:numRef>
          </c:val>
          <c:extLst>
            <c:ext xmlns:c16="http://schemas.microsoft.com/office/drawing/2014/chart" uri="{C3380CC4-5D6E-409C-BE32-E72D297353CC}">
              <c16:uniqueId val="{00000001-3FE2-46AF-8922-213B6E6CC84F}"/>
            </c:ext>
          </c:extLst>
        </c:ser>
        <c:dLbls>
          <c:dLblPos val="outEnd"/>
          <c:showLegendKey val="0"/>
          <c:showVal val="1"/>
          <c:showCatName val="0"/>
          <c:showSerName val="0"/>
          <c:showPercent val="0"/>
          <c:showBubbleSize val="0"/>
        </c:dLbls>
        <c:gapWidth val="219"/>
        <c:overlap val="-27"/>
        <c:axId val="688321520"/>
        <c:axId val="688322504"/>
      </c:barChart>
      <c:catAx>
        <c:axId val="688321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8322504"/>
        <c:crosses val="autoZero"/>
        <c:auto val="1"/>
        <c:lblAlgn val="ctr"/>
        <c:lblOffset val="100"/>
        <c:noMultiLvlLbl val="0"/>
      </c:catAx>
      <c:valAx>
        <c:axId val="68832250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83215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Proportion of Sickness Absence by Age Range and Gender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Sheet2!$B$32</c:f>
              <c:strCache>
                <c:ptCount val="1"/>
                <c:pt idx="0">
                  <c:v>Female</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Sheet2!$A$33:$A$43</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Sheet2!$B$33:$B$43</c:f>
              <c:numCache>
                <c:formatCode>0.0%</c:formatCode>
                <c:ptCount val="11"/>
                <c:pt idx="0">
                  <c:v>6.9600242654286012E-5</c:v>
                </c:pt>
                <c:pt idx="1">
                  <c:v>1.8098986300305844E-2</c:v>
                </c:pt>
                <c:pt idx="2">
                  <c:v>7.5303843339319415E-2</c:v>
                </c:pt>
                <c:pt idx="3">
                  <c:v>0.10444170652556567</c:v>
                </c:pt>
                <c:pt idx="4">
                  <c:v>0.10487475923536062</c:v>
                </c:pt>
                <c:pt idx="5">
                  <c:v>0.11020442101669346</c:v>
                </c:pt>
                <c:pt idx="6">
                  <c:v>9.3143731136304253E-2</c:v>
                </c:pt>
                <c:pt idx="7">
                  <c:v>0.12506175281529505</c:v>
                </c:pt>
                <c:pt idx="8">
                  <c:v>9.99296619947736E-2</c:v>
                </c:pt>
                <c:pt idx="9">
                  <c:v>6.3647194699579621E-2</c:v>
                </c:pt>
                <c:pt idx="10">
                  <c:v>7.8941523221726581E-3</c:v>
                </c:pt>
              </c:numCache>
            </c:numRef>
          </c:val>
          <c:extLst>
            <c:ext xmlns:c16="http://schemas.microsoft.com/office/drawing/2014/chart" uri="{C3380CC4-5D6E-409C-BE32-E72D297353CC}">
              <c16:uniqueId val="{00000000-EA62-4E4D-AA91-65C56EA93AAE}"/>
            </c:ext>
          </c:extLst>
        </c:ser>
        <c:ser>
          <c:idx val="1"/>
          <c:order val="1"/>
          <c:tx>
            <c:strRef>
              <c:f>Sheet2!$C$32</c:f>
              <c:strCache>
                <c:ptCount val="1"/>
                <c:pt idx="0">
                  <c:v>Male</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Sheet2!$A$33:$A$43</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Sheet2!$C$33:$C$43</c:f>
              <c:numCache>
                <c:formatCode>0.0%</c:formatCode>
                <c:ptCount val="11"/>
                <c:pt idx="0">
                  <c:v>0</c:v>
                </c:pt>
                <c:pt idx="1">
                  <c:v>3.276593823516707E-3</c:v>
                </c:pt>
                <c:pt idx="2">
                  <c:v>1.2542010126464109E-2</c:v>
                </c:pt>
                <c:pt idx="3">
                  <c:v>1.3530194371669661E-2</c:v>
                </c:pt>
                <c:pt idx="4">
                  <c:v>1.8020616427077116E-2</c:v>
                </c:pt>
                <c:pt idx="5">
                  <c:v>3.3061553665800714E-2</c:v>
                </c:pt>
                <c:pt idx="6">
                  <c:v>2.6559174195904922E-2</c:v>
                </c:pt>
                <c:pt idx="7">
                  <c:v>3.6693479928148441E-2</c:v>
                </c:pt>
                <c:pt idx="8">
                  <c:v>3.6056637707861716E-2</c:v>
                </c:pt>
                <c:pt idx="9">
                  <c:v>1.2659263335255695E-2</c:v>
                </c:pt>
                <c:pt idx="10">
                  <c:v>4.9306667902766985E-3</c:v>
                </c:pt>
              </c:numCache>
            </c:numRef>
          </c:val>
          <c:extLst>
            <c:ext xmlns:c16="http://schemas.microsoft.com/office/drawing/2014/chart" uri="{C3380CC4-5D6E-409C-BE32-E72D297353CC}">
              <c16:uniqueId val="{00000001-EA62-4E4D-AA91-65C56EA93AAE}"/>
            </c:ext>
          </c:extLst>
        </c:ser>
        <c:ser>
          <c:idx val="2"/>
          <c:order val="2"/>
          <c:tx>
            <c:strRef>
              <c:f>Sheet2!$D$32</c:f>
              <c:strCache>
                <c:ptCount val="1"/>
                <c:pt idx="0">
                  <c:v>Total</c:v>
                </c:pt>
              </c:strCache>
            </c:strRef>
          </c:tx>
          <c:spPr>
            <a:solidFill>
              <a:schemeClr val="accent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Sheet2!$A$33:$A$43</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Sheet2!$D$33:$D$43</c:f>
              <c:numCache>
                <c:formatCode>0.0%</c:formatCode>
                <c:ptCount val="11"/>
                <c:pt idx="0">
                  <c:v>6.9600242654286012E-5</c:v>
                </c:pt>
                <c:pt idx="1">
                  <c:v>2.1375580123822551E-2</c:v>
                </c:pt>
                <c:pt idx="2">
                  <c:v>8.7845853465783538E-2</c:v>
                </c:pt>
                <c:pt idx="3">
                  <c:v>0.11797190089723532</c:v>
                </c:pt>
                <c:pt idx="4">
                  <c:v>0.12289537566243773</c:v>
                </c:pt>
                <c:pt idx="5">
                  <c:v>0.14326597468249419</c:v>
                </c:pt>
                <c:pt idx="6">
                  <c:v>0.11970290533220918</c:v>
                </c:pt>
                <c:pt idx="7">
                  <c:v>0.16175523274344347</c:v>
                </c:pt>
                <c:pt idx="8">
                  <c:v>0.13598629970263532</c:v>
                </c:pt>
                <c:pt idx="9">
                  <c:v>7.6306458034835309E-2</c:v>
                </c:pt>
                <c:pt idx="10">
                  <c:v>1.2824819112449358E-2</c:v>
                </c:pt>
              </c:numCache>
            </c:numRef>
          </c:val>
          <c:extLst>
            <c:ext xmlns:c16="http://schemas.microsoft.com/office/drawing/2014/chart" uri="{C3380CC4-5D6E-409C-BE32-E72D297353CC}">
              <c16:uniqueId val="{00000002-EA62-4E4D-AA91-65C56EA93AAE}"/>
            </c:ext>
          </c:extLst>
        </c:ser>
        <c:dLbls>
          <c:dLblPos val="outEnd"/>
          <c:showLegendKey val="0"/>
          <c:showVal val="1"/>
          <c:showCatName val="0"/>
          <c:showSerName val="0"/>
          <c:showPercent val="0"/>
          <c:showBubbleSize val="0"/>
        </c:dLbls>
        <c:gapWidth val="219"/>
        <c:overlap val="-27"/>
        <c:axId val="509653032"/>
        <c:axId val="509660904"/>
      </c:barChart>
      <c:catAx>
        <c:axId val="509653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9660904"/>
        <c:crosses val="autoZero"/>
        <c:auto val="1"/>
        <c:lblAlgn val="ctr"/>
        <c:lblOffset val="100"/>
        <c:noMultiLvlLbl val="0"/>
      </c:catAx>
      <c:valAx>
        <c:axId val="50966090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96530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Proportion of Workforce by Age Range and Gender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Gender!$B$55</c:f>
              <c:strCache>
                <c:ptCount val="1"/>
                <c:pt idx="0">
                  <c:v>Female</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Gender!$A$56:$A$66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Gender!$B$56:$B$66</c:f>
              <c:numCache>
                <c:formatCode>0.0%</c:formatCode>
                <c:ptCount val="11"/>
                <c:pt idx="0">
                  <c:v>1.8744142455482662E-3</c:v>
                </c:pt>
                <c:pt idx="1">
                  <c:v>3.2333645735707593E-2</c:v>
                </c:pt>
                <c:pt idx="2">
                  <c:v>8.575445173383317E-2</c:v>
                </c:pt>
                <c:pt idx="3">
                  <c:v>9.7938144329896906E-2</c:v>
                </c:pt>
                <c:pt idx="4">
                  <c:v>9.840674789128398E-2</c:v>
                </c:pt>
                <c:pt idx="5">
                  <c:v>8.9034676663542645E-2</c:v>
                </c:pt>
                <c:pt idx="6">
                  <c:v>8.9503280224929704E-2</c:v>
                </c:pt>
                <c:pt idx="7">
                  <c:v>0.10356138706654171</c:v>
                </c:pt>
                <c:pt idx="8">
                  <c:v>9.2783505154639179E-2</c:v>
                </c:pt>
                <c:pt idx="9">
                  <c:v>4.5454545454545456E-2</c:v>
                </c:pt>
                <c:pt idx="10">
                  <c:v>1.1715089034676664E-2</c:v>
                </c:pt>
              </c:numCache>
            </c:numRef>
          </c:val>
          <c:extLst>
            <c:ext xmlns:c16="http://schemas.microsoft.com/office/drawing/2014/chart" uri="{C3380CC4-5D6E-409C-BE32-E72D297353CC}">
              <c16:uniqueId val="{00000000-A005-46A3-A486-258F5422F111}"/>
            </c:ext>
          </c:extLst>
        </c:ser>
        <c:ser>
          <c:idx val="1"/>
          <c:order val="1"/>
          <c:tx>
            <c:strRef>
              <c:f>Gender!$C$55</c:f>
              <c:strCache>
                <c:ptCount val="1"/>
                <c:pt idx="0">
                  <c:v>Male</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Gender!$A$56:$A$66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Gender!$C$56:$C$66</c:f>
              <c:numCache>
                <c:formatCode>0.0%</c:formatCode>
                <c:ptCount val="11"/>
                <c:pt idx="0">
                  <c:v>4.6860356138706655E-4</c:v>
                </c:pt>
                <c:pt idx="1">
                  <c:v>6.5604498594189313E-3</c:v>
                </c:pt>
                <c:pt idx="2">
                  <c:v>2.2492970946579195E-2</c:v>
                </c:pt>
                <c:pt idx="3">
                  <c:v>2.2492970946579195E-2</c:v>
                </c:pt>
                <c:pt idx="4">
                  <c:v>3.0927835051546393E-2</c:v>
                </c:pt>
                <c:pt idx="5">
                  <c:v>3.7019681349578254E-2</c:v>
                </c:pt>
                <c:pt idx="6">
                  <c:v>3.9362699156513588E-2</c:v>
                </c:pt>
                <c:pt idx="7">
                  <c:v>4.1237113402061855E-2</c:v>
                </c:pt>
                <c:pt idx="8">
                  <c:v>2.9053420805998126E-2</c:v>
                </c:pt>
                <c:pt idx="9">
                  <c:v>1.7338331771321464E-2</c:v>
                </c:pt>
                <c:pt idx="10">
                  <c:v>4.6860356138706651E-3</c:v>
                </c:pt>
              </c:numCache>
            </c:numRef>
          </c:val>
          <c:extLst>
            <c:ext xmlns:c16="http://schemas.microsoft.com/office/drawing/2014/chart" uri="{C3380CC4-5D6E-409C-BE32-E72D297353CC}">
              <c16:uniqueId val="{00000001-A005-46A3-A486-258F5422F111}"/>
            </c:ext>
          </c:extLst>
        </c:ser>
        <c:ser>
          <c:idx val="2"/>
          <c:order val="2"/>
          <c:tx>
            <c:strRef>
              <c:f>Gender!$D$55</c:f>
              <c:strCache>
                <c:ptCount val="1"/>
                <c:pt idx="0">
                  <c:v>Total</c:v>
                </c:pt>
              </c:strCache>
            </c:strRef>
          </c:tx>
          <c:spPr>
            <a:solidFill>
              <a:schemeClr val="accent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Gender!$A$56:$A$66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Gender!$D$56:$D$66</c:f>
              <c:numCache>
                <c:formatCode>0.0%</c:formatCode>
                <c:ptCount val="11"/>
                <c:pt idx="0">
                  <c:v>2.3430178069353325E-3</c:v>
                </c:pt>
                <c:pt idx="1">
                  <c:v>3.8894095595126521E-2</c:v>
                </c:pt>
                <c:pt idx="2">
                  <c:v>0.10824742268041238</c:v>
                </c:pt>
                <c:pt idx="3">
                  <c:v>0.1204311152764761</c:v>
                </c:pt>
                <c:pt idx="4">
                  <c:v>0.12933458294283037</c:v>
                </c:pt>
                <c:pt idx="5">
                  <c:v>0.1260543580131209</c:v>
                </c:pt>
                <c:pt idx="6">
                  <c:v>0.12886597938144329</c:v>
                </c:pt>
                <c:pt idx="7">
                  <c:v>0.14479850046860357</c:v>
                </c:pt>
                <c:pt idx="8">
                  <c:v>0.1218369259606373</c:v>
                </c:pt>
                <c:pt idx="9">
                  <c:v>6.2792877225866919E-2</c:v>
                </c:pt>
                <c:pt idx="10">
                  <c:v>1.640112464854733E-2</c:v>
                </c:pt>
              </c:numCache>
            </c:numRef>
          </c:val>
          <c:extLst>
            <c:ext xmlns:c16="http://schemas.microsoft.com/office/drawing/2014/chart" uri="{C3380CC4-5D6E-409C-BE32-E72D297353CC}">
              <c16:uniqueId val="{00000002-A005-46A3-A486-258F5422F111}"/>
            </c:ext>
          </c:extLst>
        </c:ser>
        <c:dLbls>
          <c:dLblPos val="outEnd"/>
          <c:showLegendKey val="0"/>
          <c:showVal val="1"/>
          <c:showCatName val="0"/>
          <c:showSerName val="0"/>
          <c:showPercent val="0"/>
          <c:showBubbleSize val="0"/>
        </c:dLbls>
        <c:gapWidth val="219"/>
        <c:overlap val="-27"/>
        <c:axId val="531520776"/>
        <c:axId val="531522088"/>
      </c:barChart>
      <c:catAx>
        <c:axId val="531520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522088"/>
        <c:crosses val="autoZero"/>
        <c:auto val="1"/>
        <c:lblAlgn val="ctr"/>
        <c:lblOffset val="100"/>
        <c:noMultiLvlLbl val="0"/>
      </c:catAx>
      <c:valAx>
        <c:axId val="53152208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5207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Headcount by Directorate</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'Directorate information'!$B$191</c:f>
              <c:strCache>
                <c:ptCount val="1"/>
                <c:pt idx="0">
                  <c:v>2015</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'Directorate information'!$A$192:$A$195</c:f>
              <c:strCache>
                <c:ptCount val="4"/>
                <c:pt idx="0">
                  <c:v>Corporate</c:v>
                </c:pt>
                <c:pt idx="1">
                  <c:v>Golden Jubilee Conference Hotel</c:v>
                </c:pt>
                <c:pt idx="2">
                  <c:v>Heart Lung and Diagnostics Services</c:v>
                </c:pt>
                <c:pt idx="3">
                  <c:v>National Elective Services</c:v>
                </c:pt>
              </c:strCache>
            </c:strRef>
          </c:cat>
          <c:val>
            <c:numRef>
              <c:f>'Directorate information'!$B$192:$B$195</c:f>
              <c:numCache>
                <c:formatCode>General</c:formatCode>
                <c:ptCount val="4"/>
                <c:pt idx="0">
                  <c:v>419</c:v>
                </c:pt>
                <c:pt idx="1">
                  <c:v>82</c:v>
                </c:pt>
                <c:pt idx="2">
                  <c:v>384</c:v>
                </c:pt>
                <c:pt idx="3">
                  <c:v>803</c:v>
                </c:pt>
              </c:numCache>
            </c:numRef>
          </c:val>
          <c:extLst>
            <c:ext xmlns:c16="http://schemas.microsoft.com/office/drawing/2014/chart" uri="{C3380CC4-5D6E-409C-BE32-E72D297353CC}">
              <c16:uniqueId val="{00000000-3015-4721-BB2E-65FE5845F872}"/>
            </c:ext>
          </c:extLst>
        </c:ser>
        <c:ser>
          <c:idx val="1"/>
          <c:order val="1"/>
          <c:tx>
            <c:strRef>
              <c:f>'Directorate information'!$C$191</c:f>
              <c:strCache>
                <c:ptCount val="1"/>
                <c:pt idx="0">
                  <c:v>2016</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'Directorate information'!$A$192:$A$195</c:f>
              <c:strCache>
                <c:ptCount val="4"/>
                <c:pt idx="0">
                  <c:v>Corporate</c:v>
                </c:pt>
                <c:pt idx="1">
                  <c:v>Golden Jubilee Conference Hotel</c:v>
                </c:pt>
                <c:pt idx="2">
                  <c:v>Heart Lung and Diagnostics Services</c:v>
                </c:pt>
                <c:pt idx="3">
                  <c:v>National Elective Services</c:v>
                </c:pt>
              </c:strCache>
            </c:strRef>
          </c:cat>
          <c:val>
            <c:numRef>
              <c:f>'Directorate information'!$C$192:$C$195</c:f>
              <c:numCache>
                <c:formatCode>General</c:formatCode>
                <c:ptCount val="4"/>
                <c:pt idx="0">
                  <c:v>437</c:v>
                </c:pt>
                <c:pt idx="1">
                  <c:v>91</c:v>
                </c:pt>
                <c:pt idx="2">
                  <c:v>395</c:v>
                </c:pt>
                <c:pt idx="3">
                  <c:v>828</c:v>
                </c:pt>
              </c:numCache>
            </c:numRef>
          </c:val>
          <c:extLst>
            <c:ext xmlns:c16="http://schemas.microsoft.com/office/drawing/2014/chart" uri="{C3380CC4-5D6E-409C-BE32-E72D297353CC}">
              <c16:uniqueId val="{00000001-3015-4721-BB2E-65FE5845F872}"/>
            </c:ext>
          </c:extLst>
        </c:ser>
        <c:ser>
          <c:idx val="2"/>
          <c:order val="2"/>
          <c:tx>
            <c:strRef>
              <c:f>'Directorate information'!$D$191</c:f>
              <c:strCache>
                <c:ptCount val="1"/>
                <c:pt idx="0">
                  <c:v>2017</c:v>
                </c:pt>
              </c:strCache>
            </c:strRef>
          </c:tx>
          <c:spPr>
            <a:solidFill>
              <a:schemeClr val="accent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'Directorate information'!$A$192:$A$195</c:f>
              <c:strCache>
                <c:ptCount val="4"/>
                <c:pt idx="0">
                  <c:v>Corporate</c:v>
                </c:pt>
                <c:pt idx="1">
                  <c:v>Golden Jubilee Conference Hotel</c:v>
                </c:pt>
                <c:pt idx="2">
                  <c:v>Heart Lung and Diagnostics Services</c:v>
                </c:pt>
                <c:pt idx="3">
                  <c:v>National Elective Services</c:v>
                </c:pt>
              </c:strCache>
            </c:strRef>
          </c:cat>
          <c:val>
            <c:numRef>
              <c:f>'Directorate information'!$D$192:$D$195</c:f>
              <c:numCache>
                <c:formatCode>General</c:formatCode>
                <c:ptCount val="4"/>
                <c:pt idx="0">
                  <c:v>437</c:v>
                </c:pt>
                <c:pt idx="1">
                  <c:v>94</c:v>
                </c:pt>
                <c:pt idx="2">
                  <c:v>414</c:v>
                </c:pt>
                <c:pt idx="3">
                  <c:v>844</c:v>
                </c:pt>
              </c:numCache>
            </c:numRef>
          </c:val>
          <c:extLst>
            <c:ext xmlns:c16="http://schemas.microsoft.com/office/drawing/2014/chart" uri="{C3380CC4-5D6E-409C-BE32-E72D297353CC}">
              <c16:uniqueId val="{00000002-3015-4721-BB2E-65FE5845F872}"/>
            </c:ext>
          </c:extLst>
        </c:ser>
        <c:ser>
          <c:idx val="3"/>
          <c:order val="3"/>
          <c:tx>
            <c:strRef>
              <c:f>'Directorate information'!$E$191</c:f>
              <c:strCache>
                <c:ptCount val="1"/>
                <c:pt idx="0">
                  <c:v>2018</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'Directorate information'!$A$192:$A$195</c:f>
              <c:strCache>
                <c:ptCount val="4"/>
                <c:pt idx="0">
                  <c:v>Corporate</c:v>
                </c:pt>
                <c:pt idx="1">
                  <c:v>Golden Jubilee Conference Hotel</c:v>
                </c:pt>
                <c:pt idx="2">
                  <c:v>Heart Lung and Diagnostics Services</c:v>
                </c:pt>
                <c:pt idx="3">
                  <c:v>National Elective Services</c:v>
                </c:pt>
              </c:strCache>
            </c:strRef>
          </c:cat>
          <c:val>
            <c:numRef>
              <c:f>'Directorate information'!$E$192:$E$195</c:f>
              <c:numCache>
                <c:formatCode>General</c:formatCode>
                <c:ptCount val="4"/>
                <c:pt idx="0">
                  <c:v>474</c:v>
                </c:pt>
                <c:pt idx="1">
                  <c:v>95</c:v>
                </c:pt>
                <c:pt idx="2">
                  <c:v>382</c:v>
                </c:pt>
                <c:pt idx="3">
                  <c:v>860</c:v>
                </c:pt>
              </c:numCache>
            </c:numRef>
          </c:val>
          <c:extLst>
            <c:ext xmlns:c16="http://schemas.microsoft.com/office/drawing/2014/chart" uri="{C3380CC4-5D6E-409C-BE32-E72D297353CC}">
              <c16:uniqueId val="{00000003-3015-4721-BB2E-65FE5845F872}"/>
            </c:ext>
          </c:extLst>
        </c:ser>
        <c:ser>
          <c:idx val="4"/>
          <c:order val="4"/>
          <c:tx>
            <c:strRef>
              <c:f>'Directorate information'!$F$191</c:f>
              <c:strCache>
                <c:ptCount val="1"/>
                <c:pt idx="0">
                  <c:v>2019</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'Directorate information'!$A$192:$A$195</c:f>
              <c:strCache>
                <c:ptCount val="4"/>
                <c:pt idx="0">
                  <c:v>Corporate</c:v>
                </c:pt>
                <c:pt idx="1">
                  <c:v>Golden Jubilee Conference Hotel</c:v>
                </c:pt>
                <c:pt idx="2">
                  <c:v>Heart Lung and Diagnostics Services</c:v>
                </c:pt>
                <c:pt idx="3">
                  <c:v>National Elective Services</c:v>
                </c:pt>
              </c:strCache>
            </c:strRef>
          </c:cat>
          <c:val>
            <c:numRef>
              <c:f>'Directorate information'!$F$192:$F$195</c:f>
              <c:numCache>
                <c:formatCode>General</c:formatCode>
                <c:ptCount val="4"/>
                <c:pt idx="0">
                  <c:v>505</c:v>
                </c:pt>
                <c:pt idx="1">
                  <c:v>93</c:v>
                </c:pt>
                <c:pt idx="2">
                  <c:v>406</c:v>
                </c:pt>
                <c:pt idx="3">
                  <c:v>815</c:v>
                </c:pt>
              </c:numCache>
            </c:numRef>
          </c:val>
          <c:extLst>
            <c:ext xmlns:c16="http://schemas.microsoft.com/office/drawing/2014/chart" uri="{C3380CC4-5D6E-409C-BE32-E72D297353CC}">
              <c16:uniqueId val="{00000004-3015-4721-BB2E-65FE5845F872}"/>
            </c:ext>
          </c:extLst>
        </c:ser>
        <c:ser>
          <c:idx val="5"/>
          <c:order val="5"/>
          <c:tx>
            <c:strRef>
              <c:f>'Directorate information'!$G$191</c:f>
              <c:strCache>
                <c:ptCount val="1"/>
                <c:pt idx="0">
                  <c:v>2020</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6"/>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'Directorate information'!$A$192:$A$195</c:f>
              <c:strCache>
                <c:ptCount val="4"/>
                <c:pt idx="0">
                  <c:v>Corporate</c:v>
                </c:pt>
                <c:pt idx="1">
                  <c:v>Golden Jubilee Conference Hotel</c:v>
                </c:pt>
                <c:pt idx="2">
                  <c:v>Heart Lung and Diagnostics Services</c:v>
                </c:pt>
                <c:pt idx="3">
                  <c:v>National Elective Services</c:v>
                </c:pt>
              </c:strCache>
            </c:strRef>
          </c:cat>
          <c:val>
            <c:numRef>
              <c:f>'Directorate information'!$G$192:$G$195</c:f>
              <c:numCache>
                <c:formatCode>General</c:formatCode>
                <c:ptCount val="4"/>
                <c:pt idx="0">
                  <c:v>512</c:v>
                </c:pt>
                <c:pt idx="1">
                  <c:v>94</c:v>
                </c:pt>
                <c:pt idx="2">
                  <c:v>723</c:v>
                </c:pt>
                <c:pt idx="3">
                  <c:v>532</c:v>
                </c:pt>
              </c:numCache>
            </c:numRef>
          </c:val>
          <c:extLst>
            <c:ext xmlns:c16="http://schemas.microsoft.com/office/drawing/2014/chart" uri="{C3380CC4-5D6E-409C-BE32-E72D297353CC}">
              <c16:uniqueId val="{00000005-3015-4721-BB2E-65FE5845F872}"/>
            </c:ext>
          </c:extLst>
        </c:ser>
        <c:ser>
          <c:idx val="6"/>
          <c:order val="6"/>
          <c:tx>
            <c:strRef>
              <c:f>'Directorate information'!$H$191</c:f>
              <c:strCache>
                <c:ptCount val="1"/>
                <c:pt idx="0">
                  <c:v>2021</c:v>
                </c:pt>
              </c:strCache>
            </c:strRef>
          </c:tx>
          <c:spPr>
            <a:solidFill>
              <a:schemeClr val="accent1">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lumMod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'Directorate information'!$A$192:$A$195</c:f>
              <c:strCache>
                <c:ptCount val="4"/>
                <c:pt idx="0">
                  <c:v>Corporate</c:v>
                </c:pt>
                <c:pt idx="1">
                  <c:v>Golden Jubilee Conference Hotel</c:v>
                </c:pt>
                <c:pt idx="2">
                  <c:v>Heart Lung and Diagnostics Services</c:v>
                </c:pt>
                <c:pt idx="3">
                  <c:v>National Elective Services</c:v>
                </c:pt>
              </c:strCache>
            </c:strRef>
          </c:cat>
          <c:val>
            <c:numRef>
              <c:f>'Directorate information'!$H$192:$H$195</c:f>
              <c:numCache>
                <c:formatCode>General</c:formatCode>
                <c:ptCount val="4"/>
                <c:pt idx="0">
                  <c:v>573</c:v>
                </c:pt>
                <c:pt idx="1">
                  <c:v>89</c:v>
                </c:pt>
                <c:pt idx="2">
                  <c:v>771</c:v>
                </c:pt>
                <c:pt idx="3">
                  <c:v>639</c:v>
                </c:pt>
              </c:numCache>
            </c:numRef>
          </c:val>
          <c:extLst>
            <c:ext xmlns:c16="http://schemas.microsoft.com/office/drawing/2014/chart" uri="{C3380CC4-5D6E-409C-BE32-E72D297353CC}">
              <c16:uniqueId val="{00000006-3015-4721-BB2E-65FE5845F872}"/>
            </c:ext>
          </c:extLst>
        </c:ser>
        <c:ser>
          <c:idx val="7"/>
          <c:order val="7"/>
          <c:tx>
            <c:strRef>
              <c:f>'Directorate information'!$I$191</c:f>
              <c:strCache>
                <c:ptCount val="1"/>
                <c:pt idx="0">
                  <c:v>2022</c:v>
                </c:pt>
              </c:strCache>
            </c:strRef>
          </c:tx>
          <c:spPr>
            <a:solidFill>
              <a:schemeClr val="accent2">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lumMod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'Directorate information'!$A$192:$A$195</c:f>
              <c:strCache>
                <c:ptCount val="4"/>
                <c:pt idx="0">
                  <c:v>Corporate</c:v>
                </c:pt>
                <c:pt idx="1">
                  <c:v>Golden Jubilee Conference Hotel</c:v>
                </c:pt>
                <c:pt idx="2">
                  <c:v>Heart Lung and Diagnostics Services</c:v>
                </c:pt>
                <c:pt idx="3">
                  <c:v>National Elective Services</c:v>
                </c:pt>
              </c:strCache>
            </c:strRef>
          </c:cat>
          <c:val>
            <c:numRef>
              <c:f>'Directorate information'!$I$192:$I$195</c:f>
              <c:numCache>
                <c:formatCode>General</c:formatCode>
                <c:ptCount val="4"/>
                <c:pt idx="0">
                  <c:v>610</c:v>
                </c:pt>
                <c:pt idx="1">
                  <c:v>81</c:v>
                </c:pt>
                <c:pt idx="2">
                  <c:v>777</c:v>
                </c:pt>
                <c:pt idx="3">
                  <c:v>666</c:v>
                </c:pt>
              </c:numCache>
            </c:numRef>
          </c:val>
          <c:extLst>
            <c:ext xmlns:c16="http://schemas.microsoft.com/office/drawing/2014/chart" uri="{C3380CC4-5D6E-409C-BE32-E72D297353CC}">
              <c16:uniqueId val="{00000007-3015-4721-BB2E-65FE5845F872}"/>
            </c:ext>
          </c:extLst>
        </c:ser>
        <c:dLbls>
          <c:dLblPos val="outEnd"/>
          <c:showLegendKey val="0"/>
          <c:showVal val="1"/>
          <c:showCatName val="0"/>
          <c:showSerName val="0"/>
          <c:showPercent val="0"/>
          <c:showBubbleSize val="0"/>
        </c:dLbls>
        <c:gapWidth val="219"/>
        <c:overlap val="-27"/>
        <c:axId val="173900312"/>
        <c:axId val="173894080"/>
      </c:barChart>
      <c:catAx>
        <c:axId val="173900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894080"/>
        <c:crosses val="autoZero"/>
        <c:auto val="1"/>
        <c:lblAlgn val="ctr"/>
        <c:lblOffset val="100"/>
        <c:noMultiLvlLbl val="0"/>
      </c:catAx>
      <c:valAx>
        <c:axId val="17389408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9003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5"/>
      </a:solidFill>
      <a:round/>
    </a:ln>
    <a:effectLst/>
  </c:spPr>
  <c:txPr>
    <a:bodyPr/>
    <a:lstStyle/>
    <a:p>
      <a:pPr>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'Sickness absence reasons'!$F$61</c:f>
              <c:strCache>
                <c:ptCount val="1"/>
                <c:pt idx="0">
                  <c:v>Grand Total</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'Sickness absence reasons'!$A$62:$A$77</c:f>
              <c:strCache>
                <c:ptCount val="16"/>
                <c:pt idx="0">
                  <c:v>Anxiety/stress/depression/other psychiatric illnesses</c:v>
                </c:pt>
                <c:pt idx="1">
                  <c:v>Other musculoskeletal problems</c:v>
                </c:pt>
                <c:pt idx="2">
                  <c:v>Gastro-intestinal problems</c:v>
                </c:pt>
                <c:pt idx="3">
                  <c:v>Cold, cough, flu - influenza</c:v>
                </c:pt>
                <c:pt idx="4">
                  <c:v>Unknown causes/not specified</c:v>
                </c:pt>
                <c:pt idx="5">
                  <c:v>Other known causes - not otherwise classified</c:v>
                </c:pt>
                <c:pt idx="6">
                  <c:v>Injury, fracture</c:v>
                </c:pt>
                <c:pt idx="7">
                  <c:v>Chest &amp; respiratory problems</c:v>
                </c:pt>
                <c:pt idx="8">
                  <c:v>Pregnancy related disorders</c:v>
                </c:pt>
                <c:pt idx="9">
                  <c:v>Back problems</c:v>
                </c:pt>
                <c:pt idx="10">
                  <c:v>Benign and malignant tumours, cancers</c:v>
                </c:pt>
                <c:pt idx="11">
                  <c:v>Genitourinary &amp; gynaecological disorders - exclude pregnancy related disorders</c:v>
                </c:pt>
                <c:pt idx="12">
                  <c:v>Ear, nose, throat (ENT)</c:v>
                </c:pt>
                <c:pt idx="13">
                  <c:v>Nervous system disorders - exclude headache, migraine</c:v>
                </c:pt>
                <c:pt idx="14">
                  <c:v>Headache/migraine</c:v>
                </c:pt>
                <c:pt idx="15">
                  <c:v>Heart, cardiac &amp; circulatory problems</c:v>
                </c:pt>
              </c:strCache>
            </c:strRef>
          </c:cat>
          <c:val>
            <c:numRef>
              <c:f>'Sickness absence reasons'!$F$62:$F$77</c:f>
              <c:numCache>
                <c:formatCode>0.0%</c:formatCode>
                <c:ptCount val="16"/>
                <c:pt idx="0">
                  <c:v>0.26960707275809848</c:v>
                </c:pt>
                <c:pt idx="1">
                  <c:v>0.10987600067168873</c:v>
                </c:pt>
                <c:pt idx="2">
                  <c:v>7.6034877887998273E-2</c:v>
                </c:pt>
                <c:pt idx="3">
                  <c:v>7.3744148301598644E-2</c:v>
                </c:pt>
                <c:pt idx="4">
                  <c:v>6.8863036884091788E-2</c:v>
                </c:pt>
                <c:pt idx="5">
                  <c:v>6.828331326294336E-2</c:v>
                </c:pt>
                <c:pt idx="6">
                  <c:v>5.3077841050585051E-2</c:v>
                </c:pt>
                <c:pt idx="7">
                  <c:v>4.7713843149542759E-2</c:v>
                </c:pt>
                <c:pt idx="8">
                  <c:v>4.3531750169093789E-2</c:v>
                </c:pt>
                <c:pt idx="9">
                  <c:v>3.6730460857078734E-2</c:v>
                </c:pt>
                <c:pt idx="10">
                  <c:v>2.717058912754193E-2</c:v>
                </c:pt>
                <c:pt idx="11">
                  <c:v>2.4685350063004461E-2</c:v>
                </c:pt>
                <c:pt idx="12">
                  <c:v>2.1646510668394795E-2</c:v>
                </c:pt>
                <c:pt idx="13">
                  <c:v>2.1597651298051485E-2</c:v>
                </c:pt>
                <c:pt idx="14">
                  <c:v>1.5998450976999486E-2</c:v>
                </c:pt>
                <c:pt idx="15">
                  <c:v>1.438572055437614E-2</c:v>
                </c:pt>
              </c:numCache>
            </c:numRef>
          </c:val>
          <c:extLst>
            <c:ext xmlns:c16="http://schemas.microsoft.com/office/drawing/2014/chart" uri="{C3380CC4-5D6E-409C-BE32-E72D297353CC}">
              <c16:uniqueId val="{00000000-7609-4E8E-94C6-D8493CFD7510}"/>
            </c:ext>
          </c:extLst>
        </c:ser>
        <c:dLbls>
          <c:showLegendKey val="0"/>
          <c:showVal val="0"/>
          <c:showCatName val="0"/>
          <c:showSerName val="0"/>
          <c:showPercent val="0"/>
          <c:showBubbleSize val="0"/>
        </c:dLbls>
        <c:gapWidth val="182"/>
        <c:axId val="608336336"/>
        <c:axId val="608337320"/>
      </c:barChart>
      <c:catAx>
        <c:axId val="60833633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8337320"/>
        <c:crosses val="autoZero"/>
        <c:auto val="1"/>
        <c:lblAlgn val="ctr"/>
        <c:lblOffset val="100"/>
        <c:noMultiLvlLbl val="0"/>
      </c:catAx>
      <c:valAx>
        <c:axId val="608337320"/>
        <c:scaling>
          <c:orientation val="minMax"/>
        </c:scaling>
        <c:delete val="0"/>
        <c:axPos val="t"/>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83363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Parental Leave Hours per Month</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'Parental leave'!$A$2</c:f>
              <c:strCache>
                <c:ptCount val="1"/>
                <c:pt idx="0">
                  <c:v>Parental Leave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'Parental leave'!$B$1:$M$1</c:f>
              <c:numCache>
                <c:formatCode>mmm\-yy</c:formatCode>
                <c:ptCount val="12"/>
                <c:pt idx="0">
                  <c:v>44287</c:v>
                </c:pt>
                <c:pt idx="1">
                  <c:v>44317</c:v>
                </c:pt>
                <c:pt idx="2">
                  <c:v>44348</c:v>
                </c:pt>
                <c:pt idx="3">
                  <c:v>44378</c:v>
                </c:pt>
                <c:pt idx="4">
                  <c:v>44409</c:v>
                </c:pt>
                <c:pt idx="5">
                  <c:v>44440</c:v>
                </c:pt>
                <c:pt idx="6">
                  <c:v>44470</c:v>
                </c:pt>
                <c:pt idx="7">
                  <c:v>44501</c:v>
                </c:pt>
                <c:pt idx="8">
                  <c:v>44531</c:v>
                </c:pt>
                <c:pt idx="9">
                  <c:v>44562</c:v>
                </c:pt>
                <c:pt idx="10">
                  <c:v>44593</c:v>
                </c:pt>
                <c:pt idx="11">
                  <c:v>44621</c:v>
                </c:pt>
              </c:numCache>
            </c:numRef>
          </c:cat>
          <c:val>
            <c:numRef>
              <c:f>'Parental leave'!$B$2:$M$2</c:f>
              <c:numCache>
                <c:formatCode>General</c:formatCode>
                <c:ptCount val="12"/>
                <c:pt idx="0">
                  <c:v>339.1</c:v>
                </c:pt>
                <c:pt idx="1">
                  <c:v>478.8</c:v>
                </c:pt>
                <c:pt idx="2">
                  <c:v>541.6</c:v>
                </c:pt>
                <c:pt idx="3">
                  <c:v>909.9</c:v>
                </c:pt>
                <c:pt idx="4">
                  <c:v>1283.0999999999999</c:v>
                </c:pt>
                <c:pt idx="5">
                  <c:v>410.5</c:v>
                </c:pt>
                <c:pt idx="6">
                  <c:v>991.5</c:v>
                </c:pt>
                <c:pt idx="7">
                  <c:v>449.1</c:v>
                </c:pt>
                <c:pt idx="8">
                  <c:v>384.1</c:v>
                </c:pt>
                <c:pt idx="9">
                  <c:v>180.9</c:v>
                </c:pt>
                <c:pt idx="10">
                  <c:v>557.79999999999995</c:v>
                </c:pt>
                <c:pt idx="11">
                  <c:v>294.5</c:v>
                </c:pt>
              </c:numCache>
            </c:numRef>
          </c:val>
          <c:extLst>
            <c:ext xmlns:c16="http://schemas.microsoft.com/office/drawing/2014/chart" uri="{C3380CC4-5D6E-409C-BE32-E72D297353CC}">
              <c16:uniqueId val="{00000000-2A00-4C9A-9EDC-449F898B856D}"/>
            </c:ext>
          </c:extLst>
        </c:ser>
        <c:dLbls>
          <c:showLegendKey val="0"/>
          <c:showVal val="0"/>
          <c:showCatName val="0"/>
          <c:showSerName val="0"/>
          <c:showPercent val="0"/>
          <c:showBubbleSize val="0"/>
        </c:dLbls>
        <c:gapWidth val="219"/>
        <c:overlap val="-27"/>
        <c:axId val="688591992"/>
        <c:axId val="688584776"/>
      </c:barChart>
      <c:dateAx>
        <c:axId val="688591992"/>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8584776"/>
        <c:crosses val="autoZero"/>
        <c:auto val="1"/>
        <c:lblOffset val="100"/>
        <c:baseTimeUnit val="months"/>
      </c:dateAx>
      <c:valAx>
        <c:axId val="68858477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85919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Sex Split of the Workforce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9133625730994158E-2"/>
          <c:y val="0.2827513888888889"/>
          <c:w val="0.91044239766081869"/>
          <c:h val="0.44635416666666672"/>
        </c:manualLayout>
      </c:layout>
      <c:barChart>
        <c:barDir val="col"/>
        <c:grouping val="clustered"/>
        <c:varyColors val="0"/>
        <c:ser>
          <c:idx val="0"/>
          <c:order val="0"/>
          <c:tx>
            <c:strRef>
              <c:f>Gender!$E$20</c:f>
              <c:strCache>
                <c:ptCount val="1"/>
                <c:pt idx="0">
                  <c:v>Female</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Gender!$F$19:$Q$19</c:f>
              <c:numCache>
                <c:formatCode>General</c:formatCode>
                <c:ptCount val="12"/>
                <c:pt idx="0">
                  <c:v>2011</c:v>
                </c:pt>
                <c:pt idx="1">
                  <c:v>2012</c:v>
                </c:pt>
                <c:pt idx="2">
                  <c:v>2013</c:v>
                </c:pt>
                <c:pt idx="3">
                  <c:v>2014</c:v>
                </c:pt>
                <c:pt idx="4">
                  <c:v>2015</c:v>
                </c:pt>
                <c:pt idx="5">
                  <c:v>2016</c:v>
                </c:pt>
                <c:pt idx="6">
                  <c:v>2017</c:v>
                </c:pt>
                <c:pt idx="7">
                  <c:v>2018</c:v>
                </c:pt>
                <c:pt idx="8">
                  <c:v>2019</c:v>
                </c:pt>
                <c:pt idx="9">
                  <c:v>2020</c:v>
                </c:pt>
                <c:pt idx="10">
                  <c:v>2021</c:v>
                </c:pt>
                <c:pt idx="11">
                  <c:v>2022</c:v>
                </c:pt>
              </c:numCache>
            </c:numRef>
          </c:cat>
          <c:val>
            <c:numRef>
              <c:f>Gender!$F$20:$Q$20</c:f>
              <c:numCache>
                <c:formatCode>0.0%</c:formatCode>
                <c:ptCount val="12"/>
                <c:pt idx="0">
                  <c:v>0.73</c:v>
                </c:pt>
                <c:pt idx="1">
                  <c:v>0.72899999999999998</c:v>
                </c:pt>
                <c:pt idx="2">
                  <c:v>0.72599999999999998</c:v>
                </c:pt>
                <c:pt idx="3">
                  <c:v>0.73799999999999999</c:v>
                </c:pt>
                <c:pt idx="4">
                  <c:v>0.74</c:v>
                </c:pt>
                <c:pt idx="5">
                  <c:v>0.72699999999999998</c:v>
                </c:pt>
                <c:pt idx="6">
                  <c:v>0.72699999999999998</c:v>
                </c:pt>
                <c:pt idx="7">
                  <c:v>0.71399999999999997</c:v>
                </c:pt>
                <c:pt idx="8">
                  <c:v>0.73799999999999999</c:v>
                </c:pt>
                <c:pt idx="9">
                  <c:v>0.74199999999999999</c:v>
                </c:pt>
                <c:pt idx="10">
                  <c:v>0.75</c:v>
                </c:pt>
                <c:pt idx="11">
                  <c:v>0.748</c:v>
                </c:pt>
              </c:numCache>
            </c:numRef>
          </c:val>
          <c:extLst>
            <c:ext xmlns:c16="http://schemas.microsoft.com/office/drawing/2014/chart" uri="{C3380CC4-5D6E-409C-BE32-E72D297353CC}">
              <c16:uniqueId val="{00000000-8916-49E8-AA37-2E7A410947C4}"/>
            </c:ext>
          </c:extLst>
        </c:ser>
        <c:ser>
          <c:idx val="1"/>
          <c:order val="1"/>
          <c:tx>
            <c:strRef>
              <c:f>Gender!$E$21</c:f>
              <c:strCache>
                <c:ptCount val="1"/>
                <c:pt idx="0">
                  <c:v>Male</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Gender!$F$19:$Q$19</c:f>
              <c:numCache>
                <c:formatCode>General</c:formatCode>
                <c:ptCount val="12"/>
                <c:pt idx="0">
                  <c:v>2011</c:v>
                </c:pt>
                <c:pt idx="1">
                  <c:v>2012</c:v>
                </c:pt>
                <c:pt idx="2">
                  <c:v>2013</c:v>
                </c:pt>
                <c:pt idx="3">
                  <c:v>2014</c:v>
                </c:pt>
                <c:pt idx="4">
                  <c:v>2015</c:v>
                </c:pt>
                <c:pt idx="5">
                  <c:v>2016</c:v>
                </c:pt>
                <c:pt idx="6">
                  <c:v>2017</c:v>
                </c:pt>
                <c:pt idx="7">
                  <c:v>2018</c:v>
                </c:pt>
                <c:pt idx="8">
                  <c:v>2019</c:v>
                </c:pt>
                <c:pt idx="9">
                  <c:v>2020</c:v>
                </c:pt>
                <c:pt idx="10">
                  <c:v>2021</c:v>
                </c:pt>
                <c:pt idx="11">
                  <c:v>2022</c:v>
                </c:pt>
              </c:numCache>
            </c:numRef>
          </c:cat>
          <c:val>
            <c:numRef>
              <c:f>Gender!$F$21:$Q$21</c:f>
              <c:numCache>
                <c:formatCode>0.0%</c:formatCode>
                <c:ptCount val="12"/>
                <c:pt idx="0">
                  <c:v>0.27</c:v>
                </c:pt>
                <c:pt idx="1">
                  <c:v>0.27100000000000002</c:v>
                </c:pt>
                <c:pt idx="2">
                  <c:v>0.27400000000000002</c:v>
                </c:pt>
                <c:pt idx="3">
                  <c:v>0.26200000000000001</c:v>
                </c:pt>
                <c:pt idx="4">
                  <c:v>0.26</c:v>
                </c:pt>
                <c:pt idx="5">
                  <c:v>0.27300000000000002</c:v>
                </c:pt>
                <c:pt idx="6">
                  <c:v>0.27300000000000002</c:v>
                </c:pt>
                <c:pt idx="7">
                  <c:v>0.28599999999999998</c:v>
                </c:pt>
                <c:pt idx="8">
                  <c:v>0.26200000000000001</c:v>
                </c:pt>
                <c:pt idx="9">
                  <c:v>0.25800000000000001</c:v>
                </c:pt>
                <c:pt idx="10">
                  <c:v>0.25</c:v>
                </c:pt>
                <c:pt idx="11">
                  <c:v>0.252</c:v>
                </c:pt>
              </c:numCache>
            </c:numRef>
          </c:val>
          <c:extLst>
            <c:ext xmlns:c16="http://schemas.microsoft.com/office/drawing/2014/chart" uri="{C3380CC4-5D6E-409C-BE32-E72D297353CC}">
              <c16:uniqueId val="{00000001-8916-49E8-AA37-2E7A410947C4}"/>
            </c:ext>
          </c:extLst>
        </c:ser>
        <c:dLbls>
          <c:dLblPos val="outEnd"/>
          <c:showLegendKey val="0"/>
          <c:showVal val="1"/>
          <c:showCatName val="0"/>
          <c:showSerName val="0"/>
          <c:showPercent val="0"/>
          <c:showBubbleSize val="0"/>
        </c:dLbls>
        <c:gapWidth val="219"/>
        <c:overlap val="-27"/>
        <c:axId val="686804976"/>
        <c:axId val="686801368"/>
      </c:barChart>
      <c:catAx>
        <c:axId val="68680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6801368"/>
        <c:crosses val="autoZero"/>
        <c:auto val="1"/>
        <c:lblAlgn val="ctr"/>
        <c:lblOffset val="100"/>
        <c:noMultiLvlLbl val="0"/>
      </c:catAx>
      <c:valAx>
        <c:axId val="68680136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6804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Workforce by Job Family and Sex as Proportion of Job Family Headcount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4918859649122806E-2"/>
          <c:y val="0.21807546296296296"/>
          <c:w val="0.91465716374269002"/>
          <c:h val="0.31032777777777776"/>
        </c:manualLayout>
      </c:layout>
      <c:barChart>
        <c:barDir val="col"/>
        <c:grouping val="percentStacked"/>
        <c:varyColors val="0"/>
        <c:ser>
          <c:idx val="0"/>
          <c:order val="0"/>
          <c:tx>
            <c:strRef>
              <c:f>Gender!$B$105</c:f>
              <c:strCache>
                <c:ptCount val="1"/>
                <c:pt idx="0">
                  <c:v>Female</c:v>
                </c:pt>
              </c:strCache>
            </c:strRef>
          </c:tx>
          <c:spPr>
            <a:solidFill>
              <a:schemeClr val="accent1"/>
            </a:solidFill>
            <a:ln>
              <a:noFill/>
            </a:ln>
            <a:effectLst/>
          </c:spPr>
          <c:invertIfNegative val="0"/>
          <c:dLbls>
            <c:dLbl>
              <c:idx val="7"/>
              <c:layout>
                <c:manualLayout>
                  <c:x val="0"/>
                  <c:y val="-3.527777777777777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EAE-4659-8B4F-1B2D0980E459}"/>
                </c:ext>
              </c:extLst>
            </c:dLbl>
            <c:spPr>
              <a:noFill/>
              <a:ln>
                <a:noFill/>
              </a:ln>
              <a:effectLst/>
            </c:spPr>
            <c:txPr>
              <a:bodyPr rot="0" spcFirstLastPara="1" vertOverflow="ellipsis" vert="horz" wrap="square" anchor="ctr" anchorCtr="1"/>
              <a:lstStyle/>
              <a:p>
                <a:pPr>
                  <a:defRPr sz="7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Gender!$A$106:$A$115</c:f>
              <c:strCache>
                <c:ptCount val="10"/>
                <c:pt idx="0">
                  <c:v>Administrative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Senior
Managers</c:v>
                </c:pt>
                <c:pt idx="9">
                  <c:v>Support
Services</c:v>
                </c:pt>
              </c:strCache>
            </c:strRef>
          </c:cat>
          <c:val>
            <c:numRef>
              <c:f>Gender!$B$106:$B$115</c:f>
              <c:numCache>
                <c:formatCode>0.0%</c:formatCode>
                <c:ptCount val="10"/>
                <c:pt idx="0">
                  <c:v>0.77168949771689499</c:v>
                </c:pt>
                <c:pt idx="1">
                  <c:v>0.8666666666666667</c:v>
                </c:pt>
                <c:pt idx="2">
                  <c:v>0.5714285714285714</c:v>
                </c:pt>
                <c:pt idx="3">
                  <c:v>0.21710526315789475</c:v>
                </c:pt>
                <c:pt idx="4">
                  <c:v>0.61538461538461542</c:v>
                </c:pt>
                <c:pt idx="5">
                  <c:v>0.89235737351991384</c:v>
                </c:pt>
                <c:pt idx="6">
                  <c:v>0.82539682539682535</c:v>
                </c:pt>
                <c:pt idx="7">
                  <c:v>0</c:v>
                </c:pt>
                <c:pt idx="8">
                  <c:v>0.55555555555555558</c:v>
                </c:pt>
                <c:pt idx="9">
                  <c:v>0.50666666666666671</c:v>
                </c:pt>
              </c:numCache>
            </c:numRef>
          </c:val>
          <c:extLst>
            <c:ext xmlns:c16="http://schemas.microsoft.com/office/drawing/2014/chart" uri="{C3380CC4-5D6E-409C-BE32-E72D297353CC}">
              <c16:uniqueId val="{00000001-9EAE-4659-8B4F-1B2D0980E459}"/>
            </c:ext>
          </c:extLst>
        </c:ser>
        <c:ser>
          <c:idx val="1"/>
          <c:order val="1"/>
          <c:tx>
            <c:strRef>
              <c:f>Gender!$C$105</c:f>
              <c:strCache>
                <c:ptCount val="1"/>
                <c:pt idx="0">
                  <c:v>Male</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7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Gender!$A$106:$A$115</c:f>
              <c:strCache>
                <c:ptCount val="10"/>
                <c:pt idx="0">
                  <c:v>Administrative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Senior
Managers</c:v>
                </c:pt>
                <c:pt idx="9">
                  <c:v>Support
Services</c:v>
                </c:pt>
              </c:strCache>
            </c:strRef>
          </c:cat>
          <c:val>
            <c:numRef>
              <c:f>Gender!$C$106:$C$115</c:f>
              <c:numCache>
                <c:formatCode>0.0%</c:formatCode>
                <c:ptCount val="10"/>
                <c:pt idx="0">
                  <c:v>0.22831050228310501</c:v>
                </c:pt>
                <c:pt idx="1">
                  <c:v>0.13333333333333333</c:v>
                </c:pt>
                <c:pt idx="2">
                  <c:v>0.42857142857142855</c:v>
                </c:pt>
                <c:pt idx="3">
                  <c:v>0.78289473684210531</c:v>
                </c:pt>
                <c:pt idx="4">
                  <c:v>0.38461538461538464</c:v>
                </c:pt>
                <c:pt idx="5">
                  <c:v>0.10764262648008611</c:v>
                </c:pt>
                <c:pt idx="6">
                  <c:v>0.17460317460317459</c:v>
                </c:pt>
                <c:pt idx="7">
                  <c:v>1</c:v>
                </c:pt>
                <c:pt idx="8">
                  <c:v>0.44444444444444442</c:v>
                </c:pt>
                <c:pt idx="9">
                  <c:v>0.49333333333333335</c:v>
                </c:pt>
              </c:numCache>
            </c:numRef>
          </c:val>
          <c:extLst>
            <c:ext xmlns:c16="http://schemas.microsoft.com/office/drawing/2014/chart" uri="{C3380CC4-5D6E-409C-BE32-E72D297353CC}">
              <c16:uniqueId val="{00000002-9EAE-4659-8B4F-1B2D0980E459}"/>
            </c:ext>
          </c:extLst>
        </c:ser>
        <c:dLbls>
          <c:dLblPos val="ctr"/>
          <c:showLegendKey val="0"/>
          <c:showVal val="1"/>
          <c:showCatName val="0"/>
          <c:showSerName val="0"/>
          <c:showPercent val="0"/>
          <c:showBubbleSize val="0"/>
        </c:dLbls>
        <c:gapWidth val="150"/>
        <c:overlap val="100"/>
        <c:axId val="680836896"/>
        <c:axId val="680837224"/>
      </c:barChart>
      <c:catAx>
        <c:axId val="680836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0837224"/>
        <c:crosses val="autoZero"/>
        <c:auto val="1"/>
        <c:lblAlgn val="ctr"/>
        <c:lblOffset val="100"/>
        <c:noMultiLvlLbl val="0"/>
      </c:catAx>
      <c:valAx>
        <c:axId val="680837224"/>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0836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b="0"/>
      </a:pPr>
      <a:endParaRPr lang="en-US"/>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Workforce by Job Family and Sex as Proportion of Board Headcount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4918859649122806E-2"/>
          <c:y val="0.18867731481481484"/>
          <c:w val="0.91465716374269002"/>
          <c:h val="0.33972592592592593"/>
        </c:manualLayout>
      </c:layout>
      <c:barChart>
        <c:barDir val="col"/>
        <c:grouping val="percentStacked"/>
        <c:varyColors val="0"/>
        <c:ser>
          <c:idx val="0"/>
          <c:order val="0"/>
          <c:tx>
            <c:strRef>
              <c:f>Gender!$B$118</c:f>
              <c:strCache>
                <c:ptCount val="1"/>
                <c:pt idx="0">
                  <c:v>Female</c:v>
                </c:pt>
              </c:strCache>
            </c:strRef>
          </c:tx>
          <c:spPr>
            <a:solidFill>
              <a:schemeClr val="accent1"/>
            </a:solidFill>
            <a:ln>
              <a:noFill/>
            </a:ln>
            <a:effectLst/>
          </c:spPr>
          <c:invertIfNegative val="0"/>
          <c:dLbls>
            <c:dLbl>
              <c:idx val="7"/>
              <c:layout>
                <c:manualLayout>
                  <c:x val="0"/>
                  <c:y val="-3.527777777777777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A47-4A25-817A-EB8A566E3E1D}"/>
                </c:ext>
              </c:extLst>
            </c:dLbl>
            <c:spPr>
              <a:noFill/>
              <a:ln>
                <a:noFill/>
              </a:ln>
              <a:effectLst/>
            </c:spPr>
            <c:txPr>
              <a:bodyPr rot="0" spcFirstLastPara="1" vertOverflow="ellipsis" vert="horz" wrap="square" anchor="ctr" anchorCtr="1"/>
              <a:lstStyle/>
              <a:p>
                <a:pPr>
                  <a:defRPr sz="7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Gender!$A$119:$A$128</c:f>
              <c:strCache>
                <c:ptCount val="10"/>
                <c:pt idx="0">
                  <c:v>Administrative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Senior
Managers</c:v>
                </c:pt>
                <c:pt idx="9">
                  <c:v>Support
Services</c:v>
                </c:pt>
              </c:strCache>
            </c:strRef>
          </c:cat>
          <c:val>
            <c:numRef>
              <c:f>Gender!$B$119:$B$128</c:f>
              <c:numCache>
                <c:formatCode>0.0%</c:formatCode>
                <c:ptCount val="10"/>
                <c:pt idx="0">
                  <c:v>0.1583880037488285</c:v>
                </c:pt>
                <c:pt idx="1">
                  <c:v>6.0918462980318652E-2</c:v>
                </c:pt>
                <c:pt idx="2">
                  <c:v>3.7488284910965321E-2</c:v>
                </c:pt>
                <c:pt idx="3">
                  <c:v>1.5463917525773196E-2</c:v>
                </c:pt>
                <c:pt idx="4">
                  <c:v>7.4976569821930648E-3</c:v>
                </c:pt>
                <c:pt idx="5">
                  <c:v>0.38847235238987815</c:v>
                </c:pt>
                <c:pt idx="6">
                  <c:v>2.4367385192127462E-2</c:v>
                </c:pt>
                <c:pt idx="7">
                  <c:v>0</c:v>
                </c:pt>
                <c:pt idx="8">
                  <c:v>2.3430178069353325E-3</c:v>
                </c:pt>
                <c:pt idx="9">
                  <c:v>5.3420805998125584E-2</c:v>
                </c:pt>
              </c:numCache>
            </c:numRef>
          </c:val>
          <c:extLst>
            <c:ext xmlns:c16="http://schemas.microsoft.com/office/drawing/2014/chart" uri="{C3380CC4-5D6E-409C-BE32-E72D297353CC}">
              <c16:uniqueId val="{00000001-BA47-4A25-817A-EB8A566E3E1D}"/>
            </c:ext>
          </c:extLst>
        </c:ser>
        <c:ser>
          <c:idx val="1"/>
          <c:order val="1"/>
          <c:tx>
            <c:strRef>
              <c:f>Gender!$C$118</c:f>
              <c:strCache>
                <c:ptCount val="1"/>
                <c:pt idx="0">
                  <c:v>Male</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7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Gender!$A$119:$A$128</c:f>
              <c:strCache>
                <c:ptCount val="10"/>
                <c:pt idx="0">
                  <c:v>Administrative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Senior
Managers</c:v>
                </c:pt>
                <c:pt idx="9">
                  <c:v>Support
Services</c:v>
                </c:pt>
              </c:strCache>
            </c:strRef>
          </c:cat>
          <c:val>
            <c:numRef>
              <c:f>Gender!$C$119:$C$128</c:f>
              <c:numCache>
                <c:formatCode>0.0%</c:formatCode>
                <c:ptCount val="10"/>
                <c:pt idx="0">
                  <c:v>4.6860356138706656E-2</c:v>
                </c:pt>
                <c:pt idx="1">
                  <c:v>9.3720712277413302E-3</c:v>
                </c:pt>
                <c:pt idx="2">
                  <c:v>2.8116213683223992E-2</c:v>
                </c:pt>
                <c:pt idx="3">
                  <c:v>5.5763823805060918E-2</c:v>
                </c:pt>
                <c:pt idx="4">
                  <c:v>4.6860356138706651E-3</c:v>
                </c:pt>
                <c:pt idx="5">
                  <c:v>4.6860356138706656E-2</c:v>
                </c:pt>
                <c:pt idx="6">
                  <c:v>5.1546391752577319E-3</c:v>
                </c:pt>
                <c:pt idx="7">
                  <c:v>9.372071227741331E-4</c:v>
                </c:pt>
                <c:pt idx="8">
                  <c:v>1.8744142455482662E-3</c:v>
                </c:pt>
                <c:pt idx="9">
                  <c:v>5.2014995313964384E-2</c:v>
                </c:pt>
              </c:numCache>
            </c:numRef>
          </c:val>
          <c:extLst>
            <c:ext xmlns:c16="http://schemas.microsoft.com/office/drawing/2014/chart" uri="{C3380CC4-5D6E-409C-BE32-E72D297353CC}">
              <c16:uniqueId val="{00000002-BA47-4A25-817A-EB8A566E3E1D}"/>
            </c:ext>
          </c:extLst>
        </c:ser>
        <c:dLbls>
          <c:dLblPos val="ctr"/>
          <c:showLegendKey val="0"/>
          <c:showVal val="1"/>
          <c:showCatName val="0"/>
          <c:showSerName val="0"/>
          <c:showPercent val="0"/>
          <c:showBubbleSize val="0"/>
        </c:dLbls>
        <c:gapWidth val="150"/>
        <c:overlap val="100"/>
        <c:axId val="680836896"/>
        <c:axId val="680837224"/>
      </c:barChart>
      <c:catAx>
        <c:axId val="680836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0837224"/>
        <c:crosses val="autoZero"/>
        <c:auto val="1"/>
        <c:lblAlgn val="ctr"/>
        <c:lblOffset val="100"/>
        <c:noMultiLvlLbl val="0"/>
      </c:catAx>
      <c:valAx>
        <c:axId val="680837224"/>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0836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b="0"/>
      </a:pPr>
      <a:endParaRPr lang="en-US"/>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Proportion of Each Age Range as at 31 March Each Year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9133625730994158E-2"/>
          <c:y val="0.24159398148148151"/>
          <c:w val="0.91044239766081869"/>
          <c:h val="0.48751157407407419"/>
        </c:manualLayout>
      </c:layout>
      <c:barChart>
        <c:barDir val="col"/>
        <c:grouping val="clustered"/>
        <c:varyColors val="0"/>
        <c:ser>
          <c:idx val="0"/>
          <c:order val="0"/>
          <c:tx>
            <c:strRef>
              <c:f>Age!$B$75</c:f>
              <c:strCache>
                <c:ptCount val="1"/>
                <c:pt idx="0">
                  <c:v>Mar-12</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Age!$A$76:$A$81</c:f>
              <c:strCache>
                <c:ptCount val="6"/>
                <c:pt idx="0">
                  <c:v>Up to 19</c:v>
                </c:pt>
                <c:pt idx="1">
                  <c:v>20 to 29</c:v>
                </c:pt>
                <c:pt idx="2">
                  <c:v>30 to 39</c:v>
                </c:pt>
                <c:pt idx="3">
                  <c:v>40 to 49</c:v>
                </c:pt>
                <c:pt idx="4">
                  <c:v>50 to 59</c:v>
                </c:pt>
                <c:pt idx="5">
                  <c:v>60 plus</c:v>
                </c:pt>
              </c:strCache>
            </c:strRef>
          </c:cat>
          <c:val>
            <c:numRef>
              <c:f>Age!$B$76:$B$81</c:f>
              <c:numCache>
                <c:formatCode>0.0%</c:formatCode>
                <c:ptCount val="6"/>
                <c:pt idx="0">
                  <c:v>1E-3</c:v>
                </c:pt>
                <c:pt idx="1">
                  <c:v>0.13100000000000001</c:v>
                </c:pt>
                <c:pt idx="2">
                  <c:v>0.29599999999999999</c:v>
                </c:pt>
                <c:pt idx="3">
                  <c:v>0.316</c:v>
                </c:pt>
                <c:pt idx="4">
                  <c:v>0.222</c:v>
                </c:pt>
                <c:pt idx="5">
                  <c:v>3.4000000000000002E-2</c:v>
                </c:pt>
              </c:numCache>
            </c:numRef>
          </c:val>
          <c:extLst>
            <c:ext xmlns:c16="http://schemas.microsoft.com/office/drawing/2014/chart" uri="{C3380CC4-5D6E-409C-BE32-E72D297353CC}">
              <c16:uniqueId val="{00000000-50BD-4B57-9AFB-7F0605B2A9D2}"/>
            </c:ext>
          </c:extLst>
        </c:ser>
        <c:ser>
          <c:idx val="1"/>
          <c:order val="1"/>
          <c:tx>
            <c:strRef>
              <c:f>Age!$C$75</c:f>
              <c:strCache>
                <c:ptCount val="1"/>
                <c:pt idx="0">
                  <c:v>Mar-13</c:v>
                </c:pt>
              </c:strCache>
            </c:strRef>
          </c:tx>
          <c:spPr>
            <a:solidFill>
              <a:schemeClr val="accent2"/>
            </a:solidFill>
            <a:ln>
              <a:noFill/>
            </a:ln>
            <a:effectLst/>
          </c:spPr>
          <c:invertIfNegative val="0"/>
          <c:cat>
            <c:strRef>
              <c:f>Age!$A$76:$A$81</c:f>
              <c:strCache>
                <c:ptCount val="6"/>
                <c:pt idx="0">
                  <c:v>Up to 19</c:v>
                </c:pt>
                <c:pt idx="1">
                  <c:v>20 to 29</c:v>
                </c:pt>
                <c:pt idx="2">
                  <c:v>30 to 39</c:v>
                </c:pt>
                <c:pt idx="3">
                  <c:v>40 to 49</c:v>
                </c:pt>
                <c:pt idx="4">
                  <c:v>50 to 59</c:v>
                </c:pt>
                <c:pt idx="5">
                  <c:v>60 plus</c:v>
                </c:pt>
              </c:strCache>
            </c:strRef>
          </c:cat>
          <c:val>
            <c:numRef>
              <c:f>Age!$C$76:$C$81</c:f>
              <c:numCache>
                <c:formatCode>0.0%</c:formatCode>
                <c:ptCount val="6"/>
                <c:pt idx="0">
                  <c:v>1E-3</c:v>
                </c:pt>
                <c:pt idx="1">
                  <c:v>0.13900000000000001</c:v>
                </c:pt>
                <c:pt idx="2">
                  <c:v>0.28299999999999997</c:v>
                </c:pt>
                <c:pt idx="3">
                  <c:v>0.315</c:v>
                </c:pt>
                <c:pt idx="4">
                  <c:v>0.22700000000000001</c:v>
                </c:pt>
                <c:pt idx="5">
                  <c:v>3.5000000000000003E-2</c:v>
                </c:pt>
              </c:numCache>
            </c:numRef>
          </c:val>
          <c:extLst>
            <c:ext xmlns:c16="http://schemas.microsoft.com/office/drawing/2014/chart" uri="{C3380CC4-5D6E-409C-BE32-E72D297353CC}">
              <c16:uniqueId val="{00000001-50BD-4B57-9AFB-7F0605B2A9D2}"/>
            </c:ext>
          </c:extLst>
        </c:ser>
        <c:ser>
          <c:idx val="2"/>
          <c:order val="2"/>
          <c:tx>
            <c:strRef>
              <c:f>Age!$D$75</c:f>
              <c:strCache>
                <c:ptCount val="1"/>
                <c:pt idx="0">
                  <c:v>Mar-14</c:v>
                </c:pt>
              </c:strCache>
            </c:strRef>
          </c:tx>
          <c:spPr>
            <a:solidFill>
              <a:schemeClr val="accent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Age!$A$76:$A$81</c:f>
              <c:strCache>
                <c:ptCount val="6"/>
                <c:pt idx="0">
                  <c:v>Up to 19</c:v>
                </c:pt>
                <c:pt idx="1">
                  <c:v>20 to 29</c:v>
                </c:pt>
                <c:pt idx="2">
                  <c:v>30 to 39</c:v>
                </c:pt>
                <c:pt idx="3">
                  <c:v>40 to 49</c:v>
                </c:pt>
                <c:pt idx="4">
                  <c:v>50 to 59</c:v>
                </c:pt>
                <c:pt idx="5">
                  <c:v>60 plus</c:v>
                </c:pt>
              </c:strCache>
            </c:strRef>
          </c:cat>
          <c:val>
            <c:numRef>
              <c:f>Age!$D$76:$D$81</c:f>
              <c:numCache>
                <c:formatCode>0.0%</c:formatCode>
                <c:ptCount val="6"/>
                <c:pt idx="0">
                  <c:v>6.0000000000000001E-3</c:v>
                </c:pt>
                <c:pt idx="1">
                  <c:v>0.157</c:v>
                </c:pt>
                <c:pt idx="2">
                  <c:v>0.27300000000000002</c:v>
                </c:pt>
                <c:pt idx="3">
                  <c:v>0.3</c:v>
                </c:pt>
                <c:pt idx="4">
                  <c:v>0.22800000000000001</c:v>
                </c:pt>
                <c:pt idx="5">
                  <c:v>3.6999999999999998E-2</c:v>
                </c:pt>
              </c:numCache>
            </c:numRef>
          </c:val>
          <c:extLst>
            <c:ext xmlns:c16="http://schemas.microsoft.com/office/drawing/2014/chart" uri="{C3380CC4-5D6E-409C-BE32-E72D297353CC}">
              <c16:uniqueId val="{00000002-50BD-4B57-9AFB-7F0605B2A9D2}"/>
            </c:ext>
          </c:extLst>
        </c:ser>
        <c:ser>
          <c:idx val="3"/>
          <c:order val="3"/>
          <c:tx>
            <c:strRef>
              <c:f>Age!$E$75</c:f>
              <c:strCache>
                <c:ptCount val="1"/>
                <c:pt idx="0">
                  <c:v>Mar-15</c:v>
                </c:pt>
              </c:strCache>
            </c:strRef>
          </c:tx>
          <c:spPr>
            <a:solidFill>
              <a:schemeClr val="accent4"/>
            </a:solidFill>
            <a:ln>
              <a:noFill/>
            </a:ln>
            <a:effectLst/>
          </c:spPr>
          <c:invertIfNegative val="0"/>
          <c:cat>
            <c:strRef>
              <c:f>Age!$A$76:$A$81</c:f>
              <c:strCache>
                <c:ptCount val="6"/>
                <c:pt idx="0">
                  <c:v>Up to 19</c:v>
                </c:pt>
                <c:pt idx="1">
                  <c:v>20 to 29</c:v>
                </c:pt>
                <c:pt idx="2">
                  <c:v>30 to 39</c:v>
                </c:pt>
                <c:pt idx="3">
                  <c:v>40 to 49</c:v>
                </c:pt>
                <c:pt idx="4">
                  <c:v>50 to 59</c:v>
                </c:pt>
                <c:pt idx="5">
                  <c:v>60 plus</c:v>
                </c:pt>
              </c:strCache>
            </c:strRef>
          </c:cat>
          <c:val>
            <c:numRef>
              <c:f>Age!$E$76:$E$81</c:f>
              <c:numCache>
                <c:formatCode>0.0%</c:formatCode>
                <c:ptCount val="6"/>
                <c:pt idx="0">
                  <c:v>5.0000000000000001E-3</c:v>
                </c:pt>
                <c:pt idx="1">
                  <c:v>0.156</c:v>
                </c:pt>
                <c:pt idx="2">
                  <c:v>0.26600000000000001</c:v>
                </c:pt>
                <c:pt idx="3">
                  <c:v>0.30599999999999999</c:v>
                </c:pt>
                <c:pt idx="4">
                  <c:v>0.22800000000000001</c:v>
                </c:pt>
                <c:pt idx="5">
                  <c:v>3.7999999999999999E-2</c:v>
                </c:pt>
              </c:numCache>
            </c:numRef>
          </c:val>
          <c:extLst>
            <c:ext xmlns:c16="http://schemas.microsoft.com/office/drawing/2014/chart" uri="{C3380CC4-5D6E-409C-BE32-E72D297353CC}">
              <c16:uniqueId val="{00000003-50BD-4B57-9AFB-7F0605B2A9D2}"/>
            </c:ext>
          </c:extLst>
        </c:ser>
        <c:ser>
          <c:idx val="4"/>
          <c:order val="4"/>
          <c:tx>
            <c:strRef>
              <c:f>Age!$F$75</c:f>
              <c:strCache>
                <c:ptCount val="1"/>
                <c:pt idx="0">
                  <c:v>Mar-16</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Age!$A$76:$A$81</c:f>
              <c:strCache>
                <c:ptCount val="6"/>
                <c:pt idx="0">
                  <c:v>Up to 19</c:v>
                </c:pt>
                <c:pt idx="1">
                  <c:v>20 to 29</c:v>
                </c:pt>
                <c:pt idx="2">
                  <c:v>30 to 39</c:v>
                </c:pt>
                <c:pt idx="3">
                  <c:v>40 to 49</c:v>
                </c:pt>
                <c:pt idx="4">
                  <c:v>50 to 59</c:v>
                </c:pt>
                <c:pt idx="5">
                  <c:v>60 plus</c:v>
                </c:pt>
              </c:strCache>
            </c:strRef>
          </c:cat>
          <c:val>
            <c:numRef>
              <c:f>Age!$F$76:$F$81</c:f>
              <c:numCache>
                <c:formatCode>0.0%</c:formatCode>
                <c:ptCount val="6"/>
                <c:pt idx="0">
                  <c:v>5.0000000000000001E-3</c:v>
                </c:pt>
                <c:pt idx="1">
                  <c:v>0.14499999999999999</c:v>
                </c:pt>
                <c:pt idx="2">
                  <c:v>0.27100000000000002</c:v>
                </c:pt>
                <c:pt idx="3">
                  <c:v>0.29699999999999999</c:v>
                </c:pt>
                <c:pt idx="4">
                  <c:v>0.23599999999999999</c:v>
                </c:pt>
                <c:pt idx="5">
                  <c:v>4.7E-2</c:v>
                </c:pt>
              </c:numCache>
            </c:numRef>
          </c:val>
          <c:extLst>
            <c:ext xmlns:c16="http://schemas.microsoft.com/office/drawing/2014/chart" uri="{C3380CC4-5D6E-409C-BE32-E72D297353CC}">
              <c16:uniqueId val="{00000004-50BD-4B57-9AFB-7F0605B2A9D2}"/>
            </c:ext>
          </c:extLst>
        </c:ser>
        <c:ser>
          <c:idx val="5"/>
          <c:order val="5"/>
          <c:tx>
            <c:strRef>
              <c:f>Age!$G$75</c:f>
              <c:strCache>
                <c:ptCount val="1"/>
                <c:pt idx="0">
                  <c:v>Mar-17</c:v>
                </c:pt>
              </c:strCache>
            </c:strRef>
          </c:tx>
          <c:spPr>
            <a:solidFill>
              <a:schemeClr val="accent6"/>
            </a:solidFill>
            <a:ln>
              <a:noFill/>
            </a:ln>
            <a:effectLst/>
          </c:spPr>
          <c:invertIfNegative val="0"/>
          <c:cat>
            <c:strRef>
              <c:f>Age!$A$76:$A$81</c:f>
              <c:strCache>
                <c:ptCount val="6"/>
                <c:pt idx="0">
                  <c:v>Up to 19</c:v>
                </c:pt>
                <c:pt idx="1">
                  <c:v>20 to 29</c:v>
                </c:pt>
                <c:pt idx="2">
                  <c:v>30 to 39</c:v>
                </c:pt>
                <c:pt idx="3">
                  <c:v>40 to 49</c:v>
                </c:pt>
                <c:pt idx="4">
                  <c:v>50 to 59</c:v>
                </c:pt>
                <c:pt idx="5">
                  <c:v>60 plus</c:v>
                </c:pt>
              </c:strCache>
            </c:strRef>
          </c:cat>
          <c:val>
            <c:numRef>
              <c:f>Age!$G$76:$G$81</c:f>
              <c:numCache>
                <c:formatCode>0.0%</c:formatCode>
                <c:ptCount val="6"/>
                <c:pt idx="0">
                  <c:v>4.0000000000000001E-3</c:v>
                </c:pt>
                <c:pt idx="1">
                  <c:v>0.14299999999999999</c:v>
                </c:pt>
                <c:pt idx="2">
                  <c:v>0.27500000000000002</c:v>
                </c:pt>
                <c:pt idx="3">
                  <c:v>0.27900000000000003</c:v>
                </c:pt>
                <c:pt idx="4">
                  <c:v>0.253</c:v>
                </c:pt>
                <c:pt idx="5">
                  <c:v>4.7E-2</c:v>
                </c:pt>
              </c:numCache>
            </c:numRef>
          </c:val>
          <c:extLst>
            <c:ext xmlns:c16="http://schemas.microsoft.com/office/drawing/2014/chart" uri="{C3380CC4-5D6E-409C-BE32-E72D297353CC}">
              <c16:uniqueId val="{00000005-50BD-4B57-9AFB-7F0605B2A9D2}"/>
            </c:ext>
          </c:extLst>
        </c:ser>
        <c:ser>
          <c:idx val="6"/>
          <c:order val="6"/>
          <c:tx>
            <c:strRef>
              <c:f>Age!$H$75</c:f>
              <c:strCache>
                <c:ptCount val="1"/>
                <c:pt idx="0">
                  <c:v>Mar-18</c:v>
                </c:pt>
              </c:strCache>
            </c:strRef>
          </c:tx>
          <c:spPr>
            <a:solidFill>
              <a:schemeClr val="accent1">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Age!$A$76:$A$81</c:f>
              <c:strCache>
                <c:ptCount val="6"/>
                <c:pt idx="0">
                  <c:v>Up to 19</c:v>
                </c:pt>
                <c:pt idx="1">
                  <c:v>20 to 29</c:v>
                </c:pt>
                <c:pt idx="2">
                  <c:v>30 to 39</c:v>
                </c:pt>
                <c:pt idx="3">
                  <c:v>40 to 49</c:v>
                </c:pt>
                <c:pt idx="4">
                  <c:v>50 to 59</c:v>
                </c:pt>
                <c:pt idx="5">
                  <c:v>60 plus</c:v>
                </c:pt>
              </c:strCache>
            </c:strRef>
          </c:cat>
          <c:val>
            <c:numRef>
              <c:f>Age!$H$76:$H$81</c:f>
              <c:numCache>
                <c:formatCode>0.0%</c:formatCode>
                <c:ptCount val="6"/>
                <c:pt idx="0">
                  <c:v>2E-3</c:v>
                </c:pt>
                <c:pt idx="1">
                  <c:v>0.14199999999999999</c:v>
                </c:pt>
                <c:pt idx="2">
                  <c:v>0.26400000000000001</c:v>
                </c:pt>
                <c:pt idx="3">
                  <c:v>0.27</c:v>
                </c:pt>
                <c:pt idx="4">
                  <c:v>0.26500000000000001</c:v>
                </c:pt>
                <c:pt idx="5">
                  <c:v>5.7000000000000002E-2</c:v>
                </c:pt>
              </c:numCache>
            </c:numRef>
          </c:val>
          <c:extLst>
            <c:ext xmlns:c16="http://schemas.microsoft.com/office/drawing/2014/chart" uri="{C3380CC4-5D6E-409C-BE32-E72D297353CC}">
              <c16:uniqueId val="{00000006-50BD-4B57-9AFB-7F0605B2A9D2}"/>
            </c:ext>
          </c:extLst>
        </c:ser>
        <c:ser>
          <c:idx val="7"/>
          <c:order val="7"/>
          <c:tx>
            <c:strRef>
              <c:f>Age!$I$75</c:f>
              <c:strCache>
                <c:ptCount val="1"/>
                <c:pt idx="0">
                  <c:v>Mar-19</c:v>
                </c:pt>
              </c:strCache>
            </c:strRef>
          </c:tx>
          <c:spPr>
            <a:solidFill>
              <a:schemeClr val="accent2">
                <a:lumMod val="60000"/>
              </a:schemeClr>
            </a:solidFill>
            <a:ln>
              <a:noFill/>
            </a:ln>
            <a:effectLst/>
          </c:spPr>
          <c:invertIfNegative val="0"/>
          <c:cat>
            <c:strRef>
              <c:f>Age!$A$76:$A$81</c:f>
              <c:strCache>
                <c:ptCount val="6"/>
                <c:pt idx="0">
                  <c:v>Up to 19</c:v>
                </c:pt>
                <c:pt idx="1">
                  <c:v>20 to 29</c:v>
                </c:pt>
                <c:pt idx="2">
                  <c:v>30 to 39</c:v>
                </c:pt>
                <c:pt idx="3">
                  <c:v>40 to 49</c:v>
                </c:pt>
                <c:pt idx="4">
                  <c:v>50 to 59</c:v>
                </c:pt>
                <c:pt idx="5">
                  <c:v>60 plus</c:v>
                </c:pt>
              </c:strCache>
            </c:strRef>
          </c:cat>
          <c:val>
            <c:numRef>
              <c:f>Age!$I$76:$I$81</c:f>
              <c:numCache>
                <c:formatCode>0.0%</c:formatCode>
                <c:ptCount val="6"/>
                <c:pt idx="0">
                  <c:v>1E-3</c:v>
                </c:pt>
                <c:pt idx="1">
                  <c:v>0.129</c:v>
                </c:pt>
                <c:pt idx="2">
                  <c:v>0.26</c:v>
                </c:pt>
                <c:pt idx="3">
                  <c:v>0.27400000000000002</c:v>
                </c:pt>
                <c:pt idx="4">
                  <c:v>0.26900000000000002</c:v>
                </c:pt>
                <c:pt idx="5">
                  <c:v>6.7000000000000004E-2</c:v>
                </c:pt>
              </c:numCache>
            </c:numRef>
          </c:val>
          <c:extLst>
            <c:ext xmlns:c16="http://schemas.microsoft.com/office/drawing/2014/chart" uri="{C3380CC4-5D6E-409C-BE32-E72D297353CC}">
              <c16:uniqueId val="{00000007-50BD-4B57-9AFB-7F0605B2A9D2}"/>
            </c:ext>
          </c:extLst>
        </c:ser>
        <c:ser>
          <c:idx val="8"/>
          <c:order val="8"/>
          <c:tx>
            <c:strRef>
              <c:f>Age!$J$75</c:f>
              <c:strCache>
                <c:ptCount val="1"/>
                <c:pt idx="0">
                  <c:v>Mar-20</c:v>
                </c:pt>
              </c:strCache>
            </c:strRef>
          </c:tx>
          <c:spPr>
            <a:solidFill>
              <a:schemeClr val="accent3">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Age!$A$76:$A$81</c:f>
              <c:strCache>
                <c:ptCount val="6"/>
                <c:pt idx="0">
                  <c:v>Up to 19</c:v>
                </c:pt>
                <c:pt idx="1">
                  <c:v>20 to 29</c:v>
                </c:pt>
                <c:pt idx="2">
                  <c:v>30 to 39</c:v>
                </c:pt>
                <c:pt idx="3">
                  <c:v>40 to 49</c:v>
                </c:pt>
                <c:pt idx="4">
                  <c:v>50 to 59</c:v>
                </c:pt>
                <c:pt idx="5">
                  <c:v>60 plus</c:v>
                </c:pt>
              </c:strCache>
            </c:strRef>
          </c:cat>
          <c:val>
            <c:numRef>
              <c:f>Age!$J$76:$J$81</c:f>
              <c:numCache>
                <c:formatCode>0.0%</c:formatCode>
                <c:ptCount val="6"/>
                <c:pt idx="0">
                  <c:v>1E-3</c:v>
                </c:pt>
                <c:pt idx="1">
                  <c:v>0.127</c:v>
                </c:pt>
                <c:pt idx="2">
                  <c:v>0.247</c:v>
                </c:pt>
                <c:pt idx="3">
                  <c:v>0.27500000000000002</c:v>
                </c:pt>
                <c:pt idx="4">
                  <c:v>0.27300000000000002</c:v>
                </c:pt>
                <c:pt idx="5">
                  <c:v>7.6999999999999999E-2</c:v>
                </c:pt>
              </c:numCache>
            </c:numRef>
          </c:val>
          <c:extLst>
            <c:ext xmlns:c16="http://schemas.microsoft.com/office/drawing/2014/chart" uri="{C3380CC4-5D6E-409C-BE32-E72D297353CC}">
              <c16:uniqueId val="{00000008-50BD-4B57-9AFB-7F0605B2A9D2}"/>
            </c:ext>
          </c:extLst>
        </c:ser>
        <c:ser>
          <c:idx val="9"/>
          <c:order val="9"/>
          <c:tx>
            <c:strRef>
              <c:f>Age!$K$75</c:f>
              <c:strCache>
                <c:ptCount val="1"/>
                <c:pt idx="0">
                  <c:v>Mar-21</c:v>
                </c:pt>
              </c:strCache>
            </c:strRef>
          </c:tx>
          <c:spPr>
            <a:solidFill>
              <a:schemeClr val="accent4">
                <a:lumMod val="60000"/>
              </a:schemeClr>
            </a:solidFill>
            <a:ln>
              <a:noFill/>
            </a:ln>
            <a:effectLst/>
          </c:spPr>
          <c:invertIfNegative val="0"/>
          <c:cat>
            <c:strRef>
              <c:f>Age!$A$76:$A$81</c:f>
              <c:strCache>
                <c:ptCount val="6"/>
                <c:pt idx="0">
                  <c:v>Up to 19</c:v>
                </c:pt>
                <c:pt idx="1">
                  <c:v>20 to 29</c:v>
                </c:pt>
                <c:pt idx="2">
                  <c:v>30 to 39</c:v>
                </c:pt>
                <c:pt idx="3">
                  <c:v>40 to 49</c:v>
                </c:pt>
                <c:pt idx="4">
                  <c:v>50 to 59</c:v>
                </c:pt>
                <c:pt idx="5">
                  <c:v>60 plus</c:v>
                </c:pt>
              </c:strCache>
            </c:strRef>
          </c:cat>
          <c:val>
            <c:numRef>
              <c:f>Age!$K$76:$K$81</c:f>
              <c:numCache>
                <c:formatCode>0.0%</c:formatCode>
                <c:ptCount val="6"/>
                <c:pt idx="0">
                  <c:v>1E-3</c:v>
                </c:pt>
                <c:pt idx="1">
                  <c:v>0.14599999999999999</c:v>
                </c:pt>
                <c:pt idx="2">
                  <c:v>0.24199999999999999</c:v>
                </c:pt>
                <c:pt idx="3">
                  <c:v>0.26700000000000002</c:v>
                </c:pt>
                <c:pt idx="4">
                  <c:v>0.26500000000000001</c:v>
                </c:pt>
                <c:pt idx="5">
                  <c:v>7.8E-2</c:v>
                </c:pt>
              </c:numCache>
            </c:numRef>
          </c:val>
          <c:extLst>
            <c:ext xmlns:c16="http://schemas.microsoft.com/office/drawing/2014/chart" uri="{C3380CC4-5D6E-409C-BE32-E72D297353CC}">
              <c16:uniqueId val="{00000009-50BD-4B57-9AFB-7F0605B2A9D2}"/>
            </c:ext>
          </c:extLst>
        </c:ser>
        <c:ser>
          <c:idx val="10"/>
          <c:order val="10"/>
          <c:tx>
            <c:strRef>
              <c:f>Age!$L$75</c:f>
              <c:strCache>
                <c:ptCount val="1"/>
                <c:pt idx="0">
                  <c:v>Mar-22</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5">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Age!$A$76:$A$81</c:f>
              <c:strCache>
                <c:ptCount val="6"/>
                <c:pt idx="0">
                  <c:v>Up to 19</c:v>
                </c:pt>
                <c:pt idx="1">
                  <c:v>20 to 29</c:v>
                </c:pt>
                <c:pt idx="2">
                  <c:v>30 to 39</c:v>
                </c:pt>
                <c:pt idx="3">
                  <c:v>40 to 49</c:v>
                </c:pt>
                <c:pt idx="4">
                  <c:v>50 to 59</c:v>
                </c:pt>
                <c:pt idx="5">
                  <c:v>60 plus</c:v>
                </c:pt>
              </c:strCache>
            </c:strRef>
          </c:cat>
          <c:val>
            <c:numRef>
              <c:f>Age!$L$76:$L$81</c:f>
              <c:numCache>
                <c:formatCode>0.0%</c:formatCode>
                <c:ptCount val="6"/>
                <c:pt idx="0">
                  <c:v>2E-3</c:v>
                </c:pt>
                <c:pt idx="1">
                  <c:v>0.14699999999999999</c:v>
                </c:pt>
                <c:pt idx="2">
                  <c:v>0.25</c:v>
                </c:pt>
                <c:pt idx="3">
                  <c:v>0.255</c:v>
                </c:pt>
                <c:pt idx="4">
                  <c:v>0.26700000000000002</c:v>
                </c:pt>
                <c:pt idx="5">
                  <c:v>7.9000000000000001E-2</c:v>
                </c:pt>
              </c:numCache>
            </c:numRef>
          </c:val>
          <c:extLst>
            <c:ext xmlns:c16="http://schemas.microsoft.com/office/drawing/2014/chart" uri="{C3380CC4-5D6E-409C-BE32-E72D297353CC}">
              <c16:uniqueId val="{0000000A-50BD-4B57-9AFB-7F0605B2A9D2}"/>
            </c:ext>
          </c:extLst>
        </c:ser>
        <c:dLbls>
          <c:showLegendKey val="0"/>
          <c:showVal val="0"/>
          <c:showCatName val="0"/>
          <c:showSerName val="0"/>
          <c:showPercent val="0"/>
          <c:showBubbleSize val="0"/>
        </c:dLbls>
        <c:gapWidth val="219"/>
        <c:overlap val="-27"/>
        <c:axId val="512174688"/>
        <c:axId val="512175016"/>
      </c:barChart>
      <c:catAx>
        <c:axId val="51217468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2175016"/>
        <c:crosses val="autoZero"/>
        <c:auto val="1"/>
        <c:lblAlgn val="ctr"/>
        <c:lblOffset val="100"/>
        <c:noMultiLvlLbl val="0"/>
      </c:catAx>
      <c:valAx>
        <c:axId val="51217501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2174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Proportion of each Age Range as at 31 March 2022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Age!$C$25</c:f>
              <c:strCache>
                <c:ptCount val="1"/>
                <c:pt idx="0">
                  <c:v>Percentage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Age!$A$26:$A$36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Age!$C$26:$C$36</c:f>
              <c:numCache>
                <c:formatCode>0.0%</c:formatCode>
                <c:ptCount val="11"/>
                <c:pt idx="0">
                  <c:v>2.3430178069353325E-3</c:v>
                </c:pt>
                <c:pt idx="1">
                  <c:v>3.8894095595126521E-2</c:v>
                </c:pt>
                <c:pt idx="2">
                  <c:v>0.10824742268041238</c:v>
                </c:pt>
                <c:pt idx="3">
                  <c:v>0.1204311152764761</c:v>
                </c:pt>
                <c:pt idx="4">
                  <c:v>0.12933458294283037</c:v>
                </c:pt>
                <c:pt idx="5">
                  <c:v>0.1260543580131209</c:v>
                </c:pt>
                <c:pt idx="6">
                  <c:v>0.12886597938144329</c:v>
                </c:pt>
                <c:pt idx="7">
                  <c:v>0.14479850046860357</c:v>
                </c:pt>
                <c:pt idx="8">
                  <c:v>0.1218369259606373</c:v>
                </c:pt>
                <c:pt idx="9">
                  <c:v>6.2792877225866919E-2</c:v>
                </c:pt>
                <c:pt idx="10">
                  <c:v>1.640112464854733E-2</c:v>
                </c:pt>
              </c:numCache>
            </c:numRef>
          </c:val>
          <c:extLst>
            <c:ext xmlns:c16="http://schemas.microsoft.com/office/drawing/2014/chart" uri="{C3380CC4-5D6E-409C-BE32-E72D297353CC}">
              <c16:uniqueId val="{00000000-886C-4B7C-812C-ECE1B1107E53}"/>
            </c:ext>
          </c:extLst>
        </c:ser>
        <c:dLbls>
          <c:showLegendKey val="0"/>
          <c:showVal val="0"/>
          <c:showCatName val="0"/>
          <c:showSerName val="0"/>
          <c:showPercent val="0"/>
          <c:showBubbleSize val="0"/>
        </c:dLbls>
        <c:gapWidth val="219"/>
        <c:overlap val="-27"/>
        <c:axId val="516492592"/>
        <c:axId val="516497512"/>
      </c:barChart>
      <c:catAx>
        <c:axId val="516492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497512"/>
        <c:crosses val="autoZero"/>
        <c:auto val="1"/>
        <c:lblAlgn val="ctr"/>
        <c:lblOffset val="100"/>
        <c:noMultiLvlLbl val="0"/>
      </c:catAx>
      <c:valAx>
        <c:axId val="51649751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4925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28863101851851852"/>
          <c:w val="0.81093395061728391"/>
          <c:h val="0.45249166666666674"/>
        </c:manualLayout>
      </c:layout>
      <c:barChart>
        <c:barDir val="col"/>
        <c:grouping val="clustered"/>
        <c:varyColors val="0"/>
        <c:ser>
          <c:idx val="0"/>
          <c:order val="0"/>
          <c:tx>
            <c:strRef>
              <c:f>Age!$B$55</c:f>
              <c:strCache>
                <c:ptCount val="1"/>
                <c:pt idx="0">
                  <c:v>Administrative
Services</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Age!$B$56:$B$66</c:f>
              <c:numCache>
                <c:formatCode>0.0%</c:formatCode>
                <c:ptCount val="11"/>
                <c:pt idx="0">
                  <c:v>2.2831050228310501E-3</c:v>
                </c:pt>
                <c:pt idx="1">
                  <c:v>2.7397260273972601E-2</c:v>
                </c:pt>
                <c:pt idx="2">
                  <c:v>8.6757990867579904E-2</c:v>
                </c:pt>
                <c:pt idx="3">
                  <c:v>8.9041095890410954E-2</c:v>
                </c:pt>
                <c:pt idx="4">
                  <c:v>0.12785388127853881</c:v>
                </c:pt>
                <c:pt idx="5">
                  <c:v>0.12100456621004566</c:v>
                </c:pt>
                <c:pt idx="6">
                  <c:v>0.13470319634703196</c:v>
                </c:pt>
                <c:pt idx="7">
                  <c:v>0.16666666666666666</c:v>
                </c:pt>
                <c:pt idx="8">
                  <c:v>0.13470319634703196</c:v>
                </c:pt>
                <c:pt idx="9">
                  <c:v>7.7625570776255703E-2</c:v>
                </c:pt>
                <c:pt idx="10">
                  <c:v>3.1963470319634701E-2</c:v>
                </c:pt>
              </c:numCache>
            </c:numRef>
          </c:val>
          <c:extLst>
            <c:ext xmlns:c16="http://schemas.microsoft.com/office/drawing/2014/chart" uri="{C3380CC4-5D6E-409C-BE32-E72D297353CC}">
              <c16:uniqueId val="{00000000-E1C5-40D5-9359-88D0BA19E1F8}"/>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35331803753875074"/>
          <c:w val="0.81093395061728391"/>
          <c:h val="0.38780488369562444"/>
        </c:manualLayout>
      </c:layout>
      <c:barChart>
        <c:barDir val="col"/>
        <c:grouping val="clustered"/>
        <c:varyColors val="0"/>
        <c:ser>
          <c:idx val="0"/>
          <c:order val="0"/>
          <c:tx>
            <c:strRef>
              <c:f>Age!$C$55</c:f>
              <c:strCache>
                <c:ptCount val="1"/>
                <c:pt idx="0">
                  <c:v>Allied Health
Professions</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Age!$C$56:$C$66</c:f>
              <c:numCache>
                <c:formatCode>0.0%</c:formatCode>
                <c:ptCount val="11"/>
                <c:pt idx="0">
                  <c:v>0</c:v>
                </c:pt>
                <c:pt idx="1">
                  <c:v>2.6666666666666668E-2</c:v>
                </c:pt>
                <c:pt idx="2">
                  <c:v>0.18666666666666668</c:v>
                </c:pt>
                <c:pt idx="3">
                  <c:v>0.14666666666666667</c:v>
                </c:pt>
                <c:pt idx="4">
                  <c:v>0.17333333333333334</c:v>
                </c:pt>
                <c:pt idx="5">
                  <c:v>0.15333333333333332</c:v>
                </c:pt>
                <c:pt idx="6">
                  <c:v>0.10666666666666667</c:v>
                </c:pt>
                <c:pt idx="7">
                  <c:v>0.1</c:v>
                </c:pt>
                <c:pt idx="8">
                  <c:v>0.08</c:v>
                </c:pt>
                <c:pt idx="9">
                  <c:v>2.6666666666666668E-2</c:v>
                </c:pt>
                <c:pt idx="10">
                  <c:v>0</c:v>
                </c:pt>
              </c:numCache>
            </c:numRef>
          </c:val>
          <c:extLst>
            <c:ext xmlns:c16="http://schemas.microsoft.com/office/drawing/2014/chart" uri="{C3380CC4-5D6E-409C-BE32-E72D297353CC}">
              <c16:uniqueId val="{00000000-9028-4186-A6E2-1F7707F2734E}"/>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28863101851851852"/>
          <c:w val="0.81093395061728391"/>
          <c:h val="0.45249166666666674"/>
        </c:manualLayout>
      </c:layout>
      <c:barChart>
        <c:barDir val="col"/>
        <c:grouping val="clustered"/>
        <c:varyColors val="0"/>
        <c:ser>
          <c:idx val="0"/>
          <c:order val="0"/>
          <c:tx>
            <c:strRef>
              <c:f>Age!$D$55</c:f>
              <c:strCache>
                <c:ptCount val="1"/>
                <c:pt idx="0">
                  <c:v>Healthcare
Sciences</c:v>
                </c:pt>
              </c:strCache>
            </c:strRef>
          </c:tx>
          <c:spPr>
            <a:solidFill>
              <a:schemeClr val="accent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Age!$D$56:$D$66</c:f>
              <c:numCache>
                <c:formatCode>0.0%</c:formatCode>
                <c:ptCount val="11"/>
                <c:pt idx="0">
                  <c:v>0</c:v>
                </c:pt>
                <c:pt idx="1">
                  <c:v>4.2857142857142858E-2</c:v>
                </c:pt>
                <c:pt idx="2">
                  <c:v>0.19285714285714287</c:v>
                </c:pt>
                <c:pt idx="3">
                  <c:v>0.10714285714285714</c:v>
                </c:pt>
                <c:pt idx="4">
                  <c:v>0.11428571428571428</c:v>
                </c:pt>
                <c:pt idx="5">
                  <c:v>0.1</c:v>
                </c:pt>
                <c:pt idx="6">
                  <c:v>0.1357142857142857</c:v>
                </c:pt>
                <c:pt idx="7">
                  <c:v>0.11428571428571428</c:v>
                </c:pt>
                <c:pt idx="8">
                  <c:v>0.1357142857142857</c:v>
                </c:pt>
                <c:pt idx="9">
                  <c:v>4.2857142857142858E-2</c:v>
                </c:pt>
                <c:pt idx="10">
                  <c:v>1.4285714285714285E-2</c:v>
                </c:pt>
              </c:numCache>
            </c:numRef>
          </c:val>
          <c:extLst>
            <c:ext xmlns:c16="http://schemas.microsoft.com/office/drawing/2014/chart" uri="{C3380CC4-5D6E-409C-BE32-E72D297353CC}">
              <c16:uniqueId val="{00000000-E88D-411E-81F3-373A244C50CB}"/>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Turnover Rate Each Year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'Turnover rates'!$B$23</c:f>
              <c:strCache>
                <c:ptCount val="1"/>
                <c:pt idx="0">
                  <c:v>Turnover Rate</c:v>
                </c:pt>
              </c:strCache>
            </c:strRef>
          </c:tx>
          <c:spPr>
            <a:solidFill>
              <a:schemeClr val="accent1"/>
            </a:solidFill>
            <a:ln>
              <a:noFill/>
            </a:ln>
            <a:effectLst/>
          </c:spPr>
          <c:invertIfNegative val="0"/>
          <c:dLbls>
            <c:dLbl>
              <c:idx val="0"/>
              <c:layout>
                <c:manualLayout>
                  <c:x val="1.8567251461988304E-3"/>
                  <c:y val="-6.047619047619047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EAB-4983-A82A-D3F201BA488E}"/>
                </c:ext>
              </c:extLst>
            </c:dLbl>
            <c:dLbl>
              <c:idx val="7"/>
              <c:layout>
                <c:manualLayout>
                  <c:x val="-1.3615827114261381E-16"/>
                  <c:y val="-6.04761904761905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EAB-4983-A82A-D3F201BA488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25400" cap="rnd">
                <a:solidFill>
                  <a:schemeClr val="accent2"/>
                </a:solidFill>
                <a:prstDash val="solid"/>
              </a:ln>
              <a:effectLst/>
            </c:spPr>
            <c:trendlineType val="linear"/>
            <c:dispRSqr val="0"/>
            <c:dispEq val="0"/>
          </c:trendline>
          <c:cat>
            <c:strRef>
              <c:f>'Turnover rates'!$A$24:$A$34</c:f>
              <c:strCache>
                <c:ptCount val="11"/>
                <c:pt idx="0">
                  <c:v>2011/2012</c:v>
                </c:pt>
                <c:pt idx="1">
                  <c:v>2012/2013</c:v>
                </c:pt>
                <c:pt idx="2">
                  <c:v>2013/2014</c:v>
                </c:pt>
                <c:pt idx="3">
                  <c:v>2014/2015</c:v>
                </c:pt>
                <c:pt idx="4">
                  <c:v>2015/2016</c:v>
                </c:pt>
                <c:pt idx="5">
                  <c:v>2016/2017</c:v>
                </c:pt>
                <c:pt idx="6">
                  <c:v>2017/2018</c:v>
                </c:pt>
                <c:pt idx="7">
                  <c:v>2018/2019</c:v>
                </c:pt>
                <c:pt idx="8">
                  <c:v>2019/2020</c:v>
                </c:pt>
                <c:pt idx="9">
                  <c:v>2020/2021</c:v>
                </c:pt>
                <c:pt idx="10">
                  <c:v>2021/2022</c:v>
                </c:pt>
              </c:strCache>
            </c:strRef>
          </c:cat>
          <c:val>
            <c:numRef>
              <c:f>'Turnover rates'!$B$24:$B$34</c:f>
              <c:numCache>
                <c:formatCode>0.0%</c:formatCode>
                <c:ptCount val="11"/>
                <c:pt idx="0">
                  <c:v>5.5E-2</c:v>
                </c:pt>
                <c:pt idx="1">
                  <c:v>7.1999999999999995E-2</c:v>
                </c:pt>
                <c:pt idx="2">
                  <c:v>7.4999999999999997E-2</c:v>
                </c:pt>
                <c:pt idx="3">
                  <c:v>7.3999999999999996E-2</c:v>
                </c:pt>
                <c:pt idx="4">
                  <c:v>8.5000000000000006E-2</c:v>
                </c:pt>
                <c:pt idx="5">
                  <c:v>7.9000000000000001E-2</c:v>
                </c:pt>
                <c:pt idx="6">
                  <c:v>8.6999999999999994E-2</c:v>
                </c:pt>
                <c:pt idx="7">
                  <c:v>7.6999999999999999E-2</c:v>
                </c:pt>
                <c:pt idx="8">
                  <c:v>9.0999999999999998E-2</c:v>
                </c:pt>
                <c:pt idx="9">
                  <c:v>7.1999999999999995E-2</c:v>
                </c:pt>
                <c:pt idx="10">
                  <c:v>0.114</c:v>
                </c:pt>
              </c:numCache>
            </c:numRef>
          </c:val>
          <c:extLst>
            <c:ext xmlns:c16="http://schemas.microsoft.com/office/drawing/2014/chart" uri="{C3380CC4-5D6E-409C-BE32-E72D297353CC}">
              <c16:uniqueId val="{00000002-2EAB-4983-A82A-D3F201BA488E}"/>
            </c:ext>
          </c:extLst>
        </c:ser>
        <c:dLbls>
          <c:showLegendKey val="0"/>
          <c:showVal val="0"/>
          <c:showCatName val="0"/>
          <c:showSerName val="0"/>
          <c:showPercent val="0"/>
          <c:showBubbleSize val="0"/>
        </c:dLbls>
        <c:gapWidth val="219"/>
        <c:overlap val="-27"/>
        <c:axId val="462687904"/>
        <c:axId val="462680688"/>
      </c:barChart>
      <c:catAx>
        <c:axId val="462687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680688"/>
        <c:crosses val="autoZero"/>
        <c:auto val="1"/>
        <c:lblAlgn val="ctr"/>
        <c:lblOffset val="100"/>
        <c:noMultiLvlLbl val="0"/>
      </c:catAx>
      <c:valAx>
        <c:axId val="46268068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687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28863101851851852"/>
          <c:w val="0.81093395061728391"/>
          <c:h val="0.45249166666666674"/>
        </c:manualLayout>
      </c:layout>
      <c:barChart>
        <c:barDir val="col"/>
        <c:grouping val="clustered"/>
        <c:varyColors val="0"/>
        <c:ser>
          <c:idx val="0"/>
          <c:order val="0"/>
          <c:tx>
            <c:strRef>
              <c:f>Age!$E$55</c:f>
              <c:strCache>
                <c:ptCount val="1"/>
                <c:pt idx="0">
                  <c:v>Medical and
Dental</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Age!$E$56:$E$66</c:f>
              <c:numCache>
                <c:formatCode>0.0%</c:formatCode>
                <c:ptCount val="11"/>
                <c:pt idx="0">
                  <c:v>0</c:v>
                </c:pt>
                <c:pt idx="1">
                  <c:v>0</c:v>
                </c:pt>
                <c:pt idx="2">
                  <c:v>2.6315789473684209E-2</c:v>
                </c:pt>
                <c:pt idx="3">
                  <c:v>0.1118421052631579</c:v>
                </c:pt>
                <c:pt idx="4">
                  <c:v>0.13157894736842105</c:v>
                </c:pt>
                <c:pt idx="5">
                  <c:v>0.13815789473684212</c:v>
                </c:pt>
                <c:pt idx="6">
                  <c:v>0.20394736842105263</c:v>
                </c:pt>
                <c:pt idx="7">
                  <c:v>0.20394736842105263</c:v>
                </c:pt>
                <c:pt idx="8">
                  <c:v>0.1118421052631579</c:v>
                </c:pt>
                <c:pt idx="9">
                  <c:v>6.5789473684210523E-2</c:v>
                </c:pt>
                <c:pt idx="10">
                  <c:v>6.5789473684210523E-3</c:v>
                </c:pt>
              </c:numCache>
            </c:numRef>
          </c:val>
          <c:extLst>
            <c:ext xmlns:c16="http://schemas.microsoft.com/office/drawing/2014/chart" uri="{C3380CC4-5D6E-409C-BE32-E72D297353CC}">
              <c16:uniqueId val="{00000000-64B4-4AB0-8E50-D481A1A777E8}"/>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28863101851851852"/>
          <c:w val="0.81093395061728391"/>
          <c:h val="0.45249166666666674"/>
        </c:manualLayout>
      </c:layout>
      <c:barChart>
        <c:barDir val="col"/>
        <c:grouping val="clustered"/>
        <c:varyColors val="0"/>
        <c:ser>
          <c:idx val="0"/>
          <c:order val="0"/>
          <c:tx>
            <c:strRef>
              <c:f>Age!$F$55</c:f>
              <c:strCache>
                <c:ptCount val="1"/>
                <c:pt idx="0">
                  <c:v>Medical
Support</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Age!$F$56:$F$66</c:f>
              <c:numCache>
                <c:formatCode>0.0%</c:formatCode>
                <c:ptCount val="11"/>
                <c:pt idx="0">
                  <c:v>0</c:v>
                </c:pt>
                <c:pt idx="1">
                  <c:v>3.8461538461538464E-2</c:v>
                </c:pt>
                <c:pt idx="2">
                  <c:v>0.23076923076923078</c:v>
                </c:pt>
                <c:pt idx="3">
                  <c:v>0.15384615384615385</c:v>
                </c:pt>
                <c:pt idx="4">
                  <c:v>7.6923076923076927E-2</c:v>
                </c:pt>
                <c:pt idx="5">
                  <c:v>7.6923076923076927E-2</c:v>
                </c:pt>
                <c:pt idx="6">
                  <c:v>0.11538461538461539</c:v>
                </c:pt>
                <c:pt idx="7">
                  <c:v>0.15384615384615385</c:v>
                </c:pt>
                <c:pt idx="8">
                  <c:v>7.6923076923076927E-2</c:v>
                </c:pt>
                <c:pt idx="9">
                  <c:v>7.6923076923076927E-2</c:v>
                </c:pt>
                <c:pt idx="10">
                  <c:v>0</c:v>
                </c:pt>
              </c:numCache>
            </c:numRef>
          </c:val>
          <c:extLst>
            <c:ext xmlns:c16="http://schemas.microsoft.com/office/drawing/2014/chart" uri="{C3380CC4-5D6E-409C-BE32-E72D297353CC}">
              <c16:uniqueId val="{00000000-3630-425E-9BED-3DEA97101C8D}"/>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28863101851851852"/>
          <c:w val="0.81093395061728391"/>
          <c:h val="0.45249166666666674"/>
        </c:manualLayout>
      </c:layout>
      <c:barChart>
        <c:barDir val="col"/>
        <c:grouping val="clustered"/>
        <c:varyColors val="0"/>
        <c:ser>
          <c:idx val="0"/>
          <c:order val="0"/>
          <c:tx>
            <c:strRef>
              <c:f>Age!$G$55</c:f>
              <c:strCache>
                <c:ptCount val="1"/>
                <c:pt idx="0">
                  <c:v>Nursing and
Midwifery</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6"/>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Age!$G$56:$G$66</c:f>
              <c:numCache>
                <c:formatCode>0.0%</c:formatCode>
                <c:ptCount val="11"/>
                <c:pt idx="0">
                  <c:v>0</c:v>
                </c:pt>
                <c:pt idx="1">
                  <c:v>4.7362755651237889E-2</c:v>
                </c:pt>
                <c:pt idx="2">
                  <c:v>0.10979547900968784</c:v>
                </c:pt>
                <c:pt idx="3">
                  <c:v>0.15069967707212056</c:v>
                </c:pt>
                <c:pt idx="4">
                  <c:v>0.13670613562970937</c:v>
                </c:pt>
                <c:pt idx="5">
                  <c:v>0.13455328310010764</c:v>
                </c:pt>
                <c:pt idx="6">
                  <c:v>0.116254036598493</c:v>
                </c:pt>
                <c:pt idx="7">
                  <c:v>0.14316469321851452</c:v>
                </c:pt>
                <c:pt idx="8">
                  <c:v>0.11194833153928956</c:v>
                </c:pt>
                <c:pt idx="9">
                  <c:v>4.3057050592034449E-2</c:v>
                </c:pt>
                <c:pt idx="10">
                  <c:v>6.4585575888051671E-3</c:v>
                </c:pt>
              </c:numCache>
            </c:numRef>
          </c:val>
          <c:extLst>
            <c:ext xmlns:c16="http://schemas.microsoft.com/office/drawing/2014/chart" uri="{C3380CC4-5D6E-409C-BE32-E72D297353CC}">
              <c16:uniqueId val="{00000000-A4BA-4B04-BDE2-3D03828407C0}"/>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40624364765342286"/>
          <c:w val="0.81093395061728391"/>
          <c:h val="0.33487927358095226"/>
        </c:manualLayout>
      </c:layout>
      <c:barChart>
        <c:barDir val="col"/>
        <c:grouping val="clustered"/>
        <c:varyColors val="0"/>
        <c:ser>
          <c:idx val="0"/>
          <c:order val="0"/>
          <c:tx>
            <c:strRef>
              <c:f>Age!$H$55</c:f>
              <c:strCache>
                <c:ptCount val="1"/>
                <c:pt idx="0">
                  <c:v>Other
Therapeutic</c:v>
                </c:pt>
              </c:strCache>
            </c:strRef>
          </c:tx>
          <c:spPr>
            <a:solidFill>
              <a:schemeClr val="accent1">
                <a:lumMod val="50000"/>
              </a:schemeClr>
            </a:solidFill>
            <a:ln>
              <a:noFill/>
            </a:ln>
            <a:effectLst/>
          </c:spPr>
          <c:invertIfNegative val="0"/>
          <c:dLbls>
            <c:spPr>
              <a:solidFill>
                <a:sysClr val="window" lastClr="FFFFFF"/>
              </a:solid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Age!$H$56:$H$66</c:f>
              <c:numCache>
                <c:formatCode>0.0%</c:formatCode>
                <c:ptCount val="11"/>
                <c:pt idx="0">
                  <c:v>3.1746031746031744E-2</c:v>
                </c:pt>
                <c:pt idx="1">
                  <c:v>1.5873015873015872E-2</c:v>
                </c:pt>
                <c:pt idx="2">
                  <c:v>9.5238095238095233E-2</c:v>
                </c:pt>
                <c:pt idx="3">
                  <c:v>9.5238095238095233E-2</c:v>
                </c:pt>
                <c:pt idx="4">
                  <c:v>0.19047619047619047</c:v>
                </c:pt>
                <c:pt idx="5">
                  <c:v>0.17460317460317459</c:v>
                </c:pt>
                <c:pt idx="6">
                  <c:v>0.15873015873015872</c:v>
                </c:pt>
                <c:pt idx="7">
                  <c:v>0.1111111111111111</c:v>
                </c:pt>
                <c:pt idx="8">
                  <c:v>9.5238095238095233E-2</c:v>
                </c:pt>
                <c:pt idx="9">
                  <c:v>3.1746031746031744E-2</c:v>
                </c:pt>
                <c:pt idx="10">
                  <c:v>0</c:v>
                </c:pt>
              </c:numCache>
            </c:numRef>
          </c:val>
          <c:extLst>
            <c:ext xmlns:c16="http://schemas.microsoft.com/office/drawing/2014/chart" uri="{C3380CC4-5D6E-409C-BE32-E72D297353CC}">
              <c16:uniqueId val="{00000000-ED1B-47E5-88C8-140C9A89E4AE}"/>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28863101851851852"/>
          <c:w val="0.81093395061728391"/>
          <c:h val="0.45249166666666674"/>
        </c:manualLayout>
      </c:layout>
      <c:barChart>
        <c:barDir val="col"/>
        <c:grouping val="clustered"/>
        <c:varyColors val="0"/>
        <c:ser>
          <c:idx val="0"/>
          <c:order val="0"/>
          <c:tx>
            <c:strRef>
              <c:f>Age!$J$55</c:f>
              <c:strCache>
                <c:ptCount val="1"/>
                <c:pt idx="0">
                  <c:v>Senior
Managers</c:v>
                </c:pt>
              </c:strCache>
            </c:strRef>
          </c:tx>
          <c:spPr>
            <a:solidFill>
              <a:schemeClr val="accent2">
                <a:lumMod val="50000"/>
              </a:schemeClr>
            </a:solidFill>
            <a:ln>
              <a:noFill/>
            </a:ln>
            <a:effectLst/>
          </c:spPr>
          <c:invertIfNegative val="0"/>
          <c:dLbls>
            <c:spPr>
              <a:solidFill>
                <a:sysClr val="window" lastClr="FFFFFF"/>
              </a:solid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Age!$J$56:$J$66</c:f>
              <c:numCache>
                <c:formatCode>0.0%</c:formatCode>
                <c:ptCount val="11"/>
                <c:pt idx="0">
                  <c:v>0</c:v>
                </c:pt>
                <c:pt idx="1">
                  <c:v>0</c:v>
                </c:pt>
                <c:pt idx="2">
                  <c:v>0</c:v>
                </c:pt>
                <c:pt idx="3">
                  <c:v>0</c:v>
                </c:pt>
                <c:pt idx="4">
                  <c:v>0</c:v>
                </c:pt>
                <c:pt idx="5">
                  <c:v>0</c:v>
                </c:pt>
                <c:pt idx="6">
                  <c:v>0.1111111111111111</c:v>
                </c:pt>
                <c:pt idx="7">
                  <c:v>0.44444444444444442</c:v>
                </c:pt>
                <c:pt idx="8">
                  <c:v>0.1111111111111111</c:v>
                </c:pt>
                <c:pt idx="9">
                  <c:v>0.33333333333333331</c:v>
                </c:pt>
                <c:pt idx="10">
                  <c:v>0</c:v>
                </c:pt>
              </c:numCache>
            </c:numRef>
          </c:val>
          <c:extLst>
            <c:ext xmlns:c16="http://schemas.microsoft.com/office/drawing/2014/chart" uri="{C3380CC4-5D6E-409C-BE32-E72D297353CC}">
              <c16:uniqueId val="{00000000-93FB-4DB7-A5FE-75FB88549FCF}"/>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594876543209875"/>
          <c:y val="0.28863101851851852"/>
          <c:w val="0.81093395061728391"/>
          <c:h val="0.45249166666666674"/>
        </c:manualLayout>
      </c:layout>
      <c:barChart>
        <c:barDir val="col"/>
        <c:grouping val="clustered"/>
        <c:varyColors val="0"/>
        <c:ser>
          <c:idx val="0"/>
          <c:order val="0"/>
          <c:tx>
            <c:strRef>
              <c:f>Age!$K$55</c:f>
              <c:strCache>
                <c:ptCount val="1"/>
                <c:pt idx="0">
                  <c:v>Support
Services</c:v>
                </c:pt>
              </c:strCache>
            </c:strRef>
          </c:tx>
          <c:spPr>
            <a:solidFill>
              <a:schemeClr val="accent3">
                <a:lumMod val="50000"/>
              </a:schemeClr>
            </a:solidFill>
            <a:ln>
              <a:noFill/>
            </a:ln>
            <a:effectLst/>
          </c:spPr>
          <c:invertIfNegative val="0"/>
          <c:dLbls>
            <c:spPr>
              <a:solidFill>
                <a:sysClr val="window" lastClr="FFFFFF"/>
              </a:solid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Age!$A$56:$A$66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Age!$K$56:$K$66</c:f>
              <c:numCache>
                <c:formatCode>0.0%</c:formatCode>
                <c:ptCount val="11"/>
                <c:pt idx="0">
                  <c:v>8.8888888888888889E-3</c:v>
                </c:pt>
                <c:pt idx="1">
                  <c:v>6.6666666666666666E-2</c:v>
                </c:pt>
                <c:pt idx="2">
                  <c:v>8.8888888888888892E-2</c:v>
                </c:pt>
                <c:pt idx="3">
                  <c:v>6.222222222222222E-2</c:v>
                </c:pt>
                <c:pt idx="4">
                  <c:v>7.5555555555555556E-2</c:v>
                </c:pt>
                <c:pt idx="5">
                  <c:v>8.8888888888888892E-2</c:v>
                </c:pt>
                <c:pt idx="6">
                  <c:v>0.12444444444444444</c:v>
                </c:pt>
                <c:pt idx="7">
                  <c:v>0.11555555555555555</c:v>
                </c:pt>
                <c:pt idx="8">
                  <c:v>0.16888888888888889</c:v>
                </c:pt>
                <c:pt idx="9">
                  <c:v>0.14666666666666667</c:v>
                </c:pt>
                <c:pt idx="10">
                  <c:v>5.3333333333333337E-2</c:v>
                </c:pt>
              </c:numCache>
            </c:numRef>
          </c:val>
          <c:extLst>
            <c:ext xmlns:c16="http://schemas.microsoft.com/office/drawing/2014/chart" uri="{C3380CC4-5D6E-409C-BE32-E72D297353CC}">
              <c16:uniqueId val="{00000000-E06C-4837-98E2-D2B3F824825B}"/>
            </c:ext>
          </c:extLst>
        </c:ser>
        <c:dLbls>
          <c:showLegendKey val="0"/>
          <c:showVal val="0"/>
          <c:showCatName val="0"/>
          <c:showSerName val="0"/>
          <c:showPercent val="0"/>
          <c:showBubbleSize val="0"/>
        </c:dLbls>
        <c:gapWidth val="219"/>
        <c:overlap val="-27"/>
        <c:axId val="516671616"/>
        <c:axId val="516676208"/>
      </c:barChart>
      <c:catAx>
        <c:axId val="51667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6208"/>
        <c:crosses val="autoZero"/>
        <c:auto val="1"/>
        <c:lblAlgn val="ctr"/>
        <c:lblOffset val="100"/>
        <c:noMultiLvlLbl val="0"/>
      </c:catAx>
      <c:valAx>
        <c:axId val="5166762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67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Current and Potential Retirement Profiles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Age!$A$69</c:f>
              <c:strCache>
                <c:ptCount val="1"/>
                <c:pt idx="0">
                  <c:v>Current Retirement Profile</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Age!$B$55:$K$55</c:f>
              <c:strCache>
                <c:ptCount val="10"/>
                <c:pt idx="0">
                  <c:v>Administrative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Senior
Managers</c:v>
                </c:pt>
                <c:pt idx="9">
                  <c:v>Support
Services</c:v>
                </c:pt>
              </c:strCache>
            </c:strRef>
          </c:cat>
          <c:val>
            <c:numRef>
              <c:f>Age!$B$69:$K$69</c:f>
              <c:numCache>
                <c:formatCode>0.0%</c:formatCode>
                <c:ptCount val="10"/>
                <c:pt idx="0">
                  <c:v>0.1095890410958904</c:v>
                </c:pt>
                <c:pt idx="1">
                  <c:v>2.6666666666666668E-2</c:v>
                </c:pt>
                <c:pt idx="2">
                  <c:v>5.7142857142857141E-2</c:v>
                </c:pt>
                <c:pt idx="3">
                  <c:v>7.2368421052631582E-2</c:v>
                </c:pt>
                <c:pt idx="4">
                  <c:v>7.6923076923076927E-2</c:v>
                </c:pt>
                <c:pt idx="5">
                  <c:v>4.9515608180839617E-2</c:v>
                </c:pt>
                <c:pt idx="6">
                  <c:v>3.1746031746031744E-2</c:v>
                </c:pt>
                <c:pt idx="7">
                  <c:v>0</c:v>
                </c:pt>
                <c:pt idx="8">
                  <c:v>0.33333333333333331</c:v>
                </c:pt>
                <c:pt idx="9">
                  <c:v>0.2</c:v>
                </c:pt>
              </c:numCache>
            </c:numRef>
          </c:val>
          <c:extLst>
            <c:ext xmlns:c16="http://schemas.microsoft.com/office/drawing/2014/chart" uri="{C3380CC4-5D6E-409C-BE32-E72D297353CC}">
              <c16:uniqueId val="{00000000-6598-4A10-B4F4-973159334294}"/>
            </c:ext>
          </c:extLst>
        </c:ser>
        <c:ser>
          <c:idx val="1"/>
          <c:order val="1"/>
          <c:tx>
            <c:strRef>
              <c:f>Age!$A$72</c:f>
              <c:strCache>
                <c:ptCount val="1"/>
                <c:pt idx="0">
                  <c:v>Potential Retirement Profile</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Age!$B$55:$K$55</c:f>
              <c:strCache>
                <c:ptCount val="10"/>
                <c:pt idx="0">
                  <c:v>Administrative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Senior
Managers</c:v>
                </c:pt>
                <c:pt idx="9">
                  <c:v>Support
Services</c:v>
                </c:pt>
              </c:strCache>
            </c:strRef>
          </c:cat>
          <c:val>
            <c:numRef>
              <c:f>Age!$B$72:$K$72</c:f>
              <c:numCache>
                <c:formatCode>0.0%</c:formatCode>
                <c:ptCount val="10"/>
                <c:pt idx="0">
                  <c:v>0.24429223744292236</c:v>
                </c:pt>
                <c:pt idx="1">
                  <c:v>0.10666666666666667</c:v>
                </c:pt>
                <c:pt idx="2">
                  <c:v>0.19285714285714284</c:v>
                </c:pt>
                <c:pt idx="3">
                  <c:v>0.18421052631578946</c:v>
                </c:pt>
                <c:pt idx="4">
                  <c:v>0.15384615384615385</c:v>
                </c:pt>
                <c:pt idx="5">
                  <c:v>0.16146393972012918</c:v>
                </c:pt>
                <c:pt idx="6">
                  <c:v>0.12698412698412698</c:v>
                </c:pt>
                <c:pt idx="7">
                  <c:v>1</c:v>
                </c:pt>
                <c:pt idx="8">
                  <c:v>0.44444444444444442</c:v>
                </c:pt>
                <c:pt idx="9">
                  <c:v>0.36888888888888893</c:v>
                </c:pt>
              </c:numCache>
            </c:numRef>
          </c:val>
          <c:extLst>
            <c:ext xmlns:c16="http://schemas.microsoft.com/office/drawing/2014/chart" uri="{C3380CC4-5D6E-409C-BE32-E72D297353CC}">
              <c16:uniqueId val="{00000001-6598-4A10-B4F4-973159334294}"/>
            </c:ext>
          </c:extLst>
        </c:ser>
        <c:dLbls>
          <c:dLblPos val="outEnd"/>
          <c:showLegendKey val="0"/>
          <c:showVal val="1"/>
          <c:showCatName val="0"/>
          <c:showSerName val="0"/>
          <c:showPercent val="0"/>
          <c:showBubbleSize val="0"/>
        </c:dLbls>
        <c:gapWidth val="219"/>
        <c:overlap val="-27"/>
        <c:axId val="785573248"/>
        <c:axId val="785570296"/>
      </c:barChart>
      <c:catAx>
        <c:axId val="785573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5570296"/>
        <c:crosses val="autoZero"/>
        <c:auto val="1"/>
        <c:lblAlgn val="ctr"/>
        <c:lblOffset val="100"/>
        <c:noMultiLvlLbl val="0"/>
      </c:catAx>
      <c:valAx>
        <c:axId val="78557029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5573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Age Range of Starters (Percentage)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Analysis!$C$8</c:f>
              <c:strCache>
                <c:ptCount val="1"/>
                <c:pt idx="0">
                  <c:v>Percentage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Analysis!$A$9:$A$19</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Analysis!$C$9:$C$19</c:f>
              <c:numCache>
                <c:formatCode>0.0%</c:formatCode>
                <c:ptCount val="11"/>
                <c:pt idx="0">
                  <c:v>1.3114754098360656E-2</c:v>
                </c:pt>
                <c:pt idx="1">
                  <c:v>0.12786885245901639</c:v>
                </c:pt>
                <c:pt idx="2">
                  <c:v>0.18688524590163935</c:v>
                </c:pt>
                <c:pt idx="3">
                  <c:v>0.17377049180327869</c:v>
                </c:pt>
                <c:pt idx="4">
                  <c:v>0.13442622950819672</c:v>
                </c:pt>
                <c:pt idx="5">
                  <c:v>0.11475409836065574</c:v>
                </c:pt>
                <c:pt idx="6">
                  <c:v>9.1803278688524587E-2</c:v>
                </c:pt>
                <c:pt idx="7">
                  <c:v>8.5245901639344257E-2</c:v>
                </c:pt>
                <c:pt idx="8">
                  <c:v>5.9016393442622953E-2</c:v>
                </c:pt>
                <c:pt idx="9">
                  <c:v>9.8360655737704927E-3</c:v>
                </c:pt>
                <c:pt idx="10">
                  <c:v>3.2786885245901639E-3</c:v>
                </c:pt>
              </c:numCache>
            </c:numRef>
          </c:val>
          <c:extLst>
            <c:ext xmlns:c16="http://schemas.microsoft.com/office/drawing/2014/chart" uri="{C3380CC4-5D6E-409C-BE32-E72D297353CC}">
              <c16:uniqueId val="{00000000-7E30-4115-AD72-0EB6B51DC2AD}"/>
            </c:ext>
          </c:extLst>
        </c:ser>
        <c:dLbls>
          <c:showLegendKey val="0"/>
          <c:showVal val="0"/>
          <c:showCatName val="0"/>
          <c:showSerName val="0"/>
          <c:showPercent val="0"/>
          <c:showBubbleSize val="0"/>
        </c:dLbls>
        <c:gapWidth val="219"/>
        <c:overlap val="-27"/>
        <c:axId val="765102432"/>
        <c:axId val="765102760"/>
      </c:barChart>
      <c:catAx>
        <c:axId val="765102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5102760"/>
        <c:crosses val="autoZero"/>
        <c:auto val="1"/>
        <c:lblAlgn val="ctr"/>
        <c:lblOffset val="100"/>
        <c:noMultiLvlLbl val="0"/>
      </c:catAx>
      <c:valAx>
        <c:axId val="765102760"/>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5102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Training Undertaken by Age Range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Sheet2!$C$35</c:f>
              <c:strCache>
                <c:ptCount val="1"/>
                <c:pt idx="0">
                  <c:v>% Training</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Sheet2!$A$36:$A$46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Sheet2!$C$36:$C$46</c:f>
              <c:numCache>
                <c:formatCode>0.0%</c:formatCode>
                <c:ptCount val="11"/>
                <c:pt idx="0">
                  <c:v>2.8115438683535931E-3</c:v>
                </c:pt>
                <c:pt idx="1">
                  <c:v>5.9290498635574299E-2</c:v>
                </c:pt>
                <c:pt idx="2">
                  <c:v>0.12660216654262796</c:v>
                </c:pt>
                <c:pt idx="3">
                  <c:v>0.13693872488216324</c:v>
                </c:pt>
                <c:pt idx="4">
                  <c:v>0.12329446787397669</c:v>
                </c:pt>
                <c:pt idx="5">
                  <c:v>0.12470023980815348</c:v>
                </c:pt>
                <c:pt idx="6">
                  <c:v>0.11841561233771604</c:v>
                </c:pt>
                <c:pt idx="7">
                  <c:v>0.14438104688662862</c:v>
                </c:pt>
                <c:pt idx="8">
                  <c:v>0.10601174233027372</c:v>
                </c:pt>
                <c:pt idx="9">
                  <c:v>4.4571239560076074E-2</c:v>
                </c:pt>
                <c:pt idx="10">
                  <c:v>1.2982717274456297E-2</c:v>
                </c:pt>
              </c:numCache>
            </c:numRef>
          </c:val>
          <c:extLst>
            <c:ext xmlns:c16="http://schemas.microsoft.com/office/drawing/2014/chart" uri="{C3380CC4-5D6E-409C-BE32-E72D297353CC}">
              <c16:uniqueId val="{00000000-B893-4D44-9668-9032411FFA32}"/>
            </c:ext>
          </c:extLst>
        </c:ser>
        <c:ser>
          <c:idx val="1"/>
          <c:order val="1"/>
          <c:tx>
            <c:strRef>
              <c:f>Sheet2!$D$35</c:f>
              <c:strCache>
                <c:ptCount val="1"/>
                <c:pt idx="0">
                  <c:v>% Workforce</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Sheet2!$A$36:$A$46</c:f>
              <c:strCache>
                <c:ptCount val="11"/>
                <c:pt idx="0">
                  <c:v>Under 20</c:v>
                </c:pt>
                <c:pt idx="1">
                  <c:v>20 - 24</c:v>
                </c:pt>
                <c:pt idx="2">
                  <c:v>25 - 29</c:v>
                </c:pt>
                <c:pt idx="3">
                  <c:v>30 - 34</c:v>
                </c:pt>
                <c:pt idx="4">
                  <c:v>35 - 39</c:v>
                </c:pt>
                <c:pt idx="5">
                  <c:v>40 - 44</c:v>
                </c:pt>
                <c:pt idx="6">
                  <c:v>45 - 49</c:v>
                </c:pt>
                <c:pt idx="7">
                  <c:v>50 - 54</c:v>
                </c:pt>
                <c:pt idx="8">
                  <c:v>55 - 59</c:v>
                </c:pt>
                <c:pt idx="9">
                  <c:v>60 - 64</c:v>
                </c:pt>
                <c:pt idx="10">
                  <c:v>65 +</c:v>
                </c:pt>
              </c:strCache>
            </c:strRef>
          </c:cat>
          <c:val>
            <c:numRef>
              <c:f>Sheet2!$D$36:$D$46</c:f>
              <c:numCache>
                <c:formatCode>0.0%</c:formatCode>
                <c:ptCount val="11"/>
                <c:pt idx="0">
                  <c:v>2E-3</c:v>
                </c:pt>
                <c:pt idx="1">
                  <c:v>3.9E-2</c:v>
                </c:pt>
                <c:pt idx="2">
                  <c:v>0.108</c:v>
                </c:pt>
                <c:pt idx="3">
                  <c:v>0.12</c:v>
                </c:pt>
                <c:pt idx="4">
                  <c:v>0.129</c:v>
                </c:pt>
                <c:pt idx="5">
                  <c:v>0.126</c:v>
                </c:pt>
                <c:pt idx="6">
                  <c:v>0.129</c:v>
                </c:pt>
                <c:pt idx="7">
                  <c:v>0.14499999999999999</c:v>
                </c:pt>
                <c:pt idx="8">
                  <c:v>0.122</c:v>
                </c:pt>
                <c:pt idx="9">
                  <c:v>6.3E-2</c:v>
                </c:pt>
                <c:pt idx="10">
                  <c:v>1.6E-2</c:v>
                </c:pt>
              </c:numCache>
            </c:numRef>
          </c:val>
          <c:extLst>
            <c:ext xmlns:c16="http://schemas.microsoft.com/office/drawing/2014/chart" uri="{C3380CC4-5D6E-409C-BE32-E72D297353CC}">
              <c16:uniqueId val="{00000001-B893-4D44-9668-9032411FFA32}"/>
            </c:ext>
          </c:extLst>
        </c:ser>
        <c:dLbls>
          <c:showLegendKey val="0"/>
          <c:showVal val="0"/>
          <c:showCatName val="0"/>
          <c:showSerName val="0"/>
          <c:showPercent val="0"/>
          <c:showBubbleSize val="0"/>
        </c:dLbls>
        <c:gapWidth val="219"/>
        <c:overlap val="-27"/>
        <c:axId val="320303096"/>
        <c:axId val="320302768"/>
      </c:barChart>
      <c:catAx>
        <c:axId val="320303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0302768"/>
        <c:crosses val="autoZero"/>
        <c:auto val="1"/>
        <c:lblAlgn val="ctr"/>
        <c:lblOffset val="100"/>
        <c:noMultiLvlLbl val="0"/>
      </c:catAx>
      <c:valAx>
        <c:axId val="32030276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0303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pivotSource>
    <c:name>[Analysis.xlsx]PivotChartTable6</c:name>
    <c:fmtId val="-1"/>
  </c:pivotSource>
  <c:chart>
    <c:autoTitleDeleted val="0"/>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
        <c:idx val="4"/>
        <c:spPr>
          <a:solidFill>
            <a:schemeClr val="accent1"/>
          </a:solidFill>
          <a:ln>
            <a:noFill/>
          </a:ln>
          <a:effectLst/>
        </c:spPr>
        <c:marker>
          <c:symbol val="none"/>
        </c:marker>
      </c:pivotFmt>
      <c:pivotFmt>
        <c:idx val="5"/>
        <c:spPr>
          <a:solidFill>
            <a:schemeClr val="accent1"/>
          </a:solidFill>
          <a:ln>
            <a:noFill/>
          </a:ln>
          <a:effectLst/>
        </c:spPr>
        <c:marker>
          <c:symbol val="none"/>
        </c:marker>
      </c:pivotFmt>
      <c:pivotFmt>
        <c:idx val="6"/>
        <c:spPr>
          <a:solidFill>
            <a:schemeClr val="accent1"/>
          </a:solidFill>
          <a:ln>
            <a:noFill/>
          </a:ln>
          <a:effectLst/>
        </c:spPr>
        <c:marker>
          <c:symbol val="none"/>
        </c:marker>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
        <c:idx val="10"/>
        <c:spPr>
          <a:solidFill>
            <a:schemeClr val="accent1"/>
          </a:solidFill>
          <a:ln>
            <a:noFill/>
          </a:ln>
          <a:effectLst/>
        </c:spPr>
        <c:marker>
          <c:symbol val="none"/>
        </c:marker>
      </c:pivotFmt>
      <c:pivotFmt>
        <c:idx val="11"/>
        <c:spPr>
          <a:solidFill>
            <a:schemeClr val="accent1"/>
          </a:solidFill>
          <a:ln>
            <a:noFill/>
          </a:ln>
          <a:effectLst/>
        </c:spPr>
        <c:marker>
          <c:symbol val="none"/>
        </c:marker>
      </c:pivotFmt>
      <c:pivotFmt>
        <c:idx val="12"/>
        <c:spPr>
          <a:solidFill>
            <a:schemeClr val="accent1"/>
          </a:solidFill>
          <a:ln>
            <a:noFill/>
          </a:ln>
          <a:effectLst/>
        </c:spPr>
        <c:marker>
          <c:symbol val="none"/>
        </c:marker>
      </c:pivotFmt>
      <c:pivotFmt>
        <c:idx val="13"/>
        <c:spPr>
          <a:solidFill>
            <a:schemeClr val="accent1"/>
          </a:solidFill>
          <a:ln>
            <a:noFill/>
          </a:ln>
          <a:effectLst/>
        </c:spPr>
        <c:marker>
          <c:symbol val="none"/>
        </c:marker>
      </c:pivotFmt>
      <c:pivotFmt>
        <c:idx val="14"/>
        <c:spPr>
          <a:solidFill>
            <a:schemeClr val="accent1"/>
          </a:solidFill>
          <a:ln>
            <a:noFill/>
          </a:ln>
          <a:effectLst/>
        </c:spPr>
        <c:marker>
          <c:symbol val="none"/>
        </c:marker>
      </c:pivotFmt>
      <c:pivotFmt>
        <c:idx val="15"/>
        <c:spPr>
          <a:solidFill>
            <a:schemeClr val="accent1"/>
          </a:solidFill>
          <a:ln>
            <a:noFill/>
          </a:ln>
          <a:effectLst/>
        </c:spPr>
        <c:marker>
          <c:symbol val="none"/>
        </c:marker>
      </c:pivotFmt>
      <c:pivotFmt>
        <c:idx val="16"/>
        <c:spPr>
          <a:solidFill>
            <a:schemeClr val="accent1"/>
          </a:solidFill>
          <a:ln>
            <a:noFill/>
          </a:ln>
          <a:effectLst/>
        </c:spPr>
        <c:marker>
          <c:symbol val="none"/>
        </c:marker>
      </c:pivotFmt>
      <c:pivotFmt>
        <c:idx val="17"/>
        <c:spPr>
          <a:solidFill>
            <a:schemeClr val="accent1"/>
          </a:solidFill>
          <a:ln>
            <a:noFill/>
          </a:ln>
          <a:effectLst/>
        </c:spPr>
        <c:marker>
          <c:symbol val="none"/>
        </c:marker>
      </c:pivotFmt>
      <c:pivotFmt>
        <c:idx val="18"/>
        <c:spPr>
          <a:solidFill>
            <a:schemeClr val="accent1"/>
          </a:solidFill>
          <a:ln>
            <a:noFill/>
          </a:ln>
          <a:effectLst/>
        </c:spPr>
        <c:marker>
          <c:symbol val="none"/>
        </c:marker>
      </c:pivotFmt>
      <c:pivotFmt>
        <c:idx val="19"/>
        <c:spPr>
          <a:solidFill>
            <a:schemeClr val="accent1"/>
          </a:solidFill>
          <a:ln>
            <a:noFill/>
          </a:ln>
          <a:effectLst/>
        </c:spPr>
        <c:marker>
          <c:symbol val="none"/>
        </c:marker>
      </c:pivotFmt>
      <c:pivotFmt>
        <c:idx val="20"/>
        <c:spPr>
          <a:solidFill>
            <a:schemeClr val="accent1"/>
          </a:solidFill>
          <a:ln>
            <a:noFill/>
          </a:ln>
          <a:effectLst/>
        </c:spPr>
        <c:marker>
          <c:symbol val="none"/>
        </c:marker>
      </c:pivotFmt>
      <c:pivotFmt>
        <c:idx val="21"/>
        <c:spPr>
          <a:solidFill>
            <a:schemeClr val="accent1"/>
          </a:solidFill>
          <a:ln>
            <a:noFill/>
          </a:ln>
          <a:effectLst/>
        </c:spPr>
        <c:marker>
          <c:symbol val="none"/>
        </c:marker>
      </c:pivotFmt>
      <c:pivotFmt>
        <c:idx val="22"/>
        <c:spPr>
          <a:solidFill>
            <a:schemeClr val="accent1"/>
          </a:solidFill>
          <a:ln>
            <a:noFill/>
          </a:ln>
          <a:effectLst/>
        </c:spPr>
        <c:marker>
          <c:symbol val="none"/>
        </c:marker>
      </c:pivotFmt>
      <c:pivotFmt>
        <c:idx val="23"/>
        <c:spPr>
          <a:solidFill>
            <a:schemeClr val="accent1"/>
          </a:solidFill>
          <a:ln>
            <a:noFill/>
          </a:ln>
          <a:effectLst/>
        </c:spPr>
        <c:marker>
          <c:symbol val="none"/>
        </c:marker>
      </c:pivotFmt>
      <c:pivotFmt>
        <c:idx val="24"/>
        <c:spPr>
          <a:solidFill>
            <a:schemeClr val="accent1"/>
          </a:solidFill>
          <a:ln>
            <a:noFill/>
          </a:ln>
          <a:effectLst/>
        </c:spPr>
        <c:marker>
          <c:symbol val="none"/>
        </c:marker>
      </c:pivotFmt>
      <c:pivotFmt>
        <c:idx val="25"/>
        <c:spPr>
          <a:solidFill>
            <a:schemeClr val="accent1"/>
          </a:solidFill>
          <a:ln>
            <a:noFill/>
          </a:ln>
          <a:effectLst/>
        </c:spPr>
        <c:marker>
          <c:symbol val="none"/>
        </c:marker>
      </c:pivotFmt>
      <c:pivotFmt>
        <c:idx val="26"/>
        <c:spPr>
          <a:solidFill>
            <a:schemeClr val="accent1"/>
          </a:solidFill>
          <a:ln>
            <a:noFill/>
          </a:ln>
          <a:effectLst/>
        </c:spPr>
        <c:marker>
          <c:symbol val="none"/>
        </c:marker>
      </c:pivotFmt>
      <c:pivotFmt>
        <c:idx val="27"/>
        <c:spPr>
          <a:solidFill>
            <a:schemeClr val="accent1"/>
          </a:solidFill>
          <a:ln>
            <a:noFill/>
          </a:ln>
          <a:effectLst/>
        </c:spPr>
        <c:marker>
          <c:symbol val="none"/>
        </c:marker>
      </c:pivotFmt>
      <c:pivotFmt>
        <c:idx val="28"/>
        <c:spPr>
          <a:solidFill>
            <a:schemeClr val="accent1"/>
          </a:solidFill>
          <a:ln>
            <a:noFill/>
          </a:ln>
          <a:effectLst/>
        </c:spPr>
        <c:marker>
          <c:symbol val="none"/>
        </c:marker>
      </c:pivotFmt>
      <c:pivotFmt>
        <c:idx val="29"/>
        <c:spPr>
          <a:solidFill>
            <a:schemeClr val="accent1"/>
          </a:solidFill>
          <a:ln>
            <a:noFill/>
          </a:ln>
          <a:effectLst/>
        </c:spPr>
        <c:marker>
          <c:symbol val="none"/>
        </c:marker>
      </c:pivotFmt>
      <c:pivotFmt>
        <c:idx val="30"/>
        <c:spPr>
          <a:solidFill>
            <a:schemeClr val="accent1"/>
          </a:solidFill>
          <a:ln>
            <a:noFill/>
          </a:ln>
          <a:effectLst/>
        </c:spPr>
        <c:marker>
          <c:symbol val="none"/>
        </c:marker>
      </c:pivotFmt>
      <c:pivotFmt>
        <c:idx val="31"/>
        <c:spPr>
          <a:solidFill>
            <a:schemeClr val="accent1"/>
          </a:solidFill>
          <a:ln>
            <a:noFill/>
          </a:ln>
          <a:effectLst/>
        </c:spPr>
        <c:marker>
          <c:symbol val="none"/>
        </c:marker>
      </c:pivotFmt>
      <c:pivotFmt>
        <c:idx val="32"/>
        <c:spPr>
          <a:solidFill>
            <a:schemeClr val="accent1"/>
          </a:solidFill>
          <a:ln>
            <a:noFill/>
          </a:ln>
          <a:effectLst/>
        </c:spPr>
        <c:marker>
          <c:symbol val="none"/>
        </c:marker>
      </c:pivotFmt>
      <c:pivotFmt>
        <c:idx val="33"/>
        <c:spPr>
          <a:solidFill>
            <a:schemeClr val="accent1"/>
          </a:solidFill>
          <a:ln>
            <a:noFill/>
          </a:ln>
          <a:effectLst/>
        </c:spPr>
        <c:marker>
          <c:symbol val="none"/>
        </c:marker>
      </c:pivotFmt>
      <c:pivotFmt>
        <c:idx val="34"/>
        <c:spPr>
          <a:solidFill>
            <a:schemeClr val="accent1"/>
          </a:solidFill>
          <a:ln>
            <a:noFill/>
          </a:ln>
          <a:effectLst/>
        </c:spPr>
        <c:marker>
          <c:symbol val="none"/>
        </c:marker>
      </c:pivotFmt>
      <c:pivotFmt>
        <c:idx val="35"/>
        <c:spPr>
          <a:solidFill>
            <a:schemeClr val="accent1"/>
          </a:solidFill>
          <a:ln>
            <a:noFill/>
          </a:ln>
          <a:effectLst/>
        </c:spPr>
        <c:marker>
          <c:symbol val="none"/>
        </c:marker>
      </c:pivotFmt>
      <c:pivotFmt>
        <c:idx val="36"/>
        <c:spPr>
          <a:solidFill>
            <a:schemeClr val="accent1"/>
          </a:solidFill>
          <a:ln>
            <a:noFill/>
          </a:ln>
          <a:effectLst/>
        </c:spPr>
        <c:marker>
          <c:symbol val="none"/>
        </c:marker>
      </c:pivotFmt>
      <c:pivotFmt>
        <c:idx val="37"/>
        <c:spPr>
          <a:solidFill>
            <a:schemeClr val="accent1"/>
          </a:solidFill>
          <a:ln>
            <a:noFill/>
          </a:ln>
          <a:effectLst/>
        </c:spPr>
        <c:marker>
          <c:symbol val="none"/>
        </c:marker>
      </c:pivotFmt>
      <c:pivotFmt>
        <c:idx val="38"/>
        <c:spPr>
          <a:solidFill>
            <a:schemeClr val="accent1"/>
          </a:solidFill>
          <a:ln>
            <a:noFill/>
          </a:ln>
          <a:effectLst/>
        </c:spPr>
        <c:marker>
          <c:symbol val="none"/>
        </c:marker>
      </c:pivotFmt>
      <c:pivotFmt>
        <c:idx val="39"/>
        <c:spPr>
          <a:solidFill>
            <a:schemeClr val="accent1"/>
          </a:solidFill>
          <a:ln>
            <a:noFill/>
          </a:ln>
          <a:effectLst/>
        </c:spPr>
        <c:marker>
          <c:symbol val="none"/>
        </c:marker>
      </c:pivotFmt>
      <c:pivotFmt>
        <c:idx val="40"/>
        <c:spPr>
          <a:solidFill>
            <a:schemeClr val="accent1"/>
          </a:solidFill>
          <a:ln>
            <a:noFill/>
          </a:ln>
          <a:effectLst/>
        </c:spPr>
        <c:marker>
          <c:symbol val="none"/>
        </c:marker>
      </c:pivotFmt>
      <c:pivotFmt>
        <c:idx val="41"/>
        <c:spPr>
          <a:solidFill>
            <a:schemeClr val="accent1"/>
          </a:solidFill>
          <a:ln>
            <a:noFill/>
          </a:ln>
          <a:effectLst/>
        </c:spPr>
        <c:marker>
          <c:symbol val="none"/>
        </c:marker>
      </c:pivotFmt>
      <c:pivotFmt>
        <c:idx val="42"/>
        <c:spPr>
          <a:solidFill>
            <a:schemeClr val="accent1"/>
          </a:solidFill>
          <a:ln>
            <a:noFill/>
          </a:ln>
          <a:effectLst/>
        </c:spPr>
        <c:marker>
          <c:symbol val="none"/>
        </c:marker>
      </c:pivotFmt>
      <c:pivotFmt>
        <c:idx val="43"/>
        <c:spPr>
          <a:solidFill>
            <a:schemeClr val="accent1"/>
          </a:solidFill>
          <a:ln>
            <a:noFill/>
          </a:ln>
          <a:effectLst/>
        </c:spPr>
        <c:marker>
          <c:symbol val="none"/>
        </c:marker>
      </c:pivotFmt>
      <c:pivotFmt>
        <c:idx val="44"/>
        <c:spPr>
          <a:solidFill>
            <a:schemeClr val="accent1"/>
          </a:solidFill>
          <a:ln>
            <a:noFill/>
          </a:ln>
          <a:effectLst/>
        </c:spPr>
        <c:marker>
          <c:symbol val="none"/>
        </c:marker>
      </c:pivotFmt>
      <c:pivotFmt>
        <c:idx val="45"/>
        <c:spPr>
          <a:solidFill>
            <a:schemeClr val="accent1"/>
          </a:solidFill>
          <a:ln>
            <a:noFill/>
          </a:ln>
          <a:effectLst/>
        </c:spPr>
        <c:marker>
          <c:symbol val="none"/>
        </c:marker>
      </c:pivotFmt>
      <c:pivotFmt>
        <c:idx val="46"/>
        <c:spPr>
          <a:solidFill>
            <a:schemeClr val="accent1"/>
          </a:solidFill>
          <a:ln>
            <a:noFill/>
          </a:ln>
          <a:effectLst/>
        </c:spPr>
        <c:marker>
          <c:symbol val="none"/>
        </c:marker>
      </c:pivotFmt>
      <c:pivotFmt>
        <c:idx val="47"/>
        <c:spPr>
          <a:solidFill>
            <a:schemeClr val="accent1"/>
          </a:solidFill>
          <a:ln>
            <a:noFill/>
          </a:ln>
          <a:effectLst/>
        </c:spPr>
        <c:marker>
          <c:symbol val="none"/>
        </c:marker>
      </c:pivotFmt>
      <c:pivotFmt>
        <c:idx val="48"/>
        <c:spPr>
          <a:solidFill>
            <a:schemeClr val="accent1"/>
          </a:solidFill>
          <a:ln>
            <a:noFill/>
          </a:ln>
          <a:effectLst/>
        </c:spPr>
        <c:marker>
          <c:symbol val="none"/>
        </c:marker>
      </c:pivotFmt>
      <c:pivotFmt>
        <c:idx val="49"/>
        <c:spPr>
          <a:solidFill>
            <a:schemeClr val="accent1"/>
          </a:solidFill>
          <a:ln>
            <a:noFill/>
          </a:ln>
          <a:effectLst/>
        </c:spPr>
        <c:marker>
          <c:symbol val="none"/>
        </c:marker>
      </c:pivotFmt>
      <c:pivotFmt>
        <c:idx val="50"/>
        <c:spPr>
          <a:solidFill>
            <a:schemeClr val="accent1"/>
          </a:solidFill>
          <a:ln>
            <a:noFill/>
          </a:ln>
          <a:effectLst/>
        </c:spPr>
        <c:marker>
          <c:symbol val="none"/>
        </c:marker>
      </c:pivotFmt>
      <c:pivotFmt>
        <c:idx val="51"/>
        <c:spPr>
          <a:solidFill>
            <a:schemeClr val="accent1"/>
          </a:solidFill>
          <a:ln>
            <a:noFill/>
          </a:ln>
          <a:effectLst/>
        </c:spPr>
        <c:marker>
          <c:symbol val="none"/>
        </c:marker>
      </c:pivotFmt>
      <c:pivotFmt>
        <c:idx val="52"/>
        <c:spPr>
          <a:solidFill>
            <a:schemeClr val="accent1"/>
          </a:solidFill>
          <a:ln>
            <a:noFill/>
          </a:ln>
          <a:effectLst/>
        </c:spPr>
        <c:marker>
          <c:symbol val="none"/>
        </c:marker>
      </c:pivotFmt>
      <c:pivotFmt>
        <c:idx val="53"/>
        <c:spPr>
          <a:solidFill>
            <a:schemeClr val="accent1"/>
          </a:solidFill>
          <a:ln>
            <a:noFill/>
          </a:ln>
          <a:effectLst/>
        </c:spPr>
        <c:marker>
          <c:symbol val="none"/>
        </c:marker>
      </c:pivotFmt>
      <c:pivotFmt>
        <c:idx val="54"/>
        <c:spPr>
          <a:solidFill>
            <a:schemeClr val="accent1"/>
          </a:solidFill>
          <a:ln>
            <a:noFill/>
          </a:ln>
          <a:effectLst/>
        </c:spPr>
        <c:marker>
          <c:symbol val="none"/>
        </c:marker>
      </c:pivotFmt>
      <c:pivotFmt>
        <c:idx val="55"/>
        <c:spPr>
          <a:solidFill>
            <a:schemeClr val="accent1"/>
          </a:solidFill>
          <a:ln>
            <a:noFill/>
          </a:ln>
          <a:effectLst/>
        </c:spPr>
        <c:marker>
          <c:symbol val="none"/>
        </c:marker>
      </c:pivotFmt>
      <c:pivotFmt>
        <c:idx val="56"/>
        <c:spPr>
          <a:solidFill>
            <a:schemeClr val="accent1"/>
          </a:solidFill>
          <a:ln>
            <a:noFill/>
          </a:ln>
          <a:effectLst/>
        </c:spPr>
        <c:marker>
          <c:symbol val="none"/>
        </c:marker>
      </c:pivotFmt>
      <c:pivotFmt>
        <c:idx val="57"/>
        <c:spPr>
          <a:solidFill>
            <a:schemeClr val="accent1"/>
          </a:solidFill>
          <a:ln>
            <a:noFill/>
          </a:ln>
          <a:effectLst/>
        </c:spPr>
        <c:marker>
          <c:symbol val="none"/>
        </c:marker>
      </c:pivotFmt>
      <c:pivotFmt>
        <c:idx val="58"/>
        <c:spPr>
          <a:solidFill>
            <a:schemeClr val="accent1"/>
          </a:solidFill>
          <a:ln>
            <a:noFill/>
          </a:ln>
          <a:effectLst/>
        </c:spPr>
        <c:marker>
          <c:symbol val="none"/>
        </c:marker>
      </c:pivotFmt>
      <c:pivotFmt>
        <c:idx val="59"/>
        <c:spPr>
          <a:solidFill>
            <a:schemeClr val="accent1"/>
          </a:solidFill>
          <a:ln>
            <a:noFill/>
          </a:ln>
          <a:effectLst/>
        </c:spPr>
        <c:marker>
          <c:symbol val="none"/>
        </c:marker>
      </c:pivotFmt>
      <c:pivotFmt>
        <c:idx val="60"/>
        <c:spPr>
          <a:solidFill>
            <a:schemeClr val="accent1"/>
          </a:solidFill>
          <a:ln>
            <a:noFill/>
          </a:ln>
          <a:effectLst/>
        </c:spPr>
        <c:marker>
          <c:symbol val="none"/>
        </c:marker>
      </c:pivotFmt>
      <c:pivotFmt>
        <c:idx val="61"/>
        <c:spPr>
          <a:solidFill>
            <a:schemeClr val="accent1"/>
          </a:solidFill>
          <a:ln>
            <a:noFill/>
          </a:ln>
          <a:effectLst/>
        </c:spPr>
        <c:marker>
          <c:symbol val="none"/>
        </c:marker>
      </c:pivotFmt>
      <c:pivotFmt>
        <c:idx val="62"/>
        <c:spPr>
          <a:solidFill>
            <a:schemeClr val="accent1"/>
          </a:solidFill>
          <a:ln>
            <a:noFill/>
          </a:ln>
          <a:effectLst/>
        </c:spPr>
        <c:marker>
          <c:symbol val="none"/>
        </c:marker>
      </c:pivotFmt>
      <c:pivotFmt>
        <c:idx val="63"/>
        <c:spPr>
          <a:solidFill>
            <a:schemeClr val="accent1"/>
          </a:solidFill>
          <a:ln>
            <a:noFill/>
          </a:ln>
          <a:effectLst/>
        </c:spPr>
        <c:marker>
          <c:symbol val="none"/>
        </c:marker>
      </c:pivotFmt>
      <c:pivotFmt>
        <c:idx val="64"/>
        <c:spPr>
          <a:solidFill>
            <a:schemeClr val="accent1"/>
          </a:solidFill>
          <a:ln>
            <a:noFill/>
          </a:ln>
          <a:effectLst/>
        </c:spPr>
        <c:marker>
          <c:symbol val="none"/>
        </c:marker>
      </c:pivotFmt>
      <c:pivotFmt>
        <c:idx val="65"/>
        <c:spPr>
          <a:solidFill>
            <a:schemeClr val="accent1"/>
          </a:solidFill>
          <a:ln>
            <a:noFill/>
          </a:ln>
          <a:effectLst/>
        </c:spPr>
        <c:marker>
          <c:symbol val="none"/>
        </c:marker>
      </c:pivotFmt>
      <c:pivotFmt>
        <c:idx val="66"/>
        <c:spPr>
          <a:solidFill>
            <a:schemeClr val="accent1"/>
          </a:solidFill>
          <a:ln>
            <a:noFill/>
          </a:ln>
          <a:effectLst/>
        </c:spPr>
        <c:marker>
          <c:symbol val="none"/>
        </c:marker>
      </c:pivotFmt>
      <c:pivotFmt>
        <c:idx val="67"/>
        <c:spPr>
          <a:solidFill>
            <a:schemeClr val="accent1"/>
          </a:solidFill>
          <a:ln>
            <a:noFill/>
          </a:ln>
          <a:effectLst/>
        </c:spPr>
        <c:marker>
          <c:symbol val="none"/>
        </c:marker>
      </c:pivotFmt>
      <c:pivotFmt>
        <c:idx val="68"/>
        <c:spPr>
          <a:solidFill>
            <a:schemeClr val="accent1"/>
          </a:solidFill>
          <a:ln>
            <a:noFill/>
          </a:ln>
          <a:effectLst/>
        </c:spPr>
        <c:marker>
          <c:symbol val="none"/>
        </c:marker>
      </c:pivotFmt>
      <c:pivotFmt>
        <c:idx val="69"/>
        <c:spPr>
          <a:solidFill>
            <a:schemeClr val="accent1"/>
          </a:solidFill>
          <a:ln>
            <a:noFill/>
          </a:ln>
          <a:effectLst/>
        </c:spPr>
        <c:marker>
          <c:symbol val="none"/>
        </c:marker>
      </c:pivotFmt>
      <c:pivotFmt>
        <c:idx val="70"/>
        <c:spPr>
          <a:solidFill>
            <a:schemeClr val="accent1"/>
          </a:solidFill>
          <a:ln>
            <a:noFill/>
          </a:ln>
          <a:effectLst/>
        </c:spPr>
        <c:marker>
          <c:symbol val="none"/>
        </c:marker>
      </c:pivotFmt>
      <c:pivotFmt>
        <c:idx val="71"/>
        <c:spPr>
          <a:solidFill>
            <a:schemeClr val="accent1"/>
          </a:solidFill>
          <a:ln>
            <a:noFill/>
          </a:ln>
          <a:effectLst/>
        </c:spPr>
        <c:marker>
          <c:symbol val="none"/>
        </c:marker>
      </c:pivotFmt>
      <c:pivotFmt>
        <c:idx val="72"/>
        <c:spPr>
          <a:solidFill>
            <a:schemeClr val="accent1"/>
          </a:solidFill>
          <a:ln>
            <a:noFill/>
          </a:ln>
          <a:effectLst/>
        </c:spPr>
        <c:marker>
          <c:symbol val="none"/>
        </c:marker>
      </c:pivotFmt>
      <c:pivotFmt>
        <c:idx val="73"/>
        <c:spPr>
          <a:solidFill>
            <a:schemeClr val="accent1"/>
          </a:solidFill>
          <a:ln>
            <a:noFill/>
          </a:ln>
          <a:effectLst/>
        </c:spPr>
        <c:marker>
          <c:symbol val="none"/>
        </c:marker>
      </c:pivotFmt>
      <c:pivotFmt>
        <c:idx val="74"/>
        <c:spPr>
          <a:solidFill>
            <a:schemeClr val="accent1"/>
          </a:solidFill>
          <a:ln>
            <a:noFill/>
          </a:ln>
          <a:effectLst/>
        </c:spPr>
        <c:marker>
          <c:symbol val="none"/>
        </c:marker>
      </c:pivotFmt>
      <c:pivotFmt>
        <c:idx val="75"/>
        <c:spPr>
          <a:solidFill>
            <a:schemeClr val="accent1"/>
          </a:solidFill>
          <a:ln>
            <a:noFill/>
          </a:ln>
          <a:effectLst/>
        </c:spPr>
        <c:marker>
          <c:symbol val="none"/>
        </c:marker>
      </c:pivotFmt>
      <c:pivotFmt>
        <c:idx val="76"/>
        <c:spPr>
          <a:solidFill>
            <a:schemeClr val="accent1"/>
          </a:solidFill>
          <a:ln>
            <a:noFill/>
          </a:ln>
          <a:effectLst/>
        </c:spPr>
        <c:marker>
          <c:symbol val="none"/>
        </c:marker>
      </c:pivotFmt>
      <c:pivotFmt>
        <c:idx val="77"/>
        <c:spPr>
          <a:solidFill>
            <a:schemeClr val="accent1"/>
          </a:solidFill>
          <a:ln>
            <a:noFill/>
          </a:ln>
          <a:effectLst/>
        </c:spPr>
        <c:marker>
          <c:symbol val="none"/>
        </c:marker>
      </c:pivotFmt>
      <c:pivotFmt>
        <c:idx val="78"/>
        <c:spPr>
          <a:solidFill>
            <a:schemeClr val="accent1"/>
          </a:solidFill>
          <a:ln>
            <a:noFill/>
          </a:ln>
          <a:effectLst/>
        </c:spPr>
        <c:marker>
          <c:symbol val="none"/>
        </c:marker>
      </c:pivotFmt>
      <c:pivotFmt>
        <c:idx val="79"/>
        <c:spPr>
          <a:solidFill>
            <a:schemeClr val="accent1"/>
          </a:solidFill>
          <a:ln>
            <a:noFill/>
          </a:ln>
          <a:effectLst/>
        </c:spPr>
        <c:marker>
          <c:symbol val="none"/>
        </c:marker>
      </c:pivotFmt>
      <c:pivotFmt>
        <c:idx val="80"/>
        <c:spPr>
          <a:solidFill>
            <a:schemeClr val="accent1"/>
          </a:solidFill>
          <a:ln>
            <a:noFill/>
          </a:ln>
          <a:effectLst/>
        </c:spPr>
        <c:marker>
          <c:symbol val="none"/>
        </c:marker>
      </c:pivotFmt>
      <c:pivotFmt>
        <c:idx val="81"/>
        <c:spPr>
          <a:solidFill>
            <a:schemeClr val="accent1"/>
          </a:solidFill>
          <a:ln>
            <a:noFill/>
          </a:ln>
          <a:effectLst/>
        </c:spPr>
        <c:marker>
          <c:symbol val="none"/>
        </c:marker>
      </c:pivotFmt>
      <c:pivotFmt>
        <c:idx val="82"/>
        <c:spPr>
          <a:solidFill>
            <a:schemeClr val="accent1"/>
          </a:solidFill>
          <a:ln>
            <a:noFill/>
          </a:ln>
          <a:effectLst/>
        </c:spPr>
        <c:marker>
          <c:symbol val="none"/>
        </c:marker>
      </c:pivotFmt>
      <c:pivotFmt>
        <c:idx val="83"/>
        <c:spPr>
          <a:solidFill>
            <a:schemeClr val="accent1"/>
          </a:solidFill>
          <a:ln>
            <a:noFill/>
          </a:ln>
          <a:effectLst/>
        </c:spPr>
        <c:marker>
          <c:symbol val="none"/>
        </c:marker>
      </c:pivotFmt>
      <c:pivotFmt>
        <c:idx val="84"/>
        <c:spPr>
          <a:solidFill>
            <a:schemeClr val="accent1"/>
          </a:solidFill>
          <a:ln>
            <a:noFill/>
          </a:ln>
          <a:effectLst/>
        </c:spPr>
        <c:marker>
          <c:symbol val="none"/>
        </c:marker>
      </c:pivotFmt>
      <c:pivotFmt>
        <c:idx val="85"/>
        <c:spPr>
          <a:solidFill>
            <a:schemeClr val="accent1"/>
          </a:solidFill>
          <a:ln>
            <a:noFill/>
          </a:ln>
          <a:effectLst/>
        </c:spPr>
        <c:marker>
          <c:symbol val="none"/>
        </c:marker>
      </c:pivotFmt>
      <c:pivotFmt>
        <c:idx val="86"/>
        <c:spPr>
          <a:solidFill>
            <a:schemeClr val="accent1"/>
          </a:solidFill>
          <a:ln>
            <a:noFill/>
          </a:ln>
          <a:effectLst/>
        </c:spPr>
        <c:marker>
          <c:symbol val="none"/>
        </c:marker>
      </c:pivotFmt>
      <c:pivotFmt>
        <c:idx val="87"/>
        <c:spPr>
          <a:solidFill>
            <a:schemeClr val="accent1"/>
          </a:solidFill>
          <a:ln>
            <a:noFill/>
          </a:ln>
          <a:effectLst/>
        </c:spPr>
        <c:marker>
          <c:symbol val="none"/>
        </c:marker>
      </c:pivotFmt>
      <c:pivotFmt>
        <c:idx val="88"/>
        <c:spPr>
          <a:solidFill>
            <a:schemeClr val="accent1"/>
          </a:solidFill>
          <a:ln>
            <a:noFill/>
          </a:ln>
          <a:effectLst/>
        </c:spPr>
        <c:marker>
          <c:symbol val="none"/>
        </c:marker>
      </c:pivotFmt>
      <c:pivotFmt>
        <c:idx val="89"/>
        <c:spPr>
          <a:solidFill>
            <a:schemeClr val="accent1"/>
          </a:solidFill>
          <a:ln>
            <a:noFill/>
          </a:ln>
          <a:effectLst/>
        </c:spPr>
        <c:marker>
          <c:symbol val="none"/>
        </c:marker>
      </c:pivotFmt>
      <c:pivotFmt>
        <c:idx val="90"/>
        <c:spPr>
          <a:solidFill>
            <a:schemeClr val="accent1"/>
          </a:solidFill>
          <a:ln>
            <a:noFill/>
          </a:ln>
          <a:effectLst/>
        </c:spPr>
        <c:marker>
          <c:symbol val="none"/>
        </c:marker>
      </c:pivotFmt>
      <c:pivotFmt>
        <c:idx val="91"/>
        <c:spPr>
          <a:solidFill>
            <a:schemeClr val="accent1"/>
          </a:solidFill>
          <a:ln>
            <a:noFill/>
          </a:ln>
          <a:effectLst/>
        </c:spPr>
        <c:marker>
          <c:symbol val="none"/>
        </c:marker>
      </c:pivotFmt>
      <c:pivotFmt>
        <c:idx val="92"/>
        <c:spPr>
          <a:solidFill>
            <a:schemeClr val="accent1"/>
          </a:solidFill>
          <a:ln>
            <a:noFill/>
          </a:ln>
          <a:effectLst/>
        </c:spPr>
        <c:marker>
          <c:symbol val="none"/>
        </c:marker>
      </c:pivotFmt>
      <c:pivotFmt>
        <c:idx val="93"/>
        <c:spPr>
          <a:solidFill>
            <a:schemeClr val="accent1"/>
          </a:solidFill>
          <a:ln>
            <a:noFill/>
          </a:ln>
          <a:effectLst/>
        </c:spPr>
        <c:marker>
          <c:symbol val="none"/>
        </c:marker>
      </c:pivotFmt>
      <c:pivotFmt>
        <c:idx val="94"/>
        <c:spPr>
          <a:solidFill>
            <a:schemeClr val="accent1"/>
          </a:solidFill>
          <a:ln>
            <a:noFill/>
          </a:ln>
          <a:effectLst/>
        </c:spPr>
        <c:marker>
          <c:symbol val="none"/>
        </c:marker>
      </c:pivotFmt>
      <c:pivotFmt>
        <c:idx val="95"/>
        <c:spPr>
          <a:solidFill>
            <a:schemeClr val="accent1"/>
          </a:solidFill>
          <a:ln>
            <a:noFill/>
          </a:ln>
          <a:effectLst/>
        </c:spPr>
        <c:marker>
          <c:symbol val="none"/>
        </c:marker>
      </c:pivotFmt>
      <c:pivotFmt>
        <c:idx val="96"/>
        <c:spPr>
          <a:solidFill>
            <a:schemeClr val="accent1"/>
          </a:solidFill>
          <a:ln>
            <a:noFill/>
          </a:ln>
          <a:effectLst/>
        </c:spPr>
        <c:marker>
          <c:symbol val="none"/>
        </c:marker>
      </c:pivotFmt>
      <c:pivotFmt>
        <c:idx val="97"/>
        <c:spPr>
          <a:solidFill>
            <a:schemeClr val="accent1"/>
          </a:solidFill>
          <a:ln>
            <a:noFill/>
          </a:ln>
          <a:effectLst/>
        </c:spPr>
        <c:marker>
          <c:symbol val="none"/>
        </c:marker>
      </c:pivotFmt>
      <c:pivotFmt>
        <c:idx val="98"/>
        <c:spPr>
          <a:solidFill>
            <a:schemeClr val="accent1"/>
          </a:solidFill>
          <a:ln>
            <a:noFill/>
          </a:ln>
          <a:effectLst/>
        </c:spPr>
        <c:marker>
          <c:symbol val="none"/>
        </c:marker>
      </c:pivotFmt>
      <c:pivotFmt>
        <c:idx val="99"/>
        <c:spPr>
          <a:solidFill>
            <a:schemeClr val="accent1"/>
          </a:solidFill>
          <a:ln>
            <a:noFill/>
          </a:ln>
          <a:effectLst/>
        </c:spPr>
        <c:marker>
          <c:symbol val="none"/>
        </c:marker>
      </c:pivotFmt>
      <c:pivotFmt>
        <c:idx val="100"/>
        <c:spPr>
          <a:solidFill>
            <a:schemeClr val="accent1"/>
          </a:solidFill>
          <a:ln>
            <a:noFill/>
          </a:ln>
          <a:effectLst/>
        </c:spPr>
        <c:marker>
          <c:symbol val="none"/>
        </c:marker>
      </c:pivotFmt>
      <c:pivotFmt>
        <c:idx val="101"/>
        <c:spPr>
          <a:solidFill>
            <a:schemeClr val="accent1"/>
          </a:solidFill>
          <a:ln>
            <a:noFill/>
          </a:ln>
          <a:effectLst/>
        </c:spPr>
        <c:marker>
          <c:symbol val="none"/>
        </c:marker>
      </c:pivotFmt>
      <c:pivotFmt>
        <c:idx val="102"/>
        <c:spPr>
          <a:solidFill>
            <a:schemeClr val="accent1"/>
          </a:solidFill>
          <a:ln>
            <a:noFill/>
          </a:ln>
          <a:effectLst/>
        </c:spPr>
        <c:marker>
          <c:symbol val="none"/>
        </c:marker>
      </c:pivotFmt>
      <c:pivotFmt>
        <c:idx val="103"/>
        <c:spPr>
          <a:solidFill>
            <a:schemeClr val="accent1"/>
          </a:solidFill>
          <a:ln>
            <a:noFill/>
          </a:ln>
          <a:effectLst/>
        </c:spPr>
        <c:marker>
          <c:symbol val="none"/>
        </c:marker>
      </c:pivotFmt>
      <c:pivotFmt>
        <c:idx val="104"/>
        <c:spPr>
          <a:solidFill>
            <a:schemeClr val="accent1"/>
          </a:solidFill>
          <a:ln>
            <a:noFill/>
          </a:ln>
          <a:effectLst/>
        </c:spPr>
        <c:marker>
          <c:symbol val="none"/>
        </c:marker>
      </c:pivotFmt>
      <c:pivotFmt>
        <c:idx val="105"/>
        <c:spPr>
          <a:solidFill>
            <a:schemeClr val="accent1"/>
          </a:solidFill>
          <a:ln>
            <a:noFill/>
          </a:ln>
          <a:effectLst/>
        </c:spPr>
        <c:marker>
          <c:symbol val="none"/>
        </c:marker>
      </c:pivotFmt>
      <c:pivotFmt>
        <c:idx val="106"/>
        <c:spPr>
          <a:solidFill>
            <a:schemeClr val="accent1"/>
          </a:solidFill>
          <a:ln>
            <a:noFill/>
          </a:ln>
          <a:effectLst/>
        </c:spPr>
        <c:marker>
          <c:symbol val="none"/>
        </c:marker>
      </c:pivotFmt>
      <c:pivotFmt>
        <c:idx val="107"/>
        <c:spPr>
          <a:solidFill>
            <a:schemeClr val="accent1"/>
          </a:solidFill>
          <a:ln>
            <a:noFill/>
          </a:ln>
          <a:effectLst/>
        </c:spPr>
        <c:marker>
          <c:symbol val="none"/>
        </c:marker>
      </c:pivotFmt>
      <c:pivotFmt>
        <c:idx val="108"/>
        <c:spPr>
          <a:solidFill>
            <a:schemeClr val="accent1"/>
          </a:solidFill>
          <a:ln>
            <a:noFill/>
          </a:ln>
          <a:effectLst/>
        </c:spPr>
        <c:marker>
          <c:symbol val="none"/>
        </c:marker>
      </c:pivotFmt>
      <c:pivotFmt>
        <c:idx val="109"/>
        <c:spPr>
          <a:solidFill>
            <a:schemeClr val="accent1"/>
          </a:solidFill>
          <a:ln>
            <a:noFill/>
          </a:ln>
          <a:effectLst/>
        </c:spPr>
        <c:marker>
          <c:symbol val="none"/>
        </c:marker>
      </c:pivotFmt>
      <c:pivotFmt>
        <c:idx val="110"/>
        <c:spPr>
          <a:solidFill>
            <a:schemeClr val="accent1"/>
          </a:solidFill>
          <a:ln>
            <a:noFill/>
          </a:ln>
          <a:effectLst/>
        </c:spPr>
        <c:marker>
          <c:symbol val="none"/>
        </c:marker>
      </c:pivotFmt>
      <c:pivotFmt>
        <c:idx val="111"/>
        <c:spPr>
          <a:solidFill>
            <a:schemeClr val="accent1"/>
          </a:solidFill>
          <a:ln>
            <a:noFill/>
          </a:ln>
          <a:effectLst/>
        </c:spPr>
        <c:marker>
          <c:symbol val="none"/>
        </c:marker>
      </c:pivotFmt>
      <c:pivotFmt>
        <c:idx val="112"/>
        <c:spPr>
          <a:solidFill>
            <a:schemeClr val="accent1"/>
          </a:solidFill>
          <a:ln>
            <a:noFill/>
          </a:ln>
          <a:effectLst/>
        </c:spPr>
        <c:marker>
          <c:symbol val="none"/>
        </c:marker>
      </c:pivotFmt>
      <c:pivotFmt>
        <c:idx val="113"/>
        <c:spPr>
          <a:solidFill>
            <a:schemeClr val="accent1"/>
          </a:solidFill>
          <a:ln>
            <a:noFill/>
          </a:ln>
          <a:effectLst/>
        </c:spPr>
        <c:marker>
          <c:symbol val="none"/>
        </c:marker>
      </c:pivotFmt>
      <c:pivotFmt>
        <c:idx val="114"/>
        <c:spPr>
          <a:solidFill>
            <a:schemeClr val="accent1"/>
          </a:solidFill>
          <a:ln>
            <a:noFill/>
          </a:ln>
          <a:effectLst/>
        </c:spPr>
        <c:marker>
          <c:symbol val="none"/>
        </c:marker>
      </c:pivotFmt>
      <c:pivotFmt>
        <c:idx val="115"/>
        <c:spPr>
          <a:solidFill>
            <a:schemeClr val="accent1"/>
          </a:solidFill>
          <a:ln>
            <a:noFill/>
          </a:ln>
          <a:effectLst/>
        </c:spPr>
        <c:marker>
          <c:symbol val="none"/>
        </c:marker>
      </c:pivotFmt>
      <c:pivotFmt>
        <c:idx val="116"/>
        <c:spPr>
          <a:solidFill>
            <a:schemeClr val="accent1"/>
          </a:solidFill>
          <a:ln>
            <a:noFill/>
          </a:ln>
          <a:effectLst/>
        </c:spPr>
        <c:marker>
          <c:symbol val="none"/>
        </c:marker>
      </c:pivotFmt>
      <c:pivotFmt>
        <c:idx val="117"/>
        <c:spPr>
          <a:solidFill>
            <a:schemeClr val="accent1"/>
          </a:solidFill>
          <a:ln>
            <a:noFill/>
          </a:ln>
          <a:effectLst/>
        </c:spPr>
        <c:marker>
          <c:symbol val="none"/>
        </c:marker>
      </c:pivotFmt>
      <c:pivotFmt>
        <c:idx val="118"/>
        <c:spPr>
          <a:solidFill>
            <a:schemeClr val="accent1"/>
          </a:solidFill>
          <a:ln>
            <a:noFill/>
          </a:ln>
          <a:effectLst/>
        </c:spPr>
        <c:marker>
          <c:symbol val="none"/>
        </c:marker>
      </c:pivotFmt>
      <c:pivotFmt>
        <c:idx val="119"/>
        <c:spPr>
          <a:solidFill>
            <a:schemeClr val="accent1"/>
          </a:solidFill>
          <a:ln>
            <a:noFill/>
          </a:ln>
          <a:effectLst/>
        </c:spPr>
        <c:marker>
          <c:symbol val="none"/>
        </c:marker>
      </c:pivotFmt>
      <c:pivotFmt>
        <c:idx val="120"/>
        <c:spPr>
          <a:solidFill>
            <a:schemeClr val="accent1"/>
          </a:solidFill>
          <a:ln>
            <a:noFill/>
          </a:ln>
          <a:effectLst/>
        </c:spPr>
        <c:marker>
          <c:symbol val="none"/>
        </c:marker>
      </c:pivotFmt>
      <c:pivotFmt>
        <c:idx val="121"/>
        <c:spPr>
          <a:solidFill>
            <a:schemeClr val="accent1"/>
          </a:solidFill>
          <a:ln>
            <a:noFill/>
          </a:ln>
          <a:effectLst/>
        </c:spPr>
        <c:marker>
          <c:symbol val="none"/>
        </c:marker>
      </c:pivotFmt>
      <c:pivotFmt>
        <c:idx val="122"/>
        <c:spPr>
          <a:solidFill>
            <a:schemeClr val="accent1"/>
          </a:solidFill>
          <a:ln>
            <a:noFill/>
          </a:ln>
          <a:effectLst/>
        </c:spPr>
        <c:marker>
          <c:symbol val="none"/>
        </c:marker>
      </c:pivotFmt>
      <c:pivotFmt>
        <c:idx val="123"/>
        <c:spPr>
          <a:solidFill>
            <a:schemeClr val="accent1"/>
          </a:solidFill>
          <a:ln>
            <a:noFill/>
          </a:ln>
          <a:effectLst/>
        </c:spPr>
        <c:marker>
          <c:symbol val="none"/>
        </c:marker>
      </c:pivotFmt>
      <c:pivotFmt>
        <c:idx val="124"/>
        <c:spPr>
          <a:solidFill>
            <a:schemeClr val="accent1"/>
          </a:solidFill>
          <a:ln>
            <a:noFill/>
          </a:ln>
          <a:effectLst/>
        </c:spPr>
        <c:marker>
          <c:symbol val="none"/>
        </c:marker>
      </c:pivotFmt>
      <c:pivotFmt>
        <c:idx val="125"/>
        <c:spPr>
          <a:solidFill>
            <a:schemeClr val="accent1"/>
          </a:solidFill>
          <a:ln>
            <a:noFill/>
          </a:ln>
          <a:effectLst/>
        </c:spPr>
        <c:marker>
          <c:symbol val="none"/>
        </c:marker>
      </c:pivotFmt>
      <c:pivotFmt>
        <c:idx val="126"/>
        <c:spPr>
          <a:solidFill>
            <a:schemeClr val="accent1"/>
          </a:solidFill>
          <a:ln>
            <a:noFill/>
          </a:ln>
          <a:effectLst/>
        </c:spPr>
        <c:marker>
          <c:symbol val="none"/>
        </c:marker>
      </c:pivotFmt>
      <c:pivotFmt>
        <c:idx val="127"/>
        <c:spPr>
          <a:solidFill>
            <a:schemeClr val="accent1"/>
          </a:solidFill>
          <a:ln>
            <a:noFill/>
          </a:ln>
          <a:effectLst/>
        </c:spPr>
        <c:marker>
          <c:symbol val="none"/>
        </c:marker>
      </c:pivotFmt>
      <c:pivotFmt>
        <c:idx val="128"/>
        <c:spPr>
          <a:solidFill>
            <a:schemeClr val="accent1"/>
          </a:solidFill>
          <a:ln>
            <a:noFill/>
          </a:ln>
          <a:effectLst/>
        </c:spPr>
        <c:marker>
          <c:symbol val="none"/>
        </c:marker>
      </c:pivotFmt>
      <c:pivotFmt>
        <c:idx val="129"/>
        <c:spPr>
          <a:solidFill>
            <a:schemeClr val="accent1"/>
          </a:solidFill>
          <a:ln>
            <a:noFill/>
          </a:ln>
          <a:effectLst/>
        </c:spPr>
        <c:marker>
          <c:symbol val="none"/>
        </c:marker>
      </c:pivotFmt>
      <c:pivotFmt>
        <c:idx val="130"/>
        <c:spPr>
          <a:solidFill>
            <a:schemeClr val="accent1"/>
          </a:solidFill>
          <a:ln>
            <a:noFill/>
          </a:ln>
          <a:effectLst/>
        </c:spPr>
        <c:marker>
          <c:symbol val="none"/>
        </c:marker>
      </c:pivotFmt>
      <c:pivotFmt>
        <c:idx val="131"/>
        <c:spPr>
          <a:solidFill>
            <a:schemeClr val="accent1"/>
          </a:solidFill>
          <a:ln>
            <a:noFill/>
          </a:ln>
          <a:effectLst/>
        </c:spPr>
        <c:marker>
          <c:symbol val="none"/>
        </c:marker>
      </c:pivotFmt>
      <c:pivotFmt>
        <c:idx val="132"/>
        <c:spPr>
          <a:solidFill>
            <a:schemeClr val="accent1"/>
          </a:solidFill>
          <a:ln>
            <a:noFill/>
          </a:ln>
          <a:effectLst/>
        </c:spPr>
        <c:marker>
          <c:symbol val="none"/>
        </c:marker>
      </c:pivotFmt>
      <c:pivotFmt>
        <c:idx val="133"/>
        <c:spPr>
          <a:solidFill>
            <a:schemeClr val="accent1"/>
          </a:solidFill>
          <a:ln>
            <a:noFill/>
          </a:ln>
          <a:effectLst/>
        </c:spPr>
        <c:marker>
          <c:symbol val="none"/>
        </c:marker>
      </c:pivotFmt>
      <c:pivotFmt>
        <c:idx val="134"/>
        <c:spPr>
          <a:solidFill>
            <a:schemeClr val="accent1"/>
          </a:solidFill>
          <a:ln>
            <a:noFill/>
          </a:ln>
          <a:effectLst/>
        </c:spPr>
        <c:marker>
          <c:symbol val="none"/>
        </c:marker>
      </c:pivotFmt>
      <c:pivotFmt>
        <c:idx val="135"/>
        <c:spPr>
          <a:solidFill>
            <a:schemeClr val="accent1"/>
          </a:solidFill>
          <a:ln>
            <a:noFill/>
          </a:ln>
          <a:effectLst/>
        </c:spPr>
        <c:marker>
          <c:symbol val="none"/>
        </c:marker>
      </c:pivotFmt>
      <c:pivotFmt>
        <c:idx val="136"/>
        <c:spPr>
          <a:solidFill>
            <a:schemeClr val="accent1"/>
          </a:solidFill>
          <a:ln>
            <a:noFill/>
          </a:ln>
          <a:effectLst/>
        </c:spPr>
        <c:marker>
          <c:symbol val="none"/>
        </c:marker>
      </c:pivotFmt>
      <c:pivotFmt>
        <c:idx val="137"/>
        <c:spPr>
          <a:solidFill>
            <a:schemeClr val="accent1"/>
          </a:solidFill>
          <a:ln>
            <a:noFill/>
          </a:ln>
          <a:effectLst/>
        </c:spPr>
        <c:marker>
          <c:symbol val="none"/>
        </c:marker>
      </c:pivotFmt>
      <c:pivotFmt>
        <c:idx val="138"/>
        <c:spPr>
          <a:solidFill>
            <a:schemeClr val="accent1"/>
          </a:solidFill>
          <a:ln>
            <a:noFill/>
          </a:ln>
          <a:effectLst/>
        </c:spPr>
        <c:marker>
          <c:symbol val="none"/>
        </c:marker>
      </c:pivotFmt>
      <c:pivotFmt>
        <c:idx val="139"/>
        <c:spPr>
          <a:solidFill>
            <a:schemeClr val="accent1"/>
          </a:solidFill>
          <a:ln>
            <a:noFill/>
          </a:ln>
          <a:effectLst/>
        </c:spPr>
        <c:marker>
          <c:symbol val="none"/>
        </c:marker>
      </c:pivotFmt>
      <c:pivotFmt>
        <c:idx val="140"/>
        <c:spPr>
          <a:solidFill>
            <a:schemeClr val="accent1"/>
          </a:solidFill>
          <a:ln>
            <a:noFill/>
          </a:ln>
          <a:effectLst/>
        </c:spPr>
        <c:marker>
          <c:symbol val="none"/>
        </c:marker>
      </c:pivotFmt>
      <c:pivotFmt>
        <c:idx val="141"/>
        <c:spPr>
          <a:solidFill>
            <a:schemeClr val="accent1"/>
          </a:solidFill>
          <a:ln>
            <a:noFill/>
          </a:ln>
          <a:effectLst/>
        </c:spPr>
        <c:marker>
          <c:symbol val="none"/>
        </c:marker>
      </c:pivotFmt>
      <c:pivotFmt>
        <c:idx val="142"/>
        <c:spPr>
          <a:solidFill>
            <a:schemeClr val="accent1"/>
          </a:solidFill>
          <a:ln>
            <a:noFill/>
          </a:ln>
          <a:effectLst/>
        </c:spPr>
        <c:marker>
          <c:symbol val="none"/>
        </c:marker>
      </c:pivotFmt>
      <c:pivotFmt>
        <c:idx val="143"/>
        <c:spPr>
          <a:solidFill>
            <a:schemeClr val="accent1"/>
          </a:solidFill>
          <a:ln>
            <a:noFill/>
          </a:ln>
          <a:effectLst/>
        </c:spPr>
        <c:marker>
          <c:symbol val="none"/>
        </c:marker>
      </c:pivotFmt>
      <c:pivotFmt>
        <c:idx val="144"/>
        <c:spPr>
          <a:solidFill>
            <a:schemeClr val="accent1"/>
          </a:solidFill>
          <a:ln>
            <a:noFill/>
          </a:ln>
          <a:effectLst/>
        </c:spPr>
        <c:marker>
          <c:symbol val="none"/>
        </c:marker>
      </c:pivotFmt>
      <c:pivotFmt>
        <c:idx val="145"/>
        <c:spPr>
          <a:solidFill>
            <a:schemeClr val="accent1"/>
          </a:solidFill>
          <a:ln>
            <a:noFill/>
          </a:ln>
          <a:effectLst/>
        </c:spPr>
        <c:marker>
          <c:symbol val="none"/>
        </c:marker>
      </c:pivotFmt>
      <c:pivotFmt>
        <c:idx val="146"/>
        <c:spPr>
          <a:solidFill>
            <a:schemeClr val="accent1"/>
          </a:solidFill>
          <a:ln>
            <a:noFill/>
          </a:ln>
          <a:effectLst/>
        </c:spPr>
        <c:marker>
          <c:symbol val="none"/>
        </c:marker>
      </c:pivotFmt>
      <c:pivotFmt>
        <c:idx val="147"/>
        <c:spPr>
          <a:solidFill>
            <a:schemeClr val="accent1"/>
          </a:solidFill>
          <a:ln>
            <a:noFill/>
          </a:ln>
          <a:effectLst/>
        </c:spPr>
        <c:marker>
          <c:symbol val="none"/>
        </c:marker>
      </c:pivotFmt>
      <c:pivotFmt>
        <c:idx val="148"/>
        <c:spPr>
          <a:solidFill>
            <a:schemeClr val="accent1"/>
          </a:solidFill>
          <a:ln>
            <a:noFill/>
          </a:ln>
          <a:effectLst/>
        </c:spPr>
        <c:marker>
          <c:symbol val="none"/>
        </c:marker>
      </c:pivotFmt>
      <c:pivotFmt>
        <c:idx val="149"/>
        <c:spPr>
          <a:solidFill>
            <a:schemeClr val="accent1"/>
          </a:solidFill>
          <a:ln>
            <a:noFill/>
          </a:ln>
          <a:effectLst/>
        </c:spPr>
        <c:marker>
          <c:symbol val="none"/>
        </c:marker>
      </c:pivotFmt>
      <c:pivotFmt>
        <c:idx val="150"/>
        <c:spPr>
          <a:solidFill>
            <a:schemeClr val="accent1"/>
          </a:solidFill>
          <a:ln>
            <a:noFill/>
          </a:ln>
          <a:effectLst/>
        </c:spPr>
        <c:marker>
          <c:symbol val="none"/>
        </c:marker>
      </c:pivotFmt>
      <c:pivotFmt>
        <c:idx val="151"/>
        <c:spPr>
          <a:solidFill>
            <a:schemeClr val="accent1"/>
          </a:solidFill>
          <a:ln>
            <a:noFill/>
          </a:ln>
          <a:effectLst/>
        </c:spPr>
        <c:marker>
          <c:symbol val="none"/>
        </c:marker>
      </c:pivotFmt>
      <c:pivotFmt>
        <c:idx val="152"/>
        <c:spPr>
          <a:solidFill>
            <a:schemeClr val="accent1"/>
          </a:solidFill>
          <a:ln>
            <a:noFill/>
          </a:ln>
          <a:effectLst/>
        </c:spPr>
        <c:marker>
          <c:symbol val="none"/>
        </c:marker>
      </c:pivotFmt>
      <c:pivotFmt>
        <c:idx val="153"/>
        <c:spPr>
          <a:solidFill>
            <a:schemeClr val="accent1"/>
          </a:solidFill>
          <a:ln>
            <a:noFill/>
          </a:ln>
          <a:effectLst/>
        </c:spPr>
        <c:marker>
          <c:symbol val="none"/>
        </c:marker>
      </c:pivotFmt>
      <c:pivotFmt>
        <c:idx val="154"/>
        <c:spPr>
          <a:solidFill>
            <a:schemeClr val="accent1"/>
          </a:solidFill>
          <a:ln>
            <a:noFill/>
          </a:ln>
          <a:effectLst/>
        </c:spPr>
        <c:marker>
          <c:symbol val="none"/>
        </c:marker>
      </c:pivotFmt>
      <c:pivotFmt>
        <c:idx val="155"/>
        <c:spPr>
          <a:solidFill>
            <a:schemeClr val="accent1"/>
          </a:solidFill>
          <a:ln>
            <a:noFill/>
          </a:ln>
          <a:effectLst/>
        </c:spPr>
        <c:marker>
          <c:symbol val="none"/>
        </c:marker>
      </c:pivotFmt>
      <c:pivotFmt>
        <c:idx val="156"/>
        <c:spPr>
          <a:solidFill>
            <a:schemeClr val="accent1"/>
          </a:solidFill>
          <a:ln>
            <a:noFill/>
          </a:ln>
          <a:effectLst/>
        </c:spPr>
        <c:marker>
          <c:symbol val="none"/>
        </c:marker>
      </c:pivotFmt>
      <c:pivotFmt>
        <c:idx val="157"/>
        <c:spPr>
          <a:solidFill>
            <a:schemeClr val="accent1"/>
          </a:solidFill>
          <a:ln>
            <a:noFill/>
          </a:ln>
          <a:effectLst/>
        </c:spPr>
        <c:marker>
          <c:symbol val="none"/>
        </c:marker>
      </c:pivotFmt>
      <c:pivotFmt>
        <c:idx val="158"/>
        <c:spPr>
          <a:solidFill>
            <a:schemeClr val="accent1"/>
          </a:solidFill>
          <a:ln>
            <a:noFill/>
          </a:ln>
          <a:effectLst/>
        </c:spPr>
        <c:marker>
          <c:symbol val="none"/>
        </c:marker>
      </c:pivotFmt>
      <c:pivotFmt>
        <c:idx val="159"/>
        <c:spPr>
          <a:solidFill>
            <a:schemeClr val="accent1"/>
          </a:solidFill>
          <a:ln>
            <a:noFill/>
          </a:ln>
          <a:effectLst/>
        </c:spPr>
        <c:marker>
          <c:symbol val="none"/>
        </c:marker>
      </c:pivotFmt>
      <c:pivotFmt>
        <c:idx val="160"/>
        <c:spPr>
          <a:solidFill>
            <a:schemeClr val="accent1"/>
          </a:solidFill>
          <a:ln>
            <a:noFill/>
          </a:ln>
          <a:effectLst/>
        </c:spPr>
        <c:marker>
          <c:symbol val="none"/>
        </c:marker>
      </c:pivotFmt>
      <c:pivotFmt>
        <c:idx val="161"/>
        <c:spPr>
          <a:solidFill>
            <a:schemeClr val="accent1"/>
          </a:solidFill>
          <a:ln>
            <a:noFill/>
          </a:ln>
          <a:effectLst/>
        </c:spPr>
        <c:marker>
          <c:symbol val="none"/>
        </c:marker>
      </c:pivotFmt>
      <c:pivotFmt>
        <c:idx val="162"/>
        <c:spPr>
          <a:solidFill>
            <a:schemeClr val="accent1"/>
          </a:solidFill>
          <a:ln>
            <a:noFill/>
          </a:ln>
          <a:effectLst/>
        </c:spPr>
        <c:marker>
          <c:symbol val="none"/>
        </c:marker>
      </c:pivotFmt>
      <c:pivotFmt>
        <c:idx val="163"/>
        <c:spPr>
          <a:solidFill>
            <a:schemeClr val="accent1"/>
          </a:solidFill>
          <a:ln>
            <a:noFill/>
          </a:ln>
          <a:effectLst/>
        </c:spPr>
        <c:marker>
          <c:symbol val="none"/>
        </c:marker>
      </c:pivotFmt>
      <c:pivotFmt>
        <c:idx val="164"/>
        <c:spPr>
          <a:solidFill>
            <a:schemeClr val="accent1"/>
          </a:solidFill>
          <a:ln>
            <a:noFill/>
          </a:ln>
          <a:effectLst/>
        </c:spPr>
        <c:marker>
          <c:symbol val="none"/>
        </c:marker>
      </c:pivotFmt>
      <c:pivotFmt>
        <c:idx val="165"/>
        <c:spPr>
          <a:solidFill>
            <a:schemeClr val="accent1"/>
          </a:solidFill>
          <a:ln>
            <a:noFill/>
          </a:ln>
          <a:effectLst/>
        </c:spPr>
        <c:marker>
          <c:symbol val="none"/>
        </c:marker>
      </c:pivotFmt>
      <c:pivotFmt>
        <c:idx val="166"/>
        <c:spPr>
          <a:solidFill>
            <a:schemeClr val="accent1"/>
          </a:solidFill>
          <a:ln>
            <a:noFill/>
          </a:ln>
          <a:effectLst/>
        </c:spPr>
        <c:marker>
          <c:symbol val="none"/>
        </c:marker>
      </c:pivotFmt>
      <c:pivotFmt>
        <c:idx val="167"/>
        <c:spPr>
          <a:solidFill>
            <a:schemeClr val="accent1"/>
          </a:solidFill>
          <a:ln>
            <a:noFill/>
          </a:ln>
          <a:effectLst/>
        </c:spPr>
        <c:marker>
          <c:symbol val="none"/>
        </c:marker>
      </c:pivotFmt>
      <c:pivotFmt>
        <c:idx val="168"/>
        <c:spPr>
          <a:solidFill>
            <a:schemeClr val="accent1"/>
          </a:solidFill>
          <a:ln>
            <a:noFill/>
          </a:ln>
          <a:effectLst/>
        </c:spPr>
        <c:marker>
          <c:symbol val="none"/>
        </c:marker>
      </c:pivotFmt>
      <c:pivotFmt>
        <c:idx val="169"/>
        <c:spPr>
          <a:solidFill>
            <a:schemeClr val="accent1"/>
          </a:solidFill>
          <a:ln>
            <a:noFill/>
          </a:ln>
          <a:effectLst/>
        </c:spPr>
        <c:marker>
          <c:symbol val="none"/>
        </c:marker>
      </c:pivotFmt>
      <c:pivotFmt>
        <c:idx val="170"/>
        <c:spPr>
          <a:solidFill>
            <a:schemeClr val="accent1"/>
          </a:solidFill>
          <a:ln>
            <a:noFill/>
          </a:ln>
          <a:effectLst/>
        </c:spPr>
        <c:marker>
          <c:symbol val="none"/>
        </c:marker>
      </c:pivotFmt>
      <c:pivotFmt>
        <c:idx val="171"/>
        <c:spPr>
          <a:solidFill>
            <a:schemeClr val="accent1"/>
          </a:solidFill>
          <a:ln>
            <a:noFill/>
          </a:ln>
          <a:effectLst/>
        </c:spPr>
        <c:marker>
          <c:symbol val="none"/>
        </c:marker>
      </c:pivotFmt>
      <c:pivotFmt>
        <c:idx val="172"/>
        <c:spPr>
          <a:solidFill>
            <a:schemeClr val="accent1"/>
          </a:solidFill>
          <a:ln>
            <a:noFill/>
          </a:ln>
          <a:effectLst/>
        </c:spPr>
        <c:marker>
          <c:symbol val="none"/>
        </c:marker>
      </c:pivotFmt>
      <c:pivotFmt>
        <c:idx val="173"/>
        <c:spPr>
          <a:solidFill>
            <a:schemeClr val="accent1"/>
          </a:solidFill>
          <a:ln>
            <a:noFill/>
          </a:ln>
          <a:effectLst/>
        </c:spPr>
        <c:marker>
          <c:symbol val="none"/>
        </c:marker>
      </c:pivotFmt>
      <c:pivotFmt>
        <c:idx val="174"/>
        <c:spPr>
          <a:solidFill>
            <a:schemeClr val="accent1"/>
          </a:solidFill>
          <a:ln>
            <a:noFill/>
          </a:ln>
          <a:effectLst/>
        </c:spPr>
        <c:marker>
          <c:symbol val="none"/>
        </c:marker>
      </c:pivotFmt>
      <c:pivotFmt>
        <c:idx val="175"/>
        <c:spPr>
          <a:solidFill>
            <a:schemeClr val="accent1"/>
          </a:solidFill>
          <a:ln>
            <a:noFill/>
          </a:ln>
          <a:effectLst/>
        </c:spPr>
        <c:marker>
          <c:symbol val="none"/>
        </c:marker>
      </c:pivotFmt>
      <c:pivotFmt>
        <c:idx val="176"/>
        <c:spPr>
          <a:solidFill>
            <a:schemeClr val="accent1"/>
          </a:solidFill>
          <a:ln>
            <a:noFill/>
          </a:ln>
          <a:effectLst/>
        </c:spPr>
        <c:marker>
          <c:symbol val="none"/>
        </c:marker>
      </c:pivotFmt>
      <c:pivotFmt>
        <c:idx val="177"/>
        <c:spPr>
          <a:solidFill>
            <a:schemeClr val="accent1"/>
          </a:solidFill>
          <a:ln>
            <a:noFill/>
          </a:ln>
          <a:effectLst/>
        </c:spPr>
        <c:marker>
          <c:symbol val="none"/>
        </c:marker>
      </c:pivotFmt>
      <c:pivotFmt>
        <c:idx val="178"/>
        <c:spPr>
          <a:solidFill>
            <a:schemeClr val="accent1"/>
          </a:solidFill>
          <a:ln>
            <a:noFill/>
          </a:ln>
          <a:effectLst/>
        </c:spPr>
        <c:marker>
          <c:symbol val="none"/>
        </c:marker>
      </c:pivotFmt>
      <c:pivotFmt>
        <c:idx val="179"/>
        <c:spPr>
          <a:solidFill>
            <a:schemeClr val="accent1"/>
          </a:solidFill>
          <a:ln>
            <a:noFill/>
          </a:ln>
          <a:effectLst/>
        </c:spPr>
        <c:marker>
          <c:symbol val="none"/>
        </c:marker>
      </c:pivotFmt>
      <c:pivotFmt>
        <c:idx val="180"/>
        <c:spPr>
          <a:solidFill>
            <a:schemeClr val="accent1"/>
          </a:solidFill>
          <a:ln>
            <a:noFill/>
          </a:ln>
          <a:effectLst/>
        </c:spPr>
        <c:marker>
          <c:symbol val="none"/>
        </c:marker>
      </c:pivotFmt>
      <c:pivotFmt>
        <c:idx val="181"/>
        <c:spPr>
          <a:solidFill>
            <a:schemeClr val="accent1"/>
          </a:solidFill>
          <a:ln>
            <a:noFill/>
          </a:ln>
          <a:effectLst/>
        </c:spPr>
        <c:marker>
          <c:symbol val="none"/>
        </c:marker>
      </c:pivotFmt>
      <c:pivotFmt>
        <c:idx val="182"/>
        <c:spPr>
          <a:solidFill>
            <a:schemeClr val="accent1"/>
          </a:solidFill>
          <a:ln>
            <a:noFill/>
          </a:ln>
          <a:effectLst/>
        </c:spPr>
        <c:marker>
          <c:symbol val="none"/>
        </c:marker>
      </c:pivotFmt>
      <c:pivotFmt>
        <c:idx val="183"/>
        <c:spPr>
          <a:solidFill>
            <a:schemeClr val="accent1"/>
          </a:solidFill>
          <a:ln>
            <a:noFill/>
          </a:ln>
          <a:effectLst/>
        </c:spPr>
        <c:marker>
          <c:symbol val="none"/>
        </c:marker>
      </c:pivotFmt>
      <c:pivotFmt>
        <c:idx val="184"/>
        <c:spPr>
          <a:solidFill>
            <a:schemeClr val="accent1"/>
          </a:solidFill>
          <a:ln>
            <a:noFill/>
          </a:ln>
          <a:effectLst/>
        </c:spPr>
        <c:marker>
          <c:symbol val="none"/>
        </c:marker>
      </c:pivotFmt>
      <c:pivotFmt>
        <c:idx val="185"/>
        <c:spPr>
          <a:solidFill>
            <a:schemeClr val="accent1"/>
          </a:solidFill>
          <a:ln>
            <a:noFill/>
          </a:ln>
          <a:effectLst/>
        </c:spPr>
        <c:marker>
          <c:symbol val="none"/>
        </c:marker>
      </c:pivotFmt>
      <c:pivotFmt>
        <c:idx val="186"/>
        <c:spPr>
          <a:solidFill>
            <a:schemeClr val="accent1"/>
          </a:solidFill>
          <a:ln>
            <a:noFill/>
          </a:ln>
          <a:effectLst/>
        </c:spPr>
        <c:marker>
          <c:symbol val="none"/>
        </c:marker>
      </c:pivotFmt>
      <c:pivotFmt>
        <c:idx val="187"/>
        <c:spPr>
          <a:solidFill>
            <a:schemeClr val="accent1"/>
          </a:solidFill>
          <a:ln>
            <a:noFill/>
          </a:ln>
          <a:effectLst/>
        </c:spPr>
        <c:marker>
          <c:symbol val="none"/>
        </c:marker>
      </c:pivotFmt>
      <c:pivotFmt>
        <c:idx val="188"/>
        <c:spPr>
          <a:solidFill>
            <a:schemeClr val="accent1"/>
          </a:solidFill>
          <a:ln>
            <a:noFill/>
          </a:ln>
          <a:effectLst/>
        </c:spPr>
        <c:marker>
          <c:symbol val="none"/>
        </c:marker>
      </c:pivotFmt>
      <c:pivotFmt>
        <c:idx val="189"/>
        <c:spPr>
          <a:solidFill>
            <a:schemeClr val="accent1"/>
          </a:solidFill>
          <a:ln>
            <a:noFill/>
          </a:ln>
          <a:effectLst/>
        </c:spPr>
        <c:marker>
          <c:symbol val="none"/>
        </c:marker>
      </c:pivotFmt>
      <c:pivotFmt>
        <c:idx val="190"/>
        <c:spPr>
          <a:solidFill>
            <a:schemeClr val="accent1"/>
          </a:solidFill>
          <a:ln>
            <a:noFill/>
          </a:ln>
          <a:effectLst/>
        </c:spPr>
        <c:marker>
          <c:symbol val="none"/>
        </c:marker>
      </c:pivotFmt>
      <c:pivotFmt>
        <c:idx val="191"/>
        <c:spPr>
          <a:solidFill>
            <a:schemeClr val="accent1"/>
          </a:solidFill>
          <a:ln>
            <a:noFill/>
          </a:ln>
          <a:effectLst/>
        </c:spPr>
        <c:marker>
          <c:symbol val="none"/>
        </c:marker>
      </c:pivotFmt>
      <c:pivotFmt>
        <c:idx val="192"/>
        <c:spPr>
          <a:solidFill>
            <a:schemeClr val="accent1"/>
          </a:solidFill>
          <a:ln>
            <a:noFill/>
          </a:ln>
          <a:effectLst/>
        </c:spPr>
        <c:marker>
          <c:symbol val="none"/>
        </c:marker>
      </c:pivotFmt>
      <c:pivotFmt>
        <c:idx val="193"/>
        <c:spPr>
          <a:solidFill>
            <a:schemeClr val="accent1"/>
          </a:solidFill>
          <a:ln>
            <a:noFill/>
          </a:ln>
          <a:effectLst/>
        </c:spPr>
        <c:marker>
          <c:symbol val="none"/>
        </c:marker>
      </c:pivotFmt>
      <c:pivotFmt>
        <c:idx val="194"/>
        <c:spPr>
          <a:solidFill>
            <a:schemeClr val="accent1"/>
          </a:solidFill>
          <a:ln>
            <a:noFill/>
          </a:ln>
          <a:effectLst/>
        </c:spPr>
        <c:marker>
          <c:symbol val="none"/>
        </c:marker>
      </c:pivotFmt>
      <c:pivotFmt>
        <c:idx val="195"/>
        <c:spPr>
          <a:solidFill>
            <a:schemeClr val="accent1"/>
          </a:solidFill>
          <a:ln>
            <a:noFill/>
          </a:ln>
          <a:effectLst/>
        </c:spPr>
        <c:marker>
          <c:symbol val="none"/>
        </c:marker>
      </c:pivotFmt>
      <c:pivotFmt>
        <c:idx val="196"/>
        <c:spPr>
          <a:solidFill>
            <a:schemeClr val="accent1"/>
          </a:solidFill>
          <a:ln>
            <a:noFill/>
          </a:ln>
          <a:effectLst/>
        </c:spPr>
        <c:marker>
          <c:symbol val="none"/>
        </c:marker>
      </c:pivotFmt>
      <c:pivotFmt>
        <c:idx val="197"/>
        <c:spPr>
          <a:solidFill>
            <a:schemeClr val="accent1"/>
          </a:solidFill>
          <a:ln>
            <a:noFill/>
          </a:ln>
          <a:effectLst/>
        </c:spPr>
        <c:marker>
          <c:symbol val="none"/>
        </c:marker>
      </c:pivotFmt>
      <c:pivotFmt>
        <c:idx val="198"/>
        <c:spPr>
          <a:solidFill>
            <a:schemeClr val="accent1"/>
          </a:solidFill>
          <a:ln>
            <a:noFill/>
          </a:ln>
          <a:effectLst/>
        </c:spPr>
        <c:marker>
          <c:symbol val="none"/>
        </c:marker>
      </c:pivotFmt>
      <c:pivotFmt>
        <c:idx val="199"/>
        <c:spPr>
          <a:solidFill>
            <a:schemeClr val="accent1"/>
          </a:solidFill>
          <a:ln>
            <a:noFill/>
          </a:ln>
          <a:effectLst/>
        </c:spPr>
        <c:marker>
          <c:symbol val="none"/>
        </c:marker>
      </c:pivotFmt>
      <c:pivotFmt>
        <c:idx val="200"/>
        <c:spPr>
          <a:solidFill>
            <a:schemeClr val="accent1"/>
          </a:solidFill>
          <a:ln>
            <a:noFill/>
          </a:ln>
          <a:effectLst/>
        </c:spPr>
        <c:marker>
          <c:symbol val="none"/>
        </c:marker>
      </c:pivotFmt>
      <c:pivotFmt>
        <c:idx val="201"/>
        <c:spPr>
          <a:solidFill>
            <a:schemeClr val="accent1"/>
          </a:solidFill>
          <a:ln>
            <a:noFill/>
          </a:ln>
          <a:effectLst/>
        </c:spPr>
        <c:marker>
          <c:symbol val="none"/>
        </c:marker>
      </c:pivotFmt>
      <c:pivotFmt>
        <c:idx val="202"/>
        <c:spPr>
          <a:solidFill>
            <a:schemeClr val="accent1"/>
          </a:solidFill>
          <a:ln>
            <a:noFill/>
          </a:ln>
          <a:effectLst/>
        </c:spPr>
        <c:marker>
          <c:symbol val="none"/>
        </c:marker>
      </c:pivotFmt>
      <c:pivotFmt>
        <c:idx val="203"/>
        <c:spPr>
          <a:solidFill>
            <a:schemeClr val="accent1"/>
          </a:solidFill>
          <a:ln>
            <a:noFill/>
          </a:ln>
          <a:effectLst/>
        </c:spPr>
        <c:marker>
          <c:symbol val="none"/>
        </c:marker>
      </c:pivotFmt>
      <c:pivotFmt>
        <c:idx val="204"/>
        <c:spPr>
          <a:solidFill>
            <a:schemeClr val="accent1"/>
          </a:solidFill>
          <a:ln>
            <a:noFill/>
          </a:ln>
          <a:effectLst/>
        </c:spPr>
        <c:marker>
          <c:symbol val="none"/>
        </c:marker>
      </c:pivotFmt>
      <c:pivotFmt>
        <c:idx val="205"/>
        <c:spPr>
          <a:solidFill>
            <a:schemeClr val="accent1"/>
          </a:solidFill>
          <a:ln>
            <a:noFill/>
          </a:ln>
          <a:effectLst/>
        </c:spPr>
        <c:marker>
          <c:symbol val="none"/>
        </c:marker>
      </c:pivotFmt>
      <c:pivotFmt>
        <c:idx val="206"/>
        <c:spPr>
          <a:solidFill>
            <a:schemeClr val="accent1"/>
          </a:solidFill>
          <a:ln>
            <a:noFill/>
          </a:ln>
          <a:effectLst/>
        </c:spPr>
        <c:marker>
          <c:symbol val="none"/>
        </c:marker>
      </c:pivotFmt>
      <c:pivotFmt>
        <c:idx val="207"/>
        <c:spPr>
          <a:solidFill>
            <a:schemeClr val="accent1"/>
          </a:solidFill>
          <a:ln>
            <a:noFill/>
          </a:ln>
          <a:effectLst/>
        </c:spPr>
        <c:marker>
          <c:symbol val="none"/>
        </c:marker>
      </c:pivotFmt>
      <c:pivotFmt>
        <c:idx val="208"/>
        <c:spPr>
          <a:solidFill>
            <a:schemeClr val="accent1"/>
          </a:solidFill>
          <a:ln>
            <a:noFill/>
          </a:ln>
          <a:effectLst/>
        </c:spPr>
        <c:marker>
          <c:symbol val="none"/>
        </c:marker>
      </c:pivotFmt>
      <c:pivotFmt>
        <c:idx val="209"/>
        <c:spPr>
          <a:solidFill>
            <a:schemeClr val="accent1"/>
          </a:solidFill>
          <a:ln>
            <a:noFill/>
          </a:ln>
          <a:effectLst/>
        </c:spPr>
        <c:marker>
          <c:symbol val="none"/>
        </c:marker>
      </c:pivotFmt>
      <c:pivotFmt>
        <c:idx val="210"/>
        <c:spPr>
          <a:solidFill>
            <a:schemeClr val="accent1"/>
          </a:solidFill>
          <a:ln>
            <a:noFill/>
          </a:ln>
          <a:effectLst/>
        </c:spPr>
        <c:marker>
          <c:symbol val="none"/>
        </c:marker>
      </c:pivotFmt>
      <c:pivotFmt>
        <c:idx val="211"/>
        <c:spPr>
          <a:solidFill>
            <a:schemeClr val="accent1"/>
          </a:solidFill>
          <a:ln>
            <a:noFill/>
          </a:ln>
          <a:effectLst/>
        </c:spPr>
        <c:marker>
          <c:symbol val="none"/>
        </c:marker>
      </c:pivotFmt>
      <c:pivotFmt>
        <c:idx val="212"/>
        <c:spPr>
          <a:solidFill>
            <a:schemeClr val="accent1"/>
          </a:solidFill>
          <a:ln>
            <a:noFill/>
          </a:ln>
          <a:effectLst/>
        </c:spPr>
        <c:marker>
          <c:symbol val="none"/>
        </c:marker>
      </c:pivotFmt>
      <c:pivotFmt>
        <c:idx val="213"/>
        <c:spPr>
          <a:solidFill>
            <a:schemeClr val="accent1"/>
          </a:solidFill>
          <a:ln>
            <a:noFill/>
          </a:ln>
          <a:effectLst/>
        </c:spPr>
        <c:marker>
          <c:symbol val="none"/>
        </c:marker>
      </c:pivotFmt>
      <c:pivotFmt>
        <c:idx val="214"/>
        <c:spPr>
          <a:solidFill>
            <a:schemeClr val="accent1"/>
          </a:solidFill>
          <a:ln>
            <a:noFill/>
          </a:ln>
          <a:effectLst/>
        </c:spPr>
        <c:marker>
          <c:symbol val="none"/>
        </c:marker>
      </c:pivotFmt>
      <c:pivotFmt>
        <c:idx val="215"/>
        <c:spPr>
          <a:solidFill>
            <a:schemeClr val="accent1"/>
          </a:solidFill>
          <a:ln>
            <a:noFill/>
          </a:ln>
          <a:effectLst/>
        </c:spPr>
        <c:marker>
          <c:symbol val="none"/>
        </c:marker>
      </c:pivotFmt>
      <c:pivotFmt>
        <c:idx val="216"/>
        <c:spPr>
          <a:solidFill>
            <a:schemeClr val="accent1"/>
          </a:solidFill>
          <a:ln>
            <a:noFill/>
          </a:ln>
          <a:effectLst/>
        </c:spPr>
        <c:marker>
          <c:symbol val="none"/>
        </c:marker>
      </c:pivotFmt>
      <c:pivotFmt>
        <c:idx val="217"/>
        <c:spPr>
          <a:solidFill>
            <a:schemeClr val="accent1"/>
          </a:solidFill>
          <a:ln>
            <a:noFill/>
          </a:ln>
          <a:effectLst/>
        </c:spPr>
        <c:marker>
          <c:symbol val="none"/>
        </c:marker>
      </c:pivotFmt>
      <c:pivotFmt>
        <c:idx val="218"/>
        <c:spPr>
          <a:solidFill>
            <a:schemeClr val="accent1"/>
          </a:solidFill>
          <a:ln>
            <a:noFill/>
          </a:ln>
          <a:effectLst/>
        </c:spPr>
        <c:marker>
          <c:symbol val="none"/>
        </c:marker>
      </c:pivotFmt>
      <c:pivotFmt>
        <c:idx val="219"/>
        <c:spPr>
          <a:solidFill>
            <a:schemeClr val="accent1"/>
          </a:solidFill>
          <a:ln>
            <a:noFill/>
          </a:ln>
          <a:effectLst/>
        </c:spPr>
        <c:marker>
          <c:symbol val="none"/>
        </c:marker>
      </c:pivotFmt>
      <c:pivotFmt>
        <c:idx val="220"/>
        <c:spPr>
          <a:solidFill>
            <a:schemeClr val="accent1"/>
          </a:solidFill>
          <a:ln>
            <a:noFill/>
          </a:ln>
          <a:effectLst/>
        </c:spPr>
        <c:marker>
          <c:symbol val="none"/>
        </c:marker>
      </c:pivotFmt>
      <c:pivotFmt>
        <c:idx val="221"/>
        <c:spPr>
          <a:solidFill>
            <a:schemeClr val="accent1"/>
          </a:solidFill>
          <a:ln>
            <a:noFill/>
          </a:ln>
          <a:effectLst/>
        </c:spPr>
        <c:marker>
          <c:symbol val="none"/>
        </c:marker>
      </c:pivotFmt>
      <c:pivotFmt>
        <c:idx val="222"/>
        <c:spPr>
          <a:solidFill>
            <a:schemeClr val="accent1"/>
          </a:solidFill>
          <a:ln>
            <a:noFill/>
          </a:ln>
          <a:effectLst/>
        </c:spPr>
        <c:marker>
          <c:symbol val="none"/>
        </c:marker>
      </c:pivotFmt>
      <c:pivotFmt>
        <c:idx val="223"/>
        <c:spPr>
          <a:solidFill>
            <a:schemeClr val="accent1"/>
          </a:solidFill>
          <a:ln>
            <a:noFill/>
          </a:ln>
          <a:effectLst/>
        </c:spPr>
        <c:marker>
          <c:symbol val="none"/>
        </c:marker>
      </c:pivotFmt>
      <c:pivotFmt>
        <c:idx val="224"/>
        <c:spPr>
          <a:solidFill>
            <a:schemeClr val="accent1"/>
          </a:solidFill>
          <a:ln>
            <a:noFill/>
          </a:ln>
          <a:effectLst/>
        </c:spPr>
        <c:marker>
          <c:symbol val="none"/>
        </c:marker>
      </c:pivotFmt>
      <c:pivotFmt>
        <c:idx val="225"/>
        <c:spPr>
          <a:solidFill>
            <a:schemeClr val="accent1"/>
          </a:solidFill>
          <a:ln>
            <a:noFill/>
          </a:ln>
          <a:effectLst/>
        </c:spPr>
        <c:marker>
          <c:symbol val="none"/>
        </c:marker>
      </c:pivotFmt>
      <c:pivotFmt>
        <c:idx val="226"/>
        <c:spPr>
          <a:solidFill>
            <a:schemeClr val="accent1"/>
          </a:solidFill>
          <a:ln>
            <a:noFill/>
          </a:ln>
          <a:effectLst/>
        </c:spPr>
        <c:marker>
          <c:symbol val="none"/>
        </c:marker>
      </c:pivotFmt>
      <c:pivotFmt>
        <c:idx val="227"/>
        <c:spPr>
          <a:solidFill>
            <a:schemeClr val="accent1"/>
          </a:solidFill>
          <a:ln>
            <a:noFill/>
          </a:ln>
          <a:effectLst/>
        </c:spPr>
        <c:marker>
          <c:symbol val="none"/>
        </c:marker>
      </c:pivotFmt>
      <c:pivotFmt>
        <c:idx val="228"/>
        <c:spPr>
          <a:solidFill>
            <a:schemeClr val="accent1"/>
          </a:solidFill>
          <a:ln>
            <a:noFill/>
          </a:ln>
          <a:effectLst/>
        </c:spPr>
        <c:marker>
          <c:symbol val="none"/>
        </c:marker>
      </c:pivotFmt>
      <c:pivotFmt>
        <c:idx val="229"/>
        <c:spPr>
          <a:solidFill>
            <a:schemeClr val="accent1"/>
          </a:solidFill>
          <a:ln>
            <a:noFill/>
          </a:ln>
          <a:effectLst/>
        </c:spPr>
        <c:marker>
          <c:symbol val="none"/>
        </c:marker>
      </c:pivotFmt>
      <c:pivotFmt>
        <c:idx val="230"/>
        <c:spPr>
          <a:solidFill>
            <a:schemeClr val="accent1"/>
          </a:solidFill>
          <a:ln>
            <a:noFill/>
          </a:ln>
          <a:effectLst/>
        </c:spPr>
        <c:marker>
          <c:symbol val="none"/>
        </c:marker>
      </c:pivotFmt>
      <c:pivotFmt>
        <c:idx val="231"/>
        <c:spPr>
          <a:solidFill>
            <a:schemeClr val="accent1"/>
          </a:solidFill>
          <a:ln>
            <a:noFill/>
          </a:ln>
          <a:effectLst/>
        </c:spPr>
        <c:marker>
          <c:symbol val="none"/>
        </c:marker>
      </c:pivotFmt>
      <c:pivotFmt>
        <c:idx val="232"/>
        <c:spPr>
          <a:solidFill>
            <a:schemeClr val="accent1"/>
          </a:solidFill>
          <a:ln>
            <a:noFill/>
          </a:ln>
          <a:effectLst/>
        </c:spPr>
        <c:marker>
          <c:symbol val="none"/>
        </c:marker>
      </c:pivotFmt>
      <c:pivotFmt>
        <c:idx val="233"/>
        <c:spPr>
          <a:solidFill>
            <a:schemeClr val="accent1"/>
          </a:solidFill>
          <a:ln>
            <a:noFill/>
          </a:ln>
          <a:effectLst/>
        </c:spPr>
        <c:marker>
          <c:symbol val="none"/>
        </c:marker>
      </c:pivotFmt>
      <c:pivotFmt>
        <c:idx val="234"/>
        <c:spPr>
          <a:solidFill>
            <a:schemeClr val="accent1"/>
          </a:solidFill>
          <a:ln>
            <a:noFill/>
          </a:ln>
          <a:effectLst/>
        </c:spPr>
        <c:marker>
          <c:symbol val="none"/>
        </c:marker>
      </c:pivotFmt>
      <c:pivotFmt>
        <c:idx val="235"/>
        <c:spPr>
          <a:solidFill>
            <a:schemeClr val="accent1"/>
          </a:solidFill>
          <a:ln>
            <a:noFill/>
          </a:ln>
          <a:effectLst/>
        </c:spPr>
        <c:marker>
          <c:symbol val="none"/>
        </c:marker>
      </c:pivotFmt>
      <c:pivotFmt>
        <c:idx val="236"/>
        <c:spPr>
          <a:solidFill>
            <a:schemeClr val="accent1"/>
          </a:solidFill>
          <a:ln w="28575" cap="rnd">
            <a:solidFill>
              <a:schemeClr val="accent1"/>
            </a:solidFill>
            <a:round/>
          </a:ln>
          <a:effectLst/>
        </c:spPr>
        <c:marker>
          <c:symbol val="none"/>
        </c:marker>
      </c:pivotFmt>
      <c:pivotFmt>
        <c:idx val="237"/>
        <c:spPr>
          <a:solidFill>
            <a:schemeClr val="accent1"/>
          </a:solidFill>
          <a:ln w="28575" cap="rnd">
            <a:solidFill>
              <a:schemeClr val="accent1"/>
            </a:solidFill>
            <a:round/>
          </a:ln>
          <a:effectLst/>
        </c:spPr>
        <c:marker>
          <c:symbol val="none"/>
        </c:marker>
      </c:pivotFmt>
      <c:pivotFmt>
        <c:idx val="238"/>
        <c:spPr>
          <a:solidFill>
            <a:schemeClr val="accent1"/>
          </a:solidFill>
          <a:ln w="28575" cap="rnd">
            <a:solidFill>
              <a:schemeClr val="accent1"/>
            </a:solidFill>
            <a:round/>
          </a:ln>
          <a:effectLst/>
        </c:spPr>
        <c:marker>
          <c:symbol val="none"/>
        </c:marker>
      </c:pivotFmt>
      <c:pivotFmt>
        <c:idx val="239"/>
        <c:spPr>
          <a:solidFill>
            <a:schemeClr val="accent1"/>
          </a:solidFill>
          <a:ln w="28575" cap="rnd">
            <a:solidFill>
              <a:schemeClr val="accent1"/>
            </a:solidFill>
            <a:round/>
          </a:ln>
          <a:effectLst/>
        </c:spPr>
        <c:marker>
          <c:symbol val="none"/>
        </c:marker>
      </c:pivotFmt>
      <c:pivotFmt>
        <c:idx val="240"/>
        <c:spPr>
          <a:solidFill>
            <a:schemeClr val="accent1"/>
          </a:solidFill>
          <a:ln w="28575" cap="rnd">
            <a:solidFill>
              <a:schemeClr val="accent1"/>
            </a:solidFill>
            <a:round/>
          </a:ln>
          <a:effectLst/>
        </c:spPr>
        <c:marker>
          <c:symbol val="none"/>
        </c:marker>
      </c:pivotFmt>
      <c:pivotFmt>
        <c:idx val="241"/>
        <c:spPr>
          <a:solidFill>
            <a:schemeClr val="accent1"/>
          </a:solidFill>
          <a:ln w="28575" cap="rnd">
            <a:solidFill>
              <a:schemeClr val="accent1"/>
            </a:solidFill>
            <a:round/>
          </a:ln>
          <a:effectLst/>
        </c:spPr>
        <c:marker>
          <c:symbol val="none"/>
        </c:marker>
      </c:pivotFmt>
      <c:pivotFmt>
        <c:idx val="242"/>
        <c:spPr>
          <a:solidFill>
            <a:schemeClr val="accent1"/>
          </a:solidFill>
          <a:ln w="28575" cap="rnd">
            <a:solidFill>
              <a:schemeClr val="accent1"/>
            </a:solidFill>
            <a:round/>
          </a:ln>
          <a:effectLst/>
        </c:spPr>
        <c:marker>
          <c:symbol val="none"/>
        </c:marker>
      </c:pivotFmt>
      <c:pivotFmt>
        <c:idx val="243"/>
        <c:spPr>
          <a:solidFill>
            <a:schemeClr val="accent1"/>
          </a:solidFill>
          <a:ln w="28575" cap="rnd">
            <a:solidFill>
              <a:schemeClr val="accent1"/>
            </a:solidFill>
            <a:round/>
          </a:ln>
          <a:effectLst/>
        </c:spPr>
        <c:marker>
          <c:symbol val="none"/>
        </c:marker>
      </c:pivotFmt>
      <c:pivotFmt>
        <c:idx val="244"/>
        <c:spPr>
          <a:solidFill>
            <a:schemeClr val="accent1"/>
          </a:solidFill>
          <a:ln w="28575" cap="rnd">
            <a:solidFill>
              <a:schemeClr val="accent1"/>
            </a:solidFill>
            <a:round/>
          </a:ln>
          <a:effectLst/>
        </c:spPr>
        <c:marker>
          <c:symbol val="none"/>
        </c:marker>
      </c:pivotFmt>
      <c:pivotFmt>
        <c:idx val="245"/>
        <c:spPr>
          <a:solidFill>
            <a:schemeClr val="accent1"/>
          </a:solidFill>
          <a:ln w="28575" cap="rnd">
            <a:solidFill>
              <a:schemeClr val="accent1"/>
            </a:solidFill>
            <a:round/>
          </a:ln>
          <a:effectLst/>
        </c:spPr>
        <c:marker>
          <c:symbol val="none"/>
        </c:marker>
      </c:pivotFmt>
      <c:pivotFmt>
        <c:idx val="246"/>
        <c:spPr>
          <a:solidFill>
            <a:schemeClr val="accent1"/>
          </a:solidFill>
          <a:ln w="28575" cap="rnd">
            <a:solidFill>
              <a:schemeClr val="accent1"/>
            </a:solidFill>
            <a:round/>
          </a:ln>
          <a:effectLst/>
        </c:spPr>
        <c:marker>
          <c:symbol val="none"/>
        </c:marker>
      </c:pivotFmt>
      <c:pivotFmt>
        <c:idx val="247"/>
        <c:spPr>
          <a:solidFill>
            <a:schemeClr val="accent1"/>
          </a:solidFill>
          <a:ln w="28575" cap="rnd">
            <a:solidFill>
              <a:schemeClr val="accent1"/>
            </a:solidFill>
            <a:round/>
          </a:ln>
          <a:effectLst/>
        </c:spPr>
        <c:marker>
          <c:symbol val="none"/>
        </c:marker>
      </c:pivotFmt>
    </c:pivotFmts>
    <c:plotArea>
      <c:layout/>
      <c:lineChart>
        <c:grouping val="standard"/>
        <c:varyColors val="0"/>
        <c:ser>
          <c:idx val="0"/>
          <c:order val="0"/>
          <c:tx>
            <c:v>Female</c:v>
          </c:tx>
          <c:spPr>
            <a:ln w="28575" cap="rnd">
              <a:solidFill>
                <a:schemeClr val="accent1"/>
              </a:solidFill>
              <a:round/>
            </a:ln>
            <a:effectLst/>
          </c:spPr>
          <c:marker>
            <c:symbol val="none"/>
          </c:marker>
          <c:cat>
            <c:strLit>
              <c:ptCount val="10"/>
              <c:pt idx="0">
                <c:v>20 - 24</c:v>
              </c:pt>
              <c:pt idx="1">
                <c:v>25 - 29</c:v>
              </c:pt>
              <c:pt idx="2">
                <c:v>30 - 34</c:v>
              </c:pt>
              <c:pt idx="3">
                <c:v>35 - 39</c:v>
              </c:pt>
              <c:pt idx="4">
                <c:v>40 - 44</c:v>
              </c:pt>
              <c:pt idx="5">
                <c:v>45 - 49</c:v>
              </c:pt>
              <c:pt idx="6">
                <c:v>50 - 54</c:v>
              </c:pt>
              <c:pt idx="7">
                <c:v>55 - 59</c:v>
              </c:pt>
              <c:pt idx="8">
                <c:v>60 - 64</c:v>
              </c:pt>
              <c:pt idx="9">
                <c:v>65 +</c:v>
              </c:pt>
            </c:strLit>
          </c:cat>
          <c:val>
            <c:numLit>
              <c:formatCode>General</c:formatCode>
              <c:ptCount val="10"/>
              <c:pt idx="0">
                <c:v>69</c:v>
              </c:pt>
              <c:pt idx="1">
                <c:v>183</c:v>
              </c:pt>
              <c:pt idx="2">
                <c:v>209</c:v>
              </c:pt>
              <c:pt idx="3">
                <c:v>210</c:v>
              </c:pt>
              <c:pt idx="4">
                <c:v>190</c:v>
              </c:pt>
              <c:pt idx="5">
                <c:v>191</c:v>
              </c:pt>
              <c:pt idx="6">
                <c:v>221</c:v>
              </c:pt>
              <c:pt idx="7">
                <c:v>198</c:v>
              </c:pt>
              <c:pt idx="8">
                <c:v>97</c:v>
              </c:pt>
              <c:pt idx="9">
                <c:v>25</c:v>
              </c:pt>
            </c:numLit>
          </c:val>
          <c:smooth val="0"/>
          <c:extLst>
            <c:ext xmlns:c16="http://schemas.microsoft.com/office/drawing/2014/chart" uri="{C3380CC4-5D6E-409C-BE32-E72D297353CC}">
              <c16:uniqueId val="{00000000-0DCD-4CD0-BC5B-BE2F1DDDE7E9}"/>
            </c:ext>
          </c:extLst>
        </c:ser>
        <c:ser>
          <c:idx val="1"/>
          <c:order val="1"/>
          <c:tx>
            <c:v>Male</c:v>
          </c:tx>
          <c:spPr>
            <a:ln w="28575" cap="rnd">
              <a:solidFill>
                <a:schemeClr val="accent2"/>
              </a:solidFill>
              <a:round/>
            </a:ln>
            <a:effectLst/>
          </c:spPr>
          <c:marker>
            <c:symbol val="none"/>
          </c:marker>
          <c:cat>
            <c:strLit>
              <c:ptCount val="10"/>
              <c:pt idx="0">
                <c:v>20 - 24</c:v>
              </c:pt>
              <c:pt idx="1">
                <c:v>25 - 29</c:v>
              </c:pt>
              <c:pt idx="2">
                <c:v>30 - 34</c:v>
              </c:pt>
              <c:pt idx="3">
                <c:v>35 - 39</c:v>
              </c:pt>
              <c:pt idx="4">
                <c:v>40 - 44</c:v>
              </c:pt>
              <c:pt idx="5">
                <c:v>45 - 49</c:v>
              </c:pt>
              <c:pt idx="6">
                <c:v>50 - 54</c:v>
              </c:pt>
              <c:pt idx="7">
                <c:v>55 - 59</c:v>
              </c:pt>
              <c:pt idx="8">
                <c:v>60 - 64</c:v>
              </c:pt>
              <c:pt idx="9">
                <c:v>65 +</c:v>
              </c:pt>
            </c:strLit>
          </c:cat>
          <c:val>
            <c:numLit>
              <c:formatCode>General</c:formatCode>
              <c:ptCount val="10"/>
              <c:pt idx="0">
                <c:v>14</c:v>
              </c:pt>
              <c:pt idx="1">
                <c:v>48</c:v>
              </c:pt>
              <c:pt idx="2">
                <c:v>48</c:v>
              </c:pt>
              <c:pt idx="3">
                <c:v>66</c:v>
              </c:pt>
              <c:pt idx="4">
                <c:v>79</c:v>
              </c:pt>
              <c:pt idx="5">
                <c:v>84</c:v>
              </c:pt>
              <c:pt idx="6">
                <c:v>88</c:v>
              </c:pt>
              <c:pt idx="7">
                <c:v>62</c:v>
              </c:pt>
              <c:pt idx="8">
                <c:v>37</c:v>
              </c:pt>
              <c:pt idx="9">
                <c:v>10</c:v>
              </c:pt>
            </c:numLit>
          </c:val>
          <c:smooth val="0"/>
          <c:extLst>
            <c:ext xmlns:c16="http://schemas.microsoft.com/office/drawing/2014/chart" uri="{C3380CC4-5D6E-409C-BE32-E72D297353CC}">
              <c16:uniqueId val="{00000001-0DCD-4CD0-BC5B-BE2F1DDDE7E9}"/>
            </c:ext>
          </c:extLst>
        </c:ser>
        <c:dLbls>
          <c:showLegendKey val="0"/>
          <c:showVal val="0"/>
          <c:showCatName val="0"/>
          <c:showSerName val="0"/>
          <c:showPercent val="0"/>
          <c:showBubbleSize val="0"/>
        </c:dLbls>
        <c:smooth val="0"/>
        <c:axId val="455348328"/>
        <c:axId val="455349968"/>
      </c:lineChart>
      <c:catAx>
        <c:axId val="4553483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5349968"/>
        <c:crosses val="autoZero"/>
        <c:auto val="1"/>
        <c:lblAlgn val="ctr"/>
        <c:lblOffset val="100"/>
        <c:noMultiLvlLbl val="0"/>
        <c:extLst/>
      </c:catAx>
      <c:valAx>
        <c:axId val="455349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5348328"/>
        <c:crosses val="autoZero"/>
        <c:crossBetween val="between"/>
        <c:extLs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5"/>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Annual Turnover Rates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9133625730994158E-2"/>
          <c:y val="0.23571435185185186"/>
          <c:w val="0.70076169590643278"/>
          <c:h val="0.56330046296296299"/>
        </c:manualLayout>
      </c:layout>
      <c:barChart>
        <c:barDir val="col"/>
        <c:grouping val="clustered"/>
        <c:varyColors val="0"/>
        <c:ser>
          <c:idx val="0"/>
          <c:order val="0"/>
          <c:tx>
            <c:strRef>
              <c:f>'NHS Scotland Turnover Rates'!$A$2</c:f>
              <c:strCache>
                <c:ptCount val="1"/>
                <c:pt idx="0">
                  <c:v>NHS GJ</c:v>
                </c:pt>
              </c:strCache>
            </c:strRef>
          </c:tx>
          <c:spPr>
            <a:solidFill>
              <a:schemeClr val="accent1"/>
            </a:solidFill>
            <a:ln>
              <a:noFill/>
            </a:ln>
            <a:effectLst/>
          </c:spPr>
          <c:invertIfNegative val="0"/>
          <c:dLbls>
            <c:dLbl>
              <c:idx val="0"/>
              <c:layout>
                <c:manualLayout>
                  <c:x val="1.8567251461988304E-3"/>
                  <c:y val="-7.055555555555549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259-4C03-9216-5D3C12A94414}"/>
                </c:ext>
              </c:extLst>
            </c:dLbl>
            <c:dLbl>
              <c:idx val="7"/>
              <c:layout>
                <c:manualLayout>
                  <c:x val="-1.3615827114261381E-16"/>
                  <c:y val="-2.939814814814817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259-4C03-9216-5D3C12A94414}"/>
                </c:ext>
              </c:extLst>
            </c:dLbl>
            <c:dLbl>
              <c:idx val="9"/>
              <c:layout>
                <c:manualLayout>
                  <c:x val="-1.3615827114261381E-16"/>
                  <c:y val="-7.643518518518518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259-4C03-9216-5D3C12A94414}"/>
                </c:ext>
              </c:extLst>
            </c:dLbl>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name>Trend (NHS GJ)</c:name>
            <c:spPr>
              <a:ln w="19050" cap="rnd">
                <a:solidFill>
                  <a:schemeClr val="accent1"/>
                </a:solidFill>
                <a:prstDash val="sysDot"/>
              </a:ln>
              <a:effectLst/>
            </c:spPr>
            <c:trendlineType val="linear"/>
            <c:dispRSqr val="0"/>
            <c:dispEq val="0"/>
          </c:trendline>
          <c:cat>
            <c:strRef>
              <c:f>'NHS Scotland Turnover Rates'!$B$1:$L$1</c:f>
              <c:strCache>
                <c:ptCount val="11"/>
                <c:pt idx="0">
                  <c:v>2011/
2012</c:v>
                </c:pt>
                <c:pt idx="1">
                  <c:v>2012/
2013</c:v>
                </c:pt>
                <c:pt idx="2">
                  <c:v>2013/
2014</c:v>
                </c:pt>
                <c:pt idx="3">
                  <c:v>2014/
2015</c:v>
                </c:pt>
                <c:pt idx="4">
                  <c:v>2015/
2016</c:v>
                </c:pt>
                <c:pt idx="5">
                  <c:v>2016/
2017</c:v>
                </c:pt>
                <c:pt idx="6">
                  <c:v>2017/
2018</c:v>
                </c:pt>
                <c:pt idx="7">
                  <c:v>2018/
2019</c:v>
                </c:pt>
                <c:pt idx="8">
                  <c:v>2019/
2020</c:v>
                </c:pt>
                <c:pt idx="9">
                  <c:v>2020/
2021</c:v>
                </c:pt>
                <c:pt idx="10">
                  <c:v>2021/
2022</c:v>
                </c:pt>
              </c:strCache>
            </c:strRef>
          </c:cat>
          <c:val>
            <c:numRef>
              <c:f>'NHS Scotland Turnover Rates'!$B$2:$L$2</c:f>
              <c:numCache>
                <c:formatCode>0.0%</c:formatCode>
                <c:ptCount val="11"/>
                <c:pt idx="0">
                  <c:v>5.5E-2</c:v>
                </c:pt>
                <c:pt idx="1">
                  <c:v>7.1999999999999995E-2</c:v>
                </c:pt>
                <c:pt idx="2">
                  <c:v>7.4999999999999997E-2</c:v>
                </c:pt>
                <c:pt idx="3">
                  <c:v>7.3999999999999996E-2</c:v>
                </c:pt>
                <c:pt idx="4">
                  <c:v>8.5000000000000006E-2</c:v>
                </c:pt>
                <c:pt idx="5">
                  <c:v>7.9000000000000001E-2</c:v>
                </c:pt>
                <c:pt idx="6">
                  <c:v>8.6999999999999994E-2</c:v>
                </c:pt>
                <c:pt idx="7">
                  <c:v>7.6999999999999999E-2</c:v>
                </c:pt>
                <c:pt idx="8">
                  <c:v>9.0999999999999998E-2</c:v>
                </c:pt>
                <c:pt idx="9">
                  <c:v>7.1999999999999995E-2</c:v>
                </c:pt>
                <c:pt idx="10">
                  <c:v>0.114</c:v>
                </c:pt>
              </c:numCache>
            </c:numRef>
          </c:val>
          <c:extLst>
            <c:ext xmlns:c16="http://schemas.microsoft.com/office/drawing/2014/chart" uri="{C3380CC4-5D6E-409C-BE32-E72D297353CC}">
              <c16:uniqueId val="{00000003-3259-4C03-9216-5D3C12A94414}"/>
            </c:ext>
          </c:extLst>
        </c:ser>
        <c:ser>
          <c:idx val="1"/>
          <c:order val="1"/>
          <c:tx>
            <c:strRef>
              <c:f>'NHS Scotland Turnover Rates'!$A$3</c:f>
              <c:strCache>
                <c:ptCount val="1"/>
                <c:pt idx="0">
                  <c:v>National Boards</c:v>
                </c:pt>
              </c:strCache>
            </c:strRef>
          </c:tx>
          <c:spPr>
            <a:solidFill>
              <a:schemeClr val="accent2"/>
            </a:solidFill>
            <a:ln>
              <a:noFill/>
            </a:ln>
            <a:effectLst/>
          </c:spPr>
          <c:invertIfNegative val="0"/>
          <c:dLbls>
            <c:dLbl>
              <c:idx val="0"/>
              <c:layout>
                <c:manualLayout>
                  <c:x val="0"/>
                  <c:y val="-2.351851851851857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259-4C03-9216-5D3C12A94414}"/>
                </c:ext>
              </c:extLst>
            </c:dLbl>
            <c:dLbl>
              <c:idx val="1"/>
              <c:layout>
                <c:manualLayout>
                  <c:x val="-1.7019783892826727E-17"/>
                  <c:y val="-1.763888888888894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3259-4C03-9216-5D3C12A94414}"/>
                </c:ext>
              </c:extLst>
            </c:dLbl>
            <c:dLbl>
              <c:idx val="4"/>
              <c:layout>
                <c:manualLayout>
                  <c:x val="0"/>
                  <c:y val="-3.527777777777777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259-4C03-9216-5D3C12A94414}"/>
                </c:ext>
              </c:extLst>
            </c:dLbl>
            <c:dLbl>
              <c:idx val="5"/>
              <c:layout>
                <c:manualLayout>
                  <c:x val="0"/>
                  <c:y val="-4.70370370370370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259-4C03-9216-5D3C12A94414}"/>
                </c:ext>
              </c:extLst>
            </c:dLbl>
            <c:dLbl>
              <c:idx val="7"/>
              <c:layout>
                <c:manualLayout>
                  <c:x val="0"/>
                  <c:y val="-5.879629629629632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259-4C03-9216-5D3C12A94414}"/>
                </c:ext>
              </c:extLst>
            </c:dLbl>
            <c:dLbl>
              <c:idx val="8"/>
              <c:layout>
                <c:manualLayout>
                  <c:x val="1.8567251461988985E-3"/>
                  <c:y val="-8.23148148148148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259-4C03-9216-5D3C12A94414}"/>
                </c:ext>
              </c:extLst>
            </c:dLbl>
            <c:dLbl>
              <c:idx val="9"/>
              <c:layout>
                <c:manualLayout>
                  <c:x val="3.7134502923976609E-3"/>
                  <c:y val="-0.1763888888888889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259-4C03-9216-5D3C12A94414}"/>
                </c:ext>
              </c:extLst>
            </c:dLbl>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name>Trend (National Boards)</c:name>
            <c:spPr>
              <a:ln w="19050" cap="rnd">
                <a:solidFill>
                  <a:schemeClr val="accent2"/>
                </a:solidFill>
                <a:prstDash val="sysDot"/>
              </a:ln>
              <a:effectLst/>
            </c:spPr>
            <c:trendlineType val="linear"/>
            <c:dispRSqr val="0"/>
            <c:dispEq val="0"/>
          </c:trendline>
          <c:cat>
            <c:strRef>
              <c:f>'NHS Scotland Turnover Rates'!$B$1:$L$1</c:f>
              <c:strCache>
                <c:ptCount val="11"/>
                <c:pt idx="0">
                  <c:v>2011/
2012</c:v>
                </c:pt>
                <c:pt idx="1">
                  <c:v>2012/
2013</c:v>
                </c:pt>
                <c:pt idx="2">
                  <c:v>2013/
2014</c:v>
                </c:pt>
                <c:pt idx="3">
                  <c:v>2014/
2015</c:v>
                </c:pt>
                <c:pt idx="4">
                  <c:v>2015/
2016</c:v>
                </c:pt>
                <c:pt idx="5">
                  <c:v>2016/
2017</c:v>
                </c:pt>
                <c:pt idx="6">
                  <c:v>2017/
2018</c:v>
                </c:pt>
                <c:pt idx="7">
                  <c:v>2018/
2019</c:v>
                </c:pt>
                <c:pt idx="8">
                  <c:v>2019/
2020</c:v>
                </c:pt>
                <c:pt idx="9">
                  <c:v>2020/
2021</c:v>
                </c:pt>
                <c:pt idx="10">
                  <c:v>2021/
2022</c:v>
                </c:pt>
              </c:strCache>
            </c:strRef>
          </c:cat>
          <c:val>
            <c:numRef>
              <c:f>'NHS Scotland Turnover Rates'!$B$3:$L$3</c:f>
              <c:numCache>
                <c:formatCode>0.0%</c:formatCode>
                <c:ptCount val="11"/>
                <c:pt idx="0">
                  <c:v>6.0999999999999999E-2</c:v>
                </c:pt>
                <c:pt idx="1">
                  <c:v>6.5000000000000002E-2</c:v>
                </c:pt>
                <c:pt idx="2">
                  <c:v>6.9000000000000006E-2</c:v>
                </c:pt>
                <c:pt idx="3">
                  <c:v>7.3999999999999996E-2</c:v>
                </c:pt>
                <c:pt idx="4">
                  <c:v>7.0000000000000007E-2</c:v>
                </c:pt>
                <c:pt idx="5">
                  <c:v>7.0000000000000007E-2</c:v>
                </c:pt>
                <c:pt idx="6">
                  <c:v>7.2999999999999995E-2</c:v>
                </c:pt>
                <c:pt idx="7">
                  <c:v>6.8000000000000005E-2</c:v>
                </c:pt>
                <c:pt idx="8">
                  <c:v>7.0999999999999994E-2</c:v>
                </c:pt>
                <c:pt idx="9">
                  <c:v>5.5E-2</c:v>
                </c:pt>
                <c:pt idx="10">
                  <c:v>0.109</c:v>
                </c:pt>
              </c:numCache>
            </c:numRef>
          </c:val>
          <c:extLst>
            <c:ext xmlns:c16="http://schemas.microsoft.com/office/drawing/2014/chart" uri="{C3380CC4-5D6E-409C-BE32-E72D297353CC}">
              <c16:uniqueId val="{0000000B-3259-4C03-9216-5D3C12A94414}"/>
            </c:ext>
          </c:extLst>
        </c:ser>
        <c:ser>
          <c:idx val="2"/>
          <c:order val="2"/>
          <c:tx>
            <c:strRef>
              <c:f>'NHS Scotland Turnover Rates'!$A$4</c:f>
              <c:strCache>
                <c:ptCount val="1"/>
                <c:pt idx="0">
                  <c:v>NHS Scotland</c:v>
                </c:pt>
              </c:strCache>
            </c:strRef>
          </c:tx>
          <c:spPr>
            <a:solidFill>
              <a:schemeClr val="accent3"/>
            </a:solidFill>
            <a:ln>
              <a:noFill/>
            </a:ln>
            <a:effectLst/>
          </c:spPr>
          <c:invertIfNegative val="0"/>
          <c:dLbls>
            <c:dLbl>
              <c:idx val="0"/>
              <c:layout>
                <c:manualLayout>
                  <c:x val="0"/>
                  <c:y val="-4.703703703703706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3259-4C03-9216-5D3C12A94414}"/>
                </c:ext>
              </c:extLst>
            </c:dLbl>
            <c:dLbl>
              <c:idx val="1"/>
              <c:layout>
                <c:manualLayout>
                  <c:x val="0"/>
                  <c:y val="-7.055555555555555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3259-4C03-9216-5D3C12A94414}"/>
                </c:ext>
              </c:extLst>
            </c:dLbl>
            <c:dLbl>
              <c:idx val="2"/>
              <c:layout>
                <c:manualLayout>
                  <c:x val="0"/>
                  <c:y val="-7.055555555555555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3259-4C03-9216-5D3C12A94414}"/>
                </c:ext>
              </c:extLst>
            </c:dLbl>
            <c:dLbl>
              <c:idx val="3"/>
              <c:layout>
                <c:manualLayout>
                  <c:x val="-3.4039567785653453E-17"/>
                  <c:y val="-7.055555555555555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3259-4C03-9216-5D3C12A94414}"/>
                </c:ext>
              </c:extLst>
            </c:dLbl>
            <c:dLbl>
              <c:idx val="4"/>
              <c:layout>
                <c:manualLayout>
                  <c:x val="-6.8079135571306906E-17"/>
                  <c:y val="-7.05555555555555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3259-4C03-9216-5D3C12A94414}"/>
                </c:ext>
              </c:extLst>
            </c:dLbl>
            <c:dLbl>
              <c:idx val="5"/>
              <c:layout>
                <c:manualLayout>
                  <c:x val="0"/>
                  <c:y val="-8.819444444444447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3259-4C03-9216-5D3C12A94414}"/>
                </c:ext>
              </c:extLst>
            </c:dLbl>
            <c:dLbl>
              <c:idx val="6"/>
              <c:layout>
                <c:manualLayout>
                  <c:x val="0"/>
                  <c:y val="-8.81944444444444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3259-4C03-9216-5D3C12A94414}"/>
                </c:ext>
              </c:extLst>
            </c:dLbl>
            <c:dLbl>
              <c:idx val="7"/>
              <c:layout>
                <c:manualLayout>
                  <c:x val="-6.8079135571306906E-17"/>
                  <c:y val="-8.23148148148148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3259-4C03-9216-5D3C12A94414}"/>
                </c:ext>
              </c:extLst>
            </c:dLbl>
            <c:dLbl>
              <c:idx val="8"/>
              <c:layout>
                <c:manualLayout>
                  <c:x val="1.8567251461988304E-3"/>
                  <c:y val="-0.1293518518518518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3259-4C03-9216-5D3C12A94414}"/>
                </c:ext>
              </c:extLst>
            </c:dLbl>
            <c:dLbl>
              <c:idx val="9"/>
              <c:layout>
                <c:manualLayout>
                  <c:x val="5.5701754385964908E-3"/>
                  <c:y val="-0.1940277777777777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3259-4C03-9216-5D3C12A94414}"/>
                </c:ext>
              </c:extLst>
            </c:dLbl>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name>Trend (NHS Scotland)</c:name>
            <c:spPr>
              <a:ln w="19050" cap="rnd">
                <a:solidFill>
                  <a:schemeClr val="accent3"/>
                </a:solidFill>
                <a:prstDash val="sysDot"/>
              </a:ln>
              <a:effectLst/>
            </c:spPr>
            <c:trendlineType val="linear"/>
            <c:dispRSqr val="0"/>
            <c:dispEq val="0"/>
          </c:trendline>
          <c:cat>
            <c:strRef>
              <c:f>'NHS Scotland Turnover Rates'!$B$1:$L$1</c:f>
              <c:strCache>
                <c:ptCount val="11"/>
                <c:pt idx="0">
                  <c:v>2011/
2012</c:v>
                </c:pt>
                <c:pt idx="1">
                  <c:v>2012/
2013</c:v>
                </c:pt>
                <c:pt idx="2">
                  <c:v>2013/
2014</c:v>
                </c:pt>
                <c:pt idx="3">
                  <c:v>2014/
2015</c:v>
                </c:pt>
                <c:pt idx="4">
                  <c:v>2015/
2016</c:v>
                </c:pt>
                <c:pt idx="5">
                  <c:v>2016/
2017</c:v>
                </c:pt>
                <c:pt idx="6">
                  <c:v>2017/
2018</c:v>
                </c:pt>
                <c:pt idx="7">
                  <c:v>2018/
2019</c:v>
                </c:pt>
                <c:pt idx="8">
                  <c:v>2019/
2020</c:v>
                </c:pt>
                <c:pt idx="9">
                  <c:v>2020/
2021</c:v>
                </c:pt>
                <c:pt idx="10">
                  <c:v>2021/
2022</c:v>
                </c:pt>
              </c:strCache>
            </c:strRef>
          </c:cat>
          <c:val>
            <c:numRef>
              <c:f>'NHS Scotland Turnover Rates'!$B$4:$L$4</c:f>
              <c:numCache>
                <c:formatCode>0.0%</c:formatCode>
                <c:ptCount val="11"/>
                <c:pt idx="0">
                  <c:v>6.0999999999999999E-2</c:v>
                </c:pt>
                <c:pt idx="1">
                  <c:v>5.6000000000000001E-2</c:v>
                </c:pt>
                <c:pt idx="2">
                  <c:v>5.7000000000000002E-2</c:v>
                </c:pt>
                <c:pt idx="3">
                  <c:v>6.0999999999999999E-2</c:v>
                </c:pt>
                <c:pt idx="4">
                  <c:v>6.4000000000000001E-2</c:v>
                </c:pt>
                <c:pt idx="5">
                  <c:v>6.3E-2</c:v>
                </c:pt>
                <c:pt idx="6">
                  <c:v>6.6000000000000003E-2</c:v>
                </c:pt>
                <c:pt idx="7">
                  <c:v>6.4000000000000001E-2</c:v>
                </c:pt>
                <c:pt idx="8">
                  <c:v>6.4000000000000001E-2</c:v>
                </c:pt>
                <c:pt idx="9">
                  <c:v>5.1999999999999998E-2</c:v>
                </c:pt>
                <c:pt idx="10">
                  <c:v>8.1000000000000003E-2</c:v>
                </c:pt>
              </c:numCache>
            </c:numRef>
          </c:val>
          <c:extLst>
            <c:ext xmlns:c16="http://schemas.microsoft.com/office/drawing/2014/chart" uri="{C3380CC4-5D6E-409C-BE32-E72D297353CC}">
              <c16:uniqueId val="{00000016-3259-4C03-9216-5D3C12A94414}"/>
            </c:ext>
          </c:extLst>
        </c:ser>
        <c:dLbls>
          <c:showLegendKey val="0"/>
          <c:showVal val="0"/>
          <c:showCatName val="0"/>
          <c:showSerName val="0"/>
          <c:showPercent val="0"/>
          <c:showBubbleSize val="0"/>
        </c:dLbls>
        <c:gapWidth val="219"/>
        <c:overlap val="-27"/>
        <c:axId val="128249072"/>
        <c:axId val="128252024"/>
      </c:barChart>
      <c:catAx>
        <c:axId val="128249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252024"/>
        <c:crosses val="autoZero"/>
        <c:auto val="1"/>
        <c:lblAlgn val="ctr"/>
        <c:lblOffset val="100"/>
        <c:noMultiLvlLbl val="0"/>
      </c:catAx>
      <c:valAx>
        <c:axId val="12825202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24907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Ethnicity of Starters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Sheet1!$C$18</c:f>
              <c:strCache>
                <c:ptCount val="1"/>
                <c:pt idx="0">
                  <c:v>%</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Sheet1!$A$19:$A$26</c:f>
              <c:strCache>
                <c:ptCount val="8"/>
                <c:pt idx="0">
                  <c:v>White - Scottish</c:v>
                </c:pt>
                <c:pt idx="1">
                  <c:v>White - Other British</c:v>
                </c:pt>
                <c:pt idx="2">
                  <c:v>White - Other</c:v>
                </c:pt>
                <c:pt idx="3">
                  <c:v>Prefer not to say</c:v>
                </c:pt>
                <c:pt idx="4">
                  <c:v>Asian - Indian</c:v>
                </c:pt>
                <c:pt idx="5">
                  <c:v>No information provided</c:v>
                </c:pt>
                <c:pt idx="6">
                  <c:v>White - Irish</c:v>
                </c:pt>
                <c:pt idx="7">
                  <c:v>Other Ethnic Group</c:v>
                </c:pt>
              </c:strCache>
            </c:strRef>
          </c:cat>
          <c:val>
            <c:numRef>
              <c:f>Sheet1!$C$19:$C$26</c:f>
              <c:numCache>
                <c:formatCode>0.0%</c:formatCode>
                <c:ptCount val="8"/>
                <c:pt idx="0">
                  <c:v>0.66885245901639345</c:v>
                </c:pt>
                <c:pt idx="1">
                  <c:v>8.1967213114754092E-2</c:v>
                </c:pt>
                <c:pt idx="2">
                  <c:v>6.2295081967213117E-2</c:v>
                </c:pt>
                <c:pt idx="3">
                  <c:v>4.2622950819672129E-2</c:v>
                </c:pt>
                <c:pt idx="4">
                  <c:v>3.9344262295081971E-2</c:v>
                </c:pt>
                <c:pt idx="5">
                  <c:v>2.9508196721311476E-2</c:v>
                </c:pt>
                <c:pt idx="6">
                  <c:v>2.2950819672131147E-2</c:v>
                </c:pt>
                <c:pt idx="7">
                  <c:v>5.245901639344263E-2</c:v>
                </c:pt>
              </c:numCache>
            </c:numRef>
          </c:val>
          <c:extLst>
            <c:ext xmlns:c16="http://schemas.microsoft.com/office/drawing/2014/chart" uri="{C3380CC4-5D6E-409C-BE32-E72D297353CC}">
              <c16:uniqueId val="{00000000-7061-459E-8153-35922EC6BE53}"/>
            </c:ext>
          </c:extLst>
        </c:ser>
        <c:dLbls>
          <c:showLegendKey val="0"/>
          <c:showVal val="0"/>
          <c:showCatName val="0"/>
          <c:showSerName val="0"/>
          <c:showPercent val="0"/>
          <c:showBubbleSize val="0"/>
        </c:dLbls>
        <c:gapWidth val="219"/>
        <c:overlap val="-27"/>
        <c:axId val="518845368"/>
        <c:axId val="518846352"/>
      </c:barChart>
      <c:catAx>
        <c:axId val="518845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8846352"/>
        <c:crosses val="autoZero"/>
        <c:auto val="1"/>
        <c:lblAlgn val="ctr"/>
        <c:lblOffset val="100"/>
        <c:noMultiLvlLbl val="0"/>
      </c:catAx>
      <c:valAx>
        <c:axId val="51884635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88453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Training Undertaken by Ethnicity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Sheet2!$C$50</c:f>
              <c:strCache>
                <c:ptCount val="1"/>
                <c:pt idx="0">
                  <c:v>% Training</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Sheet2!$A$51:$A$54</c:f>
              <c:strCache>
                <c:ptCount val="4"/>
                <c:pt idx="0">
                  <c:v>White</c:v>
                </c:pt>
                <c:pt idx="1">
                  <c:v>No information provided</c:v>
                </c:pt>
                <c:pt idx="2">
                  <c:v>Prefer not to say</c:v>
                </c:pt>
                <c:pt idx="3">
                  <c:v>BAME</c:v>
                </c:pt>
              </c:strCache>
            </c:strRef>
          </c:cat>
          <c:val>
            <c:numRef>
              <c:f>Sheet2!$C$51:$C$54</c:f>
              <c:numCache>
                <c:formatCode>0.0%</c:formatCode>
                <c:ptCount val="4"/>
                <c:pt idx="0">
                  <c:v>0.80716116761763002</c:v>
                </c:pt>
                <c:pt idx="1">
                  <c:v>9.8569420325808316E-2</c:v>
                </c:pt>
                <c:pt idx="2">
                  <c:v>2.6461589349210286E-2</c:v>
                </c:pt>
                <c:pt idx="3">
                  <c:v>6.7807822707351362E-2</c:v>
                </c:pt>
              </c:numCache>
            </c:numRef>
          </c:val>
          <c:extLst>
            <c:ext xmlns:c16="http://schemas.microsoft.com/office/drawing/2014/chart" uri="{C3380CC4-5D6E-409C-BE32-E72D297353CC}">
              <c16:uniqueId val="{00000000-4138-4FD7-A0E4-3DBF03F62372}"/>
            </c:ext>
          </c:extLst>
        </c:ser>
        <c:ser>
          <c:idx val="1"/>
          <c:order val="1"/>
          <c:tx>
            <c:strRef>
              <c:f>Sheet2!$D$50</c:f>
              <c:strCache>
                <c:ptCount val="1"/>
                <c:pt idx="0">
                  <c:v>% Workforce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Sheet2!$A$51:$A$54</c:f>
              <c:strCache>
                <c:ptCount val="4"/>
                <c:pt idx="0">
                  <c:v>White</c:v>
                </c:pt>
                <c:pt idx="1">
                  <c:v>No information provided</c:v>
                </c:pt>
                <c:pt idx="2">
                  <c:v>Prefer not to say</c:v>
                </c:pt>
                <c:pt idx="3">
                  <c:v>BAME</c:v>
                </c:pt>
              </c:strCache>
            </c:strRef>
          </c:cat>
          <c:val>
            <c:numRef>
              <c:f>Sheet2!$D$51:$D$54</c:f>
              <c:numCache>
                <c:formatCode>0.0%</c:formatCode>
                <c:ptCount val="4"/>
                <c:pt idx="0">
                  <c:v>0.79568884723523903</c:v>
                </c:pt>
                <c:pt idx="1">
                  <c:v>0.1077788191190253</c:v>
                </c:pt>
                <c:pt idx="2">
                  <c:v>3.0459231490159326E-2</c:v>
                </c:pt>
                <c:pt idx="3">
                  <c:v>6.607310215557638E-2</c:v>
                </c:pt>
              </c:numCache>
            </c:numRef>
          </c:val>
          <c:extLst>
            <c:ext xmlns:c16="http://schemas.microsoft.com/office/drawing/2014/chart" uri="{C3380CC4-5D6E-409C-BE32-E72D297353CC}">
              <c16:uniqueId val="{00000001-4138-4FD7-A0E4-3DBF03F62372}"/>
            </c:ext>
          </c:extLst>
        </c:ser>
        <c:dLbls>
          <c:showLegendKey val="0"/>
          <c:showVal val="0"/>
          <c:showCatName val="0"/>
          <c:showSerName val="0"/>
          <c:showPercent val="0"/>
          <c:showBubbleSize val="0"/>
        </c:dLbls>
        <c:gapWidth val="219"/>
        <c:overlap val="-27"/>
        <c:axId val="196674608"/>
        <c:axId val="196675592"/>
      </c:barChart>
      <c:catAx>
        <c:axId val="196674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675592"/>
        <c:crosses val="autoZero"/>
        <c:auto val="1"/>
        <c:lblAlgn val="ctr"/>
        <c:lblOffset val="100"/>
        <c:noMultiLvlLbl val="0"/>
      </c:catAx>
      <c:valAx>
        <c:axId val="19667559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674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a:t>Religion or</a:t>
            </a:r>
            <a:r>
              <a:rPr lang="en-US" baseline="0"/>
              <a:t> Belief </a:t>
            </a:r>
            <a:r>
              <a:rPr lang="en-US"/>
              <a:t>as at 31 March Each Year</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9616374269005854E-2"/>
          <c:y val="0.25923287037037035"/>
          <c:w val="0.90995964912280702"/>
          <c:h val="0.25029675925925926"/>
        </c:manualLayout>
      </c:layout>
      <c:barChart>
        <c:barDir val="col"/>
        <c:grouping val="clustered"/>
        <c:varyColors val="0"/>
        <c:ser>
          <c:idx val="0"/>
          <c:order val="0"/>
          <c:tx>
            <c:strRef>
              <c:f>Religion!$B$35</c:f>
              <c:strCache>
                <c:ptCount val="1"/>
                <c:pt idx="0">
                  <c:v>2012/2013</c:v>
                </c:pt>
              </c:strCache>
            </c:strRef>
          </c:tx>
          <c:spPr>
            <a:solidFill>
              <a:schemeClr val="accent1"/>
            </a:solidFill>
            <a:ln>
              <a:noFill/>
            </a:ln>
            <a:effectLst/>
          </c:spPr>
          <c:invertIfNegative val="0"/>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Religion!$B$36:$B$44</c:f>
              <c:numCache>
                <c:formatCode>0.0%</c:formatCode>
                <c:ptCount val="9"/>
                <c:pt idx="0">
                  <c:v>0.109</c:v>
                </c:pt>
                <c:pt idx="1">
                  <c:v>0.189</c:v>
                </c:pt>
                <c:pt idx="2">
                  <c:v>0.23300000000000001</c:v>
                </c:pt>
                <c:pt idx="3">
                  <c:v>0.254</c:v>
                </c:pt>
                <c:pt idx="4">
                  <c:v>9.8000000000000004E-2</c:v>
                </c:pt>
                <c:pt idx="5">
                  <c:v>6.7000000000000004E-2</c:v>
                </c:pt>
                <c:pt idx="6">
                  <c:v>3.1E-2</c:v>
                </c:pt>
                <c:pt idx="7">
                  <c:v>8.0000000000000002E-3</c:v>
                </c:pt>
                <c:pt idx="8">
                  <c:v>0.01</c:v>
                </c:pt>
              </c:numCache>
            </c:numRef>
          </c:val>
          <c:extLst>
            <c:ext xmlns:c16="http://schemas.microsoft.com/office/drawing/2014/chart" uri="{C3380CC4-5D6E-409C-BE32-E72D297353CC}">
              <c16:uniqueId val="{00000000-FE43-45CD-9483-3E93BB3251DB}"/>
            </c:ext>
          </c:extLst>
        </c:ser>
        <c:ser>
          <c:idx val="1"/>
          <c:order val="1"/>
          <c:tx>
            <c:strRef>
              <c:f>Religion!$C$35</c:f>
              <c:strCache>
                <c:ptCount val="1"/>
                <c:pt idx="0">
                  <c:v>2013/2014</c:v>
                </c:pt>
              </c:strCache>
            </c:strRef>
          </c:tx>
          <c:spPr>
            <a:solidFill>
              <a:schemeClr val="accent2"/>
            </a:solidFill>
            <a:ln>
              <a:noFill/>
            </a:ln>
            <a:effectLst/>
          </c:spPr>
          <c:invertIfNegative val="0"/>
          <c:dLbls>
            <c:spPr>
              <a:noFill/>
              <a:ln>
                <a:noFill/>
              </a:ln>
              <a:effectLst/>
            </c:spPr>
            <c:txPr>
              <a:bodyPr rot="-5400000" spcFirstLastPara="1" vertOverflow="ellipsis" wrap="square" anchor="ctr" anchorCtr="1"/>
              <a:lstStyle/>
              <a:p>
                <a:pPr>
                  <a:defRPr sz="900" b="1" i="0" u="none" strike="noStrike" kern="1200" baseline="0">
                    <a:solidFill>
                      <a:schemeClr val="accent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Religion!$C$36:$C$44</c:f>
              <c:numCache>
                <c:formatCode>0.0%</c:formatCode>
                <c:ptCount val="9"/>
                <c:pt idx="0">
                  <c:v>0.13100000000000001</c:v>
                </c:pt>
                <c:pt idx="1">
                  <c:v>0.20200000000000001</c:v>
                </c:pt>
                <c:pt idx="2">
                  <c:v>0.23899999999999999</c:v>
                </c:pt>
                <c:pt idx="3">
                  <c:v>0.19800000000000001</c:v>
                </c:pt>
                <c:pt idx="4">
                  <c:v>0.112</c:v>
                </c:pt>
                <c:pt idx="5">
                  <c:v>6.7000000000000004E-2</c:v>
                </c:pt>
                <c:pt idx="6">
                  <c:v>3.4000000000000002E-2</c:v>
                </c:pt>
                <c:pt idx="7">
                  <c:v>8.9999999999999993E-3</c:v>
                </c:pt>
                <c:pt idx="8">
                  <c:v>7.0000000000000001E-3</c:v>
                </c:pt>
              </c:numCache>
            </c:numRef>
          </c:val>
          <c:extLst>
            <c:ext xmlns:c16="http://schemas.microsoft.com/office/drawing/2014/chart" uri="{C3380CC4-5D6E-409C-BE32-E72D297353CC}">
              <c16:uniqueId val="{00000001-FE43-45CD-9483-3E93BB3251DB}"/>
            </c:ext>
          </c:extLst>
        </c:ser>
        <c:ser>
          <c:idx val="2"/>
          <c:order val="2"/>
          <c:tx>
            <c:strRef>
              <c:f>Religion!$D$35</c:f>
              <c:strCache>
                <c:ptCount val="1"/>
                <c:pt idx="0">
                  <c:v>2014/2015</c:v>
                </c:pt>
              </c:strCache>
            </c:strRef>
          </c:tx>
          <c:spPr>
            <a:solidFill>
              <a:schemeClr val="accent3"/>
            </a:solidFill>
            <a:ln>
              <a:noFill/>
            </a:ln>
            <a:effectLst/>
          </c:spPr>
          <c:invertIfNegative val="0"/>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Religion!$D$36:$D$44</c:f>
              <c:numCache>
                <c:formatCode>0.0%</c:formatCode>
                <c:ptCount val="9"/>
                <c:pt idx="0">
                  <c:v>0.17399999999999999</c:v>
                </c:pt>
                <c:pt idx="1">
                  <c:v>0.192</c:v>
                </c:pt>
                <c:pt idx="2">
                  <c:v>0.252</c:v>
                </c:pt>
                <c:pt idx="3">
                  <c:v>0.17199999999999999</c:v>
                </c:pt>
                <c:pt idx="4">
                  <c:v>0.10100000000000001</c:v>
                </c:pt>
                <c:pt idx="5">
                  <c:v>6.0999999999999999E-2</c:v>
                </c:pt>
                <c:pt idx="6">
                  <c:v>3.2000000000000001E-2</c:v>
                </c:pt>
                <c:pt idx="7">
                  <c:v>8.0000000000000002E-3</c:v>
                </c:pt>
                <c:pt idx="8">
                  <c:v>7.0000000000000001E-3</c:v>
                </c:pt>
              </c:numCache>
            </c:numRef>
          </c:val>
          <c:extLst>
            <c:ext xmlns:c16="http://schemas.microsoft.com/office/drawing/2014/chart" uri="{C3380CC4-5D6E-409C-BE32-E72D297353CC}">
              <c16:uniqueId val="{00000002-FE43-45CD-9483-3E93BB3251DB}"/>
            </c:ext>
          </c:extLst>
        </c:ser>
        <c:ser>
          <c:idx val="3"/>
          <c:order val="3"/>
          <c:tx>
            <c:strRef>
              <c:f>Religion!$E$35</c:f>
              <c:strCache>
                <c:ptCount val="1"/>
                <c:pt idx="0">
                  <c:v>2015/2016</c:v>
                </c:pt>
              </c:strCache>
            </c:strRef>
          </c:tx>
          <c:spPr>
            <a:solidFill>
              <a:schemeClr val="accent4"/>
            </a:solidFill>
            <a:ln>
              <a:noFill/>
            </a:ln>
            <a:effectLst/>
          </c:spPr>
          <c:invertIfNegative val="0"/>
          <c:dLbls>
            <c:spPr>
              <a:noFill/>
              <a:ln>
                <a:noFill/>
              </a:ln>
              <a:effectLst/>
            </c:spPr>
            <c:txPr>
              <a:bodyPr rot="-5400000" spcFirstLastPara="1" vertOverflow="ellipsis" wrap="square" anchor="ctr" anchorCtr="1"/>
              <a:lstStyle/>
              <a:p>
                <a:pPr>
                  <a:defRPr sz="900" b="1" i="0" u="none" strike="noStrike" kern="1200" baseline="0">
                    <a:solidFill>
                      <a:schemeClr val="accent4"/>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Religion!$E$36:$E$44</c:f>
              <c:numCache>
                <c:formatCode>0.0%</c:formatCode>
                <c:ptCount val="9"/>
                <c:pt idx="0">
                  <c:v>0.158</c:v>
                </c:pt>
                <c:pt idx="1">
                  <c:v>0.218</c:v>
                </c:pt>
                <c:pt idx="2">
                  <c:v>0.23499999999999999</c:v>
                </c:pt>
                <c:pt idx="3">
                  <c:v>0.16</c:v>
                </c:pt>
                <c:pt idx="4">
                  <c:v>0.104</c:v>
                </c:pt>
                <c:pt idx="5">
                  <c:v>7.3999999999999996E-2</c:v>
                </c:pt>
                <c:pt idx="6">
                  <c:v>3.4000000000000002E-2</c:v>
                </c:pt>
                <c:pt idx="7">
                  <c:v>8.0000000000000002E-3</c:v>
                </c:pt>
                <c:pt idx="8">
                  <c:v>8.9999999999999993E-3</c:v>
                </c:pt>
              </c:numCache>
            </c:numRef>
          </c:val>
          <c:extLst>
            <c:ext xmlns:c16="http://schemas.microsoft.com/office/drawing/2014/chart" uri="{C3380CC4-5D6E-409C-BE32-E72D297353CC}">
              <c16:uniqueId val="{00000003-FE43-45CD-9483-3E93BB3251DB}"/>
            </c:ext>
          </c:extLst>
        </c:ser>
        <c:ser>
          <c:idx val="4"/>
          <c:order val="4"/>
          <c:tx>
            <c:strRef>
              <c:f>Religion!$F$35</c:f>
              <c:strCache>
                <c:ptCount val="1"/>
                <c:pt idx="0">
                  <c:v>2016/2017</c:v>
                </c:pt>
              </c:strCache>
            </c:strRef>
          </c:tx>
          <c:spPr>
            <a:solidFill>
              <a:schemeClr val="accent5"/>
            </a:solidFill>
            <a:ln>
              <a:noFill/>
            </a:ln>
            <a:effectLst/>
          </c:spPr>
          <c:invertIfNegative val="0"/>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Religion!$F$36:$F$44</c:f>
              <c:numCache>
                <c:formatCode>0.0%</c:formatCode>
                <c:ptCount val="9"/>
                <c:pt idx="0">
                  <c:v>0.16400000000000001</c:v>
                </c:pt>
                <c:pt idx="1">
                  <c:v>0.223</c:v>
                </c:pt>
                <c:pt idx="2">
                  <c:v>0.23499999999999999</c:v>
                </c:pt>
                <c:pt idx="3">
                  <c:v>0.153</c:v>
                </c:pt>
                <c:pt idx="4">
                  <c:v>0.10199999999999999</c:v>
                </c:pt>
                <c:pt idx="5">
                  <c:v>7.1999999999999995E-2</c:v>
                </c:pt>
                <c:pt idx="6">
                  <c:v>3.4000000000000002E-2</c:v>
                </c:pt>
                <c:pt idx="7">
                  <c:v>1.0999999999999999E-2</c:v>
                </c:pt>
                <c:pt idx="8">
                  <c:v>8.9999999999999993E-3</c:v>
                </c:pt>
              </c:numCache>
            </c:numRef>
          </c:val>
          <c:extLst>
            <c:ext xmlns:c16="http://schemas.microsoft.com/office/drawing/2014/chart" uri="{C3380CC4-5D6E-409C-BE32-E72D297353CC}">
              <c16:uniqueId val="{00000004-FE43-45CD-9483-3E93BB3251DB}"/>
            </c:ext>
          </c:extLst>
        </c:ser>
        <c:ser>
          <c:idx val="5"/>
          <c:order val="5"/>
          <c:tx>
            <c:strRef>
              <c:f>Religion!$G$35</c:f>
              <c:strCache>
                <c:ptCount val="1"/>
                <c:pt idx="0">
                  <c:v>2017/2018</c:v>
                </c:pt>
              </c:strCache>
            </c:strRef>
          </c:tx>
          <c:spPr>
            <a:solidFill>
              <a:schemeClr val="accent6"/>
            </a:solidFill>
            <a:ln>
              <a:noFill/>
            </a:ln>
            <a:effectLst/>
          </c:spPr>
          <c:invertIfNegative val="0"/>
          <c:dLbls>
            <c:spPr>
              <a:noFill/>
              <a:ln>
                <a:noFill/>
              </a:ln>
              <a:effectLst/>
            </c:spPr>
            <c:txPr>
              <a:bodyPr rot="-5400000" spcFirstLastPara="1" vertOverflow="ellipsis" wrap="square" anchor="ctr" anchorCtr="1"/>
              <a:lstStyle/>
              <a:p>
                <a:pPr>
                  <a:defRPr sz="900" b="1" i="0" u="none" strike="noStrike" kern="1200" baseline="0">
                    <a:solidFill>
                      <a:schemeClr val="accent6"/>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Religion!$G$36:$G$44</c:f>
              <c:numCache>
                <c:formatCode>0.0%</c:formatCode>
                <c:ptCount val="9"/>
                <c:pt idx="0">
                  <c:v>0.16700000000000001</c:v>
                </c:pt>
                <c:pt idx="1">
                  <c:v>0.223</c:v>
                </c:pt>
                <c:pt idx="2">
                  <c:v>0.23400000000000001</c:v>
                </c:pt>
                <c:pt idx="3">
                  <c:v>0.14499999999999999</c:v>
                </c:pt>
                <c:pt idx="4">
                  <c:v>9.8000000000000004E-2</c:v>
                </c:pt>
                <c:pt idx="5">
                  <c:v>7.0999999999999994E-2</c:v>
                </c:pt>
                <c:pt idx="6">
                  <c:v>0.04</c:v>
                </c:pt>
                <c:pt idx="7">
                  <c:v>1.2999999999999999E-2</c:v>
                </c:pt>
                <c:pt idx="8">
                  <c:v>8.9999999999999993E-3</c:v>
                </c:pt>
              </c:numCache>
            </c:numRef>
          </c:val>
          <c:extLst>
            <c:ext xmlns:c16="http://schemas.microsoft.com/office/drawing/2014/chart" uri="{C3380CC4-5D6E-409C-BE32-E72D297353CC}">
              <c16:uniqueId val="{00000005-FE43-45CD-9483-3E93BB3251DB}"/>
            </c:ext>
          </c:extLst>
        </c:ser>
        <c:ser>
          <c:idx val="6"/>
          <c:order val="6"/>
          <c:tx>
            <c:strRef>
              <c:f>Religion!$H$35</c:f>
              <c:strCache>
                <c:ptCount val="1"/>
                <c:pt idx="0">
                  <c:v>2018/2109</c:v>
                </c:pt>
              </c:strCache>
            </c:strRef>
          </c:tx>
          <c:spPr>
            <a:solidFill>
              <a:schemeClr val="accent1">
                <a:lumMod val="60000"/>
              </a:schemeClr>
            </a:solidFill>
            <a:ln>
              <a:noFill/>
            </a:ln>
            <a:effectLst/>
          </c:spPr>
          <c:invertIfNegative val="0"/>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Religion!$H$36:$H$44</c:f>
              <c:numCache>
                <c:formatCode>0.0%</c:formatCode>
                <c:ptCount val="9"/>
                <c:pt idx="0">
                  <c:v>0.189</c:v>
                </c:pt>
                <c:pt idx="1">
                  <c:v>0.222</c:v>
                </c:pt>
                <c:pt idx="2">
                  <c:v>0.22600000000000001</c:v>
                </c:pt>
                <c:pt idx="3">
                  <c:v>0.151</c:v>
                </c:pt>
                <c:pt idx="4">
                  <c:v>0.09</c:v>
                </c:pt>
                <c:pt idx="5">
                  <c:v>7.3999999999999996E-2</c:v>
                </c:pt>
                <c:pt idx="6">
                  <c:v>2.7E-2</c:v>
                </c:pt>
                <c:pt idx="7">
                  <c:v>1.2999999999999999E-2</c:v>
                </c:pt>
                <c:pt idx="8">
                  <c:v>8.9999999999999993E-3</c:v>
                </c:pt>
              </c:numCache>
            </c:numRef>
          </c:val>
          <c:extLst>
            <c:ext xmlns:c16="http://schemas.microsoft.com/office/drawing/2014/chart" uri="{C3380CC4-5D6E-409C-BE32-E72D297353CC}">
              <c16:uniqueId val="{00000006-FE43-45CD-9483-3E93BB3251DB}"/>
            </c:ext>
          </c:extLst>
        </c:ser>
        <c:ser>
          <c:idx val="7"/>
          <c:order val="7"/>
          <c:tx>
            <c:strRef>
              <c:f>Religion!$I$35</c:f>
              <c:strCache>
                <c:ptCount val="1"/>
                <c:pt idx="0">
                  <c:v>2019/2020</c:v>
                </c:pt>
              </c:strCache>
            </c:strRef>
          </c:tx>
          <c:spPr>
            <a:solidFill>
              <a:schemeClr val="accent2">
                <a:lumMod val="60000"/>
              </a:schemeClr>
            </a:solidFill>
            <a:ln>
              <a:noFill/>
            </a:ln>
            <a:effectLst/>
          </c:spPr>
          <c:invertIfNegative val="0"/>
          <c:dLbls>
            <c:spPr>
              <a:noFill/>
              <a:ln>
                <a:noFill/>
              </a:ln>
              <a:effectLst/>
            </c:spPr>
            <c:txPr>
              <a:bodyPr rot="-5400000" spcFirstLastPara="1" vertOverflow="ellipsis" wrap="square" anchor="ctr" anchorCtr="1"/>
              <a:lstStyle/>
              <a:p>
                <a:pPr>
                  <a:defRPr sz="900" b="1" i="0" u="none" strike="noStrike" kern="1200" baseline="0">
                    <a:solidFill>
                      <a:schemeClr val="accent2">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Religion!$I$36:$I$44</c:f>
              <c:numCache>
                <c:formatCode>0.0%</c:formatCode>
                <c:ptCount val="9"/>
                <c:pt idx="0">
                  <c:v>0.215</c:v>
                </c:pt>
                <c:pt idx="1">
                  <c:v>0.215</c:v>
                </c:pt>
                <c:pt idx="2">
                  <c:v>0.214</c:v>
                </c:pt>
                <c:pt idx="3">
                  <c:v>0.14299999999999999</c:v>
                </c:pt>
                <c:pt idx="4">
                  <c:v>8.8999999999999996E-2</c:v>
                </c:pt>
                <c:pt idx="5">
                  <c:v>6.8000000000000005E-2</c:v>
                </c:pt>
                <c:pt idx="6">
                  <c:v>2.9000000000000001E-2</c:v>
                </c:pt>
                <c:pt idx="7">
                  <c:v>1.2999999999999999E-2</c:v>
                </c:pt>
                <c:pt idx="8">
                  <c:v>1.3000000000000001E-2</c:v>
                </c:pt>
              </c:numCache>
            </c:numRef>
          </c:val>
          <c:extLst>
            <c:ext xmlns:c16="http://schemas.microsoft.com/office/drawing/2014/chart" uri="{C3380CC4-5D6E-409C-BE32-E72D297353CC}">
              <c16:uniqueId val="{00000007-FE43-45CD-9483-3E93BB3251DB}"/>
            </c:ext>
          </c:extLst>
        </c:ser>
        <c:ser>
          <c:idx val="8"/>
          <c:order val="8"/>
          <c:tx>
            <c:strRef>
              <c:f>Religion!$J$35</c:f>
              <c:strCache>
                <c:ptCount val="1"/>
                <c:pt idx="0">
                  <c:v>2020/2021</c:v>
                </c:pt>
              </c:strCache>
            </c:strRef>
          </c:tx>
          <c:spPr>
            <a:solidFill>
              <a:schemeClr val="accent3">
                <a:lumMod val="60000"/>
              </a:schemeClr>
            </a:solidFill>
            <a:ln>
              <a:noFill/>
            </a:ln>
            <a:effectLst/>
          </c:spPr>
          <c:invertIfNegative val="0"/>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Religion!$J$36:$J$44</c:f>
              <c:numCache>
                <c:formatCode>0.0%</c:formatCode>
                <c:ptCount val="9"/>
                <c:pt idx="0">
                  <c:v>0.24565637065637067</c:v>
                </c:pt>
                <c:pt idx="1">
                  <c:v>0.21911196911196912</c:v>
                </c:pt>
                <c:pt idx="2">
                  <c:v>0.19401544401544402</c:v>
                </c:pt>
                <c:pt idx="3">
                  <c:v>0.13175675675675674</c:v>
                </c:pt>
                <c:pt idx="4">
                  <c:v>7.9633204633204627E-2</c:v>
                </c:pt>
                <c:pt idx="5">
                  <c:v>7.5289575289575292E-2</c:v>
                </c:pt>
                <c:pt idx="6">
                  <c:v>2.8000000000000001E-2</c:v>
                </c:pt>
                <c:pt idx="7">
                  <c:v>1.3513513513513514E-2</c:v>
                </c:pt>
                <c:pt idx="8">
                  <c:v>1.3030888030888031E-2</c:v>
                </c:pt>
              </c:numCache>
            </c:numRef>
          </c:val>
          <c:extLst>
            <c:ext xmlns:c16="http://schemas.microsoft.com/office/drawing/2014/chart" uri="{C3380CC4-5D6E-409C-BE32-E72D297353CC}">
              <c16:uniqueId val="{00000008-FE43-45CD-9483-3E93BB3251DB}"/>
            </c:ext>
          </c:extLst>
        </c:ser>
        <c:ser>
          <c:idx val="9"/>
          <c:order val="9"/>
          <c:tx>
            <c:strRef>
              <c:f>Religion!$K$35</c:f>
              <c:strCache>
                <c:ptCount val="1"/>
                <c:pt idx="0">
                  <c:v>2021/2022</c:v>
                </c:pt>
              </c:strCache>
            </c:strRef>
          </c:tx>
          <c:spPr>
            <a:solidFill>
              <a:schemeClr val="accent4">
                <a:lumMod val="60000"/>
              </a:schemeClr>
            </a:solidFill>
            <a:ln>
              <a:noFill/>
            </a:ln>
            <a:effectLst/>
          </c:spPr>
          <c:invertIfNegative val="0"/>
          <c:dLbls>
            <c:spPr>
              <a:noFill/>
              <a:ln>
                <a:noFill/>
              </a:ln>
              <a:effectLst/>
            </c:spPr>
            <c:txPr>
              <a:bodyPr rot="-5400000" spcFirstLastPara="1" vertOverflow="ellipsis" wrap="square" anchor="ctr" anchorCtr="1"/>
              <a:lstStyle/>
              <a:p>
                <a:pPr>
                  <a:defRPr sz="900" b="1" i="0" u="none" strike="noStrike" kern="1200" baseline="0">
                    <a:solidFill>
                      <a:schemeClr val="accent4">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Religion!$A$36:$A$44</c:f>
              <c:strCache>
                <c:ptCount val="9"/>
                <c:pt idx="0">
                  <c:v>No Religion</c:v>
                </c:pt>
                <c:pt idx="1">
                  <c:v>Roman Catholic</c:v>
                </c:pt>
                <c:pt idx="2">
                  <c:v>Church of Scotland</c:v>
                </c:pt>
                <c:pt idx="3">
                  <c:v>No information provided</c:v>
                </c:pt>
                <c:pt idx="4">
                  <c:v>Prefer not to say</c:v>
                </c:pt>
                <c:pt idx="5">
                  <c:v>Christian - Other</c:v>
                </c:pt>
                <c:pt idx="6">
                  <c:v>Other</c:v>
                </c:pt>
                <c:pt idx="7">
                  <c:v>Hindu</c:v>
                </c:pt>
                <c:pt idx="8">
                  <c:v>Muslim</c:v>
                </c:pt>
              </c:strCache>
            </c:strRef>
          </c:cat>
          <c:val>
            <c:numRef>
              <c:f>Religion!$K$36:$K$44</c:f>
              <c:numCache>
                <c:formatCode>0.0%</c:formatCode>
                <c:ptCount val="9"/>
                <c:pt idx="0">
                  <c:v>0.26382380506091846</c:v>
                </c:pt>
                <c:pt idx="1">
                  <c:v>0.22258669165885661</c:v>
                </c:pt>
                <c:pt idx="2">
                  <c:v>0.18744142455482662</c:v>
                </c:pt>
                <c:pt idx="3">
                  <c:v>0.12136832239925023</c:v>
                </c:pt>
                <c:pt idx="4">
                  <c:v>8.1068416119962516E-2</c:v>
                </c:pt>
                <c:pt idx="5">
                  <c:v>7.2164948453608241E-2</c:v>
                </c:pt>
                <c:pt idx="6">
                  <c:v>2.5304592314901592E-2</c:v>
                </c:pt>
                <c:pt idx="7">
                  <c:v>1.2E-2</c:v>
                </c:pt>
                <c:pt idx="8">
                  <c:v>1.4999999999999999E-2</c:v>
                </c:pt>
              </c:numCache>
            </c:numRef>
          </c:val>
          <c:extLst>
            <c:ext xmlns:c16="http://schemas.microsoft.com/office/drawing/2014/chart" uri="{C3380CC4-5D6E-409C-BE32-E72D297353CC}">
              <c16:uniqueId val="{00000009-FE43-45CD-9483-3E93BB3251DB}"/>
            </c:ext>
          </c:extLst>
        </c:ser>
        <c:dLbls>
          <c:showLegendKey val="0"/>
          <c:showVal val="0"/>
          <c:showCatName val="0"/>
          <c:showSerName val="0"/>
          <c:showPercent val="0"/>
          <c:showBubbleSize val="0"/>
        </c:dLbls>
        <c:gapWidth val="219"/>
        <c:overlap val="-27"/>
        <c:axId val="550122024"/>
        <c:axId val="550121368"/>
      </c:barChart>
      <c:catAx>
        <c:axId val="550122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550121368"/>
        <c:crosses val="autoZero"/>
        <c:auto val="1"/>
        <c:lblAlgn val="ctr"/>
        <c:lblOffset val="100"/>
        <c:noMultiLvlLbl val="0"/>
      </c:catAx>
      <c:valAx>
        <c:axId val="55012136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550122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b="1"/>
      </a:pPr>
      <a:endParaRPr lang="en-US"/>
    </a:p>
  </c:txPr>
  <c:externalData r:id="rId3">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Religion or Belief of Starters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Analysis!$C$44</c:f>
              <c:strCache>
                <c:ptCount val="1"/>
                <c:pt idx="0">
                  <c:v>%</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Analysis!$A$45:$A$52</c:f>
              <c:strCache>
                <c:ptCount val="8"/>
                <c:pt idx="0">
                  <c:v>No Religion</c:v>
                </c:pt>
                <c:pt idx="1">
                  <c:v>Roman Catholic</c:v>
                </c:pt>
                <c:pt idx="2">
                  <c:v>Church of Scotland</c:v>
                </c:pt>
                <c:pt idx="3">
                  <c:v>Prefer not to say</c:v>
                </c:pt>
                <c:pt idx="4">
                  <c:v>Christian - Other</c:v>
                </c:pt>
                <c:pt idx="5">
                  <c:v>Muslim</c:v>
                </c:pt>
                <c:pt idx="6">
                  <c:v>No information provided</c:v>
                </c:pt>
                <c:pt idx="7">
                  <c:v>Other</c:v>
                </c:pt>
              </c:strCache>
            </c:strRef>
          </c:cat>
          <c:val>
            <c:numRef>
              <c:f>Analysis!$C$45:$C$52</c:f>
              <c:numCache>
                <c:formatCode>0.0%</c:formatCode>
                <c:ptCount val="8"/>
                <c:pt idx="0">
                  <c:v>0.40655737704918032</c:v>
                </c:pt>
                <c:pt idx="1">
                  <c:v>0.23606557377049181</c:v>
                </c:pt>
                <c:pt idx="2">
                  <c:v>0.11475409836065574</c:v>
                </c:pt>
                <c:pt idx="3">
                  <c:v>8.8524590163934422E-2</c:v>
                </c:pt>
                <c:pt idx="4">
                  <c:v>7.5409836065573776E-2</c:v>
                </c:pt>
                <c:pt idx="5">
                  <c:v>2.9508196721311476E-2</c:v>
                </c:pt>
                <c:pt idx="6">
                  <c:v>2.9508196721311476E-2</c:v>
                </c:pt>
                <c:pt idx="7">
                  <c:v>1.9672131147540985E-2</c:v>
                </c:pt>
              </c:numCache>
            </c:numRef>
          </c:val>
          <c:extLst>
            <c:ext xmlns:c16="http://schemas.microsoft.com/office/drawing/2014/chart" uri="{C3380CC4-5D6E-409C-BE32-E72D297353CC}">
              <c16:uniqueId val="{00000000-5877-4E3B-8A49-59E6D8A5A89C}"/>
            </c:ext>
          </c:extLst>
        </c:ser>
        <c:dLbls>
          <c:showLegendKey val="0"/>
          <c:showVal val="0"/>
          <c:showCatName val="0"/>
          <c:showSerName val="0"/>
          <c:showPercent val="0"/>
          <c:showBubbleSize val="0"/>
        </c:dLbls>
        <c:gapWidth val="219"/>
        <c:overlap val="-27"/>
        <c:axId val="467246496"/>
        <c:axId val="467245184"/>
      </c:barChart>
      <c:catAx>
        <c:axId val="467246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7245184"/>
        <c:crosses val="autoZero"/>
        <c:auto val="1"/>
        <c:lblAlgn val="ctr"/>
        <c:lblOffset val="100"/>
        <c:noMultiLvlLbl val="0"/>
      </c:catAx>
      <c:valAx>
        <c:axId val="46724518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7246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Training Undertaken by Religion or Belief</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Sheet2!$C$65</c:f>
              <c:strCache>
                <c:ptCount val="1"/>
                <c:pt idx="0">
                  <c:v>% Training</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Sheet2!$A$66:$A$74</c:f>
              <c:strCache>
                <c:ptCount val="9"/>
                <c:pt idx="0">
                  <c:v>No Religion</c:v>
                </c:pt>
                <c:pt idx="1">
                  <c:v>Roman Catholic</c:v>
                </c:pt>
                <c:pt idx="2">
                  <c:v>Church of Scotland</c:v>
                </c:pt>
                <c:pt idx="3">
                  <c:v>No information provided</c:v>
                </c:pt>
                <c:pt idx="4">
                  <c:v>Christian - Other</c:v>
                </c:pt>
                <c:pt idx="5">
                  <c:v>Prefer not to say</c:v>
                </c:pt>
                <c:pt idx="6">
                  <c:v>Other</c:v>
                </c:pt>
                <c:pt idx="7">
                  <c:v>Muslim</c:v>
                </c:pt>
                <c:pt idx="8">
                  <c:v>Hindu</c:v>
                </c:pt>
              </c:strCache>
            </c:strRef>
          </c:cat>
          <c:val>
            <c:numRef>
              <c:f>Sheet2!$C$66:$C$74</c:f>
              <c:numCache>
                <c:formatCode>0.0%</c:formatCode>
                <c:ptCount val="9"/>
                <c:pt idx="0">
                  <c:v>0.28313900603655007</c:v>
                </c:pt>
                <c:pt idx="1">
                  <c:v>0.22980236500454809</c:v>
                </c:pt>
                <c:pt idx="2">
                  <c:v>0.18035226990821135</c:v>
                </c:pt>
                <c:pt idx="3">
                  <c:v>0.11047713553295295</c:v>
                </c:pt>
                <c:pt idx="4">
                  <c:v>7.3927065244356244E-2</c:v>
                </c:pt>
                <c:pt idx="5">
                  <c:v>7.268667824361201E-2</c:v>
                </c:pt>
                <c:pt idx="6">
                  <c:v>2.7E-2</c:v>
                </c:pt>
                <c:pt idx="7">
                  <c:v>1.2238485074009757E-2</c:v>
                </c:pt>
                <c:pt idx="8">
                  <c:v>1.0088480939386421E-2</c:v>
                </c:pt>
              </c:numCache>
            </c:numRef>
          </c:val>
          <c:extLst>
            <c:ext xmlns:c16="http://schemas.microsoft.com/office/drawing/2014/chart" uri="{C3380CC4-5D6E-409C-BE32-E72D297353CC}">
              <c16:uniqueId val="{00000000-7984-49DD-9A0A-D772F761CE34}"/>
            </c:ext>
          </c:extLst>
        </c:ser>
        <c:ser>
          <c:idx val="1"/>
          <c:order val="1"/>
          <c:tx>
            <c:strRef>
              <c:f>Sheet2!$D$65</c:f>
              <c:strCache>
                <c:ptCount val="1"/>
                <c:pt idx="0">
                  <c:v>% Workforce</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Sheet2!$A$66:$A$74</c:f>
              <c:strCache>
                <c:ptCount val="9"/>
                <c:pt idx="0">
                  <c:v>No Religion</c:v>
                </c:pt>
                <c:pt idx="1">
                  <c:v>Roman Catholic</c:v>
                </c:pt>
                <c:pt idx="2">
                  <c:v>Church of Scotland</c:v>
                </c:pt>
                <c:pt idx="3">
                  <c:v>No information provided</c:v>
                </c:pt>
                <c:pt idx="4">
                  <c:v>Christian - Other</c:v>
                </c:pt>
                <c:pt idx="5">
                  <c:v>Prefer not to say</c:v>
                </c:pt>
                <c:pt idx="6">
                  <c:v>Other</c:v>
                </c:pt>
                <c:pt idx="7">
                  <c:v>Muslim</c:v>
                </c:pt>
                <c:pt idx="8">
                  <c:v>Hindu</c:v>
                </c:pt>
              </c:strCache>
            </c:strRef>
          </c:cat>
          <c:val>
            <c:numRef>
              <c:f>Sheet2!$D$66:$D$74</c:f>
              <c:numCache>
                <c:formatCode>0.0%</c:formatCode>
                <c:ptCount val="9"/>
                <c:pt idx="0">
                  <c:v>0.26400000000000001</c:v>
                </c:pt>
                <c:pt idx="1">
                  <c:v>0.223</c:v>
                </c:pt>
                <c:pt idx="2">
                  <c:v>0.187</c:v>
                </c:pt>
                <c:pt idx="3">
                  <c:v>0.121</c:v>
                </c:pt>
                <c:pt idx="4">
                  <c:v>7.1999999999999995E-2</c:v>
                </c:pt>
                <c:pt idx="5">
                  <c:v>8.1000000000000003E-2</c:v>
                </c:pt>
                <c:pt idx="6">
                  <c:v>2.5000000000000001E-2</c:v>
                </c:pt>
                <c:pt idx="7">
                  <c:v>1.4999999999999999E-2</c:v>
                </c:pt>
                <c:pt idx="8">
                  <c:v>1.2E-2</c:v>
                </c:pt>
              </c:numCache>
            </c:numRef>
          </c:val>
          <c:extLst>
            <c:ext xmlns:c16="http://schemas.microsoft.com/office/drawing/2014/chart" uri="{C3380CC4-5D6E-409C-BE32-E72D297353CC}">
              <c16:uniqueId val="{00000001-7984-49DD-9A0A-D772F761CE34}"/>
            </c:ext>
          </c:extLst>
        </c:ser>
        <c:dLbls>
          <c:showLegendKey val="0"/>
          <c:showVal val="0"/>
          <c:showCatName val="0"/>
          <c:showSerName val="0"/>
          <c:showPercent val="0"/>
          <c:showBubbleSize val="0"/>
        </c:dLbls>
        <c:gapWidth val="219"/>
        <c:overlap val="-27"/>
        <c:axId val="668405984"/>
        <c:axId val="668403032"/>
      </c:barChart>
      <c:catAx>
        <c:axId val="668405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8403032"/>
        <c:crosses val="autoZero"/>
        <c:auto val="1"/>
        <c:lblAlgn val="ctr"/>
        <c:lblOffset val="100"/>
        <c:noMultiLvlLbl val="0"/>
      </c:catAx>
      <c:valAx>
        <c:axId val="66840303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8405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Employee Disability Status as at 31 March Each Year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Disability!$A$20</c:f>
              <c:strCache>
                <c:ptCount val="1"/>
                <c:pt idx="0">
                  <c:v>Disabled</c:v>
                </c:pt>
              </c:strCache>
            </c:strRef>
          </c:tx>
          <c:spPr>
            <a:ln w="28575" cap="rnd">
              <a:solidFill>
                <a:schemeClr val="accent1"/>
              </a:solidFill>
              <a:round/>
            </a:ln>
            <a:effectLst/>
          </c:spPr>
          <c:marker>
            <c:symbol val="none"/>
          </c:marker>
          <c:cat>
            <c:numRef>
              <c:f>Disability!$B$19:$K$19</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Disability!$B$20:$K$20</c:f>
              <c:numCache>
                <c:formatCode>0.0%</c:formatCode>
                <c:ptCount val="10"/>
                <c:pt idx="0">
                  <c:v>8.9999999999999993E-3</c:v>
                </c:pt>
                <c:pt idx="1">
                  <c:v>0.01</c:v>
                </c:pt>
                <c:pt idx="2">
                  <c:v>1.2E-2</c:v>
                </c:pt>
                <c:pt idx="3">
                  <c:v>1.0999999999999999E-2</c:v>
                </c:pt>
                <c:pt idx="4">
                  <c:v>1.6E-2</c:v>
                </c:pt>
                <c:pt idx="5">
                  <c:v>1.7000000000000001E-2</c:v>
                </c:pt>
                <c:pt idx="6">
                  <c:v>1.2E-2</c:v>
                </c:pt>
                <c:pt idx="7">
                  <c:v>1.2E-2</c:v>
                </c:pt>
                <c:pt idx="8">
                  <c:v>1.3513513513513514E-2</c:v>
                </c:pt>
                <c:pt idx="9">
                  <c:v>1.0999999999999999E-2</c:v>
                </c:pt>
              </c:numCache>
            </c:numRef>
          </c:val>
          <c:smooth val="0"/>
          <c:extLst>
            <c:ext xmlns:c16="http://schemas.microsoft.com/office/drawing/2014/chart" uri="{C3380CC4-5D6E-409C-BE32-E72D297353CC}">
              <c16:uniqueId val="{00000000-1216-4426-B23A-8C179D4BAF28}"/>
            </c:ext>
          </c:extLst>
        </c:ser>
        <c:ser>
          <c:idx val="1"/>
          <c:order val="1"/>
          <c:tx>
            <c:strRef>
              <c:f>Disability!$A$21</c:f>
              <c:strCache>
                <c:ptCount val="1"/>
                <c:pt idx="0">
                  <c:v>Prefer not to say</c:v>
                </c:pt>
              </c:strCache>
            </c:strRef>
          </c:tx>
          <c:spPr>
            <a:ln w="28575" cap="rnd">
              <a:solidFill>
                <a:schemeClr val="accent2"/>
              </a:solidFill>
              <a:round/>
            </a:ln>
            <a:effectLst/>
          </c:spPr>
          <c:marker>
            <c:symbol val="none"/>
          </c:marker>
          <c:cat>
            <c:numRef>
              <c:f>Disability!$B$19:$K$19</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Disability!$B$21:$K$21</c:f>
              <c:numCache>
                <c:formatCode>0.0%</c:formatCode>
                <c:ptCount val="10"/>
                <c:pt idx="0">
                  <c:v>1.9E-2</c:v>
                </c:pt>
                <c:pt idx="1">
                  <c:v>5.0000000000000001E-3</c:v>
                </c:pt>
                <c:pt idx="2">
                  <c:v>0</c:v>
                </c:pt>
                <c:pt idx="3">
                  <c:v>0</c:v>
                </c:pt>
                <c:pt idx="4">
                  <c:v>0</c:v>
                </c:pt>
                <c:pt idx="5">
                  <c:v>0</c:v>
                </c:pt>
                <c:pt idx="6">
                  <c:v>1.2999999999999999E-2</c:v>
                </c:pt>
                <c:pt idx="7">
                  <c:v>1.2E-2</c:v>
                </c:pt>
                <c:pt idx="8">
                  <c:v>1.1583011583011582E-2</c:v>
                </c:pt>
                <c:pt idx="9">
                  <c:v>1.4999999999999999E-2</c:v>
                </c:pt>
              </c:numCache>
            </c:numRef>
          </c:val>
          <c:smooth val="0"/>
          <c:extLst>
            <c:ext xmlns:c16="http://schemas.microsoft.com/office/drawing/2014/chart" uri="{C3380CC4-5D6E-409C-BE32-E72D297353CC}">
              <c16:uniqueId val="{00000001-1216-4426-B23A-8C179D4BAF28}"/>
            </c:ext>
          </c:extLst>
        </c:ser>
        <c:ser>
          <c:idx val="2"/>
          <c:order val="2"/>
          <c:tx>
            <c:strRef>
              <c:f>Disability!$A$22</c:f>
              <c:strCache>
                <c:ptCount val="1"/>
                <c:pt idx="0">
                  <c:v>No information provided</c:v>
                </c:pt>
              </c:strCache>
            </c:strRef>
          </c:tx>
          <c:spPr>
            <a:ln w="28575" cap="rnd">
              <a:solidFill>
                <a:schemeClr val="accent3"/>
              </a:solidFill>
              <a:round/>
            </a:ln>
            <a:effectLst/>
          </c:spPr>
          <c:marker>
            <c:symbol val="none"/>
          </c:marker>
          <c:cat>
            <c:numRef>
              <c:f>Disability!$B$19:$K$19</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Disability!$B$22:$K$22</c:f>
              <c:numCache>
                <c:formatCode>0.0%</c:formatCode>
                <c:ptCount val="10"/>
                <c:pt idx="0">
                  <c:v>0.14099999999999999</c:v>
                </c:pt>
                <c:pt idx="1">
                  <c:v>0.14299999999999999</c:v>
                </c:pt>
                <c:pt idx="2">
                  <c:v>0.124</c:v>
                </c:pt>
                <c:pt idx="3">
                  <c:v>0.11700000000000001</c:v>
                </c:pt>
                <c:pt idx="4">
                  <c:v>0.115</c:v>
                </c:pt>
                <c:pt idx="5">
                  <c:v>0.11899999999999999</c:v>
                </c:pt>
                <c:pt idx="6">
                  <c:v>0.161</c:v>
                </c:pt>
                <c:pt idx="7">
                  <c:v>0.14499999999999999</c:v>
                </c:pt>
                <c:pt idx="8">
                  <c:v>0.13079150579150578</c:v>
                </c:pt>
                <c:pt idx="9">
                  <c:v>0.11899999999999999</c:v>
                </c:pt>
              </c:numCache>
            </c:numRef>
          </c:val>
          <c:smooth val="0"/>
          <c:extLst>
            <c:ext xmlns:c16="http://schemas.microsoft.com/office/drawing/2014/chart" uri="{C3380CC4-5D6E-409C-BE32-E72D297353CC}">
              <c16:uniqueId val="{00000002-1216-4426-B23A-8C179D4BAF28}"/>
            </c:ext>
          </c:extLst>
        </c:ser>
        <c:dLbls>
          <c:showLegendKey val="0"/>
          <c:showVal val="0"/>
          <c:showCatName val="0"/>
          <c:showSerName val="0"/>
          <c:showPercent val="0"/>
          <c:showBubbleSize val="0"/>
        </c:dLbls>
        <c:smooth val="0"/>
        <c:axId val="308214472"/>
        <c:axId val="308210536"/>
      </c:lineChart>
      <c:catAx>
        <c:axId val="308214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8210536"/>
        <c:crosses val="autoZero"/>
        <c:auto val="1"/>
        <c:lblAlgn val="ctr"/>
        <c:lblOffset val="100"/>
        <c:noMultiLvlLbl val="0"/>
      </c:catAx>
      <c:valAx>
        <c:axId val="30821053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82144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Training Undertaken by Sexual Orientation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Sheet2!$C$89</c:f>
              <c:strCache>
                <c:ptCount val="1"/>
                <c:pt idx="0">
                  <c:v>% Training</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Sheet2!$A$90:$A$95</c:f>
              <c:strCache>
                <c:ptCount val="6"/>
                <c:pt idx="0">
                  <c:v>Heterosexual</c:v>
                </c:pt>
                <c:pt idx="1">
                  <c:v>No information provided</c:v>
                </c:pt>
                <c:pt idx="2">
                  <c:v>Prefer not to say</c:v>
                </c:pt>
                <c:pt idx="3">
                  <c:v>Gay/Lesbian</c:v>
                </c:pt>
                <c:pt idx="4">
                  <c:v>Bisexual</c:v>
                </c:pt>
                <c:pt idx="5">
                  <c:v>Other</c:v>
                </c:pt>
              </c:strCache>
            </c:strRef>
          </c:cat>
          <c:val>
            <c:numRef>
              <c:f>Sheet2!$C$90:$C$95</c:f>
              <c:numCache>
                <c:formatCode>0.0%</c:formatCode>
                <c:ptCount val="6"/>
                <c:pt idx="0">
                  <c:v>0.79103613660795502</c:v>
                </c:pt>
                <c:pt idx="1">
                  <c:v>0.12155792607293475</c:v>
                </c:pt>
                <c:pt idx="2">
                  <c:v>5.3915488299015962E-2</c:v>
                </c:pt>
                <c:pt idx="3">
                  <c:v>2.4807740014884644E-2</c:v>
                </c:pt>
                <c:pt idx="4">
                  <c:v>5.7884726701397504E-3</c:v>
                </c:pt>
                <c:pt idx="5">
                  <c:v>2.8942363350698752E-3</c:v>
                </c:pt>
              </c:numCache>
            </c:numRef>
          </c:val>
          <c:extLst>
            <c:ext xmlns:c16="http://schemas.microsoft.com/office/drawing/2014/chart" uri="{C3380CC4-5D6E-409C-BE32-E72D297353CC}">
              <c16:uniqueId val="{00000000-8A61-4C23-AE6A-42F167EB7044}"/>
            </c:ext>
          </c:extLst>
        </c:ser>
        <c:ser>
          <c:idx val="1"/>
          <c:order val="1"/>
          <c:tx>
            <c:strRef>
              <c:f>Sheet2!$D$89</c:f>
              <c:strCache>
                <c:ptCount val="1"/>
                <c:pt idx="0">
                  <c:v>% Workforce</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Sheet2!$A$90:$A$95</c:f>
              <c:strCache>
                <c:ptCount val="6"/>
                <c:pt idx="0">
                  <c:v>Heterosexual</c:v>
                </c:pt>
                <c:pt idx="1">
                  <c:v>No information provided</c:v>
                </c:pt>
                <c:pt idx="2">
                  <c:v>Prefer not to say</c:v>
                </c:pt>
                <c:pt idx="3">
                  <c:v>Gay/Lesbian</c:v>
                </c:pt>
                <c:pt idx="4">
                  <c:v>Bisexual</c:v>
                </c:pt>
                <c:pt idx="5">
                  <c:v>Other</c:v>
                </c:pt>
              </c:strCache>
            </c:strRef>
          </c:cat>
          <c:val>
            <c:numRef>
              <c:f>Sheet2!$D$90:$D$95</c:f>
              <c:numCache>
                <c:formatCode>0.0%</c:formatCode>
                <c:ptCount val="6"/>
                <c:pt idx="0">
                  <c:v>0.77300000000000002</c:v>
                </c:pt>
                <c:pt idx="1">
                  <c:v>0.13300000000000001</c:v>
                </c:pt>
                <c:pt idx="2">
                  <c:v>6.3E-2</c:v>
                </c:pt>
                <c:pt idx="3">
                  <c:v>2.1000000000000001E-2</c:v>
                </c:pt>
                <c:pt idx="4">
                  <c:v>7.0000000000000001E-3</c:v>
                </c:pt>
                <c:pt idx="5">
                  <c:v>2E-3</c:v>
                </c:pt>
              </c:numCache>
            </c:numRef>
          </c:val>
          <c:extLst>
            <c:ext xmlns:c16="http://schemas.microsoft.com/office/drawing/2014/chart" uri="{C3380CC4-5D6E-409C-BE32-E72D297353CC}">
              <c16:uniqueId val="{00000001-8A61-4C23-AE6A-42F167EB7044}"/>
            </c:ext>
          </c:extLst>
        </c:ser>
        <c:dLbls>
          <c:showLegendKey val="0"/>
          <c:showVal val="0"/>
          <c:showCatName val="0"/>
          <c:showSerName val="0"/>
          <c:showPercent val="0"/>
          <c:showBubbleSize val="0"/>
        </c:dLbls>
        <c:gapWidth val="219"/>
        <c:overlap val="-27"/>
        <c:axId val="548942416"/>
        <c:axId val="548941104"/>
      </c:barChart>
      <c:catAx>
        <c:axId val="548942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8941104"/>
        <c:crosses val="autoZero"/>
        <c:auto val="1"/>
        <c:lblAlgn val="ctr"/>
        <c:lblOffset val="100"/>
        <c:noMultiLvlLbl val="0"/>
      </c:catAx>
      <c:valAx>
        <c:axId val="54894110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8942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Marital Status as at 31 March Each Year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'Marital Status'!$B$21</c:f>
              <c:strCache>
                <c:ptCount val="1"/>
                <c:pt idx="0">
                  <c:v>2014</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Status'!$B$22:$B$27</c:f>
              <c:numCache>
                <c:formatCode>0.0%</c:formatCode>
                <c:ptCount val="6"/>
                <c:pt idx="0">
                  <c:v>0.26300000000000001</c:v>
                </c:pt>
                <c:pt idx="1">
                  <c:v>0.191</c:v>
                </c:pt>
                <c:pt idx="2">
                  <c:v>2.1000000000000001E-2</c:v>
                </c:pt>
                <c:pt idx="3">
                  <c:v>3.0000000000000001E-3</c:v>
                </c:pt>
                <c:pt idx="4">
                  <c:v>0</c:v>
                </c:pt>
                <c:pt idx="5">
                  <c:v>0.52200000000000002</c:v>
                </c:pt>
              </c:numCache>
            </c:numRef>
          </c:val>
          <c:extLst>
            <c:ext xmlns:c16="http://schemas.microsoft.com/office/drawing/2014/chart" uri="{C3380CC4-5D6E-409C-BE32-E72D297353CC}">
              <c16:uniqueId val="{00000000-B6B7-47E6-961B-8EBF8A13C59A}"/>
            </c:ext>
          </c:extLst>
        </c:ser>
        <c:ser>
          <c:idx val="1"/>
          <c:order val="1"/>
          <c:tx>
            <c:strRef>
              <c:f>'Marital Status'!$C$21</c:f>
              <c:strCache>
                <c:ptCount val="1"/>
                <c:pt idx="0">
                  <c:v>2015</c:v>
                </c:pt>
              </c:strCache>
            </c:strRef>
          </c:tx>
          <c:spPr>
            <a:solidFill>
              <a:schemeClr val="accent2"/>
            </a:solidFill>
            <a:ln>
              <a:noFill/>
            </a:ln>
            <a:effectLst/>
          </c:spPr>
          <c:invertIfNegative val="0"/>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Status'!$C$22:$C$27</c:f>
              <c:numCache>
                <c:formatCode>0.0%</c:formatCode>
                <c:ptCount val="6"/>
                <c:pt idx="0">
                  <c:v>0.26300000000000001</c:v>
                </c:pt>
                <c:pt idx="1">
                  <c:v>0.20300000000000001</c:v>
                </c:pt>
                <c:pt idx="2">
                  <c:v>2.1000000000000001E-2</c:v>
                </c:pt>
                <c:pt idx="3">
                  <c:v>2E-3</c:v>
                </c:pt>
                <c:pt idx="4">
                  <c:v>0</c:v>
                </c:pt>
                <c:pt idx="5">
                  <c:v>0.51100000000000001</c:v>
                </c:pt>
              </c:numCache>
            </c:numRef>
          </c:val>
          <c:extLst>
            <c:ext xmlns:c16="http://schemas.microsoft.com/office/drawing/2014/chart" uri="{C3380CC4-5D6E-409C-BE32-E72D297353CC}">
              <c16:uniqueId val="{00000001-B6B7-47E6-961B-8EBF8A13C59A}"/>
            </c:ext>
          </c:extLst>
        </c:ser>
        <c:ser>
          <c:idx val="2"/>
          <c:order val="2"/>
          <c:tx>
            <c:strRef>
              <c:f>'Marital Status'!$D$21</c:f>
              <c:strCache>
                <c:ptCount val="1"/>
                <c:pt idx="0">
                  <c:v>2016</c:v>
                </c:pt>
              </c:strCache>
            </c:strRef>
          </c:tx>
          <c:spPr>
            <a:solidFill>
              <a:schemeClr val="accent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Status'!$D$22:$D$27</c:f>
              <c:numCache>
                <c:formatCode>0.0%</c:formatCode>
                <c:ptCount val="6"/>
                <c:pt idx="0">
                  <c:v>0.26900000000000002</c:v>
                </c:pt>
                <c:pt idx="1">
                  <c:v>0.20200000000000001</c:v>
                </c:pt>
                <c:pt idx="2">
                  <c:v>1.9E-2</c:v>
                </c:pt>
                <c:pt idx="3">
                  <c:v>2E-3</c:v>
                </c:pt>
                <c:pt idx="4">
                  <c:v>0</c:v>
                </c:pt>
                <c:pt idx="5">
                  <c:v>0.50800000000000001</c:v>
                </c:pt>
              </c:numCache>
            </c:numRef>
          </c:val>
          <c:extLst>
            <c:ext xmlns:c16="http://schemas.microsoft.com/office/drawing/2014/chart" uri="{C3380CC4-5D6E-409C-BE32-E72D297353CC}">
              <c16:uniqueId val="{00000002-B6B7-47E6-961B-8EBF8A13C59A}"/>
            </c:ext>
          </c:extLst>
        </c:ser>
        <c:ser>
          <c:idx val="3"/>
          <c:order val="3"/>
          <c:tx>
            <c:strRef>
              <c:f>'Marital Status'!$E$21</c:f>
              <c:strCache>
                <c:ptCount val="1"/>
                <c:pt idx="0">
                  <c:v>2017</c:v>
                </c:pt>
              </c:strCache>
            </c:strRef>
          </c:tx>
          <c:spPr>
            <a:solidFill>
              <a:schemeClr val="accent4"/>
            </a:solidFill>
            <a:ln>
              <a:noFill/>
            </a:ln>
            <a:effectLst/>
          </c:spPr>
          <c:invertIfNegative val="0"/>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Status'!$E$22:$E$27</c:f>
              <c:numCache>
                <c:formatCode>0.0%</c:formatCode>
                <c:ptCount val="6"/>
                <c:pt idx="0">
                  <c:v>0.26900000000000002</c:v>
                </c:pt>
                <c:pt idx="1">
                  <c:v>0.20100000000000001</c:v>
                </c:pt>
                <c:pt idx="2">
                  <c:v>1.7000000000000001E-2</c:v>
                </c:pt>
                <c:pt idx="3">
                  <c:v>2E-3</c:v>
                </c:pt>
                <c:pt idx="4">
                  <c:v>0</c:v>
                </c:pt>
                <c:pt idx="5">
                  <c:v>0.51100000000000001</c:v>
                </c:pt>
              </c:numCache>
            </c:numRef>
          </c:val>
          <c:extLst>
            <c:ext xmlns:c16="http://schemas.microsoft.com/office/drawing/2014/chart" uri="{C3380CC4-5D6E-409C-BE32-E72D297353CC}">
              <c16:uniqueId val="{00000003-B6B7-47E6-961B-8EBF8A13C59A}"/>
            </c:ext>
          </c:extLst>
        </c:ser>
        <c:ser>
          <c:idx val="4"/>
          <c:order val="4"/>
          <c:tx>
            <c:strRef>
              <c:f>'Marital Status'!$F$21</c:f>
              <c:strCache>
                <c:ptCount val="1"/>
                <c:pt idx="0">
                  <c:v>2018</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Status'!$F$22:$F$27</c:f>
              <c:numCache>
                <c:formatCode>0.0%</c:formatCode>
                <c:ptCount val="6"/>
                <c:pt idx="0">
                  <c:v>0.25800000000000001</c:v>
                </c:pt>
                <c:pt idx="1">
                  <c:v>0.223</c:v>
                </c:pt>
                <c:pt idx="2">
                  <c:v>1.9E-2</c:v>
                </c:pt>
                <c:pt idx="3">
                  <c:v>2E-3</c:v>
                </c:pt>
                <c:pt idx="4">
                  <c:v>1E-3</c:v>
                </c:pt>
                <c:pt idx="5">
                  <c:v>0.49700000000000005</c:v>
                </c:pt>
              </c:numCache>
            </c:numRef>
          </c:val>
          <c:extLst>
            <c:ext xmlns:c16="http://schemas.microsoft.com/office/drawing/2014/chart" uri="{C3380CC4-5D6E-409C-BE32-E72D297353CC}">
              <c16:uniqueId val="{00000004-B6B7-47E6-961B-8EBF8A13C59A}"/>
            </c:ext>
          </c:extLst>
        </c:ser>
        <c:ser>
          <c:idx val="5"/>
          <c:order val="5"/>
          <c:tx>
            <c:strRef>
              <c:f>'Marital Status'!$G$21</c:f>
              <c:strCache>
                <c:ptCount val="1"/>
                <c:pt idx="0">
                  <c:v>2019</c:v>
                </c:pt>
              </c:strCache>
            </c:strRef>
          </c:tx>
          <c:spPr>
            <a:solidFill>
              <a:schemeClr val="accent6"/>
            </a:solidFill>
            <a:ln>
              <a:noFill/>
            </a:ln>
            <a:effectLst/>
          </c:spPr>
          <c:invertIfNegative val="0"/>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Status'!$G$22:$G$27</c:f>
              <c:numCache>
                <c:formatCode>0.0%</c:formatCode>
                <c:ptCount val="6"/>
                <c:pt idx="0">
                  <c:v>0.50700000000000001</c:v>
                </c:pt>
                <c:pt idx="1">
                  <c:v>0.44400000000000001</c:v>
                </c:pt>
                <c:pt idx="2">
                  <c:v>0.04</c:v>
                </c:pt>
                <c:pt idx="3">
                  <c:v>6.0000000000000001E-3</c:v>
                </c:pt>
                <c:pt idx="4">
                  <c:v>3.0000000000000001E-3</c:v>
                </c:pt>
                <c:pt idx="5">
                  <c:v>0</c:v>
                </c:pt>
              </c:numCache>
            </c:numRef>
          </c:val>
          <c:extLst>
            <c:ext xmlns:c16="http://schemas.microsoft.com/office/drawing/2014/chart" uri="{C3380CC4-5D6E-409C-BE32-E72D297353CC}">
              <c16:uniqueId val="{00000005-B6B7-47E6-961B-8EBF8A13C59A}"/>
            </c:ext>
          </c:extLst>
        </c:ser>
        <c:ser>
          <c:idx val="6"/>
          <c:order val="6"/>
          <c:tx>
            <c:strRef>
              <c:f>'Marital Status'!$H$21</c:f>
              <c:strCache>
                <c:ptCount val="1"/>
                <c:pt idx="0">
                  <c:v>2020</c:v>
                </c:pt>
              </c:strCache>
            </c:strRef>
          </c:tx>
          <c:spPr>
            <a:solidFill>
              <a:schemeClr val="accent1">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1">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Status'!$H$22:$H$27</c:f>
              <c:numCache>
                <c:formatCode>0.0%</c:formatCode>
                <c:ptCount val="6"/>
                <c:pt idx="0">
                  <c:v>0.50900000000000001</c:v>
                </c:pt>
                <c:pt idx="1">
                  <c:v>0.441</c:v>
                </c:pt>
                <c:pt idx="2">
                  <c:v>4.1000000000000002E-2</c:v>
                </c:pt>
                <c:pt idx="3">
                  <c:v>6.0000000000000001E-3</c:v>
                </c:pt>
                <c:pt idx="4">
                  <c:v>2E-3</c:v>
                </c:pt>
                <c:pt idx="5">
                  <c:v>0</c:v>
                </c:pt>
              </c:numCache>
            </c:numRef>
          </c:val>
          <c:extLst>
            <c:ext xmlns:c16="http://schemas.microsoft.com/office/drawing/2014/chart" uri="{C3380CC4-5D6E-409C-BE32-E72D297353CC}">
              <c16:uniqueId val="{00000006-B6B7-47E6-961B-8EBF8A13C59A}"/>
            </c:ext>
          </c:extLst>
        </c:ser>
        <c:ser>
          <c:idx val="7"/>
          <c:order val="7"/>
          <c:tx>
            <c:strRef>
              <c:f>'Marital Status'!$I$21</c:f>
              <c:strCache>
                <c:ptCount val="1"/>
                <c:pt idx="0">
                  <c:v>2021</c:v>
                </c:pt>
              </c:strCache>
            </c:strRef>
          </c:tx>
          <c:spPr>
            <a:solidFill>
              <a:schemeClr val="accent2">
                <a:lumMod val="60000"/>
              </a:schemeClr>
            </a:solidFill>
            <a:ln>
              <a:noFill/>
            </a:ln>
            <a:effectLst/>
          </c:spPr>
          <c:invertIfNegative val="0"/>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Status'!$I$22:$I$27</c:f>
              <c:numCache>
                <c:formatCode>0.0%</c:formatCode>
                <c:ptCount val="6"/>
                <c:pt idx="0">
                  <c:v>0.48841698841698844</c:v>
                </c:pt>
                <c:pt idx="1">
                  <c:v>0.46332046332046334</c:v>
                </c:pt>
                <c:pt idx="2">
                  <c:v>3.9575289575289573E-2</c:v>
                </c:pt>
                <c:pt idx="3">
                  <c:v>6.7567567567567571E-3</c:v>
                </c:pt>
                <c:pt idx="4">
                  <c:v>1.9305019305019305E-3</c:v>
                </c:pt>
                <c:pt idx="5">
                  <c:v>0</c:v>
                </c:pt>
              </c:numCache>
            </c:numRef>
          </c:val>
          <c:extLst>
            <c:ext xmlns:c16="http://schemas.microsoft.com/office/drawing/2014/chart" uri="{C3380CC4-5D6E-409C-BE32-E72D297353CC}">
              <c16:uniqueId val="{00000007-B6B7-47E6-961B-8EBF8A13C59A}"/>
            </c:ext>
          </c:extLst>
        </c:ser>
        <c:ser>
          <c:idx val="8"/>
          <c:order val="8"/>
          <c:tx>
            <c:strRef>
              <c:f>'Marital Status'!$J$21</c:f>
              <c:strCache>
                <c:ptCount val="1"/>
                <c:pt idx="0">
                  <c:v>2022</c:v>
                </c:pt>
              </c:strCache>
            </c:strRef>
          </c:tx>
          <c:spPr>
            <a:solidFill>
              <a:schemeClr val="accent3">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chemeClr val="accent3">
                        <a:lumMod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'Marital Status'!$A$22:$A$27</c:f>
              <c:strCache>
                <c:ptCount val="6"/>
                <c:pt idx="0">
                  <c:v>Married</c:v>
                </c:pt>
                <c:pt idx="1">
                  <c:v>Single</c:v>
                </c:pt>
                <c:pt idx="2">
                  <c:v>Divorced</c:v>
                </c:pt>
                <c:pt idx="3">
                  <c:v>Widowed</c:v>
                </c:pt>
                <c:pt idx="4">
                  <c:v>Civil Partnership</c:v>
                </c:pt>
                <c:pt idx="5">
                  <c:v>No Information Provided</c:v>
                </c:pt>
              </c:strCache>
            </c:strRef>
          </c:cat>
          <c:val>
            <c:numRef>
              <c:f>'Marital Status'!$J$22:$J$27</c:f>
              <c:numCache>
                <c:formatCode>0.0%</c:formatCode>
                <c:ptCount val="6"/>
                <c:pt idx="0">
                  <c:v>0.47563261480787256</c:v>
                </c:pt>
                <c:pt idx="1">
                  <c:v>0.47610121836925962</c:v>
                </c:pt>
                <c:pt idx="2">
                  <c:v>4.0299906279287721E-2</c:v>
                </c:pt>
                <c:pt idx="3">
                  <c:v>5.6232427366447986E-3</c:v>
                </c:pt>
                <c:pt idx="4">
                  <c:v>2.3430178069353325E-3</c:v>
                </c:pt>
                <c:pt idx="5">
                  <c:v>0</c:v>
                </c:pt>
              </c:numCache>
            </c:numRef>
          </c:val>
          <c:extLst>
            <c:ext xmlns:c16="http://schemas.microsoft.com/office/drawing/2014/chart" uri="{C3380CC4-5D6E-409C-BE32-E72D297353CC}">
              <c16:uniqueId val="{00000008-B6B7-47E6-961B-8EBF8A13C59A}"/>
            </c:ext>
          </c:extLst>
        </c:ser>
        <c:dLbls>
          <c:showLegendKey val="0"/>
          <c:showVal val="0"/>
          <c:showCatName val="0"/>
          <c:showSerName val="0"/>
          <c:showPercent val="0"/>
          <c:showBubbleSize val="0"/>
        </c:dLbls>
        <c:gapWidth val="219"/>
        <c:overlap val="-27"/>
        <c:axId val="502077752"/>
        <c:axId val="502080376"/>
      </c:barChart>
      <c:catAx>
        <c:axId val="502077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2080376"/>
        <c:crosses val="autoZero"/>
        <c:auto val="1"/>
        <c:lblAlgn val="ctr"/>
        <c:lblOffset val="100"/>
        <c:noMultiLvlLbl val="0"/>
      </c:catAx>
      <c:valAx>
        <c:axId val="50208037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2077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Reasons for Leaving</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'Reasons for leaving'!$C$35</c:f>
              <c:strCache>
                <c:ptCount val="1"/>
                <c:pt idx="0">
                  <c:v>Percentage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'Reasons for leaving'!$A$36:$A$42</c:f>
              <c:strCache>
                <c:ptCount val="7"/>
                <c:pt idx="0">
                  <c:v>New Employment with NHS Scotland</c:v>
                </c:pt>
                <c:pt idx="1">
                  <c:v>Vol. Resignation - Other</c:v>
                </c:pt>
                <c:pt idx="2">
                  <c:v>Other</c:v>
                </c:pt>
                <c:pt idx="3">
                  <c:v>Retirement - Age</c:v>
                </c:pt>
                <c:pt idx="4">
                  <c:v>End of FTC</c:v>
                </c:pt>
                <c:pt idx="5">
                  <c:v>Ill Health</c:v>
                </c:pt>
                <c:pt idx="6">
                  <c:v>Other Reasons</c:v>
                </c:pt>
              </c:strCache>
            </c:strRef>
          </c:cat>
          <c:val>
            <c:numRef>
              <c:f>'Reasons for leaving'!$C$36:$C$42</c:f>
              <c:numCache>
                <c:formatCode>0.0%</c:formatCode>
                <c:ptCount val="7"/>
                <c:pt idx="0">
                  <c:v>0.3359073359073359</c:v>
                </c:pt>
                <c:pt idx="1">
                  <c:v>0.28957528957528955</c:v>
                </c:pt>
                <c:pt idx="2">
                  <c:v>0.14671814671814673</c:v>
                </c:pt>
                <c:pt idx="3">
                  <c:v>0.10810810810810811</c:v>
                </c:pt>
                <c:pt idx="4">
                  <c:v>6.9498069498069498E-2</c:v>
                </c:pt>
                <c:pt idx="5">
                  <c:v>1.9305019305019305E-2</c:v>
                </c:pt>
                <c:pt idx="6">
                  <c:v>3.0888030888030889E-2</c:v>
                </c:pt>
              </c:numCache>
            </c:numRef>
          </c:val>
          <c:extLst>
            <c:ext xmlns:c16="http://schemas.microsoft.com/office/drawing/2014/chart" uri="{C3380CC4-5D6E-409C-BE32-E72D297353CC}">
              <c16:uniqueId val="{00000000-853C-4EA3-843A-6A8DA1098D43}"/>
            </c:ext>
          </c:extLst>
        </c:ser>
        <c:dLbls>
          <c:showLegendKey val="0"/>
          <c:showVal val="0"/>
          <c:showCatName val="0"/>
          <c:showSerName val="0"/>
          <c:showPercent val="0"/>
          <c:showBubbleSize val="0"/>
        </c:dLbls>
        <c:gapWidth val="219"/>
        <c:overlap val="-27"/>
        <c:axId val="634317824"/>
        <c:axId val="634315528"/>
      </c:barChart>
      <c:catAx>
        <c:axId val="634317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4315528"/>
        <c:crosses val="autoZero"/>
        <c:auto val="1"/>
        <c:lblAlgn val="ctr"/>
        <c:lblOffset val="100"/>
        <c:noMultiLvlLbl val="0"/>
      </c:catAx>
      <c:valAx>
        <c:axId val="63431552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4317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Starters by Directorate (Headcount)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Analysis!$B$1</c:f>
              <c:strCache>
                <c:ptCount val="1"/>
                <c:pt idx="0">
                  <c:v>Headcount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Analysis!$A$2:$A$5</c:f>
              <c:strCache>
                <c:ptCount val="4"/>
                <c:pt idx="0">
                  <c:v>Corporate</c:v>
                </c:pt>
                <c:pt idx="1">
                  <c:v>Golden Jubilee Conference Hotel</c:v>
                </c:pt>
                <c:pt idx="2">
                  <c:v>Heart Lung and Diagnostics Services</c:v>
                </c:pt>
                <c:pt idx="3">
                  <c:v>National Elective Services</c:v>
                </c:pt>
              </c:strCache>
            </c:strRef>
          </c:cat>
          <c:val>
            <c:numRef>
              <c:f>Analysis!$B$2:$B$5</c:f>
              <c:numCache>
                <c:formatCode>General</c:formatCode>
                <c:ptCount val="4"/>
                <c:pt idx="0">
                  <c:v>89</c:v>
                </c:pt>
                <c:pt idx="1">
                  <c:v>16</c:v>
                </c:pt>
                <c:pt idx="2">
                  <c:v>76</c:v>
                </c:pt>
                <c:pt idx="3">
                  <c:v>124</c:v>
                </c:pt>
              </c:numCache>
            </c:numRef>
          </c:val>
          <c:extLst>
            <c:ext xmlns:c16="http://schemas.microsoft.com/office/drawing/2014/chart" uri="{C3380CC4-5D6E-409C-BE32-E72D297353CC}">
              <c16:uniqueId val="{00000000-C71F-419F-8870-E1BAED59B517}"/>
            </c:ext>
          </c:extLst>
        </c:ser>
        <c:dLbls>
          <c:showLegendKey val="0"/>
          <c:showVal val="0"/>
          <c:showCatName val="0"/>
          <c:showSerName val="0"/>
          <c:showPercent val="0"/>
          <c:showBubbleSize val="0"/>
        </c:dLbls>
        <c:gapWidth val="219"/>
        <c:overlap val="-27"/>
        <c:axId val="675570912"/>
        <c:axId val="675572552"/>
      </c:barChart>
      <c:catAx>
        <c:axId val="675570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75572552"/>
        <c:crosses val="autoZero"/>
        <c:auto val="1"/>
        <c:lblAlgn val="ctr"/>
        <c:lblOffset val="100"/>
        <c:noMultiLvlLbl val="0"/>
      </c:catAx>
      <c:valAx>
        <c:axId val="6755725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755709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Starters by Job Family (Headcount)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Sheet1!$B$15</c:f>
              <c:strCache>
                <c:ptCount val="1"/>
                <c:pt idx="0">
                  <c:v>Headcount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Sheet1!$A$16:$A$24</c:f>
              <c:strCache>
                <c:ptCount val="9"/>
                <c:pt idx="0">
                  <c:v>Adminstrative
Services</c:v>
                </c:pt>
                <c:pt idx="1">
                  <c:v>Allied Health
Professions</c:v>
                </c:pt>
                <c:pt idx="2">
                  <c:v>Healthcare
Sciences</c:v>
                </c:pt>
                <c:pt idx="3">
                  <c:v>Medical and
Dental</c:v>
                </c:pt>
                <c:pt idx="4">
                  <c:v>Medical
Support</c:v>
                </c:pt>
                <c:pt idx="5">
                  <c:v>Nursing and
Midwifery</c:v>
                </c:pt>
                <c:pt idx="6">
                  <c:v>Other Therapeutic</c:v>
                </c:pt>
                <c:pt idx="7">
                  <c:v>Personal and
Social Care</c:v>
                </c:pt>
                <c:pt idx="8">
                  <c:v>Support
Services</c:v>
                </c:pt>
              </c:strCache>
            </c:strRef>
          </c:cat>
          <c:val>
            <c:numRef>
              <c:f>Sheet1!$B$16:$B$24</c:f>
              <c:numCache>
                <c:formatCode>General</c:formatCode>
                <c:ptCount val="9"/>
                <c:pt idx="0">
                  <c:v>69</c:v>
                </c:pt>
                <c:pt idx="1">
                  <c:v>15</c:v>
                </c:pt>
                <c:pt idx="2">
                  <c:v>19</c:v>
                </c:pt>
                <c:pt idx="3">
                  <c:v>34</c:v>
                </c:pt>
                <c:pt idx="4">
                  <c:v>9</c:v>
                </c:pt>
                <c:pt idx="5">
                  <c:v>109</c:v>
                </c:pt>
                <c:pt idx="6">
                  <c:v>14</c:v>
                </c:pt>
                <c:pt idx="7">
                  <c:v>2</c:v>
                </c:pt>
                <c:pt idx="8">
                  <c:v>34</c:v>
                </c:pt>
              </c:numCache>
            </c:numRef>
          </c:val>
          <c:extLst>
            <c:ext xmlns:c16="http://schemas.microsoft.com/office/drawing/2014/chart" uri="{C3380CC4-5D6E-409C-BE32-E72D297353CC}">
              <c16:uniqueId val="{00000000-B4B1-4D52-BA3A-35188129ED9F}"/>
            </c:ext>
          </c:extLst>
        </c:ser>
        <c:dLbls>
          <c:showLegendKey val="0"/>
          <c:showVal val="0"/>
          <c:showCatName val="0"/>
          <c:showSerName val="0"/>
          <c:showPercent val="0"/>
          <c:showBubbleSize val="0"/>
        </c:dLbls>
        <c:gapWidth val="219"/>
        <c:overlap val="-27"/>
        <c:axId val="523749152"/>
        <c:axId val="523755056"/>
      </c:barChart>
      <c:catAx>
        <c:axId val="523749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3755056"/>
        <c:crosses val="autoZero"/>
        <c:auto val="1"/>
        <c:lblAlgn val="ctr"/>
        <c:lblOffset val="100"/>
        <c:noMultiLvlLbl val="0"/>
      </c:catAx>
      <c:valAx>
        <c:axId val="52375505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37491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b="0">
                <a:solidFill>
                  <a:sysClr val="windowText" lastClr="000000"/>
                </a:solidFill>
              </a:rPr>
              <a:t>Sickness Absence Percentage</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Sheet1!$A$6</c:f>
              <c:strCache>
                <c:ptCount val="1"/>
                <c:pt idx="0">
                  <c:v>Sickness Absence</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trendline>
            <c:name>Trend</c:name>
            <c:spPr>
              <a:ln w="19050" cap="rnd">
                <a:solidFill>
                  <a:schemeClr val="accent1"/>
                </a:solidFill>
                <a:prstDash val="sysDot"/>
              </a:ln>
              <a:effectLst/>
            </c:spPr>
            <c:trendlineType val="linear"/>
            <c:dispRSqr val="0"/>
            <c:dispEq val="0"/>
          </c:trendline>
          <c:cat>
            <c:numRef>
              <c:f>Sheet1!$B$1:$M$1</c:f>
              <c:numCache>
                <c:formatCode>mmm\-yy</c:formatCode>
                <c:ptCount val="12"/>
                <c:pt idx="0">
                  <c:v>44287</c:v>
                </c:pt>
                <c:pt idx="1">
                  <c:v>44317</c:v>
                </c:pt>
                <c:pt idx="2">
                  <c:v>44348</c:v>
                </c:pt>
                <c:pt idx="3">
                  <c:v>44378</c:v>
                </c:pt>
                <c:pt idx="4">
                  <c:v>44409</c:v>
                </c:pt>
                <c:pt idx="5">
                  <c:v>44440</c:v>
                </c:pt>
                <c:pt idx="6">
                  <c:v>44470</c:v>
                </c:pt>
                <c:pt idx="7">
                  <c:v>44501</c:v>
                </c:pt>
                <c:pt idx="8">
                  <c:v>44531</c:v>
                </c:pt>
                <c:pt idx="9">
                  <c:v>44562</c:v>
                </c:pt>
                <c:pt idx="10">
                  <c:v>44593</c:v>
                </c:pt>
                <c:pt idx="11">
                  <c:v>44621</c:v>
                </c:pt>
              </c:numCache>
            </c:numRef>
          </c:cat>
          <c:val>
            <c:numRef>
              <c:f>Sheet1!$B$6:$M$6</c:f>
              <c:numCache>
                <c:formatCode>0.0%</c:formatCode>
                <c:ptCount val="12"/>
                <c:pt idx="0">
                  <c:v>4.9000000000000002E-2</c:v>
                </c:pt>
                <c:pt idx="1">
                  <c:v>4.8000000000000001E-2</c:v>
                </c:pt>
                <c:pt idx="2">
                  <c:v>0.05</c:v>
                </c:pt>
                <c:pt idx="3">
                  <c:v>5.5E-2</c:v>
                </c:pt>
                <c:pt idx="4">
                  <c:v>6.4000000000000001E-2</c:v>
                </c:pt>
                <c:pt idx="5">
                  <c:v>6.9000000000000006E-2</c:v>
                </c:pt>
                <c:pt idx="6">
                  <c:v>6.9000000000000006E-2</c:v>
                </c:pt>
                <c:pt idx="7">
                  <c:v>7.0999999999999994E-2</c:v>
                </c:pt>
                <c:pt idx="8">
                  <c:v>7.0999999999999994E-2</c:v>
                </c:pt>
                <c:pt idx="9">
                  <c:v>5.8999999999999997E-2</c:v>
                </c:pt>
                <c:pt idx="10">
                  <c:v>0.06</c:v>
                </c:pt>
                <c:pt idx="11">
                  <c:v>6.0199999999999997E-2</c:v>
                </c:pt>
              </c:numCache>
            </c:numRef>
          </c:val>
          <c:extLst>
            <c:ext xmlns:c16="http://schemas.microsoft.com/office/drawing/2014/chart" uri="{C3380CC4-5D6E-409C-BE32-E72D297353CC}">
              <c16:uniqueId val="{00000000-3653-40C6-A920-B539CE795D8C}"/>
            </c:ext>
          </c:extLst>
        </c:ser>
        <c:ser>
          <c:idx val="1"/>
          <c:order val="1"/>
          <c:tx>
            <c:strRef>
              <c:f>Sheet1!$A$7</c:f>
              <c:strCache>
                <c:ptCount val="1"/>
                <c:pt idx="0">
                  <c:v>National Target (4.0%)</c:v>
                </c:pt>
              </c:strCache>
            </c:strRef>
          </c:tx>
          <c:spPr>
            <a:solidFill>
              <a:schemeClr val="accent2"/>
            </a:solidFill>
            <a:ln>
              <a:noFill/>
            </a:ln>
            <a:effectLst/>
          </c:spPr>
          <c:invertIfNegative val="0"/>
          <c:cat>
            <c:numRef>
              <c:f>Sheet1!$B$1:$M$1</c:f>
              <c:numCache>
                <c:formatCode>mmm\-yy</c:formatCode>
                <c:ptCount val="12"/>
                <c:pt idx="0">
                  <c:v>44287</c:v>
                </c:pt>
                <c:pt idx="1">
                  <c:v>44317</c:v>
                </c:pt>
                <c:pt idx="2">
                  <c:v>44348</c:v>
                </c:pt>
                <c:pt idx="3">
                  <c:v>44378</c:v>
                </c:pt>
                <c:pt idx="4">
                  <c:v>44409</c:v>
                </c:pt>
                <c:pt idx="5">
                  <c:v>44440</c:v>
                </c:pt>
                <c:pt idx="6">
                  <c:v>44470</c:v>
                </c:pt>
                <c:pt idx="7">
                  <c:v>44501</c:v>
                </c:pt>
                <c:pt idx="8">
                  <c:v>44531</c:v>
                </c:pt>
                <c:pt idx="9">
                  <c:v>44562</c:v>
                </c:pt>
                <c:pt idx="10">
                  <c:v>44593</c:v>
                </c:pt>
                <c:pt idx="11">
                  <c:v>44621</c:v>
                </c:pt>
              </c:numCache>
            </c:numRef>
          </c:cat>
          <c:val>
            <c:numRef>
              <c:f>Sheet1!$B$7:$M$7</c:f>
              <c:numCache>
                <c:formatCode>0.0%</c:formatCode>
                <c:ptCount val="12"/>
                <c:pt idx="0">
                  <c:v>0.04</c:v>
                </c:pt>
                <c:pt idx="1">
                  <c:v>0.04</c:v>
                </c:pt>
                <c:pt idx="2">
                  <c:v>0.04</c:v>
                </c:pt>
                <c:pt idx="3">
                  <c:v>0.04</c:v>
                </c:pt>
                <c:pt idx="4">
                  <c:v>0.04</c:v>
                </c:pt>
                <c:pt idx="5">
                  <c:v>0.04</c:v>
                </c:pt>
                <c:pt idx="6">
                  <c:v>0.04</c:v>
                </c:pt>
                <c:pt idx="7">
                  <c:v>0.04</c:v>
                </c:pt>
                <c:pt idx="8">
                  <c:v>0.04</c:v>
                </c:pt>
                <c:pt idx="9">
                  <c:v>0.04</c:v>
                </c:pt>
                <c:pt idx="10">
                  <c:v>0.04</c:v>
                </c:pt>
                <c:pt idx="11">
                  <c:v>0.04</c:v>
                </c:pt>
              </c:numCache>
            </c:numRef>
          </c:val>
          <c:extLst>
            <c:ext xmlns:c16="http://schemas.microsoft.com/office/drawing/2014/chart" uri="{C3380CC4-5D6E-409C-BE32-E72D297353CC}">
              <c16:uniqueId val="{00000001-3653-40C6-A920-B539CE795D8C}"/>
            </c:ext>
          </c:extLst>
        </c:ser>
        <c:dLbls>
          <c:showLegendKey val="0"/>
          <c:showVal val="0"/>
          <c:showCatName val="0"/>
          <c:showSerName val="0"/>
          <c:showPercent val="0"/>
          <c:showBubbleSize val="0"/>
        </c:dLbls>
        <c:gapWidth val="219"/>
        <c:overlap val="-27"/>
        <c:axId val="502741648"/>
        <c:axId val="502740664"/>
      </c:barChart>
      <c:dateAx>
        <c:axId val="502741648"/>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accent1"/>
                </a:solidFill>
                <a:latin typeface="+mn-lt"/>
                <a:ea typeface="+mn-ea"/>
                <a:cs typeface="+mn-cs"/>
              </a:defRPr>
            </a:pPr>
            <a:endParaRPr lang="en-US"/>
          </a:p>
        </c:txPr>
        <c:crossAx val="502740664"/>
        <c:crosses val="autoZero"/>
        <c:auto val="1"/>
        <c:lblOffset val="100"/>
        <c:baseTimeUnit val="months"/>
      </c:dateAx>
      <c:valAx>
        <c:axId val="50274066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5027416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accent1"/>
      </a:solidFill>
      <a:round/>
    </a:ln>
    <a:effectLst/>
  </c:spPr>
  <c:txPr>
    <a:bodyPr/>
    <a:lstStyle/>
    <a:p>
      <a:pPr>
        <a:defRPr b="1">
          <a:solidFill>
            <a:schemeClr val="accent1"/>
          </a:solidFill>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Annual Sickness Absence Rates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Sheet1!$B$22</c:f>
              <c:strCache>
                <c:ptCount val="1"/>
                <c:pt idx="0">
                  <c:v>Rate</c:v>
                </c:pt>
              </c:strCache>
            </c:strRef>
          </c:tx>
          <c:spPr>
            <a:solidFill>
              <a:schemeClr val="accent1"/>
            </a:solidFill>
            <a:ln>
              <a:noFill/>
            </a:ln>
            <a:effectLst/>
          </c:spPr>
          <c:invertIfNegative val="0"/>
          <c:dLbls>
            <c:dLbl>
              <c:idx val="5"/>
              <c:layout>
                <c:manualLayout>
                  <c:x val="-1.8567251461988304E-3"/>
                  <c:y val="-6.467592592592592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3CD-4AA4-8AD9-A0CC76413516}"/>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38100" cap="rnd" cmpd="sng">
                <a:solidFill>
                  <a:schemeClr val="accent2"/>
                </a:solidFill>
                <a:prstDash val="solid"/>
              </a:ln>
              <a:effectLst/>
            </c:spPr>
            <c:trendlineType val="linear"/>
            <c:dispRSqr val="0"/>
            <c:dispEq val="0"/>
          </c:trendline>
          <c:cat>
            <c:strRef>
              <c:f>Sheet1!$A$23:$A$29</c:f>
              <c:strCache>
                <c:ptCount val="7"/>
                <c:pt idx="0">
                  <c:v>2015/2016</c:v>
                </c:pt>
                <c:pt idx="1">
                  <c:v>2016/2017</c:v>
                </c:pt>
                <c:pt idx="2">
                  <c:v>2017/2018</c:v>
                </c:pt>
                <c:pt idx="3">
                  <c:v>2018/2019</c:v>
                </c:pt>
                <c:pt idx="4">
                  <c:v>2019/2020</c:v>
                </c:pt>
                <c:pt idx="5">
                  <c:v>2020/2021</c:v>
                </c:pt>
                <c:pt idx="6">
                  <c:v>2021/2022</c:v>
                </c:pt>
              </c:strCache>
            </c:strRef>
          </c:cat>
          <c:val>
            <c:numRef>
              <c:f>Sheet1!$B$23:$B$29</c:f>
              <c:numCache>
                <c:formatCode>0.0%</c:formatCode>
                <c:ptCount val="7"/>
                <c:pt idx="0">
                  <c:v>5.1999999999999998E-2</c:v>
                </c:pt>
                <c:pt idx="1">
                  <c:v>4.7E-2</c:v>
                </c:pt>
                <c:pt idx="2">
                  <c:v>5.0999999999999997E-2</c:v>
                </c:pt>
                <c:pt idx="3">
                  <c:v>4.8000000000000001E-2</c:v>
                </c:pt>
                <c:pt idx="4">
                  <c:v>4.9000000000000002E-2</c:v>
                </c:pt>
                <c:pt idx="5">
                  <c:v>4.3999999999999997E-2</c:v>
                </c:pt>
                <c:pt idx="6">
                  <c:v>5.7000000000000002E-2</c:v>
                </c:pt>
              </c:numCache>
            </c:numRef>
          </c:val>
          <c:extLst>
            <c:ext xmlns:c16="http://schemas.microsoft.com/office/drawing/2014/chart" uri="{C3380CC4-5D6E-409C-BE32-E72D297353CC}">
              <c16:uniqueId val="{00000001-43CD-4AA4-8AD9-A0CC76413516}"/>
            </c:ext>
          </c:extLst>
        </c:ser>
        <c:dLbls>
          <c:showLegendKey val="0"/>
          <c:showVal val="0"/>
          <c:showCatName val="0"/>
          <c:showSerName val="0"/>
          <c:showPercent val="0"/>
          <c:showBubbleSize val="0"/>
        </c:dLbls>
        <c:gapWidth val="219"/>
        <c:overlap val="-27"/>
        <c:axId val="524628992"/>
        <c:axId val="524632272"/>
      </c:barChart>
      <c:catAx>
        <c:axId val="524628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632272"/>
        <c:crosses val="autoZero"/>
        <c:auto val="1"/>
        <c:lblAlgn val="ctr"/>
        <c:lblOffset val="100"/>
        <c:noMultiLvlLbl val="0"/>
      </c:catAx>
      <c:valAx>
        <c:axId val="52463227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6289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9B1BFB23692C47A83027141CF841B2" ma:contentTypeVersion="4" ma:contentTypeDescription="Create a new document." ma:contentTypeScope="" ma:versionID="0fc80d0d8b8977a6f345b2889aadf387">
  <xsd:schema xmlns:xsd="http://www.w3.org/2001/XMLSchema" xmlns:xs="http://www.w3.org/2001/XMLSchema" xmlns:p="http://schemas.microsoft.com/office/2006/metadata/properties" xmlns:ns2="95e14ed3-2614-4a08-95a9-b61d2b048575" targetNamespace="http://schemas.microsoft.com/office/2006/metadata/properties" ma:root="true" ma:fieldsID="f22845aa025489fcb2b412c71dcf3fcc" ns2:_="">
    <xsd:import namespace="95e14ed3-2614-4a08-95a9-b61d2b04857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14ed3-2614-4a08-95a9-b61d2b0485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8A6C99-F075-4011-AD06-22690037D1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FBC1C8-93FC-4815-8B43-B17A52CD7B96}">
  <ds:schemaRefs>
    <ds:schemaRef ds:uri="http://schemas.microsoft.com/sharepoint/v3/contenttype/forms"/>
  </ds:schemaRefs>
</ds:datastoreItem>
</file>

<file path=customXml/itemProps3.xml><?xml version="1.0" encoding="utf-8"?>
<ds:datastoreItem xmlns:ds="http://schemas.openxmlformats.org/officeDocument/2006/customXml" ds:itemID="{1F640283-63F6-4747-9182-485258B23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14ed3-2614-4a08-95a9-b61d2b0485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0AAE8E-51B3-4A81-A8E6-32CED80E9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11188</Words>
  <Characters>63772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wilsond2</dc:creator>
  <cp:keywords/>
  <dc:description/>
  <cp:lastModifiedBy>Alison Mackay</cp:lastModifiedBy>
  <cp:revision>6</cp:revision>
  <cp:lastPrinted>2020-10-26T15:50:00Z</cp:lastPrinted>
  <dcterms:created xsi:type="dcterms:W3CDTF">2022-07-07T08:00:00Z</dcterms:created>
  <dcterms:modified xsi:type="dcterms:W3CDTF">2022-07-21T08:22:00Z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0x010100019B1BFB23692C47A83027141CF841B2</vt:lpwstr>
  </property>
</Properties>
</file>