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Pr="007D2A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  <w:color w:val="FF0000"/>
        </w:rPr>
      </w:pPr>
      <w:r w:rsidRPr="007D2AE5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45C4C56D" wp14:editId="28D6C9F4">
            <wp:simplePos x="0" y="0"/>
            <wp:positionH relativeFrom="margin">
              <wp:posOffset>4880610</wp:posOffset>
            </wp:positionH>
            <wp:positionV relativeFrom="margin">
              <wp:posOffset>-213995</wp:posOffset>
            </wp:positionV>
            <wp:extent cx="1114425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F2">
        <w:rPr>
          <w:rFonts w:ascii="Arial" w:hAnsi="Arial" w:cs="Arial"/>
          <w:b/>
          <w:bCs/>
          <w:color w:val="FF0000"/>
        </w:rPr>
        <w:t xml:space="preserve">     </w:t>
      </w:r>
      <w:r w:rsidR="004D3F4A">
        <w:rPr>
          <w:rFonts w:ascii="Arial" w:hAnsi="Arial" w:cs="Arial"/>
          <w:b/>
          <w:bCs/>
          <w:color w:val="FF0000"/>
        </w:rPr>
        <w:t xml:space="preserve">                              </w:t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5666"/>
        <w:gridCol w:w="1133"/>
      </w:tblGrid>
      <w:tr w:rsidR="0040506A" w:rsidRPr="0040506A" w:rsidTr="008B3CF3">
        <w:trPr>
          <w:trHeight w:val="557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5666" w:type="dxa"/>
          </w:tcPr>
          <w:p w:rsidR="00C373CC" w:rsidRPr="0040506A" w:rsidRDefault="002E1AAE" w:rsidP="00C20968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 May</w:t>
            </w:r>
            <w:r w:rsidR="00C20968">
              <w:rPr>
                <w:rFonts w:ascii="Arial" w:hAnsi="Arial" w:cs="Arial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1133" w:type="dxa"/>
            <w:vMerge w:val="restart"/>
          </w:tcPr>
          <w:p w:rsidR="00C373CC" w:rsidRPr="0040506A" w:rsidRDefault="00C373CC" w:rsidP="00E95F55">
            <w:pPr>
              <w:pStyle w:val="Heading1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6A" w:rsidRPr="0040506A" w:rsidTr="008B3CF3">
        <w:trPr>
          <w:trHeight w:val="598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5666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 xml:space="preserve">Clinical Governance Committee </w:t>
            </w:r>
            <w:r w:rsidR="008B3CF3">
              <w:rPr>
                <w:rFonts w:ascii="Arial" w:hAnsi="Arial" w:cs="Arial"/>
                <w:bCs w:val="0"/>
                <w:sz w:val="24"/>
                <w:szCs w:val="24"/>
              </w:rPr>
              <w:t xml:space="preserve">(CGC) 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Update</w:t>
            </w:r>
          </w:p>
        </w:tc>
        <w:tc>
          <w:tcPr>
            <w:tcW w:w="1133" w:type="dxa"/>
            <w:vMerge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0506A" w:rsidRPr="0040506A" w:rsidTr="00303DE8">
        <w:trPr>
          <w:trHeight w:val="1413"/>
        </w:trPr>
        <w:tc>
          <w:tcPr>
            <w:tcW w:w="2557" w:type="dxa"/>
          </w:tcPr>
          <w:p w:rsidR="00C373CC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  <w:p w:rsidR="00303DE8" w:rsidRDefault="00303DE8" w:rsidP="00303DE8"/>
          <w:p w:rsidR="00303DE8" w:rsidRDefault="00303DE8" w:rsidP="00303DE8"/>
          <w:p w:rsidR="00303DE8" w:rsidRDefault="00303DE8" w:rsidP="00303DE8"/>
          <w:p w:rsidR="00303DE8" w:rsidRPr="00303DE8" w:rsidRDefault="00303DE8" w:rsidP="00303DE8"/>
        </w:tc>
        <w:tc>
          <w:tcPr>
            <w:tcW w:w="6799" w:type="dxa"/>
            <w:gridSpan w:val="2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6"/>
              <w:gridCol w:w="857"/>
            </w:tblGrid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7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303DE8">
              <w:trPr>
                <w:trHeight w:val="243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>ee (CGC) was held on</w:t>
      </w:r>
      <w:r w:rsidR="0096173D">
        <w:rPr>
          <w:rFonts w:ascii="Arial" w:hAnsi="Arial" w:cs="Arial"/>
          <w:bCs/>
        </w:rPr>
        <w:t xml:space="preserve"> </w:t>
      </w:r>
      <w:r w:rsidR="002E1AAE">
        <w:rPr>
          <w:rFonts w:ascii="Arial" w:hAnsi="Arial" w:cs="Arial"/>
          <w:bCs/>
        </w:rPr>
        <w:t xml:space="preserve">12 May </w:t>
      </w:r>
      <w:r w:rsidR="00425938">
        <w:rPr>
          <w:rFonts w:ascii="Arial" w:hAnsi="Arial" w:cs="Arial"/>
          <w:bCs/>
        </w:rPr>
        <w:t>2022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E95F55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p w:rsidR="000578D3" w:rsidRPr="00CB044C" w:rsidRDefault="000578D3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D43C22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D43C22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D43C22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D60E05" w:rsidRPr="00D43C22" w:rsidRDefault="00D60E05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  <w:b/>
              </w:rPr>
              <w:t>Covid Sit Rep</w:t>
            </w:r>
            <w:r w:rsidRPr="00D43C22">
              <w:rPr>
                <w:rFonts w:ascii="Arial" w:hAnsi="Arial" w:cs="Arial"/>
                <w:b/>
              </w:rPr>
              <w:br/>
            </w:r>
          </w:p>
          <w:p w:rsidR="00D0375B" w:rsidRPr="00D43C22" w:rsidRDefault="00D0375B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with an update on the Covid</w:t>
            </w:r>
            <w:r w:rsidR="004B6ECD" w:rsidRPr="00D43C22">
              <w:rPr>
                <w:rFonts w:ascii="Arial" w:hAnsi="Arial" w:cs="Arial"/>
              </w:rPr>
              <w:t>-19</w:t>
            </w:r>
            <w:r w:rsidRPr="00D43C22">
              <w:rPr>
                <w:rFonts w:ascii="Arial" w:hAnsi="Arial" w:cs="Arial"/>
              </w:rPr>
              <w:t xml:space="preserve"> inpatient status.    </w:t>
            </w:r>
          </w:p>
          <w:p w:rsidR="00563BC4" w:rsidRPr="00D43C22" w:rsidRDefault="00563BC4" w:rsidP="00745D88">
            <w:pPr>
              <w:contextualSpacing/>
              <w:rPr>
                <w:rFonts w:ascii="Arial" w:hAnsi="Arial" w:cs="Arial"/>
              </w:rPr>
            </w:pPr>
          </w:p>
          <w:p w:rsidR="00106D35" w:rsidRDefault="00F14332" w:rsidP="00EE5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noted n</w:t>
            </w:r>
            <w:r w:rsidR="00EE55A6" w:rsidRPr="00EE55A6">
              <w:rPr>
                <w:rFonts w:ascii="Arial" w:hAnsi="Arial" w:cs="Arial"/>
              </w:rPr>
              <w:t>o cause</w:t>
            </w:r>
            <w:r>
              <w:rPr>
                <w:rFonts w:ascii="Arial" w:hAnsi="Arial" w:cs="Arial"/>
              </w:rPr>
              <w:t>s</w:t>
            </w:r>
            <w:r w:rsidR="00EE55A6" w:rsidRPr="00EE55A6">
              <w:rPr>
                <w:rFonts w:ascii="Arial" w:hAnsi="Arial" w:cs="Arial"/>
              </w:rPr>
              <w:t xml:space="preserve"> for concern, </w:t>
            </w:r>
            <w:r>
              <w:rPr>
                <w:rFonts w:ascii="Arial" w:hAnsi="Arial" w:cs="Arial"/>
              </w:rPr>
              <w:t xml:space="preserve">with </w:t>
            </w:r>
            <w:r w:rsidR="00EE55A6" w:rsidRPr="00EE55A6">
              <w:rPr>
                <w:rFonts w:ascii="Arial" w:hAnsi="Arial" w:cs="Arial"/>
              </w:rPr>
              <w:t xml:space="preserve">numbers </w:t>
            </w:r>
            <w:r>
              <w:rPr>
                <w:rFonts w:ascii="Arial" w:hAnsi="Arial" w:cs="Arial"/>
              </w:rPr>
              <w:t xml:space="preserve">appearing to </w:t>
            </w:r>
            <w:r w:rsidR="00EE55A6" w:rsidRPr="00EE55A6">
              <w:rPr>
                <w:rFonts w:ascii="Arial" w:hAnsi="Arial" w:cs="Arial"/>
              </w:rPr>
              <w:t xml:space="preserve">have settled.  </w:t>
            </w:r>
            <w:r>
              <w:rPr>
                <w:rFonts w:ascii="Arial" w:hAnsi="Arial" w:cs="Arial"/>
              </w:rPr>
              <w:t>Committee was assured that s</w:t>
            </w:r>
            <w:r w:rsidR="00EE55A6" w:rsidRPr="00EE55A6">
              <w:rPr>
                <w:rFonts w:ascii="Arial" w:hAnsi="Arial" w:cs="Arial"/>
              </w:rPr>
              <w:t xml:space="preserve">taff are familiar with the </w:t>
            </w:r>
            <w:r w:rsidR="00780279">
              <w:rPr>
                <w:rFonts w:ascii="Arial" w:hAnsi="Arial" w:cs="Arial"/>
              </w:rPr>
              <w:t>patient</w:t>
            </w:r>
            <w:r w:rsidR="00EE55A6" w:rsidRPr="00EE55A6">
              <w:rPr>
                <w:rFonts w:ascii="Arial" w:hAnsi="Arial" w:cs="Arial"/>
              </w:rPr>
              <w:t xml:space="preserve"> pathway</w:t>
            </w:r>
            <w:r w:rsidR="00780279">
              <w:rPr>
                <w:rFonts w:ascii="Arial" w:hAnsi="Arial" w:cs="Arial"/>
              </w:rPr>
              <w:t>s</w:t>
            </w:r>
            <w:r w:rsidR="00EE55A6" w:rsidRPr="00EE55A6">
              <w:rPr>
                <w:rFonts w:ascii="Arial" w:hAnsi="Arial" w:cs="Arial"/>
              </w:rPr>
              <w:t xml:space="preserve">.   </w:t>
            </w:r>
          </w:p>
          <w:p w:rsidR="00106D35" w:rsidRDefault="00106D35" w:rsidP="00EE55A6">
            <w:pPr>
              <w:rPr>
                <w:rFonts w:ascii="Arial" w:hAnsi="Arial" w:cs="Arial"/>
              </w:rPr>
            </w:pPr>
          </w:p>
          <w:p w:rsidR="00EE55A6" w:rsidRPr="00D43C22" w:rsidRDefault="00966153" w:rsidP="00425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noted d</w:t>
            </w:r>
            <w:r w:rsidR="00EE55A6" w:rsidRPr="00EE55A6">
              <w:rPr>
                <w:rFonts w:ascii="Arial" w:hAnsi="Arial" w:cs="Arial"/>
              </w:rPr>
              <w:t>e-escalation of Covid restrictions.</w:t>
            </w:r>
            <w:r w:rsidR="00106D35">
              <w:rPr>
                <w:rFonts w:ascii="Arial" w:hAnsi="Arial" w:cs="Arial"/>
              </w:rPr>
              <w:t xml:space="preserve">  However, </w:t>
            </w:r>
            <w:r w:rsidR="00F14332">
              <w:rPr>
                <w:rFonts w:ascii="Arial" w:hAnsi="Arial" w:cs="Arial"/>
              </w:rPr>
              <w:t xml:space="preserve">Committee noted that the approach </w:t>
            </w:r>
            <w:r w:rsidR="00106D35">
              <w:rPr>
                <w:rFonts w:ascii="Arial" w:hAnsi="Arial" w:cs="Arial"/>
              </w:rPr>
              <w:t xml:space="preserve">will remain cautious in Healthcare settings.  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425938" w:rsidRPr="00D43C22" w:rsidRDefault="00D60E05" w:rsidP="00745D88">
            <w:pPr>
              <w:contextualSpacing/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Significant Adverse Events (SAEs)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8C5B64" w:rsidRDefault="00563BC4" w:rsidP="00121846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</w:t>
            </w:r>
            <w:r w:rsidR="00C20965" w:rsidRPr="00D43C22">
              <w:rPr>
                <w:rFonts w:ascii="Arial" w:hAnsi="Arial" w:cs="Arial"/>
              </w:rPr>
              <w:t xml:space="preserve">th a Significant Adverse Event </w:t>
            </w:r>
            <w:r w:rsidRPr="00D43C22">
              <w:rPr>
                <w:rFonts w:ascii="Arial" w:hAnsi="Arial" w:cs="Arial"/>
              </w:rPr>
              <w:t xml:space="preserve">(SAEs) overview report.  </w:t>
            </w:r>
          </w:p>
          <w:p w:rsidR="00B15FBD" w:rsidRDefault="00B15FBD" w:rsidP="00121846">
            <w:pPr>
              <w:contextualSpacing/>
              <w:rPr>
                <w:rFonts w:ascii="Arial" w:hAnsi="Arial" w:cs="Arial"/>
              </w:rPr>
            </w:pPr>
          </w:p>
          <w:p w:rsidR="00106D35" w:rsidRPr="00106D35" w:rsidRDefault="00B15FBD" w:rsidP="00106D35">
            <w:pPr>
              <w:rPr>
                <w:rFonts w:ascii="Arial" w:hAnsi="Arial" w:cs="Arial"/>
              </w:rPr>
            </w:pPr>
            <w:r w:rsidRPr="00106D35">
              <w:rPr>
                <w:rFonts w:ascii="Arial" w:hAnsi="Arial" w:cs="Arial"/>
              </w:rPr>
              <w:t xml:space="preserve">Two </w:t>
            </w:r>
            <w:r w:rsidR="00106D35" w:rsidRPr="00106D35">
              <w:rPr>
                <w:rFonts w:ascii="Arial" w:hAnsi="Arial" w:cs="Arial"/>
              </w:rPr>
              <w:t xml:space="preserve">SAER </w:t>
            </w:r>
            <w:r w:rsidR="00F14332">
              <w:rPr>
                <w:rFonts w:ascii="Arial" w:hAnsi="Arial" w:cs="Arial"/>
              </w:rPr>
              <w:t>had been</w:t>
            </w:r>
            <w:r w:rsidR="00106D35" w:rsidRPr="00106D35">
              <w:rPr>
                <w:rFonts w:ascii="Arial" w:hAnsi="Arial" w:cs="Arial"/>
              </w:rPr>
              <w:t xml:space="preserve"> </w:t>
            </w:r>
            <w:r w:rsidRPr="00106D35">
              <w:rPr>
                <w:rFonts w:ascii="Arial" w:hAnsi="Arial" w:cs="Arial"/>
              </w:rPr>
              <w:t>commissioned</w:t>
            </w:r>
            <w:r w:rsidR="00F14332">
              <w:rPr>
                <w:rFonts w:ascii="Arial" w:hAnsi="Arial" w:cs="Arial"/>
              </w:rPr>
              <w:t xml:space="preserve"> in the period under report</w:t>
            </w:r>
            <w:r w:rsidR="00106D35" w:rsidRPr="00106D35">
              <w:rPr>
                <w:rFonts w:ascii="Arial" w:hAnsi="Arial" w:cs="Arial"/>
              </w:rPr>
              <w:t>.</w:t>
            </w:r>
          </w:p>
          <w:p w:rsidR="00106D35" w:rsidRDefault="00106D35" w:rsidP="00B15FBD">
            <w:pPr>
              <w:pStyle w:val="ListParagraph"/>
            </w:pPr>
          </w:p>
          <w:p w:rsidR="00B15FBD" w:rsidRPr="00106D35" w:rsidRDefault="00106D35" w:rsidP="00106D35">
            <w:pPr>
              <w:rPr>
                <w:rFonts w:ascii="Arial" w:hAnsi="Arial" w:cs="Arial"/>
              </w:rPr>
            </w:pPr>
            <w:r w:rsidRPr="00106D35">
              <w:rPr>
                <w:rFonts w:ascii="Arial" w:hAnsi="Arial" w:cs="Arial"/>
              </w:rPr>
              <w:t xml:space="preserve">The Committee </w:t>
            </w:r>
            <w:r w:rsidR="00F14332">
              <w:rPr>
                <w:rFonts w:ascii="Arial" w:hAnsi="Arial" w:cs="Arial"/>
              </w:rPr>
              <w:t xml:space="preserve">noted that an </w:t>
            </w:r>
            <w:r w:rsidRPr="00106D35">
              <w:rPr>
                <w:rFonts w:ascii="Arial" w:hAnsi="Arial" w:cs="Arial"/>
              </w:rPr>
              <w:t xml:space="preserve">SAER Deep Dive </w:t>
            </w:r>
            <w:r w:rsidR="00F14332">
              <w:rPr>
                <w:rFonts w:ascii="Arial" w:hAnsi="Arial" w:cs="Arial"/>
              </w:rPr>
              <w:t xml:space="preserve">would be provided </w:t>
            </w:r>
            <w:r w:rsidRPr="00106D35">
              <w:rPr>
                <w:rFonts w:ascii="Arial" w:hAnsi="Arial" w:cs="Arial"/>
              </w:rPr>
              <w:t>at the meeting</w:t>
            </w:r>
            <w:r w:rsidR="00F14332">
              <w:rPr>
                <w:rFonts w:ascii="Arial" w:hAnsi="Arial" w:cs="Arial"/>
              </w:rPr>
              <w:t xml:space="preserve"> of the Committee</w:t>
            </w:r>
            <w:r w:rsidRPr="00106D35">
              <w:rPr>
                <w:rFonts w:ascii="Arial" w:hAnsi="Arial" w:cs="Arial"/>
              </w:rPr>
              <w:t xml:space="preserve"> in June </w:t>
            </w:r>
            <w:r w:rsidR="008717BF">
              <w:rPr>
                <w:rFonts w:ascii="Arial" w:hAnsi="Arial" w:cs="Arial"/>
              </w:rPr>
              <w:t>2022</w:t>
            </w:r>
            <w:r w:rsidR="00F14332">
              <w:rPr>
                <w:rFonts w:ascii="Arial" w:hAnsi="Arial" w:cs="Arial"/>
              </w:rPr>
              <w:t>, with this deep-dive providing the opportunity to identify progress and opportunities for</w:t>
            </w:r>
            <w:r>
              <w:rPr>
                <w:rFonts w:ascii="Arial" w:hAnsi="Arial" w:cs="Arial"/>
              </w:rPr>
              <w:t xml:space="preserve"> further improvements.</w:t>
            </w:r>
          </w:p>
          <w:p w:rsidR="00B15FBD" w:rsidRDefault="00B15FBD" w:rsidP="00B15FBD">
            <w:pPr>
              <w:pStyle w:val="ListParagraph"/>
            </w:pPr>
          </w:p>
          <w:p w:rsidR="00D678AA" w:rsidRPr="00D43C22" w:rsidRDefault="00D678AA" w:rsidP="00121846">
            <w:pPr>
              <w:contextualSpacing/>
              <w:rPr>
                <w:rFonts w:ascii="Arial" w:hAnsi="Arial" w:cs="Arial"/>
              </w:rPr>
            </w:pPr>
          </w:p>
          <w:p w:rsidR="00B15FBD" w:rsidRPr="007B6139" w:rsidRDefault="00B15FBD" w:rsidP="00B15FBD">
            <w:pPr>
              <w:ind w:left="720" w:hanging="720"/>
              <w:rPr>
                <w:rFonts w:ascii="Arial" w:hAnsi="Arial" w:cs="Arial"/>
                <w:b/>
              </w:rPr>
            </w:pPr>
            <w:r w:rsidRPr="007B6139">
              <w:rPr>
                <w:rFonts w:ascii="Arial" w:hAnsi="Arial" w:cs="Arial"/>
                <w:b/>
              </w:rPr>
              <w:t xml:space="preserve">Expansion Programme Update </w:t>
            </w:r>
          </w:p>
          <w:p w:rsidR="00B15FBD" w:rsidRPr="007B6139" w:rsidRDefault="00B15FBD" w:rsidP="00B15FBD">
            <w:pPr>
              <w:rPr>
                <w:rFonts w:ascii="Arial" w:hAnsi="Arial" w:cs="Arial"/>
                <w:color w:val="00B0F0"/>
              </w:rPr>
            </w:pPr>
          </w:p>
          <w:p w:rsidR="00B15FBD" w:rsidRDefault="00106D35" w:rsidP="00106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</w:t>
            </w:r>
            <w:r w:rsidR="00B15FBD" w:rsidRPr="007B6139">
              <w:rPr>
                <w:rFonts w:ascii="Arial" w:hAnsi="Arial" w:cs="Arial"/>
              </w:rPr>
              <w:t xml:space="preserve">here were no </w:t>
            </w:r>
            <w:r w:rsidR="00B15FBD">
              <w:rPr>
                <w:rFonts w:ascii="Arial" w:hAnsi="Arial" w:cs="Arial"/>
              </w:rPr>
              <w:t>Clinical G</w:t>
            </w:r>
            <w:r w:rsidR="00B15FBD" w:rsidRPr="007B6139">
              <w:rPr>
                <w:rFonts w:ascii="Arial" w:hAnsi="Arial" w:cs="Arial"/>
              </w:rPr>
              <w:t>overnance issues for escalation.</w:t>
            </w:r>
            <w:r>
              <w:rPr>
                <w:rFonts w:ascii="Arial" w:hAnsi="Arial" w:cs="Arial"/>
              </w:rPr>
              <w:t xml:space="preserve"> </w:t>
            </w:r>
            <w:r w:rsidR="00F14332">
              <w:rPr>
                <w:rFonts w:ascii="Arial" w:hAnsi="Arial" w:cs="Arial"/>
              </w:rPr>
              <w:t xml:space="preserve">Committee noted the planning and preparation that is on-going to ensure that clinical issues are properly addressed in the </w:t>
            </w:r>
            <w:r w:rsidR="008E0CA9">
              <w:rPr>
                <w:rFonts w:ascii="Arial" w:hAnsi="Arial" w:cs="Arial"/>
              </w:rPr>
              <w:t>b</w:t>
            </w:r>
            <w:r w:rsidR="00B15FBD">
              <w:rPr>
                <w:rFonts w:ascii="Arial" w:hAnsi="Arial" w:cs="Arial"/>
              </w:rPr>
              <w:t>reakthrough process.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</w:rPr>
            </w:pPr>
          </w:p>
          <w:p w:rsidR="00D678AA" w:rsidRPr="00D678AA" w:rsidRDefault="00D678AA" w:rsidP="00121846">
            <w:pPr>
              <w:contextualSpacing/>
              <w:rPr>
                <w:rFonts w:ascii="Arial" w:hAnsi="Arial" w:cs="Arial"/>
                <w:b/>
              </w:rPr>
            </w:pPr>
            <w:r w:rsidRPr="00D678AA">
              <w:rPr>
                <w:rFonts w:ascii="Arial" w:hAnsi="Arial" w:cs="Arial"/>
                <w:b/>
              </w:rPr>
              <w:t xml:space="preserve">Board Risk Register 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  <w:b/>
                <w:color w:val="FF0000"/>
              </w:rPr>
            </w:pPr>
          </w:p>
          <w:p w:rsidR="008717BF" w:rsidRDefault="008717BF" w:rsidP="008717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changes were noted to th</w:t>
            </w:r>
            <w:r w:rsidR="00F14332">
              <w:rPr>
                <w:rFonts w:ascii="Arial" w:hAnsi="Arial" w:cs="Arial"/>
              </w:rPr>
              <w:t xml:space="preserve">ose risks under the purview of the </w:t>
            </w:r>
            <w:r>
              <w:rPr>
                <w:rFonts w:ascii="Arial" w:hAnsi="Arial" w:cs="Arial"/>
              </w:rPr>
              <w:t xml:space="preserve">Clinical Governance </w:t>
            </w:r>
            <w:r w:rsidR="00F14332">
              <w:rPr>
                <w:rFonts w:ascii="Arial" w:hAnsi="Arial" w:cs="Arial"/>
              </w:rPr>
              <w:t>Committee</w:t>
            </w:r>
            <w:r>
              <w:rPr>
                <w:rFonts w:ascii="Arial" w:hAnsi="Arial" w:cs="Arial"/>
              </w:rPr>
              <w:t xml:space="preserve">.  </w:t>
            </w:r>
          </w:p>
          <w:p w:rsidR="00DE6C77" w:rsidRDefault="00DE6C77" w:rsidP="00B15FBD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FF3233" w:rsidRDefault="00FF3233" w:rsidP="00FF323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Deep Dives</w:t>
            </w:r>
          </w:p>
          <w:p w:rsidR="00FF3233" w:rsidRDefault="00FF3233" w:rsidP="00FF3233">
            <w:pPr>
              <w:contextualSpacing/>
              <w:rPr>
                <w:rFonts w:ascii="Arial" w:hAnsi="Arial" w:cs="Arial"/>
                <w:b/>
              </w:rPr>
            </w:pPr>
          </w:p>
          <w:p w:rsidR="00FF3233" w:rsidRDefault="00FF3233" w:rsidP="00FF323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5.5a Risk Register</w:t>
            </w:r>
          </w:p>
          <w:p w:rsidR="00FF3233" w:rsidRDefault="00FF3233" w:rsidP="00FF3233">
            <w:pPr>
              <w:contextualSpacing/>
              <w:rPr>
                <w:rFonts w:ascii="Arial" w:hAnsi="Arial" w:cs="Arial"/>
              </w:rPr>
            </w:pPr>
          </w:p>
          <w:p w:rsidR="008717BF" w:rsidRDefault="008717BF" w:rsidP="008717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received </w:t>
            </w:r>
            <w:r w:rsidR="00F14332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Deep Dive on the Risk Register.  </w:t>
            </w:r>
          </w:p>
          <w:p w:rsidR="008717BF" w:rsidRDefault="008717BF" w:rsidP="008717BF">
            <w:pPr>
              <w:contextualSpacing/>
              <w:rPr>
                <w:rFonts w:ascii="Arial" w:hAnsi="Arial" w:cs="Arial"/>
              </w:rPr>
            </w:pPr>
          </w:p>
          <w:p w:rsidR="00FF3233" w:rsidRPr="005830A5" w:rsidRDefault="008717BF" w:rsidP="008717B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noted variances across services</w:t>
            </w:r>
            <w:r w:rsidR="00F14332">
              <w:rPr>
                <w:rFonts w:ascii="Arial" w:hAnsi="Arial" w:cs="Arial"/>
              </w:rPr>
              <w:t xml:space="preserve"> in relation to the number of risks reported, and the frequency of updates regarding those risks</w:t>
            </w:r>
            <w:r>
              <w:rPr>
                <w:rFonts w:ascii="Arial" w:hAnsi="Arial" w:cs="Arial"/>
              </w:rPr>
              <w:t xml:space="preserve">.  Assurances were made this is being investigated with ongoing discussions taking place with the Deputy Head of Clinical Governance and the </w:t>
            </w:r>
            <w:r w:rsidR="00F14332">
              <w:rPr>
                <w:rFonts w:ascii="Arial" w:hAnsi="Arial" w:cs="Arial"/>
              </w:rPr>
              <w:t xml:space="preserve">relevant </w:t>
            </w:r>
            <w:r>
              <w:rPr>
                <w:rFonts w:ascii="Arial" w:hAnsi="Arial" w:cs="Arial"/>
              </w:rPr>
              <w:t>service</w:t>
            </w:r>
            <w:r w:rsidR="00F1433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.  </w:t>
            </w:r>
          </w:p>
          <w:p w:rsidR="00FF3233" w:rsidRDefault="00FF3233" w:rsidP="00FF3233">
            <w:pPr>
              <w:ind w:left="720"/>
              <w:rPr>
                <w:rFonts w:ascii="Arial" w:hAnsi="Arial" w:cs="Arial"/>
                <w:b/>
                <w:color w:val="00B0F0"/>
              </w:rPr>
            </w:pPr>
          </w:p>
          <w:p w:rsidR="00FF3233" w:rsidRPr="005F1C71" w:rsidRDefault="00FF3233" w:rsidP="00FF3233">
            <w:pPr>
              <w:ind w:left="720"/>
              <w:rPr>
                <w:rFonts w:ascii="Arial" w:hAnsi="Arial" w:cs="Arial"/>
                <w:b/>
              </w:rPr>
            </w:pPr>
            <w:r w:rsidRPr="005F1C71">
              <w:rPr>
                <w:rFonts w:ascii="Arial" w:hAnsi="Arial" w:cs="Arial"/>
                <w:b/>
              </w:rPr>
              <w:t>5.5b</w:t>
            </w:r>
            <w:r>
              <w:rPr>
                <w:rFonts w:ascii="Arial" w:hAnsi="Arial" w:cs="Arial"/>
                <w:b/>
              </w:rPr>
              <w:t xml:space="preserve"> SLWG on Radiology Process</w:t>
            </w:r>
          </w:p>
          <w:p w:rsidR="00FF3233" w:rsidRDefault="00FF3233" w:rsidP="00FF3233">
            <w:pPr>
              <w:ind w:left="720"/>
              <w:rPr>
                <w:rFonts w:ascii="Arial" w:hAnsi="Arial" w:cs="Arial"/>
                <w:b/>
                <w:color w:val="00B0F0"/>
              </w:rPr>
            </w:pPr>
          </w:p>
          <w:p w:rsidR="005937C1" w:rsidRDefault="00F14332" w:rsidP="00593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noted that a f</w:t>
            </w:r>
            <w:r w:rsidR="005937C1">
              <w:rPr>
                <w:rFonts w:ascii="Arial" w:hAnsi="Arial" w:cs="Arial"/>
              </w:rPr>
              <w:t>ull discussion will take place at the Committee meeting in June 2022.</w:t>
            </w:r>
          </w:p>
          <w:p w:rsidR="00FF3233" w:rsidRPr="00FF3233" w:rsidRDefault="00FF3233" w:rsidP="005937C1">
            <w:pPr>
              <w:rPr>
                <w:rFonts w:ascii="Arial" w:hAnsi="Arial" w:cs="Arial"/>
              </w:rPr>
            </w:pPr>
            <w:r w:rsidRPr="005830A5">
              <w:rPr>
                <w:rFonts w:ascii="Arial" w:hAnsi="Arial" w:cs="Arial"/>
              </w:rPr>
              <w:t xml:space="preserve"> </w:t>
            </w: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>Effective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2F17AD" w:rsidRPr="00D43C22" w:rsidRDefault="002F17AD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Integrated Performance Report </w:t>
            </w:r>
            <w:r w:rsidR="00F34906" w:rsidRPr="00D43C22">
              <w:rPr>
                <w:b/>
              </w:rPr>
              <w:t xml:space="preserve">(IPR) </w:t>
            </w:r>
            <w:r w:rsidR="005937C1">
              <w:rPr>
                <w:b/>
              </w:rPr>
              <w:t>March</w:t>
            </w:r>
            <w:r w:rsidR="002F1169">
              <w:rPr>
                <w:b/>
              </w:rPr>
              <w:t xml:space="preserve"> 2022</w:t>
            </w:r>
          </w:p>
          <w:p w:rsidR="00994526" w:rsidRPr="00D43C22" w:rsidRDefault="00994526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>HAIRT Report</w:t>
            </w:r>
          </w:p>
          <w:p w:rsidR="00F34906" w:rsidRPr="00D43C22" w:rsidRDefault="00F34906" w:rsidP="00745D88">
            <w:pPr>
              <w:pStyle w:val="ListParagraph"/>
              <w:ind w:left="0"/>
              <w:contextualSpacing/>
              <w:rPr>
                <w:b/>
                <w:color w:val="FF0000"/>
              </w:rPr>
            </w:pPr>
          </w:p>
          <w:p w:rsidR="00F34906" w:rsidRPr="00D43C22" w:rsidRDefault="00F34906" w:rsidP="00745D88">
            <w:pPr>
              <w:pStyle w:val="ListParagraph"/>
              <w:ind w:left="0"/>
              <w:contextualSpacing/>
            </w:pPr>
            <w:r w:rsidRPr="00D43C22">
              <w:t xml:space="preserve">The Committee received and noted the IPR for </w:t>
            </w:r>
            <w:r w:rsidR="005937C1">
              <w:t xml:space="preserve">March </w:t>
            </w:r>
            <w:r w:rsidR="00D678AA">
              <w:t>2022</w:t>
            </w:r>
            <w:r w:rsidR="00994526" w:rsidRPr="00D43C22">
              <w:t xml:space="preserve">, including the HAIRT </w:t>
            </w:r>
            <w:r w:rsidR="001806EA">
              <w:t>February 2022</w:t>
            </w:r>
            <w:r w:rsidR="002F1169">
              <w:t xml:space="preserve"> </w:t>
            </w:r>
            <w:r w:rsidR="00F01600" w:rsidRPr="00D43C22">
              <w:t xml:space="preserve">data </w:t>
            </w:r>
            <w:r w:rsidR="00994526" w:rsidRPr="00D43C22">
              <w:t>Report.</w:t>
            </w: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  <w:color w:val="FF0000"/>
              </w:rPr>
            </w:pP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</w:rPr>
            </w:pPr>
            <w:r w:rsidRPr="00D43C22">
              <w:rPr>
                <w:b/>
              </w:rPr>
              <w:t xml:space="preserve">HAIRT </w:t>
            </w:r>
          </w:p>
          <w:p w:rsidR="00F01600" w:rsidRPr="00D43C22" w:rsidRDefault="00F01600" w:rsidP="00425938">
            <w:pPr>
              <w:pStyle w:val="ListParagraph"/>
              <w:ind w:left="0"/>
              <w:rPr>
                <w:b/>
              </w:rPr>
            </w:pPr>
          </w:p>
          <w:p w:rsidR="00FF3233" w:rsidRDefault="00FF3233" w:rsidP="00FF3233">
            <w:pPr>
              <w:contextualSpacing/>
              <w:rPr>
                <w:rFonts w:ascii="Arial" w:hAnsi="Arial" w:cs="Arial"/>
              </w:rPr>
            </w:pPr>
            <w:r w:rsidRPr="00FF3233">
              <w:rPr>
                <w:rFonts w:ascii="Arial" w:hAnsi="Arial" w:cs="Arial"/>
                <w:i/>
              </w:rPr>
              <w:t>Staphylococcus aureus</w:t>
            </w:r>
            <w:r w:rsidRPr="00FF3233">
              <w:rPr>
                <w:rFonts w:ascii="Arial" w:hAnsi="Arial" w:cs="Arial"/>
              </w:rPr>
              <w:t xml:space="preserve"> bacteraemia – 0 cases to report.  Zero cases reported since November 2021. </w:t>
            </w:r>
          </w:p>
          <w:p w:rsidR="00FF3233" w:rsidRDefault="00FF3233" w:rsidP="00FF3233">
            <w:pPr>
              <w:contextualSpacing/>
              <w:rPr>
                <w:rFonts w:ascii="Arial" w:hAnsi="Arial" w:cs="Arial"/>
              </w:rPr>
            </w:pPr>
            <w:r w:rsidRPr="00FF3233">
              <w:rPr>
                <w:rFonts w:ascii="Arial" w:hAnsi="Arial" w:cs="Arial"/>
              </w:rPr>
              <w:br/>
            </w:r>
            <w:r w:rsidRPr="00FF3233">
              <w:rPr>
                <w:rFonts w:ascii="Arial" w:hAnsi="Arial" w:cs="Arial"/>
                <w:i/>
              </w:rPr>
              <w:t>Clostridioides difficile</w:t>
            </w:r>
            <w:r w:rsidRPr="00FF3233">
              <w:rPr>
                <w:rFonts w:ascii="Arial" w:hAnsi="Arial" w:cs="Arial"/>
              </w:rPr>
              <w:t xml:space="preserve"> infection – 0 cases to report.  Zero cases reported since March 2021.</w:t>
            </w:r>
            <w:r w:rsidRPr="00FF3233">
              <w:rPr>
                <w:rFonts w:ascii="Arial" w:hAnsi="Arial" w:cs="Arial"/>
              </w:rPr>
              <w:br/>
            </w:r>
          </w:p>
          <w:p w:rsidR="00FF3233" w:rsidRDefault="00FF3233" w:rsidP="00FF3233">
            <w:pPr>
              <w:contextualSpacing/>
              <w:rPr>
                <w:rFonts w:ascii="Arial" w:hAnsi="Arial" w:cs="Arial"/>
              </w:rPr>
            </w:pPr>
            <w:r w:rsidRPr="00FF3233">
              <w:rPr>
                <w:rFonts w:ascii="Arial" w:hAnsi="Arial" w:cs="Arial"/>
              </w:rPr>
              <w:t>Gram negative/E. coli bacteraemia (ECB) – No cases to report since September 2021.</w:t>
            </w:r>
            <w:r w:rsidRPr="00FF3233">
              <w:rPr>
                <w:rFonts w:ascii="Arial" w:hAnsi="Arial" w:cs="Arial"/>
              </w:rPr>
              <w:br/>
            </w:r>
          </w:p>
          <w:p w:rsidR="00FF3233" w:rsidRPr="00FF3233" w:rsidRDefault="00FF3233" w:rsidP="00FF3233">
            <w:pPr>
              <w:contextualSpacing/>
              <w:rPr>
                <w:rFonts w:ascii="Arial" w:hAnsi="Arial" w:cs="Arial"/>
              </w:rPr>
            </w:pPr>
            <w:r w:rsidRPr="00FF3233">
              <w:rPr>
                <w:rFonts w:ascii="Arial" w:hAnsi="Arial" w:cs="Arial"/>
              </w:rPr>
              <w:t xml:space="preserve">Hand Hygiene – overall compliance of 99%.  </w:t>
            </w:r>
          </w:p>
          <w:p w:rsidR="00036FD8" w:rsidRPr="00FF3233" w:rsidRDefault="00036FD8" w:rsidP="00745D88">
            <w:pPr>
              <w:pStyle w:val="ListParagraph"/>
              <w:ind w:left="0"/>
              <w:contextualSpacing/>
            </w:pPr>
          </w:p>
          <w:p w:rsidR="00FF3233" w:rsidRPr="00FF3233" w:rsidRDefault="00F14332" w:rsidP="00FF3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noted that r</w:t>
            </w:r>
            <w:r w:rsidR="005937C1">
              <w:rPr>
                <w:rFonts w:ascii="Arial" w:hAnsi="Arial" w:cs="Arial"/>
              </w:rPr>
              <w:t xml:space="preserve">evised patient </w:t>
            </w:r>
            <w:r w:rsidR="00FF3233" w:rsidRPr="00FF3233">
              <w:rPr>
                <w:rFonts w:ascii="Arial" w:hAnsi="Arial" w:cs="Arial"/>
              </w:rPr>
              <w:t xml:space="preserve">pathways </w:t>
            </w:r>
            <w:r w:rsidR="005937C1">
              <w:rPr>
                <w:rFonts w:ascii="Arial" w:hAnsi="Arial" w:cs="Arial"/>
              </w:rPr>
              <w:t xml:space="preserve">were implemented in February 2022.  The hospital is taking a cautious approach as it enters the de-escalation phase with Physical Distancing and mask wearing still </w:t>
            </w:r>
            <w:r w:rsidR="008717BF">
              <w:rPr>
                <w:rFonts w:ascii="Arial" w:hAnsi="Arial" w:cs="Arial"/>
              </w:rPr>
              <w:t>adhered to</w:t>
            </w:r>
            <w:r w:rsidR="005937C1">
              <w:rPr>
                <w:rFonts w:ascii="Arial" w:hAnsi="Arial" w:cs="Arial"/>
              </w:rPr>
              <w:t xml:space="preserve">.  </w:t>
            </w:r>
            <w:r w:rsidR="00FF3233" w:rsidRPr="00FF3233">
              <w:rPr>
                <w:rFonts w:ascii="Arial" w:hAnsi="Arial" w:cs="Arial"/>
              </w:rPr>
              <w:t xml:space="preserve"> </w:t>
            </w:r>
          </w:p>
          <w:p w:rsidR="00FF3233" w:rsidRPr="00FF3233" w:rsidRDefault="00FF3233" w:rsidP="00FF3233">
            <w:pPr>
              <w:rPr>
                <w:rFonts w:ascii="Arial" w:hAnsi="Arial" w:cs="Arial"/>
              </w:rPr>
            </w:pPr>
            <w:r w:rsidRPr="00FF3233">
              <w:rPr>
                <w:rFonts w:ascii="Arial" w:hAnsi="Arial" w:cs="Arial"/>
              </w:rPr>
              <w:lastRenderedPageBreak/>
              <w:t>C</w:t>
            </w:r>
            <w:r w:rsidR="00F14332">
              <w:rPr>
                <w:rFonts w:ascii="Arial" w:hAnsi="Arial" w:cs="Arial"/>
              </w:rPr>
              <w:t>ommittee noted that c</w:t>
            </w:r>
            <w:r w:rsidRPr="00FF3233">
              <w:rPr>
                <w:rFonts w:ascii="Arial" w:hAnsi="Arial" w:cs="Arial"/>
              </w:rPr>
              <w:t xml:space="preserve">hanges </w:t>
            </w:r>
            <w:r w:rsidR="005937C1">
              <w:rPr>
                <w:rFonts w:ascii="Arial" w:hAnsi="Arial" w:cs="Arial"/>
              </w:rPr>
              <w:t xml:space="preserve">with staff isolation and </w:t>
            </w:r>
            <w:r w:rsidRPr="00FF3233">
              <w:rPr>
                <w:rFonts w:ascii="Arial" w:hAnsi="Arial" w:cs="Arial"/>
              </w:rPr>
              <w:t xml:space="preserve">testing </w:t>
            </w:r>
            <w:r w:rsidR="005937C1">
              <w:rPr>
                <w:rFonts w:ascii="Arial" w:hAnsi="Arial" w:cs="Arial"/>
              </w:rPr>
              <w:t xml:space="preserve">are </w:t>
            </w:r>
            <w:r w:rsidRPr="00FF3233">
              <w:rPr>
                <w:rFonts w:ascii="Arial" w:hAnsi="Arial" w:cs="Arial"/>
              </w:rPr>
              <w:t xml:space="preserve">filtering </w:t>
            </w:r>
            <w:r w:rsidR="005937C1">
              <w:rPr>
                <w:rFonts w:ascii="Arial" w:hAnsi="Arial" w:cs="Arial"/>
              </w:rPr>
              <w:t xml:space="preserve">to affect </w:t>
            </w:r>
            <w:r w:rsidRPr="00FF3233">
              <w:rPr>
                <w:rFonts w:ascii="Arial" w:hAnsi="Arial" w:cs="Arial"/>
              </w:rPr>
              <w:t>healthcare staff</w:t>
            </w:r>
            <w:r w:rsidR="005937C1">
              <w:rPr>
                <w:rFonts w:ascii="Arial" w:hAnsi="Arial" w:cs="Arial"/>
              </w:rPr>
              <w:t>.</w:t>
            </w:r>
            <w:r w:rsidRPr="00FF3233">
              <w:rPr>
                <w:rFonts w:ascii="Arial" w:hAnsi="Arial" w:cs="Arial"/>
              </w:rPr>
              <w:t xml:space="preserve"> </w:t>
            </w:r>
          </w:p>
          <w:p w:rsidR="00FF3233" w:rsidRPr="00FF3233" w:rsidRDefault="00FF3233" w:rsidP="00FF3233">
            <w:pPr>
              <w:pStyle w:val="ListParagraph"/>
              <w:ind w:left="709"/>
            </w:pPr>
          </w:p>
          <w:p w:rsidR="00FF3233" w:rsidRPr="00FF3233" w:rsidRDefault="005937C1" w:rsidP="00FF32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FF3233" w:rsidRPr="00FF3233">
              <w:rPr>
                <w:rFonts w:ascii="Arial" w:hAnsi="Arial" w:cs="Arial"/>
              </w:rPr>
              <w:t>PCI prog</w:t>
            </w:r>
            <w:r>
              <w:rPr>
                <w:rFonts w:ascii="Arial" w:hAnsi="Arial" w:cs="Arial"/>
              </w:rPr>
              <w:t>ramme for</w:t>
            </w:r>
            <w:r w:rsidR="00FF3233" w:rsidRPr="00FF32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="00FF3233" w:rsidRPr="00FF3233">
              <w:rPr>
                <w:rFonts w:ascii="Arial" w:hAnsi="Arial" w:cs="Arial"/>
              </w:rPr>
              <w:t xml:space="preserve">22/2023 </w:t>
            </w:r>
            <w:r>
              <w:rPr>
                <w:rFonts w:ascii="Arial" w:hAnsi="Arial" w:cs="Arial"/>
              </w:rPr>
              <w:t xml:space="preserve">is </w:t>
            </w:r>
            <w:r w:rsidR="00FF3233" w:rsidRPr="00FF3233">
              <w:rPr>
                <w:rFonts w:ascii="Arial" w:hAnsi="Arial" w:cs="Arial"/>
              </w:rPr>
              <w:t xml:space="preserve">developed </w:t>
            </w:r>
            <w:r w:rsidR="00780279">
              <w:rPr>
                <w:rFonts w:ascii="Arial" w:hAnsi="Arial" w:cs="Arial"/>
              </w:rPr>
              <w:t xml:space="preserve">and is now </w:t>
            </w:r>
            <w:r w:rsidR="00FF3233" w:rsidRPr="00FF3233">
              <w:rPr>
                <w:rFonts w:ascii="Arial" w:hAnsi="Arial" w:cs="Arial"/>
              </w:rPr>
              <w:t xml:space="preserve">going through approval process </w:t>
            </w:r>
            <w:r w:rsidR="00780279">
              <w:rPr>
                <w:rFonts w:ascii="Arial" w:hAnsi="Arial" w:cs="Arial"/>
              </w:rPr>
              <w:t xml:space="preserve">and will be brought </w:t>
            </w:r>
            <w:r w:rsidR="00FF3233" w:rsidRPr="00FF3233">
              <w:rPr>
                <w:rFonts w:ascii="Arial" w:hAnsi="Arial" w:cs="Arial"/>
              </w:rPr>
              <w:t xml:space="preserve">back </w:t>
            </w:r>
            <w:r w:rsidR="00780279">
              <w:rPr>
                <w:rFonts w:ascii="Arial" w:hAnsi="Arial" w:cs="Arial"/>
              </w:rPr>
              <w:t>to a future C</w:t>
            </w:r>
            <w:r w:rsidR="00FF3233" w:rsidRPr="00FF3233">
              <w:rPr>
                <w:rFonts w:ascii="Arial" w:hAnsi="Arial" w:cs="Arial"/>
              </w:rPr>
              <w:t xml:space="preserve">ommittee </w:t>
            </w:r>
            <w:r w:rsidR="00780279">
              <w:rPr>
                <w:rFonts w:ascii="Arial" w:hAnsi="Arial" w:cs="Arial"/>
              </w:rPr>
              <w:t>meeting.</w:t>
            </w:r>
          </w:p>
          <w:p w:rsidR="00D349E8" w:rsidRDefault="00D349E8" w:rsidP="00FF3233">
            <w:pPr>
              <w:rPr>
                <w:rFonts w:ascii="Arial" w:hAnsi="Arial" w:cs="Arial"/>
              </w:rPr>
            </w:pPr>
          </w:p>
          <w:p w:rsidR="00D349E8" w:rsidRPr="00D349E8" w:rsidRDefault="00D349E8" w:rsidP="00FF3233">
            <w:pPr>
              <w:rPr>
                <w:rFonts w:ascii="Arial" w:hAnsi="Arial" w:cs="Arial"/>
                <w:b/>
              </w:rPr>
            </w:pPr>
            <w:r w:rsidRPr="00D349E8">
              <w:rPr>
                <w:rFonts w:ascii="Arial" w:hAnsi="Arial" w:cs="Arial"/>
                <w:b/>
              </w:rPr>
              <w:t xml:space="preserve">Clinical Governance </w:t>
            </w:r>
            <w:r w:rsidR="008E0CA9">
              <w:rPr>
                <w:rFonts w:ascii="Arial" w:hAnsi="Arial" w:cs="Arial"/>
                <w:b/>
              </w:rPr>
              <w:t>Update</w:t>
            </w:r>
          </w:p>
          <w:p w:rsidR="00780279" w:rsidRDefault="00780279" w:rsidP="00780279">
            <w:pPr>
              <w:rPr>
                <w:rFonts w:ascii="Arial" w:hAnsi="Arial" w:cs="Arial"/>
              </w:rPr>
            </w:pPr>
          </w:p>
          <w:p w:rsidR="00D349E8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C</w:t>
            </w:r>
            <w:r w:rsidR="00D349E8" w:rsidRPr="00780279">
              <w:rPr>
                <w:rFonts w:ascii="Arial" w:hAnsi="Arial" w:cs="Arial"/>
              </w:rPr>
              <w:t xml:space="preserve">omplaints </w:t>
            </w:r>
          </w:p>
          <w:p w:rsidR="00D349E8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Stage 1: 4 in F</w:t>
            </w:r>
            <w:r w:rsidR="00D349E8" w:rsidRPr="00780279">
              <w:rPr>
                <w:rFonts w:ascii="Arial" w:hAnsi="Arial" w:cs="Arial"/>
              </w:rPr>
              <w:t>eb</w:t>
            </w:r>
            <w:r w:rsidRPr="00780279">
              <w:rPr>
                <w:rFonts w:ascii="Arial" w:hAnsi="Arial" w:cs="Arial"/>
              </w:rPr>
              <w:t>ruary</w:t>
            </w:r>
            <w:r w:rsidR="00D349E8" w:rsidRPr="00780279">
              <w:rPr>
                <w:rFonts w:ascii="Arial" w:hAnsi="Arial" w:cs="Arial"/>
              </w:rPr>
              <w:t xml:space="preserve"> 0 resp</w:t>
            </w:r>
            <w:r w:rsidRPr="00780279">
              <w:rPr>
                <w:rFonts w:ascii="Arial" w:hAnsi="Arial" w:cs="Arial"/>
              </w:rPr>
              <w:t>onded within</w:t>
            </w:r>
            <w:r w:rsidR="00D349E8" w:rsidRPr="00780279">
              <w:rPr>
                <w:rFonts w:ascii="Arial" w:hAnsi="Arial" w:cs="Arial"/>
              </w:rPr>
              <w:t xml:space="preserve"> timeline </w:t>
            </w:r>
          </w:p>
          <w:p w:rsidR="00D349E8" w:rsidRPr="00780279" w:rsidRDefault="00D349E8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Stage 2</w:t>
            </w:r>
            <w:r w:rsidR="00780279" w:rsidRPr="00780279">
              <w:rPr>
                <w:rFonts w:ascii="Arial" w:hAnsi="Arial" w:cs="Arial"/>
              </w:rPr>
              <w:t>:</w:t>
            </w:r>
            <w:r w:rsidRPr="00780279">
              <w:rPr>
                <w:rFonts w:ascii="Arial" w:hAnsi="Arial" w:cs="Arial"/>
              </w:rPr>
              <w:t xml:space="preserve"> 1 Jan</w:t>
            </w:r>
            <w:r w:rsidR="00780279" w:rsidRPr="00780279">
              <w:rPr>
                <w:rFonts w:ascii="Arial" w:hAnsi="Arial" w:cs="Arial"/>
              </w:rPr>
              <w:t>uary</w:t>
            </w:r>
            <w:r w:rsidRPr="00780279">
              <w:rPr>
                <w:rFonts w:ascii="Arial" w:hAnsi="Arial" w:cs="Arial"/>
              </w:rPr>
              <w:t xml:space="preserve"> 0 resp</w:t>
            </w:r>
            <w:r w:rsidR="00780279" w:rsidRPr="00780279">
              <w:rPr>
                <w:rFonts w:ascii="Arial" w:hAnsi="Arial" w:cs="Arial"/>
              </w:rPr>
              <w:t>onded within</w:t>
            </w:r>
            <w:r w:rsidRPr="00780279">
              <w:rPr>
                <w:rFonts w:ascii="Arial" w:hAnsi="Arial" w:cs="Arial"/>
              </w:rPr>
              <w:t xml:space="preserve"> timeline </w:t>
            </w: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 xml:space="preserve">SAER </w:t>
            </w:r>
          </w:p>
          <w:p w:rsidR="00D349E8" w:rsidRPr="00780279" w:rsidRDefault="00780279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 xml:space="preserve">2 commissioned </w:t>
            </w:r>
          </w:p>
          <w:p w:rsidR="00780279" w:rsidRPr="00780279" w:rsidRDefault="00780279" w:rsidP="00780279">
            <w:pPr>
              <w:rPr>
                <w:rFonts w:ascii="Arial" w:hAnsi="Arial" w:cs="Arial"/>
              </w:rPr>
            </w:pPr>
          </w:p>
          <w:p w:rsidR="00780279" w:rsidRPr="00780279" w:rsidRDefault="00D349E8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Mort</w:t>
            </w:r>
            <w:r w:rsidR="00780279" w:rsidRPr="00780279">
              <w:rPr>
                <w:rFonts w:ascii="Arial" w:hAnsi="Arial" w:cs="Arial"/>
              </w:rPr>
              <w:t xml:space="preserve">ality </w:t>
            </w:r>
            <w:r w:rsidRPr="00780279">
              <w:rPr>
                <w:rFonts w:ascii="Arial" w:hAnsi="Arial" w:cs="Arial"/>
              </w:rPr>
              <w:t xml:space="preserve"> </w:t>
            </w:r>
          </w:p>
          <w:p w:rsidR="00D349E8" w:rsidRPr="00780279" w:rsidRDefault="00D349E8" w:rsidP="00780279">
            <w:pPr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 xml:space="preserve">11 </w:t>
            </w:r>
            <w:r w:rsidR="00780279" w:rsidRPr="00780279">
              <w:rPr>
                <w:rFonts w:ascii="Arial" w:hAnsi="Arial" w:cs="Arial"/>
              </w:rPr>
              <w:t xml:space="preserve">deaths recorded all </w:t>
            </w:r>
            <w:r w:rsidRPr="00780279">
              <w:rPr>
                <w:rFonts w:ascii="Arial" w:hAnsi="Arial" w:cs="Arial"/>
              </w:rPr>
              <w:t xml:space="preserve">within </w:t>
            </w:r>
            <w:r w:rsidR="00780279" w:rsidRPr="00780279">
              <w:rPr>
                <w:rFonts w:ascii="Arial" w:hAnsi="Arial" w:cs="Arial"/>
              </w:rPr>
              <w:t xml:space="preserve">agreed </w:t>
            </w:r>
            <w:r w:rsidRPr="00780279">
              <w:rPr>
                <w:rFonts w:ascii="Arial" w:hAnsi="Arial" w:cs="Arial"/>
              </w:rPr>
              <w:t xml:space="preserve">control limits </w:t>
            </w:r>
          </w:p>
          <w:p w:rsidR="00FF3233" w:rsidRDefault="00FF3233" w:rsidP="00745D88">
            <w:pPr>
              <w:pStyle w:val="ListParagraph"/>
              <w:ind w:left="0"/>
              <w:contextualSpacing/>
            </w:pPr>
          </w:p>
          <w:p w:rsidR="00D349E8" w:rsidRDefault="00D349E8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7B6139">
              <w:rPr>
                <w:b/>
              </w:rPr>
              <w:t>Clinical Governance &amp; Risk Management Group (CGRMG) Update</w:t>
            </w:r>
          </w:p>
          <w:p w:rsidR="00D349E8" w:rsidRDefault="00D349E8" w:rsidP="00780279"/>
          <w:p w:rsidR="001806EA" w:rsidRDefault="001806EA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Since the last Committee meeting 2 CGRMG meeting</w:t>
            </w:r>
            <w:r w:rsidR="00F14332">
              <w:rPr>
                <w:rFonts w:ascii="Arial" w:hAnsi="Arial" w:cs="Arial"/>
              </w:rPr>
              <w:t>s</w:t>
            </w:r>
            <w:r w:rsidRPr="001806EA">
              <w:rPr>
                <w:rFonts w:ascii="Arial" w:hAnsi="Arial" w:cs="Arial"/>
              </w:rPr>
              <w:t xml:space="preserve"> have taken place.</w:t>
            </w:r>
          </w:p>
          <w:p w:rsidR="001806EA" w:rsidRPr="001806EA" w:rsidRDefault="001806EA" w:rsidP="001273E3">
            <w:pPr>
              <w:rPr>
                <w:rFonts w:ascii="Arial" w:hAnsi="Arial" w:cs="Arial"/>
              </w:rPr>
            </w:pPr>
          </w:p>
          <w:p w:rsidR="001806EA" w:rsidRPr="001806EA" w:rsidRDefault="001806EA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The following Policies &amp; Guidelines were approved:</w:t>
            </w:r>
          </w:p>
          <w:p w:rsidR="00F14332" w:rsidRDefault="001806EA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I</w:t>
            </w:r>
          </w:p>
          <w:p w:rsidR="001806EA" w:rsidRPr="001806EA" w:rsidRDefault="001806EA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nformed Consent P</w:t>
            </w:r>
            <w:r w:rsidR="00D349E8" w:rsidRPr="001806EA">
              <w:rPr>
                <w:rFonts w:ascii="Arial" w:hAnsi="Arial" w:cs="Arial"/>
              </w:rPr>
              <w:t xml:space="preserve">olicy </w:t>
            </w:r>
          </w:p>
          <w:p w:rsidR="001806EA" w:rsidRPr="001806EA" w:rsidRDefault="001806EA" w:rsidP="001273E3">
            <w:pPr>
              <w:rPr>
                <w:rFonts w:ascii="Arial" w:hAnsi="Arial" w:cs="Arial"/>
              </w:rPr>
            </w:pPr>
          </w:p>
          <w:p w:rsidR="00F14332" w:rsidRDefault="001806EA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The following New Interventional Procedures were approved:</w:t>
            </w:r>
          </w:p>
          <w:p w:rsidR="00F14332" w:rsidRDefault="00F14332" w:rsidP="001273E3">
            <w:pPr>
              <w:rPr>
                <w:rFonts w:ascii="Arial" w:hAnsi="Arial" w:cs="Arial"/>
              </w:rPr>
            </w:pPr>
          </w:p>
          <w:p w:rsidR="001806EA" w:rsidRPr="001806EA" w:rsidRDefault="00D349E8" w:rsidP="001273E3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>N</w:t>
            </w:r>
            <w:r w:rsidR="001273E3" w:rsidRPr="001806EA">
              <w:rPr>
                <w:rFonts w:ascii="Arial" w:hAnsi="Arial" w:cs="Arial"/>
              </w:rPr>
              <w:t>I</w:t>
            </w:r>
            <w:r w:rsidRPr="001806EA">
              <w:rPr>
                <w:rFonts w:ascii="Arial" w:hAnsi="Arial" w:cs="Arial"/>
              </w:rPr>
              <w:t>P Orthopaedics</w:t>
            </w:r>
            <w:r w:rsidR="001806EA" w:rsidRPr="001806EA">
              <w:rPr>
                <w:rFonts w:ascii="Arial" w:hAnsi="Arial" w:cs="Arial"/>
              </w:rPr>
              <w:t>; Minimally Invasive Surgery, Foot and Ankle</w:t>
            </w:r>
          </w:p>
          <w:p w:rsidR="00D349E8" w:rsidRPr="008E0CA9" w:rsidRDefault="001806EA" w:rsidP="001806EA">
            <w:pPr>
              <w:rPr>
                <w:rFonts w:ascii="Arial" w:hAnsi="Arial" w:cs="Arial"/>
                <w:color w:val="FF0000"/>
              </w:rPr>
            </w:pPr>
            <w:r w:rsidRPr="001806EA">
              <w:rPr>
                <w:rFonts w:ascii="Arial" w:hAnsi="Arial" w:cs="Arial"/>
              </w:rPr>
              <w:t>General Surgery; Hernia repair</w:t>
            </w:r>
            <w:r w:rsidR="00F14332">
              <w:rPr>
                <w:rFonts w:ascii="Arial" w:hAnsi="Arial" w:cs="Arial"/>
                <w:color w:val="FF0000"/>
              </w:rPr>
              <w:t>.</w:t>
            </w:r>
          </w:p>
          <w:p w:rsidR="00D349E8" w:rsidRPr="00D43C22" w:rsidRDefault="00D349E8" w:rsidP="00745D88">
            <w:pPr>
              <w:pStyle w:val="ListParagraph"/>
              <w:ind w:left="0"/>
              <w:contextualSpacing/>
            </w:pPr>
          </w:p>
          <w:p w:rsidR="00BB670D" w:rsidRPr="00D43C22" w:rsidRDefault="00BB670D" w:rsidP="00745D88">
            <w:pPr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Clinical Department Update (</w:t>
            </w:r>
            <w:r w:rsidR="00FF3233">
              <w:rPr>
                <w:rFonts w:ascii="Arial" w:hAnsi="Arial" w:cs="Arial"/>
                <w:b/>
              </w:rPr>
              <w:t xml:space="preserve">General </w:t>
            </w:r>
            <w:r w:rsidR="00CA00D6">
              <w:rPr>
                <w:rFonts w:ascii="Arial" w:hAnsi="Arial" w:cs="Arial"/>
                <w:b/>
              </w:rPr>
              <w:t>Surgery</w:t>
            </w:r>
            <w:r w:rsidRPr="00D43C22">
              <w:rPr>
                <w:rFonts w:ascii="Arial" w:hAnsi="Arial" w:cs="Arial"/>
                <w:b/>
              </w:rPr>
              <w:t>)</w:t>
            </w:r>
          </w:p>
          <w:p w:rsidR="00745D88" w:rsidRPr="00D43C22" w:rsidRDefault="00745D88" w:rsidP="00745D88">
            <w:pPr>
              <w:ind w:left="-38"/>
              <w:rPr>
                <w:rFonts w:ascii="Arial" w:hAnsi="Arial" w:cs="Arial"/>
              </w:rPr>
            </w:pPr>
          </w:p>
          <w:p w:rsidR="00B130E8" w:rsidRPr="00780279" w:rsidRDefault="00CA00D6" w:rsidP="00745D88">
            <w:pPr>
              <w:ind w:left="-38"/>
              <w:rPr>
                <w:rFonts w:ascii="Arial" w:hAnsi="Arial" w:cs="Arial"/>
              </w:rPr>
            </w:pPr>
            <w:r w:rsidRPr="00780279">
              <w:rPr>
                <w:rFonts w:ascii="Arial" w:hAnsi="Arial" w:cs="Arial"/>
              </w:rPr>
              <w:t>Prof Susan Moug,</w:t>
            </w:r>
            <w:r w:rsidR="003402B3" w:rsidRPr="00780279">
              <w:rPr>
                <w:rFonts w:ascii="Arial" w:hAnsi="Arial" w:cs="Arial"/>
              </w:rPr>
              <w:t xml:space="preserve"> </w:t>
            </w:r>
            <w:r w:rsidRPr="00780279">
              <w:rPr>
                <w:rFonts w:ascii="Arial" w:hAnsi="Arial" w:cs="Arial"/>
              </w:rPr>
              <w:t xml:space="preserve">General </w:t>
            </w:r>
            <w:r w:rsidR="003402B3" w:rsidRPr="00780279">
              <w:rPr>
                <w:rFonts w:ascii="Arial" w:hAnsi="Arial" w:cs="Arial"/>
              </w:rPr>
              <w:t xml:space="preserve">Surgeon </w:t>
            </w:r>
            <w:r w:rsidR="008E0CA9">
              <w:rPr>
                <w:rFonts w:ascii="Arial" w:hAnsi="Arial" w:cs="Arial"/>
              </w:rPr>
              <w:t>and Therese Rolwich</w:t>
            </w:r>
            <w:r w:rsidR="00F14332">
              <w:rPr>
                <w:rFonts w:ascii="Arial" w:hAnsi="Arial" w:cs="Arial"/>
              </w:rPr>
              <w:t>,</w:t>
            </w:r>
            <w:r w:rsidR="008E0CA9">
              <w:rPr>
                <w:rFonts w:ascii="Arial" w:hAnsi="Arial" w:cs="Arial"/>
              </w:rPr>
              <w:t xml:space="preserve"> Clinical Nurse Manager </w:t>
            </w:r>
            <w:r w:rsidR="0097023F" w:rsidRPr="00780279">
              <w:rPr>
                <w:rFonts w:ascii="Arial" w:hAnsi="Arial" w:cs="Arial"/>
              </w:rPr>
              <w:t xml:space="preserve">attended the meeting and gave a presentation on </w:t>
            </w:r>
            <w:r w:rsidR="00BB670D" w:rsidRPr="00780279">
              <w:rPr>
                <w:rFonts w:ascii="Arial" w:hAnsi="Arial" w:cs="Arial"/>
              </w:rPr>
              <w:t xml:space="preserve">the work of the </w:t>
            </w:r>
            <w:r w:rsidRPr="00780279">
              <w:rPr>
                <w:rFonts w:ascii="Arial" w:hAnsi="Arial" w:cs="Arial"/>
              </w:rPr>
              <w:t>General Surgery</w:t>
            </w:r>
            <w:r w:rsidR="00BB670D" w:rsidRPr="00780279">
              <w:rPr>
                <w:rFonts w:ascii="Arial" w:hAnsi="Arial" w:cs="Arial"/>
              </w:rPr>
              <w:t xml:space="preserve">.  </w:t>
            </w:r>
          </w:p>
          <w:p w:rsidR="00CB1DDE" w:rsidRPr="00780279" w:rsidRDefault="00CB1DDE" w:rsidP="00261327">
            <w:pPr>
              <w:rPr>
                <w:rFonts w:ascii="Arial" w:hAnsi="Arial" w:cs="Arial"/>
              </w:rPr>
            </w:pPr>
          </w:p>
          <w:p w:rsidR="009F6514" w:rsidRDefault="00F14332" w:rsidP="00780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commended </w:t>
            </w:r>
            <w:r w:rsidR="008E0CA9">
              <w:rPr>
                <w:rFonts w:ascii="Arial" w:hAnsi="Arial" w:cs="Arial"/>
              </w:rPr>
              <w:t xml:space="preserve">Prof Moug </w:t>
            </w:r>
            <w:r>
              <w:rPr>
                <w:rFonts w:ascii="Arial" w:hAnsi="Arial" w:cs="Arial"/>
              </w:rPr>
              <w:t>and Therese Rolwich on their support in developing the service, whose performance in year was commended by the Committee</w:t>
            </w:r>
            <w:r w:rsidR="008E0CA9">
              <w:rPr>
                <w:rFonts w:ascii="Arial" w:hAnsi="Arial" w:cs="Arial"/>
              </w:rPr>
              <w:t xml:space="preserve">.  </w:t>
            </w:r>
          </w:p>
          <w:p w:rsidR="009F6514" w:rsidRDefault="009F6514" w:rsidP="00780279">
            <w:pPr>
              <w:rPr>
                <w:rFonts w:ascii="Arial" w:hAnsi="Arial" w:cs="Arial"/>
              </w:rPr>
            </w:pPr>
          </w:p>
          <w:p w:rsidR="00D349E8" w:rsidRPr="00780279" w:rsidRDefault="00F14332" w:rsidP="00780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noted the</w:t>
            </w:r>
            <w:r w:rsidR="009F6514">
              <w:rPr>
                <w:rFonts w:ascii="Arial" w:hAnsi="Arial" w:cs="Arial"/>
              </w:rPr>
              <w:t xml:space="preserve"> positive collaborative work with </w:t>
            </w:r>
            <w:r>
              <w:rPr>
                <w:rFonts w:ascii="Arial" w:hAnsi="Arial" w:cs="Arial"/>
              </w:rPr>
              <w:t xml:space="preserve">NHS </w:t>
            </w:r>
            <w:r w:rsidR="009F6514">
              <w:rPr>
                <w:rFonts w:ascii="Arial" w:hAnsi="Arial" w:cs="Arial"/>
              </w:rPr>
              <w:t>Lanarkshire in developing the n</w:t>
            </w:r>
            <w:r w:rsidR="00D349E8" w:rsidRPr="00780279">
              <w:rPr>
                <w:rFonts w:ascii="Arial" w:hAnsi="Arial" w:cs="Arial"/>
              </w:rPr>
              <w:t xml:space="preserve">ew </w:t>
            </w:r>
            <w:r w:rsidR="009F6514">
              <w:rPr>
                <w:rFonts w:ascii="Arial" w:hAnsi="Arial" w:cs="Arial"/>
              </w:rPr>
              <w:t xml:space="preserve">Colectomy </w:t>
            </w:r>
            <w:r w:rsidR="00D349E8" w:rsidRPr="00780279">
              <w:rPr>
                <w:rFonts w:ascii="Arial" w:hAnsi="Arial" w:cs="Arial"/>
              </w:rPr>
              <w:t>robotics service</w:t>
            </w:r>
            <w:r w:rsidR="009F6514">
              <w:rPr>
                <w:rFonts w:ascii="Arial" w:hAnsi="Arial" w:cs="Arial"/>
              </w:rPr>
              <w:t>.</w:t>
            </w:r>
            <w:r w:rsidR="00780279" w:rsidRPr="00780279">
              <w:rPr>
                <w:rFonts w:ascii="Arial" w:hAnsi="Arial" w:cs="Arial"/>
              </w:rPr>
              <w:t xml:space="preserve"> </w:t>
            </w:r>
          </w:p>
          <w:p w:rsidR="009E3BB1" w:rsidRDefault="009E3BB1" w:rsidP="00F14332">
            <w:pPr>
              <w:rPr>
                <w:rFonts w:ascii="Arial" w:hAnsi="Arial" w:cs="Arial"/>
              </w:rPr>
            </w:pPr>
          </w:p>
          <w:p w:rsidR="00D349E8" w:rsidRPr="007B6139" w:rsidRDefault="00D349E8" w:rsidP="00D349E8">
            <w:pPr>
              <w:pStyle w:val="ListParagraph"/>
              <w:ind w:hanging="720"/>
              <w:rPr>
                <w:b/>
              </w:rPr>
            </w:pPr>
            <w:r w:rsidRPr="007B6139">
              <w:rPr>
                <w:b/>
              </w:rPr>
              <w:t xml:space="preserve">CGC </w:t>
            </w:r>
            <w:r>
              <w:rPr>
                <w:b/>
              </w:rPr>
              <w:t>Annual Report for Financial Year 2021/22</w:t>
            </w:r>
            <w:r w:rsidRPr="007B6139">
              <w:rPr>
                <w:b/>
              </w:rPr>
              <w:t xml:space="preserve"> </w:t>
            </w:r>
          </w:p>
          <w:p w:rsidR="00D349E8" w:rsidRDefault="00D349E8" w:rsidP="008E0CA9"/>
          <w:p w:rsidR="009F6514" w:rsidRDefault="009F6514" w:rsidP="00780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were presented with the Annual Report for financial </w:t>
            </w:r>
            <w:r>
              <w:rPr>
                <w:rFonts w:ascii="Arial" w:hAnsi="Arial" w:cs="Arial"/>
              </w:rPr>
              <w:lastRenderedPageBreak/>
              <w:t xml:space="preserve">year 2021/22.  </w:t>
            </w:r>
          </w:p>
          <w:p w:rsidR="009F6514" w:rsidRDefault="009F6514" w:rsidP="00780279">
            <w:pPr>
              <w:rPr>
                <w:rFonts w:ascii="Arial" w:hAnsi="Arial" w:cs="Arial"/>
              </w:rPr>
            </w:pPr>
          </w:p>
          <w:p w:rsidR="009F6514" w:rsidRDefault="009F6514" w:rsidP="00D34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report forms p</w:t>
            </w:r>
            <w:r w:rsidR="00D349E8">
              <w:rPr>
                <w:rFonts w:ascii="Arial" w:hAnsi="Arial" w:cs="Arial"/>
              </w:rPr>
              <w:t xml:space="preserve">art </w:t>
            </w:r>
            <w:r>
              <w:rPr>
                <w:rFonts w:ascii="Arial" w:hAnsi="Arial" w:cs="Arial"/>
              </w:rPr>
              <w:t xml:space="preserve">of the </w:t>
            </w:r>
            <w:r w:rsidR="00F14332">
              <w:rPr>
                <w:rFonts w:ascii="Arial" w:hAnsi="Arial" w:cs="Arial"/>
              </w:rPr>
              <w:t>NHSGJ</w:t>
            </w:r>
            <w:r>
              <w:rPr>
                <w:rFonts w:ascii="Arial" w:hAnsi="Arial" w:cs="Arial"/>
              </w:rPr>
              <w:t xml:space="preserve"> </w:t>
            </w:r>
            <w:r w:rsidR="00F14332">
              <w:rPr>
                <w:rFonts w:ascii="Arial" w:hAnsi="Arial" w:cs="Arial"/>
              </w:rPr>
              <w:t>year-</w:t>
            </w:r>
            <w:r w:rsidR="00D349E8">
              <w:rPr>
                <w:rFonts w:ascii="Arial" w:hAnsi="Arial" w:cs="Arial"/>
              </w:rPr>
              <w:t>end assurance</w:t>
            </w:r>
            <w:r w:rsidR="00F14332">
              <w:rPr>
                <w:rFonts w:ascii="Arial" w:hAnsi="Arial" w:cs="Arial"/>
              </w:rPr>
              <w:t xml:space="preserve"> process</w:t>
            </w:r>
            <w:r>
              <w:rPr>
                <w:rFonts w:ascii="Arial" w:hAnsi="Arial" w:cs="Arial"/>
              </w:rPr>
              <w:t xml:space="preserve">.  The </w:t>
            </w:r>
            <w:r w:rsidR="00D349E8">
              <w:rPr>
                <w:rFonts w:ascii="Arial" w:hAnsi="Arial" w:cs="Arial"/>
              </w:rPr>
              <w:t xml:space="preserve">draft </w:t>
            </w:r>
            <w:r>
              <w:rPr>
                <w:rFonts w:ascii="Arial" w:hAnsi="Arial" w:cs="Arial"/>
              </w:rPr>
              <w:t xml:space="preserve">report was presented to the </w:t>
            </w:r>
            <w:r w:rsidR="00D349E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udit and </w:t>
            </w:r>
            <w:r w:rsidR="00D349E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isk </w:t>
            </w:r>
            <w:r w:rsidR="00D349E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ommittee meeting in April 2022 and will</w:t>
            </w:r>
            <w:r w:rsidR="00D34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 </w:t>
            </w:r>
            <w:r w:rsidR="00D349E8">
              <w:rPr>
                <w:rFonts w:ascii="Arial" w:hAnsi="Arial" w:cs="Arial"/>
              </w:rPr>
              <w:t xml:space="preserve">provided for approval at </w:t>
            </w:r>
            <w:r>
              <w:rPr>
                <w:rFonts w:ascii="Arial" w:hAnsi="Arial" w:cs="Arial"/>
              </w:rPr>
              <w:t xml:space="preserve">the </w:t>
            </w:r>
            <w:r w:rsidR="00D349E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udit and </w:t>
            </w:r>
            <w:r w:rsidR="00D349E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isk </w:t>
            </w:r>
            <w:r w:rsidR="00D349E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ommittee meeting</w:t>
            </w:r>
            <w:r w:rsidR="00D34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</w:t>
            </w:r>
            <w:r w:rsidR="00D349E8">
              <w:rPr>
                <w:rFonts w:ascii="Arial" w:hAnsi="Arial" w:cs="Arial"/>
              </w:rPr>
              <w:t xml:space="preserve">June </w:t>
            </w:r>
            <w:r>
              <w:rPr>
                <w:rFonts w:ascii="Arial" w:hAnsi="Arial" w:cs="Arial"/>
              </w:rPr>
              <w:t>2022</w:t>
            </w:r>
            <w:r w:rsidR="00F14332">
              <w:rPr>
                <w:rFonts w:ascii="Arial" w:hAnsi="Arial" w:cs="Arial"/>
              </w:rPr>
              <w:t>. It will inform t</w:t>
            </w:r>
            <w:r>
              <w:rPr>
                <w:rFonts w:ascii="Arial" w:hAnsi="Arial" w:cs="Arial"/>
              </w:rPr>
              <w:t xml:space="preserve">he Statement </w:t>
            </w:r>
            <w:r w:rsidR="00F14332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A</w:t>
            </w:r>
            <w:r w:rsidR="00D349E8">
              <w:rPr>
                <w:rFonts w:ascii="Arial" w:hAnsi="Arial" w:cs="Arial"/>
              </w:rPr>
              <w:t xml:space="preserve">ssurance </w:t>
            </w:r>
            <w:r>
              <w:rPr>
                <w:rFonts w:ascii="Arial" w:hAnsi="Arial" w:cs="Arial"/>
              </w:rPr>
              <w:t xml:space="preserve">as </w:t>
            </w:r>
            <w:r w:rsidR="00D349E8">
              <w:rPr>
                <w:rFonts w:ascii="Arial" w:hAnsi="Arial" w:cs="Arial"/>
              </w:rPr>
              <w:t xml:space="preserve">part of </w:t>
            </w:r>
            <w:r>
              <w:rPr>
                <w:rFonts w:ascii="Arial" w:hAnsi="Arial" w:cs="Arial"/>
              </w:rPr>
              <w:t xml:space="preserve">the </w:t>
            </w:r>
            <w:r w:rsidR="00F14332">
              <w:rPr>
                <w:rFonts w:ascii="Arial" w:hAnsi="Arial" w:cs="Arial"/>
              </w:rPr>
              <w:t>year-end</w:t>
            </w:r>
            <w:r w:rsidR="00D349E8">
              <w:rPr>
                <w:rFonts w:ascii="Arial" w:hAnsi="Arial" w:cs="Arial"/>
              </w:rPr>
              <w:t xml:space="preserve"> accounts</w:t>
            </w:r>
            <w:r>
              <w:rPr>
                <w:rFonts w:ascii="Arial" w:hAnsi="Arial" w:cs="Arial"/>
              </w:rPr>
              <w:t>.</w:t>
            </w:r>
            <w:r w:rsidR="00D349E8">
              <w:rPr>
                <w:rFonts w:ascii="Arial" w:hAnsi="Arial" w:cs="Arial"/>
              </w:rPr>
              <w:t xml:space="preserve"> </w:t>
            </w:r>
          </w:p>
          <w:p w:rsidR="009F6514" w:rsidRDefault="009F6514" w:rsidP="00D349E8">
            <w:pPr>
              <w:rPr>
                <w:rFonts w:ascii="Arial" w:hAnsi="Arial" w:cs="Arial"/>
              </w:rPr>
            </w:pPr>
          </w:p>
          <w:p w:rsidR="00D349E8" w:rsidRPr="007B6139" w:rsidRDefault="00D349E8" w:rsidP="00D349E8">
            <w:pPr>
              <w:pStyle w:val="ListParagraph"/>
              <w:ind w:hanging="720"/>
              <w:rPr>
                <w:b/>
              </w:rPr>
            </w:pPr>
            <w:r>
              <w:rPr>
                <w:b/>
              </w:rPr>
              <w:t>CGC Draft Annual Workplan for Financial Year 2022/23</w:t>
            </w:r>
          </w:p>
          <w:p w:rsidR="00D349E8" w:rsidRPr="007B6139" w:rsidRDefault="00D349E8" w:rsidP="00D349E8">
            <w:pPr>
              <w:pStyle w:val="ListParagraph"/>
              <w:ind w:hanging="720"/>
              <w:rPr>
                <w:b/>
              </w:rPr>
            </w:pPr>
            <w:r w:rsidRPr="007B6139">
              <w:rPr>
                <w:b/>
              </w:rPr>
              <w:tab/>
            </w:r>
          </w:p>
          <w:p w:rsidR="00D349E8" w:rsidRPr="007B6139" w:rsidRDefault="00F14332" w:rsidP="00D34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noted the workplan, further noting that t</w:t>
            </w:r>
            <w:r w:rsidR="009F6514">
              <w:rPr>
                <w:rFonts w:ascii="Arial" w:hAnsi="Arial" w:cs="Arial"/>
              </w:rPr>
              <w:t xml:space="preserve">he </w:t>
            </w:r>
            <w:r w:rsidR="00D349E8">
              <w:rPr>
                <w:rFonts w:ascii="Arial" w:hAnsi="Arial" w:cs="Arial"/>
              </w:rPr>
              <w:t xml:space="preserve">Workplan </w:t>
            </w:r>
            <w:r w:rsidR="009F6514">
              <w:rPr>
                <w:rFonts w:ascii="Arial" w:hAnsi="Arial" w:cs="Arial"/>
              </w:rPr>
              <w:t xml:space="preserve">2022/23 is a </w:t>
            </w:r>
            <w:r w:rsidR="00D349E8">
              <w:rPr>
                <w:rFonts w:ascii="Arial" w:hAnsi="Arial" w:cs="Arial"/>
              </w:rPr>
              <w:t xml:space="preserve">live document and </w:t>
            </w:r>
            <w:r w:rsidR="009F6514">
              <w:rPr>
                <w:rFonts w:ascii="Arial" w:hAnsi="Arial" w:cs="Arial"/>
              </w:rPr>
              <w:t xml:space="preserve">will </w:t>
            </w:r>
            <w:r w:rsidR="00D349E8">
              <w:rPr>
                <w:rFonts w:ascii="Arial" w:hAnsi="Arial" w:cs="Arial"/>
              </w:rPr>
              <w:t xml:space="preserve">develop as </w:t>
            </w:r>
            <w:r w:rsidR="009F6514">
              <w:rPr>
                <w:rFonts w:ascii="Arial" w:hAnsi="Arial" w:cs="Arial"/>
              </w:rPr>
              <w:t xml:space="preserve">the </w:t>
            </w:r>
            <w:r w:rsidR="00D349E8">
              <w:rPr>
                <w:rFonts w:ascii="Arial" w:hAnsi="Arial" w:cs="Arial"/>
              </w:rPr>
              <w:t>year goes on</w:t>
            </w:r>
            <w:r w:rsidR="009F6514">
              <w:rPr>
                <w:rFonts w:ascii="Arial" w:hAnsi="Arial" w:cs="Arial"/>
              </w:rPr>
              <w:t>.</w:t>
            </w:r>
            <w:r w:rsidR="00D349E8">
              <w:rPr>
                <w:rFonts w:ascii="Arial" w:hAnsi="Arial" w:cs="Arial"/>
              </w:rPr>
              <w:t xml:space="preserve"> </w:t>
            </w:r>
          </w:p>
          <w:p w:rsidR="00D349E8" w:rsidRDefault="00D349E8" w:rsidP="00D349E8">
            <w:pPr>
              <w:pStyle w:val="ListParagraph"/>
            </w:pPr>
          </w:p>
          <w:p w:rsidR="00D349E8" w:rsidRPr="008E0CA9" w:rsidRDefault="00D349E8" w:rsidP="008E0CA9">
            <w:pPr>
              <w:rPr>
                <w:rFonts w:ascii="Arial" w:hAnsi="Arial" w:cs="Arial"/>
                <w:b/>
              </w:rPr>
            </w:pPr>
            <w:r w:rsidRPr="008E0CA9">
              <w:rPr>
                <w:rFonts w:ascii="Arial" w:hAnsi="Arial" w:cs="Arial"/>
                <w:b/>
              </w:rPr>
              <w:t>R&amp;D Steering Group Annual Update</w:t>
            </w:r>
          </w:p>
          <w:p w:rsidR="00D349E8" w:rsidRDefault="00D349E8" w:rsidP="00D349E8">
            <w:pPr>
              <w:pStyle w:val="ListParagraph"/>
              <w:ind w:hanging="720"/>
            </w:pPr>
          </w:p>
          <w:p w:rsidR="00D349E8" w:rsidRDefault="009F6514" w:rsidP="00D35CA9">
            <w:pPr>
              <w:pStyle w:val="ListParagraph"/>
              <w:ind w:left="0"/>
            </w:pPr>
            <w:r>
              <w:t xml:space="preserve">Catherine Sinclair, Head of </w:t>
            </w:r>
            <w:r w:rsidR="00D349E8">
              <w:t xml:space="preserve">Research </w:t>
            </w:r>
            <w:r>
              <w:t xml:space="preserve">and Development attended the Committee to present the R&amp;D Steering Group Annual Update.  </w:t>
            </w:r>
          </w:p>
          <w:p w:rsidR="00D35CA9" w:rsidRDefault="00D35CA9" w:rsidP="00D35CA9">
            <w:pPr>
              <w:pStyle w:val="ListParagraph"/>
              <w:ind w:left="0"/>
            </w:pPr>
          </w:p>
          <w:p w:rsidR="00F14332" w:rsidRDefault="00F14332" w:rsidP="00F14332">
            <w:pPr>
              <w:pStyle w:val="ListParagraph"/>
              <w:ind w:hanging="720"/>
            </w:pPr>
          </w:p>
          <w:p w:rsidR="00D349E8" w:rsidRDefault="00F14332" w:rsidP="00F14332">
            <w:pPr>
              <w:pStyle w:val="ListParagraph"/>
              <w:ind w:hanging="720"/>
            </w:pPr>
            <w:r>
              <w:t>Committee noted that the Steering Group meeting schedule had been maintained during FY 2021/22</w:t>
            </w:r>
          </w:p>
          <w:p w:rsidR="00D35CA9" w:rsidRDefault="00D349E8" w:rsidP="00780279">
            <w:pPr>
              <w:pStyle w:val="ListParagraph"/>
              <w:ind w:hanging="11"/>
            </w:pPr>
            <w:r>
              <w:tab/>
            </w:r>
          </w:p>
          <w:p w:rsidR="00780279" w:rsidRDefault="00D35CA9" w:rsidP="00D35CA9">
            <w:pPr>
              <w:pStyle w:val="ListParagraph"/>
              <w:ind w:left="0"/>
            </w:pPr>
            <w:r>
              <w:t xml:space="preserve">Research </w:t>
            </w:r>
            <w:r w:rsidR="00F14332">
              <w:t>activity had been impacted by the pandemic</w:t>
            </w:r>
            <w:r>
              <w:t xml:space="preserve">, however, </w:t>
            </w:r>
            <w:r w:rsidR="00D349E8">
              <w:t xml:space="preserve">COVID related projects </w:t>
            </w:r>
            <w:r w:rsidR="00F14332">
              <w:t>had been</w:t>
            </w:r>
            <w:r>
              <w:t xml:space="preserve"> open</w:t>
            </w:r>
            <w:r w:rsidR="00F14332">
              <w:t>ed and progressed</w:t>
            </w:r>
            <w:r>
              <w:t xml:space="preserve">.  </w:t>
            </w:r>
          </w:p>
          <w:p w:rsidR="009E3BB1" w:rsidRDefault="009E3BB1" w:rsidP="00D35CA9"/>
          <w:p w:rsidR="00D35CA9" w:rsidRPr="00D35CA9" w:rsidRDefault="00D35CA9" w:rsidP="00F14332">
            <w:pPr>
              <w:rPr>
                <w:rFonts w:ascii="Arial" w:hAnsi="Arial" w:cs="Arial"/>
              </w:rPr>
            </w:pPr>
            <w:r w:rsidRPr="00D35CA9">
              <w:rPr>
                <w:rFonts w:ascii="Arial" w:hAnsi="Arial" w:cs="Arial"/>
              </w:rPr>
              <w:t xml:space="preserve">The Committee </w:t>
            </w:r>
            <w:r w:rsidR="00F14332">
              <w:rPr>
                <w:rFonts w:ascii="Arial" w:hAnsi="Arial" w:cs="Arial"/>
              </w:rPr>
              <w:t>commended the work of</w:t>
            </w:r>
            <w:r w:rsidRPr="00D35CA9">
              <w:rPr>
                <w:rFonts w:ascii="Arial" w:hAnsi="Arial" w:cs="Arial"/>
              </w:rPr>
              <w:t xml:space="preserve"> the Research and Development Department</w:t>
            </w:r>
            <w:r w:rsidR="00F14332">
              <w:rPr>
                <w:rFonts w:ascii="Arial" w:hAnsi="Arial" w:cs="Arial"/>
              </w:rPr>
              <w:t>, noting the importance of research in developing innovative approaches to care and treatment, and commending the ability of the team to develop innovative approaches despite the challenges of the pandemic</w:t>
            </w:r>
            <w:r w:rsidRPr="00D35CA9">
              <w:rPr>
                <w:rFonts w:ascii="Arial" w:hAnsi="Arial" w:cs="Arial"/>
              </w:rPr>
              <w:t>.</w:t>
            </w:r>
          </w:p>
        </w:tc>
      </w:tr>
      <w:tr w:rsidR="00770262" w:rsidRPr="00D43C22" w:rsidTr="007E7230">
        <w:tc>
          <w:tcPr>
            <w:tcW w:w="1397" w:type="dxa"/>
          </w:tcPr>
          <w:p w:rsidR="00770262" w:rsidRPr="00D43C22" w:rsidRDefault="00770262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 xml:space="preserve">Person Centred </w:t>
            </w:r>
          </w:p>
        </w:tc>
        <w:tc>
          <w:tcPr>
            <w:tcW w:w="7783" w:type="dxa"/>
          </w:tcPr>
          <w:p w:rsidR="00966153" w:rsidRPr="007B6139" w:rsidRDefault="00966153" w:rsidP="00966153">
            <w:pPr>
              <w:pStyle w:val="ListParagraph"/>
              <w:ind w:hanging="720"/>
              <w:rPr>
                <w:b/>
              </w:rPr>
            </w:pPr>
            <w:r>
              <w:rPr>
                <w:b/>
              </w:rPr>
              <w:t>Claims Bi-Annual Report</w:t>
            </w:r>
            <w:r w:rsidRPr="007B6139">
              <w:rPr>
                <w:b/>
              </w:rPr>
              <w:t xml:space="preserve"> </w:t>
            </w:r>
          </w:p>
          <w:p w:rsidR="00966153" w:rsidRPr="007B6139" w:rsidRDefault="00966153" w:rsidP="00966153">
            <w:pPr>
              <w:pStyle w:val="ListParagraph"/>
              <w:ind w:left="709" w:firstLine="11"/>
            </w:pPr>
          </w:p>
          <w:p w:rsidR="00966153" w:rsidRPr="007B6139" w:rsidRDefault="00966153" w:rsidP="00D35CA9">
            <w:pPr>
              <w:pStyle w:val="ListParagraph"/>
              <w:ind w:left="0"/>
            </w:pPr>
            <w:r w:rsidRPr="007B6139">
              <w:t xml:space="preserve">The Committee </w:t>
            </w:r>
            <w:r w:rsidR="00711F7C">
              <w:t xml:space="preserve">received </w:t>
            </w:r>
            <w:r w:rsidRPr="007B6139">
              <w:t xml:space="preserve">the </w:t>
            </w:r>
            <w:r w:rsidR="00780279">
              <w:t>Claims Bi-Annual Report.</w:t>
            </w:r>
            <w:r w:rsidR="00D35CA9">
              <w:t xml:space="preserve"> </w:t>
            </w:r>
            <w:r w:rsidR="00711F7C">
              <w:t>Committee noted the often complex nature of claims processed by the Board, and were assured that adequate advice is available to support the claims process.</w:t>
            </w:r>
          </w:p>
          <w:p w:rsidR="009E3BB1" w:rsidRPr="00966153" w:rsidRDefault="009E3BB1" w:rsidP="00966153">
            <w:pPr>
              <w:rPr>
                <w:rFonts w:ascii="Arial" w:hAnsi="Arial" w:cs="Arial"/>
              </w:rPr>
            </w:pPr>
          </w:p>
          <w:p w:rsidR="00966153" w:rsidRPr="007A4C1E" w:rsidRDefault="00966153" w:rsidP="00966153">
            <w:pPr>
              <w:rPr>
                <w:rFonts w:ascii="Arial" w:hAnsi="Arial" w:cs="Arial"/>
                <w:b/>
              </w:rPr>
            </w:pPr>
            <w:r w:rsidRPr="007A4C1E">
              <w:rPr>
                <w:rFonts w:ascii="Arial" w:hAnsi="Arial" w:cs="Arial"/>
                <w:b/>
              </w:rPr>
              <w:t xml:space="preserve">Deep Dive/Patient Story </w:t>
            </w:r>
          </w:p>
          <w:p w:rsidR="00966153" w:rsidRPr="001806EA" w:rsidRDefault="00966153" w:rsidP="00966153">
            <w:pPr>
              <w:pStyle w:val="ListParagraph"/>
              <w:ind w:left="0"/>
              <w:rPr>
                <w:b/>
                <w:color w:val="0070C0"/>
              </w:rPr>
            </w:pPr>
          </w:p>
          <w:p w:rsidR="00966153" w:rsidRPr="001806EA" w:rsidRDefault="001806EA" w:rsidP="008E0CA9">
            <w:pPr>
              <w:rPr>
                <w:rFonts w:ascii="Arial" w:hAnsi="Arial" w:cs="Arial"/>
              </w:rPr>
            </w:pPr>
            <w:r w:rsidRPr="001806EA">
              <w:rPr>
                <w:rFonts w:ascii="Arial" w:hAnsi="Arial" w:cs="Arial"/>
              </w:rPr>
              <w:t xml:space="preserve">The Committee were presented with </w:t>
            </w:r>
            <w:r w:rsidR="00711F7C">
              <w:rPr>
                <w:rFonts w:ascii="Arial" w:hAnsi="Arial" w:cs="Arial"/>
              </w:rPr>
              <w:t xml:space="preserve">a </w:t>
            </w:r>
            <w:r w:rsidRPr="001806EA">
              <w:rPr>
                <w:rFonts w:ascii="Arial" w:hAnsi="Arial" w:cs="Arial"/>
              </w:rPr>
              <w:t xml:space="preserve">patient story detailing revolutionary </w:t>
            </w:r>
            <w:r w:rsidR="00711F7C">
              <w:rPr>
                <w:rFonts w:ascii="Arial" w:hAnsi="Arial" w:cs="Arial"/>
              </w:rPr>
              <w:t xml:space="preserve">cancer </w:t>
            </w:r>
            <w:r w:rsidRPr="001806EA">
              <w:rPr>
                <w:rFonts w:ascii="Arial" w:hAnsi="Arial" w:cs="Arial"/>
              </w:rPr>
              <w:t xml:space="preserve">treatment </w:t>
            </w:r>
            <w:r w:rsidR="00711F7C">
              <w:rPr>
                <w:rFonts w:ascii="Arial" w:hAnsi="Arial" w:cs="Arial"/>
              </w:rPr>
              <w:t xml:space="preserve">which a </w:t>
            </w:r>
            <w:r w:rsidRPr="001806EA">
              <w:rPr>
                <w:rFonts w:ascii="Arial" w:hAnsi="Arial" w:cs="Arial"/>
              </w:rPr>
              <w:t xml:space="preserve">patient received during the Pandemic.  </w:t>
            </w:r>
          </w:p>
          <w:p w:rsidR="00966153" w:rsidRPr="00711F7C" w:rsidRDefault="00966153" w:rsidP="00966153">
            <w:pPr>
              <w:pStyle w:val="ListParagraph"/>
            </w:pPr>
          </w:p>
          <w:p w:rsidR="00966153" w:rsidRPr="00D43C22" w:rsidRDefault="00711F7C" w:rsidP="001806EA">
            <w:r w:rsidRPr="00711F7C">
              <w:rPr>
                <w:rFonts w:ascii="Arial" w:hAnsi="Arial" w:cs="Arial"/>
              </w:rPr>
              <w:t>The Committee wished their thanks to be communicated to the patient for her feedback and co-operation in allowing her story to be shared.</w:t>
            </w:r>
          </w:p>
        </w:tc>
      </w:tr>
    </w:tbl>
    <w:p w:rsidR="008D1191" w:rsidRPr="00745D8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7D6129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745D88">
        <w:rPr>
          <w:rFonts w:hAnsi="Arial" w:cs="Arial"/>
          <w:color w:val="auto"/>
          <w:lang w:val="en-US"/>
        </w:rPr>
        <w:t>The n</w:t>
      </w:r>
      <w:r w:rsidR="00914107" w:rsidRPr="00745D88">
        <w:rPr>
          <w:rFonts w:hAnsi="Arial" w:cs="Arial"/>
          <w:color w:val="auto"/>
          <w:lang w:val="en-US"/>
        </w:rPr>
        <w:t>ext meeting is schedul</w:t>
      </w:r>
      <w:bookmarkStart w:id="0" w:name="_GoBack"/>
      <w:bookmarkEnd w:id="0"/>
      <w:r w:rsidR="00914107" w:rsidRPr="00745D88">
        <w:rPr>
          <w:rFonts w:hAnsi="Arial" w:cs="Arial"/>
          <w:color w:val="auto"/>
          <w:lang w:val="en-US"/>
        </w:rPr>
        <w:t>ed for</w:t>
      </w:r>
      <w:r w:rsidR="00770262">
        <w:rPr>
          <w:rFonts w:hAnsi="Arial" w:cs="Arial"/>
          <w:color w:val="auto"/>
          <w:lang w:val="en-US"/>
        </w:rPr>
        <w:t xml:space="preserve"> </w:t>
      </w:r>
      <w:r w:rsidR="00966153">
        <w:rPr>
          <w:rFonts w:hAnsi="Arial" w:cs="Arial"/>
          <w:color w:val="auto"/>
          <w:lang w:val="en-US"/>
        </w:rPr>
        <w:t>Wednesday 29 June</w:t>
      </w:r>
      <w:r w:rsidR="00770262">
        <w:rPr>
          <w:rFonts w:hAnsi="Arial" w:cs="Arial"/>
          <w:color w:val="auto"/>
          <w:lang w:val="en-US"/>
        </w:rPr>
        <w:t xml:space="preserve"> </w:t>
      </w:r>
      <w:r w:rsidR="00FB37C4" w:rsidRPr="00745D88">
        <w:rPr>
          <w:rFonts w:hAnsi="Arial" w:cs="Arial"/>
          <w:color w:val="auto"/>
          <w:lang w:val="en-US"/>
        </w:rPr>
        <w:t>2022</w:t>
      </w:r>
      <w:r w:rsidR="00BB71B6" w:rsidRPr="00745D88">
        <w:rPr>
          <w:rFonts w:hAnsi="Arial" w:cs="Arial"/>
          <w:color w:val="auto"/>
          <w:lang w:val="en-US"/>
        </w:rPr>
        <w:t>.</w:t>
      </w:r>
    </w:p>
    <w:p w:rsidR="00745D88" w:rsidRPr="00745D88" w:rsidRDefault="00745D88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</w:p>
    <w:p w:rsidR="00E95F55" w:rsidRPr="00745D8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r w:rsidRPr="00745D88">
        <w:rPr>
          <w:b/>
          <w:bCs/>
        </w:rPr>
        <w:t xml:space="preserve"> </w:t>
      </w:r>
      <w:r w:rsidR="00E95F55" w:rsidRPr="00745D88">
        <w:rPr>
          <w:b/>
          <w:bCs/>
        </w:rPr>
        <w:t xml:space="preserve">Recommendation </w:t>
      </w:r>
    </w:p>
    <w:p w:rsidR="00BB71B6" w:rsidRPr="00745D8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745D88" w:rsidRDefault="008D1191" w:rsidP="00506517">
      <w:pPr>
        <w:ind w:right="183"/>
        <w:rPr>
          <w:rFonts w:ascii="Arial" w:hAnsi="Arial" w:cs="Arial"/>
          <w:bCs/>
        </w:rPr>
      </w:pPr>
      <w:r w:rsidRPr="00745D88">
        <w:rPr>
          <w:rFonts w:ascii="Arial" w:hAnsi="Arial" w:cs="Arial"/>
          <w:bCs/>
        </w:rPr>
        <w:t xml:space="preserve">Board </w:t>
      </w:r>
      <w:r w:rsidR="00E95F55" w:rsidRPr="00745D88">
        <w:rPr>
          <w:rFonts w:ascii="Arial" w:hAnsi="Arial" w:cs="Arial"/>
          <w:bCs/>
        </w:rPr>
        <w:t>Members are asked to note the Clinical Governance Committee update.</w:t>
      </w:r>
    </w:p>
    <w:p w:rsidR="00E95F55" w:rsidRPr="00745D88" w:rsidRDefault="00E95F55" w:rsidP="00506517">
      <w:pPr>
        <w:ind w:right="183"/>
        <w:rPr>
          <w:rFonts w:ascii="Arial" w:hAnsi="Arial" w:cs="Arial"/>
          <w:bCs/>
        </w:rPr>
      </w:pPr>
    </w:p>
    <w:p w:rsidR="003131CF" w:rsidRDefault="003131CF" w:rsidP="00914107">
      <w:pPr>
        <w:ind w:left="-540" w:right="183" w:firstLine="540"/>
        <w:rPr>
          <w:rFonts w:ascii="Arial" w:hAnsi="Arial" w:cs="Arial"/>
          <w:b/>
          <w:bCs/>
        </w:rPr>
      </w:pPr>
    </w:p>
    <w:p w:rsidR="00914107" w:rsidRPr="00745D8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745D88">
        <w:rPr>
          <w:rFonts w:ascii="Arial" w:hAnsi="Arial" w:cs="Arial"/>
          <w:b/>
          <w:bCs/>
        </w:rPr>
        <w:t xml:space="preserve">Morag Brown </w:t>
      </w:r>
    </w:p>
    <w:p w:rsidR="001175E5" w:rsidRPr="00C20965" w:rsidRDefault="00BF60F1" w:rsidP="00BF60F1">
      <w:pPr>
        <w:ind w:right="183"/>
        <w:rPr>
          <w:rFonts w:ascii="Arial" w:hAnsi="Arial" w:cs="Arial"/>
          <w:b/>
          <w:bCs/>
        </w:rPr>
      </w:pPr>
      <w:r w:rsidRPr="00C20965">
        <w:rPr>
          <w:rFonts w:ascii="Arial" w:hAnsi="Arial" w:cs="Arial"/>
          <w:b/>
          <w:bCs/>
        </w:rPr>
        <w:t>Chair, Clinical Governance Committee</w:t>
      </w:r>
    </w:p>
    <w:p w:rsidR="00506517" w:rsidRPr="00C20965" w:rsidRDefault="00966153" w:rsidP="00506517">
      <w:pPr>
        <w:ind w:right="183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</w:t>
      </w:r>
      <w:r w:rsidR="00986F09" w:rsidRPr="00C20965">
        <w:rPr>
          <w:rFonts w:ascii="Arial" w:hAnsi="Arial" w:cs="Arial"/>
          <w:b/>
          <w:lang w:val="en-US"/>
        </w:rPr>
        <w:t xml:space="preserve">3 </w:t>
      </w:r>
      <w:r w:rsidR="00BA4D28">
        <w:rPr>
          <w:rFonts w:ascii="Arial" w:hAnsi="Arial" w:cs="Arial"/>
          <w:b/>
          <w:lang w:val="en-US"/>
        </w:rPr>
        <w:t>Ma</w:t>
      </w:r>
      <w:r>
        <w:rPr>
          <w:rFonts w:ascii="Arial" w:hAnsi="Arial" w:cs="Arial"/>
          <w:b/>
          <w:lang w:val="en-US"/>
        </w:rPr>
        <w:t>y</w:t>
      </w:r>
      <w:r w:rsidR="00BA4D28">
        <w:rPr>
          <w:rFonts w:ascii="Arial" w:hAnsi="Arial" w:cs="Arial"/>
          <w:b/>
          <w:lang w:val="en-US"/>
        </w:rPr>
        <w:t xml:space="preserve"> </w:t>
      </w:r>
      <w:r w:rsidR="00986F09" w:rsidRPr="00C20965">
        <w:rPr>
          <w:rFonts w:ascii="Arial" w:hAnsi="Arial" w:cs="Arial"/>
          <w:b/>
          <w:lang w:val="en-US"/>
        </w:rPr>
        <w:t>2022</w:t>
      </w:r>
    </w:p>
    <w:sectPr w:rsidR="00506517" w:rsidRPr="00C20965" w:rsidSect="00C373C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E90" w:rsidRDefault="00893E90">
      <w:r>
        <w:separator/>
      </w:r>
    </w:p>
  </w:endnote>
  <w:endnote w:type="continuationSeparator" w:id="0">
    <w:p w:rsidR="00893E90" w:rsidRDefault="0089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711F7C">
      <w:rPr>
        <w:rStyle w:val="PageNumber"/>
        <w:rFonts w:ascii="Arial" w:hAnsi="Arial" w:cs="Arial"/>
        <w:noProof/>
      </w:rPr>
      <w:t>5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E90" w:rsidRDefault="00893E90">
      <w:r>
        <w:separator/>
      </w:r>
    </w:p>
  </w:footnote>
  <w:footnote w:type="continuationSeparator" w:id="0">
    <w:p w:rsidR="00893E90" w:rsidRDefault="0089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22" w:rsidRPr="00D43C22" w:rsidRDefault="00D43C22" w:rsidP="00D43C22">
    <w:pPr>
      <w:pStyle w:val="Header"/>
      <w:jc w:val="right"/>
      <w:rPr>
        <w:rFonts w:ascii="Arial" w:hAnsi="Arial" w:cs="Arial"/>
        <w:b/>
        <w:color w:val="0070C0"/>
      </w:rPr>
    </w:pPr>
    <w:r w:rsidRPr="00D43C22">
      <w:rPr>
        <w:rFonts w:ascii="Arial" w:hAnsi="Arial" w:cs="Arial"/>
        <w:b/>
        <w:color w:val="0070C0"/>
      </w:rPr>
      <w:t>Item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03D672A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046A4E"/>
    <w:multiLevelType w:val="hybridMultilevel"/>
    <w:tmpl w:val="1576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30"/>
  </w:num>
  <w:num w:numId="3">
    <w:abstractNumId w:val="17"/>
  </w:num>
  <w:num w:numId="4">
    <w:abstractNumId w:val="3"/>
  </w:num>
  <w:num w:numId="5">
    <w:abstractNumId w:val="5"/>
  </w:num>
  <w:num w:numId="6">
    <w:abstractNumId w:val="28"/>
  </w:num>
  <w:num w:numId="7">
    <w:abstractNumId w:val="31"/>
  </w:num>
  <w:num w:numId="8">
    <w:abstractNumId w:val="4"/>
  </w:num>
  <w:num w:numId="9">
    <w:abstractNumId w:val="29"/>
  </w:num>
  <w:num w:numId="10">
    <w:abstractNumId w:val="21"/>
  </w:num>
  <w:num w:numId="11">
    <w:abstractNumId w:val="27"/>
  </w:num>
  <w:num w:numId="12">
    <w:abstractNumId w:val="12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1"/>
  </w:num>
  <w:num w:numId="18">
    <w:abstractNumId w:val="19"/>
  </w:num>
  <w:num w:numId="19">
    <w:abstractNumId w:val="11"/>
  </w:num>
  <w:num w:numId="20">
    <w:abstractNumId w:val="16"/>
  </w:num>
  <w:num w:numId="21">
    <w:abstractNumId w:val="2"/>
  </w:num>
  <w:num w:numId="22">
    <w:abstractNumId w:val="22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5"/>
  </w:num>
  <w:num w:numId="28">
    <w:abstractNumId w:val="9"/>
  </w:num>
  <w:num w:numId="29">
    <w:abstractNumId w:val="14"/>
  </w:num>
  <w:num w:numId="30">
    <w:abstractNumId w:val="26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012D2"/>
    <w:rsid w:val="00031021"/>
    <w:rsid w:val="000317DA"/>
    <w:rsid w:val="00036FD8"/>
    <w:rsid w:val="00055C68"/>
    <w:rsid w:val="00056DDC"/>
    <w:rsid w:val="00057879"/>
    <w:rsid w:val="000578D3"/>
    <w:rsid w:val="0007160A"/>
    <w:rsid w:val="00075AAA"/>
    <w:rsid w:val="0008216B"/>
    <w:rsid w:val="00095963"/>
    <w:rsid w:val="000A0F2E"/>
    <w:rsid w:val="000A5893"/>
    <w:rsid w:val="000B5923"/>
    <w:rsid w:val="000C35D1"/>
    <w:rsid w:val="000F4AC1"/>
    <w:rsid w:val="000F5FA2"/>
    <w:rsid w:val="00106D35"/>
    <w:rsid w:val="00116916"/>
    <w:rsid w:val="001175E5"/>
    <w:rsid w:val="00121846"/>
    <w:rsid w:val="00124A58"/>
    <w:rsid w:val="001273E3"/>
    <w:rsid w:val="001331F5"/>
    <w:rsid w:val="00134B75"/>
    <w:rsid w:val="0014213C"/>
    <w:rsid w:val="00147DB9"/>
    <w:rsid w:val="0015527C"/>
    <w:rsid w:val="00162874"/>
    <w:rsid w:val="001634A9"/>
    <w:rsid w:val="001762A2"/>
    <w:rsid w:val="001806EA"/>
    <w:rsid w:val="001849E6"/>
    <w:rsid w:val="0019647A"/>
    <w:rsid w:val="001A624A"/>
    <w:rsid w:val="001B3FD3"/>
    <w:rsid w:val="001B406D"/>
    <w:rsid w:val="001C2A71"/>
    <w:rsid w:val="001C3A37"/>
    <w:rsid w:val="001D56BB"/>
    <w:rsid w:val="001D6E1B"/>
    <w:rsid w:val="001F62B7"/>
    <w:rsid w:val="001F7437"/>
    <w:rsid w:val="00200176"/>
    <w:rsid w:val="00203226"/>
    <w:rsid w:val="002107F2"/>
    <w:rsid w:val="00213AB1"/>
    <w:rsid w:val="00233E6E"/>
    <w:rsid w:val="002366D1"/>
    <w:rsid w:val="00240DAE"/>
    <w:rsid w:val="002528E3"/>
    <w:rsid w:val="002556B9"/>
    <w:rsid w:val="002601CE"/>
    <w:rsid w:val="00261327"/>
    <w:rsid w:val="0026706D"/>
    <w:rsid w:val="00267AC1"/>
    <w:rsid w:val="00290F69"/>
    <w:rsid w:val="002A377C"/>
    <w:rsid w:val="002B1C68"/>
    <w:rsid w:val="002B324C"/>
    <w:rsid w:val="002C05C1"/>
    <w:rsid w:val="002C55FC"/>
    <w:rsid w:val="002D0797"/>
    <w:rsid w:val="002E0674"/>
    <w:rsid w:val="002E1AAE"/>
    <w:rsid w:val="002F0E89"/>
    <w:rsid w:val="002F1169"/>
    <w:rsid w:val="002F17AD"/>
    <w:rsid w:val="002F2F37"/>
    <w:rsid w:val="00301C75"/>
    <w:rsid w:val="00303DE8"/>
    <w:rsid w:val="0030553B"/>
    <w:rsid w:val="003131CF"/>
    <w:rsid w:val="0032342B"/>
    <w:rsid w:val="00334685"/>
    <w:rsid w:val="003402B3"/>
    <w:rsid w:val="00341564"/>
    <w:rsid w:val="00362A4C"/>
    <w:rsid w:val="00363020"/>
    <w:rsid w:val="003823B7"/>
    <w:rsid w:val="003A2424"/>
    <w:rsid w:val="003A507A"/>
    <w:rsid w:val="003A6675"/>
    <w:rsid w:val="003B005D"/>
    <w:rsid w:val="003C2FA5"/>
    <w:rsid w:val="003D5804"/>
    <w:rsid w:val="003E423D"/>
    <w:rsid w:val="003E4AC9"/>
    <w:rsid w:val="003F19CA"/>
    <w:rsid w:val="0040438B"/>
    <w:rsid w:val="0040506A"/>
    <w:rsid w:val="004050FB"/>
    <w:rsid w:val="00414CF8"/>
    <w:rsid w:val="00425938"/>
    <w:rsid w:val="00425B5D"/>
    <w:rsid w:val="0042778E"/>
    <w:rsid w:val="00434573"/>
    <w:rsid w:val="004512CE"/>
    <w:rsid w:val="00453686"/>
    <w:rsid w:val="00463DB0"/>
    <w:rsid w:val="004662AB"/>
    <w:rsid w:val="0047484C"/>
    <w:rsid w:val="00476837"/>
    <w:rsid w:val="00492FE9"/>
    <w:rsid w:val="004A07D7"/>
    <w:rsid w:val="004A34B1"/>
    <w:rsid w:val="004B6ECD"/>
    <w:rsid w:val="004D3F4A"/>
    <w:rsid w:val="004E0D0C"/>
    <w:rsid w:val="004E6103"/>
    <w:rsid w:val="005010BB"/>
    <w:rsid w:val="00504E0F"/>
    <w:rsid w:val="00506517"/>
    <w:rsid w:val="00513DB0"/>
    <w:rsid w:val="005246BD"/>
    <w:rsid w:val="00527616"/>
    <w:rsid w:val="005315FA"/>
    <w:rsid w:val="005328CF"/>
    <w:rsid w:val="00536551"/>
    <w:rsid w:val="00537B3F"/>
    <w:rsid w:val="00552EF4"/>
    <w:rsid w:val="00556553"/>
    <w:rsid w:val="00560AB8"/>
    <w:rsid w:val="00562212"/>
    <w:rsid w:val="00563BC4"/>
    <w:rsid w:val="00563D89"/>
    <w:rsid w:val="00585DA7"/>
    <w:rsid w:val="00590B0A"/>
    <w:rsid w:val="0059149F"/>
    <w:rsid w:val="005919A8"/>
    <w:rsid w:val="005937C1"/>
    <w:rsid w:val="005A57A1"/>
    <w:rsid w:val="005D2D86"/>
    <w:rsid w:val="005D4164"/>
    <w:rsid w:val="005E68D7"/>
    <w:rsid w:val="005E7571"/>
    <w:rsid w:val="00602DAF"/>
    <w:rsid w:val="00615791"/>
    <w:rsid w:val="006161B2"/>
    <w:rsid w:val="00620F1A"/>
    <w:rsid w:val="00623C7D"/>
    <w:rsid w:val="006322A0"/>
    <w:rsid w:val="00634820"/>
    <w:rsid w:val="00656805"/>
    <w:rsid w:val="00683E36"/>
    <w:rsid w:val="006A1357"/>
    <w:rsid w:val="006B385D"/>
    <w:rsid w:val="006C1254"/>
    <w:rsid w:val="006C2BCA"/>
    <w:rsid w:val="006C2E29"/>
    <w:rsid w:val="006C61DC"/>
    <w:rsid w:val="006D232B"/>
    <w:rsid w:val="0070524E"/>
    <w:rsid w:val="00711F7C"/>
    <w:rsid w:val="00715E76"/>
    <w:rsid w:val="00724610"/>
    <w:rsid w:val="00726EFA"/>
    <w:rsid w:val="00745A4B"/>
    <w:rsid w:val="00745D88"/>
    <w:rsid w:val="00750195"/>
    <w:rsid w:val="00755BD7"/>
    <w:rsid w:val="00756BEB"/>
    <w:rsid w:val="0075792D"/>
    <w:rsid w:val="007606DC"/>
    <w:rsid w:val="00770262"/>
    <w:rsid w:val="00770460"/>
    <w:rsid w:val="00776B66"/>
    <w:rsid w:val="00780279"/>
    <w:rsid w:val="00780964"/>
    <w:rsid w:val="00784CF3"/>
    <w:rsid w:val="00793D02"/>
    <w:rsid w:val="007A341B"/>
    <w:rsid w:val="007D1715"/>
    <w:rsid w:val="007D2AE5"/>
    <w:rsid w:val="007D6129"/>
    <w:rsid w:val="007D7E73"/>
    <w:rsid w:val="007E7230"/>
    <w:rsid w:val="00807194"/>
    <w:rsid w:val="00807BA8"/>
    <w:rsid w:val="008136E9"/>
    <w:rsid w:val="00815350"/>
    <w:rsid w:val="008223BC"/>
    <w:rsid w:val="008413EE"/>
    <w:rsid w:val="00845894"/>
    <w:rsid w:val="008472B4"/>
    <w:rsid w:val="008510AD"/>
    <w:rsid w:val="00854C67"/>
    <w:rsid w:val="008553E2"/>
    <w:rsid w:val="00855E40"/>
    <w:rsid w:val="008575F5"/>
    <w:rsid w:val="008606EF"/>
    <w:rsid w:val="00867E1A"/>
    <w:rsid w:val="008717BF"/>
    <w:rsid w:val="00881E03"/>
    <w:rsid w:val="00882F92"/>
    <w:rsid w:val="00885B01"/>
    <w:rsid w:val="00887D96"/>
    <w:rsid w:val="00893E90"/>
    <w:rsid w:val="008A3651"/>
    <w:rsid w:val="008B1AF8"/>
    <w:rsid w:val="008B3CF3"/>
    <w:rsid w:val="008B6ADE"/>
    <w:rsid w:val="008B7F24"/>
    <w:rsid w:val="008C06AA"/>
    <w:rsid w:val="008C26A2"/>
    <w:rsid w:val="008C5B64"/>
    <w:rsid w:val="008C5DE8"/>
    <w:rsid w:val="008D1191"/>
    <w:rsid w:val="008D737E"/>
    <w:rsid w:val="008E0CA9"/>
    <w:rsid w:val="008E49BF"/>
    <w:rsid w:val="008F3FAA"/>
    <w:rsid w:val="00902FD2"/>
    <w:rsid w:val="00914107"/>
    <w:rsid w:val="00926A6D"/>
    <w:rsid w:val="00935139"/>
    <w:rsid w:val="00952AC2"/>
    <w:rsid w:val="0096173D"/>
    <w:rsid w:val="00966153"/>
    <w:rsid w:val="0097023F"/>
    <w:rsid w:val="00970E61"/>
    <w:rsid w:val="00986F09"/>
    <w:rsid w:val="00987B77"/>
    <w:rsid w:val="00992558"/>
    <w:rsid w:val="00994526"/>
    <w:rsid w:val="009A1342"/>
    <w:rsid w:val="009B4F52"/>
    <w:rsid w:val="009D239D"/>
    <w:rsid w:val="009D77B6"/>
    <w:rsid w:val="009E3BB1"/>
    <w:rsid w:val="009E7E1B"/>
    <w:rsid w:val="009F6514"/>
    <w:rsid w:val="00A0238E"/>
    <w:rsid w:val="00A06E41"/>
    <w:rsid w:val="00A1596D"/>
    <w:rsid w:val="00A2577B"/>
    <w:rsid w:val="00A35936"/>
    <w:rsid w:val="00A52052"/>
    <w:rsid w:val="00A52ACB"/>
    <w:rsid w:val="00A63C98"/>
    <w:rsid w:val="00AA0AE5"/>
    <w:rsid w:val="00AA7D8E"/>
    <w:rsid w:val="00AC1475"/>
    <w:rsid w:val="00AC4DB2"/>
    <w:rsid w:val="00AD4876"/>
    <w:rsid w:val="00AE3EFE"/>
    <w:rsid w:val="00AE754A"/>
    <w:rsid w:val="00B130E8"/>
    <w:rsid w:val="00B15FBD"/>
    <w:rsid w:val="00B20131"/>
    <w:rsid w:val="00B21246"/>
    <w:rsid w:val="00B21F87"/>
    <w:rsid w:val="00B474DA"/>
    <w:rsid w:val="00B53AD3"/>
    <w:rsid w:val="00B72CC5"/>
    <w:rsid w:val="00B81A71"/>
    <w:rsid w:val="00B83071"/>
    <w:rsid w:val="00B84558"/>
    <w:rsid w:val="00B9312D"/>
    <w:rsid w:val="00B935A3"/>
    <w:rsid w:val="00BA175C"/>
    <w:rsid w:val="00BA4D28"/>
    <w:rsid w:val="00BB670D"/>
    <w:rsid w:val="00BB6A9C"/>
    <w:rsid w:val="00BB71B6"/>
    <w:rsid w:val="00BD0AF8"/>
    <w:rsid w:val="00BD2786"/>
    <w:rsid w:val="00BF08B1"/>
    <w:rsid w:val="00BF60F1"/>
    <w:rsid w:val="00BF6EA7"/>
    <w:rsid w:val="00C20965"/>
    <w:rsid w:val="00C20968"/>
    <w:rsid w:val="00C27980"/>
    <w:rsid w:val="00C30406"/>
    <w:rsid w:val="00C373CC"/>
    <w:rsid w:val="00C475E2"/>
    <w:rsid w:val="00C614DB"/>
    <w:rsid w:val="00C65AC4"/>
    <w:rsid w:val="00C80B3D"/>
    <w:rsid w:val="00C83336"/>
    <w:rsid w:val="00C851A6"/>
    <w:rsid w:val="00C93F07"/>
    <w:rsid w:val="00C956E2"/>
    <w:rsid w:val="00C975F6"/>
    <w:rsid w:val="00CA00D6"/>
    <w:rsid w:val="00CA0DE1"/>
    <w:rsid w:val="00CA1503"/>
    <w:rsid w:val="00CA6B5C"/>
    <w:rsid w:val="00CB044C"/>
    <w:rsid w:val="00CB1DDE"/>
    <w:rsid w:val="00CE7B20"/>
    <w:rsid w:val="00D017F2"/>
    <w:rsid w:val="00D0375B"/>
    <w:rsid w:val="00D346C3"/>
    <w:rsid w:val="00D349E8"/>
    <w:rsid w:val="00D35CA9"/>
    <w:rsid w:val="00D43C22"/>
    <w:rsid w:val="00D502C4"/>
    <w:rsid w:val="00D50871"/>
    <w:rsid w:val="00D542B8"/>
    <w:rsid w:val="00D60E05"/>
    <w:rsid w:val="00D678AA"/>
    <w:rsid w:val="00D74ADB"/>
    <w:rsid w:val="00D822E8"/>
    <w:rsid w:val="00D83DAC"/>
    <w:rsid w:val="00D92AA6"/>
    <w:rsid w:val="00DB2DD6"/>
    <w:rsid w:val="00DB409B"/>
    <w:rsid w:val="00DB53F8"/>
    <w:rsid w:val="00DB6D2A"/>
    <w:rsid w:val="00DC26B0"/>
    <w:rsid w:val="00DD39AE"/>
    <w:rsid w:val="00DD40B1"/>
    <w:rsid w:val="00DE45EC"/>
    <w:rsid w:val="00DE602F"/>
    <w:rsid w:val="00DE6C77"/>
    <w:rsid w:val="00DF63A0"/>
    <w:rsid w:val="00E054EE"/>
    <w:rsid w:val="00E104E5"/>
    <w:rsid w:val="00E220E4"/>
    <w:rsid w:val="00E276DB"/>
    <w:rsid w:val="00E42C09"/>
    <w:rsid w:val="00E4403E"/>
    <w:rsid w:val="00E56D36"/>
    <w:rsid w:val="00E66408"/>
    <w:rsid w:val="00E674FB"/>
    <w:rsid w:val="00E67D85"/>
    <w:rsid w:val="00E73558"/>
    <w:rsid w:val="00E80156"/>
    <w:rsid w:val="00E9330E"/>
    <w:rsid w:val="00E95856"/>
    <w:rsid w:val="00E95F55"/>
    <w:rsid w:val="00E9604E"/>
    <w:rsid w:val="00EA5946"/>
    <w:rsid w:val="00EB42DB"/>
    <w:rsid w:val="00EB7C07"/>
    <w:rsid w:val="00EC0E82"/>
    <w:rsid w:val="00EE2080"/>
    <w:rsid w:val="00EE55A6"/>
    <w:rsid w:val="00EF3DA0"/>
    <w:rsid w:val="00EF5C8B"/>
    <w:rsid w:val="00EF6EA7"/>
    <w:rsid w:val="00EF7644"/>
    <w:rsid w:val="00F01600"/>
    <w:rsid w:val="00F0276C"/>
    <w:rsid w:val="00F06856"/>
    <w:rsid w:val="00F14332"/>
    <w:rsid w:val="00F26BFC"/>
    <w:rsid w:val="00F31A77"/>
    <w:rsid w:val="00F34906"/>
    <w:rsid w:val="00F3624C"/>
    <w:rsid w:val="00F41F8C"/>
    <w:rsid w:val="00F716BE"/>
    <w:rsid w:val="00F7750F"/>
    <w:rsid w:val="00F84D01"/>
    <w:rsid w:val="00FA0E03"/>
    <w:rsid w:val="00FB37C4"/>
    <w:rsid w:val="00FB50F2"/>
    <w:rsid w:val="00FC3F4B"/>
    <w:rsid w:val="00FC5D9D"/>
    <w:rsid w:val="00FD5E76"/>
    <w:rsid w:val="00FD6BAC"/>
    <w:rsid w:val="00FE12C4"/>
    <w:rsid w:val="00FE55A7"/>
    <w:rsid w:val="00FF3233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CF88F9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5010BB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B6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7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A8B17-3082-4040-8E25-B31E3983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Gerard Gardiner (NHS GOLDEN JUBILEE)</cp:lastModifiedBy>
  <cp:revision>2</cp:revision>
  <cp:lastPrinted>2021-11-16T13:25:00Z</cp:lastPrinted>
  <dcterms:created xsi:type="dcterms:W3CDTF">2022-05-17T12:04:00Z</dcterms:created>
  <dcterms:modified xsi:type="dcterms:W3CDTF">2022-05-17T12:04:00Z</dcterms:modified>
</cp:coreProperties>
</file>