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C7218" w14:textId="77777777" w:rsidR="005C76AF" w:rsidRPr="005C76AF" w:rsidRDefault="005C76AF" w:rsidP="005C76AF">
      <w:pPr>
        <w:spacing w:after="120" w:line="240" w:lineRule="atLeast"/>
        <w:rPr>
          <w:rFonts w:ascii="Arial" w:hAnsi="Arial" w:cs="Arial"/>
          <w:b/>
          <w:sz w:val="44"/>
          <w:szCs w:val="48"/>
        </w:rPr>
      </w:pPr>
      <w:r w:rsidRPr="005C76AF">
        <w:rPr>
          <w:rFonts w:ascii="Arial" w:hAnsi="Arial" w:cs="Arial"/>
          <w:b/>
          <w:noProof/>
          <w:lang w:eastAsia="en-GB"/>
        </w:rPr>
        <w:drawing>
          <wp:anchor distT="0" distB="0" distL="114300" distR="114300" simplePos="0" relativeHeight="251661312" behindDoc="0" locked="0" layoutInCell="1" allowOverlap="1" wp14:anchorId="59EDD37B" wp14:editId="13D7046E">
            <wp:simplePos x="0" y="0"/>
            <wp:positionH relativeFrom="column">
              <wp:posOffset>0</wp:posOffset>
            </wp:positionH>
            <wp:positionV relativeFrom="paragraph">
              <wp:posOffset>0</wp:posOffset>
            </wp:positionV>
            <wp:extent cx="1103630" cy="638175"/>
            <wp:effectExtent l="0" t="0" r="1270" b="9525"/>
            <wp:wrapSquare wrapText="bothSides"/>
            <wp:docPr id="1" name="Picture 1" descr="C:\Users\z619924\AppData\Local\Microsoft\Windows\INetCache\Content.MSO\10F1E5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619924\AppData\Local\Microsoft\Windows\INetCache\Content.MSO\10F1E5E4.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3630" cy="638175"/>
                    </a:xfrm>
                    <a:prstGeom prst="rect">
                      <a:avLst/>
                    </a:prstGeom>
                    <a:noFill/>
                    <a:ln>
                      <a:noFill/>
                    </a:ln>
                  </pic:spPr>
                </pic:pic>
              </a:graphicData>
            </a:graphic>
          </wp:anchor>
        </w:drawing>
      </w:r>
      <w:r w:rsidRPr="005C76AF">
        <w:rPr>
          <w:rFonts w:ascii="Arial" w:hAnsi="Arial" w:cs="Arial"/>
          <w:b/>
          <w:szCs w:val="24"/>
        </w:rPr>
        <w:tab/>
      </w:r>
      <w:r w:rsidRPr="005C76AF">
        <w:rPr>
          <w:rFonts w:ascii="Arial" w:hAnsi="Arial" w:cs="Arial"/>
          <w:b/>
          <w:sz w:val="44"/>
          <w:szCs w:val="48"/>
        </w:rPr>
        <w:t xml:space="preserve">Preparing for </w:t>
      </w:r>
      <w:proofErr w:type="gramStart"/>
      <w:r w:rsidRPr="005C76AF">
        <w:rPr>
          <w:rFonts w:ascii="Arial" w:hAnsi="Arial" w:cs="Arial"/>
          <w:b/>
          <w:sz w:val="44"/>
          <w:szCs w:val="48"/>
        </w:rPr>
        <w:t>Winter</w:t>
      </w:r>
      <w:proofErr w:type="gramEnd"/>
      <w:r w:rsidRPr="005C76AF">
        <w:rPr>
          <w:rFonts w:ascii="Arial" w:hAnsi="Arial" w:cs="Arial"/>
          <w:b/>
          <w:sz w:val="44"/>
          <w:szCs w:val="48"/>
        </w:rPr>
        <w:t xml:space="preserve"> 2022/23</w:t>
      </w:r>
    </w:p>
    <w:p w14:paraId="6A41C541" w14:textId="77777777" w:rsidR="005C76AF" w:rsidRPr="005C76AF" w:rsidRDefault="005C76AF" w:rsidP="005C76AF">
      <w:pPr>
        <w:spacing w:after="120" w:line="240" w:lineRule="atLeast"/>
        <w:rPr>
          <w:rFonts w:ascii="Arial" w:hAnsi="Arial" w:cs="Arial"/>
          <w:b/>
          <w:sz w:val="44"/>
          <w:szCs w:val="48"/>
        </w:rPr>
      </w:pPr>
      <w:r w:rsidRPr="005C76AF">
        <w:rPr>
          <w:rFonts w:ascii="Arial" w:hAnsi="Arial" w:cs="Arial"/>
          <w:b/>
          <w:sz w:val="44"/>
          <w:szCs w:val="48"/>
        </w:rPr>
        <w:tab/>
        <w:t>Checklist of Winter Preparedness</w:t>
      </w:r>
      <w:bookmarkStart w:id="0" w:name="_GoBack"/>
      <w:bookmarkEnd w:id="0"/>
    </w:p>
    <w:p w14:paraId="783933D7" w14:textId="77777777" w:rsidR="005C76AF" w:rsidRPr="005C76AF" w:rsidRDefault="005C76AF" w:rsidP="005C76AF">
      <w:pPr>
        <w:spacing w:after="120" w:line="240" w:lineRule="atLeast"/>
        <w:rPr>
          <w:rFonts w:ascii="Arial" w:hAnsi="Arial" w:cs="Arial"/>
          <w:b/>
          <w:szCs w:val="24"/>
        </w:rPr>
      </w:pPr>
    </w:p>
    <w:p w14:paraId="3A7E15D9" w14:textId="5115F3D7" w:rsidR="00337DC9" w:rsidRPr="009B6158" w:rsidRDefault="005C76AF" w:rsidP="00337DC9">
      <w:pPr>
        <w:spacing w:after="120" w:line="240" w:lineRule="atLeast"/>
        <w:rPr>
          <w:rFonts w:ascii="Arial" w:hAnsi="Arial" w:cs="Arial"/>
          <w:b/>
          <w:i/>
          <w:szCs w:val="24"/>
        </w:rPr>
      </w:pPr>
      <w:r w:rsidRPr="005C76AF">
        <w:rPr>
          <w:rFonts w:ascii="Arial" w:hAnsi="Arial" w:cs="Arial"/>
          <w:b/>
          <w:i/>
          <w:szCs w:val="24"/>
        </w:rPr>
        <w:t>This Winter Preparedness checklist is to provide Scottish Government with assurance that winter preparedness plans are adequate and in place. If there are any areas within this checklist that have not been fully considered, it would be expected that Boards develop an action plan to ensure that appropriate action is taken to improve resilience. As a further line of defence, Boards may wish to engage internal audit in the review of this checklist.</w:t>
      </w:r>
    </w:p>
    <w:p w14:paraId="12190033" w14:textId="77777777" w:rsidR="00337DC9" w:rsidRPr="005C76AF" w:rsidRDefault="00337DC9" w:rsidP="00337DC9">
      <w:pPr>
        <w:tabs>
          <w:tab w:val="right" w:pos="9907"/>
        </w:tabs>
        <w:spacing w:after="120" w:line="240" w:lineRule="atLeast"/>
        <w:rPr>
          <w:rFonts w:ascii="Arial" w:hAnsi="Arial" w:cs="Arial"/>
          <w:b/>
          <w:sz w:val="28"/>
          <w:szCs w:val="28"/>
        </w:rPr>
      </w:pPr>
      <w:r w:rsidRPr="005C76AF">
        <w:rPr>
          <w:rFonts w:ascii="Arial" w:hAnsi="Arial" w:cs="Arial"/>
          <w:noProof/>
          <w:szCs w:val="24"/>
          <w:lang w:eastAsia="en-GB"/>
        </w:rPr>
        <mc:AlternateContent>
          <mc:Choice Requires="wps">
            <w:drawing>
              <wp:anchor distT="0" distB="0" distL="114300" distR="114300" simplePos="0" relativeHeight="251659264" behindDoc="0" locked="0" layoutInCell="1" allowOverlap="1" wp14:anchorId="07B34358" wp14:editId="718736BF">
                <wp:simplePos x="0" y="0"/>
                <wp:positionH relativeFrom="column">
                  <wp:posOffset>108642</wp:posOffset>
                </wp:positionH>
                <wp:positionV relativeFrom="paragraph">
                  <wp:posOffset>85223</wp:posOffset>
                </wp:positionV>
                <wp:extent cx="8600792" cy="2263366"/>
                <wp:effectExtent l="0" t="0" r="1016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0792" cy="2263366"/>
                        </a:xfrm>
                        <a:prstGeom prst="rect">
                          <a:avLst/>
                        </a:prstGeom>
                        <a:solidFill>
                          <a:srgbClr val="FFFFFF"/>
                        </a:solidFill>
                        <a:ln w="9525">
                          <a:solidFill>
                            <a:srgbClr val="000000"/>
                          </a:solidFill>
                          <a:miter lim="800000"/>
                          <a:headEnd/>
                          <a:tailEnd/>
                        </a:ln>
                      </wps:spPr>
                      <wps:txbx>
                        <w:txbxContent>
                          <w:p w14:paraId="7B31E1AA" w14:textId="4C1AB7F1" w:rsidR="00337DC9" w:rsidRPr="005C76AF" w:rsidRDefault="005C76AF" w:rsidP="00337DC9">
                            <w:pPr>
                              <w:rPr>
                                <w:rFonts w:ascii="Arial" w:hAnsi="Arial" w:cs="Arial"/>
                                <w:b/>
                                <w:sz w:val="28"/>
                                <w:szCs w:val="28"/>
                              </w:rPr>
                            </w:pPr>
                            <w:r w:rsidRPr="005C76AF">
                              <w:rPr>
                                <w:rFonts w:ascii="Arial" w:hAnsi="Arial" w:cs="Arial"/>
                                <w:b/>
                                <w:sz w:val="28"/>
                                <w:szCs w:val="28"/>
                              </w:rPr>
                              <w:t>Areas of assurance</w:t>
                            </w:r>
                          </w:p>
                          <w:p w14:paraId="43AB3024"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Resilience Preparedness</w:t>
                            </w:r>
                          </w:p>
                          <w:p w14:paraId="1962B8CF"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 xml:space="preserve">Urgent and Unscheduled Care </w:t>
                            </w:r>
                          </w:p>
                          <w:p w14:paraId="7B58ADF8"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Intermediate / Step Down Care</w:t>
                            </w:r>
                          </w:p>
                          <w:p w14:paraId="1416FBF5"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Primary Care</w:t>
                            </w:r>
                          </w:p>
                          <w:p w14:paraId="50CC9908"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Primary Care Out of Hours</w:t>
                            </w:r>
                          </w:p>
                          <w:p w14:paraId="54179621"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Planned Care</w:t>
                            </w:r>
                          </w:p>
                          <w:p w14:paraId="27E7621B"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COVID -19, RSV, Seasonal Flu, Norovirus, Staff Protection &amp; Outbreak Resourcing</w:t>
                            </w:r>
                          </w:p>
                          <w:p w14:paraId="72AB71C8"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Workforce</w:t>
                            </w:r>
                          </w:p>
                          <w:p w14:paraId="36390CE7"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Digital and Technology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B34358" id="_x0000_t202" coordsize="21600,21600" o:spt="202" path="m,l,21600r21600,l21600,xe">
                <v:stroke joinstyle="miter"/>
                <v:path gradientshapeok="t" o:connecttype="rect"/>
              </v:shapetype>
              <v:shape id="Text Box 7" o:spid="_x0000_s1026" type="#_x0000_t202" style="position:absolute;margin-left:8.55pt;margin-top:6.7pt;width:677.25pt;height:17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">
                <v:textbox>
                  <w:txbxContent>
                    <w:p w14:paraId="7B31E1AA" w14:textId="4C1AB7F1" w:rsidR="00337DC9" w:rsidRPr="005C76AF" w:rsidRDefault="005C76AF" w:rsidP="00337DC9">
                      <w:pPr>
                        <w:rPr>
                          <w:rFonts w:ascii="Arial" w:hAnsi="Arial" w:cs="Arial"/>
                          <w:b/>
                          <w:sz w:val="28"/>
                          <w:szCs w:val="28"/>
                        </w:rPr>
                      </w:pPr>
                      <w:r w:rsidRPr="005C76AF">
                        <w:rPr>
                          <w:rFonts w:ascii="Arial" w:hAnsi="Arial" w:cs="Arial"/>
                          <w:b/>
                          <w:sz w:val="28"/>
                          <w:szCs w:val="28"/>
                        </w:rPr>
                        <w:t>Areas of assurance</w:t>
                      </w:r>
                    </w:p>
                    <w:p w14:paraId="43AB3024"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Resilience Preparedness</w:t>
                      </w:r>
                    </w:p>
                    <w:p w14:paraId="1962B8CF"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 xml:space="preserve">Urgent and Unscheduled Care </w:t>
                      </w:r>
                    </w:p>
                    <w:p w14:paraId="7B58ADF8"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Intermediate / Step Down Care</w:t>
                      </w:r>
                    </w:p>
                    <w:p w14:paraId="1416FBF5"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Primary Care</w:t>
                      </w:r>
                    </w:p>
                    <w:p w14:paraId="50CC9908"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Primary Care Out of Hours</w:t>
                      </w:r>
                    </w:p>
                    <w:p w14:paraId="54179621"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Planned Care</w:t>
                      </w:r>
                    </w:p>
                    <w:p w14:paraId="27E7621B"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COVID -19, RSV, Seasonal Flu, Norovirus, Staff Protection &amp; Outbreak Resourcing</w:t>
                      </w:r>
                    </w:p>
                    <w:p w14:paraId="72AB71C8"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Workforce</w:t>
                      </w:r>
                    </w:p>
                    <w:p w14:paraId="36390CE7" w14:textId="77777777" w:rsidR="00337DC9" w:rsidRPr="005C76AF" w:rsidRDefault="00337DC9" w:rsidP="00337DC9">
                      <w:pPr>
                        <w:numPr>
                          <w:ilvl w:val="0"/>
                          <w:numId w:val="13"/>
                        </w:numPr>
                        <w:tabs>
                          <w:tab w:val="left" w:pos="720"/>
                          <w:tab w:val="left" w:pos="1440"/>
                          <w:tab w:val="left" w:pos="2160"/>
                          <w:tab w:val="left" w:pos="2880"/>
                          <w:tab w:val="right" w:pos="9907"/>
                        </w:tabs>
                        <w:spacing w:after="0" w:line="240" w:lineRule="auto"/>
                        <w:jc w:val="both"/>
                        <w:rPr>
                          <w:rFonts w:ascii="Arial" w:hAnsi="Arial" w:cs="Arial"/>
                          <w:sz w:val="28"/>
                          <w:szCs w:val="28"/>
                        </w:rPr>
                      </w:pPr>
                      <w:r w:rsidRPr="005C76AF">
                        <w:rPr>
                          <w:rFonts w:ascii="Arial" w:hAnsi="Arial" w:cs="Arial"/>
                          <w:sz w:val="28"/>
                          <w:szCs w:val="28"/>
                        </w:rPr>
                        <w:t>Digital and Technology</w:t>
                      </w:r>
                    </w:p>
                  </w:txbxContent>
                </v:textbox>
              </v:shape>
            </w:pict>
          </mc:Fallback>
        </mc:AlternateContent>
      </w:r>
    </w:p>
    <w:p w14:paraId="64295A40" w14:textId="77777777" w:rsidR="00337DC9" w:rsidRPr="005C76AF" w:rsidRDefault="00337DC9" w:rsidP="00337DC9">
      <w:pPr>
        <w:tabs>
          <w:tab w:val="right" w:pos="9907"/>
        </w:tabs>
        <w:spacing w:after="120" w:line="240" w:lineRule="atLeast"/>
        <w:rPr>
          <w:rFonts w:ascii="Arial" w:hAnsi="Arial" w:cs="Arial"/>
          <w:b/>
          <w:sz w:val="32"/>
          <w:szCs w:val="32"/>
        </w:rPr>
      </w:pPr>
      <w:r w:rsidRPr="005C76AF">
        <w:rPr>
          <w:rFonts w:ascii="Arial" w:hAnsi="Arial" w:cs="Arial"/>
          <w:b/>
          <w:sz w:val="32"/>
          <w:szCs w:val="32"/>
        </w:rPr>
        <w:t xml:space="preserve"> </w:t>
      </w:r>
    </w:p>
    <w:p w14:paraId="21782C28" w14:textId="77777777" w:rsidR="00337DC9" w:rsidRPr="005C76AF" w:rsidRDefault="00337DC9" w:rsidP="00337DC9">
      <w:pPr>
        <w:tabs>
          <w:tab w:val="right" w:pos="9907"/>
        </w:tabs>
        <w:spacing w:after="120" w:line="240" w:lineRule="atLeast"/>
        <w:rPr>
          <w:rFonts w:ascii="Arial" w:hAnsi="Arial" w:cs="Arial"/>
          <w:b/>
          <w:sz w:val="28"/>
          <w:szCs w:val="28"/>
        </w:rPr>
      </w:pPr>
    </w:p>
    <w:p w14:paraId="1A42CB62" w14:textId="77777777" w:rsidR="00337DC9" w:rsidRPr="005C76AF" w:rsidRDefault="00337DC9" w:rsidP="00337DC9">
      <w:pPr>
        <w:tabs>
          <w:tab w:val="right" w:pos="9907"/>
        </w:tabs>
        <w:spacing w:after="120" w:line="240" w:lineRule="atLeast"/>
        <w:ind w:left="720"/>
        <w:rPr>
          <w:rFonts w:ascii="Arial" w:hAnsi="Arial" w:cs="Arial"/>
          <w:b/>
          <w:sz w:val="32"/>
          <w:szCs w:val="32"/>
        </w:rPr>
      </w:pPr>
    </w:p>
    <w:p w14:paraId="0F8121B5" w14:textId="77777777" w:rsidR="00337DC9" w:rsidRPr="005C76AF" w:rsidRDefault="00337DC9" w:rsidP="00337DC9">
      <w:pPr>
        <w:tabs>
          <w:tab w:val="right" w:pos="9907"/>
        </w:tabs>
        <w:spacing w:after="120" w:line="240" w:lineRule="atLeast"/>
        <w:ind w:left="720"/>
        <w:rPr>
          <w:rFonts w:ascii="Arial" w:hAnsi="Arial" w:cs="Arial"/>
          <w:b/>
          <w:sz w:val="28"/>
          <w:szCs w:val="28"/>
        </w:rPr>
      </w:pPr>
    </w:p>
    <w:p w14:paraId="67F6CB95" w14:textId="77777777" w:rsidR="00337DC9" w:rsidRPr="005C76AF" w:rsidRDefault="00337DC9" w:rsidP="00337DC9">
      <w:pPr>
        <w:tabs>
          <w:tab w:val="right" w:pos="9907"/>
        </w:tabs>
        <w:spacing w:after="120" w:line="240" w:lineRule="atLeast"/>
        <w:ind w:left="720"/>
        <w:rPr>
          <w:rFonts w:ascii="Arial" w:hAnsi="Arial" w:cs="Arial"/>
          <w:b/>
          <w:sz w:val="32"/>
          <w:szCs w:val="32"/>
        </w:rPr>
      </w:pPr>
    </w:p>
    <w:p w14:paraId="01ED0121" w14:textId="77777777" w:rsidR="00337DC9" w:rsidRPr="005C76AF" w:rsidRDefault="00337DC9" w:rsidP="00337DC9">
      <w:pPr>
        <w:tabs>
          <w:tab w:val="right" w:pos="9907"/>
        </w:tabs>
        <w:spacing w:after="120" w:line="240" w:lineRule="atLeast"/>
        <w:ind w:left="720"/>
        <w:rPr>
          <w:rFonts w:ascii="Arial" w:hAnsi="Arial" w:cs="Arial"/>
          <w:b/>
          <w:sz w:val="32"/>
          <w:szCs w:val="32"/>
        </w:rPr>
      </w:pPr>
    </w:p>
    <w:p w14:paraId="7C50F4F9" w14:textId="77777777" w:rsidR="00337DC9" w:rsidRPr="005C76AF" w:rsidRDefault="00337DC9" w:rsidP="00337DC9">
      <w:pPr>
        <w:tabs>
          <w:tab w:val="right" w:pos="9907"/>
        </w:tabs>
        <w:spacing w:after="120" w:line="240" w:lineRule="atLeast"/>
        <w:ind w:left="720"/>
        <w:rPr>
          <w:rFonts w:ascii="Arial" w:hAnsi="Arial" w:cs="Arial"/>
          <w:b/>
          <w:sz w:val="32"/>
          <w:szCs w:val="32"/>
        </w:rPr>
      </w:pPr>
    </w:p>
    <w:p w14:paraId="6087FA10" w14:textId="77777777" w:rsidR="00337DC9" w:rsidRPr="005C76AF" w:rsidRDefault="00337DC9" w:rsidP="005C76AF">
      <w:pPr>
        <w:tabs>
          <w:tab w:val="right" w:pos="9907"/>
        </w:tabs>
        <w:spacing w:after="120" w:line="240" w:lineRule="atLeast"/>
        <w:ind w:left="720" w:firstLine="720"/>
        <w:rPr>
          <w:rFonts w:ascii="Arial" w:hAnsi="Arial" w:cs="Arial"/>
          <w:b/>
          <w:sz w:val="10"/>
          <w:szCs w:val="32"/>
        </w:rPr>
      </w:pPr>
    </w:p>
    <w:p w14:paraId="16138772" w14:textId="58927620" w:rsidR="005C76AF" w:rsidRPr="00F81D8C" w:rsidRDefault="005C76AF" w:rsidP="005C76AF">
      <w:pPr>
        <w:pBdr>
          <w:top w:val="triple" w:sz="4" w:space="1" w:color="auto"/>
        </w:pBdr>
        <w:tabs>
          <w:tab w:val="left" w:pos="3969"/>
          <w:tab w:val="left" w:pos="4820"/>
          <w:tab w:val="right" w:pos="9907"/>
        </w:tabs>
        <w:spacing w:after="120" w:line="240" w:lineRule="atLeast"/>
        <w:ind w:left="720" w:right="350"/>
        <w:rPr>
          <w:rFonts w:ascii="Arial" w:eastAsia="Times New Roman" w:hAnsi="Arial" w:cs="Arial"/>
          <w:sz w:val="32"/>
          <w:szCs w:val="32"/>
        </w:rPr>
      </w:pPr>
      <w:r w:rsidRPr="005C76AF">
        <w:rPr>
          <w:rFonts w:ascii="Arial" w:eastAsia="Times New Roman" w:hAnsi="Arial" w:cs="Arial"/>
          <w:sz w:val="32"/>
          <w:szCs w:val="32"/>
        </w:rPr>
        <w:t>Checklist completed for</w:t>
      </w:r>
      <w:r w:rsidRPr="005C76AF">
        <w:rPr>
          <w:rFonts w:ascii="Arial" w:eastAsia="Times New Roman" w:hAnsi="Arial" w:cs="Arial"/>
          <w:i/>
          <w:sz w:val="32"/>
          <w:szCs w:val="32"/>
        </w:rPr>
        <w:t xml:space="preserve"> </w:t>
      </w:r>
      <w:r w:rsidRPr="005C76AF">
        <w:rPr>
          <w:rFonts w:ascii="Arial" w:eastAsia="Times New Roman" w:hAnsi="Arial" w:cs="Arial"/>
          <w:i/>
          <w:sz w:val="32"/>
          <w:szCs w:val="32"/>
        </w:rPr>
        <w:tab/>
      </w:r>
      <w:r w:rsidR="0089431D">
        <w:rPr>
          <w:rFonts w:ascii="Arial" w:eastAsia="Times New Roman" w:hAnsi="Arial" w:cs="Arial"/>
          <w:sz w:val="32"/>
          <w:szCs w:val="32"/>
        </w:rPr>
        <w:t>NHS Golden Jubilee</w:t>
      </w:r>
    </w:p>
    <w:p w14:paraId="063FE760" w14:textId="2B0EBA14" w:rsidR="005C76AF" w:rsidRPr="005C76AF" w:rsidRDefault="005C76AF" w:rsidP="005C76AF">
      <w:pPr>
        <w:tabs>
          <w:tab w:val="left" w:pos="4820"/>
          <w:tab w:val="right" w:pos="9907"/>
        </w:tabs>
        <w:spacing w:after="120" w:line="240" w:lineRule="atLeast"/>
        <w:ind w:left="720"/>
        <w:rPr>
          <w:rFonts w:ascii="Arial" w:eastAsia="Times New Roman" w:hAnsi="Arial" w:cs="Arial"/>
          <w:i/>
          <w:sz w:val="32"/>
          <w:szCs w:val="32"/>
        </w:rPr>
      </w:pPr>
      <w:r w:rsidRPr="005C76AF">
        <w:rPr>
          <w:rFonts w:ascii="Arial" w:eastAsia="Times New Roman" w:hAnsi="Arial" w:cs="Arial"/>
          <w:sz w:val="32"/>
          <w:szCs w:val="32"/>
        </w:rPr>
        <w:t xml:space="preserve">Checklist signed off by: </w:t>
      </w:r>
      <w:r w:rsidRPr="005C76AF">
        <w:rPr>
          <w:rFonts w:ascii="Arial" w:eastAsia="Times New Roman" w:hAnsi="Arial" w:cs="Arial"/>
          <w:sz w:val="32"/>
          <w:szCs w:val="32"/>
        </w:rPr>
        <w:tab/>
      </w:r>
      <w:r w:rsidR="009B6158">
        <w:rPr>
          <w:rFonts w:ascii="Arial" w:eastAsia="Times New Roman" w:hAnsi="Arial" w:cs="Arial"/>
          <w:i/>
          <w:color w:val="FF0000"/>
          <w:sz w:val="32"/>
          <w:szCs w:val="32"/>
        </w:rPr>
        <w:t>NHS Golden Jubilee Executive Directors Group. Completed by Rikki Young (Head of Planning)</w:t>
      </w:r>
    </w:p>
    <w:p w14:paraId="5C9C01E0" w14:textId="441E61DD" w:rsidR="005C76AF" w:rsidRPr="005C76AF" w:rsidRDefault="005C76AF" w:rsidP="005C76AF">
      <w:pPr>
        <w:pBdr>
          <w:bottom w:val="triple" w:sz="4" w:space="1" w:color="auto"/>
        </w:pBdr>
        <w:tabs>
          <w:tab w:val="left" w:pos="4820"/>
          <w:tab w:val="right" w:pos="9907"/>
        </w:tabs>
        <w:spacing w:after="120" w:line="240" w:lineRule="atLeast"/>
        <w:ind w:left="720" w:right="350"/>
        <w:rPr>
          <w:rFonts w:ascii="Arial" w:eastAsia="Times New Roman" w:hAnsi="Arial" w:cs="Arial"/>
          <w:i/>
          <w:color w:val="FF0000"/>
          <w:sz w:val="32"/>
          <w:szCs w:val="32"/>
        </w:rPr>
      </w:pPr>
      <w:r w:rsidRPr="005C76AF">
        <w:rPr>
          <w:rFonts w:ascii="Arial" w:eastAsia="Times New Roman" w:hAnsi="Arial" w:cs="Arial"/>
          <w:sz w:val="32"/>
          <w:szCs w:val="32"/>
        </w:rPr>
        <w:t>Date completed</w:t>
      </w:r>
      <w:r w:rsidRPr="005C76AF">
        <w:rPr>
          <w:rFonts w:ascii="Arial" w:eastAsia="Times New Roman" w:hAnsi="Arial" w:cs="Arial"/>
          <w:i/>
          <w:sz w:val="32"/>
          <w:szCs w:val="32"/>
        </w:rPr>
        <w:t>:</w:t>
      </w:r>
      <w:r w:rsidRPr="005C76AF">
        <w:rPr>
          <w:rFonts w:ascii="Arial" w:eastAsia="Times New Roman" w:hAnsi="Arial" w:cs="Arial"/>
          <w:i/>
          <w:sz w:val="32"/>
          <w:szCs w:val="32"/>
        </w:rPr>
        <w:tab/>
      </w:r>
      <w:r w:rsidR="00BE251C">
        <w:rPr>
          <w:rFonts w:ascii="Arial" w:eastAsia="Times New Roman" w:hAnsi="Arial" w:cs="Arial"/>
          <w:i/>
          <w:color w:val="FF0000"/>
          <w:sz w:val="32"/>
          <w:szCs w:val="32"/>
        </w:rPr>
        <w:t>7 November 2022</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2616"/>
        <w:gridCol w:w="1559"/>
      </w:tblGrid>
      <w:tr w:rsidR="00337DC9" w:rsidRPr="005C76AF" w14:paraId="13C7D603" w14:textId="77777777" w:rsidTr="00BA7696">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0C2F0" w14:textId="77777777" w:rsidR="00337DC9" w:rsidRPr="005C76AF" w:rsidRDefault="00337DC9" w:rsidP="00D235B3">
            <w:pPr>
              <w:tabs>
                <w:tab w:val="right" w:pos="9907"/>
              </w:tabs>
              <w:spacing w:after="120" w:line="240" w:lineRule="atLeast"/>
              <w:rPr>
                <w:rFonts w:ascii="Arial" w:hAnsi="Arial" w:cs="Arial"/>
                <w:b/>
                <w:color w:val="1F497D"/>
                <w:sz w:val="24"/>
                <w:szCs w:val="28"/>
              </w:rPr>
            </w:pPr>
            <w:r w:rsidRPr="005C76AF">
              <w:rPr>
                <w:rFonts w:ascii="Arial" w:hAnsi="Arial" w:cs="Arial"/>
                <w:b/>
                <w:color w:val="1F497D"/>
                <w:sz w:val="24"/>
                <w:szCs w:val="28"/>
              </w:rPr>
              <w:lastRenderedPageBreak/>
              <w:t>Ref</w:t>
            </w:r>
          </w:p>
        </w:tc>
        <w:tc>
          <w:tcPr>
            <w:tcW w:w="12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32903" w14:textId="77777777" w:rsidR="00337DC9" w:rsidRPr="005C76AF" w:rsidRDefault="00337DC9" w:rsidP="00D235B3">
            <w:pPr>
              <w:tabs>
                <w:tab w:val="right" w:pos="9907"/>
              </w:tabs>
              <w:autoSpaceDE w:val="0"/>
              <w:autoSpaceDN w:val="0"/>
              <w:adjustRightInd w:val="0"/>
              <w:spacing w:after="120" w:line="240" w:lineRule="atLeast"/>
              <w:jc w:val="center"/>
              <w:rPr>
                <w:rFonts w:ascii="Arial" w:hAnsi="Arial" w:cs="Arial"/>
                <w:b/>
                <w:color w:val="1F497D"/>
                <w:sz w:val="24"/>
                <w:szCs w:val="28"/>
              </w:rPr>
            </w:pPr>
            <w:r w:rsidRPr="005C76AF">
              <w:rPr>
                <w:rFonts w:ascii="Arial" w:hAnsi="Arial" w:cs="Arial"/>
                <w:b/>
                <w:color w:val="1F497D"/>
                <w:sz w:val="24"/>
                <w:szCs w:val="28"/>
              </w:rPr>
              <w:t>Area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917EF" w14:textId="77777777" w:rsidR="00337DC9" w:rsidRPr="005C76AF" w:rsidRDefault="00337DC9" w:rsidP="00D235B3">
            <w:pPr>
              <w:tabs>
                <w:tab w:val="right" w:pos="9907"/>
              </w:tabs>
              <w:autoSpaceDE w:val="0"/>
              <w:autoSpaceDN w:val="0"/>
              <w:adjustRightInd w:val="0"/>
              <w:spacing w:after="120" w:line="240" w:lineRule="atLeast"/>
              <w:jc w:val="center"/>
              <w:rPr>
                <w:rFonts w:ascii="Arial" w:hAnsi="Arial" w:cs="Arial"/>
                <w:b/>
                <w:color w:val="FF0000"/>
                <w:sz w:val="24"/>
              </w:rPr>
            </w:pPr>
            <w:r w:rsidRPr="005C76AF">
              <w:rPr>
                <w:rFonts w:ascii="Arial" w:hAnsi="Arial" w:cs="Arial"/>
                <w:b/>
                <w:color w:val="1F497D"/>
                <w:sz w:val="24"/>
                <w:szCs w:val="28"/>
              </w:rPr>
              <w:t>Board Response</w:t>
            </w:r>
          </w:p>
        </w:tc>
      </w:tr>
      <w:tr w:rsidR="00337DC9" w:rsidRPr="005C76AF" w14:paraId="439425AD" w14:textId="77777777" w:rsidTr="00BA7696">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469EEAE" w14:textId="77777777" w:rsidR="00337DC9" w:rsidRPr="005C76AF" w:rsidRDefault="00337DC9" w:rsidP="00D235B3">
            <w:pPr>
              <w:tabs>
                <w:tab w:val="right" w:pos="9907"/>
              </w:tabs>
              <w:spacing w:after="120" w:line="240" w:lineRule="atLeast"/>
              <w:rPr>
                <w:rFonts w:ascii="Arial" w:hAnsi="Arial" w:cs="Arial"/>
                <w:b/>
                <w:color w:val="FF0000"/>
                <w:szCs w:val="24"/>
              </w:rPr>
            </w:pPr>
            <w:r w:rsidRPr="005C76AF">
              <w:rPr>
                <w:rFonts w:ascii="Arial" w:hAnsi="Arial" w:cs="Arial"/>
                <w:b/>
                <w:color w:val="1F497D"/>
                <w:sz w:val="28"/>
                <w:szCs w:val="24"/>
              </w:rPr>
              <w:t>1</w:t>
            </w:r>
          </w:p>
        </w:tc>
        <w:tc>
          <w:tcPr>
            <w:tcW w:w="126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EF66EE4" w14:textId="77777777" w:rsidR="00337DC9" w:rsidRPr="005C76AF" w:rsidRDefault="00337DC9" w:rsidP="00D235B3">
            <w:pPr>
              <w:tabs>
                <w:tab w:val="right" w:pos="9907"/>
              </w:tabs>
              <w:autoSpaceDE w:val="0"/>
              <w:autoSpaceDN w:val="0"/>
              <w:adjustRightInd w:val="0"/>
              <w:spacing w:after="120" w:line="240" w:lineRule="atLeast"/>
              <w:jc w:val="center"/>
              <w:rPr>
                <w:rFonts w:ascii="Arial" w:hAnsi="Arial" w:cs="Arial"/>
                <w:b/>
                <w:color w:val="1F497D"/>
                <w:szCs w:val="24"/>
              </w:rPr>
            </w:pPr>
            <w:r w:rsidRPr="005C76AF">
              <w:rPr>
                <w:rFonts w:ascii="Arial" w:hAnsi="Arial" w:cs="Arial"/>
                <w:b/>
                <w:color w:val="1F497D"/>
                <w:szCs w:val="24"/>
              </w:rPr>
              <w:t>Resilience Preparedness</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F08E709" w14:textId="77777777" w:rsidR="00337DC9" w:rsidRPr="005C76AF" w:rsidRDefault="00337DC9" w:rsidP="00D235B3">
            <w:pPr>
              <w:tabs>
                <w:tab w:val="right" w:pos="9907"/>
              </w:tabs>
              <w:spacing w:after="120" w:line="240" w:lineRule="atLeast"/>
              <w:rPr>
                <w:rFonts w:ascii="Arial" w:hAnsi="Arial" w:cs="Arial"/>
                <w:b/>
                <w:color w:val="FF0000"/>
              </w:rPr>
            </w:pPr>
          </w:p>
        </w:tc>
      </w:tr>
      <w:tr w:rsidR="00337DC9" w:rsidRPr="005C76AF" w14:paraId="217C88A8" w14:textId="77777777" w:rsidTr="00BA7696">
        <w:trPr>
          <w:trHeight w:val="747"/>
        </w:trPr>
        <w:tc>
          <w:tcPr>
            <w:tcW w:w="710" w:type="dxa"/>
            <w:tcBorders>
              <w:top w:val="single" w:sz="4" w:space="0" w:color="auto"/>
              <w:left w:val="single" w:sz="4" w:space="0" w:color="auto"/>
              <w:bottom w:val="single" w:sz="4" w:space="0" w:color="auto"/>
              <w:right w:val="single" w:sz="4" w:space="0" w:color="auto"/>
            </w:tcBorders>
          </w:tcPr>
          <w:p w14:paraId="25763CC9"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1.1</w:t>
            </w:r>
          </w:p>
        </w:tc>
        <w:tc>
          <w:tcPr>
            <w:tcW w:w="12616" w:type="dxa"/>
            <w:tcBorders>
              <w:top w:val="single" w:sz="4" w:space="0" w:color="auto"/>
              <w:left w:val="single" w:sz="4" w:space="0" w:color="auto"/>
              <w:bottom w:val="single" w:sz="4" w:space="0" w:color="auto"/>
              <w:right w:val="single" w:sz="4" w:space="0" w:color="auto"/>
            </w:tcBorders>
          </w:tcPr>
          <w:p w14:paraId="4406A3D1" w14:textId="77777777" w:rsidR="00337DC9" w:rsidRPr="005C76AF" w:rsidRDefault="00337DC9" w:rsidP="00D235B3">
            <w:pPr>
              <w:tabs>
                <w:tab w:val="right" w:pos="9907"/>
              </w:tabs>
              <w:autoSpaceDE w:val="0"/>
              <w:autoSpaceDN w:val="0"/>
              <w:adjustRightInd w:val="0"/>
              <w:spacing w:after="60" w:line="240" w:lineRule="atLeast"/>
              <w:rPr>
                <w:rFonts w:ascii="Arial" w:hAnsi="Arial" w:cs="Arial"/>
                <w:b/>
              </w:rPr>
            </w:pPr>
            <w:r w:rsidRPr="005C76AF">
              <w:rPr>
                <w:rFonts w:ascii="Arial" w:hAnsi="Arial" w:cs="Arial"/>
                <w:b/>
              </w:rPr>
              <w:t>Scope and collaboration in development of plans</w:t>
            </w:r>
          </w:p>
          <w:p w14:paraId="4DC756A0" w14:textId="77777777" w:rsidR="00337DC9" w:rsidRPr="005C76AF" w:rsidRDefault="00337DC9" w:rsidP="00D235B3">
            <w:pPr>
              <w:tabs>
                <w:tab w:val="right" w:pos="9907"/>
              </w:tabs>
              <w:autoSpaceDE w:val="0"/>
              <w:autoSpaceDN w:val="0"/>
              <w:adjustRightInd w:val="0"/>
              <w:spacing w:after="60" w:line="240" w:lineRule="atLeast"/>
              <w:rPr>
                <w:rFonts w:ascii="Arial" w:hAnsi="Arial" w:cs="Arial"/>
              </w:rPr>
            </w:pPr>
            <w:r w:rsidRPr="005C76AF">
              <w:rPr>
                <w:rFonts w:ascii="Arial" w:hAnsi="Arial" w:cs="Arial"/>
              </w:rPr>
              <w:t>Winter Plans clearly demonstrate processes to ensure robust collaboration and joint working across the interface of general practice, secondary care and Health and Social Care Partnerships, to ensure a whole-system multi-disciplinary approach to winter planning</w:t>
            </w:r>
          </w:p>
          <w:p w14:paraId="73531FD3" w14:textId="77777777" w:rsidR="00337DC9" w:rsidRPr="005C76AF" w:rsidRDefault="00337DC9" w:rsidP="00D235B3">
            <w:pPr>
              <w:tabs>
                <w:tab w:val="right" w:pos="9907"/>
              </w:tabs>
              <w:autoSpaceDE w:val="0"/>
              <w:autoSpaceDN w:val="0"/>
              <w:adjustRightInd w:val="0"/>
              <w:spacing w:after="60" w:line="240" w:lineRule="atLeast"/>
              <w:rPr>
                <w:rFonts w:ascii="Arial" w:hAnsi="Arial" w:cs="Arial"/>
              </w:rPr>
            </w:pPr>
            <w:r w:rsidRPr="005C76AF">
              <w:rPr>
                <w:rFonts w:ascii="Arial" w:hAnsi="Arial" w:cs="Arial"/>
              </w:rPr>
              <w:t>Plans have been developed through joint working between the Board, associated HSCPs, and other key partners (i.e. SAS) in clearly set out how this plan will be delivered through joint mechanisms.</w:t>
            </w:r>
          </w:p>
        </w:tc>
        <w:tc>
          <w:tcPr>
            <w:tcW w:w="1559" w:type="dxa"/>
            <w:tcBorders>
              <w:top w:val="single" w:sz="4" w:space="0" w:color="auto"/>
              <w:left w:val="single" w:sz="4" w:space="0" w:color="auto"/>
              <w:bottom w:val="single" w:sz="4" w:space="0" w:color="auto"/>
              <w:right w:val="single" w:sz="4" w:space="0" w:color="auto"/>
            </w:tcBorders>
            <w:vAlign w:val="center"/>
          </w:tcPr>
          <w:p w14:paraId="56F8CA7A" w14:textId="72F05005" w:rsidR="00337DC9" w:rsidRPr="005C76AF" w:rsidRDefault="00307356" w:rsidP="00307356">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4A874984" w14:textId="77777777" w:rsidTr="00BA7696">
        <w:trPr>
          <w:trHeight w:val="747"/>
        </w:trPr>
        <w:tc>
          <w:tcPr>
            <w:tcW w:w="710" w:type="dxa"/>
            <w:tcBorders>
              <w:top w:val="single" w:sz="4" w:space="0" w:color="auto"/>
              <w:left w:val="single" w:sz="4" w:space="0" w:color="auto"/>
              <w:bottom w:val="single" w:sz="4" w:space="0" w:color="auto"/>
              <w:right w:val="single" w:sz="4" w:space="0" w:color="auto"/>
            </w:tcBorders>
          </w:tcPr>
          <w:p w14:paraId="419362CF"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1.2</w:t>
            </w:r>
          </w:p>
        </w:tc>
        <w:tc>
          <w:tcPr>
            <w:tcW w:w="12616" w:type="dxa"/>
            <w:tcBorders>
              <w:top w:val="single" w:sz="4" w:space="0" w:color="auto"/>
              <w:left w:val="single" w:sz="4" w:space="0" w:color="auto"/>
              <w:bottom w:val="single" w:sz="4" w:space="0" w:color="auto"/>
              <w:right w:val="single" w:sz="4" w:space="0" w:color="auto"/>
            </w:tcBorders>
          </w:tcPr>
          <w:p w14:paraId="4E426781" w14:textId="77777777" w:rsidR="00337DC9" w:rsidRPr="005C76AF" w:rsidRDefault="00337DC9" w:rsidP="00D235B3">
            <w:pPr>
              <w:tabs>
                <w:tab w:val="right" w:pos="9907"/>
              </w:tabs>
              <w:autoSpaceDE w:val="0"/>
              <w:autoSpaceDN w:val="0"/>
              <w:adjustRightInd w:val="0"/>
              <w:spacing w:after="60" w:line="240" w:lineRule="atLeast"/>
              <w:rPr>
                <w:rFonts w:ascii="Arial" w:hAnsi="Arial" w:cs="Arial"/>
              </w:rPr>
            </w:pPr>
            <w:r w:rsidRPr="005C76AF">
              <w:rPr>
                <w:rFonts w:ascii="Arial" w:hAnsi="Arial" w:cs="Arial"/>
              </w:rPr>
              <w:t xml:space="preserve">Appropriate </w:t>
            </w:r>
            <w:r w:rsidRPr="005C76AF">
              <w:rPr>
                <w:rFonts w:ascii="Arial" w:hAnsi="Arial" w:cs="Arial"/>
                <w:b/>
              </w:rPr>
              <w:t>Business Continuity Management</w:t>
            </w:r>
            <w:r w:rsidRPr="005C76AF">
              <w:rPr>
                <w:rFonts w:ascii="Arial" w:hAnsi="Arial" w:cs="Arial"/>
              </w:rPr>
              <w:t xml:space="preserve"> arrangements are in place and regularly reviewed, exercised, and updated. These are in accordance with CCA 2004 Category 1 and 2 responsibilities and other guidance including:</w:t>
            </w:r>
          </w:p>
          <w:p w14:paraId="6489A491" w14:textId="77777777" w:rsidR="00337DC9" w:rsidRPr="005C76AF" w:rsidRDefault="00337DC9" w:rsidP="00337DC9">
            <w:pPr>
              <w:pStyle w:val="ListParagraph"/>
              <w:numPr>
                <w:ilvl w:val="0"/>
                <w:numId w:val="16"/>
              </w:numPr>
              <w:tabs>
                <w:tab w:val="right" w:pos="9907"/>
              </w:tabs>
              <w:autoSpaceDE w:val="0"/>
              <w:autoSpaceDN w:val="0"/>
              <w:adjustRightInd w:val="0"/>
              <w:spacing w:after="60" w:line="240" w:lineRule="atLeast"/>
              <w:rPr>
                <w:rFonts w:ascii="Arial" w:hAnsi="Arial" w:cs="Arial"/>
              </w:rPr>
            </w:pPr>
            <w:r w:rsidRPr="005C76AF">
              <w:rPr>
                <w:rFonts w:ascii="Arial" w:hAnsi="Arial" w:cs="Arial"/>
              </w:rPr>
              <w:t>NHS Scotland Standards for Organisational Resilience 2018.</w:t>
            </w:r>
          </w:p>
          <w:p w14:paraId="0F7B2D50" w14:textId="77777777" w:rsidR="00337DC9" w:rsidRPr="005C76AF" w:rsidRDefault="00337DC9" w:rsidP="00337DC9">
            <w:pPr>
              <w:pStyle w:val="ListParagraph"/>
              <w:numPr>
                <w:ilvl w:val="0"/>
                <w:numId w:val="16"/>
              </w:numPr>
              <w:tabs>
                <w:tab w:val="right" w:pos="9907"/>
              </w:tabs>
              <w:autoSpaceDE w:val="0"/>
              <w:autoSpaceDN w:val="0"/>
              <w:adjustRightInd w:val="0"/>
              <w:spacing w:after="60" w:line="240" w:lineRule="atLeast"/>
              <w:rPr>
                <w:rFonts w:ascii="Arial" w:hAnsi="Arial" w:cs="Arial"/>
                <w:b/>
              </w:rPr>
            </w:pPr>
            <w:r w:rsidRPr="005C76AF">
              <w:rPr>
                <w:rFonts w:ascii="Arial" w:hAnsi="Arial" w:cs="Arial"/>
              </w:rPr>
              <w:t>Preparing For Emergencies: Guidance for Health Boards in Scotland 2013.</w:t>
            </w:r>
          </w:p>
        </w:tc>
        <w:tc>
          <w:tcPr>
            <w:tcW w:w="1559" w:type="dxa"/>
            <w:tcBorders>
              <w:top w:val="single" w:sz="4" w:space="0" w:color="auto"/>
              <w:left w:val="single" w:sz="4" w:space="0" w:color="auto"/>
              <w:bottom w:val="single" w:sz="4" w:space="0" w:color="auto"/>
              <w:right w:val="single" w:sz="4" w:space="0" w:color="auto"/>
            </w:tcBorders>
            <w:vAlign w:val="center"/>
          </w:tcPr>
          <w:p w14:paraId="0386195A" w14:textId="0D753F6C" w:rsidR="00337DC9" w:rsidRPr="005C76AF" w:rsidRDefault="00307356" w:rsidP="00307356">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54D2755F" w14:textId="77777777" w:rsidTr="00BA7696">
        <w:trPr>
          <w:trHeight w:val="747"/>
        </w:trPr>
        <w:tc>
          <w:tcPr>
            <w:tcW w:w="710" w:type="dxa"/>
            <w:tcBorders>
              <w:top w:val="single" w:sz="4" w:space="0" w:color="auto"/>
              <w:left w:val="single" w:sz="4" w:space="0" w:color="auto"/>
              <w:bottom w:val="single" w:sz="4" w:space="0" w:color="auto"/>
              <w:right w:val="single" w:sz="4" w:space="0" w:color="auto"/>
            </w:tcBorders>
            <w:hideMark/>
          </w:tcPr>
          <w:p w14:paraId="431C3328" w14:textId="22F20663" w:rsidR="00337DC9" w:rsidRPr="005C76AF" w:rsidRDefault="005C76AF" w:rsidP="00D235B3">
            <w:pPr>
              <w:tabs>
                <w:tab w:val="right" w:pos="9907"/>
              </w:tabs>
              <w:spacing w:after="120" w:line="240" w:lineRule="atLeast"/>
              <w:rPr>
                <w:rFonts w:ascii="Arial" w:hAnsi="Arial" w:cs="Arial"/>
              </w:rPr>
            </w:pPr>
            <w:r>
              <w:rPr>
                <w:rFonts w:ascii="Arial" w:hAnsi="Arial" w:cs="Arial"/>
              </w:rPr>
              <w:t>1.3</w:t>
            </w:r>
          </w:p>
        </w:tc>
        <w:tc>
          <w:tcPr>
            <w:tcW w:w="12616" w:type="dxa"/>
            <w:tcBorders>
              <w:top w:val="single" w:sz="4" w:space="0" w:color="auto"/>
              <w:left w:val="single" w:sz="4" w:space="0" w:color="auto"/>
              <w:bottom w:val="single" w:sz="4" w:space="0" w:color="auto"/>
              <w:right w:val="single" w:sz="4" w:space="0" w:color="auto"/>
            </w:tcBorders>
          </w:tcPr>
          <w:p w14:paraId="2BE35615" w14:textId="77777777" w:rsidR="00337DC9" w:rsidRPr="005C76AF" w:rsidRDefault="00337DC9" w:rsidP="00D235B3">
            <w:pPr>
              <w:tabs>
                <w:tab w:val="right" w:pos="9907"/>
              </w:tabs>
              <w:autoSpaceDE w:val="0"/>
              <w:autoSpaceDN w:val="0"/>
              <w:adjustRightInd w:val="0"/>
              <w:spacing w:after="60" w:line="240" w:lineRule="atLeast"/>
              <w:rPr>
                <w:rFonts w:ascii="Arial" w:hAnsi="Arial" w:cs="Arial"/>
              </w:rPr>
            </w:pPr>
            <w:r w:rsidRPr="005C76AF">
              <w:rPr>
                <w:rFonts w:ascii="Arial" w:hAnsi="Arial" w:cs="Arial"/>
              </w:rPr>
              <w:t>Plans have identified all potential disruptive risks to service delivery and associated mitigation responses. These incorporate lessons identified from Winter 2021/22 and also cover concurrent risks, including but not exclusive to:</w:t>
            </w:r>
          </w:p>
          <w:p w14:paraId="4B6A2138" w14:textId="77777777" w:rsidR="00337DC9" w:rsidRPr="005C76AF" w:rsidRDefault="00337DC9" w:rsidP="00337DC9">
            <w:pPr>
              <w:pStyle w:val="ListParagraph"/>
              <w:numPr>
                <w:ilvl w:val="0"/>
                <w:numId w:val="17"/>
              </w:numPr>
              <w:spacing w:after="60" w:line="240" w:lineRule="atLeast"/>
              <w:rPr>
                <w:rFonts w:ascii="Arial" w:hAnsi="Arial" w:cs="Arial"/>
              </w:rPr>
            </w:pPr>
            <w:r w:rsidRPr="005C76AF">
              <w:rPr>
                <w:rFonts w:ascii="Arial" w:hAnsi="Arial" w:cs="Arial"/>
              </w:rPr>
              <w:t xml:space="preserve">Industrial Action, including risk of strike action in other services, such as public transport and/or education, and risk of concurrent action across the public sector. </w:t>
            </w:r>
          </w:p>
          <w:p w14:paraId="41894706" w14:textId="77777777" w:rsidR="00337DC9" w:rsidRPr="005C76AF" w:rsidRDefault="00337DC9" w:rsidP="00337DC9">
            <w:pPr>
              <w:pStyle w:val="ListParagraph"/>
              <w:numPr>
                <w:ilvl w:val="0"/>
                <w:numId w:val="17"/>
              </w:numPr>
              <w:spacing w:after="60" w:line="240" w:lineRule="atLeast"/>
              <w:rPr>
                <w:rFonts w:ascii="Arial" w:hAnsi="Arial" w:cs="Arial"/>
              </w:rPr>
            </w:pPr>
            <w:r w:rsidRPr="005C76AF">
              <w:rPr>
                <w:rFonts w:ascii="Arial" w:hAnsi="Arial" w:cs="Arial"/>
              </w:rPr>
              <w:t>Power Outage (national, localised, planned)</w:t>
            </w:r>
          </w:p>
          <w:p w14:paraId="4A767750" w14:textId="77777777" w:rsidR="00337DC9" w:rsidRPr="005C76AF" w:rsidRDefault="00337DC9" w:rsidP="00337DC9">
            <w:pPr>
              <w:pStyle w:val="ListParagraph"/>
              <w:numPr>
                <w:ilvl w:val="0"/>
                <w:numId w:val="17"/>
              </w:numPr>
              <w:spacing w:after="60" w:line="240" w:lineRule="atLeast"/>
              <w:rPr>
                <w:rFonts w:ascii="Arial" w:hAnsi="Arial" w:cs="Arial"/>
              </w:rPr>
            </w:pPr>
            <w:r w:rsidRPr="005C76AF">
              <w:rPr>
                <w:rFonts w:ascii="Arial" w:hAnsi="Arial" w:cs="Arial"/>
              </w:rPr>
              <w:t>NHS Supply Chain</w:t>
            </w:r>
          </w:p>
          <w:p w14:paraId="3DCC1280" w14:textId="77777777" w:rsidR="00337DC9" w:rsidRPr="005C76AF" w:rsidRDefault="00337DC9" w:rsidP="00D235B3">
            <w:pPr>
              <w:tabs>
                <w:tab w:val="right" w:pos="9907"/>
              </w:tabs>
              <w:autoSpaceDE w:val="0"/>
              <w:autoSpaceDN w:val="0"/>
              <w:adjustRightInd w:val="0"/>
              <w:spacing w:after="60" w:line="240" w:lineRule="atLeast"/>
              <w:rPr>
                <w:rFonts w:ascii="Arial" w:hAnsi="Arial" w:cs="Arial"/>
              </w:rPr>
            </w:pPr>
            <w:r w:rsidRPr="005C76AF">
              <w:rPr>
                <w:rFonts w:ascii="Arial" w:hAnsi="Arial" w:cs="Arial"/>
              </w:rPr>
              <w:t>Resilience officers are fully involved in all aspects of winter preparedness to ensure that business continuity management principles are embedded as part of all-year-round capacity and service continuity planning</w:t>
            </w:r>
          </w:p>
        </w:tc>
        <w:tc>
          <w:tcPr>
            <w:tcW w:w="1559" w:type="dxa"/>
            <w:tcBorders>
              <w:top w:val="single" w:sz="4" w:space="0" w:color="auto"/>
              <w:left w:val="single" w:sz="4" w:space="0" w:color="auto"/>
              <w:bottom w:val="single" w:sz="4" w:space="0" w:color="auto"/>
              <w:right w:val="single" w:sz="4" w:space="0" w:color="auto"/>
            </w:tcBorders>
            <w:vAlign w:val="center"/>
          </w:tcPr>
          <w:p w14:paraId="58EE9B8E" w14:textId="73FA8C9C" w:rsidR="00337DC9" w:rsidRPr="005C76AF" w:rsidRDefault="00307356" w:rsidP="00307356">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6FB31D15" w14:textId="77777777" w:rsidTr="00BA7696">
        <w:trPr>
          <w:trHeight w:val="416"/>
        </w:trPr>
        <w:tc>
          <w:tcPr>
            <w:tcW w:w="710" w:type="dxa"/>
            <w:tcBorders>
              <w:top w:val="single" w:sz="4" w:space="0" w:color="auto"/>
              <w:left w:val="single" w:sz="4" w:space="0" w:color="auto"/>
              <w:bottom w:val="single" w:sz="4" w:space="0" w:color="auto"/>
              <w:right w:val="single" w:sz="4" w:space="0" w:color="auto"/>
            </w:tcBorders>
          </w:tcPr>
          <w:p w14:paraId="28ED8EBC"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1.4</w:t>
            </w:r>
          </w:p>
        </w:tc>
        <w:tc>
          <w:tcPr>
            <w:tcW w:w="12616" w:type="dxa"/>
            <w:tcBorders>
              <w:top w:val="single" w:sz="4" w:space="0" w:color="auto"/>
              <w:left w:val="single" w:sz="4" w:space="0" w:color="auto"/>
              <w:bottom w:val="single" w:sz="4" w:space="0" w:color="auto"/>
              <w:right w:val="single" w:sz="4" w:space="0" w:color="auto"/>
            </w:tcBorders>
          </w:tcPr>
          <w:p w14:paraId="3C89983D" w14:textId="77777777" w:rsidR="00337DC9" w:rsidRPr="005C76AF" w:rsidRDefault="00337DC9" w:rsidP="00D235B3">
            <w:pPr>
              <w:tabs>
                <w:tab w:val="right" w:pos="9907"/>
              </w:tabs>
              <w:autoSpaceDE w:val="0"/>
              <w:autoSpaceDN w:val="0"/>
              <w:adjustRightInd w:val="0"/>
              <w:spacing w:after="60" w:line="240" w:lineRule="atLeast"/>
              <w:rPr>
                <w:rFonts w:ascii="Arial" w:hAnsi="Arial" w:cs="Arial"/>
              </w:rPr>
            </w:pPr>
            <w:r w:rsidRPr="005C76AF">
              <w:rPr>
                <w:rFonts w:ascii="Arial" w:hAnsi="Arial" w:cs="Arial"/>
              </w:rPr>
              <w:t xml:space="preserve">Business Continuity plans take into account all critical activities across the NHS Board / HSCPs spectrum of activity and include analysis of the risks of disruption and their actual effects and demonstrate that planning has been based upon the likelihood and impact of worst case scenarios. </w:t>
            </w:r>
          </w:p>
          <w:p w14:paraId="05A2431E" w14:textId="77777777" w:rsidR="00337DC9" w:rsidRPr="005C76AF" w:rsidRDefault="00337DC9" w:rsidP="00D235B3">
            <w:pPr>
              <w:tabs>
                <w:tab w:val="right" w:pos="9907"/>
              </w:tabs>
              <w:autoSpaceDE w:val="0"/>
              <w:autoSpaceDN w:val="0"/>
              <w:adjustRightInd w:val="0"/>
              <w:spacing w:after="60" w:line="240" w:lineRule="atLeast"/>
              <w:rPr>
                <w:rFonts w:ascii="Arial" w:hAnsi="Arial" w:cs="Arial"/>
              </w:rPr>
            </w:pPr>
            <w:r w:rsidRPr="005C76AF">
              <w:rPr>
                <w:rFonts w:ascii="Arial" w:hAnsi="Arial" w:cs="Arial"/>
              </w:rPr>
              <w:t xml:space="preserve">Risk assessments take into account staff absences including those likely to be caused by a range of scenarios and are linked to a business impact analysis to ensure that essential staff are in place to maintain key services. </w:t>
            </w:r>
          </w:p>
          <w:p w14:paraId="3CF5790A" w14:textId="77777777" w:rsidR="00337DC9" w:rsidRPr="005C76AF" w:rsidRDefault="00337DC9" w:rsidP="00D235B3">
            <w:pPr>
              <w:tabs>
                <w:tab w:val="right" w:pos="9907"/>
              </w:tabs>
              <w:autoSpaceDE w:val="0"/>
              <w:autoSpaceDN w:val="0"/>
              <w:adjustRightInd w:val="0"/>
              <w:spacing w:after="60" w:line="240" w:lineRule="atLeast"/>
              <w:rPr>
                <w:rFonts w:ascii="Arial" w:hAnsi="Arial" w:cs="Arial"/>
              </w:rPr>
            </w:pPr>
            <w:r w:rsidRPr="005C76AF">
              <w:rPr>
                <w:rFonts w:ascii="Arial" w:hAnsi="Arial" w:cs="Arial"/>
              </w:rPr>
              <w:t>All critical activities and actions required are included on the corporate risk register and are actively monitored by the risk owner and the Executive Team.</w:t>
            </w:r>
          </w:p>
        </w:tc>
        <w:tc>
          <w:tcPr>
            <w:tcW w:w="1559" w:type="dxa"/>
            <w:tcBorders>
              <w:top w:val="single" w:sz="4" w:space="0" w:color="auto"/>
              <w:left w:val="single" w:sz="4" w:space="0" w:color="auto"/>
              <w:bottom w:val="single" w:sz="4" w:space="0" w:color="auto"/>
              <w:right w:val="single" w:sz="4" w:space="0" w:color="auto"/>
            </w:tcBorders>
            <w:vAlign w:val="center"/>
          </w:tcPr>
          <w:p w14:paraId="303155BE" w14:textId="261A5378" w:rsidR="00337DC9" w:rsidRPr="005C76AF" w:rsidRDefault="00307356" w:rsidP="00307356">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0B2CA4BC" w14:textId="77777777" w:rsidTr="00BA7696">
        <w:trPr>
          <w:trHeight w:val="340"/>
        </w:trPr>
        <w:tc>
          <w:tcPr>
            <w:tcW w:w="710" w:type="dxa"/>
            <w:tcBorders>
              <w:top w:val="nil"/>
              <w:left w:val="single" w:sz="4" w:space="0" w:color="auto"/>
              <w:bottom w:val="single" w:sz="4" w:space="0" w:color="auto"/>
              <w:right w:val="single" w:sz="4" w:space="0" w:color="auto"/>
            </w:tcBorders>
          </w:tcPr>
          <w:p w14:paraId="456F9E46"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1.5</w:t>
            </w:r>
          </w:p>
        </w:tc>
        <w:tc>
          <w:tcPr>
            <w:tcW w:w="12616" w:type="dxa"/>
            <w:tcBorders>
              <w:top w:val="nil"/>
              <w:left w:val="single" w:sz="4" w:space="0" w:color="auto"/>
              <w:bottom w:val="single" w:sz="4" w:space="0" w:color="auto"/>
              <w:right w:val="single" w:sz="4" w:space="0" w:color="auto"/>
            </w:tcBorders>
          </w:tcPr>
          <w:p w14:paraId="6617AFC8" w14:textId="77777777" w:rsidR="00337DC9" w:rsidRPr="005C76AF" w:rsidRDefault="00337DC9" w:rsidP="00D235B3">
            <w:pPr>
              <w:tabs>
                <w:tab w:val="right" w:pos="9907"/>
              </w:tabs>
              <w:autoSpaceDE w:val="0"/>
              <w:autoSpaceDN w:val="0"/>
              <w:adjustRightInd w:val="0"/>
              <w:spacing w:after="60" w:line="240" w:lineRule="atLeast"/>
              <w:rPr>
                <w:rFonts w:ascii="Arial" w:hAnsi="Arial" w:cs="Arial"/>
              </w:rPr>
            </w:pPr>
            <w:r w:rsidRPr="005C76AF">
              <w:rPr>
                <w:rFonts w:ascii="Arial" w:hAnsi="Arial" w:cs="Arial"/>
              </w:rPr>
              <w:t>Business continuity plans include response if a clinical system outage occur and the steps in place to ensure continuity of services. This includes process, equipment and staffing to operate under Business Continuity.</w:t>
            </w:r>
          </w:p>
        </w:tc>
        <w:tc>
          <w:tcPr>
            <w:tcW w:w="1559" w:type="dxa"/>
            <w:tcBorders>
              <w:top w:val="nil"/>
              <w:left w:val="single" w:sz="4" w:space="0" w:color="auto"/>
              <w:bottom w:val="single" w:sz="4" w:space="0" w:color="auto"/>
              <w:right w:val="single" w:sz="4" w:space="0" w:color="auto"/>
            </w:tcBorders>
            <w:vAlign w:val="center"/>
          </w:tcPr>
          <w:p w14:paraId="35BF6905" w14:textId="2CA58A6D" w:rsidR="00307356" w:rsidRPr="00307356" w:rsidRDefault="00307356" w:rsidP="00307356">
            <w:pPr>
              <w:tabs>
                <w:tab w:val="right" w:pos="9907"/>
              </w:tabs>
              <w:spacing w:after="120" w:line="240" w:lineRule="atLeast"/>
              <w:jc w:val="center"/>
              <w:rPr>
                <w:rFonts w:ascii="Arial" w:hAnsi="Arial" w:cs="Arial"/>
                <w:b/>
                <w:color w:val="1F497D"/>
                <w:szCs w:val="24"/>
              </w:rPr>
            </w:pPr>
            <w:r>
              <w:rPr>
                <w:rFonts w:ascii="Arial" w:hAnsi="Arial" w:cs="Arial"/>
                <w:b/>
                <w:color w:val="1F497D"/>
                <w:szCs w:val="24"/>
              </w:rPr>
              <w:t>Yes</w:t>
            </w:r>
          </w:p>
        </w:tc>
      </w:tr>
      <w:tr w:rsidR="00337DC9" w:rsidRPr="005C76AF" w14:paraId="762ED7B8" w14:textId="77777777" w:rsidTr="00BA7696">
        <w:tc>
          <w:tcPr>
            <w:tcW w:w="710" w:type="dxa"/>
            <w:tcBorders>
              <w:top w:val="single" w:sz="4" w:space="0" w:color="auto"/>
              <w:left w:val="single" w:sz="4" w:space="0" w:color="auto"/>
              <w:bottom w:val="single" w:sz="4" w:space="0" w:color="auto"/>
              <w:right w:val="single" w:sz="4" w:space="0" w:color="auto"/>
            </w:tcBorders>
          </w:tcPr>
          <w:p w14:paraId="4AB87173"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lastRenderedPageBreak/>
              <w:t>1.6</w:t>
            </w:r>
          </w:p>
        </w:tc>
        <w:tc>
          <w:tcPr>
            <w:tcW w:w="12616" w:type="dxa"/>
            <w:tcBorders>
              <w:top w:val="single" w:sz="4" w:space="0" w:color="auto"/>
              <w:left w:val="single" w:sz="4" w:space="0" w:color="auto"/>
              <w:bottom w:val="single" w:sz="4" w:space="0" w:color="auto"/>
              <w:right w:val="single" w:sz="4" w:space="0" w:color="auto"/>
            </w:tcBorders>
          </w:tcPr>
          <w:p w14:paraId="20E5289D" w14:textId="77777777" w:rsidR="00337DC9" w:rsidRPr="005C76AF" w:rsidRDefault="00337DC9" w:rsidP="00D235B3">
            <w:pPr>
              <w:tabs>
                <w:tab w:val="right" w:pos="9907"/>
              </w:tabs>
              <w:autoSpaceDE w:val="0"/>
              <w:autoSpaceDN w:val="0"/>
              <w:adjustRightInd w:val="0"/>
              <w:spacing w:after="60" w:line="240" w:lineRule="atLeast"/>
              <w:ind w:left="27"/>
              <w:rPr>
                <w:rFonts w:ascii="Arial" w:hAnsi="Arial" w:cs="Arial"/>
                <w:b/>
                <w:bCs/>
              </w:rPr>
            </w:pPr>
            <w:r w:rsidRPr="005C76AF">
              <w:rPr>
                <w:rFonts w:ascii="Arial" w:hAnsi="Arial" w:cs="Arial"/>
                <w:b/>
              </w:rPr>
              <w:t>Surge capacity and demand planning</w:t>
            </w:r>
          </w:p>
          <w:p w14:paraId="1253CEBA" w14:textId="77777777" w:rsidR="00337DC9" w:rsidRPr="005C76AF" w:rsidRDefault="00337DC9" w:rsidP="00D235B3">
            <w:pPr>
              <w:tabs>
                <w:tab w:val="right" w:pos="9907"/>
              </w:tabs>
              <w:autoSpaceDE w:val="0"/>
              <w:autoSpaceDN w:val="0"/>
              <w:adjustRightInd w:val="0"/>
              <w:spacing w:after="60" w:line="240" w:lineRule="atLeast"/>
              <w:ind w:left="27"/>
              <w:rPr>
                <w:rFonts w:ascii="Arial" w:hAnsi="Arial" w:cs="Arial"/>
                <w:bCs/>
              </w:rPr>
            </w:pPr>
            <w:r w:rsidRPr="005C76AF">
              <w:rPr>
                <w:rFonts w:ascii="Arial" w:hAnsi="Arial" w:cs="Arial"/>
                <w:bCs/>
              </w:rPr>
              <w:t xml:space="preserve">Winter Planning includes demand, capacity, and activity plans across urgent, unscheduled and planned care provision; with these being fully integrated, including identification of surge beds for emergency admissions. These projections are reviewed at least weekly. </w:t>
            </w:r>
          </w:p>
          <w:p w14:paraId="342E782F" w14:textId="77777777" w:rsidR="00337DC9" w:rsidRPr="005C76AF" w:rsidRDefault="00337DC9" w:rsidP="00D235B3">
            <w:pPr>
              <w:tabs>
                <w:tab w:val="right" w:pos="9907"/>
              </w:tabs>
              <w:autoSpaceDE w:val="0"/>
              <w:autoSpaceDN w:val="0"/>
              <w:adjustRightInd w:val="0"/>
              <w:spacing w:after="60" w:line="240" w:lineRule="atLeast"/>
              <w:ind w:left="28"/>
              <w:rPr>
                <w:rFonts w:ascii="Arial" w:hAnsi="Arial" w:cs="Arial"/>
                <w:bCs/>
              </w:rPr>
            </w:pPr>
            <w:r w:rsidRPr="005C76AF">
              <w:rPr>
                <w:rFonts w:ascii="Arial" w:hAnsi="Arial" w:cs="Arial"/>
                <w:bCs/>
              </w:rPr>
              <w:t xml:space="preserve">Planning is undertaken with all key LRP partners and includes assessments of reasonable worst case scenarios for: </w:t>
            </w:r>
          </w:p>
          <w:p w14:paraId="75C568E8" w14:textId="77777777" w:rsidR="00337DC9" w:rsidRPr="005C76AF" w:rsidRDefault="00337DC9" w:rsidP="00337DC9">
            <w:pPr>
              <w:pStyle w:val="ListParagraph"/>
              <w:numPr>
                <w:ilvl w:val="0"/>
                <w:numId w:val="18"/>
              </w:numPr>
              <w:tabs>
                <w:tab w:val="right" w:pos="9907"/>
              </w:tabs>
              <w:autoSpaceDE w:val="0"/>
              <w:autoSpaceDN w:val="0"/>
              <w:adjustRightInd w:val="0"/>
              <w:spacing w:after="60" w:line="240" w:lineRule="atLeast"/>
              <w:rPr>
                <w:rFonts w:ascii="Arial" w:hAnsi="Arial" w:cs="Arial"/>
                <w:bCs/>
                <w:sz w:val="20"/>
              </w:rPr>
            </w:pPr>
            <w:r w:rsidRPr="005C76AF">
              <w:rPr>
                <w:rFonts w:ascii="Arial" w:hAnsi="Arial" w:cs="Arial"/>
                <w:bCs/>
                <w:sz w:val="20"/>
              </w:rPr>
              <w:t xml:space="preserve">different levels of hospital capacity, both generally and in ICU; </w:t>
            </w:r>
          </w:p>
          <w:p w14:paraId="31567136" w14:textId="77777777" w:rsidR="00337DC9" w:rsidRPr="005C76AF" w:rsidRDefault="00337DC9" w:rsidP="00337DC9">
            <w:pPr>
              <w:pStyle w:val="ListParagraph"/>
              <w:numPr>
                <w:ilvl w:val="0"/>
                <w:numId w:val="18"/>
              </w:numPr>
              <w:tabs>
                <w:tab w:val="right" w:pos="9907"/>
              </w:tabs>
              <w:autoSpaceDE w:val="0"/>
              <w:autoSpaceDN w:val="0"/>
              <w:adjustRightInd w:val="0"/>
              <w:spacing w:after="60" w:line="240" w:lineRule="atLeast"/>
              <w:rPr>
                <w:rFonts w:ascii="Arial" w:hAnsi="Arial" w:cs="Arial"/>
                <w:bCs/>
                <w:sz w:val="20"/>
              </w:rPr>
            </w:pPr>
            <w:r w:rsidRPr="005C76AF">
              <w:rPr>
                <w:rFonts w:ascii="Arial" w:hAnsi="Arial" w:cs="Arial"/>
                <w:bCs/>
                <w:sz w:val="20"/>
              </w:rPr>
              <w:t xml:space="preserve">different flu and Covid-19 impacts such as the emergence of variants of concern, </w:t>
            </w:r>
          </w:p>
          <w:p w14:paraId="5C41F1DE" w14:textId="77777777" w:rsidR="00337DC9" w:rsidRPr="005C76AF" w:rsidRDefault="00337DC9" w:rsidP="00337DC9">
            <w:pPr>
              <w:pStyle w:val="ListParagraph"/>
              <w:numPr>
                <w:ilvl w:val="0"/>
                <w:numId w:val="18"/>
              </w:numPr>
              <w:tabs>
                <w:tab w:val="right" w:pos="9907"/>
              </w:tabs>
              <w:autoSpaceDE w:val="0"/>
              <w:autoSpaceDN w:val="0"/>
              <w:adjustRightInd w:val="0"/>
              <w:spacing w:after="60" w:line="240" w:lineRule="atLeast"/>
              <w:rPr>
                <w:rFonts w:ascii="Arial" w:hAnsi="Arial" w:cs="Arial"/>
                <w:bCs/>
                <w:sz w:val="20"/>
              </w:rPr>
            </w:pPr>
            <w:r w:rsidRPr="005C76AF">
              <w:rPr>
                <w:rFonts w:ascii="Arial" w:hAnsi="Arial" w:cs="Arial"/>
                <w:bCs/>
                <w:sz w:val="20"/>
              </w:rPr>
              <w:t xml:space="preserve">vaccination uptake; </w:t>
            </w:r>
          </w:p>
          <w:p w14:paraId="68E8B5E6" w14:textId="77777777" w:rsidR="00337DC9" w:rsidRPr="005C76AF" w:rsidRDefault="00337DC9" w:rsidP="00337DC9">
            <w:pPr>
              <w:pStyle w:val="ListParagraph"/>
              <w:numPr>
                <w:ilvl w:val="0"/>
                <w:numId w:val="18"/>
              </w:numPr>
              <w:tabs>
                <w:tab w:val="right" w:pos="9907"/>
              </w:tabs>
              <w:autoSpaceDE w:val="0"/>
              <w:autoSpaceDN w:val="0"/>
              <w:adjustRightInd w:val="0"/>
              <w:spacing w:after="60" w:line="240" w:lineRule="atLeast"/>
              <w:rPr>
                <w:rFonts w:ascii="Arial" w:hAnsi="Arial" w:cs="Arial"/>
                <w:bCs/>
                <w:sz w:val="20"/>
              </w:rPr>
            </w:pPr>
            <w:proofErr w:type="gramStart"/>
            <w:r w:rsidRPr="005C76AF">
              <w:rPr>
                <w:rFonts w:ascii="Arial" w:hAnsi="Arial" w:cs="Arial"/>
                <w:bCs/>
                <w:sz w:val="20"/>
              </w:rPr>
              <w:t>delayed</w:t>
            </w:r>
            <w:proofErr w:type="gramEnd"/>
            <w:r w:rsidRPr="005C76AF">
              <w:rPr>
                <w:rFonts w:ascii="Arial" w:hAnsi="Arial" w:cs="Arial"/>
                <w:bCs/>
                <w:sz w:val="20"/>
              </w:rPr>
              <w:t xml:space="preserve"> discharge numbers.</w:t>
            </w:r>
          </w:p>
          <w:p w14:paraId="42973A1B" w14:textId="77777777" w:rsidR="00337DC9" w:rsidRPr="005C76AF" w:rsidRDefault="00337DC9" w:rsidP="00337DC9">
            <w:pPr>
              <w:pStyle w:val="ListParagraph"/>
              <w:numPr>
                <w:ilvl w:val="0"/>
                <w:numId w:val="18"/>
              </w:numPr>
              <w:tabs>
                <w:tab w:val="right" w:pos="9907"/>
              </w:tabs>
              <w:autoSpaceDE w:val="0"/>
              <w:autoSpaceDN w:val="0"/>
              <w:adjustRightInd w:val="0"/>
              <w:spacing w:after="60" w:line="240" w:lineRule="atLeast"/>
              <w:rPr>
                <w:rFonts w:ascii="Arial" w:hAnsi="Arial" w:cs="Arial"/>
                <w:bCs/>
                <w:sz w:val="20"/>
              </w:rPr>
            </w:pPr>
            <w:r w:rsidRPr="005C76AF">
              <w:rPr>
                <w:rFonts w:ascii="Arial" w:hAnsi="Arial" w:cs="Arial"/>
                <w:sz w:val="20"/>
              </w:rPr>
              <w:t>the commissioning of beds in care homes as NHS beds to support transfer of care from hospitals to release capacity</w:t>
            </w:r>
          </w:p>
          <w:p w14:paraId="3E9CF9D2" w14:textId="77777777" w:rsidR="00337DC9" w:rsidRPr="005C76AF" w:rsidRDefault="00337DC9" w:rsidP="00337DC9">
            <w:pPr>
              <w:pStyle w:val="ListParagraph"/>
              <w:numPr>
                <w:ilvl w:val="0"/>
                <w:numId w:val="18"/>
              </w:numPr>
              <w:tabs>
                <w:tab w:val="right" w:pos="9907"/>
              </w:tabs>
              <w:autoSpaceDE w:val="0"/>
              <w:autoSpaceDN w:val="0"/>
              <w:adjustRightInd w:val="0"/>
              <w:spacing w:after="60" w:line="240" w:lineRule="atLeast"/>
              <w:rPr>
                <w:rFonts w:ascii="Arial" w:hAnsi="Arial" w:cs="Arial"/>
                <w:bCs/>
                <w:sz w:val="20"/>
              </w:rPr>
            </w:pPr>
            <w:r w:rsidRPr="005C76AF">
              <w:rPr>
                <w:rFonts w:ascii="Arial" w:hAnsi="Arial" w:cs="Arial"/>
                <w:bCs/>
                <w:sz w:val="20"/>
              </w:rPr>
              <w:t>i</w:t>
            </w:r>
            <w:r w:rsidRPr="005C76AF">
              <w:rPr>
                <w:rFonts w:ascii="Arial" w:hAnsi="Arial" w:cs="Arial"/>
                <w:sz w:val="20"/>
              </w:rPr>
              <w:t xml:space="preserve">dentification of designated beds within current footprint to enable focussed care for patients experiencing delays with a different model of staffing to meet their care needs, </w:t>
            </w:r>
          </w:p>
          <w:p w14:paraId="2728C93A" w14:textId="77777777" w:rsidR="00337DC9" w:rsidRPr="005C76AF" w:rsidRDefault="00337DC9" w:rsidP="00337DC9">
            <w:pPr>
              <w:pStyle w:val="ListParagraph"/>
              <w:numPr>
                <w:ilvl w:val="0"/>
                <w:numId w:val="18"/>
              </w:numPr>
              <w:tabs>
                <w:tab w:val="right" w:pos="9907"/>
              </w:tabs>
              <w:autoSpaceDE w:val="0"/>
              <w:autoSpaceDN w:val="0"/>
              <w:adjustRightInd w:val="0"/>
              <w:spacing w:after="60" w:line="240" w:lineRule="atLeast"/>
              <w:rPr>
                <w:rFonts w:ascii="Arial" w:hAnsi="Arial" w:cs="Arial"/>
                <w:bCs/>
                <w:sz w:val="20"/>
              </w:rPr>
            </w:pPr>
            <w:r w:rsidRPr="005C76AF">
              <w:rPr>
                <w:rFonts w:ascii="Arial" w:hAnsi="Arial" w:cs="Arial"/>
                <w:bCs/>
                <w:sz w:val="20"/>
              </w:rPr>
              <w:t>s</w:t>
            </w:r>
            <w:r w:rsidRPr="005C76AF">
              <w:rPr>
                <w:rFonts w:ascii="Arial" w:hAnsi="Arial" w:cs="Arial"/>
                <w:sz w:val="20"/>
              </w:rPr>
              <w:t>treamline processes for patients on the AWI / Guardianship pathway</w:t>
            </w:r>
          </w:p>
        </w:tc>
        <w:tc>
          <w:tcPr>
            <w:tcW w:w="1559" w:type="dxa"/>
            <w:tcBorders>
              <w:top w:val="single" w:sz="4" w:space="0" w:color="auto"/>
              <w:left w:val="single" w:sz="4" w:space="0" w:color="auto"/>
              <w:bottom w:val="single" w:sz="4" w:space="0" w:color="auto"/>
              <w:right w:val="single" w:sz="4" w:space="0" w:color="auto"/>
            </w:tcBorders>
            <w:vAlign w:val="center"/>
          </w:tcPr>
          <w:p w14:paraId="62BC8B0A" w14:textId="4FBA6451" w:rsidR="00337DC9" w:rsidRPr="005C76AF" w:rsidRDefault="008C1A74" w:rsidP="008C1A74">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52A0C077" w14:textId="77777777" w:rsidTr="00BA7696">
        <w:trPr>
          <w:trHeight w:val="557"/>
        </w:trPr>
        <w:tc>
          <w:tcPr>
            <w:tcW w:w="710" w:type="dxa"/>
            <w:tcBorders>
              <w:top w:val="single" w:sz="4" w:space="0" w:color="auto"/>
              <w:left w:val="single" w:sz="4" w:space="0" w:color="auto"/>
              <w:right w:val="single" w:sz="4" w:space="0" w:color="auto"/>
            </w:tcBorders>
          </w:tcPr>
          <w:p w14:paraId="7E16ACEB"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1.7</w:t>
            </w:r>
          </w:p>
          <w:p w14:paraId="46F4B5F9" w14:textId="77777777" w:rsidR="00337DC9" w:rsidRPr="005C76AF" w:rsidRDefault="00337DC9" w:rsidP="00D235B3">
            <w:pPr>
              <w:tabs>
                <w:tab w:val="right" w:pos="9907"/>
              </w:tabs>
              <w:spacing w:after="120" w:line="240" w:lineRule="atLeast"/>
              <w:rPr>
                <w:rFonts w:ascii="Arial" w:hAnsi="Arial" w:cs="Arial"/>
              </w:rPr>
            </w:pPr>
          </w:p>
        </w:tc>
        <w:tc>
          <w:tcPr>
            <w:tcW w:w="12616" w:type="dxa"/>
            <w:tcBorders>
              <w:top w:val="single" w:sz="4" w:space="0" w:color="auto"/>
              <w:left w:val="single" w:sz="4" w:space="0" w:color="auto"/>
              <w:right w:val="single" w:sz="4" w:space="0" w:color="auto"/>
            </w:tcBorders>
          </w:tcPr>
          <w:p w14:paraId="688CE04E" w14:textId="77777777" w:rsidR="005C76AF" w:rsidRPr="005C76AF" w:rsidRDefault="005C76AF" w:rsidP="005C76AF">
            <w:pPr>
              <w:tabs>
                <w:tab w:val="right" w:pos="9907"/>
              </w:tabs>
              <w:autoSpaceDE w:val="0"/>
              <w:autoSpaceDN w:val="0"/>
              <w:adjustRightInd w:val="0"/>
              <w:spacing w:after="60" w:line="240" w:lineRule="atLeast"/>
              <w:ind w:left="27"/>
              <w:rPr>
                <w:rFonts w:ascii="Arial" w:eastAsia="Times New Roman" w:hAnsi="Arial" w:cs="Arial"/>
                <w:b/>
              </w:rPr>
            </w:pPr>
            <w:r w:rsidRPr="005C76AF">
              <w:rPr>
                <w:rFonts w:ascii="Arial" w:eastAsia="Times New Roman" w:hAnsi="Arial" w:cs="Arial"/>
                <w:b/>
              </w:rPr>
              <w:t>Local communications</w:t>
            </w:r>
          </w:p>
          <w:p w14:paraId="7F85ECF2" w14:textId="77777777" w:rsidR="005C76AF" w:rsidRPr="005C76AF" w:rsidRDefault="005C76AF" w:rsidP="005C76AF">
            <w:pPr>
              <w:tabs>
                <w:tab w:val="right" w:pos="9907"/>
              </w:tabs>
              <w:autoSpaceDE w:val="0"/>
              <w:autoSpaceDN w:val="0"/>
              <w:adjustRightInd w:val="0"/>
              <w:spacing w:after="60" w:line="240" w:lineRule="atLeast"/>
              <w:ind w:left="27"/>
              <w:rPr>
                <w:rFonts w:ascii="Arial" w:eastAsia="Times New Roman" w:hAnsi="Arial" w:cs="Arial"/>
              </w:rPr>
            </w:pPr>
            <w:r w:rsidRPr="005C76AF">
              <w:rPr>
                <w:rFonts w:ascii="Arial" w:eastAsia="Times New Roman" w:hAnsi="Arial" w:cs="Arial"/>
              </w:rPr>
              <w:t>Communications with the public, patients and staff will make use of all available mediums, including social media, and that key messages will be accurate and consistent. Consideration is given to highlighting</w:t>
            </w:r>
          </w:p>
          <w:p w14:paraId="4FE0043D" w14:textId="77777777" w:rsidR="005C76AF" w:rsidRPr="005C76AF" w:rsidRDefault="00C9710F" w:rsidP="005C76AF">
            <w:pPr>
              <w:numPr>
                <w:ilvl w:val="0"/>
                <w:numId w:val="19"/>
              </w:numPr>
              <w:tabs>
                <w:tab w:val="right" w:pos="9907"/>
              </w:tabs>
              <w:autoSpaceDE w:val="0"/>
              <w:autoSpaceDN w:val="0"/>
              <w:adjustRightInd w:val="0"/>
              <w:spacing w:after="60" w:line="240" w:lineRule="atLeast"/>
              <w:ind w:left="387"/>
              <w:contextualSpacing/>
              <w:rPr>
                <w:rFonts w:ascii="Arial" w:eastAsia="Times New Roman" w:hAnsi="Arial" w:cs="Arial"/>
              </w:rPr>
            </w:pPr>
            <w:hyperlink r:id="rId9" w:history="1">
              <w:r w:rsidR="005C76AF" w:rsidRPr="005C76AF">
                <w:rPr>
                  <w:rFonts w:ascii="Arial" w:eastAsia="Times New Roman" w:hAnsi="Arial" w:cs="Arial"/>
                  <w:color w:val="0000FF"/>
                  <w:u w:val="single"/>
                </w:rPr>
                <w:t>www.readyscotland.org</w:t>
              </w:r>
            </w:hyperlink>
            <w:r w:rsidR="005C76AF" w:rsidRPr="005C76AF">
              <w:rPr>
                <w:rFonts w:ascii="Arial" w:eastAsia="Times New Roman" w:hAnsi="Arial" w:cs="Arial"/>
              </w:rPr>
              <w:t xml:space="preserve"> as one stop shop for information and advice on how to prepare for and mitigate against the consequences from a range of risks and emergencies.</w:t>
            </w:r>
          </w:p>
          <w:p w14:paraId="600F699B" w14:textId="77777777" w:rsidR="005C76AF" w:rsidRPr="005C76AF" w:rsidRDefault="005C76AF" w:rsidP="005C76AF">
            <w:pPr>
              <w:numPr>
                <w:ilvl w:val="0"/>
                <w:numId w:val="19"/>
              </w:numPr>
              <w:tabs>
                <w:tab w:val="right" w:pos="9907"/>
              </w:tabs>
              <w:autoSpaceDE w:val="0"/>
              <w:autoSpaceDN w:val="0"/>
              <w:adjustRightInd w:val="0"/>
              <w:spacing w:after="60" w:line="240" w:lineRule="atLeast"/>
              <w:ind w:left="387"/>
              <w:contextualSpacing/>
              <w:rPr>
                <w:rFonts w:ascii="Arial" w:eastAsia="Times New Roman" w:hAnsi="Arial" w:cs="Arial"/>
              </w:rPr>
            </w:pPr>
            <w:r w:rsidRPr="005C76AF">
              <w:rPr>
                <w:rFonts w:ascii="Arial" w:eastAsia="Times New Roman" w:hAnsi="Arial" w:cs="Arial"/>
              </w:rPr>
              <w:t xml:space="preserve">The Met Office National Severe Weather Warning System for information on the localised impact of severe weather events. </w:t>
            </w:r>
          </w:p>
          <w:p w14:paraId="4A534A28" w14:textId="77777777" w:rsidR="005C76AF" w:rsidRPr="005C76AF" w:rsidRDefault="005C76AF" w:rsidP="005C76AF">
            <w:pPr>
              <w:numPr>
                <w:ilvl w:val="0"/>
                <w:numId w:val="19"/>
              </w:numPr>
              <w:tabs>
                <w:tab w:val="right" w:pos="9907"/>
              </w:tabs>
              <w:autoSpaceDE w:val="0"/>
              <w:autoSpaceDN w:val="0"/>
              <w:adjustRightInd w:val="0"/>
              <w:spacing w:after="60" w:line="240" w:lineRule="atLeast"/>
              <w:ind w:left="387"/>
              <w:contextualSpacing/>
              <w:rPr>
                <w:rFonts w:ascii="Arial" w:eastAsia="Times New Roman" w:hAnsi="Arial" w:cs="Arial"/>
              </w:rPr>
            </w:pPr>
            <w:r w:rsidRPr="005C76AF">
              <w:rPr>
                <w:rFonts w:ascii="Arial" w:eastAsia="Times New Roman" w:hAnsi="Arial" w:cs="Arial"/>
              </w:rPr>
              <w:t>Use of NHS inform to support people to look after themselves and identify alternative pathways for care.</w:t>
            </w:r>
          </w:p>
          <w:p w14:paraId="7850BB1E" w14:textId="77777777" w:rsidR="005C76AF" w:rsidRPr="005C76AF" w:rsidRDefault="005C76AF" w:rsidP="005C76AF">
            <w:pPr>
              <w:tabs>
                <w:tab w:val="right" w:pos="9907"/>
              </w:tabs>
              <w:autoSpaceDE w:val="0"/>
              <w:autoSpaceDN w:val="0"/>
              <w:adjustRightInd w:val="0"/>
              <w:spacing w:after="60" w:line="240" w:lineRule="atLeast"/>
              <w:ind w:left="27"/>
              <w:rPr>
                <w:rFonts w:ascii="Arial" w:eastAsia="Times New Roman" w:hAnsi="Arial" w:cs="Times New Roman"/>
              </w:rPr>
            </w:pPr>
            <w:r w:rsidRPr="005C76AF">
              <w:rPr>
                <w:rFonts w:ascii="Arial" w:eastAsia="Times New Roman" w:hAnsi="Arial" w:cs="Times New Roman"/>
              </w:rPr>
              <w:t>Effective communication protocols are in place between key partners, particularly across unscheduled and planned care provision, local authority housing, equipment and adaptation services, Mental Health Services, and the independent sector and into the Scottish Government.</w:t>
            </w:r>
          </w:p>
          <w:p w14:paraId="4C275EE4" w14:textId="77777777" w:rsidR="005C76AF" w:rsidRPr="005C76AF" w:rsidRDefault="005C76AF" w:rsidP="005C76AF">
            <w:pPr>
              <w:tabs>
                <w:tab w:val="right" w:pos="9907"/>
              </w:tabs>
              <w:autoSpaceDE w:val="0"/>
              <w:autoSpaceDN w:val="0"/>
              <w:adjustRightInd w:val="0"/>
              <w:spacing w:after="60" w:line="240" w:lineRule="atLeast"/>
              <w:ind w:left="27"/>
              <w:rPr>
                <w:rFonts w:ascii="Arial" w:eastAsia="Times New Roman" w:hAnsi="Arial" w:cs="Times New Roman"/>
              </w:rPr>
            </w:pPr>
            <w:r w:rsidRPr="005C76AF">
              <w:rPr>
                <w:rFonts w:ascii="Arial" w:eastAsia="Times New Roman" w:hAnsi="Arial" w:cs="Times New Roman"/>
              </w:rPr>
              <w:t>Information about OOH services is routinely available to the public at evenings and weekends, and includes community pharmacy Minor Ailment Service (MAS) and Pharmacy First, optometry first port of call and, information on advance planning for the 4-day Festive Periods, including pre-stocking of repeat prescriptions.</w:t>
            </w:r>
          </w:p>
          <w:p w14:paraId="1D70275F" w14:textId="77777777" w:rsidR="005C76AF" w:rsidRPr="005C76AF" w:rsidRDefault="005C76AF" w:rsidP="005C76AF">
            <w:pPr>
              <w:tabs>
                <w:tab w:val="right" w:pos="9907"/>
              </w:tabs>
              <w:autoSpaceDE w:val="0"/>
              <w:autoSpaceDN w:val="0"/>
              <w:adjustRightInd w:val="0"/>
              <w:spacing w:after="60" w:line="240" w:lineRule="atLeast"/>
              <w:ind w:left="27"/>
              <w:rPr>
                <w:rFonts w:ascii="Arial" w:eastAsia="Times New Roman" w:hAnsi="Arial" w:cs="Times New Roman"/>
              </w:rPr>
            </w:pPr>
            <w:r w:rsidRPr="005C76AF">
              <w:rPr>
                <w:rFonts w:ascii="Arial" w:eastAsia="Times New Roman" w:hAnsi="Arial" w:cs="Times New Roman"/>
              </w:rPr>
              <w:t>There is a public communications strategy covering surgery hours, access arrangements, location and hours of PCECs, MIUs, pharmacy opening, etc.</w:t>
            </w:r>
          </w:p>
          <w:p w14:paraId="60F7A328" w14:textId="72A3397B" w:rsidR="00337DC9" w:rsidRPr="005C76AF" w:rsidRDefault="005C76AF" w:rsidP="005C76AF">
            <w:pPr>
              <w:tabs>
                <w:tab w:val="right" w:pos="9907"/>
              </w:tabs>
              <w:autoSpaceDE w:val="0"/>
              <w:autoSpaceDN w:val="0"/>
              <w:adjustRightInd w:val="0"/>
              <w:spacing w:after="60" w:line="240" w:lineRule="atLeast"/>
              <w:ind w:left="27"/>
              <w:rPr>
                <w:rFonts w:ascii="Arial" w:hAnsi="Arial" w:cs="Arial"/>
              </w:rPr>
            </w:pPr>
            <w:r w:rsidRPr="005C76AF">
              <w:rPr>
                <w:rFonts w:ascii="Arial" w:eastAsia="Times New Roman" w:hAnsi="Arial" w:cs="Arial"/>
              </w:rPr>
              <w:t>There is evidence of what the Board is doing to communicate to the public how their out of hours services will work over the winter period and how that complements the national communications being led by NHS 24.</w:t>
            </w:r>
          </w:p>
        </w:tc>
        <w:tc>
          <w:tcPr>
            <w:tcW w:w="1559" w:type="dxa"/>
            <w:tcBorders>
              <w:top w:val="single" w:sz="4" w:space="0" w:color="auto"/>
              <w:left w:val="single" w:sz="4" w:space="0" w:color="auto"/>
              <w:right w:val="single" w:sz="4" w:space="0" w:color="auto"/>
            </w:tcBorders>
          </w:tcPr>
          <w:p w14:paraId="39468280" w14:textId="77777777" w:rsidR="004A3104" w:rsidRDefault="004A3104" w:rsidP="008C1A74">
            <w:pPr>
              <w:tabs>
                <w:tab w:val="right" w:pos="9907"/>
              </w:tabs>
              <w:spacing w:after="120" w:line="240" w:lineRule="atLeast"/>
              <w:jc w:val="center"/>
              <w:rPr>
                <w:rFonts w:ascii="Arial" w:hAnsi="Arial" w:cs="Arial"/>
                <w:b/>
                <w:color w:val="1F497D"/>
                <w:szCs w:val="24"/>
              </w:rPr>
            </w:pPr>
          </w:p>
          <w:p w14:paraId="0EB033AA" w14:textId="77777777" w:rsidR="004A3104" w:rsidRDefault="004A3104" w:rsidP="008C1A74">
            <w:pPr>
              <w:tabs>
                <w:tab w:val="right" w:pos="9907"/>
              </w:tabs>
              <w:spacing w:after="120" w:line="240" w:lineRule="atLeast"/>
              <w:jc w:val="center"/>
              <w:rPr>
                <w:rFonts w:ascii="Arial" w:hAnsi="Arial" w:cs="Arial"/>
                <w:b/>
                <w:color w:val="1F497D"/>
                <w:szCs w:val="24"/>
              </w:rPr>
            </w:pPr>
          </w:p>
          <w:p w14:paraId="173B2254" w14:textId="72785DB7" w:rsidR="00337DC9" w:rsidRPr="005C76AF" w:rsidRDefault="008C1A74" w:rsidP="008C1A74">
            <w:pPr>
              <w:tabs>
                <w:tab w:val="right" w:pos="9907"/>
              </w:tabs>
              <w:spacing w:after="120" w:line="240" w:lineRule="atLeast"/>
              <w:jc w:val="center"/>
              <w:rPr>
                <w:rFonts w:ascii="Arial" w:hAnsi="Arial" w:cs="Arial"/>
              </w:rPr>
            </w:pPr>
            <w:r>
              <w:rPr>
                <w:rFonts w:ascii="Arial" w:hAnsi="Arial" w:cs="Arial"/>
                <w:b/>
                <w:color w:val="1F497D"/>
                <w:szCs w:val="24"/>
              </w:rPr>
              <w:t>Yes</w:t>
            </w:r>
          </w:p>
        </w:tc>
      </w:tr>
    </w:tbl>
    <w:p w14:paraId="7C0467CC" w14:textId="77777777" w:rsidR="00337DC9" w:rsidRPr="005C76AF" w:rsidRDefault="00337DC9" w:rsidP="00337DC9">
      <w:pPr>
        <w:rPr>
          <w:rFonts w:ascii="Arial" w:hAnsi="Arial" w:cs="Arial"/>
        </w:rPr>
      </w:pPr>
      <w:r w:rsidRPr="005C76AF">
        <w:rPr>
          <w:rFonts w:ascii="Arial" w:hAnsi="Arial" w:cs="Arial"/>
        </w:rPr>
        <w:br w:type="page"/>
      </w:r>
    </w:p>
    <w:tbl>
      <w:tblPr>
        <w:tblW w:w="14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2616"/>
        <w:gridCol w:w="1561"/>
      </w:tblGrid>
      <w:tr w:rsidR="00337DC9" w:rsidRPr="005C76AF" w14:paraId="2F38097E" w14:textId="77777777" w:rsidTr="00BA7696">
        <w:tc>
          <w:tcPr>
            <w:tcW w:w="710" w:type="dxa"/>
            <w:shd w:val="clear" w:color="auto" w:fill="DEEAF6" w:themeFill="accent1" w:themeFillTint="33"/>
            <w:hideMark/>
          </w:tcPr>
          <w:p w14:paraId="500F03C1" w14:textId="77777777" w:rsidR="00337DC9" w:rsidRPr="005C76AF" w:rsidRDefault="00337DC9" w:rsidP="00D235B3">
            <w:pPr>
              <w:tabs>
                <w:tab w:val="right" w:pos="9907"/>
              </w:tabs>
              <w:spacing w:after="120" w:line="240" w:lineRule="atLeast"/>
              <w:rPr>
                <w:rFonts w:ascii="Arial" w:hAnsi="Arial" w:cs="Arial"/>
                <w:b/>
                <w:color w:val="FF0000"/>
                <w:sz w:val="28"/>
                <w:szCs w:val="28"/>
              </w:rPr>
            </w:pPr>
            <w:r w:rsidRPr="005C76AF">
              <w:rPr>
                <w:rFonts w:ascii="Arial" w:hAnsi="Arial" w:cs="Arial"/>
                <w:b/>
                <w:color w:val="1F497D"/>
                <w:sz w:val="28"/>
                <w:szCs w:val="28"/>
              </w:rPr>
              <w:lastRenderedPageBreak/>
              <w:t>2</w:t>
            </w:r>
          </w:p>
        </w:tc>
        <w:tc>
          <w:tcPr>
            <w:tcW w:w="12616" w:type="dxa"/>
            <w:shd w:val="clear" w:color="auto" w:fill="DEEAF6" w:themeFill="accent1" w:themeFillTint="33"/>
            <w:hideMark/>
          </w:tcPr>
          <w:p w14:paraId="6B0FECAF" w14:textId="77777777" w:rsidR="00337DC9" w:rsidRPr="005C76AF" w:rsidRDefault="00337DC9" w:rsidP="00D235B3">
            <w:pPr>
              <w:tabs>
                <w:tab w:val="right" w:pos="9907"/>
              </w:tabs>
              <w:autoSpaceDE w:val="0"/>
              <w:autoSpaceDN w:val="0"/>
              <w:adjustRightInd w:val="0"/>
              <w:spacing w:after="120" w:line="240" w:lineRule="atLeast"/>
              <w:jc w:val="center"/>
              <w:rPr>
                <w:rFonts w:ascii="Arial" w:hAnsi="Arial" w:cs="Arial"/>
                <w:b/>
                <w:color w:val="1F497D"/>
                <w:sz w:val="28"/>
                <w:szCs w:val="28"/>
              </w:rPr>
            </w:pPr>
            <w:r w:rsidRPr="005C76AF">
              <w:rPr>
                <w:rFonts w:ascii="Arial" w:hAnsi="Arial" w:cs="Arial"/>
                <w:b/>
                <w:color w:val="1F497D"/>
                <w:sz w:val="28"/>
                <w:szCs w:val="28"/>
              </w:rPr>
              <w:t>Urgent and Unscheduled Care Preparedness</w:t>
            </w:r>
          </w:p>
        </w:tc>
        <w:tc>
          <w:tcPr>
            <w:tcW w:w="1561" w:type="dxa"/>
            <w:shd w:val="clear" w:color="auto" w:fill="DEEAF6" w:themeFill="accent1" w:themeFillTint="33"/>
            <w:hideMark/>
          </w:tcPr>
          <w:p w14:paraId="5CF7F327" w14:textId="77777777" w:rsidR="00337DC9" w:rsidRPr="005C76AF" w:rsidRDefault="00337DC9" w:rsidP="00D235B3">
            <w:pPr>
              <w:tabs>
                <w:tab w:val="right" w:pos="9907"/>
              </w:tabs>
              <w:spacing w:after="120" w:line="240" w:lineRule="atLeast"/>
              <w:jc w:val="center"/>
              <w:rPr>
                <w:rFonts w:ascii="Arial" w:hAnsi="Arial" w:cs="Arial"/>
                <w:b/>
                <w:color w:val="1F497D"/>
                <w:sz w:val="28"/>
                <w:szCs w:val="28"/>
              </w:rPr>
            </w:pPr>
          </w:p>
        </w:tc>
      </w:tr>
      <w:tr w:rsidR="00337DC9" w:rsidRPr="005C76AF" w14:paraId="28487346" w14:textId="77777777" w:rsidTr="00BA7696">
        <w:tc>
          <w:tcPr>
            <w:tcW w:w="710" w:type="dxa"/>
            <w:shd w:val="clear" w:color="auto" w:fill="auto"/>
          </w:tcPr>
          <w:p w14:paraId="13D0F6F3"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2.1</w:t>
            </w:r>
          </w:p>
        </w:tc>
        <w:tc>
          <w:tcPr>
            <w:tcW w:w="12616" w:type="dxa"/>
            <w:shd w:val="clear" w:color="auto" w:fill="auto"/>
          </w:tcPr>
          <w:p w14:paraId="529E8964"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bCs/>
              </w:rPr>
              <w:t>To ensure appropriate attendance to ED services, a 24/7 Health Board Flow Navigation Centre</w:t>
            </w:r>
            <w:r w:rsidRPr="005C76AF">
              <w:rPr>
                <w:rFonts w:ascii="Arial" w:hAnsi="Arial" w:cs="Arial"/>
              </w:rPr>
              <w:t xml:space="preserve"> is in place to offer rapid access to a senior clinical decision maker. This is staffed by a multi-disciplinary team, </w:t>
            </w:r>
            <w:r w:rsidRPr="005C76AF">
              <w:rPr>
                <w:rFonts w:ascii="Arial" w:hAnsi="Arial" w:cs="Arial"/>
                <w:bCs/>
              </w:rPr>
              <w:t xml:space="preserve">optimising digital health </w:t>
            </w:r>
            <w:r w:rsidRPr="005C76AF">
              <w:rPr>
                <w:rFonts w:ascii="Arial" w:hAnsi="Arial" w:cs="Arial"/>
              </w:rPr>
              <w:t xml:space="preserve">when possible in the clinical consultation, and should have the ability to signpost to available local services, such as MIU, AEC, GP (in and out of hours), mental health services, pharmacy and ED if required. Self-care / NHS inform should be promoted where appropriate. </w:t>
            </w:r>
          </w:p>
          <w:p w14:paraId="27099540"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If a face to face consultation is required, this will be a scheduled appointment with the right person and at the right time in the right place based on clinical care needs. Technology should be available to book appointments for patients and provide viable appointments / timeslots at EDs</w:t>
            </w:r>
          </w:p>
        </w:tc>
        <w:tc>
          <w:tcPr>
            <w:tcW w:w="1561" w:type="dxa"/>
            <w:shd w:val="clear" w:color="auto" w:fill="auto"/>
            <w:vAlign w:val="center"/>
          </w:tcPr>
          <w:p w14:paraId="35AF7C83" w14:textId="6DD6D069" w:rsidR="00337DC9" w:rsidRPr="005C76AF" w:rsidRDefault="0089431D" w:rsidP="0089431D">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2FC5D33E" w14:textId="77777777" w:rsidTr="00BA7696">
        <w:tc>
          <w:tcPr>
            <w:tcW w:w="710" w:type="dxa"/>
            <w:shd w:val="clear" w:color="auto" w:fill="auto"/>
          </w:tcPr>
          <w:p w14:paraId="7E7B1B6B"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2.2</w:t>
            </w:r>
          </w:p>
        </w:tc>
        <w:tc>
          <w:tcPr>
            <w:tcW w:w="12616" w:type="dxa"/>
            <w:shd w:val="clear" w:color="auto" w:fill="auto"/>
          </w:tcPr>
          <w:p w14:paraId="53D7D3A7"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Effective communication protocols are in place between clinical departments and senior managers across the whole system, to ensure that potential system pressures are identified as they emerge; and as soon as they occur departmental and whole system escalation procedures are invoked with key actions and timescales assigned to individuals.</w:t>
            </w:r>
          </w:p>
        </w:tc>
        <w:tc>
          <w:tcPr>
            <w:tcW w:w="1561" w:type="dxa"/>
            <w:shd w:val="clear" w:color="auto" w:fill="auto"/>
            <w:vAlign w:val="center"/>
          </w:tcPr>
          <w:p w14:paraId="19DF8A35" w14:textId="13A3918A" w:rsidR="00337DC9" w:rsidRPr="005C76AF" w:rsidRDefault="00874F6B" w:rsidP="00874F6B">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438D48FD" w14:textId="77777777" w:rsidTr="00BA7696">
        <w:tc>
          <w:tcPr>
            <w:tcW w:w="710" w:type="dxa"/>
            <w:shd w:val="clear" w:color="auto" w:fill="auto"/>
          </w:tcPr>
          <w:p w14:paraId="5345D002"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2.3</w:t>
            </w:r>
          </w:p>
        </w:tc>
        <w:tc>
          <w:tcPr>
            <w:tcW w:w="12616" w:type="dxa"/>
            <w:shd w:val="clear" w:color="auto" w:fill="auto"/>
          </w:tcPr>
          <w:p w14:paraId="3849B871" w14:textId="77777777" w:rsidR="00337DC9" w:rsidRPr="005C76AF" w:rsidRDefault="00337DC9" w:rsidP="00D235B3">
            <w:pPr>
              <w:spacing w:after="120" w:line="240" w:lineRule="atLeast"/>
              <w:jc w:val="both"/>
              <w:rPr>
                <w:rFonts w:ascii="Arial" w:hAnsi="Arial" w:cs="Arial"/>
              </w:rPr>
            </w:pPr>
            <w:r w:rsidRPr="005C76AF">
              <w:rPr>
                <w:rFonts w:ascii="Arial" w:hAnsi="Arial" w:cs="Arial"/>
              </w:rPr>
              <w:t xml:space="preserve">Robust communication processes are in place across each hospital site including morning hospital-safety huddles, focusing on the day's activity and current status, and afternoon huddles, looking at prediction of capacity and demand for the next day. Attendance and participation in the huddles includes pro-active involvement of HSCPs and Primary Care. Where HALOs are on site they are included to ensure focus on turnaround times for ambulances and SAS role in discharge </w:t>
            </w:r>
            <w:proofErr w:type="spellStart"/>
            <w:r w:rsidRPr="005C76AF">
              <w:rPr>
                <w:rFonts w:ascii="Arial" w:hAnsi="Arial" w:cs="Arial"/>
              </w:rPr>
              <w:t>etc</w:t>
            </w:r>
            <w:proofErr w:type="spellEnd"/>
          </w:p>
        </w:tc>
        <w:tc>
          <w:tcPr>
            <w:tcW w:w="1561" w:type="dxa"/>
            <w:shd w:val="clear" w:color="auto" w:fill="auto"/>
            <w:vAlign w:val="center"/>
          </w:tcPr>
          <w:p w14:paraId="7F35871C" w14:textId="551B9E18" w:rsidR="00337DC9" w:rsidRPr="005C76AF" w:rsidRDefault="003975DC" w:rsidP="003975DC">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731E1809" w14:textId="77777777" w:rsidTr="00BA7696">
        <w:tc>
          <w:tcPr>
            <w:tcW w:w="710" w:type="dxa"/>
            <w:shd w:val="clear" w:color="auto" w:fill="auto"/>
          </w:tcPr>
          <w:p w14:paraId="1E35E9A7"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2.4</w:t>
            </w:r>
          </w:p>
          <w:p w14:paraId="15517A0C" w14:textId="77777777" w:rsidR="00337DC9" w:rsidRPr="005C76AF" w:rsidRDefault="00337DC9" w:rsidP="00D235B3">
            <w:pPr>
              <w:rPr>
                <w:rFonts w:ascii="Arial" w:hAnsi="Arial" w:cs="Arial"/>
              </w:rPr>
            </w:pPr>
          </w:p>
          <w:p w14:paraId="71C3D1AF" w14:textId="77777777" w:rsidR="00337DC9" w:rsidRPr="005C76AF" w:rsidRDefault="00337DC9" w:rsidP="00D235B3">
            <w:pPr>
              <w:rPr>
                <w:rFonts w:ascii="Arial" w:hAnsi="Arial" w:cs="Arial"/>
              </w:rPr>
            </w:pPr>
          </w:p>
        </w:tc>
        <w:tc>
          <w:tcPr>
            <w:tcW w:w="12616" w:type="dxa"/>
            <w:shd w:val="clear" w:color="auto" w:fill="auto"/>
          </w:tcPr>
          <w:p w14:paraId="005010AD"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rPr>
              <w:t xml:space="preserve">Emergency Physician in Charge (EPIC) roles are in place where possible to provide dedicated leadership in Emergency Departments. </w:t>
            </w:r>
          </w:p>
          <w:p w14:paraId="1A9C781E"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i/>
              </w:rPr>
            </w:pPr>
            <w:r w:rsidRPr="005C76AF">
              <w:rPr>
                <w:rFonts w:ascii="Arial" w:hAnsi="Arial" w:cs="Arial"/>
              </w:rPr>
              <w:t xml:space="preserve">A Discharge Co-ordinator is in place in each ED to act as a single point of contact (SPOC) to arrange rapid discharge from ED, and take responsibility for co-ordinating community support to enable swift decision making at the front door to prevent admission where it is safe to do so. </w:t>
            </w:r>
          </w:p>
        </w:tc>
        <w:tc>
          <w:tcPr>
            <w:tcW w:w="1561" w:type="dxa"/>
            <w:shd w:val="clear" w:color="auto" w:fill="auto"/>
            <w:vAlign w:val="center"/>
          </w:tcPr>
          <w:p w14:paraId="7FB8E45F" w14:textId="380B5717" w:rsidR="00337DC9" w:rsidRPr="005C76AF" w:rsidRDefault="00337DC9" w:rsidP="00D235B3">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r w:rsidR="00337DC9" w:rsidRPr="005C76AF" w14:paraId="25FD4F5D" w14:textId="77777777" w:rsidTr="00BA7696">
        <w:tc>
          <w:tcPr>
            <w:tcW w:w="710" w:type="dxa"/>
            <w:shd w:val="clear" w:color="auto" w:fill="auto"/>
          </w:tcPr>
          <w:p w14:paraId="648D0987"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2.5</w:t>
            </w:r>
          </w:p>
        </w:tc>
        <w:tc>
          <w:tcPr>
            <w:tcW w:w="12616" w:type="dxa"/>
            <w:shd w:val="clear" w:color="auto" w:fill="auto"/>
          </w:tcPr>
          <w:p w14:paraId="11B36E6A"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rPr>
              <w:t xml:space="preserve">Pathways are in place which provide an alternative to admission through the four agreed national priority pathways: </w:t>
            </w:r>
            <w:r w:rsidRPr="005C76AF">
              <w:rPr>
                <w:rFonts w:ascii="Arial" w:hAnsi="Arial" w:cs="Arial"/>
                <w:color w:val="272A2A"/>
              </w:rPr>
              <w:t>Hospital at Home; Community Respiratory Rapid Response; Out-patient Parental Antibiotic Therapy (OPAT); and Remote Health Monitoring.</w:t>
            </w:r>
          </w:p>
        </w:tc>
        <w:tc>
          <w:tcPr>
            <w:tcW w:w="1561" w:type="dxa"/>
            <w:shd w:val="clear" w:color="auto" w:fill="auto"/>
            <w:vAlign w:val="center"/>
          </w:tcPr>
          <w:p w14:paraId="2B9FA157" w14:textId="4D3C03E8" w:rsidR="00337DC9" w:rsidRPr="005C76AF" w:rsidRDefault="00337DC9" w:rsidP="00D235B3">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r w:rsidR="00337DC9" w:rsidRPr="005C76AF" w14:paraId="25FE30A4" w14:textId="77777777" w:rsidTr="00BA7696">
        <w:tc>
          <w:tcPr>
            <w:tcW w:w="710" w:type="dxa"/>
            <w:shd w:val="clear" w:color="auto" w:fill="auto"/>
          </w:tcPr>
          <w:p w14:paraId="01DA6494"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2.6</w:t>
            </w:r>
          </w:p>
        </w:tc>
        <w:tc>
          <w:tcPr>
            <w:tcW w:w="12616" w:type="dxa"/>
            <w:shd w:val="clear" w:color="auto" w:fill="auto"/>
          </w:tcPr>
          <w:p w14:paraId="32512150"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rPr>
              <w:t xml:space="preserve">As indicated in the Cabinet Secretary letter of 12 October 2022, escalation procedures are linked to a plan which encompasses the full use of step-down community facilities. If necessary, plans will consider any requirement to purchase additional capacity over the winter period. </w:t>
            </w:r>
          </w:p>
        </w:tc>
        <w:tc>
          <w:tcPr>
            <w:tcW w:w="1561" w:type="dxa"/>
            <w:shd w:val="clear" w:color="auto" w:fill="auto"/>
            <w:vAlign w:val="center"/>
          </w:tcPr>
          <w:p w14:paraId="6D77BF99" w14:textId="73411EB6" w:rsidR="00337DC9" w:rsidRPr="005C76AF" w:rsidRDefault="00337DC9" w:rsidP="00D235B3">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r w:rsidR="00337DC9" w:rsidRPr="005C76AF" w14:paraId="3824D8E7" w14:textId="77777777" w:rsidTr="00BA7696">
        <w:trPr>
          <w:trHeight w:val="671"/>
        </w:trPr>
        <w:tc>
          <w:tcPr>
            <w:tcW w:w="710" w:type="dxa"/>
            <w:shd w:val="clear" w:color="auto" w:fill="auto"/>
          </w:tcPr>
          <w:p w14:paraId="239CD853"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2.7</w:t>
            </w:r>
          </w:p>
        </w:tc>
        <w:tc>
          <w:tcPr>
            <w:tcW w:w="12616" w:type="dxa"/>
            <w:shd w:val="clear" w:color="auto" w:fill="auto"/>
          </w:tcPr>
          <w:p w14:paraId="5323AC56"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bCs/>
              </w:rPr>
            </w:pPr>
            <w:r w:rsidRPr="005C76AF">
              <w:rPr>
                <w:rFonts w:ascii="Arial" w:hAnsi="Arial" w:cs="Arial"/>
                <w:bCs/>
              </w:rPr>
              <w:t>Additional festive arrangements, over the four day public holiday, are planned in collaboration with partner organisations such as HSPCs, Local authorities, Police Scotland, SAS and the local Voluntary Sector</w:t>
            </w:r>
          </w:p>
        </w:tc>
        <w:tc>
          <w:tcPr>
            <w:tcW w:w="1561" w:type="dxa"/>
            <w:shd w:val="clear" w:color="auto" w:fill="auto"/>
            <w:vAlign w:val="center"/>
          </w:tcPr>
          <w:p w14:paraId="1A974453" w14:textId="3C345804" w:rsidR="00337DC9" w:rsidRPr="005C76AF" w:rsidRDefault="00B93FFF" w:rsidP="00B93FFF">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167E2D3B" w14:textId="77777777" w:rsidTr="00BA7696">
        <w:tc>
          <w:tcPr>
            <w:tcW w:w="710" w:type="dxa"/>
            <w:shd w:val="clear" w:color="auto" w:fill="auto"/>
          </w:tcPr>
          <w:p w14:paraId="78A1EAF5"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lastRenderedPageBreak/>
              <w:t>2.8</w:t>
            </w:r>
          </w:p>
        </w:tc>
        <w:tc>
          <w:tcPr>
            <w:tcW w:w="12616" w:type="dxa"/>
            <w:shd w:val="clear" w:color="auto" w:fill="auto"/>
          </w:tcPr>
          <w:p w14:paraId="76BFBF6C"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b/>
              </w:rPr>
            </w:pPr>
            <w:r w:rsidRPr="005C76AF">
              <w:rPr>
                <w:rFonts w:ascii="Arial" w:hAnsi="Arial" w:cs="Arial"/>
                <w:bCs/>
              </w:rPr>
              <w:t>Patients identified as being at high risk of admission from, both the SPARRA register and local intelligence, and who have a care manager allocated to them, will be identifiable on contact with OOH and acute services to help prevent admissions and facilitate appropriate early discharge.</w:t>
            </w:r>
          </w:p>
        </w:tc>
        <w:tc>
          <w:tcPr>
            <w:tcW w:w="1561" w:type="dxa"/>
            <w:shd w:val="clear" w:color="auto" w:fill="auto"/>
            <w:vAlign w:val="center"/>
          </w:tcPr>
          <w:p w14:paraId="351F8D58" w14:textId="53D2B153" w:rsidR="00337DC9" w:rsidRPr="005C76AF" w:rsidRDefault="0089431D" w:rsidP="0089431D">
            <w:pPr>
              <w:tabs>
                <w:tab w:val="right" w:pos="9907"/>
              </w:tabs>
              <w:spacing w:after="120" w:line="240" w:lineRule="atLeast"/>
              <w:jc w:val="center"/>
              <w:rPr>
                <w:rFonts w:ascii="Arial" w:hAnsi="Arial" w:cs="Arial"/>
              </w:rPr>
            </w:pPr>
            <w:r>
              <w:rPr>
                <w:rFonts w:ascii="Arial" w:hAnsi="Arial" w:cs="Arial"/>
                <w:b/>
                <w:color w:val="1F497D"/>
                <w:szCs w:val="24"/>
              </w:rPr>
              <w:t>N/A</w:t>
            </w:r>
          </w:p>
        </w:tc>
      </w:tr>
      <w:tr w:rsidR="00337DC9" w:rsidRPr="005C76AF" w14:paraId="7EB7E3EC" w14:textId="77777777" w:rsidTr="00BA7696">
        <w:tc>
          <w:tcPr>
            <w:tcW w:w="710" w:type="dxa"/>
            <w:shd w:val="clear" w:color="auto" w:fill="auto"/>
          </w:tcPr>
          <w:p w14:paraId="0199F61F"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2.9</w:t>
            </w:r>
          </w:p>
        </w:tc>
        <w:tc>
          <w:tcPr>
            <w:tcW w:w="12616" w:type="dxa"/>
            <w:shd w:val="clear" w:color="auto" w:fill="auto"/>
          </w:tcPr>
          <w:p w14:paraId="0A83B3E5" w14:textId="77777777" w:rsidR="00337DC9" w:rsidRPr="005C76AF" w:rsidRDefault="00337DC9" w:rsidP="00D235B3">
            <w:pPr>
              <w:pStyle w:val="CommentText"/>
              <w:rPr>
                <w:rFonts w:cs="Arial"/>
                <w:bCs/>
                <w:sz w:val="22"/>
                <w:szCs w:val="22"/>
              </w:rPr>
            </w:pPr>
            <w:r w:rsidRPr="005C76AF">
              <w:rPr>
                <w:rFonts w:cs="Arial"/>
                <w:bCs/>
                <w:sz w:val="22"/>
                <w:szCs w:val="22"/>
              </w:rPr>
              <w:t>Patients with respiratory conditions and those who are frail will benefit from having an up to date anticipatory care plan in place.</w:t>
            </w:r>
          </w:p>
        </w:tc>
        <w:tc>
          <w:tcPr>
            <w:tcW w:w="1561" w:type="dxa"/>
            <w:shd w:val="clear" w:color="auto" w:fill="auto"/>
            <w:vAlign w:val="center"/>
          </w:tcPr>
          <w:p w14:paraId="7999073F" w14:textId="4607BDFE" w:rsidR="00337DC9" w:rsidRPr="005C76AF" w:rsidRDefault="00337DC9" w:rsidP="00D235B3">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r w:rsidR="00337DC9" w:rsidRPr="005C76AF" w14:paraId="2AF2D00B" w14:textId="77777777" w:rsidTr="00BA7696">
        <w:tc>
          <w:tcPr>
            <w:tcW w:w="710" w:type="dxa"/>
            <w:shd w:val="clear" w:color="auto" w:fill="auto"/>
          </w:tcPr>
          <w:p w14:paraId="6FAFC9D8"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2.10</w:t>
            </w:r>
          </w:p>
        </w:tc>
        <w:tc>
          <w:tcPr>
            <w:tcW w:w="12616" w:type="dxa"/>
            <w:shd w:val="clear" w:color="auto" w:fill="auto"/>
          </w:tcPr>
          <w:p w14:paraId="45DF6013"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Pathways are in place for patients who are identified as ‘frail’ and those with respiratory exacerbations, and these are embedded within primary care services, in and out of hours, as alternatives to admissions. Regular MDT meetings are in place to discuss patients with severe COPD.</w:t>
            </w:r>
          </w:p>
        </w:tc>
        <w:tc>
          <w:tcPr>
            <w:tcW w:w="1561" w:type="dxa"/>
            <w:shd w:val="clear" w:color="auto" w:fill="auto"/>
            <w:vAlign w:val="center"/>
          </w:tcPr>
          <w:p w14:paraId="25759571" w14:textId="2C08F435" w:rsidR="00337DC9" w:rsidRPr="005C76AF" w:rsidRDefault="00337DC9" w:rsidP="00B93FFF">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r w:rsidR="00337DC9" w:rsidRPr="005C76AF" w14:paraId="4F29C283" w14:textId="77777777" w:rsidTr="00BA7696">
        <w:tc>
          <w:tcPr>
            <w:tcW w:w="710" w:type="dxa"/>
            <w:shd w:val="clear" w:color="auto" w:fill="auto"/>
          </w:tcPr>
          <w:p w14:paraId="4023EE1E"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2.11</w:t>
            </w:r>
          </w:p>
        </w:tc>
        <w:tc>
          <w:tcPr>
            <w:tcW w:w="12616" w:type="dxa"/>
            <w:shd w:val="clear" w:color="auto" w:fill="auto"/>
          </w:tcPr>
          <w:p w14:paraId="3D72D09C" w14:textId="77777777" w:rsidR="00337DC9" w:rsidRPr="005C76AF" w:rsidRDefault="00337DC9" w:rsidP="005C76AF">
            <w:pPr>
              <w:tabs>
                <w:tab w:val="right" w:pos="9907"/>
              </w:tabs>
              <w:spacing w:after="60" w:line="240" w:lineRule="atLeast"/>
              <w:rPr>
                <w:rFonts w:ascii="Arial" w:hAnsi="Arial" w:cs="Arial"/>
              </w:rPr>
            </w:pPr>
            <w:r w:rsidRPr="005C76AF">
              <w:rPr>
                <w:rFonts w:ascii="Arial" w:hAnsi="Arial" w:cs="Arial"/>
              </w:rPr>
              <w:t xml:space="preserve">People living with a respiratory condition have access to a respiratory team 7 days a week, should they become unable to self-manage their condition from home.  </w:t>
            </w:r>
          </w:p>
          <w:p w14:paraId="78B9D719"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Patients are provided with information on action to take/who to contact in the event of an exacerbation, including direct phone lines where possible.</w:t>
            </w:r>
          </w:p>
        </w:tc>
        <w:tc>
          <w:tcPr>
            <w:tcW w:w="1561" w:type="dxa"/>
            <w:shd w:val="clear" w:color="auto" w:fill="auto"/>
            <w:vAlign w:val="center"/>
          </w:tcPr>
          <w:p w14:paraId="0C7DBF8A" w14:textId="5E4FAF12" w:rsidR="00337DC9" w:rsidRPr="005C76AF" w:rsidRDefault="00337DC9" w:rsidP="00D235B3">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r w:rsidR="00337DC9" w:rsidRPr="005C76AF" w14:paraId="577107BA" w14:textId="77777777" w:rsidTr="00BA7696">
        <w:tc>
          <w:tcPr>
            <w:tcW w:w="710" w:type="dxa"/>
            <w:shd w:val="clear" w:color="auto" w:fill="auto"/>
          </w:tcPr>
          <w:p w14:paraId="1017E9F8"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2.12</w:t>
            </w:r>
          </w:p>
        </w:tc>
        <w:tc>
          <w:tcPr>
            <w:tcW w:w="12616" w:type="dxa"/>
            <w:shd w:val="clear" w:color="auto" w:fill="auto"/>
          </w:tcPr>
          <w:p w14:paraId="0077826D"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 xml:space="preserve">Care Homes will be supported with timely access to professional support and clinical advice to enable admission prevention and more planned interventions to keep residents safe in their own home. This includes proactive contact on at least a weekly basis to discuss any residents the care home staff are concerned about and agree a plan of care and interventions if these should be required. </w:t>
            </w:r>
          </w:p>
        </w:tc>
        <w:tc>
          <w:tcPr>
            <w:tcW w:w="1561" w:type="dxa"/>
            <w:shd w:val="clear" w:color="auto" w:fill="auto"/>
            <w:vAlign w:val="center"/>
          </w:tcPr>
          <w:p w14:paraId="03D32CF9" w14:textId="1EC20B7B" w:rsidR="00337DC9" w:rsidRPr="005C76AF" w:rsidRDefault="00337DC9" w:rsidP="00D235B3">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bl>
    <w:p w14:paraId="7DC93B65" w14:textId="77777777" w:rsidR="00337DC9" w:rsidRPr="005C76AF" w:rsidRDefault="00337DC9" w:rsidP="00337DC9">
      <w:pPr>
        <w:spacing w:after="120" w:line="240" w:lineRule="atLeast"/>
        <w:rPr>
          <w:rFonts w:ascii="Arial" w:hAnsi="Arial" w:cs="Arial"/>
          <w:szCs w:val="24"/>
          <w:lang w:eastAsia="en-GB"/>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616"/>
        <w:gridCol w:w="1559"/>
      </w:tblGrid>
      <w:tr w:rsidR="00337DC9" w:rsidRPr="005C76AF" w14:paraId="608D6DCB" w14:textId="77777777" w:rsidTr="00BA7696">
        <w:trPr>
          <w:trHeight w:val="607"/>
        </w:trPr>
        <w:tc>
          <w:tcPr>
            <w:tcW w:w="710" w:type="dxa"/>
            <w:shd w:val="clear" w:color="auto" w:fill="DEEAF6" w:themeFill="accent1" w:themeFillTint="33"/>
          </w:tcPr>
          <w:p w14:paraId="2BF88648" w14:textId="77777777" w:rsidR="00337DC9" w:rsidRPr="005C76AF" w:rsidRDefault="00337DC9" w:rsidP="00D235B3">
            <w:pPr>
              <w:tabs>
                <w:tab w:val="right" w:pos="9907"/>
              </w:tabs>
              <w:spacing w:after="120" w:line="240" w:lineRule="atLeast"/>
              <w:rPr>
                <w:rFonts w:ascii="Arial" w:hAnsi="Arial" w:cs="Arial"/>
                <w:b/>
                <w:color w:val="1F497D"/>
                <w:szCs w:val="24"/>
              </w:rPr>
            </w:pPr>
            <w:r w:rsidRPr="005C76AF">
              <w:rPr>
                <w:rFonts w:ascii="Arial" w:hAnsi="Arial" w:cs="Arial"/>
                <w:b/>
                <w:color w:val="1F497D"/>
                <w:sz w:val="28"/>
                <w:szCs w:val="24"/>
              </w:rPr>
              <w:t>3</w:t>
            </w:r>
          </w:p>
        </w:tc>
        <w:tc>
          <w:tcPr>
            <w:tcW w:w="12616" w:type="dxa"/>
            <w:shd w:val="clear" w:color="auto" w:fill="DEEAF6" w:themeFill="accent1" w:themeFillTint="33"/>
          </w:tcPr>
          <w:p w14:paraId="784443E8" w14:textId="77777777" w:rsidR="00337DC9" w:rsidRPr="005C76AF" w:rsidRDefault="00337DC9" w:rsidP="00D235B3">
            <w:pPr>
              <w:tabs>
                <w:tab w:val="right" w:pos="9907"/>
              </w:tabs>
              <w:spacing w:after="120" w:line="240" w:lineRule="atLeast"/>
              <w:jc w:val="center"/>
              <w:rPr>
                <w:rFonts w:ascii="Arial" w:hAnsi="Arial" w:cs="Arial"/>
                <w:b/>
                <w:color w:val="1F497D"/>
                <w:sz w:val="28"/>
                <w:szCs w:val="28"/>
              </w:rPr>
            </w:pPr>
            <w:r w:rsidRPr="005C76AF">
              <w:rPr>
                <w:rFonts w:ascii="Arial" w:hAnsi="Arial" w:cs="Arial"/>
                <w:b/>
                <w:color w:val="1F497D"/>
                <w:sz w:val="28"/>
                <w:szCs w:val="28"/>
              </w:rPr>
              <w:t>Intermediate / Step Up / Step Down Care</w:t>
            </w:r>
          </w:p>
        </w:tc>
        <w:tc>
          <w:tcPr>
            <w:tcW w:w="1559" w:type="dxa"/>
            <w:shd w:val="clear" w:color="auto" w:fill="DEEAF6" w:themeFill="accent1" w:themeFillTint="33"/>
          </w:tcPr>
          <w:p w14:paraId="6DEE0D9F" w14:textId="77777777" w:rsidR="00337DC9" w:rsidRPr="005C76AF" w:rsidRDefault="00337DC9" w:rsidP="00D235B3">
            <w:pPr>
              <w:tabs>
                <w:tab w:val="right" w:pos="9907"/>
              </w:tabs>
              <w:spacing w:after="120" w:line="240" w:lineRule="atLeast"/>
              <w:rPr>
                <w:rFonts w:ascii="Arial" w:hAnsi="Arial" w:cs="Arial"/>
                <w:b/>
                <w:color w:val="1F497D"/>
                <w:szCs w:val="24"/>
              </w:rPr>
            </w:pPr>
          </w:p>
        </w:tc>
      </w:tr>
      <w:tr w:rsidR="00337DC9" w:rsidRPr="005C76AF" w14:paraId="59027FA2" w14:textId="77777777" w:rsidTr="00BA7696">
        <w:trPr>
          <w:trHeight w:val="2400"/>
        </w:trPr>
        <w:tc>
          <w:tcPr>
            <w:tcW w:w="710" w:type="dxa"/>
            <w:shd w:val="clear" w:color="auto" w:fill="auto"/>
          </w:tcPr>
          <w:p w14:paraId="2CB9E747"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3.1</w:t>
            </w:r>
          </w:p>
        </w:tc>
        <w:tc>
          <w:tcPr>
            <w:tcW w:w="12616" w:type="dxa"/>
            <w:shd w:val="clear" w:color="auto" w:fill="auto"/>
          </w:tcPr>
          <w:p w14:paraId="24EB09F7" w14:textId="23373F8E" w:rsidR="00337DC9" w:rsidRPr="005C76AF" w:rsidRDefault="00337DC9" w:rsidP="00BA7696">
            <w:pPr>
              <w:autoSpaceDE w:val="0"/>
              <w:autoSpaceDN w:val="0"/>
              <w:adjustRightInd w:val="0"/>
              <w:spacing w:after="0" w:line="240" w:lineRule="atLeast"/>
              <w:rPr>
                <w:rFonts w:ascii="Arial" w:hAnsi="Arial" w:cs="Arial"/>
                <w:color w:val="004381"/>
              </w:rPr>
            </w:pPr>
            <w:r w:rsidRPr="005C76AF">
              <w:rPr>
                <w:rFonts w:ascii="Arial" w:hAnsi="Arial" w:cs="Arial"/>
                <w:color w:val="272A2A"/>
              </w:rPr>
              <w:t>Boards can evidence plans to increase the provision of intermediate care to impact positively on patients and services over the winter; and also to work towards building sustainability for the future.</w:t>
            </w:r>
            <w:r w:rsidR="005C76AF">
              <w:rPr>
                <w:rFonts w:ascii="Arial" w:hAnsi="Arial" w:cs="Arial"/>
                <w:color w:val="272A2A"/>
              </w:rPr>
              <w:t xml:space="preserve"> </w:t>
            </w:r>
            <w:r w:rsidRPr="005C76AF">
              <w:rPr>
                <w:rFonts w:ascii="Arial" w:hAnsi="Arial" w:cs="Arial"/>
              </w:rPr>
              <w:t>Plans include:</w:t>
            </w:r>
          </w:p>
          <w:p w14:paraId="1B45D7D6" w14:textId="4BBAA5FA" w:rsidR="00337DC9" w:rsidRPr="005C76AF" w:rsidRDefault="00337DC9" w:rsidP="00B06F2D">
            <w:pPr>
              <w:pStyle w:val="ListParagraph"/>
              <w:numPr>
                <w:ilvl w:val="0"/>
                <w:numId w:val="15"/>
              </w:numPr>
              <w:autoSpaceDE w:val="0"/>
              <w:autoSpaceDN w:val="0"/>
              <w:adjustRightInd w:val="0"/>
              <w:spacing w:after="0" w:line="240" w:lineRule="atLeast"/>
              <w:rPr>
                <w:rFonts w:ascii="Arial" w:hAnsi="Arial" w:cs="Arial"/>
                <w:color w:val="272A2A"/>
              </w:rPr>
            </w:pPr>
            <w:r w:rsidRPr="005C76AF">
              <w:rPr>
                <w:rFonts w:ascii="Arial" w:hAnsi="Arial" w:cs="Arial"/>
                <w:color w:val="272A2A"/>
              </w:rPr>
              <w:t>continued implementation of the following to enable step up and step down care and prevent admission: Home First, Discharge without Delay, Discharge to Assess and effective End of Life pathways</w:t>
            </w:r>
            <w:r w:rsidR="005C76AF" w:rsidRPr="005C76AF">
              <w:rPr>
                <w:rFonts w:ascii="Arial" w:hAnsi="Arial" w:cs="Arial"/>
                <w:color w:val="272A2A"/>
              </w:rPr>
              <w:t xml:space="preserve"> </w:t>
            </w:r>
            <w:r w:rsidRPr="005C76AF">
              <w:rPr>
                <w:rFonts w:ascii="Arial" w:hAnsi="Arial" w:cs="Arial"/>
                <w:color w:val="272A2A"/>
              </w:rPr>
              <w:t>to prevent an increase in patients who are delayed in the health and care system</w:t>
            </w:r>
          </w:p>
          <w:p w14:paraId="3B9AEC29" w14:textId="08145932" w:rsidR="00337DC9" w:rsidRPr="005C76AF" w:rsidRDefault="00337DC9" w:rsidP="00CA6D56">
            <w:pPr>
              <w:pStyle w:val="ListParagraph"/>
              <w:numPr>
                <w:ilvl w:val="0"/>
                <w:numId w:val="15"/>
              </w:numPr>
              <w:autoSpaceDE w:val="0"/>
              <w:autoSpaceDN w:val="0"/>
              <w:adjustRightInd w:val="0"/>
              <w:spacing w:after="0" w:line="240" w:lineRule="atLeast"/>
              <w:rPr>
                <w:rFonts w:ascii="Arial" w:hAnsi="Arial" w:cs="Arial"/>
                <w:color w:val="272A2A"/>
              </w:rPr>
            </w:pPr>
            <w:proofErr w:type="gramStart"/>
            <w:r w:rsidRPr="005C76AF">
              <w:rPr>
                <w:rFonts w:ascii="Arial" w:hAnsi="Arial" w:cs="Arial"/>
                <w:color w:val="272A2A"/>
              </w:rPr>
              <w:t>increase</w:t>
            </w:r>
            <w:proofErr w:type="gramEnd"/>
            <w:r w:rsidRPr="005C76AF">
              <w:rPr>
                <w:rFonts w:ascii="Arial" w:hAnsi="Arial" w:cs="Arial"/>
                <w:color w:val="272A2A"/>
              </w:rPr>
              <w:t xml:space="preserve"> in community capacity to enable patients to be discharged to their own home (or as homely a setting as </w:t>
            </w:r>
            <w:r w:rsidR="005C76AF" w:rsidRPr="005C76AF">
              <w:rPr>
                <w:rFonts w:ascii="Arial" w:hAnsi="Arial" w:cs="Arial"/>
                <w:color w:val="272A2A"/>
              </w:rPr>
              <w:t>p</w:t>
            </w:r>
            <w:r w:rsidRPr="005C76AF">
              <w:rPr>
                <w:rFonts w:ascii="Arial" w:hAnsi="Arial" w:cs="Arial"/>
                <w:color w:val="272A2A"/>
              </w:rPr>
              <w:t>ossible)</w:t>
            </w:r>
            <w:r w:rsidR="005C76AF" w:rsidRPr="005C76AF">
              <w:rPr>
                <w:rFonts w:ascii="Arial" w:hAnsi="Arial" w:cs="Arial"/>
                <w:color w:val="272A2A"/>
              </w:rPr>
              <w:t xml:space="preserve"> </w:t>
            </w:r>
            <w:r w:rsidRPr="005C76AF">
              <w:rPr>
                <w:rFonts w:ascii="Arial" w:hAnsi="Arial" w:cs="Arial"/>
                <w:color w:val="272A2A"/>
              </w:rPr>
              <w:t>as the default ambition. This increase in capacity will be context specific according to need and be a mixed model of an</w:t>
            </w:r>
            <w:r w:rsidR="005C76AF" w:rsidRPr="005C76AF">
              <w:rPr>
                <w:rFonts w:ascii="Arial" w:hAnsi="Arial" w:cs="Arial"/>
                <w:color w:val="272A2A"/>
              </w:rPr>
              <w:t xml:space="preserve"> </w:t>
            </w:r>
            <w:r w:rsidRPr="005C76AF">
              <w:rPr>
                <w:rFonts w:ascii="Arial" w:hAnsi="Arial" w:cs="Arial"/>
                <w:color w:val="272A2A"/>
              </w:rPr>
              <w:t>increase in health and care community services, and/or bed based services dependent on patient and service need.</w:t>
            </w:r>
          </w:p>
          <w:p w14:paraId="02A87B39" w14:textId="7F3E4B3F" w:rsidR="00337DC9" w:rsidRPr="005C76AF" w:rsidRDefault="00337DC9" w:rsidP="005C76AF">
            <w:pPr>
              <w:pStyle w:val="ListParagraph"/>
              <w:numPr>
                <w:ilvl w:val="0"/>
                <w:numId w:val="15"/>
              </w:numPr>
              <w:autoSpaceDE w:val="0"/>
              <w:autoSpaceDN w:val="0"/>
              <w:adjustRightInd w:val="0"/>
              <w:spacing w:after="0" w:line="240" w:lineRule="atLeast"/>
              <w:rPr>
                <w:rFonts w:ascii="Arial" w:hAnsi="Arial" w:cs="Arial"/>
                <w:color w:val="272A2A"/>
              </w:rPr>
            </w:pPr>
            <w:proofErr w:type="gramStart"/>
            <w:r w:rsidRPr="005C76AF">
              <w:rPr>
                <w:rFonts w:ascii="Arial" w:hAnsi="Arial" w:cs="Arial"/>
                <w:color w:val="272A2A"/>
              </w:rPr>
              <w:t>continued</w:t>
            </w:r>
            <w:proofErr w:type="gramEnd"/>
            <w:r w:rsidRPr="005C76AF">
              <w:rPr>
                <w:rFonts w:ascii="Arial" w:hAnsi="Arial" w:cs="Arial"/>
                <w:color w:val="272A2A"/>
              </w:rPr>
              <w:t xml:space="preserve"> and swift mobilisation of their local voluntary and third sectors to maximise support to community services</w:t>
            </w:r>
            <w:r w:rsidR="005C76AF">
              <w:rPr>
                <w:rFonts w:ascii="Arial" w:hAnsi="Arial" w:cs="Arial"/>
                <w:color w:val="272A2A"/>
              </w:rPr>
              <w:t xml:space="preserve"> </w:t>
            </w:r>
            <w:r w:rsidRPr="005C76AF">
              <w:rPr>
                <w:rFonts w:ascii="Arial" w:hAnsi="Arial" w:cs="Arial"/>
                <w:color w:val="272A2A"/>
              </w:rPr>
              <w:t>enabling people to be discharged and avoid readmission.</w:t>
            </w:r>
          </w:p>
        </w:tc>
        <w:tc>
          <w:tcPr>
            <w:tcW w:w="1559" w:type="dxa"/>
            <w:shd w:val="clear" w:color="auto" w:fill="auto"/>
          </w:tcPr>
          <w:p w14:paraId="30B15BED" w14:textId="77777777" w:rsidR="004A3104" w:rsidRDefault="004A3104" w:rsidP="00D235B3">
            <w:pPr>
              <w:tabs>
                <w:tab w:val="right" w:pos="9907"/>
              </w:tabs>
              <w:spacing w:after="120" w:line="240" w:lineRule="atLeast"/>
              <w:jc w:val="center"/>
              <w:rPr>
                <w:rFonts w:ascii="Arial" w:hAnsi="Arial" w:cs="Arial"/>
                <w:b/>
                <w:color w:val="1F497D"/>
                <w:szCs w:val="24"/>
              </w:rPr>
            </w:pPr>
          </w:p>
          <w:p w14:paraId="5E789B79" w14:textId="77777777" w:rsidR="004A3104" w:rsidRDefault="004A3104" w:rsidP="00D235B3">
            <w:pPr>
              <w:tabs>
                <w:tab w:val="right" w:pos="9907"/>
              </w:tabs>
              <w:spacing w:after="120" w:line="240" w:lineRule="atLeast"/>
              <w:jc w:val="center"/>
              <w:rPr>
                <w:rFonts w:ascii="Arial" w:hAnsi="Arial" w:cs="Arial"/>
                <w:b/>
                <w:color w:val="1F497D"/>
                <w:szCs w:val="24"/>
              </w:rPr>
            </w:pPr>
          </w:p>
          <w:p w14:paraId="148BFA00" w14:textId="321EB0FD" w:rsidR="00337DC9" w:rsidRPr="005C76AF" w:rsidRDefault="00337DC9" w:rsidP="00D235B3">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bl>
    <w:p w14:paraId="04503481" w14:textId="77777777" w:rsidR="00BA7696" w:rsidRDefault="00BA7696">
      <w:r>
        <w:br w:type="page"/>
      </w:r>
    </w:p>
    <w:tbl>
      <w:tblPr>
        <w:tblW w:w="148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2630"/>
        <w:gridCol w:w="1559"/>
      </w:tblGrid>
      <w:tr w:rsidR="00337DC9" w:rsidRPr="005C76AF" w14:paraId="3A7D4B48" w14:textId="77777777" w:rsidTr="00BA7696">
        <w:trPr>
          <w:trHeight w:val="54"/>
        </w:trPr>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3FB39B" w14:textId="3081F2E6" w:rsidR="00337DC9" w:rsidRPr="005C76AF" w:rsidRDefault="00337DC9" w:rsidP="00D235B3">
            <w:pPr>
              <w:tabs>
                <w:tab w:val="right" w:pos="9907"/>
              </w:tabs>
              <w:spacing w:after="120" w:line="240" w:lineRule="atLeast"/>
              <w:rPr>
                <w:rFonts w:ascii="Arial" w:hAnsi="Arial" w:cs="Arial"/>
                <w:b/>
                <w:color w:val="1F497D"/>
                <w:sz w:val="28"/>
                <w:szCs w:val="28"/>
              </w:rPr>
            </w:pPr>
            <w:r w:rsidRPr="005C76AF">
              <w:rPr>
                <w:rFonts w:ascii="Arial" w:hAnsi="Arial" w:cs="Arial"/>
                <w:b/>
                <w:color w:val="1F497D"/>
                <w:sz w:val="28"/>
                <w:szCs w:val="24"/>
              </w:rPr>
              <w:lastRenderedPageBreak/>
              <w:t>4</w:t>
            </w:r>
          </w:p>
        </w:tc>
        <w:tc>
          <w:tcPr>
            <w:tcW w:w="126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D9ECD8" w14:textId="77777777" w:rsidR="00337DC9" w:rsidRPr="005C76AF" w:rsidRDefault="00337DC9" w:rsidP="00D235B3">
            <w:pPr>
              <w:spacing w:after="120" w:line="240" w:lineRule="atLeast"/>
              <w:rPr>
                <w:rFonts w:ascii="Arial" w:hAnsi="Arial" w:cs="Arial"/>
                <w:b/>
                <w:color w:val="1F497D"/>
                <w:sz w:val="28"/>
                <w:szCs w:val="28"/>
              </w:rPr>
            </w:pPr>
            <w:r w:rsidRPr="005C76AF">
              <w:rPr>
                <w:rFonts w:ascii="Arial" w:hAnsi="Arial" w:cs="Arial"/>
                <w:b/>
                <w:color w:val="1F497D"/>
                <w:sz w:val="28"/>
                <w:szCs w:val="28"/>
              </w:rPr>
              <w:t xml:space="preserve">Primary Care </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5FE267" w14:textId="77777777" w:rsidR="00337DC9" w:rsidRPr="005C76AF" w:rsidRDefault="00337DC9" w:rsidP="00D235B3">
            <w:pPr>
              <w:spacing w:after="120" w:line="240" w:lineRule="atLeast"/>
              <w:rPr>
                <w:rFonts w:ascii="Arial" w:hAnsi="Arial" w:cs="Arial"/>
                <w:b/>
                <w:color w:val="1F497D"/>
                <w:sz w:val="28"/>
                <w:szCs w:val="28"/>
              </w:rPr>
            </w:pPr>
          </w:p>
        </w:tc>
      </w:tr>
      <w:tr w:rsidR="00337DC9" w:rsidRPr="005C76AF" w14:paraId="3FF223ED" w14:textId="77777777" w:rsidTr="00BA7696">
        <w:trPr>
          <w:trHeight w:val="757"/>
        </w:trPr>
        <w:tc>
          <w:tcPr>
            <w:tcW w:w="710" w:type="dxa"/>
            <w:tcBorders>
              <w:top w:val="single" w:sz="4" w:space="0" w:color="auto"/>
              <w:left w:val="single" w:sz="4" w:space="0" w:color="auto"/>
              <w:bottom w:val="single" w:sz="4" w:space="0" w:color="auto"/>
              <w:right w:val="single" w:sz="4" w:space="0" w:color="auto"/>
            </w:tcBorders>
          </w:tcPr>
          <w:p w14:paraId="73BDD608"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rPr>
            </w:pPr>
            <w:r w:rsidRPr="005C76AF">
              <w:rPr>
                <w:rFonts w:ascii="Arial" w:hAnsi="Arial" w:cs="Arial"/>
              </w:rPr>
              <w:t>4.1</w:t>
            </w:r>
          </w:p>
        </w:tc>
        <w:tc>
          <w:tcPr>
            <w:tcW w:w="12630" w:type="dxa"/>
            <w:tcBorders>
              <w:top w:val="single" w:sz="4" w:space="0" w:color="auto"/>
              <w:left w:val="single" w:sz="4" w:space="0" w:color="auto"/>
              <w:bottom w:val="single" w:sz="4" w:space="0" w:color="auto"/>
              <w:right w:val="single" w:sz="4" w:space="0" w:color="auto"/>
            </w:tcBorders>
          </w:tcPr>
          <w:p w14:paraId="54C8D8AE" w14:textId="77777777" w:rsidR="00337DC9" w:rsidRPr="005C76AF" w:rsidRDefault="00337DC9" w:rsidP="00D235B3">
            <w:pPr>
              <w:spacing w:after="120" w:line="240" w:lineRule="atLeast"/>
              <w:rPr>
                <w:rFonts w:ascii="Arial" w:hAnsi="Arial" w:cs="Arial"/>
              </w:rPr>
            </w:pPr>
            <w:r w:rsidRPr="005C76AF">
              <w:rPr>
                <w:rFonts w:ascii="Arial" w:hAnsi="Arial" w:cs="Arial"/>
              </w:rPr>
              <w:t>Plans are in place to support General Practice (and where necessary other independent contractors) and manage sustainability over the winter period. In particular plans should reflect:</w:t>
            </w:r>
          </w:p>
          <w:p w14:paraId="382D7B14" w14:textId="77777777" w:rsidR="00337DC9" w:rsidRPr="005C76AF" w:rsidRDefault="00337DC9" w:rsidP="00337DC9">
            <w:pPr>
              <w:pStyle w:val="ListParagraph"/>
              <w:numPr>
                <w:ilvl w:val="0"/>
                <w:numId w:val="11"/>
              </w:numPr>
              <w:spacing w:after="0" w:line="240" w:lineRule="atLeast"/>
              <w:ind w:left="357" w:hanging="357"/>
              <w:contextualSpacing w:val="0"/>
              <w:rPr>
                <w:rFonts w:ascii="Arial" w:hAnsi="Arial" w:cs="Arial"/>
              </w:rPr>
            </w:pPr>
            <w:r w:rsidRPr="005C76AF">
              <w:rPr>
                <w:rFonts w:ascii="Arial" w:hAnsi="Arial" w:cs="Arial"/>
              </w:rPr>
              <w:t xml:space="preserve">Measures are in place to identify and resolve issues in accessing general practice appointments (with GPs and wider multi-disciplinary team members) as soon as possible. </w:t>
            </w:r>
          </w:p>
          <w:p w14:paraId="43D78F5F" w14:textId="77777777" w:rsidR="00337DC9" w:rsidRPr="005C76AF" w:rsidRDefault="00337DC9" w:rsidP="00337DC9">
            <w:pPr>
              <w:pStyle w:val="ListParagraph"/>
              <w:numPr>
                <w:ilvl w:val="0"/>
                <w:numId w:val="11"/>
              </w:numPr>
              <w:spacing w:after="0" w:line="240" w:lineRule="atLeast"/>
              <w:ind w:left="357" w:hanging="357"/>
              <w:contextualSpacing w:val="0"/>
              <w:rPr>
                <w:rFonts w:ascii="Arial" w:hAnsi="Arial" w:cs="Arial"/>
              </w:rPr>
            </w:pPr>
            <w:r w:rsidRPr="005C76AF">
              <w:rPr>
                <w:rFonts w:ascii="Arial" w:hAnsi="Arial" w:cs="Arial"/>
              </w:rPr>
              <w:t>Specific reference should be made to contingency arrangements where practices are unable to open due to staffing or other reasons.</w:t>
            </w:r>
          </w:p>
          <w:p w14:paraId="3FA418F0" w14:textId="77777777" w:rsidR="00337DC9" w:rsidRPr="005C76AF" w:rsidRDefault="00337DC9" w:rsidP="00337DC9">
            <w:pPr>
              <w:pStyle w:val="ListParagraph"/>
              <w:numPr>
                <w:ilvl w:val="0"/>
                <w:numId w:val="11"/>
              </w:numPr>
              <w:spacing w:after="0" w:line="240" w:lineRule="atLeast"/>
              <w:ind w:left="357" w:hanging="357"/>
              <w:contextualSpacing w:val="0"/>
              <w:rPr>
                <w:rFonts w:ascii="Arial" w:hAnsi="Arial" w:cs="Arial"/>
              </w:rPr>
            </w:pPr>
            <w:r w:rsidRPr="005C76AF">
              <w:rPr>
                <w:rFonts w:ascii="Arial" w:hAnsi="Arial" w:cs="Arial"/>
              </w:rPr>
              <w:t xml:space="preserve">Plans should include providing for contingency arrangements, such as pooling appointments within localities or clusters to ensure patient access is not restricted unduly. </w:t>
            </w:r>
          </w:p>
          <w:p w14:paraId="155D7878" w14:textId="77777777" w:rsidR="00337DC9" w:rsidRPr="005C76AF" w:rsidRDefault="00337DC9" w:rsidP="00337DC9">
            <w:pPr>
              <w:pStyle w:val="ListParagraph"/>
              <w:numPr>
                <w:ilvl w:val="0"/>
                <w:numId w:val="11"/>
              </w:numPr>
              <w:spacing w:after="120" w:line="240" w:lineRule="atLeast"/>
              <w:contextualSpacing w:val="0"/>
              <w:rPr>
                <w:rFonts w:ascii="Arial" w:hAnsi="Arial" w:cs="Arial"/>
              </w:rPr>
            </w:pPr>
            <w:r w:rsidRPr="005C76AF">
              <w:rPr>
                <w:rFonts w:ascii="Arial" w:hAnsi="Arial" w:cs="Arial"/>
              </w:rPr>
              <w:t>Any involvement of GP practices in vaccination programmes is based on the assurance that practices will continue to deliver essential primary medical services.</w:t>
            </w:r>
          </w:p>
          <w:p w14:paraId="3DE35FCC" w14:textId="77777777" w:rsidR="00337DC9" w:rsidRPr="005C76AF" w:rsidRDefault="00337DC9" w:rsidP="00D235B3">
            <w:pPr>
              <w:spacing w:after="120" w:line="240" w:lineRule="atLeast"/>
              <w:rPr>
                <w:rFonts w:ascii="Arial" w:hAnsi="Arial" w:cs="Arial"/>
              </w:rPr>
            </w:pPr>
            <w:r w:rsidRPr="005C76AF">
              <w:rPr>
                <w:rFonts w:ascii="Arial" w:hAnsi="Arial" w:cs="Arial"/>
              </w:rPr>
              <w:t xml:space="preserve">Plans should involve Local Primary Care Leads and Cluster Leads, and where appropriate the GP Subcommittee/LMC. </w:t>
            </w:r>
          </w:p>
        </w:tc>
        <w:tc>
          <w:tcPr>
            <w:tcW w:w="1559" w:type="dxa"/>
            <w:tcBorders>
              <w:top w:val="single" w:sz="4" w:space="0" w:color="auto"/>
              <w:left w:val="single" w:sz="4" w:space="0" w:color="auto"/>
              <w:bottom w:val="single" w:sz="4" w:space="0" w:color="auto"/>
              <w:right w:val="single" w:sz="4" w:space="0" w:color="auto"/>
            </w:tcBorders>
          </w:tcPr>
          <w:p w14:paraId="50E61A86" w14:textId="77777777" w:rsidR="004A3104" w:rsidRDefault="004A3104" w:rsidP="009B6158">
            <w:pPr>
              <w:spacing w:after="120" w:line="240" w:lineRule="atLeast"/>
              <w:jc w:val="center"/>
              <w:rPr>
                <w:rFonts w:ascii="Arial" w:hAnsi="Arial" w:cs="Arial"/>
                <w:b/>
                <w:color w:val="1F497D"/>
                <w:szCs w:val="24"/>
              </w:rPr>
            </w:pPr>
          </w:p>
          <w:p w14:paraId="0FD88D2C" w14:textId="77777777" w:rsidR="004A3104" w:rsidRDefault="004A3104" w:rsidP="009B6158">
            <w:pPr>
              <w:spacing w:after="120" w:line="240" w:lineRule="atLeast"/>
              <w:jc w:val="center"/>
              <w:rPr>
                <w:rFonts w:ascii="Arial" w:hAnsi="Arial" w:cs="Arial"/>
                <w:b/>
                <w:color w:val="1F497D"/>
                <w:szCs w:val="24"/>
              </w:rPr>
            </w:pPr>
          </w:p>
          <w:p w14:paraId="56DEE488" w14:textId="16F6A9B0" w:rsidR="00337DC9" w:rsidRPr="005C76AF" w:rsidRDefault="001670F8" w:rsidP="009B6158">
            <w:pPr>
              <w:spacing w:after="120" w:line="240" w:lineRule="atLeast"/>
              <w:jc w:val="center"/>
              <w:rPr>
                <w:rFonts w:ascii="Arial" w:hAnsi="Arial" w:cs="Arial"/>
                <w:b/>
              </w:rPr>
            </w:pPr>
            <w:r>
              <w:rPr>
                <w:rFonts w:ascii="Arial" w:hAnsi="Arial" w:cs="Arial"/>
                <w:b/>
                <w:color w:val="1F497D"/>
                <w:szCs w:val="24"/>
              </w:rPr>
              <w:t>N/A</w:t>
            </w:r>
          </w:p>
        </w:tc>
      </w:tr>
      <w:tr w:rsidR="00337DC9" w:rsidRPr="005C76AF" w14:paraId="4DDD4BF9" w14:textId="77777777" w:rsidTr="00BA7696">
        <w:trPr>
          <w:trHeight w:val="569"/>
        </w:trPr>
        <w:tc>
          <w:tcPr>
            <w:tcW w:w="710" w:type="dxa"/>
            <w:tcBorders>
              <w:top w:val="single" w:sz="4" w:space="0" w:color="auto"/>
              <w:left w:val="single" w:sz="4" w:space="0" w:color="auto"/>
              <w:bottom w:val="single" w:sz="4" w:space="0" w:color="auto"/>
              <w:right w:val="single" w:sz="4" w:space="0" w:color="auto"/>
            </w:tcBorders>
          </w:tcPr>
          <w:p w14:paraId="475911DD"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rPr>
            </w:pPr>
            <w:r w:rsidRPr="005C76AF">
              <w:rPr>
                <w:rFonts w:ascii="Arial" w:hAnsi="Arial" w:cs="Arial"/>
              </w:rPr>
              <w:t>4.2</w:t>
            </w:r>
          </w:p>
        </w:tc>
        <w:tc>
          <w:tcPr>
            <w:tcW w:w="12630" w:type="dxa"/>
            <w:tcBorders>
              <w:top w:val="single" w:sz="4" w:space="0" w:color="auto"/>
              <w:left w:val="single" w:sz="4" w:space="0" w:color="auto"/>
              <w:bottom w:val="single" w:sz="4" w:space="0" w:color="auto"/>
              <w:right w:val="single" w:sz="4" w:space="0" w:color="auto"/>
            </w:tcBorders>
          </w:tcPr>
          <w:p w14:paraId="3F0F3229" w14:textId="77777777" w:rsidR="00337DC9" w:rsidRPr="005C76AF" w:rsidRDefault="00337DC9" w:rsidP="00D235B3">
            <w:pPr>
              <w:spacing w:after="120" w:line="240" w:lineRule="atLeast"/>
              <w:rPr>
                <w:rFonts w:ascii="Arial" w:hAnsi="Arial" w:cs="Arial"/>
              </w:rPr>
            </w:pPr>
            <w:r w:rsidRPr="005C76AF">
              <w:rPr>
                <w:rFonts w:ascii="Arial" w:hAnsi="Arial" w:cs="Arial"/>
              </w:rPr>
              <w:t>Plans are in place to support General Practice (and where necessary other independent contractors) and manage sustainability over the winter period. Specific reference should be made to contingency arrangements where practices are unable to open due to staffing or other reasons.</w:t>
            </w:r>
          </w:p>
        </w:tc>
        <w:tc>
          <w:tcPr>
            <w:tcW w:w="1559" w:type="dxa"/>
            <w:tcBorders>
              <w:top w:val="single" w:sz="4" w:space="0" w:color="auto"/>
              <w:left w:val="single" w:sz="4" w:space="0" w:color="auto"/>
              <w:bottom w:val="single" w:sz="4" w:space="0" w:color="auto"/>
              <w:right w:val="single" w:sz="4" w:space="0" w:color="auto"/>
            </w:tcBorders>
          </w:tcPr>
          <w:p w14:paraId="7682A2D9" w14:textId="77777777" w:rsidR="004A3104" w:rsidRDefault="004A3104" w:rsidP="009B6158">
            <w:pPr>
              <w:spacing w:after="120" w:line="240" w:lineRule="atLeast"/>
              <w:jc w:val="center"/>
              <w:rPr>
                <w:rFonts w:ascii="Arial" w:hAnsi="Arial" w:cs="Arial"/>
                <w:b/>
                <w:color w:val="1F497D"/>
                <w:szCs w:val="24"/>
              </w:rPr>
            </w:pPr>
          </w:p>
          <w:p w14:paraId="450437CB" w14:textId="1FDCD922" w:rsidR="00337DC9" w:rsidRPr="005C76AF" w:rsidRDefault="00337DC9" w:rsidP="009B6158">
            <w:pPr>
              <w:spacing w:after="120" w:line="240" w:lineRule="atLeast"/>
              <w:jc w:val="center"/>
              <w:rPr>
                <w:rFonts w:ascii="Arial" w:hAnsi="Arial" w:cs="Arial"/>
                <w:b/>
              </w:rPr>
            </w:pPr>
            <w:r w:rsidRPr="005C76AF">
              <w:rPr>
                <w:rFonts w:ascii="Arial" w:hAnsi="Arial" w:cs="Arial"/>
                <w:b/>
                <w:color w:val="1F497D"/>
                <w:szCs w:val="24"/>
              </w:rPr>
              <w:t>N/A</w:t>
            </w:r>
          </w:p>
        </w:tc>
      </w:tr>
      <w:tr w:rsidR="00337DC9" w:rsidRPr="005C76AF" w14:paraId="352B2E3E" w14:textId="77777777" w:rsidTr="00BA7696">
        <w:trPr>
          <w:trHeight w:val="479"/>
        </w:trPr>
        <w:tc>
          <w:tcPr>
            <w:tcW w:w="710" w:type="dxa"/>
            <w:tcBorders>
              <w:top w:val="single" w:sz="4" w:space="0" w:color="auto"/>
              <w:left w:val="single" w:sz="4" w:space="0" w:color="auto"/>
              <w:bottom w:val="single" w:sz="4" w:space="0" w:color="auto"/>
              <w:right w:val="single" w:sz="4" w:space="0" w:color="auto"/>
            </w:tcBorders>
          </w:tcPr>
          <w:p w14:paraId="3DB87882"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rPr>
            </w:pPr>
            <w:r w:rsidRPr="005C76AF">
              <w:rPr>
                <w:rFonts w:ascii="Arial" w:hAnsi="Arial" w:cs="Arial"/>
              </w:rPr>
              <w:t>4.3</w:t>
            </w:r>
          </w:p>
        </w:tc>
        <w:tc>
          <w:tcPr>
            <w:tcW w:w="12630" w:type="dxa"/>
            <w:tcBorders>
              <w:top w:val="single" w:sz="4" w:space="0" w:color="auto"/>
              <w:left w:val="single" w:sz="4" w:space="0" w:color="auto"/>
              <w:bottom w:val="single" w:sz="4" w:space="0" w:color="auto"/>
              <w:right w:val="single" w:sz="4" w:space="0" w:color="auto"/>
            </w:tcBorders>
          </w:tcPr>
          <w:p w14:paraId="68F3E007" w14:textId="77777777" w:rsidR="00337DC9" w:rsidRPr="005C76AF" w:rsidRDefault="00337DC9" w:rsidP="00BA7696">
            <w:pPr>
              <w:spacing w:after="0" w:line="240" w:lineRule="atLeast"/>
              <w:rPr>
                <w:rFonts w:ascii="Arial" w:hAnsi="Arial" w:cs="Arial"/>
              </w:rPr>
            </w:pPr>
            <w:r w:rsidRPr="005C76AF">
              <w:rPr>
                <w:rFonts w:ascii="Arial" w:hAnsi="Arial" w:cs="Arial"/>
              </w:rPr>
              <w:t xml:space="preserve">NHS Board Directors of Dentistry should: </w:t>
            </w:r>
          </w:p>
          <w:p w14:paraId="6EE64D59" w14:textId="77777777" w:rsidR="00337DC9" w:rsidRPr="005C76AF" w:rsidRDefault="00337DC9" w:rsidP="00337DC9">
            <w:pPr>
              <w:pStyle w:val="ListParagraph"/>
              <w:numPr>
                <w:ilvl w:val="0"/>
                <w:numId w:val="10"/>
              </w:numPr>
              <w:spacing w:after="120" w:line="240" w:lineRule="atLeast"/>
              <w:rPr>
                <w:rFonts w:ascii="Arial" w:hAnsi="Arial" w:cs="Arial"/>
              </w:rPr>
            </w:pPr>
            <w:r w:rsidRPr="005C76AF">
              <w:rPr>
                <w:rFonts w:ascii="Arial" w:hAnsi="Arial" w:cs="Arial"/>
              </w:rPr>
              <w:t>liaise with NHS 24 to ensure they have sufficient capacity in place to meet any potential increased demand for out of hours care during the winter period;</w:t>
            </w:r>
          </w:p>
          <w:p w14:paraId="14324340" w14:textId="77777777" w:rsidR="00337DC9" w:rsidRPr="005C76AF" w:rsidRDefault="00337DC9" w:rsidP="00337DC9">
            <w:pPr>
              <w:pStyle w:val="ListParagraph"/>
              <w:numPr>
                <w:ilvl w:val="0"/>
                <w:numId w:val="10"/>
              </w:numPr>
              <w:spacing w:after="120" w:line="240" w:lineRule="atLeast"/>
              <w:rPr>
                <w:rFonts w:ascii="Arial" w:hAnsi="Arial" w:cs="Arial"/>
              </w:rPr>
            </w:pPr>
            <w:proofErr w:type="gramStart"/>
            <w:r w:rsidRPr="005C76AF">
              <w:rPr>
                <w:rFonts w:ascii="Arial" w:hAnsi="Arial" w:cs="Arial"/>
              </w:rPr>
              <w:t>liaise</w:t>
            </w:r>
            <w:proofErr w:type="gramEnd"/>
            <w:r w:rsidRPr="005C76AF">
              <w:rPr>
                <w:rFonts w:ascii="Arial" w:hAnsi="Arial" w:cs="Arial"/>
              </w:rPr>
              <w:t xml:space="preserve"> with practices within their NHS Board area to ensure they have robust contingency plans in place for outbreaks of respiratory diseases.</w:t>
            </w:r>
          </w:p>
        </w:tc>
        <w:tc>
          <w:tcPr>
            <w:tcW w:w="1559" w:type="dxa"/>
            <w:tcBorders>
              <w:top w:val="single" w:sz="4" w:space="0" w:color="auto"/>
              <w:left w:val="single" w:sz="4" w:space="0" w:color="auto"/>
              <w:bottom w:val="single" w:sz="4" w:space="0" w:color="auto"/>
              <w:right w:val="single" w:sz="4" w:space="0" w:color="auto"/>
            </w:tcBorders>
          </w:tcPr>
          <w:p w14:paraId="43E8E6D6" w14:textId="77777777" w:rsidR="004A3104" w:rsidRDefault="004A3104" w:rsidP="009B6158">
            <w:pPr>
              <w:spacing w:after="120" w:line="240" w:lineRule="atLeast"/>
              <w:jc w:val="center"/>
              <w:rPr>
                <w:rFonts w:ascii="Arial" w:hAnsi="Arial" w:cs="Arial"/>
                <w:b/>
                <w:color w:val="1F497D"/>
                <w:szCs w:val="24"/>
              </w:rPr>
            </w:pPr>
          </w:p>
          <w:p w14:paraId="674AA1B9" w14:textId="3A4D55FF" w:rsidR="00337DC9" w:rsidRPr="005C76AF" w:rsidRDefault="00337DC9" w:rsidP="009B6158">
            <w:pPr>
              <w:spacing w:after="120" w:line="240" w:lineRule="atLeast"/>
              <w:jc w:val="center"/>
              <w:rPr>
                <w:rFonts w:ascii="Arial" w:hAnsi="Arial" w:cs="Arial"/>
                <w:b/>
              </w:rPr>
            </w:pPr>
            <w:r w:rsidRPr="005C76AF">
              <w:rPr>
                <w:rFonts w:ascii="Arial" w:hAnsi="Arial" w:cs="Arial"/>
                <w:b/>
                <w:color w:val="1F497D"/>
                <w:szCs w:val="24"/>
              </w:rPr>
              <w:t>N/A</w:t>
            </w:r>
          </w:p>
        </w:tc>
      </w:tr>
    </w:tbl>
    <w:p w14:paraId="5499D9E9" w14:textId="77777777" w:rsidR="00337DC9" w:rsidRPr="005C76AF" w:rsidRDefault="00337DC9" w:rsidP="00337DC9">
      <w:pPr>
        <w:spacing w:after="120" w:line="240" w:lineRule="atLeast"/>
        <w:rPr>
          <w:rFonts w:ascii="Arial" w:hAnsi="Arial" w:cs="Arial"/>
          <w:lang w:eastAsia="en-GB"/>
        </w:rPr>
      </w:pPr>
    </w:p>
    <w:p w14:paraId="2D49B43C" w14:textId="77777777" w:rsidR="00337DC9" w:rsidRPr="005C76AF" w:rsidRDefault="00337DC9" w:rsidP="00337DC9">
      <w:pPr>
        <w:tabs>
          <w:tab w:val="right" w:pos="9907"/>
        </w:tabs>
        <w:spacing w:after="120" w:line="240" w:lineRule="atLeast"/>
        <w:rPr>
          <w:rFonts w:ascii="Arial" w:hAnsi="Arial" w:cs="Arial"/>
          <w:b/>
          <w:color w:val="FF0000"/>
          <w:sz w:val="28"/>
          <w:szCs w:val="28"/>
        </w:rPr>
      </w:pPr>
      <w:r w:rsidRPr="005C76AF">
        <w:rPr>
          <w:rFonts w:ascii="Arial" w:hAnsi="Arial" w:cs="Arial"/>
        </w:rPr>
        <w:br w:type="page"/>
      </w:r>
    </w:p>
    <w:tbl>
      <w:tblPr>
        <w:tblW w:w="533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2620"/>
        <w:gridCol w:w="1557"/>
      </w:tblGrid>
      <w:tr w:rsidR="00337DC9" w:rsidRPr="005C76AF" w14:paraId="78A91E0D" w14:textId="77777777" w:rsidTr="00BA7696">
        <w:tc>
          <w:tcPr>
            <w:tcW w:w="238" w:type="pct"/>
            <w:shd w:val="clear" w:color="auto" w:fill="DEEAF6" w:themeFill="accent1" w:themeFillTint="33"/>
            <w:hideMark/>
          </w:tcPr>
          <w:p w14:paraId="7F942D8C" w14:textId="77777777" w:rsidR="00337DC9" w:rsidRPr="005C76AF" w:rsidRDefault="00337DC9" w:rsidP="00D235B3">
            <w:pPr>
              <w:tabs>
                <w:tab w:val="right" w:pos="9907"/>
              </w:tabs>
              <w:spacing w:after="120" w:line="240" w:lineRule="atLeast"/>
              <w:rPr>
                <w:rFonts w:ascii="Arial" w:hAnsi="Arial" w:cs="Arial"/>
                <w:b/>
                <w:color w:val="FF0000"/>
                <w:sz w:val="28"/>
                <w:szCs w:val="28"/>
              </w:rPr>
            </w:pPr>
            <w:r w:rsidRPr="005C76AF">
              <w:rPr>
                <w:rFonts w:ascii="Arial" w:hAnsi="Arial" w:cs="Arial"/>
                <w:b/>
                <w:color w:val="1F497D"/>
                <w:sz w:val="28"/>
                <w:szCs w:val="28"/>
              </w:rPr>
              <w:lastRenderedPageBreak/>
              <w:t>5</w:t>
            </w:r>
          </w:p>
        </w:tc>
        <w:tc>
          <w:tcPr>
            <w:tcW w:w="4238" w:type="pct"/>
            <w:shd w:val="clear" w:color="auto" w:fill="DEEAF6" w:themeFill="accent1" w:themeFillTint="33"/>
            <w:hideMark/>
          </w:tcPr>
          <w:p w14:paraId="2325F390" w14:textId="1791CEF2" w:rsidR="00337DC9" w:rsidRPr="005C76AF" w:rsidRDefault="00337DC9" w:rsidP="005C76AF">
            <w:pPr>
              <w:tabs>
                <w:tab w:val="right" w:pos="9907"/>
              </w:tabs>
              <w:autoSpaceDE w:val="0"/>
              <w:autoSpaceDN w:val="0"/>
              <w:adjustRightInd w:val="0"/>
              <w:spacing w:after="120" w:line="240" w:lineRule="atLeast"/>
              <w:jc w:val="center"/>
              <w:rPr>
                <w:rFonts w:ascii="Arial" w:hAnsi="Arial" w:cs="Arial"/>
                <w:b/>
                <w:color w:val="1F497D"/>
                <w:sz w:val="28"/>
                <w:szCs w:val="28"/>
              </w:rPr>
            </w:pPr>
            <w:r w:rsidRPr="005C76AF">
              <w:rPr>
                <w:rFonts w:ascii="Arial" w:hAnsi="Arial" w:cs="Arial"/>
                <w:b/>
                <w:color w:val="1F497D"/>
                <w:sz w:val="28"/>
                <w:szCs w:val="28"/>
              </w:rPr>
              <w:t>Primary Care Out of Hours Preparedness</w:t>
            </w:r>
          </w:p>
        </w:tc>
        <w:tc>
          <w:tcPr>
            <w:tcW w:w="523" w:type="pct"/>
            <w:shd w:val="clear" w:color="auto" w:fill="DEEAF6" w:themeFill="accent1" w:themeFillTint="33"/>
            <w:hideMark/>
          </w:tcPr>
          <w:p w14:paraId="01FD977C" w14:textId="77777777" w:rsidR="00337DC9" w:rsidRPr="005C76AF" w:rsidRDefault="00337DC9" w:rsidP="00D235B3">
            <w:pPr>
              <w:tabs>
                <w:tab w:val="right" w:pos="9907"/>
              </w:tabs>
              <w:spacing w:after="120" w:line="240" w:lineRule="atLeast"/>
              <w:jc w:val="center"/>
              <w:rPr>
                <w:rFonts w:ascii="Arial" w:hAnsi="Arial" w:cs="Arial"/>
                <w:b/>
                <w:color w:val="FF0000"/>
                <w:sz w:val="28"/>
                <w:szCs w:val="28"/>
              </w:rPr>
            </w:pPr>
          </w:p>
        </w:tc>
      </w:tr>
      <w:tr w:rsidR="00337DC9" w:rsidRPr="005C76AF" w14:paraId="77CCBB35" w14:textId="77777777" w:rsidTr="00BA7696">
        <w:trPr>
          <w:trHeight w:val="1229"/>
        </w:trPr>
        <w:tc>
          <w:tcPr>
            <w:tcW w:w="238" w:type="pct"/>
            <w:shd w:val="clear" w:color="auto" w:fill="auto"/>
          </w:tcPr>
          <w:p w14:paraId="0AF2C6CC"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5.1</w:t>
            </w:r>
          </w:p>
        </w:tc>
        <w:tc>
          <w:tcPr>
            <w:tcW w:w="4238" w:type="pct"/>
            <w:shd w:val="clear" w:color="auto" w:fill="auto"/>
          </w:tcPr>
          <w:p w14:paraId="1EC14412"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b/>
              </w:rPr>
            </w:pPr>
            <w:r w:rsidRPr="005C76AF">
              <w:rPr>
                <w:rFonts w:ascii="Arial" w:hAnsi="Arial" w:cs="Arial"/>
                <w:b/>
              </w:rPr>
              <w:t>Executive level overview and oversight for Out of Hours (OOH)</w:t>
            </w:r>
          </w:p>
          <w:p w14:paraId="775D36B6"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rPr>
              <w:t xml:space="preserve">A Primary Care OOH winter plan has been signed off at Executive level, with clear escalation processes in place. </w:t>
            </w:r>
          </w:p>
          <w:p w14:paraId="4E08CB98"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szCs w:val="24"/>
              </w:rPr>
              <w:t>There is Board Executive level oversight of OOH to support resilience, explore other operational solutions and agree appropriate escalation plans during the winter period given its essential role as a “front door” service</w:t>
            </w:r>
          </w:p>
        </w:tc>
        <w:tc>
          <w:tcPr>
            <w:tcW w:w="523" w:type="pct"/>
            <w:shd w:val="clear" w:color="auto" w:fill="auto"/>
            <w:vAlign w:val="center"/>
          </w:tcPr>
          <w:p w14:paraId="42775A37" w14:textId="4BDB4CED" w:rsidR="00337DC9" w:rsidRPr="005C76AF" w:rsidRDefault="00337DC9" w:rsidP="00D235B3">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r w:rsidR="00337DC9" w:rsidRPr="005C76AF" w14:paraId="067A148A" w14:textId="77777777" w:rsidTr="00BA7696">
        <w:trPr>
          <w:trHeight w:val="3143"/>
        </w:trPr>
        <w:tc>
          <w:tcPr>
            <w:tcW w:w="238" w:type="pct"/>
            <w:shd w:val="clear" w:color="auto" w:fill="auto"/>
            <w:hideMark/>
          </w:tcPr>
          <w:p w14:paraId="0436C82F"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5.2</w:t>
            </w:r>
          </w:p>
        </w:tc>
        <w:tc>
          <w:tcPr>
            <w:tcW w:w="4238" w:type="pct"/>
            <w:shd w:val="clear" w:color="auto" w:fill="auto"/>
          </w:tcPr>
          <w:p w14:paraId="44AA6427"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b/>
              </w:rPr>
              <w:t>Link with wider winter plans and engagement with SAS and NHS 24 to improve system resilience</w:t>
            </w:r>
          </w:p>
          <w:p w14:paraId="0D781E06" w14:textId="77777777" w:rsidR="00BA7696"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rPr>
              <w:t xml:space="preserve">The plan puts Primary Care OOH within the context of all winter readiness preparedness, as part of the urgent/unscheduled care landscape and whole system local planning, including community and social care responses through urgent care resource hubs/flow navigation centres (FNCs), or equivalent. It also includes response for the four day public holiday weekend. </w:t>
            </w:r>
          </w:p>
          <w:p w14:paraId="2F76B148" w14:textId="16770091" w:rsidR="007469D3" w:rsidRDefault="00337DC9" w:rsidP="00BA7696">
            <w:pPr>
              <w:tabs>
                <w:tab w:val="right" w:pos="9907"/>
              </w:tabs>
              <w:autoSpaceDE w:val="0"/>
              <w:autoSpaceDN w:val="0"/>
              <w:adjustRightInd w:val="0"/>
              <w:spacing w:after="120" w:line="240" w:lineRule="atLeast"/>
              <w:rPr>
                <w:rFonts w:ascii="Arial" w:hAnsi="Arial" w:cs="Arial"/>
                <w:sz w:val="24"/>
                <w:szCs w:val="24"/>
              </w:rPr>
            </w:pPr>
            <w:r w:rsidRPr="005C76AF">
              <w:rPr>
                <w:rFonts w:ascii="Arial" w:hAnsi="Arial" w:cs="Arial"/>
              </w:rPr>
              <w:t>This will have included engagement with SAS, NHS 24 and Primary Care OOH services</w:t>
            </w:r>
            <w:r w:rsidR="00BA7696">
              <w:rPr>
                <w:rFonts w:ascii="Arial" w:hAnsi="Arial" w:cs="Arial"/>
              </w:rPr>
              <w:t xml:space="preserve"> and </w:t>
            </w:r>
            <w:r w:rsidR="007469D3">
              <w:rPr>
                <w:rFonts w:ascii="Arial" w:hAnsi="Arial" w:cs="Arial"/>
                <w:sz w:val="24"/>
                <w:szCs w:val="24"/>
              </w:rPr>
              <w:t>to consider what more could be done collaboratively to improve continuity of care.</w:t>
            </w:r>
          </w:p>
          <w:p w14:paraId="064C5DDF" w14:textId="0CA87995"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The plan also demonstrates how the Board will manage both predicted and unpredicted demand from NHS 24 and includes measures to ensure that pressures during weekends, public holidays are operating effectively. The plan demonstrates that resource planning and demand management are prioritised over the festive period. There is reference to direct referrals between services.</w:t>
            </w:r>
          </w:p>
        </w:tc>
        <w:tc>
          <w:tcPr>
            <w:tcW w:w="523" w:type="pct"/>
            <w:shd w:val="clear" w:color="auto" w:fill="auto"/>
            <w:vAlign w:val="center"/>
          </w:tcPr>
          <w:p w14:paraId="3AB9D701" w14:textId="762F1070" w:rsidR="00337DC9" w:rsidRPr="005C76AF" w:rsidRDefault="00337DC9" w:rsidP="00D235B3">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r w:rsidR="00337DC9" w:rsidRPr="005C76AF" w14:paraId="5091DC1F" w14:textId="77777777" w:rsidTr="00BA7696">
        <w:trPr>
          <w:trHeight w:val="568"/>
        </w:trPr>
        <w:tc>
          <w:tcPr>
            <w:tcW w:w="238" w:type="pct"/>
            <w:shd w:val="clear" w:color="auto" w:fill="auto"/>
          </w:tcPr>
          <w:p w14:paraId="14729713"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5.3</w:t>
            </w:r>
          </w:p>
        </w:tc>
        <w:tc>
          <w:tcPr>
            <w:tcW w:w="4238" w:type="pct"/>
            <w:shd w:val="clear" w:color="auto" w:fill="auto"/>
          </w:tcPr>
          <w:p w14:paraId="0B1A7C70" w14:textId="77777777" w:rsidR="00337DC9" w:rsidRPr="005C76AF" w:rsidRDefault="00337DC9" w:rsidP="00D235B3">
            <w:pPr>
              <w:tabs>
                <w:tab w:val="left" w:pos="4680"/>
                <w:tab w:val="left" w:pos="5400"/>
                <w:tab w:val="right" w:pos="9000"/>
                <w:tab w:val="right" w:pos="9907"/>
              </w:tabs>
              <w:autoSpaceDE w:val="0"/>
              <w:autoSpaceDN w:val="0"/>
              <w:adjustRightInd w:val="0"/>
              <w:spacing w:after="120" w:line="240" w:lineRule="atLeast"/>
              <w:jc w:val="both"/>
              <w:rPr>
                <w:rFonts w:ascii="Arial" w:hAnsi="Arial" w:cs="Arial"/>
                <w:b/>
              </w:rPr>
            </w:pPr>
            <w:r w:rsidRPr="005C76AF">
              <w:rPr>
                <w:rFonts w:ascii="Arial" w:hAnsi="Arial" w:cs="Arial"/>
                <w:b/>
              </w:rPr>
              <w:t>Maximising Multi-Disciplinary Teams (MDTs)</w:t>
            </w:r>
          </w:p>
          <w:p w14:paraId="12248193" w14:textId="101D90FE" w:rsidR="00337DC9" w:rsidRPr="005C76AF" w:rsidRDefault="00337DC9" w:rsidP="00D235B3">
            <w:pPr>
              <w:tabs>
                <w:tab w:val="left" w:pos="4680"/>
                <w:tab w:val="left" w:pos="5400"/>
                <w:tab w:val="right" w:pos="9000"/>
                <w:tab w:val="right" w:pos="9907"/>
              </w:tabs>
              <w:autoSpaceDE w:val="0"/>
              <w:autoSpaceDN w:val="0"/>
              <w:adjustRightInd w:val="0"/>
              <w:spacing w:after="120" w:line="240" w:lineRule="atLeast"/>
              <w:jc w:val="both"/>
              <w:rPr>
                <w:rFonts w:ascii="Arial" w:hAnsi="Arial" w:cs="Arial"/>
              </w:rPr>
            </w:pPr>
            <w:r w:rsidRPr="005C76AF">
              <w:rPr>
                <w:rFonts w:ascii="Arial" w:hAnsi="Arial" w:cs="Arial"/>
              </w:rPr>
              <w:t>Plans explicitly reference the use of MDTs within OOH services and increased where possible. This includes increasing capacity of senior clinical and non- clinical leadership, use of multidisciplinary teams and availability of professional to professional advice across acute and community.</w:t>
            </w:r>
          </w:p>
          <w:p w14:paraId="1D8B9050" w14:textId="77777777" w:rsidR="00337DC9" w:rsidRPr="005C76AF" w:rsidRDefault="00337DC9" w:rsidP="00D235B3">
            <w:pPr>
              <w:tabs>
                <w:tab w:val="left" w:pos="4680"/>
                <w:tab w:val="left" w:pos="5400"/>
                <w:tab w:val="right" w:pos="9000"/>
                <w:tab w:val="right" w:pos="9907"/>
              </w:tabs>
              <w:autoSpaceDE w:val="0"/>
              <w:autoSpaceDN w:val="0"/>
              <w:adjustRightInd w:val="0"/>
              <w:spacing w:after="120" w:line="240" w:lineRule="atLeast"/>
              <w:jc w:val="both"/>
              <w:rPr>
                <w:rFonts w:ascii="Arial" w:hAnsi="Arial" w:cs="Arial"/>
                <w:lang w:eastAsia="en-GB"/>
              </w:rPr>
            </w:pPr>
            <w:r w:rsidRPr="005C76AF">
              <w:rPr>
                <w:rFonts w:ascii="Arial" w:hAnsi="Arial" w:cs="Arial"/>
              </w:rPr>
              <w:t>Plans also include the involvement of MDT primary care teams OOH to cover addiction and mental health needs – extending the scope of AHP involvement.</w:t>
            </w:r>
          </w:p>
          <w:p w14:paraId="4BA72294" w14:textId="3008560D" w:rsidR="00337DC9" w:rsidRPr="005C76AF" w:rsidRDefault="00337DC9" w:rsidP="00BA7696">
            <w:pPr>
              <w:spacing w:after="120" w:line="240" w:lineRule="atLeast"/>
              <w:rPr>
                <w:rFonts w:ascii="Arial" w:hAnsi="Arial" w:cs="Arial"/>
              </w:rPr>
            </w:pPr>
            <w:r w:rsidRPr="005C76AF">
              <w:rPr>
                <w:rFonts w:ascii="Arial" w:hAnsi="Arial" w:cs="Arial"/>
              </w:rPr>
              <w:t xml:space="preserve">Greater use of Pharmacy First is being promoted. Sufficient community pharmacy services are open and accessible including during public holiday periods. Availability of these services is well known and information for the public is current </w:t>
            </w:r>
          </w:p>
        </w:tc>
        <w:tc>
          <w:tcPr>
            <w:tcW w:w="523" w:type="pct"/>
            <w:shd w:val="clear" w:color="auto" w:fill="auto"/>
            <w:vAlign w:val="center"/>
          </w:tcPr>
          <w:p w14:paraId="65E65683" w14:textId="68CA448C" w:rsidR="00337DC9" w:rsidRPr="005C76AF" w:rsidRDefault="00337DC9" w:rsidP="00D235B3">
            <w:pPr>
              <w:tabs>
                <w:tab w:val="right" w:pos="9907"/>
              </w:tabs>
              <w:spacing w:after="120" w:line="240" w:lineRule="atLeast"/>
              <w:jc w:val="center"/>
              <w:rPr>
                <w:rFonts w:ascii="Arial" w:hAnsi="Arial" w:cs="Arial"/>
                <w:b/>
                <w:color w:val="1F497D"/>
                <w:szCs w:val="24"/>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r w:rsidR="00337DC9" w:rsidRPr="005C76AF" w14:paraId="60286985" w14:textId="77777777" w:rsidTr="00BA7696">
        <w:trPr>
          <w:trHeight w:val="568"/>
        </w:trPr>
        <w:tc>
          <w:tcPr>
            <w:tcW w:w="238" w:type="pct"/>
            <w:shd w:val="clear" w:color="auto" w:fill="auto"/>
          </w:tcPr>
          <w:p w14:paraId="06B666C2"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5.4</w:t>
            </w:r>
          </w:p>
        </w:tc>
        <w:tc>
          <w:tcPr>
            <w:tcW w:w="4238" w:type="pct"/>
            <w:shd w:val="clear" w:color="auto" w:fill="auto"/>
          </w:tcPr>
          <w:p w14:paraId="1E90DD9F" w14:textId="77777777" w:rsidR="00337DC9" w:rsidRPr="005C76AF" w:rsidRDefault="00337DC9" w:rsidP="00D235B3">
            <w:pPr>
              <w:tabs>
                <w:tab w:val="right" w:pos="9907"/>
              </w:tabs>
              <w:spacing w:after="120" w:line="240" w:lineRule="atLeast"/>
              <w:rPr>
                <w:rFonts w:ascii="Arial" w:hAnsi="Arial" w:cs="Arial"/>
                <w:b/>
              </w:rPr>
            </w:pPr>
            <w:r w:rsidRPr="005C76AF">
              <w:rPr>
                <w:rFonts w:ascii="Arial" w:hAnsi="Arial" w:cs="Arial"/>
                <w:b/>
              </w:rPr>
              <w:t>Working with mental health services</w:t>
            </w:r>
          </w:p>
          <w:p w14:paraId="1DBB9D76" w14:textId="77777777" w:rsidR="00337DC9" w:rsidRDefault="00337DC9" w:rsidP="00D235B3">
            <w:pPr>
              <w:tabs>
                <w:tab w:val="right" w:pos="9907"/>
              </w:tabs>
              <w:spacing w:after="120" w:line="240" w:lineRule="atLeast"/>
              <w:rPr>
                <w:rFonts w:ascii="Arial" w:hAnsi="Arial" w:cs="Arial"/>
              </w:rPr>
            </w:pPr>
            <w:r w:rsidRPr="005C76AF">
              <w:rPr>
                <w:rFonts w:ascii="Arial" w:hAnsi="Arial" w:cs="Arial"/>
              </w:rPr>
              <w:t>In conjunction with HSCPs, clear arrangements are in place to enable access to mental health crisis teams/services, particularly during the festive period.</w:t>
            </w:r>
          </w:p>
          <w:p w14:paraId="3692D8A1" w14:textId="2F6701C5" w:rsidR="00D46C19" w:rsidRPr="005C76AF" w:rsidRDefault="00D46C19" w:rsidP="00D235B3">
            <w:pPr>
              <w:tabs>
                <w:tab w:val="right" w:pos="9907"/>
              </w:tabs>
              <w:spacing w:after="120" w:line="240" w:lineRule="atLeast"/>
              <w:rPr>
                <w:rFonts w:ascii="Arial" w:hAnsi="Arial" w:cs="Arial"/>
              </w:rPr>
            </w:pPr>
          </w:p>
        </w:tc>
        <w:tc>
          <w:tcPr>
            <w:tcW w:w="523" w:type="pct"/>
            <w:shd w:val="clear" w:color="auto" w:fill="auto"/>
            <w:vAlign w:val="center"/>
          </w:tcPr>
          <w:p w14:paraId="3A8D7759" w14:textId="6BA9724A" w:rsidR="00337DC9" w:rsidRPr="005C76AF" w:rsidRDefault="0089431D" w:rsidP="00262AE4">
            <w:pPr>
              <w:tabs>
                <w:tab w:val="right" w:pos="9907"/>
              </w:tabs>
              <w:spacing w:after="120" w:line="240" w:lineRule="atLeast"/>
              <w:jc w:val="center"/>
              <w:rPr>
                <w:rFonts w:ascii="Arial" w:hAnsi="Arial" w:cs="Arial"/>
              </w:rPr>
            </w:pPr>
            <w:r>
              <w:rPr>
                <w:rFonts w:ascii="Arial" w:hAnsi="Arial" w:cs="Arial"/>
                <w:b/>
                <w:color w:val="1F497D"/>
                <w:szCs w:val="24"/>
              </w:rPr>
              <w:t>N/A</w:t>
            </w:r>
            <w:r w:rsidR="00337DC9" w:rsidRPr="005C76AF">
              <w:rPr>
                <w:rFonts w:ascii="Arial" w:hAnsi="Arial" w:cs="Arial"/>
                <w:b/>
                <w:color w:val="FF0000"/>
                <w:sz w:val="20"/>
              </w:rPr>
              <w:t xml:space="preserve"> </w:t>
            </w:r>
          </w:p>
        </w:tc>
      </w:tr>
      <w:tr w:rsidR="00337DC9" w:rsidRPr="005C76AF" w14:paraId="5C99BCCC" w14:textId="77777777" w:rsidTr="00BA7696">
        <w:tc>
          <w:tcPr>
            <w:tcW w:w="238" w:type="pct"/>
            <w:shd w:val="clear" w:color="auto" w:fill="auto"/>
          </w:tcPr>
          <w:p w14:paraId="09650B81"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lastRenderedPageBreak/>
              <w:t>5.5</w:t>
            </w:r>
          </w:p>
        </w:tc>
        <w:tc>
          <w:tcPr>
            <w:tcW w:w="4238" w:type="pct"/>
            <w:shd w:val="clear" w:color="auto" w:fill="auto"/>
          </w:tcPr>
          <w:p w14:paraId="047714D4" w14:textId="77777777" w:rsidR="00337DC9" w:rsidRPr="005C76AF" w:rsidRDefault="00337DC9" w:rsidP="00D235B3">
            <w:pPr>
              <w:spacing w:after="120" w:line="240" w:lineRule="atLeast"/>
              <w:rPr>
                <w:rFonts w:ascii="Arial" w:eastAsia="Calibri" w:hAnsi="Arial" w:cs="Arial"/>
                <w:b/>
                <w:iCs/>
              </w:rPr>
            </w:pPr>
            <w:r w:rsidRPr="005C76AF">
              <w:rPr>
                <w:rFonts w:ascii="Arial" w:eastAsia="Calibri" w:hAnsi="Arial" w:cs="Arial"/>
                <w:b/>
                <w:iCs/>
              </w:rPr>
              <w:t>Provision of OOH dental services</w:t>
            </w:r>
          </w:p>
          <w:p w14:paraId="6766CEFF" w14:textId="77777777" w:rsidR="00337DC9" w:rsidRPr="005C76AF" w:rsidRDefault="00337DC9" w:rsidP="00D235B3">
            <w:pPr>
              <w:spacing w:after="120" w:line="240" w:lineRule="atLeast"/>
              <w:rPr>
                <w:rFonts w:ascii="Arial" w:eastAsia="Calibri" w:hAnsi="Arial" w:cs="Arial"/>
                <w:iCs/>
              </w:rPr>
            </w:pPr>
            <w:r w:rsidRPr="005C76AF">
              <w:rPr>
                <w:rFonts w:ascii="Arial" w:eastAsia="Calibri" w:hAnsi="Arial" w:cs="Arial"/>
                <w:iCs/>
              </w:rPr>
              <w:t xml:space="preserve">There is reference to provision of dental services, that services are in place either via general dental practices or out of </w:t>
            </w:r>
            <w:proofErr w:type="gramStart"/>
            <w:r w:rsidRPr="005C76AF">
              <w:rPr>
                <w:rFonts w:ascii="Arial" w:eastAsia="Calibri" w:hAnsi="Arial" w:cs="Arial"/>
                <w:iCs/>
              </w:rPr>
              <w:t>hours</w:t>
            </w:r>
            <w:proofErr w:type="gramEnd"/>
            <w:r w:rsidRPr="005C76AF">
              <w:rPr>
                <w:rFonts w:ascii="Arial" w:eastAsia="Calibri" w:hAnsi="Arial" w:cs="Arial"/>
                <w:iCs/>
              </w:rPr>
              <w:t xml:space="preserve"> centres. This should include an agreed escalation process for emergency dental cases; i.e. trauma, uncontrolled bleeding and increasing swelling.</w:t>
            </w:r>
          </w:p>
        </w:tc>
        <w:tc>
          <w:tcPr>
            <w:tcW w:w="523" w:type="pct"/>
            <w:shd w:val="clear" w:color="auto" w:fill="auto"/>
            <w:vAlign w:val="center"/>
          </w:tcPr>
          <w:p w14:paraId="6E1FFF80" w14:textId="435BF998" w:rsidR="00337DC9" w:rsidRPr="005C76AF" w:rsidRDefault="00337DC9" w:rsidP="00D235B3">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r w:rsidR="00337DC9" w:rsidRPr="005C76AF" w14:paraId="7021661D" w14:textId="77777777" w:rsidTr="00BA7696">
        <w:trPr>
          <w:trHeight w:val="1821"/>
        </w:trPr>
        <w:tc>
          <w:tcPr>
            <w:tcW w:w="238" w:type="pct"/>
            <w:shd w:val="clear" w:color="auto" w:fill="auto"/>
            <w:hideMark/>
          </w:tcPr>
          <w:p w14:paraId="10ECBC26"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rPr>
            </w:pPr>
            <w:r w:rsidRPr="005C76AF">
              <w:rPr>
                <w:rFonts w:ascii="Arial" w:hAnsi="Arial" w:cs="Arial"/>
              </w:rPr>
              <w:t>5.6</w:t>
            </w:r>
          </w:p>
        </w:tc>
        <w:tc>
          <w:tcPr>
            <w:tcW w:w="4238" w:type="pct"/>
            <w:shd w:val="clear" w:color="auto" w:fill="auto"/>
          </w:tcPr>
          <w:p w14:paraId="64FAAFB4"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b/>
              </w:rPr>
            </w:pPr>
            <w:r w:rsidRPr="005C76AF">
              <w:rPr>
                <w:rFonts w:ascii="Arial" w:hAnsi="Arial" w:cs="Arial"/>
                <w:b/>
              </w:rPr>
              <w:t>Working with social care</w:t>
            </w:r>
          </w:p>
          <w:p w14:paraId="00338B8C"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rPr>
              <w:t xml:space="preserve">OOH Plans demonstrate consideration to social care services and where possible close links are in place for emergency respite and home care provision. </w:t>
            </w:r>
          </w:p>
          <w:p w14:paraId="547D36B3"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rPr>
              <w:t>OOH Plans will identify how Care Homes will be supported with timely access to professional support and clinical advice (particularly in the OOH period) to enable admission prevention and more planned interventions to keep residents safe in their own home.</w:t>
            </w:r>
          </w:p>
        </w:tc>
        <w:tc>
          <w:tcPr>
            <w:tcW w:w="523" w:type="pct"/>
            <w:shd w:val="clear" w:color="auto" w:fill="auto"/>
            <w:vAlign w:val="center"/>
          </w:tcPr>
          <w:p w14:paraId="62A85DBF" w14:textId="7581C7CE"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r w:rsidR="00337DC9" w:rsidRPr="005C76AF" w14:paraId="05A03704" w14:textId="77777777" w:rsidTr="00BA7696">
        <w:trPr>
          <w:trHeight w:val="132"/>
        </w:trPr>
        <w:tc>
          <w:tcPr>
            <w:tcW w:w="238" w:type="pct"/>
            <w:shd w:val="clear" w:color="auto" w:fill="auto"/>
          </w:tcPr>
          <w:p w14:paraId="177AE123" w14:textId="1EDD36CC" w:rsidR="00337DC9" w:rsidRPr="005C76AF" w:rsidRDefault="00337DC9" w:rsidP="005C76AF">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rPr>
            </w:pPr>
            <w:r w:rsidRPr="005C76AF">
              <w:rPr>
                <w:rFonts w:ascii="Arial" w:hAnsi="Arial" w:cs="Arial"/>
              </w:rPr>
              <w:t>5.</w:t>
            </w:r>
            <w:r w:rsidR="005C76AF">
              <w:rPr>
                <w:rFonts w:ascii="Arial" w:hAnsi="Arial" w:cs="Arial"/>
              </w:rPr>
              <w:t>7</w:t>
            </w:r>
          </w:p>
        </w:tc>
        <w:tc>
          <w:tcPr>
            <w:tcW w:w="4238" w:type="pct"/>
            <w:shd w:val="clear" w:color="auto" w:fill="auto"/>
          </w:tcPr>
          <w:p w14:paraId="601BBD20" w14:textId="77777777" w:rsidR="00337DC9" w:rsidRPr="005C76AF" w:rsidRDefault="00337DC9" w:rsidP="00D235B3">
            <w:pPr>
              <w:spacing w:after="120" w:line="240" w:lineRule="atLeast"/>
              <w:jc w:val="both"/>
              <w:rPr>
                <w:rFonts w:ascii="Arial" w:hAnsi="Arial" w:cs="Arial"/>
              </w:rPr>
            </w:pPr>
            <w:r w:rsidRPr="005C76AF">
              <w:rPr>
                <w:rFonts w:ascii="Arial" w:hAnsi="Arial" w:cs="Arial"/>
              </w:rPr>
              <w:t xml:space="preserve">Consideration has been given to increasing, where possible, the availability of professional- to-professional advice across acute and the community to ensure the patient receives right care in the right place at the right time. </w:t>
            </w:r>
          </w:p>
        </w:tc>
        <w:tc>
          <w:tcPr>
            <w:tcW w:w="523" w:type="pct"/>
            <w:shd w:val="clear" w:color="auto" w:fill="auto"/>
            <w:vAlign w:val="center"/>
          </w:tcPr>
          <w:p w14:paraId="2333646C" w14:textId="03C56410"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bl>
    <w:p w14:paraId="6E6B3545" w14:textId="77777777" w:rsidR="00337DC9" w:rsidRPr="005C76AF" w:rsidRDefault="00337DC9" w:rsidP="00337DC9">
      <w:pPr>
        <w:tabs>
          <w:tab w:val="left" w:pos="720"/>
          <w:tab w:val="left" w:pos="1440"/>
          <w:tab w:val="left" w:pos="2160"/>
          <w:tab w:val="left" w:pos="2880"/>
          <w:tab w:val="right" w:pos="9907"/>
        </w:tabs>
        <w:spacing w:after="120" w:line="240" w:lineRule="atLeast"/>
        <w:rPr>
          <w:rFonts w:ascii="Arial" w:hAnsi="Arial" w:cs="Arial"/>
          <w:szCs w:val="24"/>
          <w:lang w:eastAsia="en-GB"/>
        </w:rPr>
      </w:pPr>
    </w:p>
    <w:p w14:paraId="21E78756" w14:textId="77777777" w:rsidR="00337DC9" w:rsidRPr="005C76AF" w:rsidRDefault="00337DC9" w:rsidP="00337DC9">
      <w:pPr>
        <w:rPr>
          <w:rFonts w:ascii="Arial" w:hAnsi="Arial" w:cs="Arial"/>
        </w:rPr>
      </w:pPr>
      <w:r w:rsidRPr="005C76AF">
        <w:rPr>
          <w:rFonts w:ascii="Arial" w:hAnsi="Arial" w:cs="Arial"/>
        </w:rP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2616"/>
        <w:gridCol w:w="1559"/>
      </w:tblGrid>
      <w:tr w:rsidR="00337DC9" w:rsidRPr="005C76AF" w14:paraId="74D65F65" w14:textId="77777777" w:rsidTr="00BA7696">
        <w:trPr>
          <w:trHeight w:val="416"/>
        </w:trPr>
        <w:tc>
          <w:tcPr>
            <w:tcW w:w="710" w:type="dxa"/>
            <w:shd w:val="clear" w:color="auto" w:fill="DEEAF6" w:themeFill="accent1" w:themeFillTint="33"/>
            <w:hideMark/>
          </w:tcPr>
          <w:p w14:paraId="0A6A70A2"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b/>
                <w:color w:val="1F497D"/>
                <w:sz w:val="28"/>
                <w:szCs w:val="28"/>
              </w:rPr>
            </w:pPr>
            <w:r w:rsidRPr="005C76AF">
              <w:rPr>
                <w:rFonts w:ascii="Arial" w:hAnsi="Arial" w:cs="Arial"/>
                <w:b/>
                <w:color w:val="1F497D"/>
                <w:sz w:val="28"/>
                <w:szCs w:val="28"/>
              </w:rPr>
              <w:lastRenderedPageBreak/>
              <w:t>6</w:t>
            </w:r>
          </w:p>
        </w:tc>
        <w:tc>
          <w:tcPr>
            <w:tcW w:w="12616" w:type="dxa"/>
            <w:shd w:val="clear" w:color="auto" w:fill="DEEAF6" w:themeFill="accent1" w:themeFillTint="33"/>
            <w:hideMark/>
          </w:tcPr>
          <w:p w14:paraId="306FB904" w14:textId="77777777" w:rsidR="00337DC9" w:rsidRPr="005C76AF" w:rsidRDefault="00337DC9" w:rsidP="00D235B3">
            <w:pPr>
              <w:tabs>
                <w:tab w:val="left" w:pos="4680"/>
                <w:tab w:val="left" w:pos="5400"/>
                <w:tab w:val="right" w:pos="9000"/>
                <w:tab w:val="right" w:pos="9907"/>
              </w:tabs>
              <w:autoSpaceDE w:val="0"/>
              <w:autoSpaceDN w:val="0"/>
              <w:adjustRightInd w:val="0"/>
              <w:spacing w:after="120" w:line="240" w:lineRule="atLeast"/>
              <w:jc w:val="center"/>
              <w:rPr>
                <w:rFonts w:ascii="Arial" w:hAnsi="Arial" w:cs="Arial"/>
                <w:b/>
                <w:color w:val="1F497D"/>
                <w:sz w:val="28"/>
                <w:szCs w:val="28"/>
              </w:rPr>
            </w:pPr>
            <w:r w:rsidRPr="005C76AF">
              <w:rPr>
                <w:rFonts w:ascii="Arial" w:hAnsi="Arial" w:cs="Arial"/>
                <w:b/>
                <w:color w:val="1F497D"/>
                <w:sz w:val="28"/>
                <w:szCs w:val="28"/>
              </w:rPr>
              <w:t>Planned Care</w:t>
            </w:r>
          </w:p>
        </w:tc>
        <w:tc>
          <w:tcPr>
            <w:tcW w:w="1559" w:type="dxa"/>
            <w:shd w:val="clear" w:color="auto" w:fill="DEEAF6" w:themeFill="accent1" w:themeFillTint="33"/>
            <w:hideMark/>
          </w:tcPr>
          <w:p w14:paraId="491990D7"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jc w:val="center"/>
              <w:rPr>
                <w:rFonts w:ascii="Arial" w:hAnsi="Arial" w:cs="Arial"/>
                <w:b/>
                <w:color w:val="1F497D"/>
                <w:sz w:val="28"/>
                <w:szCs w:val="28"/>
              </w:rPr>
            </w:pPr>
          </w:p>
        </w:tc>
      </w:tr>
      <w:tr w:rsidR="00337DC9" w:rsidRPr="005C76AF" w14:paraId="28077FD7" w14:textId="77777777" w:rsidTr="00BA7696">
        <w:trPr>
          <w:trHeight w:val="1324"/>
        </w:trPr>
        <w:tc>
          <w:tcPr>
            <w:tcW w:w="710" w:type="dxa"/>
            <w:shd w:val="clear" w:color="auto" w:fill="auto"/>
            <w:hideMark/>
          </w:tcPr>
          <w:p w14:paraId="5F1696FB"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rPr>
            </w:pPr>
            <w:r w:rsidRPr="005C76AF">
              <w:rPr>
                <w:rFonts w:ascii="Arial" w:hAnsi="Arial" w:cs="Arial"/>
              </w:rPr>
              <w:t>6.1</w:t>
            </w:r>
          </w:p>
        </w:tc>
        <w:tc>
          <w:tcPr>
            <w:tcW w:w="12616" w:type="dxa"/>
            <w:shd w:val="clear" w:color="auto" w:fill="FFFFFF" w:themeFill="background1"/>
          </w:tcPr>
          <w:p w14:paraId="00AB0D9A" w14:textId="77777777" w:rsidR="00337DC9" w:rsidRPr="005C76AF" w:rsidRDefault="00337DC9" w:rsidP="00D235B3">
            <w:pPr>
              <w:spacing w:after="120" w:line="240" w:lineRule="atLeast"/>
              <w:jc w:val="both"/>
              <w:rPr>
                <w:rFonts w:ascii="Arial" w:hAnsi="Arial" w:cs="Arial"/>
                <w:b/>
              </w:rPr>
            </w:pPr>
            <w:r w:rsidRPr="005C76AF">
              <w:rPr>
                <w:rFonts w:ascii="Arial" w:hAnsi="Arial" w:cs="Arial"/>
              </w:rPr>
              <w:t xml:space="preserve">Plans are in place to maintain activity over winter for both outpatients and inpatient / </w:t>
            </w:r>
            <w:proofErr w:type="spellStart"/>
            <w:r w:rsidRPr="005C76AF">
              <w:rPr>
                <w:rFonts w:ascii="Arial" w:hAnsi="Arial" w:cs="Arial"/>
              </w:rPr>
              <w:t>daycase</w:t>
            </w:r>
            <w:proofErr w:type="spellEnd"/>
            <w:r w:rsidRPr="005C76AF">
              <w:rPr>
                <w:rFonts w:ascii="Arial" w:hAnsi="Arial" w:cs="Arial"/>
              </w:rPr>
              <w:t xml:space="preserve"> procedures, with plans considering the impact of unscheduled admissions on planned care activity. Planned care activity will not be paused or cancelled routinely – </w:t>
            </w:r>
            <w:r w:rsidRPr="005C76AF">
              <w:rPr>
                <w:rFonts w:ascii="Arial" w:hAnsi="Arial" w:cs="Arial"/>
                <w:b/>
              </w:rPr>
              <w:t>if Boards need to consider this as part of their business continuity / escalation plans it needs to be discussed and agreed in advance with Scottish Government.</w:t>
            </w:r>
          </w:p>
          <w:p w14:paraId="3D358E6F" w14:textId="77777777" w:rsidR="00337DC9" w:rsidRPr="005C76AF" w:rsidRDefault="00337DC9" w:rsidP="00D235B3">
            <w:pPr>
              <w:spacing w:after="120" w:line="240" w:lineRule="atLeast"/>
              <w:jc w:val="both"/>
              <w:rPr>
                <w:rFonts w:ascii="Arial" w:hAnsi="Arial" w:cs="Arial"/>
              </w:rPr>
            </w:pPr>
            <w:r w:rsidRPr="005C76AF">
              <w:rPr>
                <w:rFonts w:ascii="Arial" w:hAnsi="Arial" w:cs="Arial"/>
              </w:rPr>
              <w:t>Plans are in place that focus on the reduction of long waits including diagnostic endoscopy or radiology</w:t>
            </w:r>
          </w:p>
          <w:p w14:paraId="4AA608B9"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rPr>
              <w:t>Systems are in place for the early identification of patients who are fit for discharge, with PDDs (planned dates of discharge) visible and worked towards to ensure patients are discharged without delay.</w:t>
            </w:r>
          </w:p>
        </w:tc>
        <w:tc>
          <w:tcPr>
            <w:tcW w:w="1559" w:type="dxa"/>
            <w:shd w:val="clear" w:color="auto" w:fill="auto"/>
          </w:tcPr>
          <w:p w14:paraId="57AD7798" w14:textId="77777777" w:rsidR="004A3104" w:rsidRDefault="004A3104" w:rsidP="00E650A8">
            <w:pPr>
              <w:tabs>
                <w:tab w:val="left" w:pos="720"/>
                <w:tab w:val="left" w:pos="1440"/>
                <w:tab w:val="left" w:pos="2160"/>
                <w:tab w:val="left" w:pos="2880"/>
                <w:tab w:val="left" w:pos="4680"/>
                <w:tab w:val="left" w:pos="5400"/>
                <w:tab w:val="right" w:pos="9000"/>
                <w:tab w:val="right" w:pos="9907"/>
              </w:tabs>
              <w:spacing w:after="120" w:line="240" w:lineRule="atLeast"/>
              <w:jc w:val="center"/>
              <w:rPr>
                <w:rFonts w:ascii="Arial" w:hAnsi="Arial" w:cs="Arial"/>
                <w:b/>
                <w:color w:val="1F497D"/>
                <w:szCs w:val="24"/>
              </w:rPr>
            </w:pPr>
          </w:p>
          <w:p w14:paraId="685F7877" w14:textId="77777777" w:rsidR="004A3104" w:rsidRDefault="004A3104" w:rsidP="00E650A8">
            <w:pPr>
              <w:tabs>
                <w:tab w:val="left" w:pos="720"/>
                <w:tab w:val="left" w:pos="1440"/>
                <w:tab w:val="left" w:pos="2160"/>
                <w:tab w:val="left" w:pos="2880"/>
                <w:tab w:val="left" w:pos="4680"/>
                <w:tab w:val="left" w:pos="5400"/>
                <w:tab w:val="right" w:pos="9000"/>
                <w:tab w:val="right" w:pos="9907"/>
              </w:tabs>
              <w:spacing w:after="120" w:line="240" w:lineRule="atLeast"/>
              <w:jc w:val="center"/>
              <w:rPr>
                <w:rFonts w:ascii="Arial" w:hAnsi="Arial" w:cs="Arial"/>
                <w:b/>
                <w:color w:val="1F497D"/>
                <w:szCs w:val="24"/>
              </w:rPr>
            </w:pPr>
          </w:p>
          <w:p w14:paraId="5EA982B0" w14:textId="41C97377" w:rsidR="00337DC9" w:rsidRPr="005C76AF" w:rsidRDefault="00E650A8" w:rsidP="00E650A8">
            <w:pPr>
              <w:tabs>
                <w:tab w:val="left" w:pos="720"/>
                <w:tab w:val="left" w:pos="1440"/>
                <w:tab w:val="left" w:pos="2160"/>
                <w:tab w:val="left" w:pos="2880"/>
                <w:tab w:val="left" w:pos="4680"/>
                <w:tab w:val="left" w:pos="5400"/>
                <w:tab w:val="right" w:pos="9000"/>
                <w:tab w:val="right" w:pos="9907"/>
              </w:tabs>
              <w:spacing w:after="120" w:line="240" w:lineRule="atLeast"/>
              <w:jc w:val="center"/>
              <w:rPr>
                <w:rFonts w:ascii="Arial" w:hAnsi="Arial" w:cs="Arial"/>
                <w:szCs w:val="24"/>
              </w:rPr>
            </w:pPr>
            <w:r>
              <w:rPr>
                <w:rFonts w:ascii="Arial" w:hAnsi="Arial" w:cs="Arial"/>
                <w:b/>
                <w:color w:val="1F497D"/>
                <w:szCs w:val="24"/>
              </w:rPr>
              <w:t>Yes</w:t>
            </w:r>
          </w:p>
        </w:tc>
      </w:tr>
      <w:tr w:rsidR="00337DC9" w:rsidRPr="005C76AF" w14:paraId="66A5B638" w14:textId="77777777" w:rsidTr="00BA7696">
        <w:trPr>
          <w:trHeight w:val="1515"/>
        </w:trPr>
        <w:tc>
          <w:tcPr>
            <w:tcW w:w="710" w:type="dxa"/>
            <w:shd w:val="clear" w:color="auto" w:fill="auto"/>
            <w:hideMark/>
          </w:tcPr>
          <w:p w14:paraId="42C03625"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rPr>
            </w:pPr>
            <w:r w:rsidRPr="005C76AF">
              <w:rPr>
                <w:rFonts w:ascii="Arial" w:hAnsi="Arial" w:cs="Arial"/>
              </w:rPr>
              <w:t>6.2</w:t>
            </w:r>
          </w:p>
        </w:tc>
        <w:tc>
          <w:tcPr>
            <w:tcW w:w="12616" w:type="dxa"/>
            <w:shd w:val="clear" w:color="auto" w:fill="auto"/>
          </w:tcPr>
          <w:p w14:paraId="62E9F784"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b/>
              </w:rPr>
            </w:pPr>
            <w:r w:rsidRPr="005C76AF">
              <w:rPr>
                <w:rFonts w:ascii="Arial" w:hAnsi="Arial" w:cs="Arial"/>
                <w:b/>
              </w:rPr>
              <w:t>Discharge</w:t>
            </w:r>
          </w:p>
          <w:p w14:paraId="44C96722"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rPr>
              <w:t xml:space="preserve">Patient flow is optimised by proactively managing Discharge Process utilising PDD (Planned Date of Discharge) and associated discharge planning tools to optimise capacity, and ensure same rates of discharge over the weekend and public holiday as weekday. </w:t>
            </w:r>
          </w:p>
          <w:p w14:paraId="7D865791"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rPr>
              <w:t>To support discharges at weekends and public holidays, regular daily ward rounds and bed meetings are conducted to ensure a proactive approach to discharge.</w:t>
            </w:r>
          </w:p>
          <w:p w14:paraId="25DA5C2D" w14:textId="77777777" w:rsidR="00337DC9" w:rsidRPr="005C76AF" w:rsidRDefault="00337DC9" w:rsidP="00D235B3">
            <w:pPr>
              <w:tabs>
                <w:tab w:val="right" w:pos="9907"/>
              </w:tabs>
              <w:autoSpaceDE w:val="0"/>
              <w:autoSpaceDN w:val="0"/>
              <w:adjustRightInd w:val="0"/>
              <w:spacing w:after="120" w:line="240" w:lineRule="atLeast"/>
              <w:rPr>
                <w:rFonts w:ascii="Arial" w:hAnsi="Arial" w:cs="Arial"/>
              </w:rPr>
            </w:pPr>
            <w:r w:rsidRPr="005C76AF">
              <w:rPr>
                <w:rFonts w:ascii="Arial" w:hAnsi="Arial" w:cs="Arial"/>
              </w:rPr>
              <w:t>Discharge lounges are fully utilised to optimise capacity - especially important prior to noon.</w:t>
            </w:r>
          </w:p>
        </w:tc>
        <w:tc>
          <w:tcPr>
            <w:tcW w:w="1559" w:type="dxa"/>
            <w:shd w:val="clear" w:color="auto" w:fill="auto"/>
            <w:vAlign w:val="center"/>
          </w:tcPr>
          <w:p w14:paraId="450EDF9F" w14:textId="1CE913AB" w:rsidR="00337DC9" w:rsidRPr="005C76AF" w:rsidRDefault="00E650A8" w:rsidP="00E650A8">
            <w:pPr>
              <w:tabs>
                <w:tab w:val="left" w:pos="720"/>
                <w:tab w:val="left" w:pos="1440"/>
                <w:tab w:val="left" w:pos="2160"/>
                <w:tab w:val="left" w:pos="2880"/>
                <w:tab w:val="left" w:pos="4680"/>
                <w:tab w:val="left" w:pos="5400"/>
                <w:tab w:val="right" w:pos="9000"/>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7802181C" w14:textId="77777777" w:rsidTr="00BA7696">
        <w:trPr>
          <w:trHeight w:val="2757"/>
        </w:trPr>
        <w:tc>
          <w:tcPr>
            <w:tcW w:w="710" w:type="dxa"/>
            <w:shd w:val="clear" w:color="auto" w:fill="auto"/>
          </w:tcPr>
          <w:p w14:paraId="7E4C6BEA"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6.3</w:t>
            </w:r>
          </w:p>
          <w:p w14:paraId="54D4ED96" w14:textId="77777777" w:rsidR="00337DC9" w:rsidRPr="005C76AF" w:rsidRDefault="00337DC9" w:rsidP="00D235B3">
            <w:pPr>
              <w:tabs>
                <w:tab w:val="right" w:pos="9907"/>
              </w:tabs>
              <w:spacing w:after="120" w:line="240" w:lineRule="atLeast"/>
              <w:rPr>
                <w:rFonts w:ascii="Arial" w:hAnsi="Arial" w:cs="Arial"/>
              </w:rPr>
            </w:pPr>
          </w:p>
        </w:tc>
        <w:tc>
          <w:tcPr>
            <w:tcW w:w="12616" w:type="dxa"/>
            <w:shd w:val="clear" w:color="auto" w:fill="auto"/>
          </w:tcPr>
          <w:p w14:paraId="07AB7DD2" w14:textId="77777777" w:rsidR="00337DC9" w:rsidRPr="005C76AF" w:rsidRDefault="00337DC9" w:rsidP="00D235B3">
            <w:pPr>
              <w:tabs>
                <w:tab w:val="right" w:pos="9907"/>
              </w:tabs>
              <w:spacing w:after="120" w:line="240" w:lineRule="atLeast"/>
              <w:rPr>
                <w:rFonts w:ascii="Arial" w:hAnsi="Arial" w:cs="Arial"/>
                <w:b/>
              </w:rPr>
            </w:pPr>
            <w:r w:rsidRPr="005C76AF">
              <w:rPr>
                <w:rFonts w:ascii="Arial" w:hAnsi="Arial" w:cs="Arial"/>
                <w:b/>
              </w:rPr>
              <w:t>Discharge – partnership working</w:t>
            </w:r>
          </w:p>
          <w:p w14:paraId="59068B19"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Close partnership working between is in place between, including the third and independent sector, to ensure that adequate care packages are in place in the community to meet all discharge levels.</w:t>
            </w:r>
          </w:p>
          <w:p w14:paraId="6B13258E" w14:textId="77777777" w:rsidR="00337DC9" w:rsidRPr="005C76AF" w:rsidRDefault="00337DC9" w:rsidP="00D235B3">
            <w:pPr>
              <w:tabs>
                <w:tab w:val="right" w:pos="9907"/>
              </w:tabs>
              <w:spacing w:after="120" w:line="240" w:lineRule="atLeast"/>
              <w:rPr>
                <w:rFonts w:ascii="Arial" w:hAnsi="Arial" w:cs="Arial"/>
                <w:i/>
                <w:sz w:val="20"/>
                <w:szCs w:val="24"/>
              </w:rPr>
            </w:pPr>
            <w:r w:rsidRPr="005C76AF">
              <w:rPr>
                <w:rFonts w:ascii="Arial" w:hAnsi="Arial" w:cs="Arial"/>
              </w:rPr>
              <w:t xml:space="preserve">Where transport service is limited or there is higher demand, alternative arrangements are considered as part of the escalation process – this should include third sector partners (e.g. British Red Cross) </w:t>
            </w:r>
          </w:p>
          <w:p w14:paraId="5894B2DE"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Key partners such as: pharmacy, transport and support services, including social care services, have determined capacity and demand for services and be able to provide adequate capacity to support the discharge process over winter period. These services should be aware of any initiatives that impact on increased provision being required and communication processes are in place to support this. e.g. surge in pre-Christmas discharge</w:t>
            </w:r>
          </w:p>
        </w:tc>
        <w:tc>
          <w:tcPr>
            <w:tcW w:w="1559" w:type="dxa"/>
            <w:shd w:val="clear" w:color="auto" w:fill="auto"/>
            <w:vAlign w:val="center"/>
          </w:tcPr>
          <w:p w14:paraId="5B9ED945" w14:textId="58EB269B" w:rsidR="00337DC9" w:rsidRPr="005C76AF" w:rsidRDefault="00E650A8" w:rsidP="00E650A8">
            <w:pPr>
              <w:tabs>
                <w:tab w:val="right" w:pos="9907"/>
              </w:tabs>
              <w:spacing w:after="120" w:line="240" w:lineRule="atLeast"/>
              <w:jc w:val="center"/>
              <w:rPr>
                <w:rFonts w:ascii="Arial" w:hAnsi="Arial" w:cs="Arial"/>
              </w:rPr>
            </w:pPr>
            <w:r>
              <w:rPr>
                <w:rFonts w:ascii="Arial" w:hAnsi="Arial" w:cs="Arial"/>
                <w:b/>
                <w:color w:val="1F497D"/>
                <w:szCs w:val="24"/>
              </w:rPr>
              <w:t>Yes</w:t>
            </w:r>
          </w:p>
        </w:tc>
      </w:tr>
    </w:tbl>
    <w:p w14:paraId="0363E788" w14:textId="77777777" w:rsidR="00337DC9" w:rsidRPr="005C76AF" w:rsidRDefault="00337DC9" w:rsidP="00337DC9">
      <w:pPr>
        <w:tabs>
          <w:tab w:val="right" w:pos="9907"/>
        </w:tabs>
        <w:spacing w:after="120" w:line="240" w:lineRule="atLeast"/>
        <w:rPr>
          <w:rFonts w:ascii="Arial" w:hAnsi="Arial" w:cs="Arial"/>
          <w:b/>
          <w:color w:val="FF0000"/>
          <w:sz w:val="28"/>
          <w:szCs w:val="28"/>
        </w:rPr>
      </w:pPr>
    </w:p>
    <w:p w14:paraId="2AB5FB8A" w14:textId="77777777" w:rsidR="00337DC9" w:rsidRPr="005C76AF" w:rsidRDefault="00337DC9" w:rsidP="00337DC9">
      <w:pPr>
        <w:rPr>
          <w:rFonts w:ascii="Arial" w:hAnsi="Arial" w:cs="Arial"/>
          <w:b/>
          <w:color w:val="FF0000"/>
          <w:sz w:val="28"/>
          <w:szCs w:val="28"/>
        </w:rPr>
      </w:pPr>
      <w:r w:rsidRPr="005C76AF">
        <w:rPr>
          <w:rFonts w:ascii="Arial" w:hAnsi="Arial" w:cs="Arial"/>
          <w:b/>
          <w:color w:val="FF0000"/>
          <w:sz w:val="28"/>
          <w:szCs w:val="28"/>
        </w:rPr>
        <w:br w:type="page"/>
      </w:r>
    </w:p>
    <w:p w14:paraId="227F9A47" w14:textId="77777777" w:rsidR="00337DC9" w:rsidRPr="005C76AF" w:rsidRDefault="00337DC9" w:rsidP="00337DC9">
      <w:pPr>
        <w:rPr>
          <w:rFonts w:ascii="Arial" w:hAnsi="Arial" w:cs="Arial"/>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58"/>
        <w:gridCol w:w="1559"/>
      </w:tblGrid>
      <w:tr w:rsidR="00337DC9" w:rsidRPr="005C76AF" w14:paraId="7634A8A8" w14:textId="77777777" w:rsidTr="00BA7696">
        <w:trPr>
          <w:trHeight w:val="362"/>
        </w:trPr>
        <w:tc>
          <w:tcPr>
            <w:tcW w:w="5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4E51AA" w14:textId="77777777" w:rsidR="00337DC9" w:rsidRPr="005C76AF" w:rsidRDefault="00337DC9" w:rsidP="00D235B3">
            <w:pPr>
              <w:tabs>
                <w:tab w:val="right" w:pos="9907"/>
              </w:tabs>
              <w:spacing w:after="120" w:line="240" w:lineRule="atLeast"/>
              <w:rPr>
                <w:rFonts w:ascii="Arial" w:hAnsi="Arial" w:cs="Arial"/>
                <w:b/>
                <w:color w:val="1F497D"/>
              </w:rPr>
            </w:pPr>
            <w:r w:rsidRPr="005C76AF">
              <w:rPr>
                <w:rFonts w:ascii="Arial" w:hAnsi="Arial" w:cs="Arial"/>
                <w:b/>
                <w:color w:val="1F497D"/>
                <w:sz w:val="28"/>
                <w:szCs w:val="24"/>
              </w:rPr>
              <w:t>7</w:t>
            </w:r>
          </w:p>
        </w:tc>
        <w:tc>
          <w:tcPr>
            <w:tcW w:w="1275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B9F9F42" w14:textId="77777777" w:rsidR="00337DC9" w:rsidRPr="005C76AF" w:rsidRDefault="00337DC9" w:rsidP="00D235B3">
            <w:pPr>
              <w:spacing w:after="120" w:line="240" w:lineRule="atLeast"/>
              <w:rPr>
                <w:rFonts w:ascii="Arial" w:hAnsi="Arial" w:cs="Arial"/>
                <w:b/>
                <w:color w:val="1F497D"/>
                <w:sz w:val="28"/>
                <w:szCs w:val="28"/>
              </w:rPr>
            </w:pPr>
            <w:r w:rsidRPr="005C76AF">
              <w:rPr>
                <w:rFonts w:ascii="Arial" w:hAnsi="Arial" w:cs="Arial"/>
                <w:b/>
                <w:color w:val="1F497D"/>
                <w:sz w:val="28"/>
                <w:szCs w:val="28"/>
              </w:rPr>
              <w:t>COVID -19, RSV, Norovirus, Seasonal Flu, Staff Protection &amp; Outbreak Resourcing</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5AD58CE"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b/>
                <w:color w:val="1F497D"/>
              </w:rPr>
            </w:pPr>
          </w:p>
        </w:tc>
      </w:tr>
      <w:tr w:rsidR="00337DC9" w:rsidRPr="005C76AF" w14:paraId="1B1F8735" w14:textId="77777777" w:rsidTr="00BA7696">
        <w:trPr>
          <w:trHeight w:val="899"/>
        </w:trPr>
        <w:tc>
          <w:tcPr>
            <w:tcW w:w="568" w:type="dxa"/>
            <w:tcBorders>
              <w:top w:val="single" w:sz="4" w:space="0" w:color="auto"/>
              <w:left w:val="single" w:sz="4" w:space="0" w:color="auto"/>
              <w:bottom w:val="single" w:sz="4" w:space="0" w:color="auto"/>
              <w:right w:val="single" w:sz="4" w:space="0" w:color="auto"/>
            </w:tcBorders>
            <w:hideMark/>
          </w:tcPr>
          <w:p w14:paraId="5D371C5B"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rPr>
            </w:pPr>
            <w:r w:rsidRPr="005C76AF">
              <w:rPr>
                <w:rFonts w:ascii="Arial" w:hAnsi="Arial" w:cs="Arial"/>
              </w:rPr>
              <w:t>7.1</w:t>
            </w:r>
          </w:p>
        </w:tc>
        <w:tc>
          <w:tcPr>
            <w:tcW w:w="12758" w:type="dxa"/>
            <w:tcBorders>
              <w:top w:val="single" w:sz="4" w:space="0" w:color="auto"/>
              <w:left w:val="single" w:sz="4" w:space="0" w:color="auto"/>
              <w:bottom w:val="single" w:sz="4" w:space="0" w:color="auto"/>
              <w:right w:val="single" w:sz="4" w:space="0" w:color="auto"/>
            </w:tcBorders>
          </w:tcPr>
          <w:p w14:paraId="2647BB7B" w14:textId="7258BD1A" w:rsidR="00337DC9" w:rsidRPr="005C76AF" w:rsidRDefault="005C76AF" w:rsidP="005C76AF">
            <w:pPr>
              <w:spacing w:after="0" w:line="240" w:lineRule="atLeast"/>
              <w:jc w:val="both"/>
              <w:rPr>
                <w:rFonts w:ascii="Arial" w:hAnsi="Arial" w:cs="Arial"/>
              </w:rPr>
            </w:pPr>
            <w:r>
              <w:rPr>
                <w:rFonts w:ascii="Arial" w:hAnsi="Arial" w:cs="Arial"/>
              </w:rPr>
              <w:t>A</w:t>
            </w:r>
            <w:r w:rsidR="00337DC9" w:rsidRPr="005C76AF">
              <w:rPr>
                <w:rFonts w:ascii="Arial" w:hAnsi="Arial" w:cs="Arial"/>
              </w:rPr>
              <w:t xml:space="preserve">ll </w:t>
            </w:r>
            <w:r>
              <w:rPr>
                <w:rFonts w:ascii="Arial" w:hAnsi="Arial" w:cs="Arial"/>
              </w:rPr>
              <w:t>patient-facing</w:t>
            </w:r>
            <w:r w:rsidR="00337DC9" w:rsidRPr="005C76AF">
              <w:rPr>
                <w:rFonts w:ascii="Arial" w:hAnsi="Arial" w:cs="Arial"/>
              </w:rPr>
              <w:t xml:space="preserve"> Health and Social Care Staff have easy and convenient access to the Covid-19 and seasonal flu vaccines and that: </w:t>
            </w:r>
          </w:p>
          <w:p w14:paraId="28F03128" w14:textId="77777777" w:rsidR="00337DC9" w:rsidRPr="005C76AF" w:rsidRDefault="00337DC9" w:rsidP="00337DC9">
            <w:pPr>
              <w:pStyle w:val="ListParagraph"/>
              <w:numPr>
                <w:ilvl w:val="0"/>
                <w:numId w:val="9"/>
              </w:numPr>
              <w:spacing w:after="0" w:line="240" w:lineRule="atLeast"/>
              <w:contextualSpacing w:val="0"/>
              <w:jc w:val="both"/>
              <w:rPr>
                <w:rFonts w:ascii="Arial" w:hAnsi="Arial" w:cs="Arial"/>
              </w:rPr>
            </w:pPr>
            <w:r w:rsidRPr="005C76AF">
              <w:rPr>
                <w:rFonts w:ascii="Arial" w:hAnsi="Arial" w:cs="Arial"/>
              </w:rPr>
              <w:t>clinics are available at the place of work and include clinics during early, late and night shifts, at convenient locations</w:t>
            </w:r>
          </w:p>
          <w:p w14:paraId="219A8C59" w14:textId="77777777" w:rsidR="00337DC9" w:rsidRPr="005C76AF" w:rsidRDefault="00337DC9" w:rsidP="00337DC9">
            <w:pPr>
              <w:pStyle w:val="ListParagraph"/>
              <w:numPr>
                <w:ilvl w:val="0"/>
                <w:numId w:val="9"/>
              </w:numPr>
              <w:spacing w:after="0" w:line="240" w:lineRule="atLeast"/>
              <w:contextualSpacing w:val="0"/>
              <w:jc w:val="both"/>
              <w:rPr>
                <w:rFonts w:ascii="Arial" w:hAnsi="Arial" w:cs="Arial"/>
              </w:rPr>
            </w:pPr>
            <w:r w:rsidRPr="005C76AF">
              <w:rPr>
                <w:rFonts w:ascii="Arial" w:hAnsi="Arial" w:cs="Arial"/>
              </w:rPr>
              <w:t xml:space="preserve">drop-in clinics are also available for staff unable to make their designated appointment </w:t>
            </w:r>
          </w:p>
          <w:p w14:paraId="4106EA61" w14:textId="77777777" w:rsidR="00337DC9" w:rsidRPr="005C76AF" w:rsidRDefault="00337DC9" w:rsidP="00337DC9">
            <w:pPr>
              <w:pStyle w:val="ListParagraph"/>
              <w:numPr>
                <w:ilvl w:val="0"/>
                <w:numId w:val="9"/>
              </w:numPr>
              <w:spacing w:after="0" w:line="240" w:lineRule="atLeast"/>
              <w:contextualSpacing w:val="0"/>
              <w:jc w:val="both"/>
              <w:rPr>
                <w:rFonts w:ascii="Arial" w:hAnsi="Arial" w:cs="Arial"/>
              </w:rPr>
            </w:pPr>
            <w:proofErr w:type="gramStart"/>
            <w:r w:rsidRPr="005C76AF">
              <w:rPr>
                <w:rFonts w:ascii="Arial" w:hAnsi="Arial" w:cs="Arial"/>
              </w:rPr>
              <w:t>peer</w:t>
            </w:r>
            <w:proofErr w:type="gramEnd"/>
            <w:r w:rsidRPr="005C76AF">
              <w:rPr>
                <w:rFonts w:ascii="Arial" w:hAnsi="Arial" w:cs="Arial"/>
              </w:rPr>
              <w:t xml:space="preserve"> vaccination is facilitated, where possible, to bring vaccine as close to the place of work for staff as possible.</w:t>
            </w:r>
          </w:p>
          <w:p w14:paraId="415A5FFC" w14:textId="77777777" w:rsidR="00337DC9" w:rsidRPr="005C76AF" w:rsidRDefault="00337DC9" w:rsidP="00337DC9">
            <w:pPr>
              <w:pStyle w:val="ListParagraph"/>
              <w:numPr>
                <w:ilvl w:val="0"/>
                <w:numId w:val="9"/>
              </w:numPr>
              <w:spacing w:after="0" w:line="240" w:lineRule="atLeast"/>
              <w:contextualSpacing w:val="0"/>
              <w:jc w:val="both"/>
              <w:rPr>
                <w:rFonts w:ascii="Arial" w:hAnsi="Arial" w:cs="Arial"/>
              </w:rPr>
            </w:pPr>
            <w:proofErr w:type="gramStart"/>
            <w:r w:rsidRPr="005C76AF">
              <w:rPr>
                <w:rFonts w:ascii="Arial" w:hAnsi="Arial" w:cs="Arial"/>
              </w:rPr>
              <w:t>information</w:t>
            </w:r>
            <w:proofErr w:type="gramEnd"/>
            <w:r w:rsidRPr="005C76AF">
              <w:rPr>
                <w:rFonts w:ascii="Arial" w:hAnsi="Arial" w:cs="Arial"/>
              </w:rPr>
              <w:t xml:space="preserve"> and guidance is provided to staff on how to book appointments via the online portal or the National Vaccination Helpline. </w:t>
            </w:r>
          </w:p>
          <w:p w14:paraId="43210ABB" w14:textId="77777777" w:rsidR="00337DC9" w:rsidRPr="005C76AF" w:rsidRDefault="00337DC9" w:rsidP="00D235B3">
            <w:pPr>
              <w:pStyle w:val="ListParagraph"/>
              <w:spacing w:line="240" w:lineRule="atLeast"/>
              <w:contextualSpacing w:val="0"/>
              <w:jc w:val="both"/>
              <w:rPr>
                <w:rFonts w:ascii="Arial" w:hAnsi="Arial" w:cs="Arial"/>
              </w:rPr>
            </w:pPr>
            <w:proofErr w:type="gramStart"/>
            <w:r w:rsidRPr="005C76AF">
              <w:rPr>
                <w:rFonts w:ascii="Arial" w:hAnsi="Arial" w:cs="Arial"/>
              </w:rPr>
              <w:t>where</w:t>
            </w:r>
            <w:proofErr w:type="gramEnd"/>
            <w:r w:rsidRPr="005C76AF">
              <w:rPr>
                <w:rFonts w:ascii="Arial" w:hAnsi="Arial" w:cs="Arial"/>
              </w:rPr>
              <w:t xml:space="preserve"> possible, the winter coronavirus vaccine will be given at the same time as the flu vaccine. This is a safe and efficient way to give maximum protection over winter months.</w:t>
            </w:r>
          </w:p>
        </w:tc>
        <w:tc>
          <w:tcPr>
            <w:tcW w:w="1559" w:type="dxa"/>
            <w:tcBorders>
              <w:top w:val="single" w:sz="4" w:space="0" w:color="auto"/>
              <w:left w:val="single" w:sz="4" w:space="0" w:color="auto"/>
              <w:bottom w:val="single" w:sz="4" w:space="0" w:color="auto"/>
              <w:right w:val="single" w:sz="4" w:space="0" w:color="auto"/>
            </w:tcBorders>
            <w:vAlign w:val="center"/>
          </w:tcPr>
          <w:p w14:paraId="65A58D03" w14:textId="40B69D6C" w:rsidR="00337DC9" w:rsidRPr="005C76AF" w:rsidRDefault="00E650A8" w:rsidP="00E650A8">
            <w:pPr>
              <w:tabs>
                <w:tab w:val="left" w:pos="720"/>
                <w:tab w:val="left" w:pos="1440"/>
                <w:tab w:val="left" w:pos="2160"/>
                <w:tab w:val="left" w:pos="2880"/>
                <w:tab w:val="left" w:pos="4680"/>
                <w:tab w:val="left" w:pos="5400"/>
                <w:tab w:val="right" w:pos="9000"/>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64742BC0" w14:textId="77777777" w:rsidTr="00BA7696">
        <w:trPr>
          <w:trHeight w:val="899"/>
        </w:trPr>
        <w:tc>
          <w:tcPr>
            <w:tcW w:w="568" w:type="dxa"/>
            <w:tcBorders>
              <w:top w:val="single" w:sz="4" w:space="0" w:color="auto"/>
              <w:left w:val="single" w:sz="4" w:space="0" w:color="auto"/>
              <w:bottom w:val="single" w:sz="4" w:space="0" w:color="auto"/>
              <w:right w:val="single" w:sz="4" w:space="0" w:color="auto"/>
            </w:tcBorders>
          </w:tcPr>
          <w:p w14:paraId="2392AAF0"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rPr>
            </w:pPr>
            <w:r w:rsidRPr="005C76AF">
              <w:rPr>
                <w:rFonts w:ascii="Arial" w:hAnsi="Arial" w:cs="Arial"/>
              </w:rPr>
              <w:t>7.2</w:t>
            </w:r>
          </w:p>
        </w:tc>
        <w:tc>
          <w:tcPr>
            <w:tcW w:w="12758" w:type="dxa"/>
            <w:tcBorders>
              <w:top w:val="single" w:sz="4" w:space="0" w:color="auto"/>
              <w:left w:val="single" w:sz="4" w:space="0" w:color="auto"/>
              <w:bottom w:val="single" w:sz="4" w:space="0" w:color="auto"/>
              <w:right w:val="single" w:sz="4" w:space="0" w:color="auto"/>
            </w:tcBorders>
          </w:tcPr>
          <w:p w14:paraId="4CB472E2" w14:textId="7AAC00D7" w:rsidR="00337DC9" w:rsidRPr="005C76AF" w:rsidRDefault="005C76AF" w:rsidP="00D235B3">
            <w:pPr>
              <w:spacing w:after="60" w:line="240" w:lineRule="atLeast"/>
              <w:jc w:val="both"/>
              <w:rPr>
                <w:rFonts w:ascii="Arial" w:hAnsi="Arial" w:cs="Arial"/>
              </w:rPr>
            </w:pPr>
            <w:r>
              <w:rPr>
                <w:rFonts w:ascii="Arial" w:hAnsi="Arial" w:cs="Arial"/>
              </w:rPr>
              <w:t>T</w:t>
            </w:r>
            <w:r w:rsidR="00337DC9" w:rsidRPr="005C76AF">
              <w:rPr>
                <w:rFonts w:ascii="Arial" w:hAnsi="Arial" w:cs="Arial"/>
              </w:rPr>
              <w:t xml:space="preserve">he winter plan takes into account the predicted surge of seasonal flu, RSV and Norovirus activity that can happen between October and March and have adequate resources in place to deal with potential outbreaks across this period. </w:t>
            </w:r>
          </w:p>
          <w:p w14:paraId="41A81CB2" w14:textId="40F5A72A" w:rsidR="00337DC9" w:rsidRPr="005C76AF" w:rsidRDefault="00337DC9" w:rsidP="00C97774">
            <w:pPr>
              <w:spacing w:after="60" w:line="240" w:lineRule="atLeast"/>
              <w:jc w:val="both"/>
              <w:rPr>
                <w:rFonts w:ascii="Arial" w:hAnsi="Arial" w:cs="Arial"/>
              </w:rPr>
            </w:pPr>
            <w:r w:rsidRPr="005C76AF">
              <w:rPr>
                <w:rFonts w:ascii="Arial" w:hAnsi="Arial" w:cs="Arial"/>
              </w:rPr>
              <w:t xml:space="preserve">If there are reported flu outbreaks during the season, where evidence shows that vaccination uptake rates are not particularly high, NHS Boards </w:t>
            </w:r>
            <w:r w:rsidR="005C76AF">
              <w:rPr>
                <w:rFonts w:ascii="Arial" w:hAnsi="Arial" w:cs="Arial"/>
              </w:rPr>
              <w:t>will consider undertaking</w:t>
            </w:r>
            <w:r w:rsidRPr="005C76AF">
              <w:rPr>
                <w:rFonts w:ascii="Arial" w:hAnsi="Arial" w:cs="Arial"/>
              </w:rPr>
              <w:t xml:space="preserve"> targeted immunisation</w:t>
            </w:r>
            <w:r w:rsidRPr="005C76AF">
              <w:rPr>
                <w:rFonts w:ascii="Arial" w:hAnsi="Arial" w:cs="Arial"/>
                <w:i/>
              </w:rPr>
              <w:t xml:space="preserve">. </w:t>
            </w:r>
            <w:r w:rsidRPr="005C76AF">
              <w:rPr>
                <w:rFonts w:ascii="Arial" w:hAnsi="Arial" w:cs="Arial"/>
              </w:rPr>
              <w:t>Antiviral prescribing for seasonal influenza may also be undertaken when influenza rates circulating in the community reach a trigger level (advice on this is generated by a CMO letter to health professionals co-ordinated and issued by the Vaccinations Strategy Division)</w:t>
            </w:r>
            <w:r w:rsidRPr="005C76AF">
              <w:rPr>
                <w:rFonts w:ascii="Arial" w:hAnsi="Arial" w:cs="Arial"/>
                <w:i/>
              </w:rPr>
              <w:t>.</w:t>
            </w:r>
          </w:p>
        </w:tc>
        <w:tc>
          <w:tcPr>
            <w:tcW w:w="1559" w:type="dxa"/>
            <w:tcBorders>
              <w:top w:val="single" w:sz="4" w:space="0" w:color="auto"/>
              <w:left w:val="single" w:sz="4" w:space="0" w:color="auto"/>
              <w:bottom w:val="single" w:sz="4" w:space="0" w:color="auto"/>
              <w:right w:val="single" w:sz="4" w:space="0" w:color="auto"/>
            </w:tcBorders>
            <w:vAlign w:val="center"/>
          </w:tcPr>
          <w:p w14:paraId="6961B546" w14:textId="423FDA59" w:rsidR="00337DC9" w:rsidRPr="005C76AF" w:rsidRDefault="00337DC9" w:rsidP="00C97774">
            <w:pPr>
              <w:tabs>
                <w:tab w:val="left" w:pos="720"/>
                <w:tab w:val="left" w:pos="1440"/>
                <w:tab w:val="left" w:pos="2160"/>
                <w:tab w:val="left" w:pos="2880"/>
                <w:tab w:val="left" w:pos="4680"/>
                <w:tab w:val="left" w:pos="5400"/>
                <w:tab w:val="right" w:pos="9000"/>
                <w:tab w:val="right" w:pos="9907"/>
              </w:tabs>
              <w:spacing w:after="120" w:line="240" w:lineRule="atLeast"/>
              <w:jc w:val="center"/>
              <w:rPr>
                <w:rFonts w:ascii="Arial" w:hAnsi="Arial" w:cs="Arial"/>
              </w:rPr>
            </w:pPr>
            <w:r w:rsidRPr="005C76AF">
              <w:rPr>
                <w:rFonts w:ascii="Arial" w:hAnsi="Arial" w:cs="Arial"/>
                <w:b/>
                <w:color w:val="1F497D"/>
                <w:szCs w:val="24"/>
              </w:rPr>
              <w:t>Yes</w:t>
            </w:r>
            <w:r w:rsidRPr="005C76AF">
              <w:rPr>
                <w:rFonts w:ascii="Arial" w:hAnsi="Arial" w:cs="Arial"/>
                <w:b/>
                <w:color w:val="FF0000"/>
                <w:sz w:val="20"/>
              </w:rPr>
              <w:t xml:space="preserve"> </w:t>
            </w:r>
          </w:p>
        </w:tc>
      </w:tr>
      <w:tr w:rsidR="00337DC9" w:rsidRPr="005C76AF" w14:paraId="565F1612" w14:textId="77777777" w:rsidTr="00BA7696">
        <w:trPr>
          <w:trHeight w:val="841"/>
        </w:trPr>
        <w:tc>
          <w:tcPr>
            <w:tcW w:w="568" w:type="dxa"/>
            <w:tcBorders>
              <w:top w:val="single" w:sz="4" w:space="0" w:color="auto"/>
              <w:left w:val="single" w:sz="4" w:space="0" w:color="auto"/>
              <w:bottom w:val="single" w:sz="4" w:space="0" w:color="auto"/>
              <w:right w:val="single" w:sz="4" w:space="0" w:color="auto"/>
            </w:tcBorders>
            <w:hideMark/>
          </w:tcPr>
          <w:p w14:paraId="57BF3F1D"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rPr>
            </w:pPr>
            <w:r w:rsidRPr="005C76AF">
              <w:rPr>
                <w:rFonts w:ascii="Arial" w:hAnsi="Arial" w:cs="Arial"/>
              </w:rPr>
              <w:t>7.3</w:t>
            </w:r>
          </w:p>
        </w:tc>
        <w:tc>
          <w:tcPr>
            <w:tcW w:w="12758" w:type="dxa"/>
            <w:tcBorders>
              <w:top w:val="single" w:sz="4" w:space="0" w:color="auto"/>
              <w:left w:val="single" w:sz="4" w:space="0" w:color="auto"/>
              <w:bottom w:val="single" w:sz="4" w:space="0" w:color="auto"/>
              <w:right w:val="single" w:sz="4" w:space="0" w:color="auto"/>
            </w:tcBorders>
          </w:tcPr>
          <w:p w14:paraId="5EE5179F" w14:textId="77777777" w:rsidR="00337DC9" w:rsidRPr="005C76AF" w:rsidRDefault="00337DC9" w:rsidP="00D235B3">
            <w:pPr>
              <w:tabs>
                <w:tab w:val="left" w:pos="720"/>
                <w:tab w:val="left" w:pos="1440"/>
                <w:tab w:val="left" w:pos="2160"/>
                <w:tab w:val="left" w:pos="2880"/>
                <w:tab w:val="right" w:pos="9907"/>
              </w:tabs>
              <w:spacing w:after="60" w:line="240" w:lineRule="atLeast"/>
              <w:jc w:val="both"/>
              <w:rPr>
                <w:rFonts w:ascii="Arial" w:hAnsi="Arial" w:cs="Arial"/>
              </w:rPr>
            </w:pPr>
            <w:r w:rsidRPr="005C76AF">
              <w:rPr>
                <w:rFonts w:ascii="Arial" w:hAnsi="Arial" w:cs="Arial"/>
              </w:rPr>
              <w:t>Adequate resources are in place to manage all potential COVID-19 outbreaks including possible new variants with increased severity, RSV and seasonal flu that might coincide with norovirus, severe weather and festive holiday periods.</w:t>
            </w:r>
          </w:p>
          <w:p w14:paraId="15C811AC" w14:textId="6CAAD676" w:rsidR="00337DC9" w:rsidRPr="005C76AF" w:rsidRDefault="00337DC9" w:rsidP="00D235B3">
            <w:pPr>
              <w:tabs>
                <w:tab w:val="left" w:pos="4680"/>
                <w:tab w:val="left" w:pos="5400"/>
                <w:tab w:val="right" w:pos="9000"/>
                <w:tab w:val="right" w:pos="9907"/>
              </w:tabs>
              <w:autoSpaceDE w:val="0"/>
              <w:autoSpaceDN w:val="0"/>
              <w:adjustRightInd w:val="0"/>
              <w:spacing w:after="60" w:line="240" w:lineRule="atLeast"/>
              <w:jc w:val="both"/>
              <w:rPr>
                <w:rFonts w:ascii="Arial" w:hAnsi="Arial" w:cs="Arial"/>
                <w:lang w:eastAsia="en-GB"/>
              </w:rPr>
            </w:pPr>
            <w:r w:rsidRPr="005C76AF">
              <w:rPr>
                <w:rFonts w:ascii="Arial" w:hAnsi="Arial" w:cs="Arial"/>
                <w:lang w:eastAsia="en-GB"/>
              </w:rPr>
              <w:t>NHS board contingency plans have a specific entry on plans to mitigate the potential impact of potential outbreaks of seasonal influenza to include infection control, staff vaccination and antiviral treatment and prophylaxis.  </w:t>
            </w:r>
          </w:p>
          <w:p w14:paraId="2A6B0C8F" w14:textId="1FD202E4" w:rsidR="00337DC9" w:rsidRPr="005C76AF" w:rsidRDefault="00337DC9" w:rsidP="005C76AF">
            <w:pPr>
              <w:tabs>
                <w:tab w:val="left" w:pos="720"/>
                <w:tab w:val="left" w:pos="1440"/>
                <w:tab w:val="left" w:pos="2160"/>
                <w:tab w:val="left" w:pos="2880"/>
                <w:tab w:val="right" w:pos="9907"/>
              </w:tabs>
              <w:spacing w:after="60" w:line="240" w:lineRule="atLeast"/>
              <w:jc w:val="both"/>
              <w:rPr>
                <w:rFonts w:ascii="Arial" w:hAnsi="Arial" w:cs="Arial"/>
                <w:lang w:eastAsia="en-GB"/>
              </w:rPr>
            </w:pPr>
            <w:r w:rsidRPr="005C76AF">
              <w:rPr>
                <w:rFonts w:ascii="Arial" w:hAnsi="Arial" w:cs="Arial"/>
                <w:lang w:eastAsia="en-GB"/>
              </w:rPr>
              <w:t xml:space="preserve">Contingency planning </w:t>
            </w:r>
            <w:r w:rsidR="005C76AF">
              <w:rPr>
                <w:rFonts w:ascii="Arial" w:hAnsi="Arial" w:cs="Arial"/>
                <w:lang w:eastAsia="en-GB"/>
              </w:rPr>
              <w:t xml:space="preserve">is </w:t>
            </w:r>
            <w:r w:rsidRPr="005C76AF">
              <w:rPr>
                <w:rFonts w:ascii="Arial" w:hAnsi="Arial" w:cs="Arial"/>
                <w:lang w:eastAsia="en-GB"/>
              </w:rPr>
              <w:t>in place to also address patient management, bed management, staff redeployment and use of reserve bank staff and include plans for deferral of planned admissions and plans for alternative use of existing estate or opening of reserve capacity to offset the pressures.</w:t>
            </w:r>
            <w:r w:rsidR="005C76AF">
              <w:rPr>
                <w:rFonts w:ascii="Arial" w:hAnsi="Arial" w:cs="Arial"/>
                <w:lang w:eastAsia="en-GB"/>
              </w:rPr>
              <w:t xml:space="preserve"> </w:t>
            </w:r>
            <w:hyperlink r:id="rId10" w:history="1">
              <w:r w:rsidRPr="005C76AF">
                <w:rPr>
                  <w:rFonts w:ascii="Arial" w:hAnsi="Arial" w:cs="Arial"/>
                  <w:color w:val="0563C1"/>
                  <w:u w:val="single"/>
                  <w:lang w:eastAsia="en-GB"/>
                </w:rPr>
                <w:t>Debriefs</w:t>
              </w:r>
            </w:hyperlink>
            <w:r w:rsidRPr="005C76AF">
              <w:rPr>
                <w:rFonts w:ascii="Arial" w:hAnsi="Arial" w:cs="Arial"/>
                <w:lang w:eastAsia="en-GB"/>
              </w:rPr>
              <w:t xml:space="preserve"> will be provided following significant outbreaks or end of season outbreaks to ensure system modifications to reduce the risk of future outbreaks.</w:t>
            </w:r>
          </w:p>
        </w:tc>
        <w:tc>
          <w:tcPr>
            <w:tcW w:w="1559" w:type="dxa"/>
            <w:tcBorders>
              <w:top w:val="single" w:sz="4" w:space="0" w:color="auto"/>
              <w:left w:val="single" w:sz="4" w:space="0" w:color="auto"/>
              <w:bottom w:val="single" w:sz="4" w:space="0" w:color="auto"/>
              <w:right w:val="single" w:sz="4" w:space="0" w:color="auto"/>
            </w:tcBorders>
            <w:vAlign w:val="center"/>
          </w:tcPr>
          <w:p w14:paraId="67CD9F24" w14:textId="51D9660E" w:rsidR="00337DC9" w:rsidRPr="005C76AF" w:rsidRDefault="00C97774" w:rsidP="00C97774">
            <w:pPr>
              <w:tabs>
                <w:tab w:val="left" w:pos="720"/>
                <w:tab w:val="left" w:pos="1440"/>
                <w:tab w:val="left" w:pos="2160"/>
                <w:tab w:val="left" w:pos="2880"/>
                <w:tab w:val="left" w:pos="4680"/>
                <w:tab w:val="left" w:pos="5400"/>
                <w:tab w:val="right" w:pos="9000"/>
                <w:tab w:val="right" w:pos="9907"/>
              </w:tabs>
              <w:spacing w:after="120" w:line="240" w:lineRule="atLeast"/>
              <w:jc w:val="center"/>
              <w:rPr>
                <w:rFonts w:ascii="Arial" w:hAnsi="Arial" w:cs="Arial"/>
                <w:szCs w:val="24"/>
              </w:rPr>
            </w:pPr>
            <w:r>
              <w:rPr>
                <w:rFonts w:ascii="Arial" w:hAnsi="Arial" w:cs="Arial"/>
                <w:b/>
                <w:color w:val="1F497D"/>
                <w:szCs w:val="24"/>
              </w:rPr>
              <w:t>Yes</w:t>
            </w:r>
          </w:p>
        </w:tc>
      </w:tr>
      <w:tr w:rsidR="00337DC9" w:rsidRPr="005C76AF" w14:paraId="24E79D66" w14:textId="77777777" w:rsidTr="00BA7696">
        <w:trPr>
          <w:trHeight w:val="1228"/>
        </w:trPr>
        <w:tc>
          <w:tcPr>
            <w:tcW w:w="568" w:type="dxa"/>
            <w:tcBorders>
              <w:top w:val="single" w:sz="4" w:space="0" w:color="auto"/>
              <w:left w:val="single" w:sz="4" w:space="0" w:color="auto"/>
              <w:bottom w:val="single" w:sz="4" w:space="0" w:color="auto"/>
              <w:right w:val="single" w:sz="4" w:space="0" w:color="auto"/>
            </w:tcBorders>
            <w:hideMark/>
          </w:tcPr>
          <w:p w14:paraId="18DEA342" w14:textId="77777777" w:rsidR="00337DC9" w:rsidRPr="005C76AF" w:rsidRDefault="00337DC9" w:rsidP="00D235B3">
            <w:pPr>
              <w:tabs>
                <w:tab w:val="left" w:pos="720"/>
                <w:tab w:val="left" w:pos="1440"/>
                <w:tab w:val="left" w:pos="2160"/>
                <w:tab w:val="left" w:pos="2880"/>
                <w:tab w:val="left" w:pos="4680"/>
                <w:tab w:val="left" w:pos="5400"/>
                <w:tab w:val="right" w:pos="9000"/>
                <w:tab w:val="right" w:pos="9907"/>
              </w:tabs>
              <w:spacing w:after="120" w:line="240" w:lineRule="atLeast"/>
              <w:rPr>
                <w:rFonts w:ascii="Arial" w:hAnsi="Arial" w:cs="Arial"/>
              </w:rPr>
            </w:pPr>
            <w:r w:rsidRPr="005C76AF">
              <w:rPr>
                <w:rFonts w:ascii="Arial" w:hAnsi="Arial" w:cs="Arial"/>
              </w:rPr>
              <w:t>7.4</w:t>
            </w:r>
          </w:p>
        </w:tc>
        <w:tc>
          <w:tcPr>
            <w:tcW w:w="12758" w:type="dxa"/>
            <w:tcBorders>
              <w:top w:val="single" w:sz="4" w:space="0" w:color="auto"/>
              <w:left w:val="single" w:sz="4" w:space="0" w:color="auto"/>
              <w:bottom w:val="single" w:sz="4" w:space="0" w:color="auto"/>
              <w:right w:val="single" w:sz="4" w:space="0" w:color="auto"/>
            </w:tcBorders>
          </w:tcPr>
          <w:p w14:paraId="13FF6795" w14:textId="77777777" w:rsidR="005C76AF" w:rsidRDefault="005C76AF" w:rsidP="005C76AF">
            <w:pPr>
              <w:tabs>
                <w:tab w:val="left" w:pos="4680"/>
                <w:tab w:val="left" w:pos="5400"/>
                <w:tab w:val="right" w:pos="9000"/>
                <w:tab w:val="right" w:pos="9907"/>
              </w:tabs>
              <w:autoSpaceDE w:val="0"/>
              <w:autoSpaceDN w:val="0"/>
              <w:adjustRightInd w:val="0"/>
              <w:spacing w:after="60" w:line="240" w:lineRule="atLeast"/>
              <w:jc w:val="both"/>
              <w:rPr>
                <w:rFonts w:ascii="Arial" w:hAnsi="Arial" w:cs="Arial"/>
              </w:rPr>
            </w:pPr>
            <w:r>
              <w:rPr>
                <w:rFonts w:ascii="Arial" w:hAnsi="Arial" w:cs="Arial"/>
              </w:rPr>
              <w:t xml:space="preserve">To help detect early warnings of imminent surges in activity, Boards routinely monitor </w:t>
            </w:r>
            <w:r w:rsidR="00337DC9" w:rsidRPr="005C76AF">
              <w:rPr>
                <w:rFonts w:ascii="Arial" w:hAnsi="Arial" w:cs="Arial"/>
              </w:rPr>
              <w:t>PHS weekly publications, showing the current epidemiological picture on COVID-19, RSV, Norovirus and influenza infections across Scotland, and PHS Wh</w:t>
            </w:r>
            <w:r>
              <w:rPr>
                <w:rFonts w:ascii="Arial" w:hAnsi="Arial" w:cs="Arial"/>
              </w:rPr>
              <w:t xml:space="preserve">ole System Model Winter outputs. </w:t>
            </w:r>
          </w:p>
          <w:p w14:paraId="4F6923BC" w14:textId="37130C4B" w:rsidR="00337DC9" w:rsidRPr="005C76AF" w:rsidRDefault="00337DC9" w:rsidP="005C76AF">
            <w:pPr>
              <w:tabs>
                <w:tab w:val="left" w:pos="4680"/>
                <w:tab w:val="left" w:pos="5400"/>
                <w:tab w:val="right" w:pos="9000"/>
                <w:tab w:val="right" w:pos="9907"/>
              </w:tabs>
              <w:autoSpaceDE w:val="0"/>
              <w:autoSpaceDN w:val="0"/>
              <w:adjustRightInd w:val="0"/>
              <w:spacing w:after="60" w:line="240" w:lineRule="atLeast"/>
              <w:jc w:val="both"/>
              <w:rPr>
                <w:rFonts w:ascii="Arial" w:hAnsi="Arial" w:cs="Arial"/>
              </w:rPr>
            </w:pPr>
            <w:r w:rsidRPr="005C76AF">
              <w:rPr>
                <w:rFonts w:ascii="Arial" w:hAnsi="Arial" w:cs="Arial"/>
                <w:lang w:eastAsia="en-GB"/>
              </w:rPr>
              <w:t xml:space="preserve">Boards must ensure that staff have access to and are adhering to the national guidelines on </w:t>
            </w:r>
            <w:hyperlink r:id="rId11" w:history="1">
              <w:r w:rsidRPr="005C76AF">
                <w:rPr>
                  <w:rFonts w:ascii="Arial" w:hAnsi="Arial" w:cs="Arial"/>
                  <w:color w:val="0563C1"/>
                  <w:u w:val="single"/>
                  <w:lang w:eastAsia="en-GB"/>
                </w:rPr>
                <w:t>Preparing for and Managing Norovirus in Care Settings</w:t>
              </w:r>
            </w:hyperlink>
          </w:p>
        </w:tc>
        <w:tc>
          <w:tcPr>
            <w:tcW w:w="1559" w:type="dxa"/>
            <w:tcBorders>
              <w:top w:val="single" w:sz="4" w:space="0" w:color="auto"/>
              <w:left w:val="single" w:sz="4" w:space="0" w:color="auto"/>
              <w:bottom w:val="single" w:sz="4" w:space="0" w:color="auto"/>
              <w:right w:val="single" w:sz="4" w:space="0" w:color="auto"/>
            </w:tcBorders>
            <w:vAlign w:val="center"/>
          </w:tcPr>
          <w:p w14:paraId="0F8CBAD1" w14:textId="3CC7F01F" w:rsidR="00337DC9" w:rsidRPr="005C76AF" w:rsidRDefault="00AC2D02" w:rsidP="00AC2D02">
            <w:pPr>
              <w:tabs>
                <w:tab w:val="left" w:pos="720"/>
                <w:tab w:val="left" w:pos="1440"/>
                <w:tab w:val="left" w:pos="2160"/>
                <w:tab w:val="left" w:pos="2880"/>
                <w:tab w:val="left" w:pos="4680"/>
                <w:tab w:val="left" w:pos="5400"/>
                <w:tab w:val="right" w:pos="9000"/>
                <w:tab w:val="right" w:pos="9907"/>
              </w:tabs>
              <w:spacing w:after="120" w:line="240" w:lineRule="atLeast"/>
              <w:jc w:val="center"/>
              <w:rPr>
                <w:rFonts w:ascii="Arial" w:hAnsi="Arial" w:cs="Arial"/>
              </w:rPr>
            </w:pPr>
            <w:r>
              <w:rPr>
                <w:rFonts w:ascii="Arial" w:hAnsi="Arial" w:cs="Arial"/>
                <w:b/>
                <w:color w:val="1F497D"/>
                <w:szCs w:val="24"/>
              </w:rPr>
              <w:t>Yes</w:t>
            </w:r>
          </w:p>
        </w:tc>
      </w:tr>
    </w:tbl>
    <w:p w14:paraId="648E11BE" w14:textId="51725F51" w:rsidR="00337DC9" w:rsidRPr="005C76AF" w:rsidRDefault="00337DC9" w:rsidP="00337DC9">
      <w:pPr>
        <w:tabs>
          <w:tab w:val="left" w:pos="12724"/>
        </w:tabs>
        <w:spacing w:after="120" w:line="240" w:lineRule="atLeast"/>
        <w:ind w:left="-601"/>
        <w:rPr>
          <w:rFonts w:ascii="Arial" w:hAnsi="Arial" w:cs="Arial"/>
          <w:b/>
          <w:sz w:val="32"/>
          <w:szCs w:val="32"/>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8"/>
        <w:gridCol w:w="1559"/>
      </w:tblGrid>
      <w:tr w:rsidR="00337DC9" w:rsidRPr="005C76AF" w14:paraId="49E9ABE0" w14:textId="77777777" w:rsidTr="00BA7696">
        <w:trPr>
          <w:trHeight w:val="607"/>
        </w:trPr>
        <w:tc>
          <w:tcPr>
            <w:tcW w:w="568" w:type="dxa"/>
            <w:shd w:val="clear" w:color="auto" w:fill="DEEAF6" w:themeFill="accent1" w:themeFillTint="33"/>
          </w:tcPr>
          <w:p w14:paraId="394B8F00" w14:textId="77777777" w:rsidR="00337DC9" w:rsidRPr="005C76AF" w:rsidRDefault="00337DC9" w:rsidP="00D235B3">
            <w:pPr>
              <w:tabs>
                <w:tab w:val="right" w:pos="9907"/>
              </w:tabs>
              <w:spacing w:after="120" w:line="240" w:lineRule="atLeast"/>
              <w:rPr>
                <w:rFonts w:ascii="Arial" w:hAnsi="Arial" w:cs="Arial"/>
                <w:b/>
                <w:color w:val="1F497D"/>
                <w:sz w:val="28"/>
                <w:szCs w:val="24"/>
              </w:rPr>
            </w:pPr>
            <w:r w:rsidRPr="005C76AF">
              <w:rPr>
                <w:rFonts w:ascii="Arial" w:hAnsi="Arial" w:cs="Arial"/>
                <w:b/>
                <w:color w:val="1F497D"/>
                <w:sz w:val="28"/>
                <w:szCs w:val="24"/>
              </w:rPr>
              <w:lastRenderedPageBreak/>
              <w:t>8</w:t>
            </w:r>
          </w:p>
        </w:tc>
        <w:tc>
          <w:tcPr>
            <w:tcW w:w="12758" w:type="dxa"/>
            <w:shd w:val="clear" w:color="auto" w:fill="DEEAF6" w:themeFill="accent1" w:themeFillTint="33"/>
          </w:tcPr>
          <w:p w14:paraId="22B9B8D6" w14:textId="77777777" w:rsidR="00337DC9" w:rsidRPr="005C76AF" w:rsidRDefault="00337DC9" w:rsidP="00D235B3">
            <w:pPr>
              <w:tabs>
                <w:tab w:val="right" w:pos="9907"/>
              </w:tabs>
              <w:spacing w:after="120" w:line="240" w:lineRule="atLeast"/>
              <w:jc w:val="center"/>
              <w:rPr>
                <w:rFonts w:ascii="Arial" w:hAnsi="Arial" w:cs="Arial"/>
                <w:b/>
                <w:color w:val="1F497D"/>
                <w:sz w:val="28"/>
                <w:szCs w:val="24"/>
              </w:rPr>
            </w:pPr>
            <w:r w:rsidRPr="005C76AF">
              <w:rPr>
                <w:rFonts w:ascii="Arial" w:hAnsi="Arial" w:cs="Arial"/>
                <w:b/>
                <w:color w:val="1F497D"/>
                <w:sz w:val="28"/>
                <w:szCs w:val="24"/>
              </w:rPr>
              <w:t>Workforce</w:t>
            </w:r>
          </w:p>
        </w:tc>
        <w:tc>
          <w:tcPr>
            <w:tcW w:w="1559" w:type="dxa"/>
            <w:shd w:val="clear" w:color="auto" w:fill="DEEAF6" w:themeFill="accent1" w:themeFillTint="33"/>
          </w:tcPr>
          <w:p w14:paraId="49F4A84F" w14:textId="77777777" w:rsidR="00337DC9" w:rsidRPr="005C76AF" w:rsidRDefault="00337DC9" w:rsidP="00D235B3">
            <w:pPr>
              <w:tabs>
                <w:tab w:val="right" w:pos="9907"/>
              </w:tabs>
              <w:spacing w:after="120" w:line="240" w:lineRule="atLeast"/>
              <w:rPr>
                <w:rFonts w:ascii="Arial" w:hAnsi="Arial" w:cs="Arial"/>
                <w:b/>
                <w:color w:val="1F497D"/>
                <w:szCs w:val="24"/>
              </w:rPr>
            </w:pPr>
          </w:p>
        </w:tc>
      </w:tr>
      <w:tr w:rsidR="00337DC9" w:rsidRPr="005C76AF" w14:paraId="67755000" w14:textId="77777777" w:rsidTr="00BA7696">
        <w:trPr>
          <w:trHeight w:val="780"/>
        </w:trPr>
        <w:tc>
          <w:tcPr>
            <w:tcW w:w="568" w:type="dxa"/>
            <w:shd w:val="clear" w:color="auto" w:fill="auto"/>
          </w:tcPr>
          <w:p w14:paraId="24738DAA"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8.1</w:t>
            </w:r>
          </w:p>
        </w:tc>
        <w:tc>
          <w:tcPr>
            <w:tcW w:w="12758" w:type="dxa"/>
            <w:shd w:val="clear" w:color="auto" w:fill="auto"/>
          </w:tcPr>
          <w:p w14:paraId="000E6BB5" w14:textId="37FD1B0F" w:rsidR="00337DC9" w:rsidRPr="005C76AF" w:rsidRDefault="005C76AF" w:rsidP="005C76AF">
            <w:pPr>
              <w:tabs>
                <w:tab w:val="right" w:pos="9907"/>
              </w:tabs>
              <w:spacing w:after="120" w:line="240" w:lineRule="atLeast"/>
              <w:rPr>
                <w:rFonts w:ascii="Arial" w:hAnsi="Arial" w:cs="Arial"/>
                <w:color w:val="272A2A"/>
                <w:szCs w:val="24"/>
              </w:rPr>
            </w:pPr>
            <w:r>
              <w:rPr>
                <w:rFonts w:ascii="Arial" w:hAnsi="Arial" w:cs="Arial"/>
              </w:rPr>
              <w:t>A</w:t>
            </w:r>
            <w:r w:rsidR="00337DC9" w:rsidRPr="005C76AF">
              <w:rPr>
                <w:rFonts w:ascii="Arial" w:hAnsi="Arial" w:cs="Arial"/>
              </w:rPr>
              <w:t>ppropriate steps are being taken to support recruitment of staff on an ongoing basis within recognised financial parameters, utilising the full range of potential contractual arrangements including (but not limited to) Permanent, Sessional Worker, Bank or Fixed Term contracts (or a combination of these).</w:t>
            </w:r>
          </w:p>
        </w:tc>
        <w:tc>
          <w:tcPr>
            <w:tcW w:w="1559" w:type="dxa"/>
            <w:shd w:val="clear" w:color="auto" w:fill="auto"/>
          </w:tcPr>
          <w:p w14:paraId="4446B407" w14:textId="6DA1E4BF" w:rsidR="00337DC9" w:rsidRPr="005C76AF" w:rsidRDefault="00085694" w:rsidP="00085694">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3EA39449" w14:textId="77777777" w:rsidTr="00BA7696">
        <w:trPr>
          <w:trHeight w:val="520"/>
        </w:trPr>
        <w:tc>
          <w:tcPr>
            <w:tcW w:w="568" w:type="dxa"/>
            <w:shd w:val="clear" w:color="auto" w:fill="auto"/>
          </w:tcPr>
          <w:p w14:paraId="1A8B0737"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8.2</w:t>
            </w:r>
          </w:p>
        </w:tc>
        <w:tc>
          <w:tcPr>
            <w:tcW w:w="12758" w:type="dxa"/>
            <w:shd w:val="clear" w:color="auto" w:fill="auto"/>
          </w:tcPr>
          <w:p w14:paraId="62A07C14" w14:textId="22428B04" w:rsidR="00337DC9" w:rsidRPr="005C76AF" w:rsidRDefault="00337DC9" w:rsidP="00BA7696">
            <w:pPr>
              <w:tabs>
                <w:tab w:val="right" w:pos="9907"/>
              </w:tabs>
              <w:spacing w:after="120" w:line="240" w:lineRule="atLeast"/>
              <w:rPr>
                <w:rFonts w:ascii="Arial" w:hAnsi="Arial" w:cs="Arial"/>
                <w:u w:val="single"/>
              </w:rPr>
            </w:pPr>
            <w:r w:rsidRPr="005C76AF">
              <w:rPr>
                <w:rFonts w:ascii="Arial" w:hAnsi="Arial" w:cs="Arial"/>
              </w:rPr>
              <w:t xml:space="preserve">Boards are continuously deploying the range of tools available to them to support efforts aimed at staff retention, including but not limited to those set out through DL (2022) 30: </w:t>
            </w:r>
            <w:hyperlink r:id="rId12" w:history="1">
              <w:r w:rsidRPr="005C76AF">
                <w:rPr>
                  <w:rStyle w:val="Hyperlink"/>
                  <w:rFonts w:ascii="Arial" w:hAnsi="Arial" w:cs="Arial"/>
                </w:rPr>
                <w:t>DL(2022)30.pdf (scot.nhs.uk)</w:t>
              </w:r>
            </w:hyperlink>
            <w:r w:rsidRPr="005C76AF">
              <w:rPr>
                <w:rStyle w:val="Hyperlink"/>
                <w:rFonts w:ascii="Arial" w:hAnsi="Arial" w:cs="Arial"/>
              </w:rPr>
              <w:t xml:space="preserve"> </w:t>
            </w:r>
            <w:r w:rsidRPr="00BA7696">
              <w:rPr>
                <w:rFonts w:ascii="Arial" w:hAnsi="Arial" w:cs="Arial"/>
              </w:rPr>
              <w:t>to enable those staff who have retired to return to work on a part time basis should they wish to do so.</w:t>
            </w:r>
            <w:r w:rsidRPr="005C76AF">
              <w:rPr>
                <w:rStyle w:val="Hyperlink"/>
                <w:rFonts w:ascii="Arial" w:hAnsi="Arial" w:cs="Arial"/>
              </w:rPr>
              <w:t xml:space="preserve"> </w:t>
            </w:r>
          </w:p>
        </w:tc>
        <w:tc>
          <w:tcPr>
            <w:tcW w:w="1559" w:type="dxa"/>
            <w:shd w:val="clear" w:color="auto" w:fill="auto"/>
          </w:tcPr>
          <w:p w14:paraId="41C506D3" w14:textId="455BA2B6" w:rsidR="00337DC9" w:rsidRPr="005C76AF" w:rsidRDefault="00085694" w:rsidP="00085694">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337DC9" w:rsidRPr="005C76AF" w14:paraId="53D84504" w14:textId="77777777" w:rsidTr="00BA7696">
        <w:trPr>
          <w:trHeight w:val="797"/>
        </w:trPr>
        <w:tc>
          <w:tcPr>
            <w:tcW w:w="568" w:type="dxa"/>
            <w:shd w:val="clear" w:color="auto" w:fill="auto"/>
          </w:tcPr>
          <w:p w14:paraId="247C80E0" w14:textId="77777777" w:rsidR="00337DC9" w:rsidRPr="005C76AF" w:rsidRDefault="00337DC9" w:rsidP="00D235B3">
            <w:pPr>
              <w:tabs>
                <w:tab w:val="right" w:pos="9907"/>
              </w:tabs>
              <w:spacing w:after="120" w:line="240" w:lineRule="atLeast"/>
              <w:rPr>
                <w:rFonts w:ascii="Arial" w:hAnsi="Arial" w:cs="Arial"/>
              </w:rPr>
            </w:pPr>
            <w:r w:rsidRPr="005C76AF">
              <w:rPr>
                <w:rFonts w:ascii="Arial" w:hAnsi="Arial" w:cs="Arial"/>
              </w:rPr>
              <w:t>8.3</w:t>
            </w:r>
          </w:p>
        </w:tc>
        <w:tc>
          <w:tcPr>
            <w:tcW w:w="12758" w:type="dxa"/>
            <w:shd w:val="clear" w:color="auto" w:fill="auto"/>
          </w:tcPr>
          <w:p w14:paraId="2FFF7EE6" w14:textId="1D457123" w:rsidR="00337DC9" w:rsidRPr="005C76AF" w:rsidRDefault="00337DC9" w:rsidP="00BA7696">
            <w:pPr>
              <w:pStyle w:val="Default"/>
              <w:spacing w:after="120" w:line="240" w:lineRule="atLeast"/>
            </w:pPr>
            <w:r w:rsidRPr="005C76AF">
              <w:rPr>
                <w:sz w:val="22"/>
                <w:szCs w:val="22"/>
              </w:rPr>
              <w:t xml:space="preserve">Plans are in place for appropriate levels of staffing across the whole system to facilitate efficient and effective patient care, to ensure consistent discharge over 7 days and the holiday periods. </w:t>
            </w:r>
            <w:r w:rsidRPr="005C76AF">
              <w:rPr>
                <w:color w:val="auto"/>
                <w:sz w:val="22"/>
                <w:szCs w:val="22"/>
              </w:rPr>
              <w:t>This requires sufficient senior medical and other senior clinical decision makers to facilitate decision-making, and pharmacists to prepare timely discharge medications.</w:t>
            </w:r>
          </w:p>
        </w:tc>
        <w:tc>
          <w:tcPr>
            <w:tcW w:w="1559" w:type="dxa"/>
            <w:shd w:val="clear" w:color="auto" w:fill="auto"/>
          </w:tcPr>
          <w:p w14:paraId="77B41D63" w14:textId="7733AC96" w:rsidR="00337DC9" w:rsidRPr="005C76AF" w:rsidRDefault="00085694" w:rsidP="00085694">
            <w:pPr>
              <w:tabs>
                <w:tab w:val="right" w:pos="9907"/>
              </w:tabs>
              <w:spacing w:after="120" w:line="240" w:lineRule="atLeast"/>
              <w:jc w:val="center"/>
              <w:rPr>
                <w:rFonts w:ascii="Arial" w:hAnsi="Arial" w:cs="Arial"/>
              </w:rPr>
            </w:pPr>
            <w:r>
              <w:rPr>
                <w:rFonts w:ascii="Arial" w:hAnsi="Arial" w:cs="Arial"/>
                <w:b/>
                <w:color w:val="1F497D"/>
                <w:szCs w:val="24"/>
              </w:rPr>
              <w:t>Yes</w:t>
            </w:r>
          </w:p>
        </w:tc>
      </w:tr>
      <w:tr w:rsidR="00BA7696" w:rsidRPr="005C76AF" w14:paraId="3B580F6D" w14:textId="77777777" w:rsidTr="00BA7696">
        <w:trPr>
          <w:trHeight w:val="625"/>
        </w:trPr>
        <w:tc>
          <w:tcPr>
            <w:tcW w:w="568" w:type="dxa"/>
            <w:shd w:val="clear" w:color="auto" w:fill="auto"/>
          </w:tcPr>
          <w:p w14:paraId="162B8BBB" w14:textId="01814449" w:rsidR="00BA7696" w:rsidRPr="005C76AF" w:rsidRDefault="00BA7696" w:rsidP="00D235B3">
            <w:pPr>
              <w:tabs>
                <w:tab w:val="right" w:pos="9907"/>
              </w:tabs>
              <w:spacing w:after="120" w:line="240" w:lineRule="atLeast"/>
              <w:rPr>
                <w:rFonts w:ascii="Arial" w:hAnsi="Arial" w:cs="Arial"/>
              </w:rPr>
            </w:pPr>
            <w:r>
              <w:rPr>
                <w:rFonts w:ascii="Arial" w:hAnsi="Arial" w:cs="Arial"/>
              </w:rPr>
              <w:t>8.4</w:t>
            </w:r>
          </w:p>
        </w:tc>
        <w:tc>
          <w:tcPr>
            <w:tcW w:w="12758" w:type="dxa"/>
            <w:shd w:val="clear" w:color="auto" w:fill="auto"/>
          </w:tcPr>
          <w:p w14:paraId="1F9C546F" w14:textId="616BD218" w:rsidR="00BA7696" w:rsidRPr="00BA7696" w:rsidRDefault="00BA7696" w:rsidP="00BA7696">
            <w:pPr>
              <w:tabs>
                <w:tab w:val="right" w:pos="9907"/>
              </w:tabs>
              <w:spacing w:after="120" w:line="240" w:lineRule="atLeast"/>
              <w:rPr>
                <w:rFonts w:ascii="Arial" w:hAnsi="Arial" w:cs="Arial"/>
              </w:rPr>
            </w:pPr>
            <w:r w:rsidRPr="005C76AF">
              <w:rPr>
                <w:rFonts w:ascii="Arial" w:hAnsi="Arial" w:cs="Arial"/>
              </w:rPr>
              <w:t>A strategy is in place for the deployment of volunteers, making appropriate use of established local and national partnerships.</w:t>
            </w:r>
          </w:p>
        </w:tc>
        <w:tc>
          <w:tcPr>
            <w:tcW w:w="1559" w:type="dxa"/>
            <w:shd w:val="clear" w:color="auto" w:fill="auto"/>
          </w:tcPr>
          <w:p w14:paraId="4B5FF573" w14:textId="56851FCA" w:rsidR="00BA7696" w:rsidRPr="005C76AF" w:rsidRDefault="00AC2D02" w:rsidP="00AC2D02">
            <w:pPr>
              <w:tabs>
                <w:tab w:val="right" w:pos="9907"/>
              </w:tabs>
              <w:spacing w:after="120" w:line="240" w:lineRule="atLeast"/>
              <w:jc w:val="center"/>
              <w:rPr>
                <w:rFonts w:ascii="Arial" w:hAnsi="Arial" w:cs="Arial"/>
                <w:b/>
                <w:color w:val="1F497D"/>
                <w:szCs w:val="24"/>
              </w:rPr>
            </w:pPr>
            <w:r>
              <w:rPr>
                <w:rFonts w:ascii="Arial" w:hAnsi="Arial" w:cs="Arial"/>
                <w:b/>
                <w:color w:val="1F497D"/>
                <w:szCs w:val="24"/>
              </w:rPr>
              <w:t>Yes</w:t>
            </w:r>
          </w:p>
        </w:tc>
      </w:tr>
      <w:tr w:rsidR="00BA7696" w:rsidRPr="005C76AF" w14:paraId="10B6EE75" w14:textId="77777777" w:rsidTr="00BA7696">
        <w:trPr>
          <w:trHeight w:val="797"/>
        </w:trPr>
        <w:tc>
          <w:tcPr>
            <w:tcW w:w="568" w:type="dxa"/>
            <w:shd w:val="clear" w:color="auto" w:fill="auto"/>
          </w:tcPr>
          <w:p w14:paraId="710F9966" w14:textId="50C069AB" w:rsidR="00BA7696" w:rsidRPr="005C76AF" w:rsidRDefault="00BA7696" w:rsidP="00D235B3">
            <w:pPr>
              <w:tabs>
                <w:tab w:val="right" w:pos="9907"/>
              </w:tabs>
              <w:spacing w:after="120" w:line="240" w:lineRule="atLeast"/>
              <w:rPr>
                <w:rFonts w:ascii="Arial" w:hAnsi="Arial" w:cs="Arial"/>
              </w:rPr>
            </w:pPr>
            <w:r>
              <w:rPr>
                <w:rFonts w:ascii="Arial" w:hAnsi="Arial" w:cs="Arial"/>
              </w:rPr>
              <w:t>8.5</w:t>
            </w:r>
          </w:p>
        </w:tc>
        <w:tc>
          <w:tcPr>
            <w:tcW w:w="12758" w:type="dxa"/>
            <w:shd w:val="clear" w:color="auto" w:fill="auto"/>
          </w:tcPr>
          <w:p w14:paraId="7E7CDFC1" w14:textId="4E866AAC" w:rsidR="00BA7696" w:rsidRPr="005C76AF" w:rsidRDefault="00BA7696" w:rsidP="00D235B3">
            <w:pPr>
              <w:pStyle w:val="Default"/>
              <w:spacing w:after="120" w:line="240" w:lineRule="atLeast"/>
              <w:rPr>
                <w:sz w:val="22"/>
                <w:szCs w:val="22"/>
              </w:rPr>
            </w:pPr>
            <w:r w:rsidRPr="005C76AF">
              <w:t>Staff are appropriately supported to access the range of available local and national staff wellbeing resources.</w:t>
            </w:r>
          </w:p>
        </w:tc>
        <w:tc>
          <w:tcPr>
            <w:tcW w:w="1559" w:type="dxa"/>
            <w:shd w:val="clear" w:color="auto" w:fill="auto"/>
          </w:tcPr>
          <w:p w14:paraId="17A0D924" w14:textId="41FC68CF" w:rsidR="00BA7696" w:rsidRPr="005C76AF" w:rsidRDefault="00085694" w:rsidP="00085694">
            <w:pPr>
              <w:tabs>
                <w:tab w:val="right" w:pos="9907"/>
              </w:tabs>
              <w:spacing w:after="120" w:line="240" w:lineRule="atLeast"/>
              <w:jc w:val="center"/>
              <w:rPr>
                <w:rFonts w:ascii="Arial" w:hAnsi="Arial" w:cs="Arial"/>
                <w:b/>
                <w:color w:val="1F497D"/>
                <w:szCs w:val="24"/>
              </w:rPr>
            </w:pPr>
            <w:r>
              <w:rPr>
                <w:rFonts w:ascii="Arial" w:hAnsi="Arial" w:cs="Arial"/>
                <w:b/>
                <w:color w:val="1F497D"/>
                <w:szCs w:val="24"/>
              </w:rPr>
              <w:t>Yes</w:t>
            </w:r>
          </w:p>
        </w:tc>
      </w:tr>
      <w:tr w:rsidR="00337DC9" w:rsidRPr="005C76AF" w14:paraId="330C2670" w14:textId="77777777" w:rsidTr="00A969A5">
        <w:trPr>
          <w:trHeight w:val="537"/>
        </w:trPr>
        <w:tc>
          <w:tcPr>
            <w:tcW w:w="568" w:type="dxa"/>
            <w:shd w:val="clear" w:color="auto" w:fill="auto"/>
          </w:tcPr>
          <w:p w14:paraId="2ADC9394" w14:textId="3CA24991" w:rsidR="00337DC9" w:rsidRPr="005C76AF" w:rsidRDefault="00BA7696" w:rsidP="00D235B3">
            <w:pPr>
              <w:tabs>
                <w:tab w:val="right" w:pos="9907"/>
              </w:tabs>
              <w:spacing w:after="120" w:line="240" w:lineRule="atLeast"/>
              <w:rPr>
                <w:rFonts w:ascii="Arial" w:hAnsi="Arial" w:cs="Arial"/>
              </w:rPr>
            </w:pPr>
            <w:r>
              <w:rPr>
                <w:rFonts w:ascii="Arial" w:hAnsi="Arial" w:cs="Arial"/>
              </w:rPr>
              <w:t>8.6</w:t>
            </w:r>
          </w:p>
        </w:tc>
        <w:tc>
          <w:tcPr>
            <w:tcW w:w="12758" w:type="dxa"/>
            <w:shd w:val="clear" w:color="auto" w:fill="FFFFFF" w:themeFill="background1"/>
          </w:tcPr>
          <w:p w14:paraId="6A78D03D" w14:textId="4CE2123A" w:rsidR="00337DC9" w:rsidRPr="005C76AF" w:rsidRDefault="00C9710F" w:rsidP="00BA7696">
            <w:pPr>
              <w:pStyle w:val="Default"/>
              <w:spacing w:after="120" w:line="240" w:lineRule="atLeast"/>
            </w:pPr>
            <w:hyperlink r:id="rId13" w:history="1">
              <w:r w:rsidR="00337DC9" w:rsidRPr="005C76AF">
                <w:rPr>
                  <w:rStyle w:val="Hyperlink"/>
                  <w:sz w:val="22"/>
                  <w:szCs w:val="22"/>
                </w:rPr>
                <w:t xml:space="preserve">The </w:t>
              </w:r>
              <w:proofErr w:type="spellStart"/>
              <w:r w:rsidR="00337DC9" w:rsidRPr="005C76AF">
                <w:rPr>
                  <w:rStyle w:val="Hyperlink"/>
                  <w:sz w:val="22"/>
                  <w:szCs w:val="22"/>
                </w:rPr>
                <w:t>NHSScotland</w:t>
              </w:r>
              <w:proofErr w:type="spellEnd"/>
              <w:r w:rsidR="00337DC9" w:rsidRPr="005C76AF">
                <w:rPr>
                  <w:rStyle w:val="Hyperlink"/>
                  <w:sz w:val="22"/>
                  <w:szCs w:val="22"/>
                </w:rPr>
                <w:t xml:space="preserve"> National Arrangements for Adverse Weather</w:t>
              </w:r>
            </w:hyperlink>
            <w:r w:rsidR="00337DC9" w:rsidRPr="005C76AF">
              <w:rPr>
                <w:sz w:val="22"/>
                <w:szCs w:val="22"/>
              </w:rPr>
              <w:t xml:space="preserve"> </w:t>
            </w:r>
            <w:r w:rsidR="00337DC9" w:rsidRPr="005C76AF">
              <w:rPr>
                <w:sz w:val="22"/>
                <w:szCs w:val="22"/>
                <w:highlight w:val="lightGray"/>
              </w:rPr>
              <w:t xml:space="preserve">are being updated to support Winter preparedness. The revised DL is expected to be published </w:t>
            </w:r>
            <w:r w:rsidR="00337DC9" w:rsidRPr="00BA7696">
              <w:rPr>
                <w:sz w:val="22"/>
                <w:szCs w:val="22"/>
              </w:rPr>
              <w:t>by the end of October 2022.</w:t>
            </w:r>
            <w:r w:rsidR="00BA7696" w:rsidRPr="005C76AF" w:rsidDel="00BA7696">
              <w:rPr>
                <w:sz w:val="22"/>
                <w:szCs w:val="22"/>
              </w:rPr>
              <w:t xml:space="preserve"> </w:t>
            </w:r>
          </w:p>
        </w:tc>
        <w:tc>
          <w:tcPr>
            <w:tcW w:w="1559" w:type="dxa"/>
            <w:shd w:val="clear" w:color="auto" w:fill="auto"/>
          </w:tcPr>
          <w:p w14:paraId="37D9A142" w14:textId="12C40EE1" w:rsidR="00337DC9" w:rsidRPr="005C76AF" w:rsidRDefault="005528C7" w:rsidP="00D235B3">
            <w:pPr>
              <w:tabs>
                <w:tab w:val="right" w:pos="9907"/>
              </w:tabs>
              <w:spacing w:after="120" w:line="240" w:lineRule="atLeast"/>
              <w:jc w:val="center"/>
              <w:rPr>
                <w:rFonts w:ascii="Arial" w:hAnsi="Arial" w:cs="Arial"/>
                <w:b/>
                <w:sz w:val="20"/>
              </w:rPr>
            </w:pPr>
            <w:r>
              <w:rPr>
                <w:rFonts w:ascii="Arial" w:hAnsi="Arial" w:cs="Arial"/>
                <w:b/>
                <w:color w:val="1F497D"/>
                <w:szCs w:val="24"/>
              </w:rPr>
              <w:t>Yes</w:t>
            </w:r>
            <w:r w:rsidR="00337DC9" w:rsidRPr="005C76AF">
              <w:rPr>
                <w:rFonts w:ascii="Arial" w:hAnsi="Arial" w:cs="Arial"/>
                <w:b/>
                <w:color w:val="1F497D"/>
                <w:szCs w:val="24"/>
              </w:rPr>
              <w:t xml:space="preserve"> </w:t>
            </w:r>
            <w:r w:rsidR="00337DC9" w:rsidRPr="005C76AF">
              <w:rPr>
                <w:rFonts w:ascii="Arial" w:hAnsi="Arial" w:cs="Arial"/>
                <w:b/>
                <w:color w:val="FF0000"/>
                <w:sz w:val="20"/>
              </w:rPr>
              <w:t xml:space="preserve"> </w:t>
            </w:r>
          </w:p>
        </w:tc>
      </w:tr>
      <w:tr w:rsidR="00BA7696" w:rsidRPr="005C76AF" w14:paraId="41FC651A" w14:textId="77777777" w:rsidTr="00BA7696">
        <w:trPr>
          <w:trHeight w:val="558"/>
        </w:trPr>
        <w:tc>
          <w:tcPr>
            <w:tcW w:w="568" w:type="dxa"/>
            <w:shd w:val="clear" w:color="auto" w:fill="auto"/>
          </w:tcPr>
          <w:p w14:paraId="7A9DCCCD" w14:textId="4FEAB2AC" w:rsidR="00BA7696" w:rsidRPr="005C76AF" w:rsidRDefault="00BA7696" w:rsidP="00D235B3">
            <w:pPr>
              <w:tabs>
                <w:tab w:val="right" w:pos="9907"/>
              </w:tabs>
              <w:spacing w:after="120" w:line="240" w:lineRule="atLeast"/>
              <w:rPr>
                <w:rFonts w:ascii="Arial" w:hAnsi="Arial" w:cs="Arial"/>
              </w:rPr>
            </w:pPr>
            <w:r>
              <w:rPr>
                <w:rFonts w:ascii="Arial" w:hAnsi="Arial" w:cs="Arial"/>
              </w:rPr>
              <w:t>8.7</w:t>
            </w:r>
          </w:p>
        </w:tc>
        <w:tc>
          <w:tcPr>
            <w:tcW w:w="12758" w:type="dxa"/>
            <w:shd w:val="clear" w:color="auto" w:fill="auto"/>
          </w:tcPr>
          <w:p w14:paraId="12C6CA0A" w14:textId="555C5CDA" w:rsidR="00BA7696" w:rsidRPr="00BA7696" w:rsidRDefault="00BA7696" w:rsidP="00D235B3">
            <w:pPr>
              <w:pStyle w:val="Default"/>
              <w:spacing w:after="120" w:line="240" w:lineRule="atLeast"/>
              <w:rPr>
                <w:sz w:val="22"/>
                <w:szCs w:val="22"/>
              </w:rPr>
            </w:pPr>
            <w:r w:rsidRPr="005C76AF">
              <w:rPr>
                <w:sz w:val="22"/>
                <w:szCs w:val="22"/>
              </w:rPr>
              <w:t>Extra capacity is being scheduled for the ‘return to work’ days after the four day festive break and this should be factored into annual leave management arrangements across Primary, Secondary and Social Care services.</w:t>
            </w:r>
          </w:p>
        </w:tc>
        <w:tc>
          <w:tcPr>
            <w:tcW w:w="1559" w:type="dxa"/>
            <w:shd w:val="clear" w:color="auto" w:fill="auto"/>
          </w:tcPr>
          <w:p w14:paraId="6F4194F5" w14:textId="50701B89" w:rsidR="00BA7696" w:rsidRPr="005C76AF" w:rsidRDefault="009A1DE6" w:rsidP="00D235B3">
            <w:pPr>
              <w:tabs>
                <w:tab w:val="right" w:pos="9907"/>
              </w:tabs>
              <w:spacing w:after="120" w:line="240" w:lineRule="atLeast"/>
              <w:jc w:val="center"/>
              <w:rPr>
                <w:rFonts w:ascii="Arial" w:hAnsi="Arial" w:cs="Arial"/>
                <w:b/>
                <w:color w:val="1F497D"/>
                <w:szCs w:val="24"/>
              </w:rPr>
            </w:pPr>
            <w:r>
              <w:rPr>
                <w:rFonts w:ascii="Arial" w:hAnsi="Arial" w:cs="Arial"/>
                <w:b/>
                <w:color w:val="1F497D"/>
                <w:szCs w:val="24"/>
              </w:rPr>
              <w:t>N/A</w:t>
            </w:r>
          </w:p>
        </w:tc>
      </w:tr>
      <w:tr w:rsidR="00BA7696" w:rsidRPr="005C76AF" w14:paraId="1EF066D6" w14:textId="77777777" w:rsidTr="00BA7696">
        <w:trPr>
          <w:trHeight w:val="1755"/>
        </w:trPr>
        <w:tc>
          <w:tcPr>
            <w:tcW w:w="568" w:type="dxa"/>
            <w:shd w:val="clear" w:color="auto" w:fill="auto"/>
          </w:tcPr>
          <w:p w14:paraId="70605479" w14:textId="02094897" w:rsidR="00BA7696" w:rsidRPr="005C76AF" w:rsidRDefault="00BA7696" w:rsidP="00D235B3">
            <w:pPr>
              <w:tabs>
                <w:tab w:val="right" w:pos="9907"/>
              </w:tabs>
              <w:spacing w:after="120" w:line="240" w:lineRule="atLeast"/>
              <w:rPr>
                <w:rFonts w:ascii="Arial" w:hAnsi="Arial" w:cs="Arial"/>
              </w:rPr>
            </w:pPr>
            <w:r>
              <w:rPr>
                <w:rFonts w:ascii="Arial" w:hAnsi="Arial" w:cs="Arial"/>
              </w:rPr>
              <w:t>8.8</w:t>
            </w:r>
          </w:p>
        </w:tc>
        <w:tc>
          <w:tcPr>
            <w:tcW w:w="12758" w:type="dxa"/>
            <w:shd w:val="clear" w:color="auto" w:fill="auto"/>
          </w:tcPr>
          <w:p w14:paraId="20A5D14F" w14:textId="77777777" w:rsidR="00BA7696" w:rsidRPr="005C76AF" w:rsidRDefault="00BA7696" w:rsidP="00BA7696">
            <w:pPr>
              <w:pStyle w:val="Default"/>
              <w:spacing w:line="240" w:lineRule="atLeast"/>
              <w:rPr>
                <w:sz w:val="22"/>
                <w:szCs w:val="22"/>
              </w:rPr>
            </w:pPr>
            <w:r w:rsidRPr="005C76AF">
              <w:rPr>
                <w:sz w:val="22"/>
                <w:szCs w:val="22"/>
              </w:rPr>
              <w:t>Boards can evidence:</w:t>
            </w:r>
          </w:p>
          <w:p w14:paraId="145B7F32" w14:textId="77777777" w:rsidR="00BA7696" w:rsidRPr="005C76AF" w:rsidRDefault="00BA7696" w:rsidP="00BA7696">
            <w:pPr>
              <w:numPr>
                <w:ilvl w:val="0"/>
                <w:numId w:val="14"/>
              </w:numPr>
              <w:spacing w:after="120" w:line="240" w:lineRule="atLeast"/>
              <w:ind w:left="1208" w:hanging="357"/>
              <w:contextualSpacing/>
              <w:rPr>
                <w:rFonts w:ascii="Arial" w:hAnsi="Arial" w:cs="Arial"/>
              </w:rPr>
            </w:pPr>
            <w:r w:rsidRPr="005C76AF">
              <w:rPr>
                <w:rFonts w:ascii="Arial" w:hAnsi="Arial" w:cs="Arial"/>
              </w:rPr>
              <w:t xml:space="preserve">Work undertaken with local </w:t>
            </w:r>
            <w:r w:rsidRPr="005C76AF">
              <w:rPr>
                <w:rFonts w:ascii="Arial" w:hAnsi="Arial" w:cs="Arial"/>
                <w:b/>
              </w:rPr>
              <w:t>college and HEI student workforce</w:t>
            </w:r>
            <w:r w:rsidRPr="005C76AF">
              <w:rPr>
                <w:rFonts w:ascii="Arial" w:hAnsi="Arial" w:cs="Arial"/>
              </w:rPr>
              <w:t xml:space="preserve"> to offer holiday shifts and regular part time contracts, </w:t>
            </w:r>
          </w:p>
          <w:p w14:paraId="152B5D2F" w14:textId="77777777" w:rsidR="00BA7696" w:rsidRPr="005C76AF" w:rsidRDefault="00BA7696" w:rsidP="00BA7696">
            <w:pPr>
              <w:numPr>
                <w:ilvl w:val="0"/>
                <w:numId w:val="14"/>
              </w:numPr>
              <w:spacing w:after="120" w:line="240" w:lineRule="atLeast"/>
              <w:ind w:left="1208" w:hanging="357"/>
              <w:contextualSpacing/>
              <w:rPr>
                <w:rFonts w:ascii="Arial" w:hAnsi="Arial" w:cs="Arial"/>
              </w:rPr>
            </w:pPr>
            <w:r w:rsidRPr="005C76AF">
              <w:rPr>
                <w:rFonts w:ascii="Arial" w:hAnsi="Arial" w:cs="Arial"/>
                <w:b/>
              </w:rPr>
              <w:t>Medical students</w:t>
            </w:r>
            <w:r w:rsidRPr="005C76AF">
              <w:rPr>
                <w:rFonts w:ascii="Arial" w:hAnsi="Arial" w:cs="Arial"/>
              </w:rPr>
              <w:t xml:space="preserve"> as support workers for medical teams</w:t>
            </w:r>
          </w:p>
          <w:p w14:paraId="3A9593BA" w14:textId="216A1967" w:rsidR="00BA7696" w:rsidRPr="00BA7696" w:rsidRDefault="00BA7696" w:rsidP="00D235B3">
            <w:pPr>
              <w:numPr>
                <w:ilvl w:val="0"/>
                <w:numId w:val="14"/>
              </w:numPr>
              <w:spacing w:after="120" w:line="240" w:lineRule="atLeast"/>
              <w:ind w:left="1208" w:hanging="357"/>
              <w:contextualSpacing/>
              <w:rPr>
                <w:rFonts w:ascii="Arial" w:hAnsi="Arial" w:cs="Arial"/>
              </w:rPr>
            </w:pPr>
            <w:r w:rsidRPr="005C76AF">
              <w:rPr>
                <w:rFonts w:ascii="Arial" w:hAnsi="Arial" w:cs="Arial"/>
                <w:b/>
              </w:rPr>
              <w:t>Investment in and funding of local voluntary and third sector</w:t>
            </w:r>
            <w:r w:rsidRPr="005C76AF">
              <w:rPr>
                <w:rFonts w:ascii="Arial" w:hAnsi="Arial" w:cs="Arial"/>
              </w:rPr>
              <w:t xml:space="preserve"> organisations to support </w:t>
            </w:r>
            <w:proofErr w:type="spellStart"/>
            <w:r w:rsidRPr="005C76AF">
              <w:rPr>
                <w:rFonts w:ascii="Arial" w:hAnsi="Arial" w:cs="Arial"/>
              </w:rPr>
              <w:t>care@home</w:t>
            </w:r>
            <w:proofErr w:type="spellEnd"/>
            <w:r w:rsidRPr="005C76AF">
              <w:rPr>
                <w:rFonts w:ascii="Arial" w:hAnsi="Arial" w:cs="Arial"/>
              </w:rPr>
              <w:t xml:space="preserve"> teams and provide practical support to people who are ready for discharge, and across the wider community. </w:t>
            </w:r>
          </w:p>
        </w:tc>
        <w:tc>
          <w:tcPr>
            <w:tcW w:w="1559" w:type="dxa"/>
            <w:shd w:val="clear" w:color="auto" w:fill="auto"/>
          </w:tcPr>
          <w:p w14:paraId="17512475" w14:textId="11A43035" w:rsidR="00BA7696" w:rsidRPr="005C76AF" w:rsidRDefault="00A969A5" w:rsidP="00D235B3">
            <w:pPr>
              <w:tabs>
                <w:tab w:val="right" w:pos="9907"/>
              </w:tabs>
              <w:spacing w:after="120" w:line="240" w:lineRule="atLeast"/>
              <w:jc w:val="center"/>
              <w:rPr>
                <w:rFonts w:ascii="Arial" w:hAnsi="Arial" w:cs="Arial"/>
                <w:b/>
                <w:color w:val="1F497D"/>
                <w:szCs w:val="24"/>
              </w:rPr>
            </w:pPr>
            <w:r>
              <w:rPr>
                <w:rFonts w:ascii="Arial" w:hAnsi="Arial" w:cs="Arial"/>
                <w:b/>
                <w:color w:val="1F497D"/>
                <w:szCs w:val="24"/>
              </w:rPr>
              <w:t>Yes</w:t>
            </w:r>
          </w:p>
        </w:tc>
      </w:tr>
      <w:tr w:rsidR="00337DC9" w:rsidRPr="005C76AF" w14:paraId="08B875D6" w14:textId="77777777" w:rsidTr="00BA7696">
        <w:trPr>
          <w:trHeight w:val="558"/>
        </w:trPr>
        <w:tc>
          <w:tcPr>
            <w:tcW w:w="568" w:type="dxa"/>
            <w:shd w:val="clear" w:color="auto" w:fill="auto"/>
          </w:tcPr>
          <w:p w14:paraId="742B58C5" w14:textId="58C07713" w:rsidR="00337DC9" w:rsidRPr="005C76AF" w:rsidRDefault="00BA7696" w:rsidP="00D235B3">
            <w:pPr>
              <w:tabs>
                <w:tab w:val="right" w:pos="9907"/>
              </w:tabs>
              <w:spacing w:after="120" w:line="240" w:lineRule="atLeast"/>
              <w:rPr>
                <w:rFonts w:ascii="Arial" w:hAnsi="Arial" w:cs="Arial"/>
              </w:rPr>
            </w:pPr>
            <w:r>
              <w:rPr>
                <w:rFonts w:ascii="Arial" w:hAnsi="Arial" w:cs="Arial"/>
              </w:rPr>
              <w:t>8.9</w:t>
            </w:r>
          </w:p>
        </w:tc>
        <w:tc>
          <w:tcPr>
            <w:tcW w:w="12758" w:type="dxa"/>
            <w:shd w:val="clear" w:color="auto" w:fill="auto"/>
          </w:tcPr>
          <w:p w14:paraId="3DF985B6" w14:textId="77777777" w:rsidR="00337DC9" w:rsidRPr="005C76AF" w:rsidRDefault="00337DC9" w:rsidP="00D235B3">
            <w:pPr>
              <w:pStyle w:val="Default"/>
              <w:spacing w:after="120" w:line="240" w:lineRule="atLeast"/>
            </w:pPr>
            <w:r w:rsidRPr="005C76AF">
              <w:rPr>
                <w:sz w:val="22"/>
                <w:szCs w:val="22"/>
              </w:rPr>
              <w:t>Consideration has been given to making greater use of GPs in their final year of training (GPST3s), with appropriate supervision, to improve the pool of available OOH clinical staff.</w:t>
            </w:r>
          </w:p>
        </w:tc>
        <w:tc>
          <w:tcPr>
            <w:tcW w:w="1559" w:type="dxa"/>
            <w:shd w:val="clear" w:color="auto" w:fill="auto"/>
          </w:tcPr>
          <w:p w14:paraId="288B729B" w14:textId="5F6171D7" w:rsidR="00337DC9" w:rsidRPr="005C76AF" w:rsidRDefault="00337DC9" w:rsidP="00D235B3">
            <w:pPr>
              <w:tabs>
                <w:tab w:val="right" w:pos="9907"/>
              </w:tabs>
              <w:spacing w:after="120" w:line="240" w:lineRule="atLeast"/>
              <w:jc w:val="center"/>
              <w:rPr>
                <w:rFonts w:ascii="Arial" w:hAnsi="Arial" w:cs="Arial"/>
              </w:rPr>
            </w:pPr>
            <w:r w:rsidRPr="005C76AF">
              <w:rPr>
                <w:rFonts w:ascii="Arial" w:hAnsi="Arial" w:cs="Arial"/>
                <w:b/>
                <w:color w:val="1F497D"/>
                <w:szCs w:val="24"/>
              </w:rPr>
              <w:t xml:space="preserve">N/A </w:t>
            </w:r>
            <w:r w:rsidRPr="005C76AF">
              <w:rPr>
                <w:rFonts w:ascii="Arial" w:hAnsi="Arial" w:cs="Arial"/>
                <w:b/>
                <w:color w:val="FF0000"/>
                <w:sz w:val="20"/>
              </w:rPr>
              <w:t xml:space="preserve"> </w:t>
            </w:r>
          </w:p>
        </w:tc>
      </w:tr>
    </w:tbl>
    <w:p w14:paraId="4D4D786F" w14:textId="77777777" w:rsidR="00BA7696" w:rsidRDefault="00BA7696">
      <w:r>
        <w:br w:type="page"/>
      </w:r>
    </w:p>
    <w:tbl>
      <w:tblPr>
        <w:tblStyle w:val="TableGrid"/>
        <w:tblW w:w="14885" w:type="dxa"/>
        <w:tblInd w:w="-431" w:type="dxa"/>
        <w:tblLook w:val="04A0" w:firstRow="1" w:lastRow="0" w:firstColumn="1" w:lastColumn="0" w:noHBand="0" w:noVBand="1"/>
      </w:tblPr>
      <w:tblGrid>
        <w:gridCol w:w="568"/>
        <w:gridCol w:w="12757"/>
        <w:gridCol w:w="1560"/>
      </w:tblGrid>
      <w:tr w:rsidR="00337DC9" w:rsidRPr="005C76AF" w14:paraId="01B733D8" w14:textId="77777777" w:rsidTr="00BA7696">
        <w:tc>
          <w:tcPr>
            <w:tcW w:w="568" w:type="dxa"/>
            <w:shd w:val="clear" w:color="auto" w:fill="DEEAF6" w:themeFill="accent1" w:themeFillTint="33"/>
          </w:tcPr>
          <w:p w14:paraId="278D37D5" w14:textId="6052387A" w:rsidR="00337DC9" w:rsidRPr="005C76AF" w:rsidRDefault="00337DC9" w:rsidP="00D235B3">
            <w:pPr>
              <w:tabs>
                <w:tab w:val="right" w:pos="9907"/>
              </w:tabs>
              <w:spacing w:after="120" w:line="240" w:lineRule="atLeast"/>
              <w:rPr>
                <w:rFonts w:ascii="Arial" w:hAnsi="Arial" w:cs="Arial"/>
                <w:b/>
                <w:color w:val="1F497D"/>
                <w:sz w:val="28"/>
                <w:szCs w:val="24"/>
              </w:rPr>
            </w:pPr>
            <w:r w:rsidRPr="005C76AF">
              <w:rPr>
                <w:rFonts w:ascii="Arial" w:hAnsi="Arial" w:cs="Arial"/>
                <w:b/>
                <w:color w:val="1F497D"/>
                <w:sz w:val="28"/>
                <w:szCs w:val="24"/>
              </w:rPr>
              <w:lastRenderedPageBreak/>
              <w:t>9</w:t>
            </w:r>
          </w:p>
        </w:tc>
        <w:tc>
          <w:tcPr>
            <w:tcW w:w="12757" w:type="dxa"/>
            <w:shd w:val="clear" w:color="auto" w:fill="DEEAF6" w:themeFill="accent1" w:themeFillTint="33"/>
          </w:tcPr>
          <w:p w14:paraId="6FA3BCD8" w14:textId="77777777" w:rsidR="00337DC9" w:rsidRPr="005C76AF" w:rsidRDefault="00337DC9" w:rsidP="00D235B3">
            <w:pPr>
              <w:tabs>
                <w:tab w:val="right" w:pos="9907"/>
              </w:tabs>
              <w:spacing w:after="120" w:line="240" w:lineRule="atLeast"/>
              <w:rPr>
                <w:rFonts w:ascii="Arial" w:hAnsi="Arial" w:cs="Arial"/>
                <w:b/>
                <w:color w:val="1F497D"/>
                <w:sz w:val="28"/>
                <w:szCs w:val="24"/>
              </w:rPr>
            </w:pPr>
            <w:r w:rsidRPr="005C76AF">
              <w:rPr>
                <w:rFonts w:ascii="Arial" w:hAnsi="Arial" w:cs="Arial"/>
                <w:b/>
                <w:color w:val="1F497D"/>
                <w:sz w:val="28"/>
                <w:szCs w:val="24"/>
              </w:rPr>
              <w:t>Digital and Technology</w:t>
            </w:r>
          </w:p>
        </w:tc>
        <w:tc>
          <w:tcPr>
            <w:tcW w:w="1560" w:type="dxa"/>
            <w:shd w:val="clear" w:color="auto" w:fill="DEEAF6" w:themeFill="accent1" w:themeFillTint="33"/>
          </w:tcPr>
          <w:p w14:paraId="77909BD5" w14:textId="77777777" w:rsidR="00337DC9" w:rsidRPr="005C76AF" w:rsidRDefault="00337DC9" w:rsidP="00D235B3">
            <w:pPr>
              <w:spacing w:after="120" w:line="240" w:lineRule="atLeast"/>
              <w:rPr>
                <w:rFonts w:ascii="Arial" w:hAnsi="Arial" w:cs="Arial"/>
                <w:b/>
                <w:sz w:val="32"/>
                <w:szCs w:val="32"/>
              </w:rPr>
            </w:pPr>
          </w:p>
        </w:tc>
      </w:tr>
      <w:tr w:rsidR="00337DC9" w:rsidRPr="005C76AF" w14:paraId="06D30682" w14:textId="77777777" w:rsidTr="00BA7696">
        <w:tc>
          <w:tcPr>
            <w:tcW w:w="568" w:type="dxa"/>
          </w:tcPr>
          <w:p w14:paraId="6C4C8383" w14:textId="77777777" w:rsidR="00337DC9" w:rsidRPr="005C76AF" w:rsidRDefault="00337DC9" w:rsidP="00D235B3">
            <w:pPr>
              <w:spacing w:after="60" w:line="240" w:lineRule="atLeast"/>
              <w:rPr>
                <w:rFonts w:ascii="Arial" w:hAnsi="Arial" w:cs="Arial"/>
              </w:rPr>
            </w:pPr>
            <w:r w:rsidRPr="005C76AF">
              <w:rPr>
                <w:rFonts w:ascii="Arial" w:hAnsi="Arial" w:cs="Arial"/>
              </w:rPr>
              <w:t>9.1</w:t>
            </w:r>
          </w:p>
        </w:tc>
        <w:tc>
          <w:tcPr>
            <w:tcW w:w="12757" w:type="dxa"/>
          </w:tcPr>
          <w:p w14:paraId="4E5E3293" w14:textId="77777777" w:rsidR="00337DC9" w:rsidRPr="005C76AF" w:rsidRDefault="00337DC9" w:rsidP="00D235B3">
            <w:pPr>
              <w:spacing w:after="60" w:line="240" w:lineRule="atLeast"/>
              <w:rPr>
                <w:rFonts w:ascii="Arial" w:hAnsi="Arial" w:cs="Arial"/>
              </w:rPr>
            </w:pPr>
            <w:r w:rsidRPr="005C76AF">
              <w:rPr>
                <w:rFonts w:ascii="Arial" w:hAnsi="Arial" w:cs="Arial"/>
              </w:rPr>
              <w:t>Plans are in place to support the availability of Near Me video consultations for planned and unscheduled care to provide greater choice and also bring benefit during bad weather and preventing the spread of infection.</w:t>
            </w:r>
          </w:p>
        </w:tc>
        <w:tc>
          <w:tcPr>
            <w:tcW w:w="1560" w:type="dxa"/>
          </w:tcPr>
          <w:p w14:paraId="0EC7173C" w14:textId="56881999" w:rsidR="00337DC9" w:rsidRPr="005C76AF" w:rsidRDefault="00337DC9" w:rsidP="004A3104">
            <w:pPr>
              <w:spacing w:after="120" w:line="240" w:lineRule="atLeast"/>
              <w:jc w:val="center"/>
              <w:rPr>
                <w:rFonts w:ascii="Arial" w:hAnsi="Arial" w:cs="Arial"/>
                <w:b/>
                <w:sz w:val="32"/>
                <w:szCs w:val="32"/>
              </w:rPr>
            </w:pPr>
            <w:r w:rsidRPr="005C76AF">
              <w:rPr>
                <w:rFonts w:ascii="Arial" w:hAnsi="Arial" w:cs="Arial"/>
                <w:b/>
                <w:color w:val="1F497D"/>
                <w:szCs w:val="24"/>
              </w:rPr>
              <w:t>Yes</w:t>
            </w:r>
          </w:p>
        </w:tc>
      </w:tr>
      <w:tr w:rsidR="00337DC9" w:rsidRPr="005C76AF" w14:paraId="59F0B66F" w14:textId="77777777" w:rsidTr="00BA7696">
        <w:trPr>
          <w:trHeight w:val="67"/>
        </w:trPr>
        <w:tc>
          <w:tcPr>
            <w:tcW w:w="568" w:type="dxa"/>
          </w:tcPr>
          <w:p w14:paraId="68AD550F" w14:textId="77777777" w:rsidR="00337DC9" w:rsidRPr="005C76AF" w:rsidRDefault="00337DC9" w:rsidP="00D235B3">
            <w:pPr>
              <w:spacing w:after="60" w:line="240" w:lineRule="atLeast"/>
              <w:rPr>
                <w:rFonts w:ascii="Arial" w:hAnsi="Arial" w:cs="Arial"/>
              </w:rPr>
            </w:pPr>
            <w:r w:rsidRPr="005C76AF">
              <w:rPr>
                <w:rFonts w:ascii="Arial" w:hAnsi="Arial" w:cs="Arial"/>
              </w:rPr>
              <w:t>9.2</w:t>
            </w:r>
          </w:p>
        </w:tc>
        <w:tc>
          <w:tcPr>
            <w:tcW w:w="12757" w:type="dxa"/>
          </w:tcPr>
          <w:p w14:paraId="5CA50441" w14:textId="77777777" w:rsidR="00337DC9" w:rsidRPr="005C76AF" w:rsidRDefault="00337DC9" w:rsidP="00D235B3">
            <w:pPr>
              <w:spacing w:after="60" w:line="240" w:lineRule="atLeast"/>
              <w:rPr>
                <w:rFonts w:ascii="Arial" w:hAnsi="Arial" w:cs="Arial"/>
              </w:rPr>
            </w:pPr>
            <w:r w:rsidRPr="005C76AF">
              <w:rPr>
                <w:rFonts w:ascii="Arial" w:hAnsi="Arial" w:cs="Arial"/>
              </w:rPr>
              <w:t>The focus and timetable for the second Digital Maturity process are currently under consideration.</w:t>
            </w:r>
          </w:p>
        </w:tc>
        <w:tc>
          <w:tcPr>
            <w:tcW w:w="1560" w:type="dxa"/>
          </w:tcPr>
          <w:p w14:paraId="41A1095B" w14:textId="3E4ADF0B" w:rsidR="00337DC9" w:rsidRPr="005C76AF" w:rsidRDefault="00337DC9" w:rsidP="004A3104">
            <w:pPr>
              <w:spacing w:after="120" w:line="240" w:lineRule="atLeast"/>
              <w:jc w:val="center"/>
              <w:rPr>
                <w:rFonts w:ascii="Arial" w:hAnsi="Arial" w:cs="Arial"/>
                <w:b/>
                <w:sz w:val="32"/>
                <w:szCs w:val="32"/>
              </w:rPr>
            </w:pPr>
            <w:r w:rsidRPr="005C76AF">
              <w:rPr>
                <w:rFonts w:ascii="Arial" w:hAnsi="Arial" w:cs="Arial"/>
                <w:b/>
                <w:color w:val="1F497D"/>
                <w:szCs w:val="24"/>
              </w:rPr>
              <w:t>Yes</w:t>
            </w:r>
          </w:p>
        </w:tc>
      </w:tr>
      <w:tr w:rsidR="00337DC9" w:rsidRPr="005C76AF" w14:paraId="35858505" w14:textId="77777777" w:rsidTr="00BA7696">
        <w:tc>
          <w:tcPr>
            <w:tcW w:w="568" w:type="dxa"/>
          </w:tcPr>
          <w:p w14:paraId="02939A04" w14:textId="77777777" w:rsidR="00337DC9" w:rsidRPr="005C76AF" w:rsidRDefault="00337DC9" w:rsidP="00D235B3">
            <w:pPr>
              <w:spacing w:after="60" w:line="240" w:lineRule="atLeast"/>
              <w:rPr>
                <w:rFonts w:ascii="Arial" w:hAnsi="Arial" w:cs="Arial"/>
              </w:rPr>
            </w:pPr>
            <w:r w:rsidRPr="005C76AF">
              <w:rPr>
                <w:rFonts w:ascii="Arial" w:hAnsi="Arial" w:cs="Arial"/>
              </w:rPr>
              <w:t>9.3</w:t>
            </w:r>
          </w:p>
        </w:tc>
        <w:tc>
          <w:tcPr>
            <w:tcW w:w="12757" w:type="dxa"/>
          </w:tcPr>
          <w:p w14:paraId="73884F2F" w14:textId="77777777" w:rsidR="00337DC9" w:rsidRPr="005C76AF" w:rsidRDefault="00337DC9" w:rsidP="00D235B3">
            <w:pPr>
              <w:spacing w:after="60" w:line="240" w:lineRule="atLeast"/>
              <w:rPr>
                <w:rFonts w:ascii="Arial" w:hAnsi="Arial" w:cs="Arial"/>
              </w:rPr>
            </w:pPr>
            <w:r w:rsidRPr="005C76AF">
              <w:rPr>
                <w:rFonts w:ascii="Arial" w:hAnsi="Arial" w:cs="Arial"/>
              </w:rPr>
              <w:t>Plans to provide assurance that all programmes of work have fully considered digital requirements and resources have been allocated at the outset.</w:t>
            </w:r>
          </w:p>
        </w:tc>
        <w:tc>
          <w:tcPr>
            <w:tcW w:w="1560" w:type="dxa"/>
          </w:tcPr>
          <w:p w14:paraId="4F52C612" w14:textId="595B8861" w:rsidR="00337DC9" w:rsidRPr="005C76AF" w:rsidRDefault="00337DC9" w:rsidP="004A3104">
            <w:pPr>
              <w:spacing w:after="120" w:line="240" w:lineRule="atLeast"/>
              <w:jc w:val="center"/>
              <w:rPr>
                <w:rFonts w:ascii="Arial" w:hAnsi="Arial" w:cs="Arial"/>
                <w:b/>
                <w:sz w:val="32"/>
                <w:szCs w:val="32"/>
              </w:rPr>
            </w:pPr>
            <w:r w:rsidRPr="005C76AF">
              <w:rPr>
                <w:rFonts w:ascii="Arial" w:hAnsi="Arial" w:cs="Arial"/>
                <w:b/>
                <w:color w:val="1F497D"/>
                <w:szCs w:val="24"/>
              </w:rPr>
              <w:t>Yes</w:t>
            </w:r>
          </w:p>
        </w:tc>
      </w:tr>
      <w:tr w:rsidR="00337DC9" w:rsidRPr="005C76AF" w14:paraId="4861B549" w14:textId="77777777" w:rsidTr="00BA7696">
        <w:tc>
          <w:tcPr>
            <w:tcW w:w="568" w:type="dxa"/>
          </w:tcPr>
          <w:p w14:paraId="5E4CDA8B" w14:textId="77777777" w:rsidR="00337DC9" w:rsidRPr="005C76AF" w:rsidRDefault="00337DC9" w:rsidP="00D235B3">
            <w:pPr>
              <w:spacing w:after="60" w:line="240" w:lineRule="atLeast"/>
              <w:rPr>
                <w:rFonts w:ascii="Arial" w:hAnsi="Arial" w:cs="Arial"/>
              </w:rPr>
            </w:pPr>
            <w:r w:rsidRPr="005C76AF">
              <w:rPr>
                <w:rFonts w:ascii="Arial" w:hAnsi="Arial" w:cs="Arial"/>
              </w:rPr>
              <w:t>9.4</w:t>
            </w:r>
          </w:p>
        </w:tc>
        <w:tc>
          <w:tcPr>
            <w:tcW w:w="12757" w:type="dxa"/>
          </w:tcPr>
          <w:p w14:paraId="4568FC82" w14:textId="77777777" w:rsidR="00337DC9" w:rsidRPr="005C76AF" w:rsidRDefault="00337DC9" w:rsidP="00D235B3">
            <w:pPr>
              <w:spacing w:after="60" w:line="240" w:lineRule="atLeast"/>
              <w:rPr>
                <w:rFonts w:ascii="Arial" w:hAnsi="Arial" w:cs="Arial"/>
              </w:rPr>
            </w:pPr>
            <w:r w:rsidRPr="005C76AF">
              <w:rPr>
                <w:rFonts w:ascii="Arial" w:hAnsi="Arial" w:cs="Arial"/>
              </w:rPr>
              <w:t>Ensure appropriate digital equipment is available and distributed to support home working arrangements</w:t>
            </w:r>
          </w:p>
        </w:tc>
        <w:tc>
          <w:tcPr>
            <w:tcW w:w="1560" w:type="dxa"/>
          </w:tcPr>
          <w:p w14:paraId="67ABE449" w14:textId="278BD3D9" w:rsidR="00337DC9" w:rsidRPr="005C76AF" w:rsidRDefault="00337DC9" w:rsidP="004A3104">
            <w:pPr>
              <w:spacing w:after="120" w:line="240" w:lineRule="atLeast"/>
              <w:jc w:val="center"/>
              <w:rPr>
                <w:rFonts w:ascii="Arial" w:hAnsi="Arial" w:cs="Arial"/>
                <w:b/>
                <w:sz w:val="32"/>
                <w:szCs w:val="32"/>
              </w:rPr>
            </w:pPr>
            <w:r w:rsidRPr="005C76AF">
              <w:rPr>
                <w:rFonts w:ascii="Arial" w:hAnsi="Arial" w:cs="Arial"/>
                <w:b/>
                <w:color w:val="1F497D"/>
                <w:szCs w:val="24"/>
              </w:rPr>
              <w:t>Yes</w:t>
            </w:r>
          </w:p>
        </w:tc>
      </w:tr>
      <w:tr w:rsidR="00337DC9" w:rsidRPr="005C76AF" w14:paraId="047F0AE0" w14:textId="77777777" w:rsidTr="00BA7696">
        <w:tc>
          <w:tcPr>
            <w:tcW w:w="568" w:type="dxa"/>
          </w:tcPr>
          <w:p w14:paraId="67749985" w14:textId="77777777" w:rsidR="00337DC9" w:rsidRPr="005C76AF" w:rsidRDefault="00337DC9" w:rsidP="00D235B3">
            <w:pPr>
              <w:spacing w:after="120" w:line="240" w:lineRule="atLeast"/>
              <w:rPr>
                <w:rFonts w:ascii="Arial" w:hAnsi="Arial" w:cs="Arial"/>
              </w:rPr>
            </w:pPr>
            <w:r w:rsidRPr="005C76AF">
              <w:rPr>
                <w:rFonts w:ascii="Arial" w:hAnsi="Arial" w:cs="Arial"/>
              </w:rPr>
              <w:t>9.5</w:t>
            </w:r>
          </w:p>
        </w:tc>
        <w:tc>
          <w:tcPr>
            <w:tcW w:w="12757" w:type="dxa"/>
          </w:tcPr>
          <w:p w14:paraId="7F3261A6" w14:textId="6EE47BF7" w:rsidR="00337DC9" w:rsidRPr="005C76AF" w:rsidRDefault="00337DC9" w:rsidP="00D235B3">
            <w:pPr>
              <w:spacing w:after="120" w:line="240" w:lineRule="atLeast"/>
              <w:rPr>
                <w:rFonts w:ascii="Arial" w:hAnsi="Arial" w:cs="Arial"/>
              </w:rPr>
            </w:pPr>
            <w:r w:rsidRPr="005C76AF">
              <w:rPr>
                <w:rFonts w:ascii="Arial" w:hAnsi="Arial" w:cs="Arial"/>
              </w:rPr>
              <w:t>Appropriate expertise and support can be rapidly put i</w:t>
            </w:r>
            <w:r w:rsidR="00D46C19">
              <w:rPr>
                <w:rFonts w:ascii="Arial" w:hAnsi="Arial" w:cs="Arial"/>
              </w:rPr>
              <w:t>n place in the event of a cyber-</w:t>
            </w:r>
            <w:r w:rsidRPr="005C76AF">
              <w:rPr>
                <w:rFonts w:ascii="Arial" w:hAnsi="Arial" w:cs="Arial"/>
              </w:rPr>
              <w:t>attack and plans have been developed to mitigate any impact of an attack</w:t>
            </w:r>
          </w:p>
        </w:tc>
        <w:tc>
          <w:tcPr>
            <w:tcW w:w="1560" w:type="dxa"/>
          </w:tcPr>
          <w:p w14:paraId="4AD91171" w14:textId="3A4AE0CF" w:rsidR="00337DC9" w:rsidRPr="005C76AF" w:rsidRDefault="00337DC9" w:rsidP="004A3104">
            <w:pPr>
              <w:spacing w:after="120" w:line="240" w:lineRule="atLeast"/>
              <w:jc w:val="center"/>
              <w:rPr>
                <w:rFonts w:ascii="Arial" w:hAnsi="Arial" w:cs="Arial"/>
                <w:b/>
                <w:sz w:val="32"/>
                <w:szCs w:val="32"/>
              </w:rPr>
            </w:pPr>
            <w:r w:rsidRPr="005C76AF">
              <w:rPr>
                <w:rFonts w:ascii="Arial" w:hAnsi="Arial" w:cs="Arial"/>
                <w:b/>
                <w:color w:val="1F497D"/>
                <w:szCs w:val="24"/>
              </w:rPr>
              <w:t>Yes</w:t>
            </w:r>
          </w:p>
        </w:tc>
      </w:tr>
    </w:tbl>
    <w:p w14:paraId="18D0D94B" w14:textId="77777777" w:rsidR="00337DC9" w:rsidRPr="005C76AF" w:rsidRDefault="00337DC9" w:rsidP="00337DC9">
      <w:pPr>
        <w:spacing w:after="120" w:line="240" w:lineRule="atLeast"/>
        <w:rPr>
          <w:rFonts w:ascii="Arial" w:hAnsi="Arial" w:cs="Arial"/>
          <w:szCs w:val="24"/>
        </w:rPr>
      </w:pPr>
    </w:p>
    <w:p w14:paraId="1F2CC247" w14:textId="77777777" w:rsidR="00337DC9" w:rsidRPr="005C76AF" w:rsidRDefault="00337DC9" w:rsidP="00337DC9">
      <w:pPr>
        <w:spacing w:after="120" w:line="240" w:lineRule="atLeast"/>
        <w:rPr>
          <w:rFonts w:ascii="Arial" w:hAnsi="Arial" w:cs="Arial"/>
          <w:szCs w:val="24"/>
        </w:rPr>
      </w:pPr>
    </w:p>
    <w:p w14:paraId="1325E1D5" w14:textId="77777777" w:rsidR="00337DC9" w:rsidRPr="005C76AF" w:rsidRDefault="00337DC9" w:rsidP="00337DC9">
      <w:pPr>
        <w:spacing w:after="120" w:line="240" w:lineRule="atLeast"/>
        <w:rPr>
          <w:rFonts w:ascii="Arial" w:hAnsi="Arial" w:cs="Arial"/>
          <w:szCs w:val="24"/>
        </w:rPr>
      </w:pPr>
    </w:p>
    <w:p w14:paraId="2F555929" w14:textId="77777777" w:rsidR="00337DC9" w:rsidRPr="005C76AF" w:rsidRDefault="00337DC9" w:rsidP="00337DC9">
      <w:pPr>
        <w:spacing w:after="120" w:line="240" w:lineRule="atLeast"/>
        <w:rPr>
          <w:rFonts w:ascii="Arial" w:hAnsi="Arial" w:cs="Arial"/>
          <w:szCs w:val="24"/>
        </w:rPr>
      </w:pPr>
    </w:p>
    <w:p w14:paraId="784A36E2" w14:textId="77777777" w:rsidR="00337DC9" w:rsidRPr="005C76AF" w:rsidRDefault="00337DC9" w:rsidP="00337DC9">
      <w:pPr>
        <w:spacing w:after="120" w:line="240" w:lineRule="atLeast"/>
        <w:rPr>
          <w:rFonts w:ascii="Arial" w:hAnsi="Arial" w:cs="Arial"/>
          <w:szCs w:val="24"/>
        </w:rPr>
      </w:pPr>
    </w:p>
    <w:p w14:paraId="522876C2" w14:textId="77777777" w:rsidR="00337DC9" w:rsidRPr="005C76AF" w:rsidRDefault="00337DC9" w:rsidP="00337DC9">
      <w:pPr>
        <w:spacing w:after="120" w:line="240" w:lineRule="atLeast"/>
        <w:rPr>
          <w:rFonts w:ascii="Arial" w:hAnsi="Arial" w:cs="Arial"/>
          <w:szCs w:val="24"/>
        </w:rPr>
      </w:pPr>
    </w:p>
    <w:p w14:paraId="7560D7A6" w14:textId="77777777" w:rsidR="00337DC9" w:rsidRPr="005C76AF" w:rsidRDefault="00337DC9" w:rsidP="00337DC9">
      <w:pPr>
        <w:spacing w:after="120" w:line="240" w:lineRule="atLeast"/>
        <w:rPr>
          <w:rFonts w:ascii="Arial" w:hAnsi="Arial" w:cs="Arial"/>
          <w:szCs w:val="24"/>
        </w:rPr>
      </w:pPr>
    </w:p>
    <w:p w14:paraId="1F3E0014" w14:textId="77777777" w:rsidR="00337DC9" w:rsidRPr="005C76AF" w:rsidRDefault="00337DC9" w:rsidP="00337DC9">
      <w:pPr>
        <w:spacing w:after="120" w:line="240" w:lineRule="atLeast"/>
        <w:rPr>
          <w:rFonts w:ascii="Arial" w:hAnsi="Arial" w:cs="Arial"/>
          <w:szCs w:val="24"/>
        </w:rPr>
      </w:pPr>
    </w:p>
    <w:p w14:paraId="2895D403" w14:textId="77777777" w:rsidR="00337DC9" w:rsidRPr="005C76AF" w:rsidRDefault="00337DC9" w:rsidP="00337DC9">
      <w:pPr>
        <w:pBdr>
          <w:top w:val="single" w:sz="4" w:space="1" w:color="auto"/>
          <w:left w:val="single" w:sz="4" w:space="4" w:color="auto"/>
          <w:bottom w:val="single" w:sz="4" w:space="1" w:color="auto"/>
          <w:right w:val="single" w:sz="4" w:space="4" w:color="auto"/>
        </w:pBdr>
        <w:spacing w:before="120" w:after="120" w:line="240" w:lineRule="atLeast"/>
        <w:jc w:val="center"/>
        <w:rPr>
          <w:rFonts w:ascii="Arial" w:hAnsi="Arial" w:cs="Arial"/>
          <w:b/>
          <w:szCs w:val="24"/>
        </w:rPr>
      </w:pPr>
      <w:r w:rsidRPr="005C76AF">
        <w:rPr>
          <w:rFonts w:ascii="Arial" w:hAnsi="Arial" w:cs="Arial"/>
          <w:szCs w:val="24"/>
        </w:rPr>
        <w:t xml:space="preserve">Please return completed checklists to </w:t>
      </w:r>
      <w:hyperlink r:id="rId14" w:history="1">
        <w:r w:rsidRPr="005C76AF">
          <w:rPr>
            <w:rStyle w:val="Hyperlink"/>
            <w:rFonts w:ascii="Arial" w:hAnsi="Arial" w:cs="Arial"/>
            <w:szCs w:val="24"/>
          </w:rPr>
          <w:t>healthplanningsponsorship@gov.scot</w:t>
        </w:r>
      </w:hyperlink>
      <w:r w:rsidRPr="005C76AF">
        <w:rPr>
          <w:rFonts w:ascii="Arial" w:hAnsi="Arial" w:cs="Arial"/>
          <w:szCs w:val="24"/>
        </w:rPr>
        <w:t xml:space="preserve">  by </w:t>
      </w:r>
      <w:r w:rsidRPr="005C76AF">
        <w:rPr>
          <w:rFonts w:ascii="Arial" w:hAnsi="Arial" w:cs="Arial"/>
          <w:b/>
          <w:szCs w:val="24"/>
        </w:rPr>
        <w:t>MONDAY 7 NOVEMBER 2022</w:t>
      </w:r>
    </w:p>
    <w:p w14:paraId="77C5129C" w14:textId="77777777" w:rsidR="00A71CB5" w:rsidRPr="005C76AF" w:rsidRDefault="00A71CB5" w:rsidP="00337DC9">
      <w:pPr>
        <w:rPr>
          <w:rFonts w:ascii="Arial" w:hAnsi="Arial" w:cs="Arial"/>
        </w:rPr>
      </w:pPr>
    </w:p>
    <w:sectPr w:rsidR="00A71CB5" w:rsidRPr="005C76AF" w:rsidSect="000E31F6">
      <w:headerReference w:type="default" r:id="rId15"/>
      <w:footerReference w:type="default" r:id="rId16"/>
      <w:pgSz w:w="16838" w:h="11906" w:orient="landscape"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CFDCA0" w16cid:durableId="26E16764"/>
  <w16cid:commentId w16cid:paraId="2B4FEE45" w16cid:durableId="26E167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5F825" w14:textId="77777777" w:rsidR="00BA4C9D" w:rsidRDefault="00BA4C9D">
      <w:pPr>
        <w:spacing w:after="0" w:line="240" w:lineRule="auto"/>
      </w:pPr>
      <w:r>
        <w:separator/>
      </w:r>
    </w:p>
  </w:endnote>
  <w:endnote w:type="continuationSeparator" w:id="0">
    <w:p w14:paraId="0966DC6D" w14:textId="77777777" w:rsidR="00BA4C9D" w:rsidRDefault="00BA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856674"/>
      <w:docPartObj>
        <w:docPartGallery w:val="Page Numbers (Bottom of Page)"/>
        <w:docPartUnique/>
      </w:docPartObj>
    </w:sdtPr>
    <w:sdtEndPr>
      <w:rPr>
        <w:noProof/>
      </w:rPr>
    </w:sdtEndPr>
    <w:sdtContent>
      <w:p w14:paraId="2BB6015D" w14:textId="5EC1D856" w:rsidR="00A85931" w:rsidRDefault="00337DC9">
        <w:pPr>
          <w:pStyle w:val="Footer"/>
          <w:jc w:val="center"/>
        </w:pPr>
        <w:r>
          <w:fldChar w:fldCharType="begin"/>
        </w:r>
        <w:r>
          <w:instrText xml:space="preserve"> PAGE   \* MERGEFORMAT </w:instrText>
        </w:r>
        <w:r>
          <w:fldChar w:fldCharType="separate"/>
        </w:r>
        <w:r w:rsidR="00C9710F">
          <w:rPr>
            <w:noProof/>
          </w:rPr>
          <w:t>12</w:t>
        </w:r>
        <w:r>
          <w:rPr>
            <w:noProof/>
          </w:rPr>
          <w:fldChar w:fldCharType="end"/>
        </w:r>
      </w:p>
    </w:sdtContent>
  </w:sdt>
  <w:p w14:paraId="005F2163" w14:textId="77777777" w:rsidR="00A85931" w:rsidRDefault="00C97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92E87" w14:textId="77777777" w:rsidR="00BA4C9D" w:rsidRDefault="00BA4C9D">
      <w:pPr>
        <w:spacing w:after="0" w:line="240" w:lineRule="auto"/>
      </w:pPr>
      <w:r>
        <w:separator/>
      </w:r>
    </w:p>
  </w:footnote>
  <w:footnote w:type="continuationSeparator" w:id="0">
    <w:p w14:paraId="0BEEE13A" w14:textId="77777777" w:rsidR="00BA4C9D" w:rsidRDefault="00BA4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8E63F" w14:textId="56454A28" w:rsidR="00C9710F" w:rsidRPr="00C9710F" w:rsidRDefault="00C9710F" w:rsidP="00C9710F">
    <w:pPr>
      <w:pStyle w:val="Header"/>
      <w:jc w:val="right"/>
      <w:rPr>
        <w:rFonts w:ascii="Arial" w:hAnsi="Arial" w:cs="Arial"/>
        <w:b/>
        <w:color w:val="2E74B5" w:themeColor="accent1" w:themeShade="BF"/>
      </w:rPr>
    </w:pPr>
    <w:r w:rsidRPr="00C9710F">
      <w:rPr>
        <w:rFonts w:ascii="Arial" w:hAnsi="Arial" w:cs="Arial"/>
        <w:b/>
        <w:color w:val="2E74B5" w:themeColor="accent1" w:themeShade="BF"/>
      </w:rPr>
      <w:t>Item 6.4 App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A3D"/>
    <w:multiLevelType w:val="hybridMultilevel"/>
    <w:tmpl w:val="22047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11F60"/>
    <w:multiLevelType w:val="hybridMultilevel"/>
    <w:tmpl w:val="9B743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3945B7"/>
    <w:multiLevelType w:val="hybridMultilevel"/>
    <w:tmpl w:val="95988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23607F"/>
    <w:multiLevelType w:val="hybridMultilevel"/>
    <w:tmpl w:val="5DA2730C"/>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1C27FD"/>
    <w:multiLevelType w:val="hybridMultilevel"/>
    <w:tmpl w:val="88F4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B369B"/>
    <w:multiLevelType w:val="hybridMultilevel"/>
    <w:tmpl w:val="414205A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29735716"/>
    <w:multiLevelType w:val="hybridMultilevel"/>
    <w:tmpl w:val="56B6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372D7"/>
    <w:multiLevelType w:val="hybridMultilevel"/>
    <w:tmpl w:val="CF5204A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15:restartNumberingAfterBreak="0">
    <w:nsid w:val="34612E8E"/>
    <w:multiLevelType w:val="hybridMultilevel"/>
    <w:tmpl w:val="9034B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AC3ECA"/>
    <w:multiLevelType w:val="hybridMultilevel"/>
    <w:tmpl w:val="03647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0E7D7A"/>
    <w:multiLevelType w:val="hybridMultilevel"/>
    <w:tmpl w:val="F846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97BDF"/>
    <w:multiLevelType w:val="hybridMultilevel"/>
    <w:tmpl w:val="D49850C6"/>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2" w15:restartNumberingAfterBreak="0">
    <w:nsid w:val="42B85AAE"/>
    <w:multiLevelType w:val="hybridMultilevel"/>
    <w:tmpl w:val="076C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0525"/>
    <w:multiLevelType w:val="hybridMultilevel"/>
    <w:tmpl w:val="0A8E5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D26B9B"/>
    <w:multiLevelType w:val="hybridMultilevel"/>
    <w:tmpl w:val="F0967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5A6ACE"/>
    <w:multiLevelType w:val="hybridMultilevel"/>
    <w:tmpl w:val="6ADC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9F4874"/>
    <w:multiLevelType w:val="hybridMultilevel"/>
    <w:tmpl w:val="7F90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F6E89"/>
    <w:multiLevelType w:val="hybridMultilevel"/>
    <w:tmpl w:val="427E45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BD30EE0"/>
    <w:multiLevelType w:val="hybridMultilevel"/>
    <w:tmpl w:val="B154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5"/>
  </w:num>
  <w:num w:numId="4">
    <w:abstractNumId w:val="12"/>
  </w:num>
  <w:num w:numId="5">
    <w:abstractNumId w:val="5"/>
  </w:num>
  <w:num w:numId="6">
    <w:abstractNumId w:val="9"/>
  </w:num>
  <w:num w:numId="7">
    <w:abstractNumId w:val="8"/>
  </w:num>
  <w:num w:numId="8">
    <w:abstractNumId w:val="13"/>
  </w:num>
  <w:num w:numId="9">
    <w:abstractNumId w:val="2"/>
  </w:num>
  <w:num w:numId="10">
    <w:abstractNumId w:val="18"/>
  </w:num>
  <w:num w:numId="11">
    <w:abstractNumId w:val="17"/>
  </w:num>
  <w:num w:numId="12">
    <w:abstractNumId w:val="4"/>
  </w:num>
  <w:num w:numId="13">
    <w:abstractNumId w:val="3"/>
  </w:num>
  <w:num w:numId="14">
    <w:abstractNumId w:val="1"/>
  </w:num>
  <w:num w:numId="15">
    <w:abstractNumId w:val="0"/>
  </w:num>
  <w:num w:numId="16">
    <w:abstractNumId w:val="10"/>
  </w:num>
  <w:num w:numId="17">
    <w:abstractNumId w:val="14"/>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E3"/>
    <w:rsid w:val="00085694"/>
    <w:rsid w:val="000D0B2F"/>
    <w:rsid w:val="001012C8"/>
    <w:rsid w:val="00106D18"/>
    <w:rsid w:val="00123CF3"/>
    <w:rsid w:val="001670F8"/>
    <w:rsid w:val="00174046"/>
    <w:rsid w:val="001C51D3"/>
    <w:rsid w:val="001C54A2"/>
    <w:rsid w:val="001C76FE"/>
    <w:rsid w:val="001D0E80"/>
    <w:rsid w:val="001D3C41"/>
    <w:rsid w:val="001D540C"/>
    <w:rsid w:val="00210B2C"/>
    <w:rsid w:val="00262AE4"/>
    <w:rsid w:val="00282FFD"/>
    <w:rsid w:val="002B7D3D"/>
    <w:rsid w:val="002C0139"/>
    <w:rsid w:val="00307356"/>
    <w:rsid w:val="00337DC9"/>
    <w:rsid w:val="0036079F"/>
    <w:rsid w:val="00386159"/>
    <w:rsid w:val="00390D5F"/>
    <w:rsid w:val="00396490"/>
    <w:rsid w:val="003975DC"/>
    <w:rsid w:val="003C6CDC"/>
    <w:rsid w:val="004251D6"/>
    <w:rsid w:val="00442BFC"/>
    <w:rsid w:val="00467D08"/>
    <w:rsid w:val="004A006F"/>
    <w:rsid w:val="004A3104"/>
    <w:rsid w:val="004B6562"/>
    <w:rsid w:val="00531ADF"/>
    <w:rsid w:val="005528C7"/>
    <w:rsid w:val="00596A82"/>
    <w:rsid w:val="005C5E8F"/>
    <w:rsid w:val="005C76AF"/>
    <w:rsid w:val="005E6901"/>
    <w:rsid w:val="00603026"/>
    <w:rsid w:val="00637C35"/>
    <w:rsid w:val="00647677"/>
    <w:rsid w:val="006511AF"/>
    <w:rsid w:val="00682E8E"/>
    <w:rsid w:val="00722101"/>
    <w:rsid w:val="00733B5B"/>
    <w:rsid w:val="007469D3"/>
    <w:rsid w:val="007516ED"/>
    <w:rsid w:val="00756493"/>
    <w:rsid w:val="0078367F"/>
    <w:rsid w:val="007C575C"/>
    <w:rsid w:val="007F36E1"/>
    <w:rsid w:val="007F7013"/>
    <w:rsid w:val="00802D99"/>
    <w:rsid w:val="0081589B"/>
    <w:rsid w:val="00874F6B"/>
    <w:rsid w:val="0089431D"/>
    <w:rsid w:val="008C1A74"/>
    <w:rsid w:val="00902C88"/>
    <w:rsid w:val="009A1DE6"/>
    <w:rsid w:val="009B39A3"/>
    <w:rsid w:val="009B6158"/>
    <w:rsid w:val="009D4B82"/>
    <w:rsid w:val="009F1239"/>
    <w:rsid w:val="00A06B23"/>
    <w:rsid w:val="00A645B2"/>
    <w:rsid w:val="00A70E09"/>
    <w:rsid w:val="00A71CB5"/>
    <w:rsid w:val="00A969A5"/>
    <w:rsid w:val="00AB63F1"/>
    <w:rsid w:val="00AC2D02"/>
    <w:rsid w:val="00B04E3B"/>
    <w:rsid w:val="00B55C11"/>
    <w:rsid w:val="00B72FCD"/>
    <w:rsid w:val="00B93FFF"/>
    <w:rsid w:val="00BA4C9D"/>
    <w:rsid w:val="00BA7696"/>
    <w:rsid w:val="00BE251C"/>
    <w:rsid w:val="00C2544F"/>
    <w:rsid w:val="00C265B7"/>
    <w:rsid w:val="00C27045"/>
    <w:rsid w:val="00C34260"/>
    <w:rsid w:val="00C917C1"/>
    <w:rsid w:val="00C925BF"/>
    <w:rsid w:val="00C9710F"/>
    <w:rsid w:val="00C97774"/>
    <w:rsid w:val="00CE1E7C"/>
    <w:rsid w:val="00D3323D"/>
    <w:rsid w:val="00D40D31"/>
    <w:rsid w:val="00D46C19"/>
    <w:rsid w:val="00D52A69"/>
    <w:rsid w:val="00D548D0"/>
    <w:rsid w:val="00DD087A"/>
    <w:rsid w:val="00E255BB"/>
    <w:rsid w:val="00E650A8"/>
    <w:rsid w:val="00EE0571"/>
    <w:rsid w:val="00EF2E51"/>
    <w:rsid w:val="00F02102"/>
    <w:rsid w:val="00F15F46"/>
    <w:rsid w:val="00F219BB"/>
    <w:rsid w:val="00F34FE3"/>
    <w:rsid w:val="00F6048C"/>
    <w:rsid w:val="00F81D8C"/>
    <w:rsid w:val="00FA5591"/>
    <w:rsid w:val="00FB542F"/>
    <w:rsid w:val="00FC0770"/>
    <w:rsid w:val="00FC4576"/>
    <w:rsid w:val="00FD61A2"/>
    <w:rsid w:val="00FE2C54"/>
    <w:rsid w:val="00FF2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A2AB"/>
  <w15:chartTrackingRefBased/>
  <w15:docId w15:val="{F52EEF5C-F647-4899-B873-2639C10A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4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4FE3"/>
    <w:rPr>
      <w:color w:val="0563C1" w:themeColor="hyperlink"/>
      <w:u w:val="single"/>
    </w:rPr>
  </w:style>
  <w:style w:type="character" w:styleId="FollowedHyperlink">
    <w:name w:val="FollowedHyperlink"/>
    <w:basedOn w:val="DefaultParagraphFont"/>
    <w:uiPriority w:val="99"/>
    <w:semiHidden/>
    <w:unhideWhenUsed/>
    <w:rsid w:val="00F34FE3"/>
    <w:rPr>
      <w:color w:val="954F72" w:themeColor="followedHyperlink"/>
      <w:u w:val="single"/>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02D99"/>
    <w:pPr>
      <w:ind w:left="720"/>
      <w:contextualSpacing/>
    </w:pPr>
  </w:style>
  <w:style w:type="character" w:styleId="CommentReference">
    <w:name w:val="annotation reference"/>
    <w:basedOn w:val="DefaultParagraphFont"/>
    <w:unhideWhenUsed/>
    <w:rsid w:val="007F36E1"/>
    <w:rPr>
      <w:sz w:val="16"/>
      <w:szCs w:val="16"/>
    </w:rPr>
  </w:style>
  <w:style w:type="paragraph" w:styleId="CommentText">
    <w:name w:val="annotation text"/>
    <w:basedOn w:val="Normal"/>
    <w:link w:val="CommentTextChar"/>
    <w:unhideWhenUsed/>
    <w:rsid w:val="007F36E1"/>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7F36E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7F3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6E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2E5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2E51"/>
    <w:rPr>
      <w:rFonts w:ascii="Arial" w:eastAsia="Times New Roman" w:hAnsi="Arial" w:cs="Times New Roman"/>
      <w:b/>
      <w:bCs/>
      <w:sz w:val="20"/>
      <w:szCs w:val="20"/>
    </w:rPr>
  </w:style>
  <w:style w:type="paragraph" w:customStyle="1" w:styleId="Default">
    <w:name w:val="Default"/>
    <w:rsid w:val="0036079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40D31"/>
    <w:pPr>
      <w:spacing w:after="0" w:line="240" w:lineRule="auto"/>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2C0139"/>
  </w:style>
  <w:style w:type="paragraph" w:styleId="Footer">
    <w:name w:val="footer"/>
    <w:basedOn w:val="Normal"/>
    <w:link w:val="FooterChar"/>
    <w:uiPriority w:val="99"/>
    <w:rsid w:val="00337DC9"/>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337DC9"/>
    <w:rPr>
      <w:rFonts w:ascii="Arial" w:eastAsia="Times New Roman" w:hAnsi="Arial" w:cs="Times New Roman"/>
      <w:sz w:val="24"/>
      <w:szCs w:val="20"/>
    </w:rPr>
  </w:style>
  <w:style w:type="paragraph" w:styleId="Header">
    <w:name w:val="header"/>
    <w:basedOn w:val="Normal"/>
    <w:link w:val="HeaderChar"/>
    <w:uiPriority w:val="99"/>
    <w:unhideWhenUsed/>
    <w:rsid w:val="00C97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4127">
      <w:bodyDiv w:val="1"/>
      <w:marLeft w:val="0"/>
      <w:marRight w:val="0"/>
      <w:marTop w:val="0"/>
      <w:marBottom w:val="0"/>
      <w:divBdr>
        <w:top w:val="none" w:sz="0" w:space="0" w:color="auto"/>
        <w:left w:val="none" w:sz="0" w:space="0" w:color="auto"/>
        <w:bottom w:val="none" w:sz="0" w:space="0" w:color="auto"/>
        <w:right w:val="none" w:sz="0" w:space="0" w:color="auto"/>
      </w:divBdr>
    </w:div>
    <w:div w:id="321585993">
      <w:bodyDiv w:val="1"/>
      <w:marLeft w:val="0"/>
      <w:marRight w:val="0"/>
      <w:marTop w:val="0"/>
      <w:marBottom w:val="0"/>
      <w:divBdr>
        <w:top w:val="none" w:sz="0" w:space="0" w:color="auto"/>
        <w:left w:val="none" w:sz="0" w:space="0" w:color="auto"/>
        <w:bottom w:val="none" w:sz="0" w:space="0" w:color="auto"/>
        <w:right w:val="none" w:sz="0" w:space="0" w:color="auto"/>
      </w:divBdr>
    </w:div>
    <w:div w:id="385302304">
      <w:bodyDiv w:val="1"/>
      <w:marLeft w:val="0"/>
      <w:marRight w:val="0"/>
      <w:marTop w:val="0"/>
      <w:marBottom w:val="0"/>
      <w:divBdr>
        <w:top w:val="none" w:sz="0" w:space="0" w:color="auto"/>
        <w:left w:val="none" w:sz="0" w:space="0" w:color="auto"/>
        <w:bottom w:val="none" w:sz="0" w:space="0" w:color="auto"/>
        <w:right w:val="none" w:sz="0" w:space="0" w:color="auto"/>
      </w:divBdr>
    </w:div>
    <w:div w:id="446461803">
      <w:bodyDiv w:val="1"/>
      <w:marLeft w:val="0"/>
      <w:marRight w:val="0"/>
      <w:marTop w:val="0"/>
      <w:marBottom w:val="0"/>
      <w:divBdr>
        <w:top w:val="none" w:sz="0" w:space="0" w:color="auto"/>
        <w:left w:val="none" w:sz="0" w:space="0" w:color="auto"/>
        <w:bottom w:val="none" w:sz="0" w:space="0" w:color="auto"/>
        <w:right w:val="none" w:sz="0" w:space="0" w:color="auto"/>
      </w:divBdr>
    </w:div>
    <w:div w:id="726731283">
      <w:bodyDiv w:val="1"/>
      <w:marLeft w:val="0"/>
      <w:marRight w:val="0"/>
      <w:marTop w:val="0"/>
      <w:marBottom w:val="0"/>
      <w:divBdr>
        <w:top w:val="none" w:sz="0" w:space="0" w:color="auto"/>
        <w:left w:val="none" w:sz="0" w:space="0" w:color="auto"/>
        <w:bottom w:val="none" w:sz="0" w:space="0" w:color="auto"/>
        <w:right w:val="none" w:sz="0" w:space="0" w:color="auto"/>
      </w:divBdr>
    </w:div>
    <w:div w:id="1199975494">
      <w:bodyDiv w:val="1"/>
      <w:marLeft w:val="0"/>
      <w:marRight w:val="0"/>
      <w:marTop w:val="0"/>
      <w:marBottom w:val="0"/>
      <w:divBdr>
        <w:top w:val="none" w:sz="0" w:space="0" w:color="auto"/>
        <w:left w:val="none" w:sz="0" w:space="0" w:color="auto"/>
        <w:bottom w:val="none" w:sz="0" w:space="0" w:color="auto"/>
        <w:right w:val="none" w:sz="0" w:space="0" w:color="auto"/>
      </w:divBdr>
    </w:div>
    <w:div w:id="1580598307">
      <w:bodyDiv w:val="1"/>
      <w:marLeft w:val="0"/>
      <w:marRight w:val="0"/>
      <w:marTop w:val="0"/>
      <w:marBottom w:val="0"/>
      <w:divBdr>
        <w:top w:val="none" w:sz="0" w:space="0" w:color="auto"/>
        <w:left w:val="none" w:sz="0" w:space="0" w:color="auto"/>
        <w:bottom w:val="none" w:sz="0" w:space="0" w:color="auto"/>
        <w:right w:val="none" w:sz="0" w:space="0" w:color="auto"/>
      </w:divBdr>
      <w:divsChild>
        <w:div w:id="1941715371">
          <w:marLeft w:val="0"/>
          <w:marRight w:val="0"/>
          <w:marTop w:val="0"/>
          <w:marBottom w:val="0"/>
          <w:divBdr>
            <w:top w:val="none" w:sz="0" w:space="0" w:color="auto"/>
            <w:left w:val="none" w:sz="0" w:space="0" w:color="auto"/>
            <w:bottom w:val="none" w:sz="0" w:space="0" w:color="auto"/>
            <w:right w:val="none" w:sz="0" w:space="0" w:color="auto"/>
          </w:divBdr>
          <w:divsChild>
            <w:div w:id="20321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hd.scot.nhs.uk/dl/DL(2019).pdf"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sehd.scot.nhs.uk/dl/DL(2022)3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ps.scot.nhs.uk/web-resources-container/general-information-to-prepare-for-and-manage-norovirus-in-care-setting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ipcm.hps.scot.nhs.uk/resources/incidents-and-outbreaks/" TargetMode="External"/><Relationship Id="rId4" Type="http://schemas.openxmlformats.org/officeDocument/2006/relationships/settings" Target="settings.xml"/><Relationship Id="rId9" Type="http://schemas.openxmlformats.org/officeDocument/2006/relationships/hyperlink" Target="http://www.readyscotland.org" TargetMode="External"/><Relationship Id="rId14" Type="http://schemas.openxmlformats.org/officeDocument/2006/relationships/hyperlink" Target="mailto:healthplanningsponsorship@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A40749030</value>
    </field>
    <field name="Objective-Title">
      <value order="0">Health and Social Care Winter Planning 2022-23 - Operational Assurance Winter 2022/23 Checklist</value>
    </field>
    <field name="Objective-Description">
      <value order="0"/>
    </field>
    <field name="Objective-CreationStamp">
      <value order="0">2022-09-27T16:00:25Z</value>
    </field>
    <field name="Objective-IsApproved">
      <value order="0">false</value>
    </field>
    <field name="Objective-IsPublished">
      <value order="0">false</value>
    </field>
    <field name="Objective-DatePublished">
      <value order="0"/>
    </field>
    <field name="Objective-ModificationStamp">
      <value order="0">2022-10-17T11:55:02Z</value>
    </field>
    <field name="Objective-Owner">
      <value order="0">Mackay, Heather H (U444471)</value>
    </field>
    <field name="Objective-Path">
      <value order="0">Objective Global Folder:SG File Plan:Health, nutrition and care:National Health Service (NHS):General:Advice and policy: National Health Service (NHS) - general:Health and Social Care: Winter Planning: (2022-2023): Advice and Policy: 2022-2027</value>
    </field>
    <field name="Objective-Parent">
      <value order="0">Health and Social Care: Winter Planning: (2022-2023): Advice and Policy: 2022-2027</value>
    </field>
    <field name="Objective-State">
      <value order="0">Being Drafted</value>
    </field>
    <field name="Objective-VersionId">
      <value order="0">vA60699691</value>
    </field>
    <field name="Objective-Version">
      <value order="0">15.1</value>
    </field>
    <field name="Objective-VersionNumber">
      <value order="0">59</value>
    </field>
    <field name="Objective-VersionComment">
      <value order="0"/>
    </field>
    <field name="Objective-FileNumber">
      <value order="0">POL/38850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3736</Words>
  <Characters>21298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J (Jessica)</dc:creator>
  <cp:keywords/>
  <dc:description/>
  <cp:lastModifiedBy>Alison Mackay</cp:lastModifiedBy>
  <cp:revision>4</cp:revision>
  <dcterms:created xsi:type="dcterms:W3CDTF">2022-11-07T10:14:00Z</dcterms:created>
  <dcterms:modified xsi:type="dcterms:W3CDTF">2022-11-10T12:45:00Z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A40749030</vt:lpwstr>
  </property>
  <property fmtid="{D5CDD505-2E9C-101B-9397-08002B2CF9AE}" pid="4" name="Objective-Title">
    <vt:lpwstr>Health and Social Care Winter Planning 2022-23 - Operational Assurance Winter 2022/23 Checklist</vt:lpwstr>
  </property>
  <property fmtid="{D5CDD505-2E9C-101B-9397-08002B2CF9AE}" pid="5" name="Objective-Description">
    <vt:lpwstr/>
  </property>
  <property fmtid="{D5CDD505-2E9C-101B-9397-08002B2CF9AE}" pid="6" name="Objective-CreationStamp">
    <vt:filetime>2022-09-27T16:00:25Z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2022-10-17T11:55:02Z</vt:filetime>
  </property>
  <property fmtid="{D5CDD505-2E9C-101B-9397-08002B2CF9AE}" pid="11" name="Objective-Owner">
    <vt:lpwstr>Mackay, Heather H (U444471)</vt:lpwstr>
  </property>
  <property fmtid="{D5CDD505-2E9C-101B-9397-08002B2CF9AE}" pid="12" name="Objective-Path">
    <vt:lpwstr>Objective Global Folder:SG File Plan:Health, nutrition and care:National Health Service (NHS):General:Advice and policy: National Health Service (NHS) - general:Health and Social Care: Winter Planning: (2022-2023): Advice and Policy: 2022-2027</vt:lpwstr>
  </property>
  <property fmtid="{D5CDD505-2E9C-101B-9397-08002B2CF9AE}" pid="13" name="Objective-Parent">
    <vt:lpwstr>Health and Social Care: Winter Planning: (2022-2023): Advice and Policy: 2022-2027</vt:lpwstr>
  </property>
  <property fmtid="{D5CDD505-2E9C-101B-9397-08002B2CF9AE}" pid="14" name="Objective-State">
    <vt:lpwstr>Being Drafted</vt:lpwstr>
  </property>
  <property fmtid="{D5CDD505-2E9C-101B-9397-08002B2CF9AE}" pid="15" name="Objective-VersionId">
    <vt:lpwstr>vA60699691</vt:lpwstr>
  </property>
  <property fmtid="{D5CDD505-2E9C-101B-9397-08002B2CF9AE}" pid="16" name="Objective-Version">
    <vt:lpwstr>15.1</vt:lpwstr>
  </property>
  <property fmtid="{D5CDD505-2E9C-101B-9397-08002B2CF9AE}" pid="17" name="Objective-VersionNumber">
    <vt:r8>59</vt:r8>
  </property>
  <property fmtid="{D5CDD505-2E9C-101B-9397-08002B2CF9AE}" pid="18" name="Objective-VersionComment">
    <vt:lpwstr/>
  </property>
  <property fmtid="{D5CDD505-2E9C-101B-9397-08002B2CF9AE}" pid="19" name="Objective-FileNumber">
    <vt:lpwstr>POL/38850</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