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47B31EA2"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Default="00446219" w:rsidP="0003098A">
      <w:pPr>
        <w:pStyle w:val="Heading2"/>
        <w:rPr>
          <w:rStyle w:val="Heading3Char"/>
          <w:b/>
          <w:highlight w:val="lightGray"/>
        </w:rPr>
      </w:pPr>
    </w:p>
    <w:p w14:paraId="6F41DA19" w14:textId="5E1E750E" w:rsidR="009807B4" w:rsidRPr="001174B5" w:rsidRDefault="0023473B" w:rsidP="00B77902">
      <w:pPr>
        <w:pStyle w:val="Heading3"/>
        <w:spacing w:line="360" w:lineRule="auto"/>
        <w:ind w:left="4536" w:hanging="4536"/>
      </w:pPr>
      <w:r w:rsidRPr="00AA77F7">
        <w:rPr>
          <w:rStyle w:val="Heading3Char"/>
          <w:b/>
        </w:rPr>
        <w:t>Meeting:</w:t>
      </w:r>
      <w:r w:rsidR="00B77902">
        <w:rPr>
          <w:rStyle w:val="Heading3Char"/>
          <w:b/>
        </w:rPr>
        <w:tab/>
      </w:r>
      <w:r w:rsidR="00D44B83">
        <w:rPr>
          <w:rStyle w:val="Heading3Char"/>
          <w:b/>
        </w:rPr>
        <w:t>NHS Golden Jubilee Board Meeting</w:t>
      </w:r>
    </w:p>
    <w:p w14:paraId="4C58DF73" w14:textId="6703612F" w:rsidR="00430C09" w:rsidRPr="001174B5" w:rsidRDefault="00430C09" w:rsidP="00B77902">
      <w:pPr>
        <w:pStyle w:val="Heading3"/>
        <w:spacing w:line="360" w:lineRule="auto"/>
        <w:ind w:left="4536" w:hanging="4536"/>
      </w:pPr>
      <w:r w:rsidRPr="00AA77F7">
        <w:rPr>
          <w:rStyle w:val="Heading3Char"/>
          <w:b/>
        </w:rPr>
        <w:t>Meeting dat</w:t>
      </w:r>
      <w:r w:rsidR="0023473B" w:rsidRPr="00AA77F7">
        <w:rPr>
          <w:rStyle w:val="Heading3Char"/>
          <w:b/>
        </w:rPr>
        <w:t>e:</w:t>
      </w:r>
      <w:r w:rsidR="00B77902">
        <w:rPr>
          <w:rStyle w:val="Heading3Char"/>
          <w:b/>
        </w:rPr>
        <w:tab/>
      </w:r>
      <w:r w:rsidR="00D44B83">
        <w:rPr>
          <w:rStyle w:val="Heading3Char"/>
          <w:b/>
        </w:rPr>
        <w:t>24</w:t>
      </w:r>
      <w:r w:rsidR="00D44B83">
        <w:rPr>
          <w:rStyle w:val="Heading3Char"/>
          <w:b/>
          <w:vertAlign w:val="superscript"/>
        </w:rPr>
        <w:t xml:space="preserve"> </w:t>
      </w:r>
      <w:r w:rsidR="00D44B83">
        <w:t>January 2023</w:t>
      </w:r>
    </w:p>
    <w:p w14:paraId="08812E0D" w14:textId="3AFC57A6"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602E67">
        <w:rPr>
          <w:rStyle w:val="Heading3Char"/>
          <w:b/>
        </w:rPr>
        <w:t xml:space="preserve">Duty of Candour Annual </w:t>
      </w:r>
      <w:r w:rsidR="00C517A7">
        <w:rPr>
          <w:rStyle w:val="Heading3Char"/>
          <w:b/>
        </w:rPr>
        <w:t>Report 2021/</w:t>
      </w:r>
      <w:r w:rsidR="001174B5">
        <w:rPr>
          <w:rStyle w:val="Heading3Char"/>
          <w:b/>
        </w:rPr>
        <w:t>22</w:t>
      </w:r>
    </w:p>
    <w:p w14:paraId="5ED05215" w14:textId="5B1D6B36"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1174B5">
        <w:rPr>
          <w:rStyle w:val="Heading3Char"/>
          <w:b/>
        </w:rPr>
        <w:t xml:space="preserve">Mark MacGregor, Medical Director and Anne Marie Cavanagh, </w:t>
      </w:r>
      <w:r w:rsidR="00B0129C" w:rsidRPr="00D1415F">
        <w:t>Director of Nursing and AHP</w:t>
      </w:r>
    </w:p>
    <w:p w14:paraId="78E9D3A8" w14:textId="602FA3AD" w:rsidR="00430C09" w:rsidRDefault="00430C09" w:rsidP="00B77902">
      <w:pPr>
        <w:pStyle w:val="Heading3"/>
        <w:spacing w:line="360" w:lineRule="auto"/>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1174B5">
        <w:rPr>
          <w:rStyle w:val="Heading3Char"/>
          <w:b/>
        </w:rPr>
        <w:t>Katie Bryant, Head of Clinical Risk and Governance</w:t>
      </w:r>
      <w:r w:rsidR="0003098A" w:rsidRPr="00F3337D">
        <w:rPr>
          <w:rStyle w:val="Heading3Char"/>
          <w:b/>
          <w:highlight w:val="lightGray"/>
        </w:rPr>
        <w:t xml:space="preserve"> </w:t>
      </w:r>
    </w:p>
    <w:p w14:paraId="3D69C0AE" w14:textId="77777777" w:rsidR="00B77902" w:rsidRPr="00B77902" w:rsidRDefault="00B77902" w:rsidP="00B77902"/>
    <w:p w14:paraId="1D119560" w14:textId="77777777" w:rsidR="00430C09" w:rsidRDefault="00BF3AF0" w:rsidP="00430C09">
      <w:pPr>
        <w:pStyle w:val="Heading2"/>
        <w:spacing w:line="276" w:lineRule="auto"/>
      </w:pPr>
      <w:r>
        <w:t>1</w:t>
      </w:r>
      <w:r>
        <w:tab/>
      </w:r>
      <w:r w:rsidR="00430C09" w:rsidRPr="00F05C63">
        <w:t>Purpose</w:t>
      </w:r>
    </w:p>
    <w:p w14:paraId="74404FA1" w14:textId="77777777" w:rsidR="009807B4" w:rsidRDefault="009807B4" w:rsidP="00BF3AF0">
      <w:pPr>
        <w:autoSpaceDE w:val="0"/>
        <w:autoSpaceDN w:val="0"/>
        <w:adjustRightInd w:val="0"/>
        <w:spacing w:before="40" w:after="40" w:line="276" w:lineRule="auto"/>
        <w:ind w:left="720"/>
        <w:rPr>
          <w:rFonts w:cs="Arial"/>
          <w:color w:val="000000"/>
          <w:szCs w:val="24"/>
          <w:lang w:eastAsia="en-GB"/>
        </w:rPr>
      </w:pPr>
    </w:p>
    <w:p w14:paraId="623BC4C7" w14:textId="5B11B99E" w:rsidR="009807B4" w:rsidRDefault="00430C09" w:rsidP="00BF3AF0">
      <w:pPr>
        <w:pStyle w:val="Heading3"/>
        <w:spacing w:line="276" w:lineRule="auto"/>
        <w:ind w:left="720"/>
        <w:rPr>
          <w:lang w:eastAsia="en-GB"/>
        </w:rPr>
      </w:pPr>
      <w:r w:rsidRPr="009807B4">
        <w:rPr>
          <w:lang w:eastAsia="en-GB"/>
        </w:rPr>
        <w:t>This</w:t>
      </w:r>
      <w:r w:rsidR="00446219" w:rsidRPr="009807B4">
        <w:rPr>
          <w:lang w:eastAsia="en-GB"/>
        </w:rPr>
        <w:t xml:space="preserve"> </w:t>
      </w:r>
      <w:proofErr w:type="gramStart"/>
      <w:r w:rsidR="00446219" w:rsidRPr="009807B4">
        <w:rPr>
          <w:lang w:eastAsia="en-GB"/>
        </w:rPr>
        <w:t>is presented</w:t>
      </w:r>
      <w:proofErr w:type="gramEnd"/>
      <w:r w:rsidR="00446219" w:rsidRPr="009807B4">
        <w:rPr>
          <w:lang w:eastAsia="en-GB"/>
        </w:rPr>
        <w:t xml:space="preserve"> to the </w:t>
      </w:r>
      <w:r w:rsidR="001174B5">
        <w:rPr>
          <w:lang w:eastAsia="en-GB"/>
        </w:rPr>
        <w:t>group</w:t>
      </w:r>
      <w:r w:rsidR="00446219" w:rsidRPr="009807B4">
        <w:rPr>
          <w:lang w:eastAsia="en-GB"/>
        </w:rPr>
        <w:t xml:space="preserve"> for: </w:t>
      </w:r>
    </w:p>
    <w:p w14:paraId="29F8F8B6" w14:textId="4B8B7A33" w:rsidR="009807B4" w:rsidRPr="001174B5" w:rsidRDefault="00757BCA" w:rsidP="00BF3AF0">
      <w:pPr>
        <w:pStyle w:val="Heading3"/>
        <w:numPr>
          <w:ilvl w:val="0"/>
          <w:numId w:val="9"/>
        </w:numPr>
        <w:spacing w:line="276" w:lineRule="auto"/>
        <w:ind w:left="1080"/>
        <w:rPr>
          <w:b w:val="0"/>
          <w:lang w:eastAsia="en-GB"/>
        </w:rPr>
      </w:pPr>
      <w:r>
        <w:rPr>
          <w:b w:val="0"/>
          <w:lang w:eastAsia="en-GB"/>
        </w:rPr>
        <w:t>Approval</w:t>
      </w:r>
    </w:p>
    <w:p w14:paraId="24F0EEC6"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4A04E97C" w14:textId="77777777" w:rsidR="00430C09" w:rsidRDefault="00430C09" w:rsidP="00BF3AF0">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14:paraId="479A9CF9" w14:textId="77777777" w:rsidR="009807B4" w:rsidRPr="001174B5"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1174B5">
        <w:rPr>
          <w:rFonts w:ascii="Arial" w:hAnsi="Arial" w:cs="Arial"/>
          <w:color w:val="000000"/>
          <w:sz w:val="24"/>
          <w:szCs w:val="24"/>
        </w:rPr>
        <w:t>Government policy/directive</w:t>
      </w:r>
    </w:p>
    <w:p w14:paraId="5A99CE54"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5F5A2C47" w14:textId="727AEF60" w:rsidR="001174B5" w:rsidRPr="001174B5" w:rsidRDefault="00430C09" w:rsidP="001174B5">
      <w:pPr>
        <w:pStyle w:val="Heading3"/>
        <w:ind w:left="720"/>
        <w:rPr>
          <w:lang w:eastAsia="en-GB"/>
        </w:rPr>
      </w:pPr>
      <w:r w:rsidRPr="003114D5">
        <w:rPr>
          <w:lang w:eastAsia="en-GB"/>
        </w:rPr>
        <w:t>This aligns to the following</w:t>
      </w:r>
      <w:r w:rsidR="00047714">
        <w:rPr>
          <w:lang w:eastAsia="en-GB"/>
        </w:rPr>
        <w:t xml:space="preserve"> NHS</w:t>
      </w:r>
      <w:r w:rsidR="00F21F29">
        <w:rPr>
          <w:lang w:eastAsia="en-GB"/>
        </w:rPr>
        <w:t xml:space="preserve"> </w:t>
      </w:r>
      <w:r w:rsidR="00047714">
        <w:rPr>
          <w:lang w:eastAsia="en-GB"/>
        </w:rPr>
        <w:t>Scotland</w:t>
      </w:r>
      <w:r w:rsidRPr="003114D5">
        <w:rPr>
          <w:lang w:eastAsia="en-GB"/>
        </w:rPr>
        <w:t xml:space="preserve"> quality </w:t>
      </w:r>
      <w:r w:rsidR="009807B4">
        <w:rPr>
          <w:lang w:eastAsia="en-GB"/>
        </w:rPr>
        <w:t>ambition(s)</w:t>
      </w:r>
      <w:r>
        <w:rPr>
          <w:lang w:eastAsia="en-GB"/>
        </w:rPr>
        <w:t>:</w:t>
      </w:r>
    </w:p>
    <w:p w14:paraId="1CC257DF" w14:textId="77777777" w:rsidR="003F7F61" w:rsidRPr="001174B5" w:rsidRDefault="003F7F61" w:rsidP="003F7F61">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1174B5">
        <w:rPr>
          <w:rFonts w:ascii="Arial" w:hAnsi="Arial" w:cs="Arial"/>
          <w:color w:val="000000"/>
          <w:sz w:val="24"/>
          <w:szCs w:val="24"/>
        </w:rPr>
        <w:t>Safe</w:t>
      </w:r>
    </w:p>
    <w:p w14:paraId="66B1B823" w14:textId="77777777" w:rsidR="009807B4" w:rsidRPr="001174B5"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1174B5">
        <w:rPr>
          <w:rFonts w:ascii="Arial" w:hAnsi="Arial" w:cs="Arial"/>
          <w:color w:val="000000"/>
          <w:sz w:val="24"/>
          <w:szCs w:val="24"/>
        </w:rPr>
        <w:t>Effective</w:t>
      </w:r>
    </w:p>
    <w:p w14:paraId="4AF20469" w14:textId="362327B5" w:rsidR="009807B4" w:rsidRPr="001174B5"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1174B5">
        <w:rPr>
          <w:rFonts w:ascii="Arial" w:hAnsi="Arial" w:cs="Arial"/>
          <w:color w:val="000000"/>
          <w:sz w:val="24"/>
          <w:szCs w:val="24"/>
        </w:rPr>
        <w:t>Person Centred</w:t>
      </w:r>
    </w:p>
    <w:p w14:paraId="26941D4A" w14:textId="77777777" w:rsidR="006F3E25" w:rsidRDefault="006F3E25" w:rsidP="006F3E25">
      <w:pPr>
        <w:autoSpaceDE w:val="0"/>
        <w:autoSpaceDN w:val="0"/>
        <w:adjustRightInd w:val="0"/>
        <w:spacing w:before="40" w:after="40" w:line="276" w:lineRule="auto"/>
        <w:ind w:left="720"/>
        <w:rPr>
          <w:rFonts w:cs="Arial"/>
          <w:b/>
          <w:color w:val="000000"/>
          <w:szCs w:val="24"/>
        </w:rPr>
      </w:pPr>
    </w:p>
    <w:p w14:paraId="07D9CFED" w14:textId="07CB8AAF" w:rsidR="006F3E25" w:rsidRDefault="006F3E25" w:rsidP="006F3E25">
      <w:pPr>
        <w:autoSpaceDE w:val="0"/>
        <w:autoSpaceDN w:val="0"/>
        <w:adjustRightInd w:val="0"/>
        <w:spacing w:before="40" w:after="40" w:line="276" w:lineRule="auto"/>
        <w:ind w:left="720"/>
        <w:rPr>
          <w:rFonts w:cs="Arial"/>
          <w:b/>
          <w:color w:val="000000"/>
          <w:szCs w:val="24"/>
        </w:rPr>
      </w:pPr>
      <w:r>
        <w:rPr>
          <w:rFonts w:cs="Arial"/>
          <w:b/>
          <w:color w:val="000000"/>
          <w:szCs w:val="24"/>
        </w:rPr>
        <w:t>This aligns to the following NHSGJ Corporate Objectives:</w:t>
      </w:r>
    </w:p>
    <w:p w14:paraId="4A0A7297" w14:textId="77777777" w:rsidR="006F3E25" w:rsidRPr="001E17F6" w:rsidRDefault="006F3E25" w:rsidP="006F3E25">
      <w:pPr>
        <w:pStyle w:val="ListParagraph"/>
        <w:numPr>
          <w:ilvl w:val="0"/>
          <w:numId w:val="24"/>
        </w:numPr>
        <w:spacing w:line="276" w:lineRule="auto"/>
        <w:rPr>
          <w:rFonts w:ascii="Arial" w:eastAsia="Times New Roman" w:hAnsi="Arial" w:cs="Arial"/>
          <w:spacing w:val="-3"/>
          <w:sz w:val="24"/>
          <w:szCs w:val="24"/>
          <w:lang w:eastAsia="en-US"/>
        </w:rPr>
      </w:pPr>
      <w:r w:rsidRPr="001E17F6">
        <w:rPr>
          <w:rFonts w:ascii="Arial" w:eastAsia="Times New Roman" w:hAnsi="Arial" w:cs="Arial"/>
          <w:spacing w:val="-3"/>
          <w:sz w:val="24"/>
          <w:szCs w:val="24"/>
          <w:lang w:eastAsia="en-US"/>
        </w:rPr>
        <w:t>High Performing Organisation – Establishing the conditions for success to enable excellent outcomes and experience for patients and staff</w:t>
      </w:r>
    </w:p>
    <w:p w14:paraId="41A006FD" w14:textId="0E1C2C60" w:rsidR="00430C09" w:rsidRDefault="00430C09" w:rsidP="009807B4">
      <w:pPr>
        <w:spacing w:line="276" w:lineRule="auto"/>
      </w:pPr>
    </w:p>
    <w:p w14:paraId="3338DF65" w14:textId="77777777" w:rsidR="00430C09" w:rsidRDefault="00C94BF7" w:rsidP="00430C09">
      <w:pPr>
        <w:pStyle w:val="Heading2"/>
        <w:spacing w:line="276" w:lineRule="auto"/>
      </w:pPr>
      <w:r>
        <w:t>2</w:t>
      </w:r>
      <w:r w:rsidR="00BF3AF0">
        <w:tab/>
      </w:r>
      <w:r w:rsidR="00430C09">
        <w:t>Report summary</w:t>
      </w:r>
      <w:r w:rsidR="00430C09">
        <w:tab/>
      </w:r>
    </w:p>
    <w:p w14:paraId="27DEE41C" w14:textId="77777777" w:rsidR="0003098A" w:rsidRDefault="0003098A" w:rsidP="00430C09">
      <w:pPr>
        <w:pStyle w:val="Heading3"/>
        <w:spacing w:line="276" w:lineRule="auto"/>
      </w:pPr>
    </w:p>
    <w:p w14:paraId="2CE1C56A" w14:textId="77777777" w:rsidR="00430C09" w:rsidRDefault="00C94BF7" w:rsidP="00BF3AF0">
      <w:pPr>
        <w:pStyle w:val="Heading2"/>
      </w:pPr>
      <w:r>
        <w:t>2</w:t>
      </w:r>
      <w:r w:rsidR="00BF3AF0">
        <w:t>.1</w:t>
      </w:r>
      <w:r w:rsidR="00BF3AF0">
        <w:tab/>
      </w:r>
      <w:r w:rsidR="00430C09" w:rsidRPr="00DA354A">
        <w:t>Situation</w:t>
      </w:r>
    </w:p>
    <w:p w14:paraId="08DF0ACD" w14:textId="7A08D24E" w:rsidR="001174B5" w:rsidRPr="001E17F6" w:rsidRDefault="001174B5" w:rsidP="001174B5">
      <w:pPr>
        <w:ind w:left="720"/>
        <w:jc w:val="both"/>
        <w:rPr>
          <w:rFonts w:cs="Arial"/>
          <w:szCs w:val="24"/>
        </w:rPr>
      </w:pPr>
      <w:r w:rsidRPr="001E17F6">
        <w:rPr>
          <w:rFonts w:cs="Arial"/>
          <w:szCs w:val="24"/>
        </w:rPr>
        <w:t xml:space="preserve">This paper presents the feedback data for the Annual </w:t>
      </w:r>
      <w:r w:rsidR="00602E67" w:rsidRPr="001E17F6">
        <w:rPr>
          <w:rFonts w:cs="Arial"/>
          <w:szCs w:val="24"/>
        </w:rPr>
        <w:t>Duty of Candour</w:t>
      </w:r>
      <w:r w:rsidRPr="001E17F6">
        <w:rPr>
          <w:rFonts w:cs="Arial"/>
          <w:szCs w:val="24"/>
        </w:rPr>
        <w:t xml:space="preserve"> Report for </w:t>
      </w:r>
      <w:r w:rsidR="00D44B83" w:rsidRPr="001E17F6">
        <w:rPr>
          <w:rFonts w:cs="Arial"/>
          <w:szCs w:val="24"/>
        </w:rPr>
        <w:t>approval by the Board.</w:t>
      </w:r>
    </w:p>
    <w:p w14:paraId="1B27CF0C" w14:textId="77777777" w:rsidR="00430C09" w:rsidRDefault="00430C09" w:rsidP="00BF3AF0">
      <w:pPr>
        <w:spacing w:before="40" w:after="40" w:line="276" w:lineRule="auto"/>
        <w:rPr>
          <w:rFonts w:cs="Arial"/>
          <w:color w:val="000000"/>
          <w:szCs w:val="24"/>
        </w:rPr>
      </w:pPr>
    </w:p>
    <w:p w14:paraId="613EBBD3" w14:textId="77777777" w:rsidR="00430C09" w:rsidRDefault="00C87B62" w:rsidP="00BF3AF0">
      <w:pPr>
        <w:pStyle w:val="Heading2"/>
        <w:ind w:left="686" w:hanging="686"/>
      </w:pPr>
      <w:r>
        <w:t>2</w:t>
      </w:r>
      <w:r w:rsidR="00BF3AF0">
        <w:t>.2</w:t>
      </w:r>
      <w:r w:rsidR="00BF3AF0">
        <w:tab/>
      </w:r>
      <w:r w:rsidR="00430C09">
        <w:t>Background</w:t>
      </w:r>
    </w:p>
    <w:p w14:paraId="69601A1E" w14:textId="77777777" w:rsidR="00602E67" w:rsidRPr="001E17F6" w:rsidRDefault="00602E67" w:rsidP="00602E67">
      <w:pPr>
        <w:ind w:left="686"/>
        <w:textAlignment w:val="top"/>
        <w:rPr>
          <w:rFonts w:cs="Arial"/>
          <w:szCs w:val="24"/>
        </w:rPr>
      </w:pPr>
      <w:proofErr w:type="gramStart"/>
      <w:r w:rsidRPr="001E17F6">
        <w:rPr>
          <w:rFonts w:cs="Arial"/>
          <w:szCs w:val="24"/>
        </w:rPr>
        <w:t xml:space="preserve">The organisational duty of candour provisions of the Health (Tobacco, Nicotine etc. and Care) (Scotland) Act 2016 (The Act) and The Duty of Candour Procedure (Scotland) Regulations 2018 set out the procedure that organisations providing health services, care </w:t>
      </w:r>
      <w:r w:rsidRPr="001E17F6">
        <w:rPr>
          <w:rFonts w:cs="Arial"/>
          <w:szCs w:val="24"/>
        </w:rPr>
        <w:lastRenderedPageBreak/>
        <w:t>services and social work services in Scotland are required by law to follow when there has been an unintended or unexpected incident that results in death or harm (or additional treatment is required to prevent injury that would result in death or harm).</w:t>
      </w:r>
      <w:proofErr w:type="gramEnd"/>
    </w:p>
    <w:p w14:paraId="26D6D228" w14:textId="77777777" w:rsidR="00602E67" w:rsidRPr="001E17F6" w:rsidRDefault="00602E67" w:rsidP="00602E67">
      <w:pPr>
        <w:textAlignment w:val="top"/>
        <w:rPr>
          <w:rFonts w:cs="Arial"/>
          <w:szCs w:val="24"/>
        </w:rPr>
      </w:pPr>
    </w:p>
    <w:p w14:paraId="1A491988" w14:textId="77777777" w:rsidR="00602E67" w:rsidRPr="001E17F6" w:rsidRDefault="00602E67" w:rsidP="00602E67">
      <w:pPr>
        <w:ind w:left="686"/>
        <w:textAlignment w:val="top"/>
        <w:rPr>
          <w:rFonts w:cs="Arial"/>
          <w:szCs w:val="24"/>
        </w:rPr>
      </w:pPr>
      <w:r w:rsidRPr="001E17F6">
        <w:rPr>
          <w:rFonts w:cs="Arial"/>
          <w:szCs w:val="24"/>
        </w:rPr>
        <w:t xml:space="preserve">Organisations must set out in an annual report the way that the duty of candour procedure </w:t>
      </w:r>
      <w:proofErr w:type="gramStart"/>
      <w:r w:rsidRPr="001E17F6">
        <w:rPr>
          <w:rFonts w:cs="Arial"/>
          <w:szCs w:val="24"/>
        </w:rPr>
        <w:t>has been followed</w:t>
      </w:r>
      <w:proofErr w:type="gramEnd"/>
      <w:r w:rsidRPr="001E17F6">
        <w:rPr>
          <w:rFonts w:cs="Arial"/>
          <w:szCs w:val="24"/>
        </w:rPr>
        <w:t xml:space="preserve"> for all the cases that they have identified.</w:t>
      </w:r>
    </w:p>
    <w:p w14:paraId="79157C3E" w14:textId="7DB43B8C" w:rsidR="001174B5" w:rsidRPr="00F53C24" w:rsidRDefault="001174B5" w:rsidP="00D44B83">
      <w:pPr>
        <w:tabs>
          <w:tab w:val="left" w:pos="5310"/>
        </w:tabs>
        <w:ind w:left="709"/>
        <w:jc w:val="both"/>
        <w:outlineLvl w:val="0"/>
        <w:rPr>
          <w:rFonts w:cs="Arial"/>
          <w:sz w:val="22"/>
          <w:szCs w:val="22"/>
        </w:rPr>
      </w:pPr>
    </w:p>
    <w:p w14:paraId="46C297C7" w14:textId="77777777" w:rsidR="00430C09" w:rsidRDefault="00430C09" w:rsidP="00BF3AF0">
      <w:pPr>
        <w:pStyle w:val="ListParagraph"/>
        <w:spacing w:before="40" w:after="40" w:line="276" w:lineRule="auto"/>
        <w:ind w:left="1253"/>
        <w:rPr>
          <w:rFonts w:ascii="Arial" w:hAnsi="Arial" w:cs="Arial"/>
          <w:color w:val="000000"/>
          <w:sz w:val="24"/>
          <w:szCs w:val="24"/>
        </w:rPr>
      </w:pPr>
    </w:p>
    <w:p w14:paraId="3245821D" w14:textId="77777777" w:rsidR="00F3337D" w:rsidRDefault="00C87B62" w:rsidP="00BF3AF0">
      <w:pPr>
        <w:pStyle w:val="Heading2"/>
      </w:pPr>
      <w:r>
        <w:t>2</w:t>
      </w:r>
      <w:r w:rsidR="00BF3AF0">
        <w:t>.3</w:t>
      </w:r>
      <w:r w:rsidR="00BF3AF0">
        <w:tab/>
      </w:r>
      <w:r w:rsidR="00F3337D">
        <w:t>Assessment</w:t>
      </w:r>
    </w:p>
    <w:p w14:paraId="3E1DD568" w14:textId="06F86166" w:rsidR="00087E21" w:rsidRDefault="00087E21" w:rsidP="00087E21">
      <w:pPr>
        <w:autoSpaceDE w:val="0"/>
        <w:autoSpaceDN w:val="0"/>
        <w:adjustRightInd w:val="0"/>
        <w:ind w:firstLine="720"/>
        <w:jc w:val="both"/>
        <w:rPr>
          <w:rFonts w:cs="Arial"/>
        </w:rPr>
      </w:pPr>
      <w:r>
        <w:rPr>
          <w:rFonts w:cs="Arial"/>
        </w:rPr>
        <w:t>The annual report provides further detail, however key points to note are:</w:t>
      </w:r>
    </w:p>
    <w:p w14:paraId="1990D678" w14:textId="77777777" w:rsidR="00087E21" w:rsidRDefault="00087E21" w:rsidP="00087E21">
      <w:pPr>
        <w:autoSpaceDE w:val="0"/>
        <w:autoSpaceDN w:val="0"/>
        <w:adjustRightInd w:val="0"/>
        <w:jc w:val="both"/>
        <w:rPr>
          <w:rFonts w:cs="Arial"/>
        </w:rPr>
      </w:pPr>
    </w:p>
    <w:p w14:paraId="64806B58" w14:textId="77777777" w:rsidR="00087E21" w:rsidRPr="00192434" w:rsidRDefault="00087E21" w:rsidP="00087E21">
      <w:pPr>
        <w:numPr>
          <w:ilvl w:val="0"/>
          <w:numId w:val="25"/>
        </w:numPr>
        <w:autoSpaceDE w:val="0"/>
        <w:autoSpaceDN w:val="0"/>
        <w:adjustRightInd w:val="0"/>
        <w:jc w:val="both"/>
        <w:rPr>
          <w:rFonts w:cs="Arial"/>
        </w:rPr>
      </w:pPr>
      <w:r w:rsidRPr="00D73103">
        <w:rPr>
          <w:rFonts w:cs="Arial"/>
        </w:rPr>
        <w:t xml:space="preserve">During the reporting </w:t>
      </w:r>
      <w:proofErr w:type="gramStart"/>
      <w:r w:rsidRPr="00D73103">
        <w:rPr>
          <w:rFonts w:cs="Arial"/>
        </w:rPr>
        <w:t>period</w:t>
      </w:r>
      <w:proofErr w:type="gramEnd"/>
      <w:r w:rsidRPr="00D73103">
        <w:rPr>
          <w:rFonts w:cs="Arial"/>
        </w:rPr>
        <w:t xml:space="preserve"> the Initial Assessment Tool was used for forty-seven adverse events, with </w:t>
      </w:r>
      <w:r>
        <w:rPr>
          <w:rFonts w:cs="Arial"/>
        </w:rPr>
        <w:t>thirty-</w:t>
      </w:r>
      <w:r w:rsidRPr="00D73103">
        <w:rPr>
          <w:rFonts w:cs="Arial"/>
        </w:rPr>
        <w:t>two of these progressing to an SAER investigation when appropriate to do so.</w:t>
      </w:r>
      <w:r>
        <w:rPr>
          <w:rFonts w:cs="Arial"/>
        </w:rPr>
        <w:t xml:space="preserve">  The Duty of Candour procedure </w:t>
      </w:r>
      <w:proofErr w:type="gramStart"/>
      <w:r>
        <w:rPr>
          <w:rFonts w:cs="Arial"/>
        </w:rPr>
        <w:t>was applied</w:t>
      </w:r>
      <w:proofErr w:type="gramEnd"/>
      <w:r>
        <w:rPr>
          <w:rFonts w:cs="Arial"/>
        </w:rPr>
        <w:t xml:space="preserve"> in twenty-two of these events.</w:t>
      </w:r>
    </w:p>
    <w:p w14:paraId="2DA30030" w14:textId="77777777" w:rsidR="00087E21" w:rsidRPr="00192434" w:rsidRDefault="00087E21" w:rsidP="00087E21">
      <w:pPr>
        <w:autoSpaceDE w:val="0"/>
        <w:autoSpaceDN w:val="0"/>
        <w:adjustRightInd w:val="0"/>
        <w:ind w:left="426"/>
        <w:jc w:val="both"/>
        <w:rPr>
          <w:rFonts w:cs="Arial"/>
        </w:rPr>
      </w:pPr>
    </w:p>
    <w:p w14:paraId="614AF685" w14:textId="77777777" w:rsidR="00087E21" w:rsidRPr="00D73103" w:rsidRDefault="00087E21" w:rsidP="00087E21">
      <w:pPr>
        <w:numPr>
          <w:ilvl w:val="0"/>
          <w:numId w:val="25"/>
        </w:numPr>
        <w:autoSpaceDE w:val="0"/>
        <w:autoSpaceDN w:val="0"/>
        <w:adjustRightInd w:val="0"/>
        <w:jc w:val="both"/>
        <w:rPr>
          <w:rFonts w:cs="Arial"/>
        </w:rPr>
      </w:pPr>
      <w:r w:rsidRPr="00D73103">
        <w:rPr>
          <w:rFonts w:cs="Arial"/>
        </w:rPr>
        <w:t>NHS Golden Jubilee have not triggered the Duty of Candour procedure for any events directly attributed to COVID-19.</w:t>
      </w:r>
    </w:p>
    <w:p w14:paraId="13E0384B" w14:textId="77777777" w:rsidR="00087E21" w:rsidRPr="00D73103" w:rsidRDefault="00087E21" w:rsidP="00087E21">
      <w:pPr>
        <w:autoSpaceDE w:val="0"/>
        <w:autoSpaceDN w:val="0"/>
        <w:adjustRightInd w:val="0"/>
        <w:ind w:left="426"/>
        <w:jc w:val="both"/>
        <w:rPr>
          <w:rFonts w:cs="Arial"/>
        </w:rPr>
      </w:pPr>
    </w:p>
    <w:p w14:paraId="1BDC3EE9" w14:textId="77777777" w:rsidR="00087E21" w:rsidRPr="00192434" w:rsidRDefault="00087E21" w:rsidP="00087E21">
      <w:pPr>
        <w:numPr>
          <w:ilvl w:val="0"/>
          <w:numId w:val="25"/>
        </w:numPr>
        <w:autoSpaceDE w:val="0"/>
        <w:autoSpaceDN w:val="0"/>
        <w:adjustRightInd w:val="0"/>
        <w:jc w:val="both"/>
        <w:rPr>
          <w:rFonts w:cs="Arial"/>
        </w:rPr>
      </w:pPr>
      <w:r w:rsidRPr="00D73103">
        <w:rPr>
          <w:rFonts w:cs="Arial"/>
        </w:rPr>
        <w:t xml:space="preserve">During this </w:t>
      </w:r>
      <w:proofErr w:type="gramStart"/>
      <w:r w:rsidRPr="00D73103">
        <w:rPr>
          <w:rFonts w:cs="Arial"/>
        </w:rPr>
        <w:t>period</w:t>
      </w:r>
      <w:proofErr w:type="gramEnd"/>
      <w:r w:rsidRPr="00D73103">
        <w:rPr>
          <w:rFonts w:cs="Arial"/>
        </w:rPr>
        <w:t xml:space="preserve"> there were no families that requested to meet to discuss the findings of an SAER investigation.</w:t>
      </w:r>
    </w:p>
    <w:p w14:paraId="6B6623D1" w14:textId="77777777" w:rsidR="00087E21" w:rsidRDefault="00087E21" w:rsidP="00087E21">
      <w:pPr>
        <w:rPr>
          <w:rFonts w:cs="Arial"/>
        </w:rPr>
      </w:pPr>
    </w:p>
    <w:p w14:paraId="48790B73" w14:textId="77777777" w:rsidR="00087E21" w:rsidRPr="00192434" w:rsidRDefault="00087E21" w:rsidP="00087E21">
      <w:pPr>
        <w:pStyle w:val="Default"/>
        <w:numPr>
          <w:ilvl w:val="0"/>
          <w:numId w:val="25"/>
        </w:numPr>
        <w:jc w:val="both"/>
      </w:pPr>
      <w:r w:rsidRPr="00135A9D">
        <w:t xml:space="preserve">Of the twenty-two events that triggered the </w:t>
      </w:r>
      <w:proofErr w:type="spellStart"/>
      <w:r w:rsidRPr="00135A9D">
        <w:t>DoC</w:t>
      </w:r>
      <w:proofErr w:type="spellEnd"/>
      <w:r w:rsidRPr="00135A9D">
        <w:t xml:space="preserve">, twelve reviews remain open at the time of reporting; these reviews </w:t>
      </w:r>
      <w:proofErr w:type="gramStart"/>
      <w:r w:rsidRPr="00135A9D">
        <w:t>are projected</w:t>
      </w:r>
      <w:proofErr w:type="gramEnd"/>
      <w:r w:rsidRPr="00135A9D">
        <w:t xml:space="preserve"> to breach timeframes</w:t>
      </w:r>
      <w:r>
        <w:t>, however effective communication will continue with those involved in the process</w:t>
      </w:r>
      <w:r w:rsidRPr="00135A9D">
        <w:t xml:space="preserve">. In all of the </w:t>
      </w:r>
      <w:proofErr w:type="spellStart"/>
      <w:r w:rsidRPr="00135A9D">
        <w:t>DoC</w:t>
      </w:r>
      <w:proofErr w:type="spellEnd"/>
      <w:r w:rsidRPr="00135A9D">
        <w:t xml:space="preserve"> cases, relevant parties were advised a review was taking </w:t>
      </w:r>
      <w:proofErr w:type="gramStart"/>
      <w:r w:rsidRPr="00135A9D">
        <w:t>place and they were also given a copy of the final report</w:t>
      </w:r>
      <w:proofErr w:type="gramEnd"/>
      <w:r w:rsidRPr="00135A9D">
        <w:t xml:space="preserve"> and an offer made to meet to discuss the content of the report.</w:t>
      </w:r>
    </w:p>
    <w:p w14:paraId="66B924CD" w14:textId="77777777" w:rsidR="00087E21" w:rsidRPr="00192434" w:rsidRDefault="00087E21" w:rsidP="00087E21">
      <w:pPr>
        <w:pStyle w:val="Default"/>
        <w:ind w:left="426"/>
        <w:jc w:val="both"/>
      </w:pPr>
    </w:p>
    <w:p w14:paraId="67C5A722" w14:textId="77777777" w:rsidR="00087E21" w:rsidRPr="009075F5" w:rsidRDefault="00087E21" w:rsidP="00087E21">
      <w:pPr>
        <w:pStyle w:val="Default"/>
        <w:numPr>
          <w:ilvl w:val="0"/>
          <w:numId w:val="25"/>
        </w:numPr>
        <w:jc w:val="both"/>
        <w:rPr>
          <w:b/>
        </w:rPr>
      </w:pPr>
      <w:r w:rsidRPr="00135A9D">
        <w:t xml:space="preserve">Of the nine reviews that have concluded, two fully met the </w:t>
      </w:r>
      <w:proofErr w:type="spellStart"/>
      <w:r w:rsidRPr="00135A9D">
        <w:t>DoC</w:t>
      </w:r>
      <w:proofErr w:type="spellEnd"/>
      <w:r w:rsidRPr="00135A9D">
        <w:t xml:space="preserve"> process requirements including meeting the 90-day timescale for completion of the review process</w:t>
      </w:r>
      <w:r w:rsidRPr="00135A9D">
        <w:rPr>
          <w:b/>
        </w:rPr>
        <w:t xml:space="preserve">.  </w:t>
      </w:r>
    </w:p>
    <w:p w14:paraId="24A9BB50" w14:textId="77777777" w:rsidR="00087E21" w:rsidRDefault="00087E21" w:rsidP="00087E21">
      <w:pPr>
        <w:rPr>
          <w:rFonts w:cs="Arial"/>
        </w:rPr>
      </w:pPr>
    </w:p>
    <w:p w14:paraId="432009E5" w14:textId="5341671B" w:rsidR="00F3337D" w:rsidRDefault="00087E21" w:rsidP="00087E21">
      <w:pPr>
        <w:spacing w:before="40" w:after="40" w:line="276" w:lineRule="auto"/>
        <w:ind w:left="720"/>
        <w:rPr>
          <w:rFonts w:cs="Arial"/>
        </w:rPr>
      </w:pPr>
      <w:r>
        <w:rPr>
          <w:rFonts w:cs="Arial"/>
        </w:rPr>
        <w:t xml:space="preserve">Work is currently ongoing within the Clinical Governance Department to review existing processes and identify improvement </w:t>
      </w:r>
      <w:proofErr w:type="gramStart"/>
      <w:r>
        <w:rPr>
          <w:rFonts w:cs="Arial"/>
        </w:rPr>
        <w:t>areas which</w:t>
      </w:r>
      <w:proofErr w:type="gramEnd"/>
      <w:r>
        <w:rPr>
          <w:rFonts w:cs="Arial"/>
        </w:rPr>
        <w:t xml:space="preserve"> will address areas such as timescales.</w:t>
      </w:r>
    </w:p>
    <w:p w14:paraId="0F1D4CFB" w14:textId="77777777" w:rsidR="00087E21" w:rsidRPr="00BF3AF0" w:rsidRDefault="00087E21" w:rsidP="00087E21">
      <w:pPr>
        <w:spacing w:before="40" w:after="40" w:line="276" w:lineRule="auto"/>
        <w:ind w:left="720"/>
        <w:rPr>
          <w:rFonts w:cs="Arial"/>
          <w:color w:val="000000"/>
          <w:szCs w:val="24"/>
        </w:rPr>
      </w:pPr>
    </w:p>
    <w:p w14:paraId="3F2871AE" w14:textId="77777777" w:rsidR="00F3337D" w:rsidRDefault="00C87B62" w:rsidP="00F3337D">
      <w:pPr>
        <w:pStyle w:val="Heading3"/>
        <w:spacing w:line="276" w:lineRule="auto"/>
      </w:pPr>
      <w:r>
        <w:t>2</w:t>
      </w:r>
      <w:r w:rsidR="00BF3AF0">
        <w:t>.3.1</w:t>
      </w:r>
      <w:r w:rsidR="00BF3AF0">
        <w:tab/>
      </w:r>
      <w:r w:rsidR="00F3337D">
        <w:t>Quality/ Patient Care</w:t>
      </w:r>
    </w:p>
    <w:p w14:paraId="0D9DF1BC" w14:textId="3734A6C7" w:rsidR="00F3337D" w:rsidRDefault="001174B5" w:rsidP="00D44B83">
      <w:pPr>
        <w:spacing w:before="40" w:after="40"/>
        <w:ind w:left="720"/>
        <w:rPr>
          <w:rFonts w:cs="Arial"/>
          <w:color w:val="000000"/>
          <w:szCs w:val="24"/>
        </w:rPr>
      </w:pPr>
      <w:r>
        <w:rPr>
          <w:rFonts w:cs="Arial"/>
          <w:color w:val="000000"/>
          <w:szCs w:val="24"/>
        </w:rPr>
        <w:t xml:space="preserve">Ongoing improvement work </w:t>
      </w:r>
      <w:proofErr w:type="gramStart"/>
      <w:r>
        <w:rPr>
          <w:rFonts w:cs="Arial"/>
          <w:color w:val="000000"/>
          <w:szCs w:val="24"/>
        </w:rPr>
        <w:t>has been carried out</w:t>
      </w:r>
      <w:proofErr w:type="gramEnd"/>
      <w:r>
        <w:rPr>
          <w:rFonts w:cs="Arial"/>
          <w:color w:val="000000"/>
          <w:szCs w:val="24"/>
        </w:rPr>
        <w:t xml:space="preserve"> to </w:t>
      </w:r>
      <w:r w:rsidR="00087E21">
        <w:rPr>
          <w:rFonts w:cs="Arial"/>
          <w:color w:val="000000"/>
          <w:szCs w:val="24"/>
        </w:rPr>
        <w:t>continually improve the management of duty of candour</w:t>
      </w:r>
      <w:r>
        <w:rPr>
          <w:rFonts w:cs="Arial"/>
          <w:color w:val="000000"/>
          <w:szCs w:val="24"/>
        </w:rPr>
        <w:t xml:space="preserve">.  This work continues to </w:t>
      </w:r>
      <w:proofErr w:type="gramStart"/>
      <w:r>
        <w:rPr>
          <w:rFonts w:cs="Arial"/>
          <w:color w:val="000000"/>
          <w:szCs w:val="24"/>
        </w:rPr>
        <w:t>be driven</w:t>
      </w:r>
      <w:proofErr w:type="gramEnd"/>
      <w:r>
        <w:rPr>
          <w:rFonts w:cs="Arial"/>
          <w:color w:val="000000"/>
          <w:szCs w:val="24"/>
        </w:rPr>
        <w:t xml:space="preserve"> forward to provide in conjunction with proactive analysis of</w:t>
      </w:r>
      <w:r w:rsidR="00087E21">
        <w:rPr>
          <w:rFonts w:cs="Arial"/>
          <w:color w:val="000000"/>
          <w:szCs w:val="24"/>
        </w:rPr>
        <w:t xml:space="preserve"> process and</w:t>
      </w:r>
      <w:r>
        <w:rPr>
          <w:rFonts w:cs="Arial"/>
          <w:color w:val="000000"/>
          <w:szCs w:val="24"/>
        </w:rPr>
        <w:t xml:space="preserve"> trends to ensure a high quality of patient care and experience.</w:t>
      </w:r>
    </w:p>
    <w:p w14:paraId="7F4F84BF" w14:textId="77777777" w:rsidR="00F3337D" w:rsidRPr="00F3337D" w:rsidRDefault="00F3337D" w:rsidP="00D44B83">
      <w:pPr>
        <w:pStyle w:val="ListParagraph"/>
        <w:ind w:left="1440"/>
        <w:rPr>
          <w:rFonts w:ascii="Arial" w:hAnsi="Arial" w:cs="Arial"/>
          <w:color w:val="000000"/>
          <w:sz w:val="24"/>
          <w:szCs w:val="24"/>
        </w:rPr>
      </w:pPr>
    </w:p>
    <w:p w14:paraId="28A49038" w14:textId="77777777" w:rsidR="00AA77F7" w:rsidRDefault="00C87B62" w:rsidP="00D44B83">
      <w:pPr>
        <w:pStyle w:val="Heading3"/>
      </w:pPr>
      <w:r>
        <w:t>2</w:t>
      </w:r>
      <w:r w:rsidR="00BF3AF0">
        <w:t>.3.2</w:t>
      </w:r>
      <w:r w:rsidR="00BF3AF0">
        <w:tab/>
      </w:r>
      <w:r w:rsidR="00AA77F7">
        <w:t>Workforce</w:t>
      </w:r>
    </w:p>
    <w:p w14:paraId="4C3D7F7F" w14:textId="47776EC1" w:rsidR="00AA77F7" w:rsidRDefault="001174B5" w:rsidP="00D44B83">
      <w:pPr>
        <w:spacing w:before="40" w:after="40"/>
        <w:ind w:left="720"/>
        <w:rPr>
          <w:rFonts w:cs="Arial"/>
          <w:color w:val="000000"/>
          <w:szCs w:val="24"/>
        </w:rPr>
      </w:pPr>
      <w:r>
        <w:rPr>
          <w:rFonts w:cs="Arial"/>
          <w:color w:val="000000"/>
          <w:szCs w:val="24"/>
        </w:rPr>
        <w:t>The process undoubtedly presents challenges in various forms to the workforce both from a psychological and capacity perspective.  The organisation is reinforcing support mechanisms for those involved whilst ensuring that learning is the focus of the outcome of the reviews</w:t>
      </w:r>
      <w:r w:rsidR="00087E21">
        <w:rPr>
          <w:rFonts w:cs="Arial"/>
          <w:color w:val="000000"/>
          <w:szCs w:val="24"/>
        </w:rPr>
        <w:t xml:space="preserve"> where duty of candour has been applied</w:t>
      </w:r>
      <w:r>
        <w:rPr>
          <w:rFonts w:cs="Arial"/>
          <w:color w:val="000000"/>
          <w:szCs w:val="24"/>
        </w:rPr>
        <w:t>.</w:t>
      </w:r>
    </w:p>
    <w:p w14:paraId="6E510C17" w14:textId="77777777" w:rsidR="00F3337D" w:rsidRPr="00AA77F7" w:rsidRDefault="00F3337D" w:rsidP="00D44B83">
      <w:pPr>
        <w:rPr>
          <w:rFonts w:cs="Arial"/>
          <w:color w:val="000000"/>
          <w:szCs w:val="24"/>
        </w:rPr>
      </w:pPr>
    </w:p>
    <w:p w14:paraId="3649D035" w14:textId="77777777" w:rsidR="00F3337D" w:rsidRDefault="00C87B62" w:rsidP="00D44B83">
      <w:pPr>
        <w:pStyle w:val="Heading3"/>
      </w:pPr>
      <w:r>
        <w:t>2</w:t>
      </w:r>
      <w:r w:rsidR="00BF3AF0">
        <w:t>.3.3</w:t>
      </w:r>
      <w:r w:rsidR="00BF3AF0">
        <w:tab/>
      </w:r>
      <w:r w:rsidR="00F3337D">
        <w:t>Financial</w:t>
      </w:r>
    </w:p>
    <w:p w14:paraId="48C552DA" w14:textId="2BE15CCA" w:rsidR="00F3337D" w:rsidRPr="00611AA4" w:rsidRDefault="001174B5" w:rsidP="00D44B83">
      <w:pPr>
        <w:spacing w:before="40" w:after="40"/>
        <w:ind w:left="720"/>
        <w:rPr>
          <w:rFonts w:cs="Arial"/>
          <w:color w:val="000000"/>
          <w:szCs w:val="24"/>
        </w:rPr>
      </w:pPr>
      <w:r>
        <w:rPr>
          <w:rFonts w:cs="Arial"/>
          <w:color w:val="000000"/>
          <w:szCs w:val="24"/>
        </w:rPr>
        <w:t>There is potential for redress following</w:t>
      </w:r>
      <w:r w:rsidR="00087E21">
        <w:rPr>
          <w:rFonts w:cs="Arial"/>
          <w:color w:val="000000"/>
          <w:szCs w:val="24"/>
        </w:rPr>
        <w:t xml:space="preserve"> identification of an event where duty of candour applies,</w:t>
      </w:r>
      <w:r>
        <w:rPr>
          <w:rFonts w:cs="Arial"/>
          <w:color w:val="000000"/>
          <w:szCs w:val="24"/>
        </w:rPr>
        <w:t xml:space="preserve"> and this is managed through the claims handling process.</w:t>
      </w:r>
    </w:p>
    <w:p w14:paraId="5508479E" w14:textId="77777777" w:rsidR="00F3337D" w:rsidRDefault="00F3337D" w:rsidP="00D44B83">
      <w:pPr>
        <w:pStyle w:val="ListParagraph"/>
        <w:spacing w:before="40" w:after="40"/>
        <w:ind w:left="394"/>
        <w:rPr>
          <w:rFonts w:ascii="Arial" w:hAnsi="Arial" w:cs="Arial"/>
          <w:color w:val="000000"/>
          <w:sz w:val="24"/>
          <w:szCs w:val="24"/>
        </w:rPr>
      </w:pPr>
    </w:p>
    <w:p w14:paraId="39B04ABF" w14:textId="77777777" w:rsidR="00F3337D" w:rsidRDefault="00C87B62" w:rsidP="00D44B83">
      <w:pPr>
        <w:pStyle w:val="Heading3"/>
      </w:pPr>
      <w:r>
        <w:lastRenderedPageBreak/>
        <w:t>2</w:t>
      </w:r>
      <w:r w:rsidR="00BF3AF0">
        <w:t>.3.4</w:t>
      </w:r>
      <w:r w:rsidR="00BF3AF0">
        <w:tab/>
      </w:r>
      <w:r w:rsidR="00F3337D">
        <w:t>Risk Assessment</w:t>
      </w:r>
      <w:r w:rsidR="00BF3AF0">
        <w:t>/</w:t>
      </w:r>
      <w:r w:rsidR="00F3337D">
        <w:t>Management</w:t>
      </w:r>
    </w:p>
    <w:p w14:paraId="3B304CC4" w14:textId="65115250" w:rsidR="00F3337D" w:rsidRDefault="00087E21" w:rsidP="00D44B83">
      <w:pPr>
        <w:spacing w:before="40" w:after="40"/>
        <w:ind w:left="709"/>
        <w:rPr>
          <w:rFonts w:cs="Arial"/>
          <w:color w:val="000000"/>
          <w:szCs w:val="24"/>
        </w:rPr>
      </w:pPr>
      <w:r>
        <w:rPr>
          <w:rFonts w:cs="Arial"/>
          <w:color w:val="000000"/>
          <w:szCs w:val="24"/>
        </w:rPr>
        <w:t>Each event</w:t>
      </w:r>
      <w:r w:rsidR="00EB793B">
        <w:rPr>
          <w:rFonts w:cs="Arial"/>
          <w:color w:val="000000"/>
          <w:szCs w:val="24"/>
        </w:rPr>
        <w:t xml:space="preserve"> is managed on a </w:t>
      </w:r>
      <w:r w:rsidR="00F21F29">
        <w:rPr>
          <w:rFonts w:cs="Arial"/>
          <w:color w:val="000000"/>
          <w:szCs w:val="24"/>
        </w:rPr>
        <w:t>case-by-case</w:t>
      </w:r>
      <w:r w:rsidR="00EB793B">
        <w:rPr>
          <w:rFonts w:cs="Arial"/>
          <w:color w:val="000000"/>
          <w:szCs w:val="24"/>
        </w:rPr>
        <w:t xml:space="preserve"> basis and risk assessment is supported where required.</w:t>
      </w:r>
    </w:p>
    <w:p w14:paraId="46FDCAB4" w14:textId="77777777" w:rsidR="00F3337D" w:rsidRPr="00BF3AF0" w:rsidRDefault="00F3337D" w:rsidP="00D44B83">
      <w:pPr>
        <w:spacing w:before="40" w:after="40"/>
        <w:rPr>
          <w:rFonts w:cs="Arial"/>
          <w:color w:val="000000"/>
          <w:szCs w:val="24"/>
        </w:rPr>
      </w:pPr>
    </w:p>
    <w:p w14:paraId="527290C2" w14:textId="731E9F87" w:rsidR="00F3337D" w:rsidRPr="00EB793B" w:rsidRDefault="00C87B62" w:rsidP="00D44B83">
      <w:pPr>
        <w:pStyle w:val="Heading3"/>
        <w:ind w:left="709" w:hanging="709"/>
      </w:pPr>
      <w:r>
        <w:t>2</w:t>
      </w:r>
      <w:r w:rsidR="00BF3AF0">
        <w:t>.3.5</w:t>
      </w:r>
      <w:r w:rsidR="00BF3AF0">
        <w:tab/>
      </w:r>
      <w:r w:rsidR="00F3337D">
        <w:t>Equality and Diversity, including health inequalities</w:t>
      </w:r>
      <w:r w:rsidR="00446219" w:rsidRPr="00BF3AF0">
        <w:rPr>
          <w:rFonts w:cs="Arial"/>
          <w:color w:val="000000"/>
          <w:highlight w:val="lightGray"/>
        </w:rPr>
        <w:br/>
      </w:r>
      <w:r w:rsidR="00F3337D" w:rsidRPr="00EB793B">
        <w:rPr>
          <w:rFonts w:cs="Arial"/>
          <w:b w:val="0"/>
          <w:color w:val="000000"/>
        </w:rPr>
        <w:t xml:space="preserve">An impact assessment has not been </w:t>
      </w:r>
      <w:r w:rsidR="00F21F29" w:rsidRPr="00EB793B">
        <w:rPr>
          <w:rFonts w:cs="Arial"/>
          <w:b w:val="0"/>
          <w:color w:val="000000"/>
        </w:rPr>
        <w:t>completed,</w:t>
      </w:r>
      <w:r w:rsidR="00F3337D" w:rsidRPr="00EB793B">
        <w:rPr>
          <w:rFonts w:cs="Arial"/>
          <w:b w:val="0"/>
          <w:color w:val="000000"/>
        </w:rPr>
        <w:t xml:space="preserve"> </w:t>
      </w:r>
      <w:r w:rsidR="00EB793B" w:rsidRPr="00EB793B">
        <w:rPr>
          <w:rFonts w:cs="Arial"/>
          <w:b w:val="0"/>
          <w:color w:val="000000"/>
        </w:rPr>
        <w:t>as this is an annual update report.</w:t>
      </w:r>
      <w:r w:rsidR="00EB793B">
        <w:rPr>
          <w:rFonts w:cs="Arial"/>
          <w:color w:val="000000"/>
        </w:rPr>
        <w:t xml:space="preserve"> </w:t>
      </w:r>
    </w:p>
    <w:p w14:paraId="538DD4EB" w14:textId="30DDE60E" w:rsidR="00B178D4" w:rsidRPr="00EB793B" w:rsidRDefault="00B178D4" w:rsidP="00D44B83">
      <w:pPr>
        <w:rPr>
          <w:rFonts w:cs="Arial"/>
          <w:color w:val="000000"/>
          <w:szCs w:val="24"/>
        </w:rPr>
      </w:pPr>
    </w:p>
    <w:p w14:paraId="032E2865" w14:textId="77777777" w:rsidR="00446219" w:rsidRPr="00DA354A" w:rsidRDefault="00C87B62" w:rsidP="00D44B83">
      <w:pPr>
        <w:pStyle w:val="Heading3"/>
      </w:pPr>
      <w:r>
        <w:t>2</w:t>
      </w:r>
      <w:r w:rsidR="00BF3AF0">
        <w:t>.3.6</w:t>
      </w:r>
      <w:r w:rsidR="00BF3AF0">
        <w:tab/>
      </w:r>
      <w:r w:rsidR="00446219" w:rsidRPr="00DA354A">
        <w:t>Other</w:t>
      </w:r>
      <w:r w:rsidR="00BF3AF0">
        <w:t xml:space="preserve"> impacts</w:t>
      </w:r>
    </w:p>
    <w:p w14:paraId="1CD0692F" w14:textId="31211343" w:rsidR="00446219" w:rsidRDefault="00EB793B" w:rsidP="00D44B83">
      <w:pPr>
        <w:spacing w:before="40" w:after="40"/>
        <w:ind w:left="709"/>
        <w:rPr>
          <w:rFonts w:cs="Arial"/>
          <w:color w:val="000000"/>
          <w:szCs w:val="24"/>
        </w:rPr>
      </w:pPr>
      <w:r>
        <w:rPr>
          <w:rFonts w:cs="Arial"/>
          <w:color w:val="000000"/>
          <w:szCs w:val="24"/>
        </w:rPr>
        <w:t>Potential for reputational impact due to the nature and content of the report.  Data indicates that performance is consistent with Boards across Scotland.</w:t>
      </w:r>
    </w:p>
    <w:p w14:paraId="025FF64A" w14:textId="77777777" w:rsidR="00AA77F7" w:rsidRPr="00F3337D" w:rsidRDefault="00AA77F7" w:rsidP="00D44B83">
      <w:pPr>
        <w:pStyle w:val="ListParagraph"/>
        <w:rPr>
          <w:rFonts w:ascii="Arial" w:hAnsi="Arial" w:cs="Arial"/>
          <w:color w:val="000000"/>
          <w:sz w:val="24"/>
          <w:szCs w:val="24"/>
        </w:rPr>
      </w:pPr>
    </w:p>
    <w:p w14:paraId="3986308C" w14:textId="700BDF9B" w:rsidR="00F3337D" w:rsidRPr="001E17F6" w:rsidRDefault="00446219" w:rsidP="00D44B83">
      <w:pPr>
        <w:pStyle w:val="Heading3"/>
        <w:numPr>
          <w:ilvl w:val="2"/>
          <w:numId w:val="16"/>
        </w:numPr>
        <w:rPr>
          <w:rFonts w:eastAsia="Times New Roman"/>
        </w:rPr>
      </w:pPr>
      <w:r>
        <w:rPr>
          <w:rFonts w:eastAsia="Times New Roman"/>
        </w:rPr>
        <w:t>Communication, involvement, engagement and consultation</w:t>
      </w:r>
    </w:p>
    <w:p w14:paraId="6C013B7B" w14:textId="2567828D" w:rsidR="00F3337D" w:rsidRPr="00BF3AF0" w:rsidRDefault="00446219" w:rsidP="00D44B83">
      <w:pPr>
        <w:spacing w:before="40" w:after="40"/>
        <w:ind w:left="720"/>
        <w:rPr>
          <w:rFonts w:cs="Arial"/>
          <w:color w:val="000000"/>
          <w:szCs w:val="24"/>
        </w:rPr>
      </w:pPr>
      <w:r w:rsidRPr="00BF3AF0">
        <w:rPr>
          <w:rFonts w:cs="Arial"/>
          <w:color w:val="000000"/>
          <w:szCs w:val="24"/>
        </w:rPr>
        <w:t xml:space="preserve">The Board has carried out its duties to involve and engage </w:t>
      </w:r>
      <w:r w:rsidR="00AF0530">
        <w:rPr>
          <w:rFonts w:cs="Arial"/>
          <w:color w:val="000000"/>
          <w:szCs w:val="24"/>
        </w:rPr>
        <w:t xml:space="preserve">external </w:t>
      </w:r>
      <w:r w:rsidRPr="00BF3AF0">
        <w:rPr>
          <w:rFonts w:cs="Arial"/>
          <w:color w:val="000000"/>
          <w:szCs w:val="24"/>
        </w:rPr>
        <w:t>stakeholders</w:t>
      </w:r>
      <w:r w:rsidR="00AF0530">
        <w:rPr>
          <w:rFonts w:cs="Arial"/>
          <w:color w:val="000000"/>
          <w:szCs w:val="24"/>
        </w:rPr>
        <w:t xml:space="preserve"> where appropriate</w:t>
      </w:r>
      <w:r w:rsidRPr="00BF3AF0">
        <w:rPr>
          <w:rFonts w:cs="Arial"/>
          <w:color w:val="000000"/>
          <w:szCs w:val="24"/>
        </w:rPr>
        <w:t>:</w:t>
      </w:r>
    </w:p>
    <w:p w14:paraId="0653C89C" w14:textId="66466B07" w:rsidR="00F3337D" w:rsidRDefault="00F3337D" w:rsidP="00D44B83">
      <w:pPr>
        <w:pStyle w:val="ListParagraph"/>
        <w:rPr>
          <w:rFonts w:ascii="Arial" w:hAnsi="Arial" w:cs="Arial"/>
          <w:color w:val="000000"/>
          <w:sz w:val="24"/>
          <w:szCs w:val="24"/>
        </w:rPr>
      </w:pPr>
    </w:p>
    <w:p w14:paraId="3684D68B" w14:textId="401B1046" w:rsidR="00AF0530" w:rsidRDefault="00AF0530" w:rsidP="00D44B83">
      <w:pPr>
        <w:pStyle w:val="ListParagraph"/>
        <w:rPr>
          <w:rFonts w:ascii="Arial" w:hAnsi="Arial" w:cs="Arial"/>
          <w:color w:val="000000"/>
          <w:sz w:val="24"/>
          <w:szCs w:val="24"/>
        </w:rPr>
      </w:pPr>
      <w:r>
        <w:rPr>
          <w:rFonts w:ascii="Arial" w:hAnsi="Arial" w:cs="Arial"/>
          <w:color w:val="000000"/>
          <w:sz w:val="24"/>
          <w:szCs w:val="24"/>
        </w:rPr>
        <w:t>State how his has been carried out and note any meetings that have taken place.</w:t>
      </w:r>
    </w:p>
    <w:p w14:paraId="694C1A74" w14:textId="77777777" w:rsidR="00AF0530" w:rsidRDefault="00AF0530" w:rsidP="00D44B83">
      <w:pPr>
        <w:pStyle w:val="ListParagraph"/>
        <w:rPr>
          <w:rFonts w:ascii="Arial" w:hAnsi="Arial" w:cs="Arial"/>
          <w:color w:val="000000"/>
          <w:sz w:val="24"/>
          <w:szCs w:val="24"/>
        </w:rPr>
      </w:pPr>
    </w:p>
    <w:p w14:paraId="5743C3F0" w14:textId="510604B0" w:rsidR="00446219" w:rsidRPr="00EB793B" w:rsidRDefault="00EB793B" w:rsidP="00D44B83">
      <w:pPr>
        <w:pStyle w:val="ListParagraph"/>
        <w:numPr>
          <w:ilvl w:val="0"/>
          <w:numId w:val="4"/>
        </w:numPr>
        <w:spacing w:before="40" w:after="40"/>
        <w:rPr>
          <w:rFonts w:ascii="Arial" w:hAnsi="Arial" w:cs="Arial"/>
          <w:sz w:val="24"/>
          <w:szCs w:val="24"/>
        </w:rPr>
      </w:pPr>
      <w:r w:rsidRPr="00EB793B">
        <w:rPr>
          <w:rFonts w:ascii="Arial" w:hAnsi="Arial" w:cs="Arial"/>
          <w:sz w:val="24"/>
          <w:szCs w:val="24"/>
        </w:rPr>
        <w:t>Clinical Governance Risk Management Group</w:t>
      </w:r>
      <w:r w:rsidR="00605DF2">
        <w:rPr>
          <w:rFonts w:ascii="Arial" w:hAnsi="Arial" w:cs="Arial"/>
          <w:sz w:val="24"/>
          <w:szCs w:val="24"/>
        </w:rPr>
        <w:t>, 23 June 2022</w:t>
      </w:r>
    </w:p>
    <w:p w14:paraId="5DC0C206" w14:textId="1AF05442" w:rsidR="00430C09" w:rsidRDefault="00EB793B" w:rsidP="00D44B83">
      <w:pPr>
        <w:pStyle w:val="ListParagraph"/>
        <w:numPr>
          <w:ilvl w:val="0"/>
          <w:numId w:val="4"/>
        </w:numPr>
        <w:spacing w:before="40" w:after="40"/>
        <w:rPr>
          <w:rFonts w:ascii="Arial" w:hAnsi="Arial" w:cs="Arial"/>
          <w:sz w:val="24"/>
          <w:szCs w:val="24"/>
        </w:rPr>
      </w:pPr>
      <w:r w:rsidRPr="00EB793B">
        <w:rPr>
          <w:rFonts w:ascii="Arial" w:hAnsi="Arial" w:cs="Arial"/>
          <w:sz w:val="24"/>
          <w:szCs w:val="24"/>
        </w:rPr>
        <w:t>Clinical Governance Committee</w:t>
      </w:r>
      <w:r w:rsidR="00605DF2">
        <w:rPr>
          <w:rFonts w:ascii="Arial" w:hAnsi="Arial" w:cs="Arial"/>
          <w:sz w:val="24"/>
          <w:szCs w:val="24"/>
        </w:rPr>
        <w:t>, 29 June 2022</w:t>
      </w:r>
    </w:p>
    <w:p w14:paraId="46E05957" w14:textId="77777777" w:rsidR="00B851FC" w:rsidRPr="00446219" w:rsidRDefault="00B851FC" w:rsidP="00B851FC">
      <w:pPr>
        <w:pStyle w:val="ListParagraph"/>
        <w:spacing w:before="40" w:after="40" w:line="276" w:lineRule="auto"/>
        <w:ind w:left="1080"/>
        <w:rPr>
          <w:rFonts w:ascii="Arial" w:hAnsi="Arial" w:cs="Arial"/>
          <w:sz w:val="24"/>
          <w:szCs w:val="24"/>
          <w:highlight w:val="lightGray"/>
        </w:rPr>
      </w:pPr>
    </w:p>
    <w:p w14:paraId="786BB218" w14:textId="05DC7341" w:rsidR="00446219" w:rsidRPr="00446219" w:rsidRDefault="001E17F6" w:rsidP="00446219">
      <w:pPr>
        <w:pStyle w:val="Heading3"/>
        <w:numPr>
          <w:ilvl w:val="2"/>
          <w:numId w:val="16"/>
        </w:numPr>
      </w:pPr>
      <w:r>
        <w:t>Route to the Meeting</w:t>
      </w:r>
    </w:p>
    <w:p w14:paraId="569C3A74" w14:textId="77777777" w:rsidR="00446219" w:rsidRPr="00BF3AF0" w:rsidRDefault="00446219" w:rsidP="00BF3AF0">
      <w:pPr>
        <w:spacing w:before="40" w:after="40" w:line="276" w:lineRule="auto"/>
        <w:ind w:left="720"/>
        <w:rPr>
          <w:rFonts w:cs="Arial"/>
          <w:szCs w:val="24"/>
        </w:rPr>
      </w:pPr>
      <w:r w:rsidRPr="00BF3AF0">
        <w:rPr>
          <w:rFonts w:cs="Arial"/>
          <w:szCs w:val="24"/>
        </w:rPr>
        <w:t>This has been previously considered by the following groups as part of its development. The groups have either supported the content, or their feedback has informed the development of the content presented in this report.</w:t>
      </w:r>
    </w:p>
    <w:p w14:paraId="427B582C" w14:textId="77777777" w:rsidR="00430C09" w:rsidRPr="00DB4216" w:rsidRDefault="00430C09" w:rsidP="00446219">
      <w:pPr>
        <w:pStyle w:val="ListParagraph"/>
        <w:spacing w:before="40" w:after="40" w:line="276" w:lineRule="auto"/>
        <w:ind w:left="394"/>
        <w:rPr>
          <w:rFonts w:ascii="Arial" w:hAnsi="Arial" w:cs="Arial"/>
          <w:color w:val="000000"/>
          <w:sz w:val="24"/>
          <w:szCs w:val="24"/>
        </w:rPr>
      </w:pPr>
    </w:p>
    <w:p w14:paraId="2ED0C94F" w14:textId="77777777" w:rsidR="00605DF2" w:rsidRPr="00EB793B" w:rsidRDefault="00605DF2" w:rsidP="00605DF2">
      <w:pPr>
        <w:pStyle w:val="ListParagraph"/>
        <w:numPr>
          <w:ilvl w:val="0"/>
          <w:numId w:val="4"/>
        </w:numPr>
        <w:spacing w:before="40" w:after="40" w:line="276" w:lineRule="auto"/>
        <w:rPr>
          <w:rFonts w:ascii="Arial" w:hAnsi="Arial" w:cs="Arial"/>
          <w:sz w:val="24"/>
          <w:szCs w:val="24"/>
        </w:rPr>
      </w:pPr>
      <w:r w:rsidRPr="00EB793B">
        <w:rPr>
          <w:rFonts w:ascii="Arial" w:hAnsi="Arial" w:cs="Arial"/>
          <w:sz w:val="24"/>
          <w:szCs w:val="24"/>
        </w:rPr>
        <w:t>Clinical Governance Risk Management Group</w:t>
      </w:r>
      <w:r>
        <w:rPr>
          <w:rFonts w:ascii="Arial" w:hAnsi="Arial" w:cs="Arial"/>
          <w:sz w:val="24"/>
          <w:szCs w:val="24"/>
        </w:rPr>
        <w:t>, 23 June 2022</w:t>
      </w:r>
    </w:p>
    <w:p w14:paraId="1AC7A79B" w14:textId="77777777" w:rsidR="00605DF2" w:rsidRPr="00EB793B" w:rsidRDefault="00605DF2" w:rsidP="00605DF2">
      <w:pPr>
        <w:pStyle w:val="ListParagraph"/>
        <w:numPr>
          <w:ilvl w:val="0"/>
          <w:numId w:val="4"/>
        </w:numPr>
        <w:spacing w:before="40" w:after="40" w:line="276" w:lineRule="auto"/>
        <w:rPr>
          <w:rFonts w:ascii="Arial" w:hAnsi="Arial" w:cs="Arial"/>
          <w:sz w:val="24"/>
          <w:szCs w:val="24"/>
        </w:rPr>
      </w:pPr>
      <w:r w:rsidRPr="00EB793B">
        <w:rPr>
          <w:rFonts w:ascii="Arial" w:hAnsi="Arial" w:cs="Arial"/>
          <w:sz w:val="24"/>
          <w:szCs w:val="24"/>
        </w:rPr>
        <w:t>Clinical Governance Committee</w:t>
      </w:r>
      <w:r>
        <w:rPr>
          <w:rFonts w:ascii="Arial" w:hAnsi="Arial" w:cs="Arial"/>
          <w:sz w:val="24"/>
          <w:szCs w:val="24"/>
        </w:rPr>
        <w:t>, 29 June 2022</w:t>
      </w:r>
    </w:p>
    <w:p w14:paraId="41ED7514" w14:textId="77777777" w:rsidR="00430C09" w:rsidRDefault="00430C09" w:rsidP="00430C09">
      <w:pPr>
        <w:pStyle w:val="Heading2"/>
        <w:spacing w:line="276" w:lineRule="auto"/>
      </w:pPr>
    </w:p>
    <w:p w14:paraId="4DB15FCC" w14:textId="77777777" w:rsidR="00BF3AF0" w:rsidRDefault="00C87B62" w:rsidP="00BF3AF0">
      <w:pPr>
        <w:pStyle w:val="Heading2"/>
      </w:pPr>
      <w:r>
        <w:t>2.</w:t>
      </w:r>
      <w:r w:rsidR="00BF3AF0">
        <w:t>4</w:t>
      </w:r>
      <w:r w:rsidR="00BF3AF0">
        <w:tab/>
        <w:t>Recommendation</w:t>
      </w:r>
    </w:p>
    <w:p w14:paraId="28B505A7" w14:textId="77777777" w:rsidR="00BF3AF0" w:rsidRPr="00BF3AF0" w:rsidRDefault="00BF3AF0" w:rsidP="00BF3AF0"/>
    <w:p w14:paraId="6BF1E589" w14:textId="0ABCCF76" w:rsidR="00BF3AF0" w:rsidRPr="00341B07" w:rsidRDefault="00BF3AF0" w:rsidP="00BF3AF0">
      <w:pPr>
        <w:numPr>
          <w:ilvl w:val="0"/>
          <w:numId w:val="1"/>
        </w:numPr>
        <w:spacing w:before="40" w:after="40" w:line="276" w:lineRule="auto"/>
        <w:ind w:hanging="252"/>
        <w:rPr>
          <w:rFonts w:cs="Arial"/>
          <w:color w:val="000000"/>
          <w:szCs w:val="24"/>
        </w:rPr>
      </w:pPr>
      <w:r w:rsidRPr="00341B07">
        <w:rPr>
          <w:rFonts w:cs="Arial"/>
          <w:b/>
          <w:color w:val="000000"/>
          <w:szCs w:val="24"/>
        </w:rPr>
        <w:t>A</w:t>
      </w:r>
      <w:r w:rsidR="00E85D5D">
        <w:rPr>
          <w:rFonts w:cs="Arial"/>
          <w:b/>
          <w:color w:val="000000"/>
          <w:szCs w:val="24"/>
        </w:rPr>
        <w:t>pproval</w:t>
      </w:r>
      <w:r w:rsidRPr="00341B07">
        <w:rPr>
          <w:rFonts w:cs="Arial"/>
          <w:b/>
          <w:color w:val="000000"/>
          <w:szCs w:val="24"/>
        </w:rPr>
        <w:t xml:space="preserve"> </w:t>
      </w:r>
      <w:r w:rsidRPr="00341B07">
        <w:rPr>
          <w:rFonts w:cs="Arial"/>
          <w:color w:val="000000"/>
          <w:szCs w:val="24"/>
        </w:rPr>
        <w:t xml:space="preserve">– For Members’ </w:t>
      </w:r>
      <w:r w:rsidR="00E85D5D">
        <w:rPr>
          <w:rFonts w:cs="Arial"/>
          <w:color w:val="000000"/>
          <w:szCs w:val="24"/>
        </w:rPr>
        <w:t>approval</w:t>
      </w:r>
      <w:bookmarkStart w:id="0" w:name="_GoBack"/>
      <w:bookmarkEnd w:id="0"/>
      <w:r w:rsidRPr="00341B07">
        <w:rPr>
          <w:rFonts w:cs="Arial"/>
          <w:color w:val="000000"/>
          <w:szCs w:val="24"/>
        </w:rPr>
        <w:t>.</w:t>
      </w:r>
    </w:p>
    <w:p w14:paraId="398DB07E" w14:textId="77777777" w:rsidR="00C87B62" w:rsidRDefault="00C87B62" w:rsidP="00C87B62">
      <w:pPr>
        <w:spacing w:before="40" w:after="40" w:line="276" w:lineRule="auto"/>
        <w:rPr>
          <w:rFonts w:cs="Arial"/>
          <w:szCs w:val="24"/>
        </w:rPr>
      </w:pPr>
    </w:p>
    <w:p w14:paraId="0BB8A6AC" w14:textId="77777777" w:rsidR="00C87B62" w:rsidRDefault="00C87B62" w:rsidP="00C87B62">
      <w:pPr>
        <w:pStyle w:val="Heading2"/>
        <w:numPr>
          <w:ilvl w:val="0"/>
          <w:numId w:val="16"/>
        </w:numPr>
        <w:spacing w:line="276" w:lineRule="auto"/>
      </w:pPr>
      <w:r>
        <w:t>List of appendices</w:t>
      </w:r>
    </w:p>
    <w:p w14:paraId="45DEC03E" w14:textId="77777777" w:rsidR="00C87B62" w:rsidRDefault="00C87B62" w:rsidP="00C87B62">
      <w:pPr>
        <w:spacing w:before="40" w:after="40" w:line="276" w:lineRule="auto"/>
        <w:rPr>
          <w:rFonts w:cs="Arial"/>
          <w:color w:val="000000" w:themeColor="text1"/>
          <w:szCs w:val="24"/>
        </w:rPr>
      </w:pPr>
    </w:p>
    <w:p w14:paraId="0D81E75D" w14:textId="406BE939" w:rsidR="00C87B62" w:rsidRPr="00BF3AF0" w:rsidRDefault="00C87B62" w:rsidP="00C87B62">
      <w:pPr>
        <w:spacing w:before="40" w:after="40" w:line="276" w:lineRule="auto"/>
        <w:ind w:firstLine="525"/>
        <w:rPr>
          <w:rFonts w:cs="Arial"/>
          <w:color w:val="000000"/>
          <w:szCs w:val="24"/>
        </w:rPr>
      </w:pPr>
      <w:r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Pr="00BF3AF0">
        <w:rPr>
          <w:rFonts w:cs="Arial"/>
          <w:color w:val="000000" w:themeColor="text1"/>
          <w:szCs w:val="24"/>
        </w:rPr>
        <w:t>:</w:t>
      </w:r>
    </w:p>
    <w:p w14:paraId="4B959049" w14:textId="77777777" w:rsidR="00C87B62" w:rsidRDefault="00C87B62" w:rsidP="00C87B62">
      <w:pPr>
        <w:pStyle w:val="ListParagraph"/>
        <w:spacing w:before="40" w:after="40" w:line="276" w:lineRule="auto"/>
        <w:ind w:left="1253"/>
        <w:rPr>
          <w:rFonts w:ascii="Arial" w:hAnsi="Arial" w:cs="Arial"/>
          <w:color w:val="000000" w:themeColor="text1"/>
          <w:sz w:val="24"/>
          <w:szCs w:val="24"/>
        </w:rPr>
      </w:pPr>
    </w:p>
    <w:p w14:paraId="43CD0E85" w14:textId="2767FDE2" w:rsidR="00C87B62" w:rsidRPr="00341B07" w:rsidRDefault="00C87B62" w:rsidP="00C87B62">
      <w:pPr>
        <w:pStyle w:val="ListParagraph"/>
        <w:numPr>
          <w:ilvl w:val="0"/>
          <w:numId w:val="17"/>
        </w:numPr>
        <w:spacing w:before="40" w:after="40" w:line="276" w:lineRule="auto"/>
        <w:ind w:left="993" w:hanging="284"/>
        <w:rPr>
          <w:rFonts w:ascii="Arial" w:hAnsi="Arial" w:cs="Arial"/>
          <w:color w:val="000000"/>
          <w:sz w:val="24"/>
          <w:szCs w:val="24"/>
        </w:rPr>
      </w:pPr>
      <w:r w:rsidRPr="00341B07">
        <w:rPr>
          <w:rFonts w:ascii="Arial" w:hAnsi="Arial" w:cs="Arial"/>
          <w:color w:val="000000"/>
          <w:sz w:val="24"/>
          <w:szCs w:val="24"/>
        </w:rPr>
        <w:t>Appendix No</w:t>
      </w:r>
      <w:r w:rsidR="00341B07" w:rsidRPr="00341B07">
        <w:rPr>
          <w:rFonts w:ascii="Arial" w:hAnsi="Arial" w:cs="Arial"/>
          <w:color w:val="000000"/>
          <w:sz w:val="24"/>
          <w:szCs w:val="24"/>
        </w:rPr>
        <w:t xml:space="preserve"> 1</w:t>
      </w:r>
      <w:r w:rsidRPr="00341B07">
        <w:rPr>
          <w:rFonts w:ascii="Arial" w:hAnsi="Arial" w:cs="Arial"/>
          <w:color w:val="000000"/>
          <w:sz w:val="24"/>
          <w:szCs w:val="24"/>
        </w:rPr>
        <w:t xml:space="preserve">, </w:t>
      </w:r>
      <w:r w:rsidR="006D704F">
        <w:rPr>
          <w:rFonts w:ascii="Arial" w:hAnsi="Arial" w:cs="Arial"/>
          <w:color w:val="000000"/>
          <w:sz w:val="24"/>
          <w:szCs w:val="24"/>
        </w:rPr>
        <w:t xml:space="preserve">Duty of Candour </w:t>
      </w:r>
      <w:r w:rsidR="00341B07" w:rsidRPr="00341B07">
        <w:rPr>
          <w:rFonts w:ascii="Arial" w:hAnsi="Arial" w:cs="Arial"/>
          <w:color w:val="000000"/>
          <w:sz w:val="24"/>
          <w:szCs w:val="24"/>
        </w:rPr>
        <w:t>Annual Report</w:t>
      </w:r>
      <w:r w:rsidR="00C517A7">
        <w:rPr>
          <w:rFonts w:ascii="Arial" w:hAnsi="Arial" w:cs="Arial"/>
          <w:color w:val="000000"/>
          <w:sz w:val="24"/>
          <w:szCs w:val="24"/>
        </w:rPr>
        <w:t xml:space="preserve"> 2021/</w:t>
      </w:r>
      <w:r w:rsidR="009738DF">
        <w:rPr>
          <w:rFonts w:ascii="Arial" w:hAnsi="Arial" w:cs="Arial"/>
          <w:color w:val="000000"/>
          <w:sz w:val="24"/>
          <w:szCs w:val="24"/>
        </w:rPr>
        <w:t>22</w:t>
      </w:r>
    </w:p>
    <w:p w14:paraId="66811F5C" w14:textId="01C7012A" w:rsidR="00C87B62" w:rsidRDefault="00C87B62" w:rsidP="00C87B62">
      <w:pPr>
        <w:spacing w:before="40" w:after="40" w:line="276" w:lineRule="auto"/>
        <w:rPr>
          <w:rFonts w:cs="Arial"/>
          <w:color w:val="000000"/>
          <w:szCs w:val="24"/>
          <w:highlight w:val="lightGray"/>
        </w:rPr>
      </w:pPr>
    </w:p>
    <w:p w14:paraId="4A845716" w14:textId="5E41DC5F" w:rsidR="001174B5" w:rsidRDefault="001174B5" w:rsidP="00C87B62">
      <w:pPr>
        <w:spacing w:before="40" w:after="40" w:line="276" w:lineRule="auto"/>
        <w:rPr>
          <w:rFonts w:cs="Arial"/>
          <w:color w:val="000000"/>
          <w:szCs w:val="24"/>
          <w:highlight w:val="lightGray"/>
        </w:rPr>
      </w:pPr>
    </w:p>
    <w:p w14:paraId="1FB00487" w14:textId="2305649D" w:rsidR="001174B5" w:rsidRDefault="001174B5" w:rsidP="00C87B62">
      <w:pPr>
        <w:spacing w:before="40" w:after="40" w:line="276" w:lineRule="auto"/>
        <w:rPr>
          <w:rFonts w:cs="Arial"/>
          <w:color w:val="000000"/>
          <w:szCs w:val="24"/>
          <w:highlight w:val="lightGray"/>
        </w:rPr>
      </w:pPr>
    </w:p>
    <w:p w14:paraId="43499BDF" w14:textId="2F9BC27C" w:rsidR="001174B5" w:rsidRDefault="001174B5" w:rsidP="00C87B62">
      <w:pPr>
        <w:spacing w:before="40" w:after="40" w:line="276" w:lineRule="auto"/>
        <w:rPr>
          <w:rFonts w:cs="Arial"/>
          <w:color w:val="000000"/>
          <w:szCs w:val="24"/>
          <w:highlight w:val="lightGray"/>
        </w:rPr>
      </w:pPr>
    </w:p>
    <w:p w14:paraId="050B01A6" w14:textId="5CBA0DED" w:rsidR="001174B5" w:rsidRDefault="001174B5" w:rsidP="00C87B62">
      <w:pPr>
        <w:spacing w:before="40" w:after="40" w:line="276" w:lineRule="auto"/>
        <w:rPr>
          <w:rFonts w:cs="Arial"/>
          <w:color w:val="000000"/>
          <w:szCs w:val="24"/>
          <w:highlight w:val="lightGray"/>
        </w:rPr>
      </w:pPr>
    </w:p>
    <w:p w14:paraId="639F5E96" w14:textId="6D86BB6E" w:rsidR="001174B5" w:rsidRDefault="001174B5" w:rsidP="00D44B83">
      <w:pPr>
        <w:spacing w:before="40" w:after="40" w:line="276" w:lineRule="auto"/>
        <w:rPr>
          <w:rFonts w:cs="Arial"/>
          <w:b/>
          <w:color w:val="000000"/>
          <w:szCs w:val="24"/>
        </w:rPr>
      </w:pPr>
    </w:p>
    <w:sectPr w:rsidR="001174B5" w:rsidSect="003F7F61">
      <w:headerReference w:type="default" r:id="rId12"/>
      <w:footerReference w:type="default" r:id="rId13"/>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B80B5" w14:textId="77777777" w:rsidR="00FC41CD" w:rsidRDefault="00FC41CD">
      <w:r>
        <w:separator/>
      </w:r>
    </w:p>
  </w:endnote>
  <w:endnote w:type="continuationSeparator" w:id="0">
    <w:p w14:paraId="5EFD4663" w14:textId="77777777" w:rsidR="00FC41CD" w:rsidRDefault="00FC4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72B89AB1"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E85D5D">
      <w:rPr>
        <w:rFonts w:cs="Arial"/>
        <w:noProof/>
        <w:sz w:val="16"/>
        <w:szCs w:val="16"/>
      </w:rPr>
      <w:t>3</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E85D5D">
      <w:rPr>
        <w:rFonts w:cs="Arial"/>
        <w:noProof/>
        <w:sz w:val="16"/>
        <w:szCs w:val="16"/>
      </w:rPr>
      <w:t>3</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4476B" w14:textId="77777777" w:rsidR="00FC41CD" w:rsidRDefault="00FC41CD">
      <w:r>
        <w:separator/>
      </w:r>
    </w:p>
  </w:footnote>
  <w:footnote w:type="continuationSeparator" w:id="0">
    <w:p w14:paraId="67684F0D" w14:textId="77777777" w:rsidR="00FC41CD" w:rsidRDefault="00FC4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099F9FE5" w:rsidR="00610728" w:rsidRPr="001E17F6" w:rsidRDefault="00125A9E" w:rsidP="00AF356A">
    <w:pPr>
      <w:pStyle w:val="Header"/>
      <w:tabs>
        <w:tab w:val="clear" w:pos="9026"/>
        <w:tab w:val="right" w:pos="9781"/>
      </w:tabs>
      <w:spacing w:after="120"/>
      <w:ind w:right="-1"/>
      <w:jc w:val="right"/>
      <w:rPr>
        <w:rFonts w:cs="Arial"/>
        <w:b/>
        <w:color w:val="2E74B5" w:themeColor="accent1" w:themeShade="BF"/>
        <w:sz w:val="20"/>
      </w:rPr>
    </w:pPr>
    <w:r w:rsidRPr="001E17F6">
      <w:rPr>
        <w:rFonts w:cs="Arial"/>
        <w:b/>
        <w:color w:val="2E74B5" w:themeColor="accent1" w:themeShade="BF"/>
        <w:sz w:val="20"/>
      </w:rPr>
      <w:t xml:space="preserve">Item </w:t>
    </w:r>
    <w:r w:rsidR="001E17F6" w:rsidRPr="001E17F6">
      <w:rPr>
        <w:rFonts w:cs="Arial"/>
        <w:b/>
        <w:color w:val="2E74B5" w:themeColor="accent1" w:themeShade="BF"/>
        <w:sz w:val="20"/>
      </w:rPr>
      <w:t>4.4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46"/>
    <w:multiLevelType w:val="hybridMultilevel"/>
    <w:tmpl w:val="5DAE6814"/>
    <w:lvl w:ilvl="0" w:tplc="56BAA26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517389"/>
    <w:multiLevelType w:val="hybridMultilevel"/>
    <w:tmpl w:val="DC927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F07C0"/>
    <w:multiLevelType w:val="hybridMultilevel"/>
    <w:tmpl w:val="B23E8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1C3C00"/>
    <w:multiLevelType w:val="hybridMultilevel"/>
    <w:tmpl w:val="A656A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7"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490CF1"/>
    <w:multiLevelType w:val="hybridMultilevel"/>
    <w:tmpl w:val="8F2E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1"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C305A8D"/>
    <w:multiLevelType w:val="hybridMultilevel"/>
    <w:tmpl w:val="9F5AE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62209B"/>
    <w:multiLevelType w:val="hybridMultilevel"/>
    <w:tmpl w:val="412C8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20"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3" w15:restartNumberingAfterBreak="0">
    <w:nsid w:val="62965A48"/>
    <w:multiLevelType w:val="hybridMultilevel"/>
    <w:tmpl w:val="936C2A60"/>
    <w:lvl w:ilvl="0" w:tplc="56BAA26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2"/>
  </w:num>
  <w:num w:numId="2">
    <w:abstractNumId w:val="1"/>
  </w:num>
  <w:num w:numId="3">
    <w:abstractNumId w:val="17"/>
  </w:num>
  <w:num w:numId="4">
    <w:abstractNumId w:val="24"/>
  </w:num>
  <w:num w:numId="5">
    <w:abstractNumId w:val="13"/>
  </w:num>
  <w:num w:numId="6">
    <w:abstractNumId w:val="10"/>
  </w:num>
  <w:num w:numId="7">
    <w:abstractNumId w:val="18"/>
  </w:num>
  <w:num w:numId="8">
    <w:abstractNumId w:val="8"/>
  </w:num>
  <w:num w:numId="9">
    <w:abstractNumId w:val="20"/>
  </w:num>
  <w:num w:numId="10">
    <w:abstractNumId w:val="6"/>
  </w:num>
  <w:num w:numId="11">
    <w:abstractNumId w:val="21"/>
  </w:num>
  <w:num w:numId="12">
    <w:abstractNumId w:val="4"/>
  </w:num>
  <w:num w:numId="13">
    <w:abstractNumId w:val="7"/>
  </w:num>
  <w:num w:numId="14">
    <w:abstractNumId w:val="11"/>
  </w:num>
  <w:num w:numId="15">
    <w:abstractNumId w:val="14"/>
  </w:num>
  <w:num w:numId="16">
    <w:abstractNumId w:val="12"/>
  </w:num>
  <w:num w:numId="17">
    <w:abstractNumId w:val="19"/>
  </w:num>
  <w:num w:numId="18">
    <w:abstractNumId w:val="9"/>
  </w:num>
  <w:num w:numId="19">
    <w:abstractNumId w:val="0"/>
  </w:num>
  <w:num w:numId="20">
    <w:abstractNumId w:val="23"/>
  </w:num>
  <w:num w:numId="21">
    <w:abstractNumId w:val="3"/>
  </w:num>
  <w:num w:numId="22">
    <w:abstractNumId w:val="5"/>
  </w:num>
  <w:num w:numId="23">
    <w:abstractNumId w:val="15"/>
  </w:num>
  <w:num w:numId="24">
    <w:abstractNumId w:val="16"/>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87E21"/>
    <w:rsid w:val="00091974"/>
    <w:rsid w:val="000945DB"/>
    <w:rsid w:val="000F7706"/>
    <w:rsid w:val="001174B5"/>
    <w:rsid w:val="00125A9E"/>
    <w:rsid w:val="00140DB3"/>
    <w:rsid w:val="00183A7E"/>
    <w:rsid w:val="001E17F6"/>
    <w:rsid w:val="001E40C8"/>
    <w:rsid w:val="0023473B"/>
    <w:rsid w:val="0033790B"/>
    <w:rsid w:val="00341B07"/>
    <w:rsid w:val="003F7F61"/>
    <w:rsid w:val="00430C09"/>
    <w:rsid w:val="00446219"/>
    <w:rsid w:val="00495B36"/>
    <w:rsid w:val="004C24DE"/>
    <w:rsid w:val="00591C18"/>
    <w:rsid w:val="00602E67"/>
    <w:rsid w:val="00605DF2"/>
    <w:rsid w:val="00610728"/>
    <w:rsid w:val="006173A9"/>
    <w:rsid w:val="006D1343"/>
    <w:rsid w:val="006D704F"/>
    <w:rsid w:val="006F3E25"/>
    <w:rsid w:val="00757BCA"/>
    <w:rsid w:val="007B5045"/>
    <w:rsid w:val="007F32CF"/>
    <w:rsid w:val="00816E22"/>
    <w:rsid w:val="00927C6C"/>
    <w:rsid w:val="009738DF"/>
    <w:rsid w:val="009807B4"/>
    <w:rsid w:val="00A2680C"/>
    <w:rsid w:val="00A62B58"/>
    <w:rsid w:val="00A84C97"/>
    <w:rsid w:val="00AA77F7"/>
    <w:rsid w:val="00AE522B"/>
    <w:rsid w:val="00AF0530"/>
    <w:rsid w:val="00AF356A"/>
    <w:rsid w:val="00B0129C"/>
    <w:rsid w:val="00B178D4"/>
    <w:rsid w:val="00B546C8"/>
    <w:rsid w:val="00B562FA"/>
    <w:rsid w:val="00B71382"/>
    <w:rsid w:val="00B7445F"/>
    <w:rsid w:val="00B77902"/>
    <w:rsid w:val="00B851FC"/>
    <w:rsid w:val="00BF3AF0"/>
    <w:rsid w:val="00C517A7"/>
    <w:rsid w:val="00C65E99"/>
    <w:rsid w:val="00C87B62"/>
    <w:rsid w:val="00C94BF7"/>
    <w:rsid w:val="00D44B83"/>
    <w:rsid w:val="00DD2D3D"/>
    <w:rsid w:val="00DD6252"/>
    <w:rsid w:val="00DF1BE0"/>
    <w:rsid w:val="00E71CD2"/>
    <w:rsid w:val="00E85D5D"/>
    <w:rsid w:val="00EB793B"/>
    <w:rsid w:val="00EF176F"/>
    <w:rsid w:val="00F21F29"/>
    <w:rsid w:val="00F3337D"/>
    <w:rsid w:val="00FB1735"/>
    <w:rsid w:val="00FC4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CA33CD3F-857E-4E7A-A489-1B6239588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paragraph" w:styleId="Subtitle">
    <w:name w:val="Subtitle"/>
    <w:basedOn w:val="Normal"/>
    <w:link w:val="SubtitleChar"/>
    <w:uiPriority w:val="99"/>
    <w:qFormat/>
    <w:rsid w:val="001174B5"/>
    <w:pPr>
      <w:jc w:val="center"/>
    </w:pPr>
    <w:rPr>
      <w:rFonts w:cs="Arial"/>
      <w:b/>
      <w:bCs/>
      <w:color w:val="FF0000"/>
      <w:spacing w:val="0"/>
      <w:szCs w:val="24"/>
    </w:rPr>
  </w:style>
  <w:style w:type="character" w:customStyle="1" w:styleId="SubtitleChar">
    <w:name w:val="Subtitle Char"/>
    <w:basedOn w:val="DefaultParagraphFont"/>
    <w:link w:val="Subtitle"/>
    <w:uiPriority w:val="99"/>
    <w:rsid w:val="001174B5"/>
    <w:rPr>
      <w:rFonts w:eastAsia="Times New Roman"/>
      <w:b/>
      <w:bCs/>
      <w:color w:val="FF0000"/>
    </w:rPr>
  </w:style>
  <w:style w:type="character" w:styleId="Hyperlink">
    <w:name w:val="Hyperlink"/>
    <w:basedOn w:val="DefaultParagraphFont"/>
    <w:uiPriority w:val="99"/>
    <w:rsid w:val="001174B5"/>
    <w:rPr>
      <w:rFonts w:cs="Times New Roman"/>
      <w:color w:val="0000FF"/>
      <w:u w:val="single"/>
    </w:rPr>
  </w:style>
  <w:style w:type="paragraph" w:customStyle="1" w:styleId="Default">
    <w:name w:val="Default"/>
    <w:rsid w:val="00087E21"/>
    <w:pPr>
      <w:autoSpaceDE w:val="0"/>
      <w:autoSpaceDN w:val="0"/>
      <w:adjustRightInd w:val="0"/>
      <w:spacing w:after="0" w:line="240" w:lineRule="auto"/>
    </w:pPr>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4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E82AC34A6815429B75164820FEE26F" ma:contentTypeVersion="0" ma:contentTypeDescription="Create a new document." ma:contentTypeScope="" ma:versionID="1fa35dbb6f67b96d18b2258ed5452e1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D296D-AA01-452E-B54B-E73406607554}">
  <ds:schemaRefs>
    <ds:schemaRef ds:uri="http://schemas.microsoft.com/office/2006/metadata/properties"/>
  </ds:schemaRefs>
</ds:datastoreItem>
</file>

<file path=customXml/itemProps2.xml><?xml version="1.0" encoding="utf-8"?>
<ds:datastoreItem xmlns:ds="http://schemas.openxmlformats.org/officeDocument/2006/customXml" ds:itemID="{275250E0-D97C-43BD-9ACF-909398861312}">
  <ds:schemaRefs>
    <ds:schemaRef ds:uri="http://schemas.microsoft.com/sharepoint/v3/contenttype/forms"/>
  </ds:schemaRefs>
</ds:datastoreItem>
</file>

<file path=customXml/itemProps3.xml><?xml version="1.0" encoding="utf-8"?>
<ds:datastoreItem xmlns:ds="http://schemas.openxmlformats.org/officeDocument/2006/customXml" ds:itemID="{A95F8CE9-3525-4590-AC87-B9BCD6092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131E267-7B7E-43BF-A330-52F2DED71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Alison Mackay</cp:lastModifiedBy>
  <cp:revision>9</cp:revision>
  <cp:lastPrinted>2019-10-07T12:25:00Z</cp:lastPrinted>
  <dcterms:created xsi:type="dcterms:W3CDTF">2023-01-13T10:31:00Z</dcterms:created>
  <dcterms:modified xsi:type="dcterms:W3CDTF">2023-01-17T15:14:00Z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0x010100B5E82AC34A6815429B75164820FEE26F</vt:lpwstr>
  </property>
</Properties>
</file>