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12BE0AF" w14:textId="77777777" w:rsidR="003503C2" w:rsidRPr="00BC269B" w:rsidRDefault="003503C2" w:rsidP="00E90224">
      <w:pPr>
        <w:rPr>
          <w:rFonts w:ascii="Stone Sans Semi Bold" w:hAnsi="Stone Sans Semi Bold"/>
          <w:b/>
          <w:color w:val="004380"/>
        </w:rPr>
      </w:pPr>
    </w:p>
    <w:p w14:paraId="515304F4" w14:textId="275D1448" w:rsidR="003503C2" w:rsidRDefault="000D7129" w:rsidP="00E06B43">
      <w:pPr>
        <w:jc w:val="center"/>
        <w:rPr>
          <w:rFonts w:ascii="Stone Sans Semi Bold" w:hAnsi="Stone Sans Semi Bold"/>
          <w:b/>
          <w:color w:val="004380"/>
        </w:rPr>
      </w:pPr>
      <w:r>
        <w:rPr>
          <w:noProof/>
        </w:rPr>
        <w:pict w14:anchorId="0FF645F2">
          <v:rect id="Rectangle 8" o:spid="_x0000_s1980" style="position:absolute;left:0;text-align:left;margin-left:42.8pt;margin-top:563.45pt;width:182.75pt;height:24.75pt;z-index:252901375;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" fillcolor="white [3212]" stroked="f" strokeweight="2pt">
            <v:textbox>
              <w:txbxContent>
                <w:p w14:paraId="40812F0C" w14:textId="09DF6303" w:rsidR="00D766A3" w:rsidRPr="00E668E2" w:rsidRDefault="0017217C" w:rsidP="00173134">
                  <w:pPr>
                    <w:rPr>
                      <w:b/>
                      <w:color w:val="17365D" w:themeColor="text2" w:themeShade="BF"/>
                      <w:sz w:val="28"/>
                      <w:szCs w:val="30"/>
                    </w:rPr>
                  </w:pPr>
                  <w:r>
                    <w:rPr>
                      <w:b/>
                      <w:color w:val="17365D" w:themeColor="text2" w:themeShade="BF"/>
                      <w:sz w:val="28"/>
                      <w:szCs w:val="30"/>
                    </w:rPr>
                    <w:t>25 May</w:t>
                  </w:r>
                  <w:r w:rsidR="00D766A3" w:rsidRPr="00E668E2">
                    <w:rPr>
                      <w:b/>
                      <w:color w:val="17365D" w:themeColor="text2" w:themeShade="BF"/>
                      <w:sz w:val="28"/>
                      <w:szCs w:val="30"/>
                    </w:rPr>
                    <w:t xml:space="preserve"> 2023</w:t>
                  </w:r>
                </w:p>
              </w:txbxContent>
            </v:textbox>
          </v:rect>
        </w:pict>
      </w:r>
      <w:r w:rsidR="00E668E2">
        <w:rPr>
          <w:rFonts w:ascii="Stone Sans Semi Bold" w:hAnsi="Stone Sans Semi Bold"/>
          <w:b/>
          <w:noProof/>
          <w:color w:val="004380"/>
          <w:lang w:eastAsia="en-GB"/>
        </w:rPr>
        <w:drawing>
          <wp:inline distT="0" distB="0" distL="0" distR="0" wp14:anchorId="6E933AB5" wp14:editId="1DC6B56C">
            <wp:extent cx="5857961" cy="828812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2670" cy="8294785"/>
                    </a:xfrm>
                    <a:prstGeom prst="rect">
                      <a:avLst/>
                    </a:prstGeom>
                    <a:noFill/>
                  </pic:spPr>
                </pic:pic>
              </a:graphicData>
            </a:graphic>
          </wp:inline>
        </w:drawing>
      </w:r>
      <w:bookmarkStart w:id="0" w:name="_GoBack"/>
      <w:bookmarkEnd w:id="0"/>
    </w:p>
    <w:p w14:paraId="4178CC98" w14:textId="77777777" w:rsidR="00E668E2" w:rsidRPr="0000531E" w:rsidRDefault="00E668E2" w:rsidP="00B3581F">
      <w:pPr>
        <w:jc w:val="center"/>
        <w:rPr>
          <w:rFonts w:ascii="Arial" w:hAnsi="Arial" w:cs="Arial"/>
          <w:b/>
          <w:caps/>
          <w:sz w:val="56"/>
          <w:szCs w:val="56"/>
        </w:rPr>
      </w:pPr>
    </w:p>
    <w:p w14:paraId="16D44910" w14:textId="0ECF4AE4" w:rsidR="00B3581F" w:rsidRPr="0000531E" w:rsidRDefault="00B3581F" w:rsidP="00B3581F">
      <w:pPr>
        <w:jc w:val="center"/>
        <w:rPr>
          <w:rFonts w:ascii="Arial" w:hAnsi="Arial" w:cs="Arial"/>
          <w:b/>
          <w:caps/>
          <w:sz w:val="52"/>
          <w:szCs w:val="56"/>
        </w:rPr>
      </w:pPr>
      <w:r w:rsidRPr="0000531E">
        <w:rPr>
          <w:rFonts w:ascii="Arial" w:hAnsi="Arial" w:cs="Arial"/>
          <w:b/>
          <w:caps/>
          <w:sz w:val="52"/>
          <w:szCs w:val="56"/>
        </w:rPr>
        <w:lastRenderedPageBreak/>
        <w:t>BoARD SUmMARy Report</w:t>
      </w:r>
    </w:p>
    <w:p w14:paraId="4A88F24E" w14:textId="22B7C653" w:rsidR="00B3581F" w:rsidRPr="0000531E" w:rsidRDefault="00B3581F" w:rsidP="00B3581F">
      <w:pPr>
        <w:jc w:val="center"/>
        <w:rPr>
          <w:rFonts w:ascii="Arial" w:hAnsi="Arial" w:cs="Arial"/>
          <w:b/>
          <w:caps/>
          <w:sz w:val="52"/>
          <w:szCs w:val="56"/>
        </w:rPr>
      </w:pPr>
      <w:r w:rsidRPr="0000531E">
        <w:rPr>
          <w:rFonts w:ascii="Arial" w:hAnsi="Arial" w:cs="Arial"/>
          <w:b/>
          <w:caps/>
          <w:sz w:val="52"/>
          <w:szCs w:val="56"/>
        </w:rPr>
        <w:t xml:space="preserve">Produced in </w:t>
      </w:r>
      <w:r w:rsidR="0017217C">
        <w:rPr>
          <w:rFonts w:ascii="Arial" w:hAnsi="Arial" w:cs="Arial"/>
          <w:b/>
          <w:caps/>
          <w:sz w:val="52"/>
          <w:szCs w:val="56"/>
        </w:rPr>
        <w:t>April</w:t>
      </w:r>
      <w:r w:rsidR="007A29D9" w:rsidRPr="0000531E">
        <w:rPr>
          <w:rFonts w:ascii="Arial" w:hAnsi="Arial" w:cs="Arial"/>
          <w:b/>
          <w:caps/>
          <w:sz w:val="52"/>
          <w:szCs w:val="56"/>
        </w:rPr>
        <w:t xml:space="preserve"> 2023</w:t>
      </w:r>
    </w:p>
    <w:p w14:paraId="6EFFE969" w14:textId="31746DBB" w:rsidR="00B3581F" w:rsidRPr="0000531E" w:rsidRDefault="00B3581F" w:rsidP="00917FA5">
      <w:pPr>
        <w:rPr>
          <w:rFonts w:ascii="Arial" w:hAnsi="Arial" w:cs="Arial"/>
          <w:b/>
          <w:caps/>
          <w:sz w:val="36"/>
          <w:szCs w:val="56"/>
        </w:rPr>
      </w:pPr>
      <w:r w:rsidRPr="0000531E">
        <w:rPr>
          <w:rFonts w:ascii="Arial" w:hAnsi="Arial" w:cs="Arial"/>
          <w:b/>
          <w:caps/>
          <w:sz w:val="36"/>
          <w:szCs w:val="56"/>
        </w:rPr>
        <w:t xml:space="preserve">Data reported up to END of </w:t>
      </w:r>
      <w:r w:rsidR="0017217C">
        <w:rPr>
          <w:rFonts w:ascii="Arial" w:hAnsi="Arial" w:cs="Arial"/>
          <w:b/>
          <w:caps/>
          <w:sz w:val="36"/>
          <w:szCs w:val="56"/>
        </w:rPr>
        <w:t>MArch</w:t>
      </w:r>
      <w:r w:rsidRPr="0000531E">
        <w:rPr>
          <w:rFonts w:ascii="Arial" w:hAnsi="Arial" w:cs="Arial"/>
          <w:b/>
          <w:caps/>
          <w:sz w:val="36"/>
          <w:szCs w:val="56"/>
        </w:rPr>
        <w:t xml:space="preserve"> 202</w:t>
      </w:r>
      <w:r w:rsidR="00D766A3">
        <w:rPr>
          <w:rFonts w:ascii="Arial" w:hAnsi="Arial" w:cs="Arial"/>
          <w:b/>
          <w:caps/>
          <w:sz w:val="36"/>
          <w:szCs w:val="56"/>
        </w:rPr>
        <w:t>3</w:t>
      </w:r>
    </w:p>
    <w:p w14:paraId="6AAA5A3A" w14:textId="77777777" w:rsidR="00B3581F" w:rsidRPr="0000531E" w:rsidRDefault="00B3581F" w:rsidP="00B3581F">
      <w:pPr>
        <w:rPr>
          <w:rFonts w:ascii="Arial" w:hAnsi="Arial" w:cs="Arial"/>
          <w:b/>
          <w:caps/>
          <w:sz w:val="28"/>
          <w:szCs w:val="56"/>
        </w:rPr>
      </w:pPr>
      <w:r w:rsidRPr="0000531E">
        <w:rPr>
          <w:rFonts w:ascii="Arial" w:hAnsi="Arial" w:cs="Arial"/>
          <w:b/>
          <w:caps/>
          <w:sz w:val="28"/>
          <w:szCs w:val="56"/>
        </w:rPr>
        <w:t>For submission to:</w:t>
      </w:r>
    </w:p>
    <w:p w14:paraId="22209C4A" w14:textId="1B9FC7DE" w:rsidR="00B3581F" w:rsidRPr="0000531E" w:rsidRDefault="00B5269D" w:rsidP="00B3581F">
      <w:pPr>
        <w:pStyle w:val="ListParagraph"/>
        <w:numPr>
          <w:ilvl w:val="0"/>
          <w:numId w:val="16"/>
        </w:numPr>
        <w:spacing w:after="0" w:line="240" w:lineRule="auto"/>
        <w:ind w:left="360"/>
        <w:contextualSpacing w:val="0"/>
        <w:rPr>
          <w:rFonts w:ascii="Arial" w:hAnsi="Arial" w:cs="Arial"/>
          <w:b/>
          <w:caps/>
          <w:sz w:val="28"/>
          <w:szCs w:val="56"/>
        </w:rPr>
      </w:pPr>
      <w:r w:rsidRPr="0000531E">
        <w:rPr>
          <w:rFonts w:ascii="Arial" w:hAnsi="Arial" w:cs="Arial"/>
          <w:b/>
          <w:caps/>
          <w:sz w:val="28"/>
          <w:szCs w:val="56"/>
        </w:rPr>
        <w:t xml:space="preserve">Board Meeting – </w:t>
      </w:r>
      <w:r w:rsidR="0017217C">
        <w:rPr>
          <w:rFonts w:ascii="Arial" w:hAnsi="Arial" w:cs="Arial"/>
          <w:b/>
          <w:caps/>
          <w:sz w:val="28"/>
          <w:szCs w:val="56"/>
        </w:rPr>
        <w:t>25 May</w:t>
      </w:r>
      <w:r w:rsidR="00E668E2" w:rsidRPr="0000531E">
        <w:rPr>
          <w:rFonts w:ascii="Arial" w:hAnsi="Arial" w:cs="Arial"/>
          <w:b/>
          <w:caps/>
          <w:sz w:val="28"/>
          <w:szCs w:val="56"/>
        </w:rPr>
        <w:t xml:space="preserve"> 2023</w:t>
      </w:r>
    </w:p>
    <w:p w14:paraId="67797220" w14:textId="0C707903" w:rsidR="00234ABE" w:rsidRPr="0000531E" w:rsidRDefault="00234ABE" w:rsidP="00E50634">
      <w:pPr>
        <w:pStyle w:val="Heading1"/>
        <w:rPr>
          <w:rFonts w:ascii="Arial" w:hAnsi="Arial" w:cs="Arial"/>
          <w:b/>
          <w:color w:val="17365D" w:themeColor="text2" w:themeShade="BF"/>
          <w:sz w:val="32"/>
          <w:szCs w:val="32"/>
        </w:rPr>
      </w:pPr>
      <w:r w:rsidRPr="0000531E">
        <w:rPr>
          <w:rFonts w:ascii="Arial" w:hAnsi="Arial" w:cs="Arial"/>
        </w:rPr>
        <w:t>Contents</w:t>
      </w:r>
      <w:r w:rsidRPr="0000531E">
        <w:rPr>
          <w:rFonts w:ascii="Arial" w:hAnsi="Arial" w:cs="Arial"/>
        </w:rPr>
        <w:tab/>
      </w:r>
      <w:r w:rsidRPr="0000531E">
        <w:rPr>
          <w:rFonts w:ascii="Arial" w:hAnsi="Arial" w:cs="Arial"/>
          <w:color w:val="17365D" w:themeColor="text2" w:themeShade="BF"/>
          <w:sz w:val="32"/>
          <w:szCs w:val="32"/>
        </w:rPr>
        <w:tab/>
      </w:r>
    </w:p>
    <w:p w14:paraId="40B0F564" w14:textId="2C31A60C" w:rsidR="001B3EC4" w:rsidRPr="0000531E" w:rsidRDefault="001B3EC4"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07BBEA29" w14:textId="77777777" w:rsidR="00B3581F" w:rsidRPr="0000531E" w:rsidRDefault="00B3581F"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5FC2D345" w14:textId="77777777" w:rsidR="0061763D" w:rsidRPr="0000531E" w:rsidRDefault="0061763D"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502FE504" w14:textId="77777777" w:rsidR="001B4295" w:rsidRPr="0000531E" w:rsidRDefault="001B3EC4" w:rsidP="00EE40D1">
      <w:pPr>
        <w:tabs>
          <w:tab w:val="left" w:pos="1418"/>
          <w:tab w:val="left" w:pos="1701"/>
          <w:tab w:val="left" w:pos="1985"/>
          <w:tab w:val="left" w:pos="2268"/>
          <w:tab w:val="right" w:pos="9072"/>
        </w:tabs>
        <w:rPr>
          <w:rFonts w:ascii="Arial" w:hAnsi="Arial" w:cs="Arial"/>
          <w:color w:val="17365D" w:themeColor="text2" w:themeShade="BF"/>
          <w:szCs w:val="22"/>
        </w:rPr>
      </w:pPr>
      <w:r w:rsidRPr="0000531E">
        <w:rPr>
          <w:rFonts w:ascii="Arial" w:hAnsi="Arial" w:cs="Arial"/>
          <w:color w:val="17365D" w:themeColor="text2" w:themeShade="BF"/>
          <w:szCs w:val="22"/>
        </w:rPr>
        <w:tab/>
      </w:r>
      <w:r w:rsidRPr="0000531E">
        <w:rPr>
          <w:rFonts w:ascii="Arial" w:hAnsi="Arial" w:cs="Arial"/>
          <w:color w:val="17365D" w:themeColor="text2" w:themeShade="BF"/>
          <w:szCs w:val="22"/>
        </w:rPr>
        <w:tab/>
      </w:r>
    </w:p>
    <w:p w14:paraId="5871BA52" w14:textId="77777777" w:rsidR="0061763D" w:rsidRPr="0000531E" w:rsidRDefault="000D7129" w:rsidP="00EE40D1">
      <w:pPr>
        <w:tabs>
          <w:tab w:val="left" w:pos="1418"/>
          <w:tab w:val="left" w:pos="1701"/>
          <w:tab w:val="left" w:pos="1985"/>
          <w:tab w:val="left" w:pos="2268"/>
          <w:tab w:val="right" w:pos="9072"/>
        </w:tabs>
        <w:rPr>
          <w:rFonts w:ascii="Arial" w:hAnsi="Arial" w:cs="Arial"/>
          <w:color w:val="17365D" w:themeColor="text2" w:themeShade="BF"/>
          <w:szCs w:val="22"/>
        </w:rPr>
      </w:pPr>
      <w:r>
        <w:rPr>
          <w:rFonts w:ascii="Arial" w:hAnsi="Arial" w:cs="Arial"/>
          <w:noProof/>
          <w:color w:val="17365D" w:themeColor="text2" w:themeShade="BF"/>
          <w:szCs w:val="22"/>
          <w:lang w:eastAsia="en-GB"/>
        </w:rPr>
        <w:pict w14:anchorId="6F2D3766">
          <v:rect id="_x0000_s1975" style="position:absolute;margin-left:-12.15pt;margin-top:-77.2pt;width:508.5pt;height:131.25pt;z-index:252897279" fillcolor="white [3212]">
            <v:textbox style="mso-next-textbox:#_x0000_s1975">
              <w:txbxContent>
                <w:p w14:paraId="1F2B2979" w14:textId="58D0905E" w:rsidR="00D766A3" w:rsidRPr="00B0435F"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Introduction</w:t>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sidRPr="00B0435F">
                    <w:rPr>
                      <w:b/>
                      <w:color w:val="17365D" w:themeColor="text2" w:themeShade="BF"/>
                      <w:sz w:val="24"/>
                      <w:szCs w:val="24"/>
                    </w:rPr>
                    <w:tab/>
                  </w:r>
                  <w:r>
                    <w:rPr>
                      <w:b/>
                      <w:color w:val="17365D" w:themeColor="text2" w:themeShade="BF"/>
                      <w:sz w:val="24"/>
                      <w:szCs w:val="24"/>
                    </w:rPr>
                    <w:t>2</w:t>
                  </w:r>
                </w:p>
                <w:p w14:paraId="55E2C36C" w14:textId="77777777" w:rsidR="00D766A3" w:rsidRPr="00B0435F"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Pr>
                      <w:b/>
                      <w:color w:val="17365D" w:themeColor="text2" w:themeShade="BF"/>
                      <w:sz w:val="24"/>
                      <w:szCs w:val="24"/>
                    </w:rPr>
                    <w:t>Performance Summary Dashboard</w:t>
                  </w:r>
                  <w:r>
                    <w:rPr>
                      <w:b/>
                      <w:color w:val="17365D" w:themeColor="text2" w:themeShade="BF"/>
                      <w:sz w:val="24"/>
                      <w:szCs w:val="24"/>
                    </w:rPr>
                    <w:tab/>
                    <w:t>5</w:t>
                  </w:r>
                </w:p>
                <w:p w14:paraId="1D4F83E8" w14:textId="1B72CA7E" w:rsidR="00D766A3"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sidRPr="00B0435F">
                    <w:rPr>
                      <w:b/>
                      <w:color w:val="17365D" w:themeColor="text2" w:themeShade="BF"/>
                      <w:sz w:val="24"/>
                      <w:szCs w:val="24"/>
                    </w:rPr>
                    <w:t>Integrated Performance Report: Executive Summa</w:t>
                  </w:r>
                  <w:r>
                    <w:rPr>
                      <w:b/>
                      <w:color w:val="17365D" w:themeColor="text2" w:themeShade="BF"/>
                      <w:sz w:val="24"/>
                      <w:szCs w:val="24"/>
                    </w:rPr>
                    <w:t>ries</w:t>
                  </w:r>
                  <w:r w:rsidRPr="00B0435F">
                    <w:rPr>
                      <w:b/>
                      <w:color w:val="17365D" w:themeColor="text2" w:themeShade="BF"/>
                      <w:sz w:val="24"/>
                      <w:szCs w:val="24"/>
                    </w:rPr>
                    <w:tab/>
                  </w:r>
                  <w:r>
                    <w:rPr>
                      <w:b/>
                      <w:color w:val="17365D" w:themeColor="text2" w:themeShade="BF"/>
                      <w:sz w:val="24"/>
                      <w:szCs w:val="24"/>
                    </w:rPr>
                    <w:t>7</w:t>
                  </w:r>
                </w:p>
                <w:p w14:paraId="6CF6EA6B" w14:textId="4855C8B7" w:rsidR="00D766A3" w:rsidRPr="00B0435F" w:rsidRDefault="00D766A3" w:rsidP="004A02DD">
                  <w:pPr>
                    <w:pBdr>
                      <w:top w:val="single" w:sz="4" w:space="1" w:color="auto"/>
                      <w:left w:val="single" w:sz="4" w:space="4" w:color="auto"/>
                      <w:bottom w:val="single" w:sz="4" w:space="1" w:color="auto"/>
                      <w:right w:val="single" w:sz="4" w:space="4" w:color="auto"/>
                    </w:pBdr>
                    <w:tabs>
                      <w:tab w:val="left" w:pos="1418"/>
                      <w:tab w:val="left" w:pos="1701"/>
                      <w:tab w:val="left" w:pos="1985"/>
                      <w:tab w:val="left" w:pos="2268"/>
                      <w:tab w:val="right" w:pos="9072"/>
                    </w:tabs>
                    <w:rPr>
                      <w:b/>
                      <w:color w:val="17365D" w:themeColor="text2" w:themeShade="BF"/>
                      <w:sz w:val="24"/>
                      <w:szCs w:val="24"/>
                    </w:rPr>
                  </w:pP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r>
                    <w:rPr>
                      <w:b/>
                      <w:color w:val="17365D" w:themeColor="text2" w:themeShade="BF"/>
                      <w:sz w:val="24"/>
                      <w:szCs w:val="24"/>
                    </w:rPr>
                    <w:tab/>
                  </w:r>
                </w:p>
              </w:txbxContent>
            </v:textbox>
          </v:rect>
        </w:pict>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r w:rsidR="001B4295" w:rsidRPr="0000531E">
        <w:rPr>
          <w:rFonts w:ascii="Arial" w:hAnsi="Arial" w:cs="Arial"/>
          <w:color w:val="17365D" w:themeColor="text2" w:themeShade="BF"/>
          <w:szCs w:val="22"/>
        </w:rPr>
        <w:tab/>
      </w:r>
    </w:p>
    <w:p w14:paraId="1E05BCE6" w14:textId="77777777" w:rsidR="009E0B90" w:rsidRPr="0000531E" w:rsidRDefault="009E0B90" w:rsidP="001B4295">
      <w:pPr>
        <w:tabs>
          <w:tab w:val="left" w:pos="1418"/>
          <w:tab w:val="left" w:pos="1701"/>
          <w:tab w:val="left" w:pos="1985"/>
          <w:tab w:val="left" w:pos="2268"/>
          <w:tab w:val="right" w:pos="9072"/>
        </w:tabs>
        <w:rPr>
          <w:rFonts w:ascii="Arial" w:hAnsi="Arial" w:cs="Arial"/>
          <w:color w:val="17365D" w:themeColor="text2" w:themeShade="BF"/>
          <w:szCs w:val="22"/>
        </w:rPr>
      </w:pPr>
    </w:p>
    <w:p w14:paraId="61CCF369" w14:textId="730A4EDB" w:rsidR="00234ABE" w:rsidRPr="0000531E" w:rsidRDefault="00E50634" w:rsidP="00AA1592">
      <w:pPr>
        <w:pStyle w:val="Heading1"/>
        <w:rPr>
          <w:rFonts w:ascii="Arial" w:hAnsi="Arial" w:cs="Arial"/>
        </w:rPr>
      </w:pPr>
      <w:r w:rsidRPr="0000531E">
        <w:rPr>
          <w:rFonts w:ascii="Arial" w:hAnsi="Arial" w:cs="Arial"/>
        </w:rPr>
        <w:t xml:space="preserve">Section A: </w:t>
      </w:r>
      <w:r w:rsidR="00ED7630" w:rsidRPr="0000531E">
        <w:rPr>
          <w:rFonts w:ascii="Arial" w:hAnsi="Arial" w:cs="Arial"/>
        </w:rPr>
        <w:t>Introduction</w:t>
      </w:r>
      <w:r w:rsidR="002668C8" w:rsidRPr="0000531E">
        <w:rPr>
          <w:rFonts w:ascii="Arial" w:hAnsi="Arial" w:cs="Arial"/>
        </w:rPr>
        <w:tab/>
      </w:r>
    </w:p>
    <w:p w14:paraId="6D802B5B" w14:textId="77777777" w:rsidR="00B3581F" w:rsidRPr="0000531E" w:rsidRDefault="00B3581F" w:rsidP="00B3581F">
      <w:pPr>
        <w:rPr>
          <w:rFonts w:ascii="Arial" w:hAnsi="Arial" w:cs="Arial"/>
        </w:rPr>
      </w:pPr>
    </w:p>
    <w:p w14:paraId="0EA2F8EF" w14:textId="77777777" w:rsidR="00AA1592" w:rsidRPr="0000531E" w:rsidRDefault="00AA1592" w:rsidP="00AA1592">
      <w:pPr>
        <w:spacing w:after="180"/>
        <w:jc w:val="both"/>
        <w:rPr>
          <w:rFonts w:ascii="Arial" w:hAnsi="Arial" w:cs="Arial"/>
          <w:szCs w:val="22"/>
        </w:rPr>
      </w:pPr>
      <w:r w:rsidRPr="0000531E">
        <w:rPr>
          <w:rFonts w:ascii="Arial" w:hAnsi="Arial" w:cs="Arial"/>
          <w:szCs w:val="22"/>
        </w:rPr>
        <w:t>The purpose of the Integrated Performance Report (IPR) is to provide assurance on NHS Golden Jubilee’s performance relating to National Standards, local priorities and significant risks.</w:t>
      </w:r>
    </w:p>
    <w:p w14:paraId="1D34B0FC" w14:textId="77777777" w:rsidR="00AA1592" w:rsidRPr="0000531E" w:rsidRDefault="00AA1592" w:rsidP="00AA1592">
      <w:pPr>
        <w:spacing w:after="180"/>
        <w:jc w:val="both"/>
        <w:rPr>
          <w:rFonts w:ascii="Arial" w:hAnsi="Arial" w:cs="Arial"/>
          <w:szCs w:val="22"/>
        </w:rPr>
      </w:pPr>
      <w:r w:rsidRPr="0000531E">
        <w:rPr>
          <w:rFonts w:ascii="Arial" w:hAnsi="Arial" w:cs="Arial"/>
          <w:szCs w:val="22"/>
        </w:rPr>
        <w:t>The IPR comprises four section with each section being considered in detail by the appropriate Standing Committee:</w:t>
      </w:r>
    </w:p>
    <w:p w14:paraId="097663F4"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A</w:t>
      </w:r>
      <w:r w:rsidRPr="0000531E">
        <w:rPr>
          <w:rFonts w:ascii="Arial" w:hAnsi="Arial" w:cs="Arial"/>
          <w:sz w:val="22"/>
          <w:szCs w:val="22"/>
        </w:rPr>
        <w:tab/>
        <w:t>Introduction</w:t>
      </w:r>
    </w:p>
    <w:p w14:paraId="1DE54828"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B:1</w:t>
      </w:r>
      <w:r w:rsidRPr="0000531E">
        <w:rPr>
          <w:rFonts w:ascii="Arial" w:hAnsi="Arial" w:cs="Arial"/>
          <w:sz w:val="22"/>
          <w:szCs w:val="22"/>
        </w:rPr>
        <w:tab/>
        <w:t>Clinical Governance</w:t>
      </w:r>
    </w:p>
    <w:p w14:paraId="000DE912"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B:2</w:t>
      </w:r>
      <w:r w:rsidRPr="0000531E">
        <w:rPr>
          <w:rFonts w:ascii="Arial" w:hAnsi="Arial" w:cs="Arial"/>
          <w:sz w:val="22"/>
          <w:szCs w:val="22"/>
        </w:rPr>
        <w:tab/>
        <w:t>Staff Governance</w:t>
      </w:r>
    </w:p>
    <w:p w14:paraId="30B31668" w14:textId="77777777" w:rsidR="00AA1592" w:rsidRPr="0000531E" w:rsidRDefault="00AA1592" w:rsidP="00B3581F">
      <w:pPr>
        <w:pStyle w:val="ListParagraph"/>
        <w:numPr>
          <w:ilvl w:val="0"/>
          <w:numId w:val="1"/>
        </w:numPr>
        <w:tabs>
          <w:tab w:val="left" w:pos="3402"/>
        </w:tabs>
        <w:ind w:left="714" w:hanging="357"/>
        <w:jc w:val="both"/>
        <w:rPr>
          <w:rFonts w:ascii="Arial" w:hAnsi="Arial" w:cs="Arial"/>
          <w:sz w:val="22"/>
          <w:szCs w:val="22"/>
        </w:rPr>
      </w:pPr>
      <w:r w:rsidRPr="0000531E">
        <w:rPr>
          <w:rFonts w:ascii="Arial" w:hAnsi="Arial" w:cs="Arial"/>
          <w:sz w:val="22"/>
          <w:szCs w:val="22"/>
        </w:rPr>
        <w:t>Section B:3</w:t>
      </w:r>
      <w:r w:rsidRPr="0000531E">
        <w:rPr>
          <w:rFonts w:ascii="Arial" w:hAnsi="Arial" w:cs="Arial"/>
          <w:sz w:val="22"/>
          <w:szCs w:val="22"/>
        </w:rPr>
        <w:tab/>
        <w:t>Finance, Performance &amp; Planning</w:t>
      </w:r>
    </w:p>
    <w:p w14:paraId="07551409" w14:textId="77777777" w:rsidR="00AA1592" w:rsidRPr="0000531E" w:rsidRDefault="00AA1592" w:rsidP="00AA1592">
      <w:pPr>
        <w:spacing w:after="180"/>
        <w:jc w:val="both"/>
        <w:rPr>
          <w:rFonts w:ascii="Arial" w:hAnsi="Arial" w:cs="Arial"/>
          <w:szCs w:val="22"/>
        </w:rPr>
      </w:pPr>
      <w:r w:rsidRPr="0000531E">
        <w:rPr>
          <w:rFonts w:ascii="Arial" w:hAnsi="Arial" w:cs="Arial"/>
          <w:szCs w:val="22"/>
        </w:rPr>
        <w:t>This Board Summary Report of the IPR is presented to the Board and contains the summaries from each section of the full IPR.</w:t>
      </w:r>
    </w:p>
    <w:p w14:paraId="65EE59F6" w14:textId="3A64EED0" w:rsidR="00AA1592" w:rsidRPr="0000531E" w:rsidRDefault="0000531E" w:rsidP="00AA1592">
      <w:pPr>
        <w:pStyle w:val="BodyTextIndent"/>
        <w:spacing w:after="0"/>
        <w:ind w:left="0" w:right="183"/>
        <w:rPr>
          <w:rFonts w:ascii="Arial" w:hAnsi="Arial" w:cs="Arial"/>
          <w:b/>
          <w:bCs/>
        </w:rPr>
      </w:pPr>
      <w:r w:rsidRPr="0000531E">
        <w:rPr>
          <w:rFonts w:ascii="Arial" w:hAnsi="Arial" w:cs="Arial"/>
          <w:b/>
          <w:bCs/>
        </w:rPr>
        <w:t>Gordon James</w:t>
      </w:r>
      <w:r w:rsidR="00AA1592" w:rsidRPr="0000531E">
        <w:rPr>
          <w:rFonts w:ascii="Arial" w:hAnsi="Arial" w:cs="Arial"/>
          <w:b/>
          <w:bCs/>
        </w:rPr>
        <w:tab/>
      </w:r>
      <w:r w:rsidRPr="0000531E">
        <w:rPr>
          <w:rFonts w:ascii="Arial" w:hAnsi="Arial" w:cs="Arial"/>
          <w:b/>
          <w:bCs/>
        </w:rPr>
        <w:tab/>
      </w:r>
      <w:r w:rsidR="00026CE3" w:rsidRPr="0000531E">
        <w:rPr>
          <w:rFonts w:ascii="Arial" w:hAnsi="Arial" w:cs="Arial"/>
          <w:b/>
          <w:bCs/>
        </w:rPr>
        <w:t>Michael Breen</w:t>
      </w:r>
      <w:r w:rsidR="00AA1592" w:rsidRPr="0000531E">
        <w:rPr>
          <w:rFonts w:ascii="Arial" w:hAnsi="Arial" w:cs="Arial"/>
          <w:b/>
          <w:bCs/>
        </w:rPr>
        <w:tab/>
      </w:r>
      <w:r w:rsidR="00AA1592" w:rsidRPr="0000531E">
        <w:rPr>
          <w:rFonts w:ascii="Arial" w:hAnsi="Arial" w:cs="Arial"/>
          <w:b/>
          <w:bCs/>
        </w:rPr>
        <w:tab/>
      </w:r>
      <w:r w:rsidR="00026CE3" w:rsidRPr="0000531E">
        <w:rPr>
          <w:rFonts w:ascii="Arial" w:hAnsi="Arial" w:cs="Arial"/>
          <w:b/>
          <w:bCs/>
        </w:rPr>
        <w:t>Carolynne O’Connor</w:t>
      </w:r>
    </w:p>
    <w:p w14:paraId="03FE1128" w14:textId="21192647" w:rsidR="00AA1592" w:rsidRPr="0000531E" w:rsidRDefault="00AA1592" w:rsidP="00AA1592">
      <w:pPr>
        <w:pStyle w:val="BodyTextIndent"/>
        <w:spacing w:after="0"/>
        <w:ind w:left="0" w:right="183"/>
        <w:rPr>
          <w:rFonts w:ascii="Arial" w:hAnsi="Arial" w:cs="Arial"/>
          <w:b/>
          <w:bCs/>
        </w:rPr>
      </w:pPr>
      <w:r w:rsidRPr="0000531E">
        <w:rPr>
          <w:rFonts w:ascii="Arial" w:hAnsi="Arial" w:cs="Arial"/>
          <w:b/>
          <w:bCs/>
        </w:rPr>
        <w:t>Chief Executive</w:t>
      </w:r>
      <w:r w:rsidRPr="0000531E">
        <w:rPr>
          <w:rFonts w:ascii="Arial" w:hAnsi="Arial" w:cs="Arial"/>
          <w:b/>
          <w:bCs/>
        </w:rPr>
        <w:tab/>
      </w:r>
      <w:r w:rsidRPr="0000531E">
        <w:rPr>
          <w:rFonts w:ascii="Arial" w:hAnsi="Arial" w:cs="Arial"/>
          <w:b/>
          <w:bCs/>
        </w:rPr>
        <w:tab/>
      </w:r>
      <w:r w:rsidR="00DA5362" w:rsidRPr="0000531E">
        <w:rPr>
          <w:rFonts w:ascii="Arial" w:hAnsi="Arial" w:cs="Arial"/>
          <w:b/>
          <w:bCs/>
        </w:rPr>
        <w:t>Director of Finance</w:t>
      </w:r>
      <w:r w:rsidR="00DA5362" w:rsidRPr="0000531E">
        <w:rPr>
          <w:rFonts w:ascii="Arial" w:hAnsi="Arial" w:cs="Arial"/>
          <w:b/>
          <w:bCs/>
        </w:rPr>
        <w:tab/>
      </w:r>
      <w:r w:rsidR="00026CE3" w:rsidRPr="0000531E">
        <w:rPr>
          <w:rFonts w:ascii="Arial" w:hAnsi="Arial" w:cs="Arial"/>
          <w:b/>
          <w:bCs/>
        </w:rPr>
        <w:t xml:space="preserve">Director of Operations &amp; Deputy CEO                      </w:t>
      </w:r>
    </w:p>
    <w:p w14:paraId="44E4D664" w14:textId="77777777" w:rsidR="005148A3" w:rsidRPr="0000531E" w:rsidRDefault="005148A3" w:rsidP="004C0D07">
      <w:pPr>
        <w:spacing w:after="180"/>
        <w:jc w:val="both"/>
        <w:rPr>
          <w:rFonts w:ascii="Arial" w:hAnsi="Arial" w:cs="Arial"/>
          <w:szCs w:val="22"/>
        </w:rPr>
        <w:sectPr w:rsidR="005148A3" w:rsidRPr="0000531E" w:rsidSect="00093B15">
          <w:footerReference w:type="default" r:id="rId9"/>
          <w:headerReference w:type="first" r:id="rId10"/>
          <w:pgSz w:w="11906" w:h="16838" w:code="9"/>
          <w:pgMar w:top="720" w:right="720" w:bottom="720" w:left="720" w:header="709" w:footer="709" w:gutter="0"/>
          <w:cols w:space="708"/>
          <w:titlePg/>
          <w:docGrid w:linePitch="360"/>
        </w:sectPr>
      </w:pPr>
    </w:p>
    <w:p w14:paraId="1A019046" w14:textId="77777777" w:rsidR="00B42B0C" w:rsidRPr="0000531E" w:rsidRDefault="0008461C" w:rsidP="00B42B0C">
      <w:pPr>
        <w:spacing w:after="180"/>
        <w:jc w:val="center"/>
        <w:rPr>
          <w:rFonts w:ascii="Arial" w:hAnsi="Arial" w:cs="Arial"/>
          <w:bCs/>
          <w:sz w:val="36"/>
          <w:szCs w:val="36"/>
        </w:rPr>
      </w:pPr>
      <w:r w:rsidRPr="0000531E">
        <w:rPr>
          <w:rFonts w:ascii="Arial" w:hAnsi="Arial" w:cs="Arial"/>
          <w:bCs/>
          <w:sz w:val="36"/>
          <w:szCs w:val="36"/>
        </w:rPr>
        <w:lastRenderedPageBreak/>
        <w:t>Performance Summary</w:t>
      </w:r>
      <w:r w:rsidR="002341CE" w:rsidRPr="0000531E">
        <w:rPr>
          <w:rFonts w:ascii="Arial" w:hAnsi="Arial" w:cs="Arial"/>
          <w:bCs/>
          <w:sz w:val="36"/>
          <w:szCs w:val="36"/>
        </w:rPr>
        <w:t xml:space="preserve"> </w:t>
      </w:r>
      <w:r w:rsidR="00CB2BFA" w:rsidRPr="0000531E">
        <w:rPr>
          <w:rFonts w:ascii="Arial" w:hAnsi="Arial" w:cs="Arial"/>
          <w:bCs/>
          <w:sz w:val="36"/>
          <w:szCs w:val="36"/>
        </w:rPr>
        <w:t>Dashboard</w:t>
      </w:r>
      <w:r w:rsidR="00247F73" w:rsidRPr="0000531E">
        <w:rPr>
          <w:rFonts w:ascii="Arial" w:hAnsi="Arial" w:cs="Arial"/>
          <w:bCs/>
          <w:sz w:val="36"/>
          <w:szCs w:val="36"/>
        </w:rPr>
        <w:t xml:space="preserve"> – Guidance</w:t>
      </w:r>
    </w:p>
    <w:p w14:paraId="49088E05" w14:textId="77777777" w:rsidR="00247F73" w:rsidRPr="0000531E" w:rsidRDefault="00942B09" w:rsidP="00B42B0C">
      <w:pPr>
        <w:spacing w:after="180"/>
        <w:jc w:val="center"/>
        <w:rPr>
          <w:rFonts w:ascii="Arial" w:hAnsi="Arial" w:cs="Arial"/>
          <w:bCs/>
          <w:sz w:val="36"/>
          <w:szCs w:val="36"/>
        </w:rPr>
      </w:pPr>
      <w:r w:rsidRPr="0000531E">
        <w:rPr>
          <w:rFonts w:ascii="Arial" w:hAnsi="Arial" w:cs="Arial"/>
          <w:noProof/>
          <w:lang w:eastAsia="en-GB"/>
        </w:rPr>
        <w:drawing>
          <wp:inline distT="0" distB="0" distL="0" distR="0" wp14:anchorId="34B3240A" wp14:editId="577A6155">
            <wp:extent cx="8891270" cy="4181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91270" cy="4181148"/>
                    </a:xfrm>
                    <a:prstGeom prst="rect">
                      <a:avLst/>
                    </a:prstGeom>
                    <a:noFill/>
                    <a:ln>
                      <a:noFill/>
                    </a:ln>
                  </pic:spPr>
                </pic:pic>
              </a:graphicData>
            </a:graphic>
          </wp:inline>
        </w:drawing>
      </w:r>
    </w:p>
    <w:p w14:paraId="683D1F52" w14:textId="77777777" w:rsidR="00247F73" w:rsidRPr="0000531E" w:rsidRDefault="00894CA6" w:rsidP="00247F73">
      <w:pPr>
        <w:spacing w:after="180"/>
        <w:rPr>
          <w:rFonts w:ascii="Arial" w:hAnsi="Arial" w:cs="Arial"/>
          <w:bCs/>
          <w:color w:val="FF0000"/>
          <w:sz w:val="36"/>
          <w:szCs w:val="36"/>
        </w:rPr>
      </w:pPr>
      <w:r w:rsidRPr="0000531E">
        <w:rPr>
          <w:rFonts w:ascii="Arial" w:hAnsi="Arial" w:cs="Arial"/>
          <w:bCs/>
          <w:sz w:val="36"/>
          <w:szCs w:val="36"/>
        </w:rPr>
        <w:t xml:space="preserve"> </w:t>
      </w:r>
    </w:p>
    <w:p w14:paraId="0BE76DE6" w14:textId="77777777" w:rsidR="00573399" w:rsidRPr="0000531E" w:rsidRDefault="00573399" w:rsidP="00133250">
      <w:pPr>
        <w:spacing w:after="180"/>
        <w:jc w:val="center"/>
        <w:rPr>
          <w:rFonts w:ascii="Arial" w:hAnsi="Arial" w:cs="Arial"/>
          <w:bCs/>
          <w:sz w:val="36"/>
          <w:szCs w:val="36"/>
        </w:rPr>
      </w:pPr>
    </w:p>
    <w:p w14:paraId="486FD39E" w14:textId="77777777" w:rsidR="000C38D4" w:rsidRPr="0000531E" w:rsidRDefault="000C38D4" w:rsidP="000C38D4">
      <w:pPr>
        <w:spacing w:after="180"/>
        <w:jc w:val="center"/>
        <w:rPr>
          <w:rFonts w:ascii="Arial" w:hAnsi="Arial" w:cs="Arial"/>
          <w:bCs/>
          <w:sz w:val="36"/>
          <w:szCs w:val="36"/>
        </w:rPr>
      </w:pPr>
      <w:r w:rsidRPr="0000531E">
        <w:rPr>
          <w:rFonts w:ascii="Arial" w:hAnsi="Arial" w:cs="Arial"/>
          <w:bCs/>
          <w:sz w:val="36"/>
          <w:szCs w:val="36"/>
        </w:rPr>
        <w:lastRenderedPageBreak/>
        <w:t>Statistical Process Control – Guidance</w:t>
      </w:r>
    </w:p>
    <w:p w14:paraId="05161DAF" w14:textId="77777777" w:rsidR="000C38D4" w:rsidRPr="0000531E" w:rsidRDefault="000C38D4" w:rsidP="00133250">
      <w:pPr>
        <w:spacing w:after="180"/>
        <w:jc w:val="center"/>
        <w:rPr>
          <w:rFonts w:ascii="Arial" w:hAnsi="Arial" w:cs="Arial"/>
          <w:bCs/>
          <w:sz w:val="36"/>
          <w:szCs w:val="36"/>
        </w:rPr>
      </w:pPr>
      <w:r w:rsidRPr="0000531E">
        <w:rPr>
          <w:rFonts w:ascii="Arial" w:hAnsi="Arial" w:cs="Arial"/>
          <w:noProof/>
          <w:lang w:eastAsia="en-GB"/>
        </w:rPr>
        <w:drawing>
          <wp:inline distT="0" distB="0" distL="0" distR="0" wp14:anchorId="0CF4E195" wp14:editId="297ED398">
            <wp:extent cx="8147685" cy="5145206"/>
            <wp:effectExtent l="0" t="0" r="571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60695" cy="5153422"/>
                    </a:xfrm>
                    <a:prstGeom prst="rect">
                      <a:avLst/>
                    </a:prstGeom>
                    <a:noFill/>
                    <a:ln>
                      <a:noFill/>
                    </a:ln>
                  </pic:spPr>
                </pic:pic>
              </a:graphicData>
            </a:graphic>
          </wp:inline>
        </w:drawing>
      </w:r>
    </w:p>
    <w:p w14:paraId="321B79EF" w14:textId="1DB04042" w:rsidR="00571E3D" w:rsidRPr="0000531E" w:rsidRDefault="008303CF" w:rsidP="00D80E69">
      <w:pPr>
        <w:spacing w:after="180"/>
        <w:jc w:val="center"/>
        <w:rPr>
          <w:rFonts w:ascii="Arial" w:hAnsi="Arial" w:cs="Arial"/>
          <w:bCs/>
          <w:sz w:val="36"/>
          <w:szCs w:val="36"/>
        </w:rPr>
      </w:pPr>
      <w:r w:rsidRPr="0000531E">
        <w:rPr>
          <w:rFonts w:ascii="Arial" w:hAnsi="Arial" w:cs="Arial"/>
          <w:bCs/>
          <w:sz w:val="36"/>
          <w:szCs w:val="36"/>
        </w:rPr>
        <w:lastRenderedPageBreak/>
        <w:t>Board</w:t>
      </w:r>
      <w:r w:rsidR="00247F73" w:rsidRPr="0000531E">
        <w:rPr>
          <w:rFonts w:ascii="Arial" w:hAnsi="Arial" w:cs="Arial"/>
          <w:bCs/>
          <w:sz w:val="36"/>
          <w:szCs w:val="36"/>
        </w:rPr>
        <w:t xml:space="preserve"> Performance Dashboard</w:t>
      </w:r>
      <w:r w:rsidR="00133250" w:rsidRPr="0000531E">
        <w:rPr>
          <w:rFonts w:ascii="Arial" w:hAnsi="Arial" w:cs="Arial"/>
          <w:bCs/>
          <w:sz w:val="36"/>
          <w:szCs w:val="36"/>
        </w:rPr>
        <w:t xml:space="preserve"> – P</w:t>
      </w:r>
      <w:r w:rsidR="00D4735B" w:rsidRPr="0000531E">
        <w:rPr>
          <w:rFonts w:ascii="Arial" w:hAnsi="Arial" w:cs="Arial"/>
          <w:bCs/>
          <w:sz w:val="36"/>
          <w:szCs w:val="36"/>
        </w:rPr>
        <w:t xml:space="preserve">art </w:t>
      </w:r>
      <w:r w:rsidR="00133250" w:rsidRPr="0000531E">
        <w:rPr>
          <w:rFonts w:ascii="Arial" w:hAnsi="Arial" w:cs="Arial"/>
          <w:bCs/>
          <w:sz w:val="36"/>
          <w:szCs w:val="36"/>
        </w:rPr>
        <w:t>1</w:t>
      </w:r>
    </w:p>
    <w:p w14:paraId="63218DFA" w14:textId="70C368F1" w:rsidR="00DA5362" w:rsidRPr="0000531E" w:rsidRDefault="00D80E69" w:rsidP="00DA5362">
      <w:pPr>
        <w:spacing w:after="180"/>
        <w:rPr>
          <w:rFonts w:ascii="Arial" w:hAnsi="Arial" w:cs="Arial"/>
          <w:bCs/>
          <w:sz w:val="36"/>
          <w:szCs w:val="36"/>
        </w:rPr>
      </w:pPr>
      <w:r w:rsidRPr="0000531E">
        <w:rPr>
          <w:rFonts w:ascii="Arial" w:hAnsi="Arial" w:cs="Arial"/>
          <w:noProof/>
          <w:lang w:eastAsia="en-GB"/>
        </w:rPr>
        <w:drawing>
          <wp:inline distT="0" distB="0" distL="0" distR="0" wp14:anchorId="139DEA40" wp14:editId="2409EA70">
            <wp:extent cx="8891270" cy="699135"/>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91270" cy="699135"/>
                    </a:xfrm>
                    <a:prstGeom prst="rect">
                      <a:avLst/>
                    </a:prstGeom>
                    <a:noFill/>
                    <a:ln>
                      <a:noFill/>
                    </a:ln>
                  </pic:spPr>
                </pic:pic>
              </a:graphicData>
            </a:graphic>
          </wp:inline>
        </w:drawing>
      </w:r>
    </w:p>
    <w:p w14:paraId="1950ACF4" w14:textId="6AD82B4E" w:rsidR="00BC269B" w:rsidRPr="0000531E" w:rsidRDefault="0017217C" w:rsidP="004F618D">
      <w:pPr>
        <w:spacing w:after="180"/>
        <w:rPr>
          <w:rFonts w:ascii="Arial" w:hAnsi="Arial" w:cs="Arial"/>
          <w:bCs/>
          <w:sz w:val="36"/>
          <w:szCs w:val="36"/>
        </w:rPr>
      </w:pPr>
      <w:r w:rsidRPr="0017217C">
        <w:rPr>
          <w:noProof/>
          <w:lang w:eastAsia="en-GB"/>
        </w:rPr>
        <w:drawing>
          <wp:inline distT="0" distB="0" distL="0" distR="0" wp14:anchorId="6FEE3CB6" wp14:editId="7089093C">
            <wp:extent cx="9516356" cy="285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19637" cy="2858485"/>
                    </a:xfrm>
                    <a:prstGeom prst="rect">
                      <a:avLst/>
                    </a:prstGeom>
                    <a:noFill/>
                    <a:ln>
                      <a:noFill/>
                    </a:ln>
                  </pic:spPr>
                </pic:pic>
              </a:graphicData>
            </a:graphic>
          </wp:inline>
        </w:drawing>
      </w:r>
    </w:p>
    <w:p w14:paraId="4707CD27" w14:textId="77777777" w:rsidR="00D8679B" w:rsidRPr="0000531E" w:rsidRDefault="00D8679B" w:rsidP="004F618D">
      <w:pPr>
        <w:spacing w:after="180"/>
        <w:rPr>
          <w:rFonts w:ascii="Arial" w:hAnsi="Arial" w:cs="Arial"/>
          <w:bCs/>
          <w:sz w:val="36"/>
          <w:szCs w:val="36"/>
        </w:rPr>
      </w:pPr>
    </w:p>
    <w:p w14:paraId="11563A12" w14:textId="51CC1634" w:rsidR="004F683C" w:rsidRPr="0000531E" w:rsidRDefault="004F683C" w:rsidP="004F618D">
      <w:pPr>
        <w:spacing w:after="180"/>
        <w:rPr>
          <w:rFonts w:ascii="Arial" w:hAnsi="Arial" w:cs="Arial"/>
          <w:bCs/>
          <w:sz w:val="36"/>
          <w:szCs w:val="36"/>
        </w:rPr>
      </w:pPr>
    </w:p>
    <w:p w14:paraId="1D7C9FA9" w14:textId="3A67199E" w:rsidR="003D5F54" w:rsidRDefault="003D5F54" w:rsidP="004F618D">
      <w:pPr>
        <w:spacing w:after="180"/>
        <w:rPr>
          <w:rFonts w:ascii="Arial" w:hAnsi="Arial" w:cs="Arial"/>
          <w:bCs/>
          <w:sz w:val="36"/>
          <w:szCs w:val="36"/>
        </w:rPr>
      </w:pPr>
    </w:p>
    <w:p w14:paraId="204E90DA" w14:textId="77777777" w:rsidR="00D766A3" w:rsidRPr="0000531E" w:rsidRDefault="00D766A3" w:rsidP="004F618D">
      <w:pPr>
        <w:spacing w:after="180"/>
        <w:rPr>
          <w:rFonts w:ascii="Arial" w:hAnsi="Arial" w:cs="Arial"/>
          <w:bCs/>
          <w:sz w:val="36"/>
          <w:szCs w:val="36"/>
        </w:rPr>
      </w:pPr>
    </w:p>
    <w:p w14:paraId="33FE8368" w14:textId="645A74F8" w:rsidR="00133250" w:rsidRPr="0000531E" w:rsidRDefault="008303CF" w:rsidP="00133250">
      <w:pPr>
        <w:spacing w:after="180"/>
        <w:jc w:val="center"/>
        <w:rPr>
          <w:rFonts w:ascii="Arial" w:hAnsi="Arial" w:cs="Arial"/>
          <w:bCs/>
          <w:sz w:val="36"/>
          <w:szCs w:val="36"/>
        </w:rPr>
      </w:pPr>
      <w:r w:rsidRPr="0000531E">
        <w:rPr>
          <w:rFonts w:ascii="Arial" w:hAnsi="Arial" w:cs="Arial"/>
          <w:bCs/>
          <w:sz w:val="36"/>
          <w:szCs w:val="36"/>
        </w:rPr>
        <w:t>Board</w:t>
      </w:r>
      <w:r w:rsidR="00133250" w:rsidRPr="0000531E">
        <w:rPr>
          <w:rFonts w:ascii="Arial" w:hAnsi="Arial" w:cs="Arial"/>
          <w:bCs/>
          <w:sz w:val="36"/>
          <w:szCs w:val="36"/>
        </w:rPr>
        <w:t xml:space="preserve"> Performance Dashboard – P</w:t>
      </w:r>
      <w:r w:rsidR="00D4735B" w:rsidRPr="0000531E">
        <w:rPr>
          <w:rFonts w:ascii="Arial" w:hAnsi="Arial" w:cs="Arial"/>
          <w:bCs/>
          <w:sz w:val="36"/>
          <w:szCs w:val="36"/>
        </w:rPr>
        <w:t xml:space="preserve">art </w:t>
      </w:r>
      <w:r w:rsidR="00133250" w:rsidRPr="0000531E">
        <w:rPr>
          <w:rFonts w:ascii="Arial" w:hAnsi="Arial" w:cs="Arial"/>
          <w:bCs/>
          <w:sz w:val="36"/>
          <w:szCs w:val="36"/>
        </w:rPr>
        <w:t>2</w:t>
      </w:r>
    </w:p>
    <w:p w14:paraId="1B75BD48" w14:textId="575FD351" w:rsidR="0017217C" w:rsidRDefault="003D5F54" w:rsidP="00D766A3">
      <w:pPr>
        <w:spacing w:after="180"/>
        <w:jc w:val="center"/>
        <w:rPr>
          <w:rFonts w:ascii="Arial" w:hAnsi="Arial" w:cs="Arial"/>
          <w:szCs w:val="22"/>
        </w:rPr>
      </w:pPr>
      <w:r w:rsidRPr="0000531E">
        <w:rPr>
          <w:rFonts w:ascii="Arial" w:hAnsi="Arial" w:cs="Arial"/>
          <w:noProof/>
          <w:color w:val="FF0000"/>
          <w:lang w:eastAsia="en-GB"/>
        </w:rPr>
        <w:drawing>
          <wp:inline distT="0" distB="0" distL="0" distR="0" wp14:anchorId="5F568D5C" wp14:editId="7641B130">
            <wp:extent cx="8891270" cy="89789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91270" cy="897890"/>
                    </a:xfrm>
                    <a:prstGeom prst="rect">
                      <a:avLst/>
                    </a:prstGeom>
                    <a:noFill/>
                    <a:ln>
                      <a:noFill/>
                    </a:ln>
                  </pic:spPr>
                </pic:pic>
              </a:graphicData>
            </a:graphic>
          </wp:inline>
        </w:drawing>
      </w:r>
      <w:r w:rsidR="0017217C" w:rsidRPr="0017217C">
        <w:rPr>
          <w:noProof/>
          <w:lang w:eastAsia="en-GB"/>
        </w:rPr>
        <w:drawing>
          <wp:inline distT="0" distB="0" distL="0" distR="0" wp14:anchorId="731FE236" wp14:editId="0F16C599">
            <wp:extent cx="8891270" cy="27473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1270" cy="2747330"/>
                    </a:xfrm>
                    <a:prstGeom prst="rect">
                      <a:avLst/>
                    </a:prstGeom>
                    <a:noFill/>
                    <a:ln>
                      <a:noFill/>
                    </a:ln>
                  </pic:spPr>
                </pic:pic>
              </a:graphicData>
            </a:graphic>
          </wp:inline>
        </w:drawing>
      </w:r>
    </w:p>
    <w:p w14:paraId="7AC4E0EA" w14:textId="3A9B4963" w:rsidR="00D766A3" w:rsidRDefault="0017217C" w:rsidP="00A32056">
      <w:pPr>
        <w:spacing w:after="180"/>
        <w:rPr>
          <w:rFonts w:ascii="Arial" w:hAnsi="Arial" w:cs="Arial"/>
          <w:szCs w:val="22"/>
        </w:rPr>
      </w:pPr>
      <w:r w:rsidRPr="0017217C">
        <w:rPr>
          <w:noProof/>
          <w:lang w:eastAsia="en-GB"/>
        </w:rPr>
        <w:drawing>
          <wp:inline distT="0" distB="0" distL="0" distR="0" wp14:anchorId="725B3028" wp14:editId="2F535C87">
            <wp:extent cx="4124263" cy="933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57370" cy="940943"/>
                    </a:xfrm>
                    <a:prstGeom prst="rect">
                      <a:avLst/>
                    </a:prstGeom>
                    <a:noFill/>
                    <a:ln>
                      <a:noFill/>
                    </a:ln>
                  </pic:spPr>
                </pic:pic>
              </a:graphicData>
            </a:graphic>
          </wp:inline>
        </w:drawing>
      </w:r>
    </w:p>
    <w:p w14:paraId="3FD9485D" w14:textId="3EB5F7B1" w:rsidR="00D766A3" w:rsidRPr="0000531E" w:rsidRDefault="00D766A3" w:rsidP="00A32056">
      <w:pPr>
        <w:spacing w:after="180"/>
        <w:rPr>
          <w:rFonts w:ascii="Arial" w:hAnsi="Arial" w:cs="Arial"/>
          <w:szCs w:val="22"/>
        </w:rPr>
        <w:sectPr w:rsidR="00D766A3" w:rsidRPr="0000531E" w:rsidSect="00551C36">
          <w:footerReference w:type="first" r:id="rId18"/>
          <w:pgSz w:w="16838" w:h="11906" w:orient="landscape" w:code="9"/>
          <w:pgMar w:top="1134" w:right="1418" w:bottom="1134" w:left="1418" w:header="709" w:footer="709" w:gutter="0"/>
          <w:cols w:space="708"/>
          <w:titlePg/>
          <w:docGrid w:linePitch="360"/>
        </w:sectPr>
      </w:pPr>
    </w:p>
    <w:p w14:paraId="475DC60D" w14:textId="10400FA2" w:rsidR="00AA1592" w:rsidRPr="0000531E" w:rsidRDefault="00AA1592" w:rsidP="00D717CD">
      <w:pPr>
        <w:spacing w:after="180"/>
        <w:rPr>
          <w:rFonts w:ascii="Arial" w:hAnsi="Arial" w:cs="Arial"/>
          <w:color w:val="000000" w:themeColor="text1"/>
          <w:sz w:val="22"/>
          <w:szCs w:val="22"/>
        </w:rPr>
      </w:pPr>
      <w:r w:rsidRPr="0000531E">
        <w:rPr>
          <w:rFonts w:ascii="Arial" w:hAnsi="Arial" w:cs="Arial"/>
          <w:color w:val="000000" w:themeColor="text1"/>
          <w:sz w:val="22"/>
          <w:szCs w:val="22"/>
        </w:rPr>
        <w:lastRenderedPageBreak/>
        <w:t xml:space="preserve">At each meeting, the Standing Committees of NHS Golden Jubilee consider targets and </w:t>
      </w:r>
      <w:r w:rsidR="006A3CF5" w:rsidRPr="0000531E">
        <w:rPr>
          <w:rFonts w:ascii="Arial" w:hAnsi="Arial" w:cs="Arial"/>
          <w:color w:val="000000" w:themeColor="text1"/>
          <w:sz w:val="22"/>
          <w:szCs w:val="22"/>
        </w:rPr>
        <w:t>s</w:t>
      </w:r>
      <w:r w:rsidRPr="0000531E">
        <w:rPr>
          <w:rFonts w:ascii="Arial" w:hAnsi="Arial" w:cs="Arial"/>
          <w:color w:val="000000" w:themeColor="text1"/>
          <w:sz w:val="22"/>
          <w:szCs w:val="22"/>
        </w:rPr>
        <w:t>tandards specific to their area of remit</w:t>
      </w:r>
      <w:r w:rsidR="00B620AB" w:rsidRPr="0000531E">
        <w:rPr>
          <w:rFonts w:ascii="Arial" w:hAnsi="Arial" w:cs="Arial"/>
          <w:color w:val="000000" w:themeColor="text1"/>
          <w:sz w:val="22"/>
          <w:szCs w:val="22"/>
        </w:rPr>
        <w:t xml:space="preserve"> using the Integrated Performance Report (IPR)</w:t>
      </w:r>
      <w:r w:rsidRPr="0000531E">
        <w:rPr>
          <w:rFonts w:ascii="Arial" w:hAnsi="Arial" w:cs="Arial"/>
          <w:color w:val="000000" w:themeColor="text1"/>
          <w:sz w:val="22"/>
          <w:szCs w:val="22"/>
        </w:rPr>
        <w:t>. Th</w:t>
      </w:r>
      <w:r w:rsidR="00B620AB" w:rsidRPr="0000531E">
        <w:rPr>
          <w:rFonts w:ascii="Arial" w:hAnsi="Arial" w:cs="Arial"/>
          <w:color w:val="000000" w:themeColor="text1"/>
          <w:sz w:val="22"/>
          <w:szCs w:val="22"/>
        </w:rPr>
        <w:t>ere is a</w:t>
      </w:r>
      <w:r w:rsidRPr="0000531E">
        <w:rPr>
          <w:rFonts w:ascii="Arial" w:hAnsi="Arial" w:cs="Arial"/>
          <w:color w:val="000000" w:themeColor="text1"/>
          <w:sz w:val="22"/>
          <w:szCs w:val="22"/>
        </w:rPr>
        <w:t xml:space="preserve"> section of the IPR </w:t>
      </w:r>
      <w:r w:rsidR="00B620AB" w:rsidRPr="0000531E">
        <w:rPr>
          <w:rFonts w:ascii="Arial" w:hAnsi="Arial" w:cs="Arial"/>
          <w:color w:val="000000" w:themeColor="text1"/>
          <w:sz w:val="22"/>
          <w:szCs w:val="22"/>
        </w:rPr>
        <w:t xml:space="preserve">which </w:t>
      </w:r>
      <w:r w:rsidRPr="0000531E">
        <w:rPr>
          <w:rFonts w:ascii="Arial" w:hAnsi="Arial" w:cs="Arial"/>
          <w:color w:val="000000" w:themeColor="text1"/>
          <w:sz w:val="22"/>
          <w:szCs w:val="22"/>
        </w:rPr>
        <w:t>provides a summary of performance Standards and targets identified as areas of note</w:t>
      </w:r>
      <w:r w:rsidR="00B620AB" w:rsidRPr="0000531E">
        <w:rPr>
          <w:rFonts w:ascii="Arial" w:hAnsi="Arial" w:cs="Arial"/>
          <w:color w:val="000000" w:themeColor="text1"/>
          <w:sz w:val="22"/>
          <w:szCs w:val="22"/>
        </w:rPr>
        <w:t xml:space="preserve"> which is reproduced below</w:t>
      </w:r>
      <w:r w:rsidRPr="0000531E">
        <w:rPr>
          <w:rFonts w:ascii="Arial" w:hAnsi="Arial" w:cs="Arial"/>
          <w:color w:val="000000" w:themeColor="text1"/>
          <w:sz w:val="22"/>
          <w:szCs w:val="22"/>
        </w:rPr>
        <w:t>. Topics are grouped under the heading of the Committee responsible</w:t>
      </w:r>
      <w:r w:rsidR="002343B5" w:rsidRPr="0000531E">
        <w:rPr>
          <w:rFonts w:ascii="Arial" w:hAnsi="Arial" w:cs="Arial"/>
          <w:color w:val="000000" w:themeColor="text1"/>
          <w:sz w:val="22"/>
          <w:szCs w:val="22"/>
        </w:rPr>
        <w:t xml:space="preserve"> </w:t>
      </w:r>
      <w:r w:rsidRPr="0000531E">
        <w:rPr>
          <w:rFonts w:ascii="Arial" w:hAnsi="Arial" w:cs="Arial"/>
          <w:color w:val="000000" w:themeColor="text1"/>
          <w:sz w:val="22"/>
          <w:szCs w:val="22"/>
        </w:rPr>
        <w:t>for scrutiny of performance.</w:t>
      </w:r>
    </w:p>
    <w:p w14:paraId="7383BA7C" w14:textId="5E0C144F" w:rsidR="00025608" w:rsidRDefault="00025608" w:rsidP="00025608">
      <w:pPr>
        <w:pStyle w:val="Heading1"/>
        <w:rPr>
          <w:rFonts w:ascii="Arial" w:hAnsi="Arial" w:cs="Arial"/>
        </w:rPr>
      </w:pPr>
      <w:r w:rsidRPr="0000531E">
        <w:rPr>
          <w:rFonts w:ascii="Arial" w:hAnsi="Arial" w:cs="Arial"/>
        </w:rPr>
        <w:t>Section B: 1 Clinical Governance</w:t>
      </w:r>
    </w:p>
    <w:p w14:paraId="107400C1" w14:textId="77777777" w:rsidR="0017217C" w:rsidRPr="0017217C" w:rsidRDefault="0017217C" w:rsidP="0017217C"/>
    <w:tbl>
      <w:tblPr>
        <w:tblStyle w:val="TableGrid"/>
        <w:tblW w:w="9286" w:type="dxa"/>
        <w:tblLayout w:type="fixed"/>
        <w:tblLook w:val="04A0" w:firstRow="1" w:lastRow="0" w:firstColumn="1" w:lastColumn="0" w:noHBand="0" w:noVBand="1"/>
      </w:tblPr>
      <w:tblGrid>
        <w:gridCol w:w="2802"/>
        <w:gridCol w:w="567"/>
        <w:gridCol w:w="5917"/>
      </w:tblGrid>
      <w:tr w:rsidR="0017217C" w:rsidRPr="00BA0D57" w14:paraId="4F8CED0D" w14:textId="77777777" w:rsidTr="005004EB">
        <w:trPr>
          <w:trHeight w:val="132"/>
        </w:trPr>
        <w:tc>
          <w:tcPr>
            <w:tcW w:w="9286" w:type="dxa"/>
            <w:gridSpan w:val="3"/>
            <w:shd w:val="clear" w:color="auto" w:fill="B8CCE4" w:themeFill="accent1" w:themeFillTint="66"/>
          </w:tcPr>
          <w:p w14:paraId="553E3BE7" w14:textId="77777777" w:rsidR="0017217C" w:rsidRPr="0017217C" w:rsidRDefault="0017217C" w:rsidP="005004EB">
            <w:pPr>
              <w:jc w:val="both"/>
              <w:rPr>
                <w:rFonts w:ascii="Arial" w:hAnsi="Arial" w:cs="Arial"/>
                <w:b/>
                <w:sz w:val="24"/>
                <w:szCs w:val="24"/>
                <w:highlight w:val="yellow"/>
              </w:rPr>
            </w:pPr>
            <w:r w:rsidRPr="0017217C">
              <w:rPr>
                <w:rFonts w:ascii="Arial" w:hAnsi="Arial" w:cs="Arial"/>
                <w:b/>
                <w:sz w:val="24"/>
                <w:szCs w:val="24"/>
              </w:rPr>
              <w:t>Clinical Governance</w:t>
            </w:r>
          </w:p>
        </w:tc>
      </w:tr>
      <w:tr w:rsidR="0017217C" w:rsidRPr="00FC78FB" w14:paraId="593E4C05" w14:textId="77777777" w:rsidTr="005004EB">
        <w:trPr>
          <w:trHeight w:val="280"/>
        </w:trPr>
        <w:tc>
          <w:tcPr>
            <w:tcW w:w="2802" w:type="dxa"/>
          </w:tcPr>
          <w:p w14:paraId="6C6EE748" w14:textId="77777777" w:rsidR="0017217C" w:rsidRPr="0017217C" w:rsidRDefault="0017217C" w:rsidP="005004EB">
            <w:pPr>
              <w:jc w:val="both"/>
              <w:rPr>
                <w:rFonts w:ascii="Arial" w:hAnsi="Arial" w:cs="Arial"/>
                <w:b/>
                <w:sz w:val="24"/>
                <w:szCs w:val="24"/>
              </w:rPr>
            </w:pPr>
            <w:r w:rsidRPr="0017217C">
              <w:rPr>
                <w:rFonts w:ascii="Arial" w:hAnsi="Arial" w:cs="Arial"/>
                <w:b/>
                <w:sz w:val="24"/>
                <w:szCs w:val="24"/>
              </w:rPr>
              <w:t>KPI</w:t>
            </w:r>
          </w:p>
        </w:tc>
        <w:tc>
          <w:tcPr>
            <w:tcW w:w="567" w:type="dxa"/>
            <w:vAlign w:val="center"/>
          </w:tcPr>
          <w:p w14:paraId="75ABB402" w14:textId="77777777" w:rsidR="0017217C" w:rsidRPr="0017217C" w:rsidRDefault="0017217C" w:rsidP="005004EB">
            <w:pPr>
              <w:jc w:val="center"/>
              <w:rPr>
                <w:rFonts w:ascii="Arial" w:hAnsi="Arial" w:cs="Arial"/>
                <w:b/>
                <w:sz w:val="24"/>
                <w:szCs w:val="24"/>
              </w:rPr>
            </w:pPr>
            <w:r w:rsidRPr="0017217C">
              <w:rPr>
                <w:rFonts w:ascii="Arial" w:hAnsi="Arial" w:cs="Arial"/>
                <w:b/>
                <w:sz w:val="14"/>
                <w:szCs w:val="24"/>
              </w:rPr>
              <w:t>RAG</w:t>
            </w:r>
          </w:p>
        </w:tc>
        <w:tc>
          <w:tcPr>
            <w:tcW w:w="5917" w:type="dxa"/>
          </w:tcPr>
          <w:p w14:paraId="57259E7F" w14:textId="77777777" w:rsidR="0017217C" w:rsidRPr="0017217C" w:rsidRDefault="0017217C" w:rsidP="005004EB">
            <w:pPr>
              <w:jc w:val="both"/>
              <w:rPr>
                <w:rFonts w:ascii="Arial" w:hAnsi="Arial" w:cs="Arial"/>
                <w:b/>
                <w:sz w:val="24"/>
                <w:szCs w:val="24"/>
              </w:rPr>
            </w:pPr>
            <w:r w:rsidRPr="0017217C">
              <w:rPr>
                <w:rFonts w:ascii="Arial" w:hAnsi="Arial" w:cs="Arial"/>
                <w:b/>
                <w:sz w:val="24"/>
                <w:szCs w:val="24"/>
              </w:rPr>
              <w:t>Position:</w:t>
            </w:r>
          </w:p>
        </w:tc>
      </w:tr>
      <w:tr w:rsidR="0017217C" w:rsidRPr="004E6DC3" w14:paraId="5D5015B9" w14:textId="77777777" w:rsidTr="005004EB">
        <w:trPr>
          <w:trHeight w:val="400"/>
        </w:trPr>
        <w:tc>
          <w:tcPr>
            <w:tcW w:w="2802" w:type="dxa"/>
          </w:tcPr>
          <w:p w14:paraId="45F74C82" w14:textId="77777777" w:rsidR="0017217C" w:rsidRPr="0017217C" w:rsidRDefault="0017217C" w:rsidP="005004EB">
            <w:pPr>
              <w:rPr>
                <w:rFonts w:ascii="Arial" w:hAnsi="Arial" w:cs="Arial"/>
                <w:sz w:val="24"/>
                <w:szCs w:val="23"/>
              </w:rPr>
            </w:pPr>
            <w:r w:rsidRPr="0017217C">
              <w:rPr>
                <w:rFonts w:ascii="Arial" w:hAnsi="Arial" w:cs="Arial"/>
                <w:sz w:val="24"/>
                <w:szCs w:val="23"/>
              </w:rPr>
              <w:t>Total complaints (Stage 1 and 2) by volume</w:t>
            </w:r>
          </w:p>
        </w:tc>
        <w:tc>
          <w:tcPr>
            <w:tcW w:w="567" w:type="dxa"/>
            <w:shd w:val="clear" w:color="auto" w:fill="D6E3BC" w:themeFill="accent3" w:themeFillTint="66"/>
          </w:tcPr>
          <w:p w14:paraId="3B3EF842" w14:textId="77777777" w:rsidR="0017217C" w:rsidRPr="0017217C" w:rsidRDefault="0017217C" w:rsidP="005004EB">
            <w:pPr>
              <w:rPr>
                <w:rFonts w:ascii="Arial" w:hAnsi="Arial" w:cs="Arial"/>
                <w:sz w:val="24"/>
                <w:szCs w:val="23"/>
              </w:rPr>
            </w:pPr>
          </w:p>
        </w:tc>
        <w:tc>
          <w:tcPr>
            <w:tcW w:w="5917" w:type="dxa"/>
          </w:tcPr>
          <w:p w14:paraId="79C6DE6E" w14:textId="77777777" w:rsidR="0017217C" w:rsidRPr="0017217C" w:rsidRDefault="0017217C" w:rsidP="005004EB">
            <w:pPr>
              <w:rPr>
                <w:rFonts w:ascii="Arial" w:hAnsi="Arial" w:cs="Arial"/>
                <w:sz w:val="24"/>
                <w:szCs w:val="23"/>
              </w:rPr>
            </w:pPr>
            <w:r w:rsidRPr="0017217C">
              <w:rPr>
                <w:rFonts w:ascii="Arial" w:hAnsi="Arial" w:cs="Arial"/>
                <w:sz w:val="24"/>
                <w:szCs w:val="23"/>
              </w:rPr>
              <w:t>In February 2023 there were ten complaints reported. Latest position available.</w:t>
            </w:r>
          </w:p>
        </w:tc>
      </w:tr>
      <w:tr w:rsidR="0017217C" w:rsidRPr="004E6DC3" w14:paraId="107FE2CA" w14:textId="77777777" w:rsidTr="005004EB">
        <w:trPr>
          <w:trHeight w:val="832"/>
        </w:trPr>
        <w:tc>
          <w:tcPr>
            <w:tcW w:w="2802" w:type="dxa"/>
          </w:tcPr>
          <w:p w14:paraId="645E4C79" w14:textId="77777777" w:rsidR="0017217C" w:rsidRPr="0017217C" w:rsidRDefault="0017217C" w:rsidP="005004EB">
            <w:pPr>
              <w:rPr>
                <w:rFonts w:ascii="Arial" w:hAnsi="Arial" w:cs="Arial"/>
                <w:sz w:val="24"/>
                <w:szCs w:val="23"/>
              </w:rPr>
            </w:pPr>
            <w:r w:rsidRPr="0017217C">
              <w:rPr>
                <w:rFonts w:ascii="Arial" w:hAnsi="Arial" w:cs="Arial"/>
                <w:sz w:val="24"/>
                <w:szCs w:val="23"/>
              </w:rPr>
              <w:t>Stage 1 complaints response time</w:t>
            </w:r>
          </w:p>
        </w:tc>
        <w:tc>
          <w:tcPr>
            <w:tcW w:w="567" w:type="dxa"/>
            <w:shd w:val="clear" w:color="auto" w:fill="D6E3BC" w:themeFill="accent3" w:themeFillTint="66"/>
          </w:tcPr>
          <w:p w14:paraId="10A897E0" w14:textId="77777777" w:rsidR="0017217C" w:rsidRPr="0017217C" w:rsidRDefault="0017217C" w:rsidP="005004EB">
            <w:pPr>
              <w:rPr>
                <w:rFonts w:ascii="Arial" w:hAnsi="Arial" w:cs="Arial"/>
                <w:sz w:val="24"/>
                <w:szCs w:val="23"/>
              </w:rPr>
            </w:pPr>
          </w:p>
          <w:p w14:paraId="2ED71EA7" w14:textId="77777777" w:rsidR="0017217C" w:rsidRPr="0017217C" w:rsidRDefault="0017217C" w:rsidP="005004EB">
            <w:pPr>
              <w:rPr>
                <w:rFonts w:ascii="Arial" w:hAnsi="Arial" w:cs="Arial"/>
                <w:sz w:val="24"/>
                <w:szCs w:val="23"/>
              </w:rPr>
            </w:pPr>
          </w:p>
        </w:tc>
        <w:tc>
          <w:tcPr>
            <w:tcW w:w="5917" w:type="dxa"/>
          </w:tcPr>
          <w:p w14:paraId="0DBFC1F1" w14:textId="77777777" w:rsidR="0017217C" w:rsidRPr="0017217C" w:rsidRDefault="0017217C" w:rsidP="005004EB">
            <w:pPr>
              <w:rPr>
                <w:rFonts w:ascii="Arial" w:hAnsi="Arial" w:cs="Arial"/>
                <w:sz w:val="24"/>
                <w:szCs w:val="23"/>
              </w:rPr>
            </w:pPr>
            <w:r w:rsidRPr="0017217C">
              <w:rPr>
                <w:rFonts w:ascii="Arial" w:hAnsi="Arial" w:cs="Arial"/>
                <w:sz w:val="24"/>
                <w:szCs w:val="23"/>
              </w:rPr>
              <w:t>In February 2023, there were five Stage 1 complaints, three were responded to within the five day target (60%). Latest position available.</w:t>
            </w:r>
          </w:p>
        </w:tc>
      </w:tr>
      <w:tr w:rsidR="0017217C" w:rsidRPr="004E6DC3" w14:paraId="1BAC4211" w14:textId="77777777" w:rsidTr="005004EB">
        <w:tc>
          <w:tcPr>
            <w:tcW w:w="2802" w:type="dxa"/>
          </w:tcPr>
          <w:p w14:paraId="152C279E" w14:textId="77777777" w:rsidR="0017217C" w:rsidRPr="0017217C" w:rsidRDefault="0017217C" w:rsidP="005004EB">
            <w:pPr>
              <w:rPr>
                <w:rFonts w:ascii="Arial" w:hAnsi="Arial" w:cs="Arial"/>
                <w:sz w:val="24"/>
                <w:szCs w:val="23"/>
              </w:rPr>
            </w:pPr>
            <w:r w:rsidRPr="0017217C">
              <w:rPr>
                <w:rFonts w:ascii="Arial" w:hAnsi="Arial" w:cs="Arial"/>
                <w:sz w:val="24"/>
                <w:szCs w:val="23"/>
              </w:rPr>
              <w:t xml:space="preserve">Stage 2 complaints response time </w:t>
            </w:r>
          </w:p>
        </w:tc>
        <w:tc>
          <w:tcPr>
            <w:tcW w:w="567" w:type="dxa"/>
            <w:shd w:val="clear" w:color="auto" w:fill="D6E3BC" w:themeFill="accent3" w:themeFillTint="66"/>
          </w:tcPr>
          <w:p w14:paraId="59F88FC5" w14:textId="77777777" w:rsidR="0017217C" w:rsidRPr="0017217C" w:rsidRDefault="0017217C" w:rsidP="005004EB">
            <w:pPr>
              <w:rPr>
                <w:rFonts w:ascii="Arial" w:hAnsi="Arial" w:cs="Arial"/>
                <w:sz w:val="24"/>
                <w:szCs w:val="23"/>
              </w:rPr>
            </w:pPr>
          </w:p>
        </w:tc>
        <w:tc>
          <w:tcPr>
            <w:tcW w:w="5917" w:type="dxa"/>
          </w:tcPr>
          <w:p w14:paraId="2FB05B53" w14:textId="77777777" w:rsidR="0017217C" w:rsidRPr="0017217C" w:rsidRDefault="0017217C" w:rsidP="005004EB">
            <w:pPr>
              <w:rPr>
                <w:rFonts w:ascii="Arial" w:hAnsi="Arial" w:cs="Arial"/>
                <w:sz w:val="24"/>
                <w:szCs w:val="23"/>
              </w:rPr>
            </w:pPr>
            <w:r w:rsidRPr="0017217C">
              <w:rPr>
                <w:rFonts w:ascii="Arial" w:hAnsi="Arial" w:cs="Arial"/>
                <w:sz w:val="24"/>
                <w:szCs w:val="23"/>
              </w:rPr>
              <w:t>In February 2023 there were five Stage 2 complaints, zero were responded to within the twenty day target. Latest position available.</w:t>
            </w:r>
          </w:p>
        </w:tc>
      </w:tr>
      <w:tr w:rsidR="0017217C" w:rsidRPr="004E6DC3" w14:paraId="1255B928" w14:textId="77777777" w:rsidTr="005004EB">
        <w:trPr>
          <w:trHeight w:val="321"/>
        </w:trPr>
        <w:tc>
          <w:tcPr>
            <w:tcW w:w="2802" w:type="dxa"/>
          </w:tcPr>
          <w:p w14:paraId="3A6F4185" w14:textId="77777777" w:rsidR="0017217C" w:rsidRPr="0017217C" w:rsidRDefault="0017217C" w:rsidP="005004EB">
            <w:pPr>
              <w:rPr>
                <w:rFonts w:ascii="Arial" w:hAnsi="Arial" w:cs="Arial"/>
                <w:sz w:val="24"/>
                <w:szCs w:val="23"/>
              </w:rPr>
            </w:pPr>
            <w:r w:rsidRPr="0017217C">
              <w:rPr>
                <w:rFonts w:ascii="Arial" w:hAnsi="Arial" w:cs="Arial"/>
                <w:sz w:val="24"/>
                <w:szCs w:val="23"/>
              </w:rPr>
              <w:t>Mortality</w:t>
            </w:r>
          </w:p>
        </w:tc>
        <w:tc>
          <w:tcPr>
            <w:tcW w:w="567" w:type="dxa"/>
            <w:shd w:val="clear" w:color="auto" w:fill="D6E3BC" w:themeFill="accent3" w:themeFillTint="66"/>
          </w:tcPr>
          <w:p w14:paraId="59315FC2" w14:textId="77777777" w:rsidR="0017217C" w:rsidRPr="0017217C" w:rsidRDefault="0017217C" w:rsidP="005004EB">
            <w:pPr>
              <w:rPr>
                <w:rFonts w:ascii="Arial" w:hAnsi="Arial" w:cs="Arial"/>
                <w:sz w:val="24"/>
                <w:szCs w:val="23"/>
              </w:rPr>
            </w:pPr>
          </w:p>
        </w:tc>
        <w:tc>
          <w:tcPr>
            <w:tcW w:w="5917" w:type="dxa"/>
          </w:tcPr>
          <w:p w14:paraId="56338A83" w14:textId="77777777" w:rsidR="0017217C" w:rsidRPr="0017217C" w:rsidRDefault="0017217C" w:rsidP="005004EB">
            <w:pPr>
              <w:rPr>
                <w:rFonts w:ascii="Arial" w:hAnsi="Arial" w:cs="Arial"/>
                <w:sz w:val="24"/>
                <w:szCs w:val="23"/>
              </w:rPr>
            </w:pPr>
            <w:r w:rsidRPr="0017217C">
              <w:rPr>
                <w:rFonts w:ascii="Arial" w:hAnsi="Arial" w:cs="Arial"/>
                <w:sz w:val="24"/>
                <w:szCs w:val="23"/>
              </w:rPr>
              <w:t>The mortality figure for March 2023 was reported as seven.</w:t>
            </w:r>
          </w:p>
        </w:tc>
      </w:tr>
      <w:tr w:rsidR="0017217C" w:rsidRPr="00984097" w14:paraId="53CB3DFA" w14:textId="77777777" w:rsidTr="005004EB">
        <w:trPr>
          <w:trHeight w:val="321"/>
        </w:trPr>
        <w:tc>
          <w:tcPr>
            <w:tcW w:w="2802" w:type="dxa"/>
          </w:tcPr>
          <w:p w14:paraId="7DACE6C7" w14:textId="77777777" w:rsidR="0017217C" w:rsidRPr="0017217C" w:rsidRDefault="0017217C" w:rsidP="005004EB">
            <w:pPr>
              <w:rPr>
                <w:rFonts w:ascii="Arial" w:hAnsi="Arial" w:cs="Arial"/>
                <w:sz w:val="24"/>
                <w:szCs w:val="23"/>
              </w:rPr>
            </w:pPr>
            <w:r w:rsidRPr="0017217C">
              <w:rPr>
                <w:rFonts w:ascii="Arial" w:hAnsi="Arial" w:cs="Arial"/>
                <w:sz w:val="24"/>
                <w:szCs w:val="23"/>
              </w:rPr>
              <w:t>Significant adverse events</w:t>
            </w:r>
          </w:p>
        </w:tc>
        <w:tc>
          <w:tcPr>
            <w:tcW w:w="567" w:type="dxa"/>
            <w:shd w:val="clear" w:color="auto" w:fill="D6E3BC" w:themeFill="accent3" w:themeFillTint="66"/>
          </w:tcPr>
          <w:p w14:paraId="6D1E69C9" w14:textId="77777777" w:rsidR="0017217C" w:rsidRPr="0017217C" w:rsidRDefault="0017217C" w:rsidP="005004EB">
            <w:pPr>
              <w:rPr>
                <w:rFonts w:ascii="Arial" w:hAnsi="Arial" w:cs="Arial"/>
                <w:sz w:val="24"/>
                <w:szCs w:val="23"/>
              </w:rPr>
            </w:pPr>
          </w:p>
        </w:tc>
        <w:tc>
          <w:tcPr>
            <w:tcW w:w="5917" w:type="dxa"/>
          </w:tcPr>
          <w:p w14:paraId="42CD29D9" w14:textId="77777777" w:rsidR="0017217C" w:rsidRPr="0017217C" w:rsidRDefault="0017217C" w:rsidP="005004EB">
            <w:pPr>
              <w:rPr>
                <w:rFonts w:ascii="Arial" w:hAnsi="Arial" w:cs="Arial"/>
                <w:sz w:val="24"/>
                <w:szCs w:val="23"/>
              </w:rPr>
            </w:pPr>
            <w:r w:rsidRPr="0017217C">
              <w:rPr>
                <w:rFonts w:ascii="Arial" w:hAnsi="Arial" w:cs="Arial"/>
                <w:sz w:val="24"/>
                <w:szCs w:val="23"/>
              </w:rPr>
              <w:t>There was one significant adverse event review in March 2023.</w:t>
            </w:r>
          </w:p>
        </w:tc>
      </w:tr>
      <w:tr w:rsidR="0017217C" w:rsidRPr="00984097" w14:paraId="62C80E59" w14:textId="77777777" w:rsidTr="005004EB">
        <w:trPr>
          <w:trHeight w:val="321"/>
        </w:trPr>
        <w:tc>
          <w:tcPr>
            <w:tcW w:w="2802" w:type="dxa"/>
          </w:tcPr>
          <w:p w14:paraId="371578FC" w14:textId="77777777" w:rsidR="0017217C" w:rsidRPr="0017217C" w:rsidRDefault="0017217C" w:rsidP="005004EB">
            <w:pPr>
              <w:rPr>
                <w:rFonts w:ascii="Arial" w:hAnsi="Arial" w:cs="Arial"/>
                <w:sz w:val="24"/>
                <w:szCs w:val="23"/>
              </w:rPr>
            </w:pPr>
            <w:r w:rsidRPr="0017217C">
              <w:rPr>
                <w:rFonts w:ascii="Arial" w:hAnsi="Arial" w:cs="Arial"/>
                <w:sz w:val="24"/>
                <w:szCs w:val="23"/>
              </w:rPr>
              <w:t>MRSA/MSSA cases</w:t>
            </w:r>
          </w:p>
          <w:p w14:paraId="4DCF3B3B" w14:textId="77777777" w:rsidR="0017217C" w:rsidRPr="0017217C" w:rsidRDefault="0017217C" w:rsidP="005004EB">
            <w:pPr>
              <w:rPr>
                <w:rFonts w:ascii="Arial" w:hAnsi="Arial" w:cs="Arial"/>
                <w:sz w:val="24"/>
                <w:szCs w:val="23"/>
              </w:rPr>
            </w:pPr>
          </w:p>
        </w:tc>
        <w:tc>
          <w:tcPr>
            <w:tcW w:w="567" w:type="dxa"/>
            <w:shd w:val="clear" w:color="auto" w:fill="D6E3BC" w:themeFill="accent3" w:themeFillTint="66"/>
          </w:tcPr>
          <w:p w14:paraId="22201E8D" w14:textId="77777777" w:rsidR="0017217C" w:rsidRPr="0017217C" w:rsidRDefault="0017217C" w:rsidP="005004EB">
            <w:pPr>
              <w:rPr>
                <w:rFonts w:ascii="Arial" w:hAnsi="Arial" w:cs="Arial"/>
                <w:sz w:val="24"/>
                <w:szCs w:val="23"/>
              </w:rPr>
            </w:pPr>
          </w:p>
        </w:tc>
        <w:tc>
          <w:tcPr>
            <w:tcW w:w="5917" w:type="dxa"/>
          </w:tcPr>
          <w:p w14:paraId="4540D213" w14:textId="77777777" w:rsidR="0017217C" w:rsidRPr="0017217C" w:rsidRDefault="0017217C" w:rsidP="005004EB">
            <w:pPr>
              <w:rPr>
                <w:rFonts w:ascii="Arial" w:hAnsi="Arial" w:cs="Arial"/>
                <w:sz w:val="24"/>
                <w:szCs w:val="23"/>
              </w:rPr>
            </w:pPr>
            <w:r w:rsidRPr="0017217C">
              <w:rPr>
                <w:rFonts w:ascii="Arial" w:hAnsi="Arial" w:cs="Arial"/>
                <w:sz w:val="24"/>
                <w:szCs w:val="23"/>
              </w:rPr>
              <w:t>There was two instances of Staphylococcus aureus Bacteraemia (SAB) reported in March 2023.</w:t>
            </w:r>
          </w:p>
        </w:tc>
      </w:tr>
      <w:tr w:rsidR="0017217C" w:rsidRPr="00984097" w14:paraId="18AFCB88" w14:textId="77777777" w:rsidTr="005004EB">
        <w:trPr>
          <w:trHeight w:val="321"/>
        </w:trPr>
        <w:tc>
          <w:tcPr>
            <w:tcW w:w="2802" w:type="dxa"/>
          </w:tcPr>
          <w:p w14:paraId="2FDB584E" w14:textId="77777777" w:rsidR="0017217C" w:rsidRPr="0017217C" w:rsidRDefault="0017217C" w:rsidP="005004EB">
            <w:pPr>
              <w:rPr>
                <w:rFonts w:ascii="Arial" w:hAnsi="Arial" w:cs="Arial"/>
                <w:sz w:val="24"/>
                <w:szCs w:val="23"/>
              </w:rPr>
            </w:pPr>
            <w:r w:rsidRPr="0017217C">
              <w:rPr>
                <w:rFonts w:ascii="Arial" w:hAnsi="Arial" w:cs="Arial"/>
                <w:sz w:val="24"/>
                <w:szCs w:val="23"/>
              </w:rPr>
              <w:t>Clostridiodes Difficile</w:t>
            </w:r>
          </w:p>
        </w:tc>
        <w:tc>
          <w:tcPr>
            <w:tcW w:w="567" w:type="dxa"/>
            <w:shd w:val="clear" w:color="auto" w:fill="D6E3BC" w:themeFill="accent3" w:themeFillTint="66"/>
          </w:tcPr>
          <w:p w14:paraId="0CD7785D" w14:textId="77777777" w:rsidR="0017217C" w:rsidRPr="0017217C" w:rsidRDefault="0017217C" w:rsidP="005004EB">
            <w:pPr>
              <w:jc w:val="both"/>
              <w:rPr>
                <w:rFonts w:ascii="Arial" w:hAnsi="Arial" w:cs="Arial"/>
                <w:sz w:val="24"/>
                <w:szCs w:val="23"/>
              </w:rPr>
            </w:pPr>
          </w:p>
        </w:tc>
        <w:tc>
          <w:tcPr>
            <w:tcW w:w="5917" w:type="dxa"/>
          </w:tcPr>
          <w:p w14:paraId="41313AF6" w14:textId="77777777" w:rsidR="0017217C" w:rsidRPr="0017217C" w:rsidRDefault="0017217C" w:rsidP="005004EB">
            <w:pPr>
              <w:rPr>
                <w:rFonts w:ascii="Arial" w:hAnsi="Arial" w:cs="Arial"/>
                <w:sz w:val="24"/>
                <w:szCs w:val="23"/>
              </w:rPr>
            </w:pPr>
            <w:r w:rsidRPr="0017217C">
              <w:rPr>
                <w:rFonts w:ascii="Arial" w:hAnsi="Arial" w:cs="Arial"/>
                <w:sz w:val="24"/>
                <w:szCs w:val="23"/>
              </w:rPr>
              <w:t xml:space="preserve">There were zero Clostridiodes Difficile Infections (CDI) reported in March 2023.  </w:t>
            </w:r>
          </w:p>
        </w:tc>
      </w:tr>
      <w:tr w:rsidR="0017217C" w:rsidRPr="00FB1972" w14:paraId="0865FA69" w14:textId="77777777" w:rsidTr="005004EB">
        <w:trPr>
          <w:trHeight w:val="321"/>
        </w:trPr>
        <w:tc>
          <w:tcPr>
            <w:tcW w:w="2802" w:type="dxa"/>
          </w:tcPr>
          <w:p w14:paraId="2B1FE3EB" w14:textId="77777777" w:rsidR="0017217C" w:rsidRPr="0017217C" w:rsidRDefault="0017217C" w:rsidP="005004EB">
            <w:pPr>
              <w:rPr>
                <w:rFonts w:ascii="Arial" w:hAnsi="Arial" w:cs="Arial"/>
                <w:sz w:val="24"/>
                <w:szCs w:val="23"/>
              </w:rPr>
            </w:pPr>
            <w:r w:rsidRPr="0017217C">
              <w:rPr>
                <w:rFonts w:ascii="Arial" w:hAnsi="Arial" w:cs="Arial"/>
                <w:sz w:val="24"/>
                <w:szCs w:val="23"/>
              </w:rPr>
              <w:t>Gram Negative Bacteraemia</w:t>
            </w:r>
          </w:p>
        </w:tc>
        <w:tc>
          <w:tcPr>
            <w:tcW w:w="567" w:type="dxa"/>
            <w:shd w:val="clear" w:color="auto" w:fill="E5B8B7" w:themeFill="accent2" w:themeFillTint="66"/>
          </w:tcPr>
          <w:p w14:paraId="01777B1A" w14:textId="77777777" w:rsidR="0017217C" w:rsidRPr="0017217C" w:rsidRDefault="0017217C" w:rsidP="005004EB">
            <w:pPr>
              <w:rPr>
                <w:rFonts w:ascii="Arial" w:hAnsi="Arial" w:cs="Arial"/>
                <w:sz w:val="24"/>
                <w:szCs w:val="23"/>
              </w:rPr>
            </w:pPr>
          </w:p>
        </w:tc>
        <w:tc>
          <w:tcPr>
            <w:tcW w:w="5917" w:type="dxa"/>
          </w:tcPr>
          <w:p w14:paraId="5FBA47EB" w14:textId="77777777" w:rsidR="0017217C" w:rsidRPr="0017217C" w:rsidRDefault="0017217C" w:rsidP="005004EB">
            <w:pPr>
              <w:rPr>
                <w:rFonts w:ascii="Arial" w:hAnsi="Arial" w:cs="Arial"/>
                <w:sz w:val="24"/>
                <w:szCs w:val="23"/>
              </w:rPr>
            </w:pPr>
            <w:r w:rsidRPr="0017217C">
              <w:rPr>
                <w:rFonts w:ascii="Arial" w:hAnsi="Arial" w:cs="Arial"/>
                <w:sz w:val="24"/>
                <w:szCs w:val="23"/>
              </w:rPr>
              <w:t>There were two reported instances of Gram Negative Bacteraemia in March 2023.</w:t>
            </w:r>
          </w:p>
        </w:tc>
      </w:tr>
      <w:tr w:rsidR="0017217C" w:rsidRPr="00984097" w14:paraId="433085C0" w14:textId="77777777" w:rsidTr="005004EB">
        <w:trPr>
          <w:trHeight w:val="321"/>
        </w:trPr>
        <w:tc>
          <w:tcPr>
            <w:tcW w:w="2802" w:type="dxa"/>
          </w:tcPr>
          <w:p w14:paraId="4B444CA2" w14:textId="77777777" w:rsidR="0017217C" w:rsidRPr="0017217C" w:rsidRDefault="0017217C" w:rsidP="005004EB">
            <w:pPr>
              <w:rPr>
                <w:rFonts w:ascii="Arial" w:hAnsi="Arial" w:cs="Arial"/>
                <w:sz w:val="24"/>
                <w:szCs w:val="23"/>
              </w:rPr>
            </w:pPr>
            <w:r w:rsidRPr="0017217C">
              <w:rPr>
                <w:rFonts w:ascii="Arial" w:hAnsi="Arial" w:cs="Arial"/>
                <w:sz w:val="24"/>
                <w:szCs w:val="23"/>
              </w:rPr>
              <w:t>SSI: Hips &amp; Knees</w:t>
            </w:r>
          </w:p>
          <w:p w14:paraId="163CCF6D" w14:textId="77777777" w:rsidR="0017217C" w:rsidRPr="0017217C" w:rsidRDefault="0017217C" w:rsidP="005004EB">
            <w:pPr>
              <w:rPr>
                <w:rFonts w:ascii="Arial" w:hAnsi="Arial" w:cs="Arial"/>
                <w:sz w:val="24"/>
                <w:szCs w:val="23"/>
              </w:rPr>
            </w:pPr>
          </w:p>
        </w:tc>
        <w:tc>
          <w:tcPr>
            <w:tcW w:w="567" w:type="dxa"/>
            <w:shd w:val="clear" w:color="auto" w:fill="D6E3BC" w:themeFill="accent3" w:themeFillTint="66"/>
          </w:tcPr>
          <w:p w14:paraId="35EE43A4" w14:textId="77777777" w:rsidR="0017217C" w:rsidRPr="0017217C" w:rsidRDefault="0017217C" w:rsidP="005004EB">
            <w:pPr>
              <w:rPr>
                <w:rFonts w:ascii="Arial" w:hAnsi="Arial" w:cs="Arial"/>
                <w:sz w:val="24"/>
                <w:szCs w:val="23"/>
              </w:rPr>
            </w:pPr>
          </w:p>
        </w:tc>
        <w:tc>
          <w:tcPr>
            <w:tcW w:w="5917" w:type="dxa"/>
          </w:tcPr>
          <w:p w14:paraId="10A5C984" w14:textId="77777777" w:rsidR="0017217C" w:rsidRPr="0017217C" w:rsidRDefault="0017217C" w:rsidP="005004EB">
            <w:pPr>
              <w:rPr>
                <w:rFonts w:ascii="Arial" w:hAnsi="Arial" w:cs="Arial"/>
                <w:sz w:val="24"/>
                <w:szCs w:val="23"/>
              </w:rPr>
            </w:pPr>
            <w:r w:rsidRPr="0017217C">
              <w:rPr>
                <w:rFonts w:ascii="Arial" w:hAnsi="Arial" w:cs="Arial"/>
                <w:sz w:val="24"/>
                <w:szCs w:val="23"/>
              </w:rPr>
              <w:t>Surveillance recommenced in July with zero SSI reported in March 2023.</w:t>
            </w:r>
          </w:p>
        </w:tc>
      </w:tr>
      <w:tr w:rsidR="0017217C" w:rsidRPr="00984097" w14:paraId="7CB71124" w14:textId="77777777" w:rsidTr="005004EB">
        <w:trPr>
          <w:trHeight w:val="321"/>
        </w:trPr>
        <w:tc>
          <w:tcPr>
            <w:tcW w:w="2802" w:type="dxa"/>
          </w:tcPr>
          <w:p w14:paraId="3787E474" w14:textId="77777777" w:rsidR="0017217C" w:rsidRPr="0017217C" w:rsidRDefault="0017217C" w:rsidP="005004EB">
            <w:pPr>
              <w:rPr>
                <w:rFonts w:ascii="Arial" w:hAnsi="Arial" w:cs="Arial"/>
                <w:sz w:val="24"/>
                <w:szCs w:val="23"/>
              </w:rPr>
            </w:pPr>
            <w:r w:rsidRPr="0017217C">
              <w:rPr>
                <w:rFonts w:ascii="Arial" w:hAnsi="Arial" w:cs="Arial"/>
                <w:sz w:val="24"/>
                <w:szCs w:val="23"/>
              </w:rPr>
              <w:t>SSI: Cardiac</w:t>
            </w:r>
          </w:p>
          <w:p w14:paraId="7353F77A" w14:textId="77777777" w:rsidR="0017217C" w:rsidRPr="0017217C" w:rsidRDefault="0017217C" w:rsidP="005004EB">
            <w:pPr>
              <w:rPr>
                <w:rFonts w:ascii="Arial" w:hAnsi="Arial" w:cs="Arial"/>
                <w:sz w:val="24"/>
                <w:szCs w:val="23"/>
              </w:rPr>
            </w:pPr>
          </w:p>
        </w:tc>
        <w:tc>
          <w:tcPr>
            <w:tcW w:w="567" w:type="dxa"/>
            <w:shd w:val="clear" w:color="auto" w:fill="D6E3BC" w:themeFill="accent3" w:themeFillTint="66"/>
          </w:tcPr>
          <w:p w14:paraId="7749EC24" w14:textId="77777777" w:rsidR="0017217C" w:rsidRPr="0017217C" w:rsidRDefault="0017217C" w:rsidP="005004EB">
            <w:pPr>
              <w:rPr>
                <w:rFonts w:ascii="Arial" w:hAnsi="Arial" w:cs="Arial"/>
                <w:sz w:val="24"/>
                <w:szCs w:val="23"/>
              </w:rPr>
            </w:pPr>
          </w:p>
        </w:tc>
        <w:tc>
          <w:tcPr>
            <w:tcW w:w="5917" w:type="dxa"/>
          </w:tcPr>
          <w:p w14:paraId="69F525C6" w14:textId="77777777" w:rsidR="0017217C" w:rsidRPr="0017217C" w:rsidRDefault="0017217C" w:rsidP="005004EB">
            <w:pPr>
              <w:rPr>
                <w:rFonts w:ascii="Arial" w:hAnsi="Arial" w:cs="Arial"/>
                <w:sz w:val="24"/>
                <w:szCs w:val="23"/>
              </w:rPr>
            </w:pPr>
            <w:r w:rsidRPr="0017217C">
              <w:rPr>
                <w:rFonts w:ascii="Arial" w:hAnsi="Arial" w:cs="Arial"/>
                <w:sz w:val="24"/>
                <w:szCs w:val="23"/>
              </w:rPr>
              <w:t>Surveillance recommenced in October with one SSI reported in March 2023.</w:t>
            </w:r>
          </w:p>
        </w:tc>
      </w:tr>
    </w:tbl>
    <w:p w14:paraId="1F96181E" w14:textId="77777777" w:rsidR="00ED7DEF" w:rsidRPr="0000531E" w:rsidRDefault="00ED7DEF" w:rsidP="00ED7DEF">
      <w:pPr>
        <w:rPr>
          <w:rFonts w:ascii="Arial" w:hAnsi="Arial" w:cs="Arial"/>
        </w:rPr>
      </w:pPr>
    </w:p>
    <w:p w14:paraId="71428446" w14:textId="778A0EEA" w:rsidR="00F13C91" w:rsidRPr="0000531E" w:rsidRDefault="00F13C91" w:rsidP="00ED7DEF">
      <w:pPr>
        <w:rPr>
          <w:rFonts w:ascii="Arial" w:hAnsi="Arial" w:cs="Arial"/>
        </w:rPr>
      </w:pPr>
    </w:p>
    <w:p w14:paraId="1FD95490" w14:textId="77777777" w:rsidR="004C2305" w:rsidRPr="0000531E" w:rsidRDefault="004C2305" w:rsidP="004C2305">
      <w:pPr>
        <w:rPr>
          <w:rFonts w:ascii="Arial" w:hAnsi="Arial" w:cs="Arial"/>
          <w:b/>
          <w:sz w:val="24"/>
        </w:rPr>
      </w:pPr>
    </w:p>
    <w:p w14:paraId="6F8DD7C6" w14:textId="77777777" w:rsidR="00F13C91" w:rsidRPr="0000531E" w:rsidRDefault="00F13C91" w:rsidP="004C2305">
      <w:pPr>
        <w:rPr>
          <w:rFonts w:ascii="Arial" w:hAnsi="Arial" w:cs="Arial"/>
          <w:b/>
          <w:sz w:val="24"/>
        </w:rPr>
      </w:pPr>
    </w:p>
    <w:p w14:paraId="2F9BC15D" w14:textId="77777777" w:rsidR="00F13C91" w:rsidRPr="0000531E" w:rsidRDefault="00F13C91" w:rsidP="004C2305">
      <w:pPr>
        <w:rPr>
          <w:rFonts w:ascii="Arial" w:hAnsi="Arial" w:cs="Arial"/>
          <w:b/>
          <w:sz w:val="24"/>
        </w:rPr>
      </w:pPr>
    </w:p>
    <w:p w14:paraId="0555DF23" w14:textId="77777777" w:rsidR="00F13C91" w:rsidRPr="0000531E" w:rsidRDefault="00F13C91" w:rsidP="004C2305">
      <w:pPr>
        <w:rPr>
          <w:rFonts w:ascii="Arial" w:hAnsi="Arial" w:cs="Arial"/>
          <w:b/>
          <w:sz w:val="24"/>
        </w:rPr>
      </w:pPr>
    </w:p>
    <w:p w14:paraId="4A5DE6BB" w14:textId="77777777" w:rsidR="00F13C91" w:rsidRPr="0000531E" w:rsidRDefault="00F13C91" w:rsidP="004C2305">
      <w:pPr>
        <w:rPr>
          <w:rFonts w:ascii="Arial" w:hAnsi="Arial" w:cs="Arial"/>
          <w:b/>
          <w:sz w:val="24"/>
        </w:rPr>
      </w:pPr>
    </w:p>
    <w:p w14:paraId="0F696370" w14:textId="77777777" w:rsidR="00F13C91" w:rsidRPr="0000531E" w:rsidRDefault="00F13C91" w:rsidP="004C2305">
      <w:pPr>
        <w:rPr>
          <w:rFonts w:ascii="Arial" w:hAnsi="Arial" w:cs="Arial"/>
          <w:b/>
          <w:sz w:val="24"/>
        </w:rPr>
      </w:pPr>
    </w:p>
    <w:p w14:paraId="186BD66D" w14:textId="50D1D941" w:rsidR="00B92DB6" w:rsidRPr="0000531E" w:rsidRDefault="00B92DB6" w:rsidP="00B92DB6">
      <w:pPr>
        <w:tabs>
          <w:tab w:val="left" w:pos="8115"/>
        </w:tabs>
        <w:rPr>
          <w:rFonts w:ascii="Arial" w:hAnsi="Arial" w:cs="Arial"/>
          <w:b/>
          <w:sz w:val="24"/>
        </w:rPr>
      </w:pPr>
    </w:p>
    <w:p w14:paraId="7C0DD47B" w14:textId="26DE221C" w:rsidR="004C2305" w:rsidRDefault="00AE49E8" w:rsidP="004C2305">
      <w:pPr>
        <w:rPr>
          <w:rFonts w:ascii="Arial" w:hAnsi="Arial" w:cs="Arial"/>
          <w:b/>
          <w:sz w:val="24"/>
        </w:rPr>
      </w:pPr>
      <w:r w:rsidRPr="0000531E">
        <w:rPr>
          <w:rFonts w:ascii="Arial" w:hAnsi="Arial" w:cs="Arial"/>
          <w:b/>
          <w:sz w:val="24"/>
        </w:rPr>
        <w:t>C</w:t>
      </w:r>
      <w:r w:rsidR="00364866" w:rsidRPr="0000531E">
        <w:rPr>
          <w:rFonts w:ascii="Arial" w:hAnsi="Arial" w:cs="Arial"/>
          <w:b/>
          <w:sz w:val="24"/>
        </w:rPr>
        <w:t xml:space="preserve">linical Governance </w:t>
      </w:r>
      <w:r w:rsidR="004C2305" w:rsidRPr="0000531E">
        <w:rPr>
          <w:rFonts w:ascii="Arial" w:hAnsi="Arial" w:cs="Arial"/>
          <w:b/>
          <w:sz w:val="24"/>
        </w:rPr>
        <w:t>Executive Summary</w:t>
      </w:r>
    </w:p>
    <w:p w14:paraId="2E0841C9" w14:textId="77777777" w:rsidR="0017217C" w:rsidRPr="007030DB" w:rsidRDefault="0017217C" w:rsidP="0017217C">
      <w:pPr>
        <w:spacing w:line="276" w:lineRule="auto"/>
        <w:rPr>
          <w:rFonts w:cs="Arial"/>
          <w:color w:val="FF0000"/>
          <w:sz w:val="24"/>
        </w:rPr>
      </w:pPr>
    </w:p>
    <w:p w14:paraId="0DD089B9" w14:textId="77777777" w:rsidR="0017217C" w:rsidRPr="0017217C" w:rsidRDefault="0017217C" w:rsidP="0017217C">
      <w:pPr>
        <w:spacing w:line="276" w:lineRule="auto"/>
        <w:rPr>
          <w:rFonts w:ascii="Arial" w:hAnsi="Arial" w:cs="Arial"/>
          <w:bCs/>
          <w:sz w:val="24"/>
        </w:rPr>
      </w:pPr>
      <w:r w:rsidRPr="0017217C">
        <w:rPr>
          <w:rFonts w:ascii="Arial" w:hAnsi="Arial" w:cs="Arial"/>
          <w:bCs/>
          <w:sz w:val="24"/>
        </w:rPr>
        <w:t>In February, we received five stage 2 complaints and five stage 1 complaints.  None of the stage 2 complaints were closed within the guidance timescale (20 days). Three of the stage 2 complaints are still open at the time of pulling the data for this report (13</w:t>
      </w:r>
      <w:r w:rsidRPr="0017217C">
        <w:rPr>
          <w:rFonts w:ascii="Arial" w:hAnsi="Arial" w:cs="Arial"/>
          <w:bCs/>
          <w:sz w:val="24"/>
          <w:vertAlign w:val="superscript"/>
        </w:rPr>
        <w:t>th</w:t>
      </w:r>
      <w:r w:rsidRPr="0017217C">
        <w:rPr>
          <w:rFonts w:ascii="Arial" w:hAnsi="Arial" w:cs="Arial"/>
          <w:bCs/>
          <w:sz w:val="24"/>
        </w:rPr>
        <w:t xml:space="preserve"> April 2023).</w:t>
      </w:r>
    </w:p>
    <w:p w14:paraId="14403F8C" w14:textId="77777777" w:rsidR="0017217C" w:rsidRPr="0017217C" w:rsidRDefault="0017217C" w:rsidP="0017217C">
      <w:pPr>
        <w:spacing w:line="276" w:lineRule="auto"/>
        <w:rPr>
          <w:rFonts w:ascii="Arial" w:hAnsi="Arial" w:cs="Arial"/>
          <w:bCs/>
          <w:sz w:val="24"/>
        </w:rPr>
      </w:pPr>
      <w:r w:rsidRPr="0017217C">
        <w:rPr>
          <w:rFonts w:ascii="Arial" w:hAnsi="Arial" w:cs="Arial"/>
          <w:bCs/>
          <w:sz w:val="24"/>
        </w:rPr>
        <w:t xml:space="preserve">60% of stage 1 complaints were responded to within guidance timescale (5 days) n = 3.  </w:t>
      </w:r>
    </w:p>
    <w:p w14:paraId="7FD2A051" w14:textId="77777777" w:rsidR="0017217C" w:rsidRPr="0017217C" w:rsidRDefault="0017217C" w:rsidP="0017217C">
      <w:pPr>
        <w:spacing w:line="276" w:lineRule="auto"/>
        <w:rPr>
          <w:rFonts w:ascii="Arial" w:hAnsi="Arial" w:cs="Arial"/>
          <w:bCs/>
          <w:sz w:val="24"/>
        </w:rPr>
      </w:pPr>
      <w:r w:rsidRPr="0017217C">
        <w:rPr>
          <w:rFonts w:ascii="Arial" w:hAnsi="Arial" w:cs="Arial"/>
          <w:bCs/>
          <w:sz w:val="24"/>
        </w:rPr>
        <w:t>The average time to respond to stage 1 complaints was 5.2 working days to be completed and closed.  The average time to respond to stage 2 complaints was 20.5 days.</w:t>
      </w:r>
    </w:p>
    <w:p w14:paraId="4E5D480C" w14:textId="77777777" w:rsidR="0017217C" w:rsidRPr="0017217C" w:rsidRDefault="0017217C" w:rsidP="0017217C">
      <w:pPr>
        <w:spacing w:line="276" w:lineRule="auto"/>
        <w:rPr>
          <w:rFonts w:ascii="Arial" w:hAnsi="Arial" w:cs="Arial"/>
          <w:bCs/>
          <w:sz w:val="24"/>
        </w:rPr>
      </w:pPr>
      <w:r w:rsidRPr="0017217C">
        <w:rPr>
          <w:rFonts w:ascii="Arial" w:hAnsi="Arial" w:cs="Arial"/>
          <w:bCs/>
          <w:sz w:val="24"/>
        </w:rPr>
        <w:t>Mortality data remained within control limits for March 2023 (n=7)</w:t>
      </w:r>
    </w:p>
    <w:p w14:paraId="6BA1E1AD" w14:textId="77777777" w:rsidR="0017217C" w:rsidRPr="0017217C" w:rsidRDefault="0017217C" w:rsidP="0017217C">
      <w:pPr>
        <w:rPr>
          <w:rFonts w:ascii="Arial" w:hAnsi="Arial" w:cs="Arial"/>
          <w:b/>
          <w:bCs/>
          <w:sz w:val="24"/>
        </w:rPr>
      </w:pPr>
      <w:r w:rsidRPr="0017217C">
        <w:rPr>
          <w:rFonts w:ascii="Arial" w:hAnsi="Arial" w:cs="Arial"/>
          <w:bCs/>
          <w:sz w:val="24"/>
        </w:rPr>
        <w:t>No whistleblowing concerns have been raised during March 2023</w:t>
      </w:r>
      <w:r w:rsidRPr="0017217C">
        <w:rPr>
          <w:rFonts w:ascii="Arial" w:hAnsi="Arial" w:cs="Arial"/>
          <w:b/>
          <w:bCs/>
          <w:sz w:val="24"/>
        </w:rPr>
        <w:t>.</w:t>
      </w:r>
    </w:p>
    <w:p w14:paraId="3660E3B4" w14:textId="77777777" w:rsidR="00C95866" w:rsidRDefault="00C95866" w:rsidP="004C2305">
      <w:pPr>
        <w:tabs>
          <w:tab w:val="left" w:pos="1418"/>
        </w:tabs>
        <w:spacing w:after="120"/>
        <w:jc w:val="both"/>
        <w:rPr>
          <w:sz w:val="24"/>
        </w:rPr>
      </w:pPr>
    </w:p>
    <w:p w14:paraId="1BCD1C87" w14:textId="03498430" w:rsidR="004C2305" w:rsidRPr="00C95866" w:rsidRDefault="004C2305" w:rsidP="004C2305">
      <w:pPr>
        <w:tabs>
          <w:tab w:val="left" w:pos="1418"/>
        </w:tabs>
        <w:spacing w:after="120"/>
        <w:jc w:val="both"/>
        <w:rPr>
          <w:rFonts w:ascii="Arial" w:hAnsi="Arial" w:cs="Arial"/>
          <w:b/>
          <w:color w:val="000000" w:themeColor="text1"/>
          <w:sz w:val="24"/>
          <w:szCs w:val="24"/>
          <w:u w:val="single"/>
        </w:rPr>
      </w:pPr>
      <w:r w:rsidRPr="00C95866">
        <w:rPr>
          <w:rFonts w:ascii="Arial" w:hAnsi="Arial" w:cs="Arial"/>
          <w:b/>
          <w:color w:val="000000" w:themeColor="text1"/>
          <w:sz w:val="24"/>
          <w:szCs w:val="24"/>
          <w:u w:val="single"/>
        </w:rPr>
        <w:t xml:space="preserve">Key Healthcare Associated Infection Headlines </w:t>
      </w:r>
    </w:p>
    <w:p w14:paraId="0ECF28E2" w14:textId="77777777" w:rsidR="00C95866" w:rsidRPr="00C95866" w:rsidRDefault="00C95866" w:rsidP="00C95866">
      <w:pPr>
        <w:pStyle w:val="ListParagraph"/>
        <w:numPr>
          <w:ilvl w:val="0"/>
          <w:numId w:val="9"/>
        </w:numPr>
        <w:spacing w:after="100" w:afterAutospacing="1" w:line="240" w:lineRule="auto"/>
        <w:jc w:val="both"/>
        <w:rPr>
          <w:rFonts w:ascii="Arial" w:hAnsi="Arial" w:cs="Arial"/>
          <w:color w:val="000000" w:themeColor="text1"/>
          <w:sz w:val="24"/>
          <w:szCs w:val="24"/>
        </w:rPr>
      </w:pPr>
      <w:r w:rsidRPr="00C95866">
        <w:rPr>
          <w:rFonts w:ascii="Arial" w:hAnsi="Arial" w:cs="Arial"/>
          <w:b/>
          <w:i/>
          <w:iCs/>
          <w:sz w:val="24"/>
          <w:szCs w:val="24"/>
        </w:rPr>
        <w:t>Staphylococcus aureus</w:t>
      </w:r>
      <w:r w:rsidRPr="00C95866">
        <w:rPr>
          <w:rFonts w:ascii="Arial" w:hAnsi="Arial" w:cs="Arial"/>
          <w:b/>
          <w:sz w:val="24"/>
          <w:szCs w:val="24"/>
        </w:rPr>
        <w:t xml:space="preserve"> Bacteraemia-</w:t>
      </w:r>
      <w:r w:rsidRPr="00C95866">
        <w:rPr>
          <w:rFonts w:ascii="Arial" w:hAnsi="Arial" w:cs="Arial"/>
          <w:sz w:val="24"/>
          <w:szCs w:val="24"/>
        </w:rPr>
        <w:t xml:space="preserve"> 11 cases in total 22-23 / 21.37 per 100,000 total occupied bed days.</w:t>
      </w:r>
      <w:r w:rsidRPr="00C95866">
        <w:rPr>
          <w:rFonts w:ascii="Arial" w:hAnsi="Arial" w:cs="Arial"/>
          <w:iCs/>
          <w:sz w:val="24"/>
          <w:szCs w:val="24"/>
        </w:rPr>
        <w:t xml:space="preserve"> Ortho SSI accounted for 30% of these cases.</w:t>
      </w:r>
    </w:p>
    <w:p w14:paraId="4F90DF9E" w14:textId="3360754E" w:rsidR="00C95866" w:rsidRPr="00C95866" w:rsidRDefault="00C95866" w:rsidP="00C95866">
      <w:pPr>
        <w:pStyle w:val="ListParagraph"/>
        <w:shd w:val="clear" w:color="auto" w:fill="FFFFFF" w:themeFill="background1"/>
        <w:spacing w:after="100" w:afterAutospacing="1"/>
        <w:jc w:val="both"/>
        <w:rPr>
          <w:rFonts w:ascii="Arial" w:hAnsi="Arial" w:cs="Arial"/>
          <w:color w:val="000000" w:themeColor="text1"/>
          <w:sz w:val="24"/>
          <w:szCs w:val="24"/>
        </w:rPr>
      </w:pPr>
      <w:r w:rsidRPr="00C95866">
        <w:rPr>
          <w:rFonts w:ascii="Arial" w:hAnsi="Arial" w:cs="Arial"/>
          <w:iCs/>
          <w:sz w:val="24"/>
          <w:szCs w:val="24"/>
        </w:rPr>
        <w:t>This exceeds the local trajectory of 11.</w:t>
      </w:r>
      <w:r w:rsidRPr="00C95866">
        <w:rPr>
          <w:rFonts w:ascii="Arial" w:hAnsi="Arial" w:cs="Arial"/>
          <w:color w:val="000000" w:themeColor="text1"/>
          <w:sz w:val="24"/>
          <w:szCs w:val="24"/>
        </w:rPr>
        <w:t>22</w:t>
      </w:r>
      <w:r w:rsidRPr="00C95866">
        <w:rPr>
          <w:rFonts w:ascii="Arial" w:hAnsi="Arial" w:cs="Arial"/>
          <w:iCs/>
          <w:sz w:val="24"/>
          <w:szCs w:val="24"/>
        </w:rPr>
        <w:t xml:space="preserve"> per 100,000 total occupied bed days, but below national quarterly rates ranging between 17-19 per </w:t>
      </w:r>
      <w:r w:rsidRPr="00C95866">
        <w:rPr>
          <w:rFonts w:ascii="Arial" w:hAnsi="Arial" w:cs="Arial"/>
          <w:sz w:val="24"/>
          <w:szCs w:val="24"/>
        </w:rPr>
        <w:t>100,000 total occupied bed days.</w:t>
      </w:r>
    </w:p>
    <w:p w14:paraId="03DF7E7A" w14:textId="77777777" w:rsidR="00C95866" w:rsidRPr="00C95866" w:rsidRDefault="00C95866" w:rsidP="00C95866">
      <w:pPr>
        <w:pStyle w:val="ListParagraph"/>
        <w:shd w:val="clear" w:color="auto" w:fill="FFFFFF" w:themeFill="background1"/>
        <w:spacing w:after="100" w:afterAutospacing="1"/>
        <w:ind w:left="709"/>
        <w:jc w:val="both"/>
        <w:rPr>
          <w:rFonts w:ascii="Arial" w:hAnsi="Arial" w:cs="Arial"/>
          <w:color w:val="000000" w:themeColor="text1"/>
          <w:sz w:val="24"/>
          <w:szCs w:val="24"/>
        </w:rPr>
      </w:pPr>
    </w:p>
    <w:p w14:paraId="3003CC23" w14:textId="77777777" w:rsidR="00C95866" w:rsidRPr="00C95866" w:rsidRDefault="00C95866" w:rsidP="00C95866">
      <w:pPr>
        <w:pStyle w:val="ListParagraph"/>
        <w:numPr>
          <w:ilvl w:val="0"/>
          <w:numId w:val="9"/>
        </w:numPr>
        <w:shd w:val="clear" w:color="auto" w:fill="FFFFFF" w:themeFill="background1"/>
        <w:spacing w:after="100" w:afterAutospacing="1" w:line="240" w:lineRule="auto"/>
        <w:jc w:val="both"/>
        <w:rPr>
          <w:rFonts w:ascii="Arial" w:hAnsi="Arial" w:cs="Arial"/>
          <w:color w:val="000000" w:themeColor="text1"/>
          <w:sz w:val="24"/>
          <w:szCs w:val="24"/>
        </w:rPr>
      </w:pPr>
      <w:r w:rsidRPr="00C95866">
        <w:rPr>
          <w:rFonts w:ascii="Arial" w:hAnsi="Arial" w:cs="Arial"/>
          <w:b/>
          <w:i/>
          <w:sz w:val="24"/>
          <w:szCs w:val="24"/>
        </w:rPr>
        <w:t>Clostridioides difficile</w:t>
      </w:r>
      <w:r w:rsidRPr="00C95866">
        <w:rPr>
          <w:rFonts w:ascii="Arial" w:hAnsi="Arial" w:cs="Arial"/>
          <w:b/>
          <w:sz w:val="24"/>
          <w:szCs w:val="24"/>
        </w:rPr>
        <w:t xml:space="preserve"> infection (previously known as </w:t>
      </w:r>
      <w:r w:rsidRPr="00C95866">
        <w:rPr>
          <w:rFonts w:ascii="Arial" w:hAnsi="Arial" w:cs="Arial"/>
          <w:b/>
          <w:i/>
          <w:sz w:val="24"/>
          <w:szCs w:val="24"/>
        </w:rPr>
        <w:t>Clostridium difficile</w:t>
      </w:r>
      <w:r w:rsidRPr="00C95866">
        <w:rPr>
          <w:rFonts w:ascii="Arial" w:hAnsi="Arial" w:cs="Arial"/>
          <w:sz w:val="24"/>
          <w:szCs w:val="24"/>
        </w:rPr>
        <w:t>) - 1 case in total 22-23 / 1.9 per 100,000 total occupied bed days.</w:t>
      </w:r>
    </w:p>
    <w:p w14:paraId="1CBB2EF0" w14:textId="77777777" w:rsidR="00C95866" w:rsidRPr="00C95866" w:rsidRDefault="00C95866" w:rsidP="00C95866">
      <w:pPr>
        <w:pStyle w:val="ListParagraph"/>
        <w:shd w:val="clear" w:color="auto" w:fill="FFFFFF" w:themeFill="background1"/>
        <w:spacing w:after="100" w:afterAutospacing="1"/>
        <w:ind w:left="709"/>
        <w:rPr>
          <w:rFonts w:ascii="Arial" w:hAnsi="Arial" w:cs="Arial"/>
          <w:iCs/>
          <w:sz w:val="24"/>
          <w:szCs w:val="24"/>
        </w:rPr>
      </w:pPr>
      <w:r w:rsidRPr="00C95866">
        <w:rPr>
          <w:rFonts w:ascii="Arial" w:hAnsi="Arial" w:cs="Arial"/>
          <w:iCs/>
          <w:sz w:val="24"/>
          <w:szCs w:val="24"/>
        </w:rPr>
        <w:t xml:space="preserve">This meets the local trajectory of 1.9 per 100,000 total occupied bed days and well below national quarterly rates ranging between 13-14 per </w:t>
      </w:r>
      <w:r w:rsidRPr="00C95866">
        <w:rPr>
          <w:rFonts w:ascii="Arial" w:hAnsi="Arial" w:cs="Arial"/>
          <w:sz w:val="24"/>
          <w:szCs w:val="24"/>
        </w:rPr>
        <w:t>100,000 total occupied bed days.</w:t>
      </w:r>
    </w:p>
    <w:p w14:paraId="540466F5" w14:textId="77777777" w:rsidR="00C95866" w:rsidRPr="00C95866" w:rsidRDefault="00C95866" w:rsidP="00C95866">
      <w:pPr>
        <w:pStyle w:val="ListParagraph"/>
        <w:shd w:val="clear" w:color="auto" w:fill="FFFFFF" w:themeFill="background1"/>
        <w:spacing w:after="100" w:afterAutospacing="1"/>
        <w:ind w:left="709"/>
        <w:rPr>
          <w:rFonts w:ascii="Arial" w:hAnsi="Arial" w:cs="Arial"/>
          <w:iCs/>
          <w:sz w:val="24"/>
          <w:szCs w:val="24"/>
        </w:rPr>
      </w:pPr>
    </w:p>
    <w:p w14:paraId="47EEA091" w14:textId="77777777" w:rsidR="00C95866" w:rsidRPr="00C95866" w:rsidRDefault="00C95866" w:rsidP="00C95866">
      <w:pPr>
        <w:pStyle w:val="ListParagraph"/>
        <w:numPr>
          <w:ilvl w:val="0"/>
          <w:numId w:val="9"/>
        </w:numPr>
        <w:shd w:val="clear" w:color="auto" w:fill="FFFFFF" w:themeFill="background1"/>
        <w:spacing w:after="100" w:afterAutospacing="1" w:line="240" w:lineRule="auto"/>
        <w:jc w:val="both"/>
        <w:rPr>
          <w:rFonts w:ascii="Arial" w:hAnsi="Arial" w:cs="Arial"/>
          <w:color w:val="000000" w:themeColor="text1"/>
          <w:sz w:val="24"/>
          <w:szCs w:val="24"/>
        </w:rPr>
      </w:pPr>
      <w:r w:rsidRPr="00C95866">
        <w:rPr>
          <w:rFonts w:ascii="Arial" w:hAnsi="Arial" w:cs="Arial"/>
          <w:b/>
          <w:sz w:val="24"/>
          <w:szCs w:val="24"/>
        </w:rPr>
        <w:t>Gram Negative/E.coli Bacteraemia (ECB)</w:t>
      </w:r>
      <w:r w:rsidRPr="00C95866">
        <w:rPr>
          <w:rFonts w:ascii="Arial" w:hAnsi="Arial" w:cs="Arial"/>
          <w:sz w:val="24"/>
          <w:szCs w:val="24"/>
        </w:rPr>
        <w:t xml:space="preserve"> - 11 cases in total 22-23 / 21.37 per 100,000 total occupied bed days.</w:t>
      </w:r>
    </w:p>
    <w:p w14:paraId="2892B32B" w14:textId="77777777" w:rsidR="00C95866" w:rsidRPr="00C95866" w:rsidRDefault="00C95866" w:rsidP="00C95866">
      <w:pPr>
        <w:pStyle w:val="ListParagraph"/>
        <w:shd w:val="clear" w:color="auto" w:fill="FFFFFF" w:themeFill="background1"/>
        <w:spacing w:after="100" w:afterAutospacing="1"/>
        <w:jc w:val="both"/>
        <w:rPr>
          <w:rFonts w:ascii="Arial" w:hAnsi="Arial" w:cs="Arial"/>
          <w:sz w:val="24"/>
          <w:szCs w:val="24"/>
        </w:rPr>
      </w:pPr>
      <w:r w:rsidRPr="00C95866">
        <w:rPr>
          <w:rFonts w:ascii="Arial" w:hAnsi="Arial" w:cs="Arial"/>
          <w:color w:val="000000" w:themeColor="text1"/>
          <w:sz w:val="24"/>
          <w:szCs w:val="24"/>
        </w:rPr>
        <w:t>This exceeds the local trajectory of 9.3 per 100,000 total occupied bed days,</w:t>
      </w:r>
      <w:r w:rsidRPr="00C95866">
        <w:rPr>
          <w:rFonts w:ascii="Arial" w:hAnsi="Arial" w:cs="Arial"/>
          <w:iCs/>
          <w:sz w:val="24"/>
          <w:szCs w:val="24"/>
        </w:rPr>
        <w:t xml:space="preserve"> but below national quarterly rates ranging between 34-36 per </w:t>
      </w:r>
      <w:r w:rsidRPr="00C95866">
        <w:rPr>
          <w:rFonts w:ascii="Arial" w:hAnsi="Arial" w:cs="Arial"/>
          <w:sz w:val="24"/>
          <w:szCs w:val="24"/>
        </w:rPr>
        <w:t>100,000 total occupied bed days.</w:t>
      </w:r>
    </w:p>
    <w:p w14:paraId="01D24A7D" w14:textId="42A1A012" w:rsidR="00C95866" w:rsidRPr="00C95866" w:rsidRDefault="00C95866" w:rsidP="00C95866">
      <w:pPr>
        <w:pStyle w:val="ListParagraph"/>
        <w:shd w:val="clear" w:color="auto" w:fill="FFFFFF" w:themeFill="background1"/>
        <w:spacing w:after="100" w:afterAutospacing="1"/>
        <w:jc w:val="both"/>
        <w:rPr>
          <w:rFonts w:ascii="Arial" w:hAnsi="Arial" w:cs="Arial"/>
          <w:color w:val="000000" w:themeColor="text1"/>
          <w:sz w:val="24"/>
          <w:szCs w:val="24"/>
        </w:rPr>
      </w:pPr>
      <w:r w:rsidRPr="00C95866">
        <w:rPr>
          <w:rFonts w:ascii="Arial" w:hAnsi="Arial" w:cs="Arial"/>
          <w:sz w:val="24"/>
          <w:szCs w:val="24"/>
        </w:rPr>
        <w:t>DL(2023) 06 acknowledges the difficulty Boards are facing achieving the ECB target at a Scottish and UK level. The move to 50% reduction is been paused and will remain at 25%. Future year targets beyond 22/23 are being reviewed at a UK level.</w:t>
      </w:r>
    </w:p>
    <w:p w14:paraId="7B803E86" w14:textId="77777777" w:rsidR="00C95866" w:rsidRPr="00C95866" w:rsidRDefault="00C95866" w:rsidP="00C95866">
      <w:pPr>
        <w:pStyle w:val="ListParagraph"/>
        <w:shd w:val="clear" w:color="auto" w:fill="FFFFFF" w:themeFill="background1"/>
        <w:spacing w:after="100" w:afterAutospacing="1"/>
        <w:jc w:val="both"/>
        <w:rPr>
          <w:rFonts w:ascii="Arial" w:hAnsi="Arial" w:cs="Arial"/>
          <w:color w:val="000000" w:themeColor="text1"/>
          <w:sz w:val="24"/>
          <w:szCs w:val="24"/>
        </w:rPr>
      </w:pPr>
    </w:p>
    <w:p w14:paraId="01EBA5D4" w14:textId="77777777" w:rsidR="00C95866" w:rsidRPr="00C95866" w:rsidRDefault="00C95866" w:rsidP="00C95866">
      <w:pPr>
        <w:pStyle w:val="ListParagraph"/>
        <w:numPr>
          <w:ilvl w:val="0"/>
          <w:numId w:val="9"/>
        </w:numPr>
        <w:shd w:val="clear" w:color="auto" w:fill="FFFFFF" w:themeFill="background1"/>
        <w:spacing w:after="100" w:afterAutospacing="1" w:line="240" w:lineRule="auto"/>
        <w:jc w:val="both"/>
        <w:rPr>
          <w:rFonts w:ascii="Arial" w:hAnsi="Arial" w:cs="Arial"/>
          <w:b/>
          <w:sz w:val="24"/>
          <w:szCs w:val="24"/>
        </w:rPr>
      </w:pPr>
      <w:r w:rsidRPr="00C95866">
        <w:rPr>
          <w:rFonts w:ascii="Arial" w:hAnsi="Arial" w:cs="Arial"/>
          <w:b/>
          <w:sz w:val="24"/>
          <w:szCs w:val="24"/>
        </w:rPr>
        <w:t>Hand Hygiene</w:t>
      </w:r>
      <w:r w:rsidRPr="00C95866">
        <w:rPr>
          <w:rFonts w:ascii="Arial" w:hAnsi="Arial" w:cs="Arial"/>
          <w:sz w:val="24"/>
          <w:szCs w:val="24"/>
        </w:rPr>
        <w:t xml:space="preserve">- </w:t>
      </w:r>
      <w:r w:rsidRPr="00C95866">
        <w:rPr>
          <w:rFonts w:ascii="Arial" w:hAnsi="Arial" w:cs="Arial"/>
          <w:color w:val="000000" w:themeColor="text1"/>
          <w:sz w:val="24"/>
          <w:szCs w:val="24"/>
        </w:rPr>
        <w:t xml:space="preserve">The </w:t>
      </w:r>
      <w:r w:rsidRPr="00C95866">
        <w:rPr>
          <w:rFonts w:ascii="Arial" w:hAnsi="Arial" w:cs="Arial"/>
          <w:b/>
          <w:color w:val="000000" w:themeColor="text1"/>
          <w:sz w:val="24"/>
          <w:szCs w:val="24"/>
        </w:rPr>
        <w:t>bimonthly</w:t>
      </w:r>
      <w:r w:rsidRPr="00C95866">
        <w:rPr>
          <w:rFonts w:ascii="Arial" w:hAnsi="Arial" w:cs="Arial"/>
          <w:color w:val="000000" w:themeColor="text1"/>
          <w:sz w:val="24"/>
          <w:szCs w:val="24"/>
        </w:rPr>
        <w:t xml:space="preserve"> report from Mar 23 indicates an overall compliance of 98% with hand hygiene opportunity and technique. </w:t>
      </w:r>
      <w:r w:rsidRPr="00C95866">
        <w:rPr>
          <w:rFonts w:ascii="Arial" w:hAnsi="Arial" w:cs="Arial"/>
          <w:sz w:val="24"/>
          <w:szCs w:val="24"/>
        </w:rPr>
        <w:t xml:space="preserve">NHS GJ compliance was </w:t>
      </w:r>
      <w:r w:rsidRPr="00C95866">
        <w:rPr>
          <w:rFonts w:ascii="Arial" w:hAnsi="Arial" w:cs="Arial"/>
          <w:sz w:val="24"/>
          <w:szCs w:val="24"/>
        </w:rPr>
        <w:lastRenderedPageBreak/>
        <w:t>sustained above 95% compliance over 2022 -23, with the lowest bi monthly compliance reported at 97% during this period.</w:t>
      </w:r>
    </w:p>
    <w:p w14:paraId="33B7B5CA" w14:textId="733AC7FA" w:rsidR="00D766A3" w:rsidRPr="00C95866" w:rsidRDefault="00D766A3" w:rsidP="00C95866">
      <w:pPr>
        <w:pStyle w:val="ListParagraph"/>
        <w:shd w:val="clear" w:color="auto" w:fill="FFFFFF" w:themeFill="background1"/>
        <w:spacing w:after="0" w:line="240" w:lineRule="auto"/>
        <w:ind w:left="709"/>
        <w:rPr>
          <w:rFonts w:ascii="Arial" w:hAnsi="Arial" w:cs="Arial"/>
          <w:sz w:val="22"/>
          <w:szCs w:val="22"/>
        </w:rPr>
      </w:pPr>
    </w:p>
    <w:p w14:paraId="29C5C3FA" w14:textId="77777777" w:rsidR="00D766A3" w:rsidRPr="00C95866" w:rsidRDefault="00D766A3" w:rsidP="00D766A3">
      <w:pPr>
        <w:pStyle w:val="ListParagraph"/>
        <w:ind w:left="709"/>
        <w:rPr>
          <w:rFonts w:ascii="Arial" w:hAnsi="Arial" w:cs="Arial"/>
          <w:sz w:val="22"/>
          <w:szCs w:val="22"/>
        </w:rPr>
      </w:pPr>
    </w:p>
    <w:p w14:paraId="32536A0A" w14:textId="77777777" w:rsidR="00C95866" w:rsidRDefault="00C95866" w:rsidP="00D766A3">
      <w:pPr>
        <w:pStyle w:val="ListParagraph"/>
        <w:ind w:left="0"/>
        <w:rPr>
          <w:rFonts w:ascii="Arial" w:hAnsi="Arial" w:cs="Arial"/>
          <w:b/>
          <w:sz w:val="22"/>
          <w:szCs w:val="22"/>
        </w:rPr>
      </w:pPr>
    </w:p>
    <w:p w14:paraId="2FC58D1B" w14:textId="77777777" w:rsidR="00C95866" w:rsidRPr="00C95866" w:rsidRDefault="00C95866" w:rsidP="00D766A3">
      <w:pPr>
        <w:widowControl w:val="0"/>
        <w:autoSpaceDE w:val="0"/>
        <w:autoSpaceDN w:val="0"/>
        <w:spacing w:before="7"/>
        <w:rPr>
          <w:rFonts w:ascii="Arial" w:hAnsi="Arial" w:cs="Arial"/>
          <w:b/>
          <w:sz w:val="24"/>
          <w:szCs w:val="24"/>
        </w:rPr>
      </w:pPr>
      <w:r w:rsidRPr="00C95866">
        <w:rPr>
          <w:rFonts w:ascii="Arial" w:hAnsi="Arial" w:cs="Arial"/>
          <w:b/>
          <w:sz w:val="24"/>
          <w:szCs w:val="24"/>
        </w:rPr>
        <w:t>2022-23 HAI Activity Overview</w:t>
      </w:r>
    </w:p>
    <w:p w14:paraId="65436A15" w14:textId="172E7128" w:rsidR="00C95866" w:rsidRPr="00C95866" w:rsidRDefault="00C95866" w:rsidP="00C95866">
      <w:pPr>
        <w:pStyle w:val="ListParagraph"/>
        <w:ind w:left="0"/>
        <w:rPr>
          <w:rFonts w:ascii="Arial" w:hAnsi="Arial" w:cs="Arial"/>
          <w:sz w:val="24"/>
          <w:szCs w:val="24"/>
        </w:rPr>
      </w:pPr>
      <w:r w:rsidRPr="00C95866">
        <w:rPr>
          <w:rFonts w:ascii="Arial" w:hAnsi="Arial" w:cs="Arial"/>
          <w:sz w:val="24"/>
          <w:szCs w:val="24"/>
        </w:rPr>
        <w:t>2022-23 continued to be a challenging year for NHS Scotland returning to business as usual. As NHS GJ Prevention Control Team, our key role in this period continued to be advisers to the Board on the prevention and control of infection response to COVID 19 aligned to evolving national guidance. As the epidemiology of COVID 19 changed so too did our national and local approach with a final move back to Transm</w:t>
      </w:r>
      <w:r w:rsidR="009A12DE">
        <w:rPr>
          <w:rFonts w:ascii="Arial" w:hAnsi="Arial" w:cs="Arial"/>
          <w:sz w:val="24"/>
          <w:szCs w:val="24"/>
        </w:rPr>
        <w:t>ission Based Precautions Oct 22</w:t>
      </w:r>
      <w:r w:rsidRPr="00C95866">
        <w:rPr>
          <w:rFonts w:ascii="Arial" w:hAnsi="Arial" w:cs="Arial"/>
          <w:sz w:val="24"/>
          <w:szCs w:val="24"/>
        </w:rPr>
        <w:t xml:space="preserve"> </w:t>
      </w:r>
    </w:p>
    <w:p w14:paraId="66499BB1" w14:textId="77777777" w:rsidR="00C95866" w:rsidRPr="00C95866" w:rsidRDefault="00C95866" w:rsidP="00C95866">
      <w:pPr>
        <w:pStyle w:val="ListParagraph"/>
        <w:ind w:left="0"/>
        <w:rPr>
          <w:rFonts w:ascii="Arial" w:hAnsi="Arial" w:cs="Arial"/>
          <w:sz w:val="24"/>
          <w:szCs w:val="24"/>
        </w:rPr>
      </w:pPr>
    </w:p>
    <w:p w14:paraId="30E6BD01" w14:textId="77777777" w:rsidR="00C95866" w:rsidRPr="00C95866" w:rsidRDefault="00C95866" w:rsidP="00C95866">
      <w:pPr>
        <w:pStyle w:val="ListParagraph"/>
        <w:ind w:left="0"/>
        <w:rPr>
          <w:rFonts w:ascii="Arial" w:hAnsi="Arial" w:cs="Arial"/>
          <w:sz w:val="24"/>
          <w:szCs w:val="24"/>
          <w:lang w:val="en"/>
        </w:rPr>
      </w:pPr>
      <w:r w:rsidRPr="00C95866">
        <w:rPr>
          <w:rFonts w:ascii="Arial" w:hAnsi="Arial" w:cs="Arial"/>
          <w:sz w:val="24"/>
          <w:szCs w:val="24"/>
          <w:lang w:val="en"/>
        </w:rPr>
        <w:t>Beyond COVID, our team’s main focus has been to resume key national and local priorities. Our local activity has focused on meeting the objectives within the 2022/23 Prevention and Control of Infection Planned Programme. These activities</w:t>
      </w:r>
      <w:r w:rsidRPr="00C95866">
        <w:rPr>
          <w:rFonts w:ascii="Arial" w:hAnsi="Arial" w:cs="Arial"/>
          <w:sz w:val="24"/>
          <w:szCs w:val="24"/>
        </w:rPr>
        <w:t xml:space="preserve"> centred</w:t>
      </w:r>
      <w:r w:rsidRPr="00C95866">
        <w:rPr>
          <w:rFonts w:ascii="Arial" w:hAnsi="Arial" w:cs="Arial"/>
          <w:sz w:val="24"/>
          <w:szCs w:val="24"/>
          <w:lang w:val="en"/>
        </w:rPr>
        <w:t xml:space="preserve"> on surveillance, compliance monitoring, policy review and development, provision of a safe built environment, education, antimicrobial stewardship and team development. </w:t>
      </w:r>
    </w:p>
    <w:p w14:paraId="1EED91D4" w14:textId="77777777" w:rsidR="00C95866" w:rsidRPr="00C95866" w:rsidRDefault="00C95866" w:rsidP="00C95866">
      <w:pPr>
        <w:pStyle w:val="ListParagraph"/>
        <w:ind w:left="0"/>
        <w:rPr>
          <w:rFonts w:ascii="Arial" w:hAnsi="Arial" w:cs="Arial"/>
          <w:sz w:val="24"/>
          <w:szCs w:val="24"/>
          <w:lang w:val="en"/>
        </w:rPr>
      </w:pPr>
    </w:p>
    <w:p w14:paraId="1B0029EA" w14:textId="77777777" w:rsidR="00C95866" w:rsidRPr="00C95866" w:rsidRDefault="00C95866" w:rsidP="00C95866">
      <w:pPr>
        <w:pStyle w:val="ListParagraph"/>
        <w:ind w:left="0"/>
        <w:rPr>
          <w:rFonts w:ascii="Arial" w:hAnsi="Arial" w:cs="Arial"/>
          <w:sz w:val="24"/>
          <w:szCs w:val="24"/>
          <w:lang w:val="en"/>
        </w:rPr>
      </w:pPr>
      <w:r w:rsidRPr="00C95866">
        <w:rPr>
          <w:rFonts w:ascii="Arial" w:hAnsi="Arial" w:cs="Arial"/>
          <w:sz w:val="24"/>
          <w:szCs w:val="24"/>
          <w:lang w:val="en"/>
        </w:rPr>
        <w:t xml:space="preserve">As Hospital Expansion moves closer to handover, PCI support and activity has increased. In previous years PCI activity had almost exclusively focused on the design and construction of Phase 2. In 2022/23, construction activity has further extended into our hospital footprint with breakthroughs from Phase 2 and associated redevelopment construction to support planned activity and flow. To support the planning around operational delivery of Phase 2, there has also been a marked increase in all PCI team activity in various delivery groups. </w:t>
      </w:r>
    </w:p>
    <w:p w14:paraId="7054BCD0" w14:textId="77777777" w:rsidR="00C95866" w:rsidRPr="00C95866" w:rsidRDefault="00C95866" w:rsidP="00C95866">
      <w:pPr>
        <w:spacing w:before="100" w:beforeAutospacing="1" w:after="100" w:afterAutospacing="1"/>
        <w:rPr>
          <w:rFonts w:ascii="Arial" w:hAnsi="Arial" w:cs="Arial"/>
          <w:b/>
          <w:sz w:val="24"/>
          <w:szCs w:val="24"/>
          <w:lang w:val="en"/>
        </w:rPr>
      </w:pPr>
      <w:r w:rsidRPr="00C95866">
        <w:rPr>
          <w:rFonts w:ascii="Arial" w:hAnsi="Arial" w:cs="Arial"/>
          <w:b/>
          <w:sz w:val="24"/>
          <w:szCs w:val="24"/>
          <w:lang w:val="en"/>
        </w:rPr>
        <w:t>National influencing factors</w:t>
      </w:r>
    </w:p>
    <w:p w14:paraId="7DDC6A59" w14:textId="77777777" w:rsidR="00C95866" w:rsidRPr="00C95866" w:rsidRDefault="00C95866" w:rsidP="00C95866">
      <w:pPr>
        <w:spacing w:before="100" w:beforeAutospacing="1" w:after="100" w:afterAutospacing="1"/>
        <w:rPr>
          <w:rFonts w:ascii="Arial" w:hAnsi="Arial" w:cs="Arial"/>
          <w:sz w:val="24"/>
          <w:szCs w:val="24"/>
          <w:lang w:val="en"/>
        </w:rPr>
      </w:pPr>
      <w:r w:rsidRPr="00C95866">
        <w:rPr>
          <w:rFonts w:ascii="Arial" w:hAnsi="Arial" w:cs="Arial"/>
          <w:sz w:val="24"/>
          <w:szCs w:val="24"/>
          <w:lang w:val="en"/>
        </w:rPr>
        <w:t>During 2022/23 national priorities /publication have also influenced the work of the PCIT and NHS GJ, these include:</w:t>
      </w:r>
    </w:p>
    <w:p w14:paraId="0BE8E307" w14:textId="77777777" w:rsidR="00C95866" w:rsidRPr="00C95866" w:rsidRDefault="00C95866" w:rsidP="00C95866">
      <w:pPr>
        <w:pStyle w:val="ListParagraph"/>
        <w:numPr>
          <w:ilvl w:val="0"/>
          <w:numId w:val="20"/>
        </w:numPr>
        <w:spacing w:before="100" w:beforeAutospacing="1" w:after="100" w:afterAutospacing="1" w:line="240" w:lineRule="auto"/>
        <w:rPr>
          <w:rFonts w:ascii="Arial" w:hAnsi="Arial" w:cs="Arial"/>
          <w:sz w:val="24"/>
          <w:szCs w:val="24"/>
          <w:lang w:val="en"/>
        </w:rPr>
      </w:pPr>
      <w:r w:rsidRPr="00C95866">
        <w:rPr>
          <w:rFonts w:ascii="Arial" w:hAnsi="Arial" w:cs="Arial"/>
          <w:sz w:val="24"/>
          <w:szCs w:val="24"/>
          <w:lang w:val="en"/>
        </w:rPr>
        <w:t>The revised HAI Standards for Scotland which were launched by HIS in May 2022, these standards form the basis of HEI inspection.</w:t>
      </w:r>
    </w:p>
    <w:p w14:paraId="005A3F6A" w14:textId="77777777" w:rsidR="00C95866" w:rsidRPr="00C95866" w:rsidRDefault="00C95866" w:rsidP="00C95866">
      <w:pPr>
        <w:pStyle w:val="ListParagraph"/>
        <w:numPr>
          <w:ilvl w:val="0"/>
          <w:numId w:val="20"/>
        </w:numPr>
        <w:spacing w:before="100" w:beforeAutospacing="1" w:after="100" w:afterAutospacing="1" w:line="240" w:lineRule="auto"/>
        <w:rPr>
          <w:rFonts w:ascii="Arial" w:hAnsi="Arial" w:cs="Arial"/>
          <w:sz w:val="24"/>
          <w:szCs w:val="24"/>
          <w:lang w:val="en"/>
        </w:rPr>
      </w:pPr>
      <w:r w:rsidRPr="00C95866">
        <w:rPr>
          <w:rFonts w:ascii="Arial" w:hAnsi="Arial" w:cs="Arial"/>
          <w:sz w:val="24"/>
          <w:szCs w:val="24"/>
          <w:lang w:val="en"/>
        </w:rPr>
        <w:t>IPC Workforce Strategy 2022-2024</w:t>
      </w:r>
    </w:p>
    <w:p w14:paraId="213F7E02" w14:textId="77777777" w:rsidR="00C95866" w:rsidRPr="00C95866" w:rsidRDefault="00C95866" w:rsidP="00C95866">
      <w:pPr>
        <w:pStyle w:val="ListParagraph"/>
        <w:numPr>
          <w:ilvl w:val="0"/>
          <w:numId w:val="20"/>
        </w:numPr>
        <w:spacing w:before="100" w:beforeAutospacing="1" w:after="100" w:afterAutospacing="1" w:line="240" w:lineRule="auto"/>
        <w:rPr>
          <w:rFonts w:ascii="Arial" w:hAnsi="Arial" w:cs="Arial"/>
          <w:sz w:val="24"/>
          <w:szCs w:val="24"/>
        </w:rPr>
      </w:pPr>
      <w:r w:rsidRPr="00C95866">
        <w:rPr>
          <w:rFonts w:ascii="Arial" w:hAnsi="Arial" w:cs="Arial"/>
          <w:sz w:val="24"/>
          <w:szCs w:val="24"/>
          <w:lang w:val="en"/>
        </w:rPr>
        <w:t>Review of COVID 19 control measures and guidance</w:t>
      </w:r>
    </w:p>
    <w:p w14:paraId="1BD1C48F" w14:textId="77777777" w:rsidR="00C95866" w:rsidRPr="00C95866" w:rsidRDefault="00C95866" w:rsidP="00C95866">
      <w:pPr>
        <w:pStyle w:val="ListParagraph"/>
        <w:numPr>
          <w:ilvl w:val="0"/>
          <w:numId w:val="20"/>
        </w:numPr>
        <w:spacing w:before="100" w:beforeAutospacing="1" w:after="100" w:afterAutospacing="1" w:line="240" w:lineRule="auto"/>
        <w:rPr>
          <w:rFonts w:ascii="Arial" w:hAnsi="Arial" w:cs="Arial"/>
          <w:sz w:val="24"/>
          <w:szCs w:val="24"/>
        </w:rPr>
      </w:pPr>
      <w:r w:rsidRPr="00C95866">
        <w:rPr>
          <w:rFonts w:ascii="Arial" w:hAnsi="Arial" w:cs="Arial"/>
          <w:sz w:val="24"/>
          <w:szCs w:val="24"/>
          <w:lang w:val="en"/>
        </w:rPr>
        <w:t>HCAI Strategy 2023-2025 official launch June 2023</w:t>
      </w:r>
    </w:p>
    <w:p w14:paraId="532270C4" w14:textId="77777777" w:rsidR="00C95866" w:rsidRDefault="00C95866" w:rsidP="00D766A3">
      <w:pPr>
        <w:widowControl w:val="0"/>
        <w:autoSpaceDE w:val="0"/>
        <w:autoSpaceDN w:val="0"/>
        <w:spacing w:before="7"/>
        <w:rPr>
          <w:rFonts w:ascii="Arial" w:hAnsi="Arial" w:cs="Arial"/>
          <w:b/>
          <w:sz w:val="22"/>
          <w:szCs w:val="22"/>
        </w:rPr>
      </w:pPr>
    </w:p>
    <w:p w14:paraId="7C919953" w14:textId="3AF7DDFB" w:rsidR="00D766A3" w:rsidRDefault="00D766A3" w:rsidP="004C2305">
      <w:pPr>
        <w:tabs>
          <w:tab w:val="left" w:pos="1418"/>
        </w:tabs>
        <w:spacing w:after="120"/>
        <w:jc w:val="both"/>
        <w:rPr>
          <w:rFonts w:ascii="Arial" w:eastAsia="Arial" w:hAnsi="Arial" w:cs="Arial"/>
        </w:rPr>
      </w:pPr>
    </w:p>
    <w:p w14:paraId="520BC318" w14:textId="050BA65B" w:rsidR="00C95866" w:rsidRDefault="00C95866" w:rsidP="004C2305">
      <w:pPr>
        <w:tabs>
          <w:tab w:val="left" w:pos="1418"/>
        </w:tabs>
        <w:spacing w:after="120"/>
        <w:jc w:val="both"/>
        <w:rPr>
          <w:rFonts w:ascii="Arial" w:eastAsia="Arial" w:hAnsi="Arial" w:cs="Arial"/>
        </w:rPr>
      </w:pPr>
    </w:p>
    <w:p w14:paraId="2AF99EB1" w14:textId="77777777" w:rsidR="00C95866" w:rsidRDefault="00C95866" w:rsidP="004C2305">
      <w:pPr>
        <w:tabs>
          <w:tab w:val="left" w:pos="1418"/>
        </w:tabs>
        <w:spacing w:after="120"/>
        <w:jc w:val="both"/>
        <w:rPr>
          <w:rFonts w:ascii="Arial" w:eastAsia="Arial" w:hAnsi="Arial" w:cs="Arial"/>
        </w:rPr>
      </w:pPr>
    </w:p>
    <w:p w14:paraId="367A1166" w14:textId="77777777" w:rsidR="00C95866" w:rsidRPr="0000531E" w:rsidRDefault="00C95866" w:rsidP="004C2305">
      <w:pPr>
        <w:tabs>
          <w:tab w:val="left" w:pos="1418"/>
        </w:tabs>
        <w:spacing w:after="120"/>
        <w:jc w:val="both"/>
        <w:rPr>
          <w:rFonts w:ascii="Arial" w:hAnsi="Arial" w:cs="Arial"/>
          <w:b/>
          <w:color w:val="000000" w:themeColor="text1"/>
          <w:sz w:val="24"/>
          <w:szCs w:val="24"/>
          <w:u w:val="single"/>
        </w:rPr>
      </w:pPr>
    </w:p>
    <w:p w14:paraId="159BEC5D" w14:textId="55A40A30" w:rsidR="00025608" w:rsidRPr="0000531E" w:rsidRDefault="00D50B57" w:rsidP="00025608">
      <w:pPr>
        <w:pStyle w:val="Heading1"/>
        <w:rPr>
          <w:rFonts w:ascii="Arial" w:hAnsi="Arial" w:cs="Arial"/>
        </w:rPr>
      </w:pPr>
      <w:r w:rsidRPr="0000531E">
        <w:rPr>
          <w:rFonts w:ascii="Arial" w:hAnsi="Arial" w:cs="Arial"/>
        </w:rPr>
        <w:t>S</w:t>
      </w:r>
      <w:r w:rsidR="00CD32CE" w:rsidRPr="0000531E">
        <w:rPr>
          <w:rFonts w:ascii="Arial" w:hAnsi="Arial" w:cs="Arial"/>
        </w:rPr>
        <w:t xml:space="preserve">ection B: </w:t>
      </w:r>
      <w:r w:rsidR="00025608" w:rsidRPr="0000531E">
        <w:rPr>
          <w:rFonts w:ascii="Arial" w:hAnsi="Arial" w:cs="Arial"/>
        </w:rPr>
        <w:t>2 Staff Governance</w:t>
      </w:r>
    </w:p>
    <w:p w14:paraId="19C7645C" w14:textId="440D13FA" w:rsidR="008E5202" w:rsidRPr="0000531E" w:rsidRDefault="008E5202" w:rsidP="008E5202">
      <w:pPr>
        <w:rPr>
          <w:rFonts w:ascii="Arial" w:hAnsi="Arial" w:cs="Arial"/>
        </w:rPr>
      </w:pPr>
    </w:p>
    <w:tbl>
      <w:tblPr>
        <w:tblStyle w:val="TableGrid"/>
        <w:tblW w:w="9286" w:type="dxa"/>
        <w:tblLayout w:type="fixed"/>
        <w:tblLook w:val="04A0" w:firstRow="1" w:lastRow="0" w:firstColumn="1" w:lastColumn="0" w:noHBand="0" w:noVBand="1"/>
      </w:tblPr>
      <w:tblGrid>
        <w:gridCol w:w="2802"/>
        <w:gridCol w:w="567"/>
        <w:gridCol w:w="5917"/>
      </w:tblGrid>
      <w:tr w:rsidR="00814C33" w:rsidRPr="00984097" w14:paraId="45B8C0A6" w14:textId="77777777" w:rsidTr="005004EB">
        <w:trPr>
          <w:trHeight w:val="321"/>
        </w:trPr>
        <w:tc>
          <w:tcPr>
            <w:tcW w:w="9286" w:type="dxa"/>
            <w:gridSpan w:val="3"/>
            <w:shd w:val="clear" w:color="auto" w:fill="B2A1C7" w:themeFill="accent4" w:themeFillTint="99"/>
          </w:tcPr>
          <w:p w14:paraId="0B93F207" w14:textId="77777777" w:rsidR="00814C33" w:rsidRPr="00814C33" w:rsidRDefault="00814C33" w:rsidP="005004EB">
            <w:pPr>
              <w:tabs>
                <w:tab w:val="left" w:pos="690"/>
              </w:tabs>
              <w:rPr>
                <w:rFonts w:ascii="Arial" w:hAnsi="Arial" w:cs="Arial"/>
                <w:sz w:val="24"/>
                <w:szCs w:val="24"/>
              </w:rPr>
            </w:pPr>
            <w:r w:rsidRPr="00814C33">
              <w:rPr>
                <w:rFonts w:ascii="Arial" w:hAnsi="Arial" w:cs="Arial"/>
                <w:b/>
                <w:sz w:val="24"/>
                <w:szCs w:val="24"/>
              </w:rPr>
              <w:t>Staff Governance</w:t>
            </w:r>
          </w:p>
        </w:tc>
      </w:tr>
      <w:tr w:rsidR="00814C33" w:rsidRPr="00776441" w14:paraId="655D315D" w14:textId="77777777" w:rsidTr="005004EB">
        <w:trPr>
          <w:trHeight w:val="303"/>
        </w:trPr>
        <w:tc>
          <w:tcPr>
            <w:tcW w:w="2802" w:type="dxa"/>
            <w:shd w:val="clear" w:color="auto" w:fill="auto"/>
          </w:tcPr>
          <w:p w14:paraId="5BC36C6E" w14:textId="77777777" w:rsidR="00814C33" w:rsidRPr="00814C33" w:rsidRDefault="00814C33" w:rsidP="005004EB">
            <w:pPr>
              <w:rPr>
                <w:rFonts w:ascii="Arial" w:hAnsi="Arial" w:cs="Arial"/>
                <w:sz w:val="24"/>
                <w:szCs w:val="23"/>
              </w:rPr>
            </w:pPr>
            <w:r w:rsidRPr="00814C33">
              <w:rPr>
                <w:rFonts w:ascii="Arial" w:hAnsi="Arial" w:cs="Arial"/>
                <w:sz w:val="24"/>
                <w:szCs w:val="23"/>
              </w:rPr>
              <w:t>Disciplinaries</w:t>
            </w:r>
          </w:p>
        </w:tc>
        <w:tc>
          <w:tcPr>
            <w:tcW w:w="567" w:type="dxa"/>
            <w:shd w:val="clear" w:color="auto" w:fill="D6E3BC" w:themeFill="accent3" w:themeFillTint="66"/>
          </w:tcPr>
          <w:p w14:paraId="7323A6C7" w14:textId="77777777" w:rsidR="00814C33" w:rsidRPr="00814C33" w:rsidRDefault="00814C33" w:rsidP="005004EB">
            <w:pPr>
              <w:rPr>
                <w:rFonts w:ascii="Arial" w:hAnsi="Arial" w:cs="Arial"/>
                <w:sz w:val="24"/>
                <w:szCs w:val="23"/>
                <w:highlight w:val="yellow"/>
              </w:rPr>
            </w:pPr>
          </w:p>
        </w:tc>
        <w:tc>
          <w:tcPr>
            <w:tcW w:w="5917" w:type="dxa"/>
          </w:tcPr>
          <w:p w14:paraId="39C212EF" w14:textId="77777777" w:rsidR="00814C33" w:rsidRPr="00814C33" w:rsidRDefault="00814C33" w:rsidP="005004EB">
            <w:pPr>
              <w:rPr>
                <w:rFonts w:ascii="Arial" w:hAnsi="Arial" w:cs="Arial"/>
                <w:sz w:val="24"/>
                <w:szCs w:val="23"/>
              </w:rPr>
            </w:pPr>
            <w:r w:rsidRPr="00814C33">
              <w:rPr>
                <w:rFonts w:ascii="Arial" w:hAnsi="Arial" w:cs="Arial"/>
                <w:sz w:val="24"/>
                <w:szCs w:val="23"/>
              </w:rPr>
              <w:t>There were two disciplinary cases raised in March.</w:t>
            </w:r>
          </w:p>
        </w:tc>
      </w:tr>
      <w:tr w:rsidR="00814C33" w:rsidRPr="00776441" w14:paraId="1837AF41" w14:textId="77777777" w:rsidTr="005004EB">
        <w:trPr>
          <w:trHeight w:val="341"/>
        </w:trPr>
        <w:tc>
          <w:tcPr>
            <w:tcW w:w="2802" w:type="dxa"/>
            <w:shd w:val="clear" w:color="auto" w:fill="auto"/>
          </w:tcPr>
          <w:p w14:paraId="433BB51F" w14:textId="77777777" w:rsidR="00814C33" w:rsidRPr="00814C33" w:rsidRDefault="00814C33" w:rsidP="005004EB">
            <w:pPr>
              <w:rPr>
                <w:rFonts w:ascii="Arial" w:hAnsi="Arial" w:cs="Arial"/>
                <w:sz w:val="24"/>
                <w:szCs w:val="23"/>
              </w:rPr>
            </w:pPr>
            <w:r w:rsidRPr="00814C33">
              <w:rPr>
                <w:rFonts w:ascii="Arial" w:hAnsi="Arial" w:cs="Arial"/>
                <w:sz w:val="24"/>
                <w:szCs w:val="23"/>
              </w:rPr>
              <w:t>Grievances</w:t>
            </w:r>
          </w:p>
        </w:tc>
        <w:tc>
          <w:tcPr>
            <w:tcW w:w="567" w:type="dxa"/>
            <w:shd w:val="clear" w:color="auto" w:fill="D6E3BC" w:themeFill="accent3" w:themeFillTint="66"/>
          </w:tcPr>
          <w:p w14:paraId="64A03529" w14:textId="77777777" w:rsidR="00814C33" w:rsidRPr="00814C33" w:rsidRDefault="00814C33" w:rsidP="005004EB">
            <w:pPr>
              <w:rPr>
                <w:rFonts w:ascii="Arial" w:hAnsi="Arial" w:cs="Arial"/>
                <w:sz w:val="24"/>
                <w:szCs w:val="23"/>
                <w:highlight w:val="yellow"/>
              </w:rPr>
            </w:pPr>
          </w:p>
        </w:tc>
        <w:tc>
          <w:tcPr>
            <w:tcW w:w="5917" w:type="dxa"/>
          </w:tcPr>
          <w:p w14:paraId="712449FF" w14:textId="77777777" w:rsidR="00814C33" w:rsidRPr="00814C33" w:rsidRDefault="00814C33" w:rsidP="005004EB">
            <w:pPr>
              <w:rPr>
                <w:rFonts w:ascii="Arial" w:hAnsi="Arial" w:cs="Arial"/>
                <w:sz w:val="24"/>
                <w:szCs w:val="23"/>
              </w:rPr>
            </w:pPr>
            <w:r w:rsidRPr="00814C33">
              <w:rPr>
                <w:rFonts w:ascii="Arial" w:hAnsi="Arial" w:cs="Arial"/>
                <w:sz w:val="24"/>
                <w:szCs w:val="23"/>
              </w:rPr>
              <w:t>There were no grievance cases raised in March 2023.</w:t>
            </w:r>
          </w:p>
        </w:tc>
      </w:tr>
      <w:tr w:rsidR="00814C33" w:rsidRPr="00776441" w14:paraId="0A872484" w14:textId="77777777" w:rsidTr="005004EB">
        <w:trPr>
          <w:trHeight w:val="341"/>
        </w:trPr>
        <w:tc>
          <w:tcPr>
            <w:tcW w:w="2802" w:type="dxa"/>
            <w:shd w:val="clear" w:color="auto" w:fill="auto"/>
          </w:tcPr>
          <w:p w14:paraId="2B4B0E95" w14:textId="77777777" w:rsidR="00814C33" w:rsidRPr="00814C33" w:rsidRDefault="00814C33" w:rsidP="005004EB">
            <w:pPr>
              <w:rPr>
                <w:rFonts w:ascii="Arial" w:hAnsi="Arial" w:cs="Arial"/>
                <w:sz w:val="24"/>
                <w:szCs w:val="23"/>
              </w:rPr>
            </w:pPr>
            <w:r w:rsidRPr="00814C33">
              <w:rPr>
                <w:rFonts w:ascii="Arial" w:hAnsi="Arial" w:cs="Arial"/>
                <w:sz w:val="24"/>
                <w:szCs w:val="23"/>
              </w:rPr>
              <w:t>Dignity of work</w:t>
            </w:r>
          </w:p>
        </w:tc>
        <w:tc>
          <w:tcPr>
            <w:tcW w:w="567" w:type="dxa"/>
            <w:shd w:val="clear" w:color="auto" w:fill="D6E3BC" w:themeFill="accent3" w:themeFillTint="66"/>
          </w:tcPr>
          <w:p w14:paraId="797B25EB" w14:textId="77777777" w:rsidR="00814C33" w:rsidRPr="00814C33" w:rsidRDefault="00814C33" w:rsidP="005004EB">
            <w:pPr>
              <w:rPr>
                <w:rFonts w:ascii="Arial" w:hAnsi="Arial" w:cs="Arial"/>
                <w:sz w:val="24"/>
                <w:szCs w:val="23"/>
                <w:highlight w:val="yellow"/>
              </w:rPr>
            </w:pPr>
          </w:p>
        </w:tc>
        <w:tc>
          <w:tcPr>
            <w:tcW w:w="5917" w:type="dxa"/>
          </w:tcPr>
          <w:p w14:paraId="046AA6A1" w14:textId="77777777" w:rsidR="00814C33" w:rsidRPr="00814C33" w:rsidRDefault="00814C33" w:rsidP="005004EB">
            <w:pPr>
              <w:rPr>
                <w:rFonts w:ascii="Arial" w:hAnsi="Arial" w:cs="Arial"/>
                <w:sz w:val="24"/>
                <w:szCs w:val="23"/>
              </w:rPr>
            </w:pPr>
            <w:r w:rsidRPr="00814C33">
              <w:rPr>
                <w:rFonts w:ascii="Arial" w:hAnsi="Arial" w:cs="Arial"/>
                <w:sz w:val="24"/>
                <w:szCs w:val="23"/>
              </w:rPr>
              <w:t>There were zero dignity case raised in March 2023.</w:t>
            </w:r>
          </w:p>
        </w:tc>
      </w:tr>
      <w:tr w:rsidR="00814C33" w:rsidRPr="00776441" w14:paraId="5B10E4C4" w14:textId="77777777" w:rsidTr="005004EB">
        <w:trPr>
          <w:trHeight w:val="651"/>
        </w:trPr>
        <w:tc>
          <w:tcPr>
            <w:tcW w:w="2802" w:type="dxa"/>
            <w:shd w:val="clear" w:color="auto" w:fill="FFFFFF" w:themeFill="background1"/>
          </w:tcPr>
          <w:p w14:paraId="7D908E00" w14:textId="77777777" w:rsidR="00814C33" w:rsidRPr="00814C33" w:rsidRDefault="00814C33" w:rsidP="005004EB">
            <w:pPr>
              <w:rPr>
                <w:rFonts w:ascii="Arial" w:hAnsi="Arial" w:cs="Arial"/>
                <w:sz w:val="24"/>
                <w:szCs w:val="23"/>
              </w:rPr>
            </w:pPr>
            <w:r w:rsidRPr="00814C33">
              <w:rPr>
                <w:rFonts w:ascii="Arial" w:hAnsi="Arial" w:cs="Arial"/>
                <w:sz w:val="24"/>
                <w:szCs w:val="23"/>
              </w:rPr>
              <w:t>Local Sickness absence</w:t>
            </w:r>
          </w:p>
        </w:tc>
        <w:tc>
          <w:tcPr>
            <w:tcW w:w="567" w:type="dxa"/>
            <w:shd w:val="clear" w:color="auto" w:fill="E5B8B7" w:themeFill="accent2" w:themeFillTint="66"/>
          </w:tcPr>
          <w:p w14:paraId="2DA4A317" w14:textId="77777777" w:rsidR="00814C33" w:rsidRPr="00814C33" w:rsidRDefault="00814C33" w:rsidP="005004EB">
            <w:pPr>
              <w:rPr>
                <w:rFonts w:ascii="Arial" w:hAnsi="Arial" w:cs="Arial"/>
                <w:sz w:val="24"/>
                <w:szCs w:val="23"/>
                <w:highlight w:val="yellow"/>
              </w:rPr>
            </w:pPr>
          </w:p>
        </w:tc>
        <w:tc>
          <w:tcPr>
            <w:tcW w:w="5917" w:type="dxa"/>
            <w:shd w:val="clear" w:color="auto" w:fill="FFFFFF" w:themeFill="background1"/>
          </w:tcPr>
          <w:p w14:paraId="20118465" w14:textId="77777777" w:rsidR="00814C33" w:rsidRPr="00814C33" w:rsidRDefault="00814C33" w:rsidP="005004EB">
            <w:pPr>
              <w:rPr>
                <w:rFonts w:ascii="Arial" w:hAnsi="Arial" w:cs="Arial"/>
                <w:sz w:val="24"/>
                <w:szCs w:val="23"/>
              </w:rPr>
            </w:pPr>
            <w:r w:rsidRPr="00814C33">
              <w:rPr>
                <w:rFonts w:ascii="Arial" w:hAnsi="Arial" w:cs="Arial"/>
                <w:sz w:val="24"/>
                <w:szCs w:val="23"/>
              </w:rPr>
              <w:t>Sickness absence in March 2023 was reported at 6.6%.  This is within control limit. In March, absence due to COVID-19 reasons was 0.6% (+0.3%)</w:t>
            </w:r>
          </w:p>
        </w:tc>
      </w:tr>
      <w:tr w:rsidR="00814C33" w:rsidRPr="00776441" w14:paraId="4E4B50CC" w14:textId="77777777" w:rsidTr="005004EB">
        <w:trPr>
          <w:trHeight w:val="499"/>
        </w:trPr>
        <w:tc>
          <w:tcPr>
            <w:tcW w:w="2802" w:type="dxa"/>
          </w:tcPr>
          <w:p w14:paraId="32251762" w14:textId="77777777" w:rsidR="00814C33" w:rsidRPr="00814C33" w:rsidRDefault="00814C33" w:rsidP="005004EB">
            <w:pPr>
              <w:rPr>
                <w:rFonts w:ascii="Arial" w:hAnsi="Arial" w:cs="Arial"/>
                <w:sz w:val="24"/>
                <w:szCs w:val="23"/>
              </w:rPr>
            </w:pPr>
            <w:r w:rsidRPr="00814C33">
              <w:rPr>
                <w:rFonts w:ascii="Arial" w:hAnsi="Arial" w:cs="Arial"/>
                <w:sz w:val="24"/>
                <w:szCs w:val="23"/>
              </w:rPr>
              <w:t>Turnover</w:t>
            </w:r>
          </w:p>
        </w:tc>
        <w:tc>
          <w:tcPr>
            <w:tcW w:w="567" w:type="dxa"/>
            <w:shd w:val="clear" w:color="auto" w:fill="D6E3BC" w:themeFill="accent3" w:themeFillTint="66"/>
          </w:tcPr>
          <w:p w14:paraId="53FEDED2" w14:textId="77777777" w:rsidR="00814C33" w:rsidRPr="00814C33" w:rsidRDefault="00814C33" w:rsidP="005004EB">
            <w:pPr>
              <w:rPr>
                <w:rFonts w:ascii="Arial" w:hAnsi="Arial" w:cs="Arial"/>
                <w:sz w:val="24"/>
                <w:szCs w:val="23"/>
              </w:rPr>
            </w:pPr>
          </w:p>
        </w:tc>
        <w:tc>
          <w:tcPr>
            <w:tcW w:w="5917" w:type="dxa"/>
          </w:tcPr>
          <w:p w14:paraId="73B6FE6B" w14:textId="77777777" w:rsidR="00814C33" w:rsidRPr="00814C33" w:rsidRDefault="00814C33" w:rsidP="005004EB">
            <w:pPr>
              <w:rPr>
                <w:rFonts w:ascii="Arial" w:hAnsi="Arial" w:cs="Arial"/>
                <w:sz w:val="24"/>
                <w:szCs w:val="23"/>
              </w:rPr>
            </w:pPr>
            <w:r w:rsidRPr="00814C33">
              <w:rPr>
                <w:rFonts w:ascii="Arial" w:hAnsi="Arial" w:cs="Arial"/>
                <w:sz w:val="24"/>
                <w:szCs w:val="23"/>
              </w:rPr>
              <w:t>Turnover in March 2023 was reported as within control limits at 1.1%.</w:t>
            </w:r>
          </w:p>
        </w:tc>
      </w:tr>
      <w:tr w:rsidR="00814C33" w:rsidRPr="00776441" w14:paraId="4781CF2E" w14:textId="77777777" w:rsidTr="005004EB">
        <w:trPr>
          <w:trHeight w:val="707"/>
        </w:trPr>
        <w:tc>
          <w:tcPr>
            <w:tcW w:w="2802" w:type="dxa"/>
          </w:tcPr>
          <w:p w14:paraId="3A677AC0" w14:textId="77777777" w:rsidR="00814C33" w:rsidRPr="00814C33" w:rsidRDefault="00814C33" w:rsidP="005004EB">
            <w:pPr>
              <w:rPr>
                <w:rFonts w:ascii="Arial" w:hAnsi="Arial" w:cs="Arial"/>
                <w:sz w:val="24"/>
                <w:szCs w:val="23"/>
              </w:rPr>
            </w:pPr>
            <w:r w:rsidRPr="00814C33">
              <w:rPr>
                <w:rFonts w:ascii="Arial" w:hAnsi="Arial" w:cs="Arial"/>
                <w:sz w:val="24"/>
                <w:szCs w:val="23"/>
              </w:rPr>
              <w:t>Medical appraisal with completed interview &amp; form</w:t>
            </w:r>
          </w:p>
        </w:tc>
        <w:tc>
          <w:tcPr>
            <w:tcW w:w="567" w:type="dxa"/>
            <w:shd w:val="clear" w:color="auto" w:fill="E5B8B7" w:themeFill="accent2" w:themeFillTint="66"/>
          </w:tcPr>
          <w:p w14:paraId="2EDCED05" w14:textId="77777777" w:rsidR="00814C33" w:rsidRPr="00814C33" w:rsidRDefault="00814C33" w:rsidP="005004EB">
            <w:pPr>
              <w:rPr>
                <w:rFonts w:ascii="Arial" w:hAnsi="Arial" w:cs="Arial"/>
                <w:sz w:val="24"/>
                <w:szCs w:val="23"/>
              </w:rPr>
            </w:pPr>
          </w:p>
        </w:tc>
        <w:tc>
          <w:tcPr>
            <w:tcW w:w="5917" w:type="dxa"/>
          </w:tcPr>
          <w:p w14:paraId="6C7DA76A" w14:textId="77777777" w:rsidR="00814C33" w:rsidRPr="00814C33" w:rsidRDefault="00814C33" w:rsidP="005004EB">
            <w:pPr>
              <w:rPr>
                <w:rFonts w:ascii="Arial" w:hAnsi="Arial" w:cs="Arial"/>
                <w:sz w:val="24"/>
                <w:szCs w:val="23"/>
              </w:rPr>
            </w:pPr>
            <w:r w:rsidRPr="00814C33">
              <w:rPr>
                <w:rFonts w:ascii="Arial" w:hAnsi="Arial" w:cs="Arial"/>
                <w:sz w:val="24"/>
                <w:szCs w:val="23"/>
              </w:rPr>
              <w:t xml:space="preserve">A new round of appraisals began in April 2022. </w:t>
            </w:r>
          </w:p>
          <w:p w14:paraId="2B8C7C1B" w14:textId="77777777" w:rsidR="00814C33" w:rsidRPr="00814C33" w:rsidRDefault="00814C33" w:rsidP="005004EB">
            <w:pPr>
              <w:rPr>
                <w:rFonts w:ascii="Arial" w:hAnsi="Arial" w:cs="Arial"/>
                <w:sz w:val="24"/>
                <w:szCs w:val="23"/>
              </w:rPr>
            </w:pPr>
            <w:r w:rsidRPr="00814C33">
              <w:rPr>
                <w:rFonts w:ascii="Arial" w:hAnsi="Arial" w:cs="Arial"/>
                <w:sz w:val="24"/>
                <w:szCs w:val="23"/>
              </w:rPr>
              <w:t>Performance is 77.5% (124/160) for March 2023.</w:t>
            </w:r>
          </w:p>
        </w:tc>
      </w:tr>
      <w:tr w:rsidR="00814C33" w:rsidRPr="00776441" w14:paraId="7861637B" w14:textId="77777777" w:rsidTr="005004EB">
        <w:trPr>
          <w:trHeight w:val="613"/>
        </w:trPr>
        <w:tc>
          <w:tcPr>
            <w:tcW w:w="2802" w:type="dxa"/>
          </w:tcPr>
          <w:p w14:paraId="59F5FA77" w14:textId="77777777" w:rsidR="00814C33" w:rsidRPr="00814C33" w:rsidRDefault="00814C33" w:rsidP="005004EB">
            <w:pPr>
              <w:rPr>
                <w:rFonts w:ascii="Arial" w:hAnsi="Arial" w:cs="Arial"/>
                <w:sz w:val="24"/>
                <w:szCs w:val="23"/>
              </w:rPr>
            </w:pPr>
            <w:r w:rsidRPr="00814C33">
              <w:rPr>
                <w:rFonts w:ascii="Arial" w:hAnsi="Arial" w:cs="Arial"/>
                <w:sz w:val="24"/>
                <w:szCs w:val="23"/>
              </w:rPr>
              <w:t>TURAS Appraisal rates</w:t>
            </w:r>
          </w:p>
        </w:tc>
        <w:tc>
          <w:tcPr>
            <w:tcW w:w="567" w:type="dxa"/>
            <w:shd w:val="clear" w:color="auto" w:fill="E5B8B7" w:themeFill="accent2" w:themeFillTint="66"/>
          </w:tcPr>
          <w:p w14:paraId="4C969081" w14:textId="77777777" w:rsidR="00814C33" w:rsidRPr="00814C33" w:rsidRDefault="00814C33" w:rsidP="005004EB">
            <w:pPr>
              <w:rPr>
                <w:rFonts w:ascii="Arial" w:hAnsi="Arial" w:cs="Arial"/>
                <w:sz w:val="24"/>
                <w:szCs w:val="23"/>
              </w:rPr>
            </w:pPr>
          </w:p>
        </w:tc>
        <w:tc>
          <w:tcPr>
            <w:tcW w:w="5917" w:type="dxa"/>
          </w:tcPr>
          <w:p w14:paraId="47328692" w14:textId="77777777" w:rsidR="00814C33" w:rsidRPr="00814C33" w:rsidRDefault="00814C33" w:rsidP="005004EB">
            <w:pPr>
              <w:rPr>
                <w:rFonts w:ascii="Arial" w:hAnsi="Arial" w:cs="Arial"/>
                <w:sz w:val="24"/>
                <w:szCs w:val="23"/>
              </w:rPr>
            </w:pPr>
            <w:r w:rsidRPr="00814C33">
              <w:rPr>
                <w:rFonts w:ascii="Arial" w:hAnsi="Arial" w:cs="Arial"/>
                <w:sz w:val="24"/>
                <w:szCs w:val="23"/>
              </w:rPr>
              <w:t>Position for March 2023 reported as 70% (+1% on last month.)</w:t>
            </w:r>
          </w:p>
        </w:tc>
      </w:tr>
      <w:tr w:rsidR="00814C33" w:rsidRPr="00356E43" w14:paraId="3CFDB69A" w14:textId="77777777" w:rsidTr="005004EB">
        <w:trPr>
          <w:trHeight w:val="616"/>
        </w:trPr>
        <w:tc>
          <w:tcPr>
            <w:tcW w:w="2802" w:type="dxa"/>
          </w:tcPr>
          <w:p w14:paraId="4B325AB9" w14:textId="77777777" w:rsidR="00814C33" w:rsidRPr="00814C33" w:rsidRDefault="00814C33" w:rsidP="005004EB">
            <w:pPr>
              <w:rPr>
                <w:rFonts w:ascii="Arial" w:hAnsi="Arial" w:cs="Arial"/>
                <w:sz w:val="24"/>
                <w:szCs w:val="23"/>
              </w:rPr>
            </w:pPr>
            <w:r w:rsidRPr="00814C33">
              <w:rPr>
                <w:rFonts w:ascii="Arial" w:hAnsi="Arial" w:cs="Arial"/>
                <w:sz w:val="24"/>
                <w:szCs w:val="23"/>
              </w:rPr>
              <w:t>Job Planning: All hospital</w:t>
            </w:r>
          </w:p>
        </w:tc>
        <w:tc>
          <w:tcPr>
            <w:tcW w:w="567" w:type="dxa"/>
            <w:shd w:val="clear" w:color="auto" w:fill="E5B8B7" w:themeFill="accent2" w:themeFillTint="66"/>
          </w:tcPr>
          <w:p w14:paraId="65CF3A8E" w14:textId="77777777" w:rsidR="00814C33" w:rsidRPr="00814C33" w:rsidRDefault="00814C33" w:rsidP="005004EB">
            <w:pPr>
              <w:rPr>
                <w:rFonts w:ascii="Arial" w:hAnsi="Arial" w:cs="Arial"/>
                <w:sz w:val="24"/>
                <w:szCs w:val="23"/>
              </w:rPr>
            </w:pPr>
          </w:p>
        </w:tc>
        <w:tc>
          <w:tcPr>
            <w:tcW w:w="5917" w:type="dxa"/>
          </w:tcPr>
          <w:p w14:paraId="5A064123" w14:textId="77777777" w:rsidR="00814C33" w:rsidRPr="00814C33" w:rsidRDefault="00814C33" w:rsidP="005004EB">
            <w:pPr>
              <w:rPr>
                <w:rFonts w:ascii="Arial" w:hAnsi="Arial" w:cs="Arial"/>
                <w:sz w:val="24"/>
                <w:szCs w:val="23"/>
              </w:rPr>
            </w:pPr>
            <w:r w:rsidRPr="00814C33">
              <w:rPr>
                <w:rFonts w:ascii="Arial" w:eastAsia="PMingLiU" w:hAnsi="Arial" w:cs="Arial"/>
                <w:sz w:val="24"/>
                <w:szCs w:val="24"/>
                <w:lang w:val="en-US" w:eastAsia="en-US"/>
              </w:rPr>
              <w:t>We have closed almost all medical job plans on the Allocate job planning system for 2022/2023 and started new job plans for the year starting 1 April 2023</w:t>
            </w:r>
            <w:r w:rsidRPr="00814C33">
              <w:rPr>
                <w:rFonts w:ascii="Arial" w:hAnsi="Arial" w:cs="Arial"/>
                <w:sz w:val="24"/>
                <w:szCs w:val="23"/>
              </w:rPr>
              <w:t>. To date, 8 of the 123 job plans for 2023/4 have been signed off, 63 are in discussion, with the remainder at various stages of the process.</w:t>
            </w:r>
          </w:p>
        </w:tc>
      </w:tr>
    </w:tbl>
    <w:p w14:paraId="44C43B8E" w14:textId="77777777" w:rsidR="002523F6" w:rsidRPr="0000531E" w:rsidRDefault="002523F6" w:rsidP="008E5202">
      <w:pPr>
        <w:rPr>
          <w:rFonts w:ascii="Arial" w:hAnsi="Arial" w:cs="Arial"/>
        </w:rPr>
      </w:pPr>
    </w:p>
    <w:p w14:paraId="7D7FDB62" w14:textId="7667C46C" w:rsidR="007F0372" w:rsidRPr="0000531E" w:rsidRDefault="007F0372" w:rsidP="00AA1592">
      <w:pPr>
        <w:rPr>
          <w:rFonts w:ascii="Arial" w:hAnsi="Arial" w:cs="Arial"/>
          <w:sz w:val="24"/>
        </w:rPr>
      </w:pPr>
    </w:p>
    <w:p w14:paraId="493AFDE2" w14:textId="77777777" w:rsidR="00FD0BDE" w:rsidRPr="0000531E" w:rsidRDefault="00FD0BDE" w:rsidP="00AE0C68">
      <w:pPr>
        <w:spacing w:after="180"/>
        <w:rPr>
          <w:rFonts w:ascii="Arial" w:hAnsi="Arial" w:cs="Arial"/>
          <w:b/>
          <w:sz w:val="32"/>
          <w:szCs w:val="28"/>
        </w:rPr>
      </w:pPr>
    </w:p>
    <w:p w14:paraId="7AAD2446" w14:textId="77777777" w:rsidR="00FD0BDE" w:rsidRPr="0000531E" w:rsidRDefault="00FD0BDE" w:rsidP="00AE0C68">
      <w:pPr>
        <w:spacing w:after="180"/>
        <w:rPr>
          <w:rFonts w:ascii="Arial" w:hAnsi="Arial" w:cs="Arial"/>
          <w:b/>
          <w:sz w:val="32"/>
          <w:szCs w:val="28"/>
        </w:rPr>
      </w:pPr>
    </w:p>
    <w:p w14:paraId="01691CCC" w14:textId="77777777" w:rsidR="00FD0BDE" w:rsidRPr="0000531E" w:rsidRDefault="00FD0BDE" w:rsidP="00AE0C68">
      <w:pPr>
        <w:spacing w:after="180"/>
        <w:rPr>
          <w:rFonts w:ascii="Arial" w:hAnsi="Arial" w:cs="Arial"/>
          <w:b/>
          <w:sz w:val="32"/>
          <w:szCs w:val="28"/>
        </w:rPr>
      </w:pPr>
    </w:p>
    <w:p w14:paraId="63D77C1A" w14:textId="77777777" w:rsidR="00FD0BDE" w:rsidRPr="0000531E" w:rsidRDefault="00FD0BDE" w:rsidP="00AE0C68">
      <w:pPr>
        <w:spacing w:after="180"/>
        <w:rPr>
          <w:rFonts w:ascii="Arial" w:hAnsi="Arial" w:cs="Arial"/>
          <w:b/>
          <w:sz w:val="32"/>
          <w:szCs w:val="28"/>
        </w:rPr>
      </w:pPr>
    </w:p>
    <w:p w14:paraId="7F169B1D" w14:textId="77777777" w:rsidR="00FD0BDE" w:rsidRPr="0000531E" w:rsidRDefault="00FD0BDE" w:rsidP="00AE0C68">
      <w:pPr>
        <w:spacing w:after="180"/>
        <w:rPr>
          <w:rFonts w:ascii="Arial" w:hAnsi="Arial" w:cs="Arial"/>
          <w:b/>
          <w:sz w:val="32"/>
          <w:szCs w:val="28"/>
        </w:rPr>
      </w:pPr>
    </w:p>
    <w:p w14:paraId="66DCB90E" w14:textId="77777777" w:rsidR="00FD0BDE" w:rsidRPr="0000531E" w:rsidRDefault="00FD0BDE" w:rsidP="00AE0C68">
      <w:pPr>
        <w:spacing w:after="180"/>
        <w:rPr>
          <w:rFonts w:ascii="Arial" w:hAnsi="Arial" w:cs="Arial"/>
          <w:b/>
          <w:sz w:val="32"/>
          <w:szCs w:val="28"/>
        </w:rPr>
      </w:pPr>
    </w:p>
    <w:p w14:paraId="1A5814C5" w14:textId="77777777" w:rsidR="00FD0BDE" w:rsidRPr="0000531E" w:rsidRDefault="00FD0BDE" w:rsidP="00AE0C68">
      <w:pPr>
        <w:spacing w:after="180"/>
        <w:rPr>
          <w:rFonts w:ascii="Arial" w:hAnsi="Arial" w:cs="Arial"/>
          <w:b/>
          <w:sz w:val="32"/>
          <w:szCs w:val="28"/>
        </w:rPr>
      </w:pPr>
    </w:p>
    <w:p w14:paraId="770ECAA9" w14:textId="493ECA2B" w:rsidR="00FD0BDE" w:rsidRPr="0000531E" w:rsidRDefault="00FD0BDE" w:rsidP="00AE0C68">
      <w:pPr>
        <w:spacing w:after="180"/>
        <w:rPr>
          <w:rFonts w:ascii="Arial" w:hAnsi="Arial" w:cs="Arial"/>
          <w:b/>
          <w:sz w:val="32"/>
          <w:szCs w:val="28"/>
        </w:rPr>
      </w:pPr>
    </w:p>
    <w:p w14:paraId="08DEC12C" w14:textId="67D5C97C" w:rsidR="0000531E" w:rsidRDefault="0000531E" w:rsidP="00AE0C68">
      <w:pPr>
        <w:spacing w:after="180"/>
        <w:rPr>
          <w:rFonts w:ascii="Arial" w:hAnsi="Arial" w:cs="Arial"/>
          <w:b/>
          <w:sz w:val="32"/>
          <w:szCs w:val="28"/>
        </w:rPr>
      </w:pPr>
    </w:p>
    <w:p w14:paraId="0F9F8F50" w14:textId="77777777" w:rsidR="00814C33" w:rsidRPr="0000531E" w:rsidRDefault="00814C33" w:rsidP="00AE0C68">
      <w:pPr>
        <w:spacing w:after="180"/>
        <w:rPr>
          <w:rFonts w:ascii="Arial" w:hAnsi="Arial" w:cs="Arial"/>
          <w:b/>
          <w:sz w:val="32"/>
          <w:szCs w:val="28"/>
        </w:rPr>
      </w:pPr>
    </w:p>
    <w:p w14:paraId="6182EAF6" w14:textId="03E4AEB3" w:rsidR="00AE0C68" w:rsidRPr="0000531E" w:rsidRDefault="00AE0C68" w:rsidP="00AE0C68">
      <w:pPr>
        <w:spacing w:after="180"/>
        <w:rPr>
          <w:rFonts w:ascii="Arial" w:hAnsi="Arial" w:cs="Arial"/>
          <w:b/>
          <w:sz w:val="32"/>
          <w:szCs w:val="28"/>
        </w:rPr>
      </w:pPr>
      <w:r w:rsidRPr="0000531E">
        <w:rPr>
          <w:rFonts w:ascii="Arial" w:hAnsi="Arial" w:cs="Arial"/>
          <w:b/>
          <w:sz w:val="32"/>
          <w:szCs w:val="28"/>
        </w:rPr>
        <w:t>Staff Governance Executive Summary</w:t>
      </w:r>
    </w:p>
    <w:p w14:paraId="31B5494A" w14:textId="77777777" w:rsidR="00814C33" w:rsidRPr="00814C33" w:rsidRDefault="00814C33" w:rsidP="00814C33">
      <w:pPr>
        <w:ind w:right="2"/>
        <w:textAlignment w:val="baseline"/>
        <w:rPr>
          <w:rFonts w:ascii="Arial" w:hAnsi="Arial" w:cs="Arial"/>
          <w:b/>
          <w:bCs/>
          <w:sz w:val="24"/>
          <w:szCs w:val="24"/>
        </w:rPr>
      </w:pPr>
      <w:r w:rsidRPr="00814C33">
        <w:rPr>
          <w:rFonts w:ascii="Arial" w:hAnsi="Arial" w:cs="Arial"/>
          <w:b/>
          <w:bCs/>
          <w:sz w:val="24"/>
          <w:szCs w:val="24"/>
        </w:rPr>
        <w:t>Sickness absence</w:t>
      </w:r>
    </w:p>
    <w:p w14:paraId="12C95A60" w14:textId="77777777" w:rsidR="00814C33" w:rsidRPr="00814C33" w:rsidRDefault="00814C33" w:rsidP="00814C33">
      <w:pPr>
        <w:ind w:right="2"/>
        <w:textAlignment w:val="baseline"/>
        <w:rPr>
          <w:rFonts w:ascii="Arial" w:hAnsi="Arial" w:cs="Arial"/>
          <w:sz w:val="24"/>
          <w:szCs w:val="24"/>
        </w:rPr>
      </w:pPr>
      <w:r w:rsidRPr="00814C33">
        <w:rPr>
          <w:rFonts w:ascii="Arial" w:hAnsi="Arial" w:cs="Arial"/>
          <w:sz w:val="24"/>
          <w:szCs w:val="24"/>
        </w:rPr>
        <w:t>In March 2023, the Board’s sickness absence rate stood at 6.6%, up 1.0% on the previous month.</w:t>
      </w:r>
    </w:p>
    <w:p w14:paraId="098D960A" w14:textId="77777777" w:rsidR="00814C33" w:rsidRPr="00814C33" w:rsidRDefault="00814C33" w:rsidP="00814C33">
      <w:pPr>
        <w:ind w:right="2"/>
        <w:textAlignment w:val="baseline"/>
        <w:rPr>
          <w:rFonts w:ascii="Arial" w:hAnsi="Arial" w:cs="Arial"/>
          <w:color w:val="FF0000"/>
          <w:sz w:val="24"/>
          <w:szCs w:val="24"/>
        </w:rPr>
      </w:pPr>
      <w:r w:rsidRPr="00814C33">
        <w:rPr>
          <w:rFonts w:ascii="Arial" w:hAnsi="Arial" w:cs="Arial"/>
          <w:noProof/>
          <w:sz w:val="24"/>
          <w:szCs w:val="24"/>
          <w:lang w:eastAsia="en-GB"/>
        </w:rPr>
        <w:drawing>
          <wp:inline distT="0" distB="0" distL="0" distR="0" wp14:anchorId="2A822AD9" wp14:editId="5EB28865">
            <wp:extent cx="5759450" cy="2364105"/>
            <wp:effectExtent l="0" t="0" r="12700"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742686C" w14:textId="77777777" w:rsidR="00814C33" w:rsidRPr="00814C33" w:rsidRDefault="00814C33" w:rsidP="00814C33">
      <w:pPr>
        <w:ind w:right="2"/>
        <w:textAlignment w:val="baseline"/>
        <w:rPr>
          <w:rFonts w:ascii="Arial" w:hAnsi="Arial" w:cs="Arial"/>
          <w:b/>
          <w:bCs/>
          <w:sz w:val="24"/>
          <w:szCs w:val="24"/>
        </w:rPr>
      </w:pPr>
      <w:r w:rsidRPr="00814C33">
        <w:rPr>
          <w:rFonts w:ascii="Arial" w:hAnsi="Arial" w:cs="Arial"/>
          <w:b/>
          <w:bCs/>
          <w:sz w:val="24"/>
          <w:szCs w:val="24"/>
          <w:lang w:val="en-US"/>
        </w:rPr>
        <w:t>Sickness absence</w:t>
      </w:r>
    </w:p>
    <w:p w14:paraId="49ACDF03" w14:textId="77777777"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In March 2023, NHS Golden Jubilee’s sickness absence rate stood at 6.6%, up 1.0%% on the previous month. Across the Directorates, sickness absence was as follows:</w:t>
      </w:r>
    </w:p>
    <w:p w14:paraId="07F43F99"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Corporate: 5.2% (+0.9% on February);</w:t>
      </w:r>
    </w:p>
    <w:p w14:paraId="40388B53"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Golden Jubilee Conference Hotel: 3.9% (+0.7%);</w:t>
      </w:r>
    </w:p>
    <w:p w14:paraId="5445D893"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7.3% (+1.4%); and</w:t>
      </w:r>
    </w:p>
    <w:p w14:paraId="16926F0C"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National Elective Services: 7.7% (+0.9%).</w:t>
      </w:r>
    </w:p>
    <w:p w14:paraId="6F135D9E" w14:textId="77777777" w:rsidR="00814C33" w:rsidRDefault="00814C33" w:rsidP="00814C33">
      <w:pPr>
        <w:ind w:right="2"/>
        <w:textAlignment w:val="baseline"/>
        <w:rPr>
          <w:rFonts w:ascii="Arial" w:hAnsi="Arial" w:cs="Arial"/>
          <w:bCs/>
          <w:sz w:val="24"/>
          <w:szCs w:val="24"/>
          <w:lang w:val="en-US"/>
        </w:rPr>
      </w:pPr>
    </w:p>
    <w:p w14:paraId="3FEBC2BD" w14:textId="7A06B9D0"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The rolling 12-month sickness absence rate for the Board was 5.5%. The 12-month breakdown for the Directorates was:</w:t>
      </w:r>
    </w:p>
    <w:p w14:paraId="529A94D1"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Corporate: 4.5%;</w:t>
      </w:r>
    </w:p>
    <w:p w14:paraId="0F4BECB2"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Golden Jubilee Conference Hotel: 3.1%;</w:t>
      </w:r>
    </w:p>
    <w:p w14:paraId="6EC4292D"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6.0%; and</w:t>
      </w:r>
    </w:p>
    <w:p w14:paraId="766C8C3F"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National Elective Services: 6.1%.</w:t>
      </w:r>
    </w:p>
    <w:p w14:paraId="3D4D321E" w14:textId="77777777" w:rsidR="00814C33" w:rsidRPr="00814C33" w:rsidRDefault="00814C33" w:rsidP="00814C33">
      <w:pPr>
        <w:ind w:right="2"/>
        <w:textAlignment w:val="baseline"/>
        <w:rPr>
          <w:rFonts w:ascii="Arial" w:hAnsi="Arial" w:cs="Arial"/>
          <w:bCs/>
          <w:sz w:val="24"/>
          <w:szCs w:val="24"/>
          <w:lang w:val="en-US"/>
        </w:rPr>
      </w:pPr>
    </w:p>
    <w:p w14:paraId="55886BA9" w14:textId="77777777" w:rsidR="00814C33" w:rsidRPr="00814C33" w:rsidRDefault="00814C33" w:rsidP="00814C33">
      <w:pPr>
        <w:ind w:right="2"/>
        <w:textAlignment w:val="baseline"/>
        <w:rPr>
          <w:rFonts w:ascii="Arial" w:hAnsi="Arial" w:cs="Arial"/>
          <w:bCs/>
          <w:sz w:val="24"/>
          <w:szCs w:val="24"/>
        </w:rPr>
      </w:pPr>
      <w:r w:rsidRPr="00814C33">
        <w:rPr>
          <w:rFonts w:ascii="Arial" w:hAnsi="Arial" w:cs="Arial"/>
          <w:bCs/>
          <w:sz w:val="24"/>
          <w:szCs w:val="24"/>
          <w:lang w:val="en-US"/>
        </w:rPr>
        <w:t xml:space="preserve">“Anxiety/stress/ depression/other psychiatric illnesses” continued to be the highest cause of sickness absence in March, accounting for 31.0% of all sickness absence, 1.6% higher than February’s figure of 29.4%. It was the main cause of absence in three Directorates: </w:t>
      </w:r>
    </w:p>
    <w:p w14:paraId="6D970629"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Corporate: 30.3%;</w:t>
      </w:r>
    </w:p>
    <w:p w14:paraId="55D455F1"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24.6%; and</w:t>
      </w:r>
    </w:p>
    <w:p w14:paraId="4DF1F2EA" w14:textId="77777777" w:rsidR="00814C33" w:rsidRPr="00814C33" w:rsidRDefault="00814C33" w:rsidP="00814C33">
      <w:pPr>
        <w:numPr>
          <w:ilvl w:val="0"/>
          <w:numId w:val="3"/>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lastRenderedPageBreak/>
        <w:t>National Elective Services: 38.8%.</w:t>
      </w:r>
    </w:p>
    <w:p w14:paraId="5600D838" w14:textId="77777777"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In the Hotel “Injury, fracture” accounted for 30.8% of sickness absence, with “Anxiety/stress/ depression/other psychiatric illnesses” responsible for 25.5% of sickness absence.</w:t>
      </w:r>
    </w:p>
    <w:p w14:paraId="66E77D55" w14:textId="77777777"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“Injury, fracture” was the second top cause of sickness absence overall in March, accounting for 10.7% of sickness absence (up from 10.0% the previous month). The third top reason for sickness absence was “Cold, cough, flu - influenza”, coming in at 7.9%, down on February’s 8.4%.</w:t>
      </w:r>
    </w:p>
    <w:p w14:paraId="7374F478" w14:textId="77777777" w:rsidR="00814C33" w:rsidRPr="00814C33" w:rsidRDefault="00814C33" w:rsidP="00814C33">
      <w:pPr>
        <w:ind w:right="2"/>
        <w:textAlignment w:val="baseline"/>
        <w:rPr>
          <w:rFonts w:ascii="Arial" w:hAnsi="Arial" w:cs="Arial"/>
          <w:b/>
          <w:bCs/>
          <w:sz w:val="24"/>
          <w:szCs w:val="24"/>
          <w:lang w:val="en-US"/>
        </w:rPr>
      </w:pPr>
      <w:r w:rsidRPr="00814C33">
        <w:rPr>
          <w:rFonts w:ascii="Arial" w:hAnsi="Arial" w:cs="Arial"/>
          <w:b/>
          <w:bCs/>
          <w:sz w:val="24"/>
          <w:szCs w:val="24"/>
          <w:lang w:val="en-US"/>
        </w:rPr>
        <w:t>COVID-19</w:t>
      </w:r>
    </w:p>
    <w:p w14:paraId="68D388CA" w14:textId="77777777" w:rsidR="00814C33" w:rsidRPr="00814C33" w:rsidRDefault="00814C33" w:rsidP="00814C33">
      <w:pPr>
        <w:ind w:right="2"/>
        <w:textAlignment w:val="baseline"/>
        <w:rPr>
          <w:rFonts w:ascii="Arial" w:hAnsi="Arial" w:cs="Arial"/>
          <w:bCs/>
          <w:sz w:val="24"/>
          <w:szCs w:val="24"/>
        </w:rPr>
      </w:pPr>
      <w:r w:rsidRPr="00814C33">
        <w:rPr>
          <w:rFonts w:ascii="Arial" w:hAnsi="Arial" w:cs="Arial"/>
          <w:bCs/>
          <w:sz w:val="24"/>
          <w:szCs w:val="24"/>
          <w:lang w:val="en-US"/>
        </w:rPr>
        <w:t>In March, COVID-19 special leave accounted for 0.6% of all contracted hours, double the 0.3% of the previous month. The Directorate breakdown was:</w:t>
      </w:r>
    </w:p>
    <w:p w14:paraId="1633AE7D"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Corporate: 0.3% (+0.2% on February);</w:t>
      </w:r>
    </w:p>
    <w:p w14:paraId="57B9A39C"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Golden Jubilee Conference Hotel: 0.2% (same);</w:t>
      </w:r>
    </w:p>
    <w:p w14:paraId="07C68C57"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0.9% (up from 0.5%); and</w:t>
      </w:r>
    </w:p>
    <w:p w14:paraId="670291F6"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National Elective Services: 0.7% (up from 0.4%).</w:t>
      </w:r>
    </w:p>
    <w:p w14:paraId="68A67896" w14:textId="77777777" w:rsidR="00814C33" w:rsidRPr="00814C33" w:rsidRDefault="00814C33" w:rsidP="00814C33">
      <w:pPr>
        <w:ind w:right="2"/>
        <w:textAlignment w:val="baseline"/>
        <w:rPr>
          <w:rFonts w:ascii="Arial" w:hAnsi="Arial" w:cs="Arial"/>
          <w:bCs/>
          <w:sz w:val="24"/>
          <w:szCs w:val="24"/>
          <w:lang w:val="en-US"/>
        </w:rPr>
      </w:pPr>
    </w:p>
    <w:p w14:paraId="556CF3C0" w14:textId="77777777"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Covid-related illness under sickness absence accounted for 0.4% of contracted hours in March. The Directorate breakdown was:</w:t>
      </w:r>
    </w:p>
    <w:p w14:paraId="4FCFDDBF"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Corporate: 0.2%;</w:t>
      </w:r>
    </w:p>
    <w:p w14:paraId="747ACFC9"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Golden Jubilee Conference Hotel: 1.0%;</w:t>
      </w:r>
    </w:p>
    <w:p w14:paraId="26824556"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0.6%; and</w:t>
      </w:r>
    </w:p>
    <w:p w14:paraId="6EAABCB2" w14:textId="77777777" w:rsidR="00814C33" w:rsidRPr="00814C33" w:rsidRDefault="00814C33" w:rsidP="00814C33">
      <w:pPr>
        <w:numPr>
          <w:ilvl w:val="0"/>
          <w:numId w:val="4"/>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National Elective Services: 0.3%.</w:t>
      </w:r>
    </w:p>
    <w:p w14:paraId="2715EB4E" w14:textId="77777777" w:rsidR="00814C33" w:rsidRPr="00814C33" w:rsidRDefault="00814C33" w:rsidP="00814C33">
      <w:pPr>
        <w:ind w:right="2"/>
        <w:textAlignment w:val="baseline"/>
        <w:rPr>
          <w:rFonts w:ascii="Arial" w:hAnsi="Arial" w:cs="Arial"/>
          <w:bCs/>
          <w:sz w:val="24"/>
          <w:szCs w:val="24"/>
          <w:lang w:val="en-US"/>
        </w:rPr>
      </w:pPr>
    </w:p>
    <w:p w14:paraId="0EF0E5E2" w14:textId="77777777" w:rsidR="00814C33" w:rsidRPr="00814C33" w:rsidRDefault="00814C33" w:rsidP="00814C33">
      <w:pPr>
        <w:ind w:right="2"/>
        <w:textAlignment w:val="baseline"/>
        <w:rPr>
          <w:rFonts w:ascii="Arial" w:hAnsi="Arial" w:cs="Arial"/>
          <w:b/>
          <w:bCs/>
          <w:sz w:val="24"/>
          <w:szCs w:val="24"/>
          <w:lang w:val="en-US"/>
        </w:rPr>
      </w:pPr>
      <w:r w:rsidRPr="00814C33">
        <w:rPr>
          <w:rFonts w:ascii="Arial" w:hAnsi="Arial" w:cs="Arial"/>
          <w:b/>
          <w:bCs/>
          <w:sz w:val="24"/>
          <w:szCs w:val="24"/>
          <w:lang w:val="en-US"/>
        </w:rPr>
        <w:t>Agenda for Change appraisal</w:t>
      </w:r>
    </w:p>
    <w:p w14:paraId="4AAFBAB6" w14:textId="77777777" w:rsidR="00814C33" w:rsidRPr="00814C33" w:rsidRDefault="00814C33" w:rsidP="00814C33">
      <w:pPr>
        <w:ind w:right="2"/>
        <w:textAlignment w:val="baseline"/>
        <w:rPr>
          <w:rFonts w:ascii="Arial" w:hAnsi="Arial" w:cs="Arial"/>
          <w:bCs/>
          <w:sz w:val="24"/>
          <w:szCs w:val="24"/>
        </w:rPr>
      </w:pPr>
      <w:r w:rsidRPr="00814C33">
        <w:rPr>
          <w:rFonts w:ascii="Arial" w:hAnsi="Arial" w:cs="Arial"/>
          <w:bCs/>
          <w:sz w:val="24"/>
          <w:szCs w:val="24"/>
          <w:lang w:val="en-US"/>
        </w:rPr>
        <w:t>Within the twelve months to 31 March 2023, 70% of staff who come under the Agenda for Change terms and conditions completed their appraisal using TURAS, which is 1% lower than the previous month. The Directorate breakdown is as follows:</w:t>
      </w:r>
    </w:p>
    <w:p w14:paraId="529AA704" w14:textId="77777777" w:rsidR="00814C33" w:rsidRPr="00814C33" w:rsidRDefault="00814C33" w:rsidP="00814C33">
      <w:pPr>
        <w:numPr>
          <w:ilvl w:val="0"/>
          <w:numId w:val="6"/>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Corporate: 65% (same as February);</w:t>
      </w:r>
    </w:p>
    <w:p w14:paraId="1206288F" w14:textId="77777777" w:rsidR="00814C33" w:rsidRPr="00814C33" w:rsidRDefault="00814C33" w:rsidP="00814C33">
      <w:pPr>
        <w:numPr>
          <w:ilvl w:val="0"/>
          <w:numId w:val="6"/>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Golden Jubilee Conference Hotel: 33% (-13%);</w:t>
      </w:r>
    </w:p>
    <w:p w14:paraId="114EC334" w14:textId="77777777" w:rsidR="00814C33" w:rsidRPr="00814C33" w:rsidRDefault="00814C33" w:rsidP="00814C33">
      <w:pPr>
        <w:numPr>
          <w:ilvl w:val="0"/>
          <w:numId w:val="6"/>
        </w:numPr>
        <w:spacing w:after="0" w:line="240" w:lineRule="auto"/>
        <w:ind w:right="2"/>
        <w:textAlignment w:val="baseline"/>
        <w:rPr>
          <w:rFonts w:ascii="Arial" w:hAnsi="Arial" w:cs="Arial"/>
          <w:bCs/>
          <w:sz w:val="24"/>
          <w:szCs w:val="24"/>
          <w:lang w:val="en-US"/>
        </w:rPr>
      </w:pPr>
      <w:r w:rsidRPr="00814C33">
        <w:rPr>
          <w:rFonts w:ascii="Arial" w:hAnsi="Arial" w:cs="Arial"/>
          <w:bCs/>
          <w:sz w:val="24"/>
          <w:szCs w:val="24"/>
          <w:lang w:val="en-US"/>
        </w:rPr>
        <w:t>Heart, Lung and Diagnostic Services: 72% (same); and</w:t>
      </w:r>
    </w:p>
    <w:p w14:paraId="15A35FC9" w14:textId="77777777" w:rsidR="00814C33" w:rsidRPr="00814C33" w:rsidRDefault="00814C33" w:rsidP="00814C33">
      <w:pPr>
        <w:numPr>
          <w:ilvl w:val="0"/>
          <w:numId w:val="6"/>
        </w:numPr>
        <w:spacing w:after="0" w:line="240" w:lineRule="auto"/>
        <w:ind w:right="2"/>
        <w:textAlignment w:val="baseline"/>
        <w:rPr>
          <w:rFonts w:ascii="Arial" w:hAnsi="Arial" w:cs="Arial"/>
          <w:bCs/>
          <w:sz w:val="24"/>
          <w:szCs w:val="24"/>
        </w:rPr>
      </w:pPr>
      <w:r w:rsidRPr="00814C33">
        <w:rPr>
          <w:rFonts w:ascii="Arial" w:hAnsi="Arial" w:cs="Arial"/>
          <w:bCs/>
          <w:sz w:val="24"/>
          <w:szCs w:val="24"/>
          <w:lang w:val="en-US"/>
        </w:rPr>
        <w:t>National Elective Services: 78% (-2%).</w:t>
      </w:r>
    </w:p>
    <w:p w14:paraId="5076787B" w14:textId="77777777" w:rsidR="00814C33" w:rsidRPr="00814C33" w:rsidRDefault="00814C33" w:rsidP="00814C33">
      <w:pPr>
        <w:ind w:right="2"/>
        <w:textAlignment w:val="baseline"/>
        <w:rPr>
          <w:rFonts w:ascii="Arial" w:hAnsi="Arial" w:cs="Arial"/>
          <w:bCs/>
          <w:sz w:val="24"/>
          <w:szCs w:val="24"/>
          <w:lang w:val="en-US"/>
        </w:rPr>
      </w:pPr>
    </w:p>
    <w:p w14:paraId="6BF8E29E" w14:textId="77777777" w:rsidR="00814C33" w:rsidRPr="00814C33" w:rsidRDefault="00814C33" w:rsidP="00814C33">
      <w:pPr>
        <w:ind w:right="2"/>
        <w:textAlignment w:val="baseline"/>
        <w:rPr>
          <w:rFonts w:ascii="Arial" w:hAnsi="Arial" w:cs="Arial"/>
          <w:b/>
          <w:bCs/>
          <w:sz w:val="24"/>
          <w:szCs w:val="24"/>
          <w:lang w:val="en-US"/>
        </w:rPr>
      </w:pPr>
      <w:r w:rsidRPr="00814C33">
        <w:rPr>
          <w:rFonts w:ascii="Arial" w:hAnsi="Arial" w:cs="Arial"/>
          <w:b/>
          <w:bCs/>
          <w:sz w:val="24"/>
          <w:szCs w:val="24"/>
          <w:lang w:val="en-US"/>
        </w:rPr>
        <w:t>Medical appraisal</w:t>
      </w:r>
    </w:p>
    <w:p w14:paraId="461AC2BB" w14:textId="77777777" w:rsidR="00814C33" w:rsidRPr="00814C33" w:rsidRDefault="00814C33" w:rsidP="00814C33">
      <w:pPr>
        <w:ind w:right="2"/>
        <w:textAlignment w:val="baseline"/>
        <w:rPr>
          <w:rFonts w:ascii="Arial" w:hAnsi="Arial" w:cs="Arial"/>
          <w:bCs/>
          <w:sz w:val="24"/>
          <w:szCs w:val="24"/>
        </w:rPr>
      </w:pPr>
      <w:r w:rsidRPr="00814C33">
        <w:rPr>
          <w:rFonts w:ascii="Arial" w:hAnsi="Arial" w:cs="Arial"/>
          <w:bCs/>
          <w:sz w:val="24"/>
          <w:szCs w:val="24"/>
          <w:lang w:val="en-US"/>
        </w:rPr>
        <w:t>The appraisal year for medical staff runs from 1 April to 31 March. As at 4 April 2023, 124 doctors out of 160 (77.5%) had completed their 2022/2023 appraisal or had an ARCP. This is an increase of 35 on the previous month.  12 doctors are at some point in the appraisal process, and 24 have yet to start their appraisal.</w:t>
      </w:r>
    </w:p>
    <w:p w14:paraId="027E04EF" w14:textId="77777777" w:rsidR="00814C33" w:rsidRDefault="00814C33" w:rsidP="00814C33">
      <w:pPr>
        <w:ind w:right="2"/>
        <w:textAlignment w:val="baseline"/>
        <w:rPr>
          <w:rFonts w:ascii="Arial" w:hAnsi="Arial" w:cs="Arial"/>
          <w:b/>
          <w:bCs/>
          <w:sz w:val="24"/>
          <w:szCs w:val="24"/>
          <w:lang w:val="en-US"/>
        </w:rPr>
      </w:pPr>
    </w:p>
    <w:p w14:paraId="1442D3A4" w14:textId="16422479" w:rsidR="00814C33" w:rsidRPr="00814C33" w:rsidRDefault="00814C33" w:rsidP="00814C33">
      <w:pPr>
        <w:ind w:right="2"/>
        <w:textAlignment w:val="baseline"/>
        <w:rPr>
          <w:rFonts w:ascii="Arial" w:hAnsi="Arial" w:cs="Arial"/>
          <w:b/>
          <w:bCs/>
          <w:sz w:val="24"/>
          <w:szCs w:val="24"/>
          <w:lang w:val="en-US"/>
        </w:rPr>
      </w:pPr>
      <w:r w:rsidRPr="00814C33">
        <w:rPr>
          <w:rFonts w:ascii="Arial" w:hAnsi="Arial" w:cs="Arial"/>
          <w:b/>
          <w:bCs/>
          <w:sz w:val="24"/>
          <w:szCs w:val="24"/>
          <w:lang w:val="en-US"/>
        </w:rPr>
        <w:t>Medical job planning</w:t>
      </w:r>
    </w:p>
    <w:p w14:paraId="62BDE835" w14:textId="77777777" w:rsidR="00814C33" w:rsidRPr="00814C33" w:rsidRDefault="00814C33" w:rsidP="00814C33">
      <w:pPr>
        <w:ind w:right="2"/>
        <w:textAlignment w:val="baseline"/>
        <w:rPr>
          <w:rFonts w:ascii="Arial" w:hAnsi="Arial" w:cs="Arial"/>
          <w:bCs/>
          <w:sz w:val="24"/>
          <w:szCs w:val="24"/>
          <w:lang w:val="en-US"/>
        </w:rPr>
      </w:pPr>
      <w:r w:rsidRPr="00814C33">
        <w:rPr>
          <w:rFonts w:ascii="Arial" w:hAnsi="Arial" w:cs="Arial"/>
          <w:bCs/>
          <w:sz w:val="24"/>
          <w:szCs w:val="24"/>
          <w:lang w:val="en-US"/>
        </w:rPr>
        <w:t>In February 2023 we closed almost all medical job plans on the Allocate job planning system for 2022/2023, and started new job plans for the year starting 1 April 2023. At the time of writing this report 7 of the 123 job plans for 2023/2024 had been signed off, 72 were in discussion, 20 were awaiting sign off by the doctor, 9 were awaiting sign off by the first manager, 14 were awaiting sign off by the second manager, and 1 was awaiting sign off by the third manager.</w:t>
      </w:r>
    </w:p>
    <w:p w14:paraId="2FDA2026" w14:textId="77777777" w:rsidR="00814C33" w:rsidRPr="0000531E" w:rsidRDefault="00814C33" w:rsidP="002523F6">
      <w:pPr>
        <w:ind w:right="2"/>
        <w:textAlignment w:val="baseline"/>
        <w:rPr>
          <w:rFonts w:ascii="Arial" w:eastAsia="PMingLiU" w:hAnsi="Arial" w:cs="Arial"/>
          <w:sz w:val="22"/>
          <w:szCs w:val="22"/>
          <w:lang w:val="en-US"/>
        </w:rPr>
        <w:sectPr w:rsidR="00814C33" w:rsidRPr="0000531E" w:rsidSect="002523F6">
          <w:headerReference w:type="even" r:id="rId20"/>
          <w:footerReference w:type="even" r:id="rId21"/>
          <w:pgSz w:w="11906" w:h="16838" w:code="9"/>
          <w:pgMar w:top="851" w:right="1133" w:bottom="1134" w:left="1134" w:header="709" w:footer="709" w:gutter="0"/>
          <w:cols w:space="708"/>
          <w:titlePg/>
          <w:docGrid w:linePitch="360"/>
        </w:sectPr>
      </w:pPr>
    </w:p>
    <w:p w14:paraId="0A29482E" w14:textId="43D7867C" w:rsidR="00A6577D" w:rsidRDefault="00AE0C68" w:rsidP="00A6577D">
      <w:pPr>
        <w:pStyle w:val="Heading1"/>
        <w:rPr>
          <w:rFonts w:ascii="Arial" w:hAnsi="Arial" w:cs="Arial"/>
        </w:rPr>
      </w:pPr>
      <w:r w:rsidRPr="0000531E">
        <w:rPr>
          <w:rFonts w:ascii="Arial" w:hAnsi="Arial" w:cs="Arial"/>
        </w:rPr>
        <w:lastRenderedPageBreak/>
        <w:t>S</w:t>
      </w:r>
      <w:r w:rsidR="00A6577D" w:rsidRPr="0000531E">
        <w:rPr>
          <w:rFonts w:ascii="Arial" w:hAnsi="Arial" w:cs="Arial"/>
        </w:rPr>
        <w:t>ection B:3 Finance</w:t>
      </w:r>
      <w:r w:rsidR="002523F6" w:rsidRPr="0000531E">
        <w:rPr>
          <w:rFonts w:ascii="Arial" w:hAnsi="Arial" w:cs="Arial"/>
        </w:rPr>
        <w:t>,</w:t>
      </w:r>
      <w:r w:rsidR="00A6577D" w:rsidRPr="0000531E">
        <w:rPr>
          <w:rFonts w:ascii="Arial" w:hAnsi="Arial" w:cs="Arial"/>
        </w:rPr>
        <w:t xml:space="preserve"> Performance and Resources</w:t>
      </w:r>
    </w:p>
    <w:p w14:paraId="3E4F0954" w14:textId="7925C3E3" w:rsidR="007624F9" w:rsidRDefault="007624F9" w:rsidP="007624F9"/>
    <w:tbl>
      <w:tblPr>
        <w:tblStyle w:val="TableGrid"/>
        <w:tblW w:w="9286" w:type="dxa"/>
        <w:tblLayout w:type="fixed"/>
        <w:tblLook w:val="04A0" w:firstRow="1" w:lastRow="0" w:firstColumn="1" w:lastColumn="0" w:noHBand="0" w:noVBand="1"/>
      </w:tblPr>
      <w:tblGrid>
        <w:gridCol w:w="2802"/>
        <w:gridCol w:w="567"/>
        <w:gridCol w:w="5917"/>
      </w:tblGrid>
      <w:tr w:rsidR="00814C33" w:rsidRPr="00814C33" w14:paraId="7151DC33" w14:textId="77777777" w:rsidTr="005004EB">
        <w:trPr>
          <w:trHeight w:val="433"/>
        </w:trPr>
        <w:tc>
          <w:tcPr>
            <w:tcW w:w="9286" w:type="dxa"/>
            <w:gridSpan w:val="3"/>
            <w:shd w:val="clear" w:color="auto" w:fill="C4BC96" w:themeFill="background2" w:themeFillShade="BF"/>
          </w:tcPr>
          <w:p w14:paraId="5C48D64B" w14:textId="77777777" w:rsidR="00814C33" w:rsidRPr="00814C33" w:rsidRDefault="00814C33" w:rsidP="005004EB">
            <w:pPr>
              <w:rPr>
                <w:rFonts w:ascii="Arial" w:hAnsi="Arial" w:cs="Arial"/>
                <w:sz w:val="24"/>
                <w:szCs w:val="24"/>
              </w:rPr>
            </w:pPr>
            <w:r w:rsidRPr="00814C33">
              <w:rPr>
                <w:rFonts w:ascii="Arial" w:hAnsi="Arial" w:cs="Arial"/>
                <w:b/>
                <w:sz w:val="24"/>
                <w:szCs w:val="24"/>
              </w:rPr>
              <w:t xml:space="preserve">Finance &amp; Performance </w:t>
            </w:r>
          </w:p>
        </w:tc>
      </w:tr>
      <w:tr w:rsidR="00814C33" w:rsidRPr="00814C33" w14:paraId="3298557A" w14:textId="77777777" w:rsidTr="005004EB">
        <w:tc>
          <w:tcPr>
            <w:tcW w:w="2802" w:type="dxa"/>
            <w:shd w:val="clear" w:color="auto" w:fill="auto"/>
          </w:tcPr>
          <w:p w14:paraId="6C799260" w14:textId="77777777" w:rsidR="00814C33" w:rsidRPr="00814C33" w:rsidRDefault="00814C33" w:rsidP="005004EB">
            <w:pPr>
              <w:rPr>
                <w:rFonts w:ascii="Arial" w:hAnsi="Arial" w:cs="Arial"/>
                <w:sz w:val="24"/>
                <w:szCs w:val="24"/>
              </w:rPr>
            </w:pPr>
            <w:r w:rsidRPr="00814C33">
              <w:rPr>
                <w:rFonts w:ascii="Arial" w:hAnsi="Arial" w:cs="Arial"/>
                <w:sz w:val="24"/>
                <w:szCs w:val="24"/>
              </w:rPr>
              <w:t xml:space="preserve">Cancer 31 Day </w:t>
            </w:r>
          </w:p>
        </w:tc>
        <w:tc>
          <w:tcPr>
            <w:tcW w:w="567" w:type="dxa"/>
            <w:shd w:val="clear" w:color="auto" w:fill="E5B8B7" w:themeFill="accent2" w:themeFillTint="66"/>
          </w:tcPr>
          <w:p w14:paraId="0EF164D7" w14:textId="77777777" w:rsidR="00814C33" w:rsidRPr="00814C33" w:rsidRDefault="00814C33" w:rsidP="005004EB">
            <w:pPr>
              <w:rPr>
                <w:rFonts w:ascii="Arial" w:hAnsi="Arial" w:cs="Arial"/>
                <w:sz w:val="24"/>
                <w:szCs w:val="24"/>
              </w:rPr>
            </w:pPr>
          </w:p>
        </w:tc>
        <w:tc>
          <w:tcPr>
            <w:tcW w:w="5917" w:type="dxa"/>
            <w:shd w:val="clear" w:color="auto" w:fill="FFFFFF" w:themeFill="background1"/>
          </w:tcPr>
          <w:p w14:paraId="5DB6383D" w14:textId="77777777" w:rsidR="00814C33" w:rsidRPr="00814C33" w:rsidRDefault="00814C33" w:rsidP="005004EB">
            <w:pPr>
              <w:rPr>
                <w:rFonts w:ascii="Arial" w:hAnsi="Arial" w:cs="Arial"/>
                <w:sz w:val="24"/>
                <w:szCs w:val="24"/>
              </w:rPr>
            </w:pPr>
            <w:r w:rsidRPr="00814C33">
              <w:rPr>
                <w:rFonts w:ascii="Arial" w:hAnsi="Arial" w:cs="Arial"/>
                <w:sz w:val="24"/>
                <w:szCs w:val="24"/>
              </w:rPr>
              <w:t>In February 2023, nationally reported performance was 95% (39/41). Latest position available.</w:t>
            </w:r>
          </w:p>
        </w:tc>
      </w:tr>
      <w:tr w:rsidR="00814C33" w:rsidRPr="00814C33" w14:paraId="4AE6A11D" w14:textId="77777777" w:rsidTr="005004EB">
        <w:tc>
          <w:tcPr>
            <w:tcW w:w="2802" w:type="dxa"/>
          </w:tcPr>
          <w:p w14:paraId="1913F094" w14:textId="77777777" w:rsidR="00814C33" w:rsidRPr="00814C33" w:rsidRDefault="00814C33" w:rsidP="005004EB">
            <w:pPr>
              <w:rPr>
                <w:rFonts w:ascii="Arial" w:hAnsi="Arial" w:cs="Arial"/>
                <w:sz w:val="24"/>
                <w:szCs w:val="24"/>
              </w:rPr>
            </w:pPr>
            <w:r w:rsidRPr="00814C33">
              <w:rPr>
                <w:rFonts w:ascii="Arial" w:hAnsi="Arial" w:cs="Arial"/>
                <w:sz w:val="24"/>
                <w:szCs w:val="24"/>
              </w:rPr>
              <w:t>TTG: Number of patients who have breached the TTG</w:t>
            </w:r>
          </w:p>
        </w:tc>
        <w:tc>
          <w:tcPr>
            <w:tcW w:w="567" w:type="dxa"/>
            <w:shd w:val="clear" w:color="auto" w:fill="E5B8B7" w:themeFill="accent2" w:themeFillTint="66"/>
          </w:tcPr>
          <w:p w14:paraId="2D012DA4" w14:textId="77777777" w:rsidR="00814C33" w:rsidRPr="00814C33" w:rsidRDefault="00814C33" w:rsidP="005004EB">
            <w:pPr>
              <w:rPr>
                <w:rFonts w:ascii="Arial" w:hAnsi="Arial" w:cs="Arial"/>
                <w:sz w:val="24"/>
                <w:szCs w:val="24"/>
              </w:rPr>
            </w:pPr>
          </w:p>
        </w:tc>
        <w:tc>
          <w:tcPr>
            <w:tcW w:w="5917" w:type="dxa"/>
          </w:tcPr>
          <w:p w14:paraId="2140B82F" w14:textId="77777777" w:rsidR="00814C33" w:rsidRPr="00814C33" w:rsidRDefault="00814C33" w:rsidP="005004EB">
            <w:pPr>
              <w:rPr>
                <w:rFonts w:ascii="Arial" w:hAnsi="Arial" w:cs="Arial"/>
                <w:sz w:val="24"/>
                <w:szCs w:val="24"/>
              </w:rPr>
            </w:pPr>
            <w:r w:rsidRPr="00814C33">
              <w:rPr>
                <w:rFonts w:ascii="Arial" w:hAnsi="Arial" w:cs="Arial"/>
                <w:sz w:val="24"/>
                <w:szCs w:val="24"/>
              </w:rPr>
              <w:t>In March 2023 there were 115 patients who exceeded their twelve week treatment time guarantee.</w:t>
            </w:r>
          </w:p>
        </w:tc>
      </w:tr>
      <w:tr w:rsidR="00814C33" w:rsidRPr="00814C33" w14:paraId="03DE91D8" w14:textId="77777777" w:rsidTr="005004EB">
        <w:tc>
          <w:tcPr>
            <w:tcW w:w="2802" w:type="dxa"/>
          </w:tcPr>
          <w:p w14:paraId="0CBFBEAA"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TTG: Percentage of patients admitted within 12 weeks</w:t>
            </w:r>
          </w:p>
        </w:tc>
        <w:tc>
          <w:tcPr>
            <w:tcW w:w="567" w:type="dxa"/>
            <w:shd w:val="clear" w:color="auto" w:fill="E5B8B7" w:themeFill="accent2" w:themeFillTint="66"/>
          </w:tcPr>
          <w:p w14:paraId="33022D2A" w14:textId="77777777" w:rsidR="00814C33" w:rsidRPr="00814C33" w:rsidRDefault="00814C33" w:rsidP="005004EB">
            <w:pPr>
              <w:rPr>
                <w:rFonts w:ascii="Arial" w:hAnsi="Arial" w:cs="Arial"/>
                <w:sz w:val="24"/>
                <w:szCs w:val="24"/>
                <w:highlight w:val="yellow"/>
              </w:rPr>
            </w:pPr>
          </w:p>
        </w:tc>
        <w:tc>
          <w:tcPr>
            <w:tcW w:w="5917" w:type="dxa"/>
            <w:shd w:val="clear" w:color="auto" w:fill="auto"/>
          </w:tcPr>
          <w:p w14:paraId="758B80F1" w14:textId="77777777" w:rsidR="00814C33" w:rsidRPr="00814C33" w:rsidRDefault="00814C33" w:rsidP="005004EB">
            <w:pPr>
              <w:rPr>
                <w:rFonts w:ascii="Arial" w:hAnsi="Arial" w:cs="Arial"/>
                <w:sz w:val="24"/>
                <w:szCs w:val="24"/>
              </w:rPr>
            </w:pPr>
            <w:r w:rsidRPr="00814C33">
              <w:rPr>
                <w:rFonts w:ascii="Arial" w:hAnsi="Arial" w:cs="Arial"/>
                <w:sz w:val="24"/>
                <w:szCs w:val="24"/>
              </w:rPr>
              <w:t>The percentage of patients admitted within their twelve week treatment time guarantee was reported at 90.3% during March.</w:t>
            </w:r>
          </w:p>
        </w:tc>
      </w:tr>
      <w:tr w:rsidR="00814C33" w:rsidRPr="00814C33" w14:paraId="6D45FC97" w14:textId="77777777" w:rsidTr="005004EB">
        <w:tc>
          <w:tcPr>
            <w:tcW w:w="2802" w:type="dxa"/>
          </w:tcPr>
          <w:p w14:paraId="0C8DBB5A" w14:textId="77777777" w:rsidR="00814C33" w:rsidRPr="00814C33" w:rsidRDefault="00814C33" w:rsidP="005004EB">
            <w:pPr>
              <w:rPr>
                <w:rFonts w:ascii="Arial" w:hAnsi="Arial" w:cs="Arial"/>
                <w:sz w:val="24"/>
                <w:szCs w:val="24"/>
              </w:rPr>
            </w:pPr>
            <w:r w:rsidRPr="00814C33">
              <w:rPr>
                <w:rFonts w:ascii="Arial" w:hAnsi="Arial" w:cs="Arial"/>
                <w:sz w:val="24"/>
                <w:szCs w:val="24"/>
              </w:rPr>
              <w:t>SoT Guarantee – Inpatient and DC cases (H &amp; L only)</w:t>
            </w:r>
          </w:p>
        </w:tc>
        <w:tc>
          <w:tcPr>
            <w:tcW w:w="567" w:type="dxa"/>
            <w:shd w:val="clear" w:color="auto" w:fill="E5B8B7" w:themeFill="accent2" w:themeFillTint="66"/>
          </w:tcPr>
          <w:p w14:paraId="345921CB" w14:textId="77777777" w:rsidR="00814C33" w:rsidRPr="00814C33" w:rsidRDefault="00814C33" w:rsidP="005004EB">
            <w:pPr>
              <w:rPr>
                <w:rFonts w:ascii="Arial" w:hAnsi="Arial" w:cs="Arial"/>
                <w:sz w:val="24"/>
                <w:szCs w:val="24"/>
              </w:rPr>
            </w:pPr>
          </w:p>
        </w:tc>
        <w:tc>
          <w:tcPr>
            <w:tcW w:w="5917" w:type="dxa"/>
          </w:tcPr>
          <w:p w14:paraId="5A724821" w14:textId="77777777" w:rsidR="00814C33" w:rsidRPr="00814C33" w:rsidRDefault="00814C33" w:rsidP="005004EB">
            <w:pPr>
              <w:rPr>
                <w:rFonts w:ascii="Arial" w:hAnsi="Arial" w:cs="Arial"/>
                <w:sz w:val="24"/>
                <w:szCs w:val="24"/>
              </w:rPr>
            </w:pPr>
            <w:r w:rsidRPr="00814C33">
              <w:rPr>
                <w:rFonts w:ascii="Arial" w:hAnsi="Arial" w:cs="Arial"/>
                <w:sz w:val="24"/>
                <w:szCs w:val="24"/>
              </w:rPr>
              <w:t>73.6% of Heart and Lung patients were admitted within 12 weeks in March 2023.</w:t>
            </w:r>
          </w:p>
        </w:tc>
      </w:tr>
      <w:tr w:rsidR="00814C33" w:rsidRPr="00814C33" w14:paraId="35D382D7" w14:textId="77777777" w:rsidTr="005004EB">
        <w:tc>
          <w:tcPr>
            <w:tcW w:w="2802" w:type="dxa"/>
          </w:tcPr>
          <w:p w14:paraId="30F82E8F"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DOSA rate: Cardiac Surgery</w:t>
            </w:r>
          </w:p>
        </w:tc>
        <w:tc>
          <w:tcPr>
            <w:tcW w:w="567" w:type="dxa"/>
            <w:shd w:val="clear" w:color="auto" w:fill="E5B8B7" w:themeFill="accent2" w:themeFillTint="66"/>
          </w:tcPr>
          <w:p w14:paraId="3C1EE79C" w14:textId="77777777" w:rsidR="00814C33" w:rsidRPr="00814C33" w:rsidRDefault="00814C33" w:rsidP="005004EB">
            <w:pPr>
              <w:rPr>
                <w:rFonts w:ascii="Arial" w:hAnsi="Arial" w:cs="Arial"/>
                <w:sz w:val="24"/>
                <w:szCs w:val="24"/>
                <w:highlight w:val="yellow"/>
              </w:rPr>
            </w:pPr>
          </w:p>
        </w:tc>
        <w:tc>
          <w:tcPr>
            <w:tcW w:w="5917" w:type="dxa"/>
          </w:tcPr>
          <w:p w14:paraId="08A82657" w14:textId="77777777" w:rsidR="00814C33" w:rsidRPr="00814C33" w:rsidRDefault="00814C33" w:rsidP="005004EB">
            <w:pPr>
              <w:rPr>
                <w:rFonts w:ascii="Arial" w:hAnsi="Arial" w:cs="Arial"/>
                <w:sz w:val="24"/>
                <w:szCs w:val="24"/>
              </w:rPr>
            </w:pPr>
            <w:r w:rsidRPr="00814C33">
              <w:rPr>
                <w:rFonts w:ascii="Arial" w:hAnsi="Arial" w:cs="Arial"/>
                <w:sz w:val="24"/>
                <w:szCs w:val="24"/>
              </w:rPr>
              <w:t>There were two DoSA cases in March 2023 (4.7%). A new profile for the year has been agreed.</w:t>
            </w:r>
          </w:p>
        </w:tc>
      </w:tr>
      <w:tr w:rsidR="00814C33" w:rsidRPr="00814C33" w14:paraId="3B01C341" w14:textId="77777777" w:rsidTr="005004EB">
        <w:tc>
          <w:tcPr>
            <w:tcW w:w="2802" w:type="dxa"/>
          </w:tcPr>
          <w:p w14:paraId="0E4F4488"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DOSA rate: Thoracic Surgery</w:t>
            </w:r>
          </w:p>
        </w:tc>
        <w:tc>
          <w:tcPr>
            <w:tcW w:w="567" w:type="dxa"/>
            <w:shd w:val="clear" w:color="auto" w:fill="E5B8B7" w:themeFill="accent2" w:themeFillTint="66"/>
          </w:tcPr>
          <w:p w14:paraId="1204C164" w14:textId="77777777" w:rsidR="00814C33" w:rsidRPr="00814C33" w:rsidRDefault="00814C33" w:rsidP="005004EB">
            <w:pPr>
              <w:rPr>
                <w:rFonts w:ascii="Arial" w:hAnsi="Arial" w:cs="Arial"/>
                <w:sz w:val="24"/>
                <w:szCs w:val="24"/>
                <w:highlight w:val="yellow"/>
              </w:rPr>
            </w:pPr>
          </w:p>
        </w:tc>
        <w:tc>
          <w:tcPr>
            <w:tcW w:w="5917" w:type="dxa"/>
          </w:tcPr>
          <w:p w14:paraId="5B7BE4B4"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There were 26 DoSA cases in March 2023 (28.9%). A new profile for the year has been agreed.</w:t>
            </w:r>
          </w:p>
        </w:tc>
      </w:tr>
      <w:tr w:rsidR="00814C33" w:rsidRPr="00814C33" w14:paraId="32D136DF" w14:textId="77777777" w:rsidTr="005004EB">
        <w:tc>
          <w:tcPr>
            <w:tcW w:w="2802" w:type="dxa"/>
          </w:tcPr>
          <w:p w14:paraId="4DAC63BD"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DOSA rate: Orthopaedics</w:t>
            </w:r>
          </w:p>
        </w:tc>
        <w:tc>
          <w:tcPr>
            <w:tcW w:w="567" w:type="dxa"/>
            <w:shd w:val="clear" w:color="auto" w:fill="E5B8B7" w:themeFill="accent2" w:themeFillTint="66"/>
          </w:tcPr>
          <w:p w14:paraId="697B1C4E" w14:textId="77777777" w:rsidR="00814C33" w:rsidRPr="00814C33" w:rsidRDefault="00814C33" w:rsidP="005004EB">
            <w:pPr>
              <w:rPr>
                <w:rFonts w:ascii="Arial" w:hAnsi="Arial" w:cs="Arial"/>
                <w:sz w:val="24"/>
                <w:szCs w:val="24"/>
                <w:highlight w:val="yellow"/>
              </w:rPr>
            </w:pPr>
          </w:p>
        </w:tc>
        <w:tc>
          <w:tcPr>
            <w:tcW w:w="5917" w:type="dxa"/>
          </w:tcPr>
          <w:p w14:paraId="32F9C397"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In March 2023 there were 232 Orthopaedic primary joint admissions, 125 (53.9%) of which were on the day of surgery.</w:t>
            </w:r>
          </w:p>
        </w:tc>
      </w:tr>
      <w:tr w:rsidR="00814C33" w:rsidRPr="00814C33" w14:paraId="4F697111" w14:textId="77777777" w:rsidTr="005004EB">
        <w:tc>
          <w:tcPr>
            <w:tcW w:w="2802" w:type="dxa"/>
          </w:tcPr>
          <w:p w14:paraId="1F32D9A3"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Theatre Cancellation Rates</w:t>
            </w:r>
          </w:p>
        </w:tc>
        <w:tc>
          <w:tcPr>
            <w:tcW w:w="567" w:type="dxa"/>
            <w:shd w:val="clear" w:color="auto" w:fill="E5B8B7" w:themeFill="accent2" w:themeFillTint="66"/>
          </w:tcPr>
          <w:p w14:paraId="7CD406C5" w14:textId="77777777" w:rsidR="00814C33" w:rsidRPr="00814C33" w:rsidRDefault="00814C33" w:rsidP="005004EB">
            <w:pPr>
              <w:rPr>
                <w:rFonts w:ascii="Arial" w:hAnsi="Arial" w:cs="Arial"/>
                <w:sz w:val="24"/>
                <w:szCs w:val="24"/>
                <w:highlight w:val="yellow"/>
              </w:rPr>
            </w:pPr>
          </w:p>
        </w:tc>
        <w:tc>
          <w:tcPr>
            <w:tcW w:w="5917" w:type="dxa"/>
          </w:tcPr>
          <w:p w14:paraId="6D14BB7C" w14:textId="77777777" w:rsidR="00814C33" w:rsidRPr="00814C33" w:rsidRDefault="00814C33" w:rsidP="005004EB">
            <w:pPr>
              <w:rPr>
                <w:rFonts w:ascii="Arial" w:hAnsi="Arial" w:cs="Arial"/>
                <w:sz w:val="24"/>
                <w:szCs w:val="24"/>
              </w:rPr>
            </w:pPr>
            <w:r w:rsidRPr="00814C33">
              <w:rPr>
                <w:rFonts w:ascii="Arial" w:hAnsi="Arial" w:cs="Arial"/>
                <w:sz w:val="24"/>
                <w:szCs w:val="24"/>
              </w:rPr>
              <w:t>In March 2023, the overall hospital cancellation rate was 7.0% (185/2660). Within Control Limits.</w:t>
            </w:r>
          </w:p>
        </w:tc>
      </w:tr>
      <w:tr w:rsidR="00814C33" w:rsidRPr="00814C33" w14:paraId="7423F8AF" w14:textId="77777777" w:rsidTr="005004EB">
        <w:tc>
          <w:tcPr>
            <w:tcW w:w="2802" w:type="dxa"/>
          </w:tcPr>
          <w:p w14:paraId="1B237E1B" w14:textId="77777777" w:rsidR="00814C33" w:rsidRPr="00814C33" w:rsidRDefault="00814C33" w:rsidP="005004EB">
            <w:pPr>
              <w:rPr>
                <w:rFonts w:ascii="Arial" w:hAnsi="Arial" w:cs="Arial"/>
                <w:sz w:val="24"/>
                <w:szCs w:val="24"/>
                <w:highlight w:val="yellow"/>
              </w:rPr>
            </w:pPr>
            <w:r w:rsidRPr="00814C33">
              <w:rPr>
                <w:rFonts w:ascii="Arial" w:hAnsi="Arial" w:cs="Arial"/>
                <w:sz w:val="24"/>
                <w:szCs w:val="24"/>
              </w:rPr>
              <w:t>Hospital Bed Occupancy</w:t>
            </w:r>
          </w:p>
        </w:tc>
        <w:tc>
          <w:tcPr>
            <w:tcW w:w="567" w:type="dxa"/>
            <w:shd w:val="clear" w:color="auto" w:fill="FBD4B4" w:themeFill="accent6" w:themeFillTint="66"/>
          </w:tcPr>
          <w:p w14:paraId="3BA99EFC" w14:textId="77777777" w:rsidR="00814C33" w:rsidRPr="00814C33" w:rsidRDefault="00814C33" w:rsidP="005004EB">
            <w:pPr>
              <w:rPr>
                <w:rFonts w:ascii="Arial" w:hAnsi="Arial" w:cs="Arial"/>
                <w:sz w:val="24"/>
                <w:szCs w:val="24"/>
                <w:highlight w:val="yellow"/>
              </w:rPr>
            </w:pPr>
          </w:p>
        </w:tc>
        <w:tc>
          <w:tcPr>
            <w:tcW w:w="5917" w:type="dxa"/>
          </w:tcPr>
          <w:p w14:paraId="754506D4" w14:textId="77777777" w:rsidR="00814C33" w:rsidRPr="00814C33" w:rsidRDefault="00814C33" w:rsidP="005004EB">
            <w:pPr>
              <w:rPr>
                <w:rFonts w:ascii="Arial" w:hAnsi="Arial" w:cs="Arial"/>
                <w:sz w:val="24"/>
                <w:szCs w:val="24"/>
              </w:rPr>
            </w:pPr>
            <w:r w:rsidRPr="00814C33">
              <w:rPr>
                <w:rFonts w:ascii="Arial" w:hAnsi="Arial" w:cs="Arial"/>
                <w:sz w:val="24"/>
                <w:szCs w:val="24"/>
              </w:rPr>
              <w:t>Hospital wide bed occupancy was reported as 76.3% in March 2023. Within Control Limits.</w:t>
            </w:r>
          </w:p>
        </w:tc>
      </w:tr>
      <w:tr w:rsidR="00814C33" w:rsidRPr="00814C33" w14:paraId="7DAD3B3E" w14:textId="77777777" w:rsidTr="005004EB">
        <w:tc>
          <w:tcPr>
            <w:tcW w:w="2802" w:type="dxa"/>
          </w:tcPr>
          <w:p w14:paraId="23085394" w14:textId="77777777" w:rsidR="00814C33" w:rsidRPr="00814C33" w:rsidRDefault="00814C33" w:rsidP="005004EB">
            <w:pPr>
              <w:rPr>
                <w:rFonts w:ascii="Arial" w:hAnsi="Arial" w:cs="Arial"/>
                <w:sz w:val="24"/>
                <w:szCs w:val="24"/>
              </w:rPr>
            </w:pPr>
            <w:r w:rsidRPr="00814C33">
              <w:rPr>
                <w:rFonts w:ascii="Arial" w:hAnsi="Arial" w:cs="Arial"/>
                <w:sz w:val="24"/>
                <w:szCs w:val="24"/>
              </w:rPr>
              <w:t>Hotel: Income</w:t>
            </w:r>
          </w:p>
        </w:tc>
        <w:tc>
          <w:tcPr>
            <w:tcW w:w="567" w:type="dxa"/>
            <w:shd w:val="clear" w:color="auto" w:fill="D6E3BC" w:themeFill="accent3" w:themeFillTint="66"/>
          </w:tcPr>
          <w:p w14:paraId="117B0DF0" w14:textId="77777777" w:rsidR="00814C33" w:rsidRPr="00814C33" w:rsidRDefault="00814C33" w:rsidP="005004EB">
            <w:pPr>
              <w:rPr>
                <w:rFonts w:ascii="Arial" w:hAnsi="Arial" w:cs="Arial"/>
                <w:sz w:val="24"/>
                <w:szCs w:val="24"/>
              </w:rPr>
            </w:pPr>
          </w:p>
        </w:tc>
        <w:tc>
          <w:tcPr>
            <w:tcW w:w="5917" w:type="dxa"/>
          </w:tcPr>
          <w:p w14:paraId="38D27A5E" w14:textId="77777777" w:rsidR="00814C33" w:rsidRPr="00814C33" w:rsidRDefault="00814C33" w:rsidP="005004EB">
            <w:pPr>
              <w:rPr>
                <w:rFonts w:ascii="Arial" w:hAnsi="Arial" w:cs="Arial"/>
                <w:sz w:val="24"/>
                <w:szCs w:val="24"/>
              </w:rPr>
            </w:pPr>
            <w:r w:rsidRPr="00814C33">
              <w:rPr>
                <w:rFonts w:ascii="Arial" w:hAnsi="Arial" w:cs="Arial"/>
                <w:sz w:val="24"/>
                <w:szCs w:val="24"/>
              </w:rPr>
              <w:t>Reporting for March 2023, position was on plan (44%).</w:t>
            </w:r>
          </w:p>
        </w:tc>
      </w:tr>
      <w:tr w:rsidR="00814C33" w:rsidRPr="00814C33" w14:paraId="11EB21EA" w14:textId="77777777" w:rsidTr="005004EB">
        <w:tc>
          <w:tcPr>
            <w:tcW w:w="2802" w:type="dxa"/>
          </w:tcPr>
          <w:p w14:paraId="79C6A438" w14:textId="77777777" w:rsidR="00814C33" w:rsidRPr="00814C33" w:rsidRDefault="00814C33" w:rsidP="005004EB">
            <w:pPr>
              <w:rPr>
                <w:rFonts w:ascii="Arial" w:hAnsi="Arial" w:cs="Arial"/>
                <w:sz w:val="24"/>
                <w:szCs w:val="24"/>
              </w:rPr>
            </w:pPr>
            <w:r w:rsidRPr="00814C33">
              <w:rPr>
                <w:rFonts w:ascii="Arial" w:hAnsi="Arial" w:cs="Arial"/>
                <w:sz w:val="24"/>
                <w:szCs w:val="24"/>
              </w:rPr>
              <w:t>Hotel: Room Occupancy</w:t>
            </w:r>
          </w:p>
        </w:tc>
        <w:tc>
          <w:tcPr>
            <w:tcW w:w="567" w:type="dxa"/>
            <w:shd w:val="clear" w:color="auto" w:fill="D6E3BC" w:themeFill="accent3" w:themeFillTint="66"/>
          </w:tcPr>
          <w:p w14:paraId="5496EB5C" w14:textId="77777777" w:rsidR="00814C33" w:rsidRPr="00814C33" w:rsidRDefault="00814C33" w:rsidP="005004EB">
            <w:pPr>
              <w:rPr>
                <w:rFonts w:ascii="Arial" w:hAnsi="Arial" w:cs="Arial"/>
                <w:sz w:val="24"/>
                <w:szCs w:val="24"/>
              </w:rPr>
            </w:pPr>
          </w:p>
        </w:tc>
        <w:tc>
          <w:tcPr>
            <w:tcW w:w="5917" w:type="dxa"/>
          </w:tcPr>
          <w:p w14:paraId="3CCFFB5E" w14:textId="77777777" w:rsidR="00814C33" w:rsidRPr="00814C33" w:rsidRDefault="00814C33" w:rsidP="005004EB">
            <w:pPr>
              <w:rPr>
                <w:rFonts w:ascii="Arial" w:hAnsi="Arial" w:cs="Arial"/>
                <w:sz w:val="24"/>
                <w:szCs w:val="24"/>
              </w:rPr>
            </w:pPr>
            <w:r w:rsidRPr="00814C33">
              <w:rPr>
                <w:rFonts w:ascii="Arial" w:hAnsi="Arial" w:cs="Arial"/>
                <w:sz w:val="24"/>
                <w:szCs w:val="24"/>
              </w:rPr>
              <w:t>March 2023 reported position 78.8% against target of 67.5%.</w:t>
            </w:r>
          </w:p>
        </w:tc>
      </w:tr>
      <w:tr w:rsidR="00814C33" w:rsidRPr="00814C33" w14:paraId="736135A3" w14:textId="77777777" w:rsidTr="005004EB">
        <w:tc>
          <w:tcPr>
            <w:tcW w:w="2802" w:type="dxa"/>
          </w:tcPr>
          <w:p w14:paraId="0480BC8B" w14:textId="77777777" w:rsidR="00814C33" w:rsidRPr="00814C33" w:rsidRDefault="00814C33" w:rsidP="005004EB">
            <w:pPr>
              <w:rPr>
                <w:rFonts w:ascii="Arial" w:hAnsi="Arial" w:cs="Arial"/>
                <w:sz w:val="24"/>
                <w:szCs w:val="24"/>
              </w:rPr>
            </w:pPr>
            <w:r w:rsidRPr="00814C33">
              <w:rPr>
                <w:rFonts w:ascii="Arial" w:hAnsi="Arial" w:cs="Arial"/>
                <w:sz w:val="24"/>
                <w:szCs w:val="24"/>
              </w:rPr>
              <w:t>Hotel: Conference Room Occupancy</w:t>
            </w:r>
          </w:p>
        </w:tc>
        <w:tc>
          <w:tcPr>
            <w:tcW w:w="567" w:type="dxa"/>
            <w:shd w:val="clear" w:color="auto" w:fill="D6E3BC" w:themeFill="accent3" w:themeFillTint="66"/>
          </w:tcPr>
          <w:p w14:paraId="59CDCC41" w14:textId="77777777" w:rsidR="00814C33" w:rsidRPr="00814C33" w:rsidRDefault="00814C33" w:rsidP="005004EB">
            <w:pPr>
              <w:rPr>
                <w:rFonts w:ascii="Arial" w:hAnsi="Arial" w:cs="Arial"/>
                <w:sz w:val="24"/>
                <w:szCs w:val="24"/>
              </w:rPr>
            </w:pPr>
          </w:p>
        </w:tc>
        <w:tc>
          <w:tcPr>
            <w:tcW w:w="5917" w:type="dxa"/>
          </w:tcPr>
          <w:p w14:paraId="4721B673" w14:textId="77777777" w:rsidR="00814C33" w:rsidRPr="00814C33" w:rsidRDefault="00814C33" w:rsidP="005004EB">
            <w:pPr>
              <w:rPr>
                <w:rFonts w:ascii="Arial" w:hAnsi="Arial" w:cs="Arial"/>
                <w:sz w:val="24"/>
                <w:szCs w:val="24"/>
              </w:rPr>
            </w:pPr>
            <w:r w:rsidRPr="00814C33">
              <w:rPr>
                <w:rFonts w:ascii="Arial" w:hAnsi="Arial" w:cs="Arial"/>
                <w:sz w:val="24"/>
                <w:szCs w:val="24"/>
              </w:rPr>
              <w:t>March 2023 reported position 87.6% against target of 66.2%.</w:t>
            </w:r>
          </w:p>
        </w:tc>
      </w:tr>
      <w:tr w:rsidR="00814C33" w:rsidRPr="00814C33" w14:paraId="2274056B" w14:textId="77777777" w:rsidTr="005004EB">
        <w:tc>
          <w:tcPr>
            <w:tcW w:w="2802" w:type="dxa"/>
          </w:tcPr>
          <w:p w14:paraId="7353A293" w14:textId="77777777" w:rsidR="00814C33" w:rsidRPr="00814C33" w:rsidRDefault="00814C33" w:rsidP="005004EB">
            <w:pPr>
              <w:rPr>
                <w:rFonts w:ascii="Arial" w:hAnsi="Arial" w:cs="Arial"/>
                <w:sz w:val="24"/>
                <w:szCs w:val="24"/>
              </w:rPr>
            </w:pPr>
            <w:r w:rsidRPr="00814C33">
              <w:rPr>
                <w:rFonts w:ascii="Arial" w:hAnsi="Arial" w:cs="Arial"/>
                <w:sz w:val="24"/>
                <w:szCs w:val="24"/>
              </w:rPr>
              <w:t>Hotel: Delegates</w:t>
            </w:r>
          </w:p>
        </w:tc>
        <w:tc>
          <w:tcPr>
            <w:tcW w:w="567" w:type="dxa"/>
            <w:shd w:val="clear" w:color="auto" w:fill="FBD4B4" w:themeFill="accent6" w:themeFillTint="66"/>
          </w:tcPr>
          <w:p w14:paraId="6A90E50D" w14:textId="77777777" w:rsidR="00814C33" w:rsidRPr="00814C33" w:rsidRDefault="00814C33" w:rsidP="005004EB">
            <w:pPr>
              <w:rPr>
                <w:rFonts w:ascii="Arial" w:hAnsi="Arial" w:cs="Arial"/>
                <w:sz w:val="24"/>
                <w:szCs w:val="24"/>
              </w:rPr>
            </w:pPr>
          </w:p>
        </w:tc>
        <w:tc>
          <w:tcPr>
            <w:tcW w:w="5917" w:type="dxa"/>
          </w:tcPr>
          <w:p w14:paraId="53B0031B" w14:textId="77777777" w:rsidR="00814C33" w:rsidRPr="00814C33" w:rsidRDefault="00814C33" w:rsidP="005004EB">
            <w:pPr>
              <w:rPr>
                <w:rFonts w:ascii="Arial" w:hAnsi="Arial" w:cs="Arial"/>
                <w:sz w:val="24"/>
                <w:szCs w:val="24"/>
              </w:rPr>
            </w:pPr>
            <w:r w:rsidRPr="00814C33">
              <w:rPr>
                <w:rFonts w:ascii="Arial" w:hAnsi="Arial" w:cs="Arial"/>
                <w:sz w:val="24"/>
                <w:szCs w:val="24"/>
              </w:rPr>
              <w:t>March 2023 reported -1.9% against target of &gt;-5%.</w:t>
            </w:r>
          </w:p>
        </w:tc>
      </w:tr>
      <w:tr w:rsidR="00814C33" w:rsidRPr="00814C33" w14:paraId="6AEECA64" w14:textId="77777777" w:rsidTr="005004EB">
        <w:tc>
          <w:tcPr>
            <w:tcW w:w="2802" w:type="dxa"/>
          </w:tcPr>
          <w:p w14:paraId="58008ED8" w14:textId="77777777" w:rsidR="00814C33" w:rsidRPr="00814C33" w:rsidRDefault="00814C33" w:rsidP="005004EB">
            <w:pPr>
              <w:rPr>
                <w:rFonts w:ascii="Arial" w:hAnsi="Arial" w:cs="Arial"/>
                <w:sz w:val="24"/>
                <w:szCs w:val="24"/>
              </w:rPr>
            </w:pPr>
            <w:r w:rsidRPr="00814C33">
              <w:rPr>
                <w:rFonts w:ascii="Arial" w:hAnsi="Arial" w:cs="Arial"/>
                <w:sz w:val="24"/>
                <w:szCs w:val="24"/>
              </w:rPr>
              <w:t>Hotel: Patient Bed Usage</w:t>
            </w:r>
          </w:p>
        </w:tc>
        <w:tc>
          <w:tcPr>
            <w:tcW w:w="567" w:type="dxa"/>
            <w:shd w:val="clear" w:color="auto" w:fill="D6E3BC" w:themeFill="accent3" w:themeFillTint="66"/>
          </w:tcPr>
          <w:p w14:paraId="2874DE6B" w14:textId="77777777" w:rsidR="00814C33" w:rsidRPr="00814C33" w:rsidRDefault="00814C33" w:rsidP="005004EB">
            <w:pPr>
              <w:rPr>
                <w:rFonts w:ascii="Arial" w:hAnsi="Arial" w:cs="Arial"/>
                <w:sz w:val="24"/>
                <w:szCs w:val="24"/>
              </w:rPr>
            </w:pPr>
          </w:p>
        </w:tc>
        <w:tc>
          <w:tcPr>
            <w:tcW w:w="5917" w:type="dxa"/>
          </w:tcPr>
          <w:p w14:paraId="26858291" w14:textId="77777777" w:rsidR="00814C33" w:rsidRPr="00814C33" w:rsidRDefault="00814C33" w:rsidP="005004EB">
            <w:pPr>
              <w:rPr>
                <w:rFonts w:ascii="Arial" w:hAnsi="Arial" w:cs="Arial"/>
                <w:sz w:val="24"/>
                <w:szCs w:val="24"/>
              </w:rPr>
            </w:pPr>
            <w:r w:rsidRPr="00814C33">
              <w:rPr>
                <w:rFonts w:ascii="Arial" w:hAnsi="Arial" w:cs="Arial"/>
                <w:sz w:val="24"/>
                <w:szCs w:val="24"/>
              </w:rPr>
              <w:t>February 2023 reported 10.4% against target of &gt;-5%.</w:t>
            </w:r>
          </w:p>
        </w:tc>
      </w:tr>
      <w:tr w:rsidR="00814C33" w:rsidRPr="00814C33" w14:paraId="769A290E" w14:textId="77777777" w:rsidTr="005004EB">
        <w:tc>
          <w:tcPr>
            <w:tcW w:w="2802" w:type="dxa"/>
          </w:tcPr>
          <w:p w14:paraId="65D756BC" w14:textId="77777777" w:rsidR="00814C33" w:rsidRPr="00814C33" w:rsidRDefault="00814C33" w:rsidP="005004EB">
            <w:pPr>
              <w:rPr>
                <w:rFonts w:ascii="Arial" w:hAnsi="Arial" w:cs="Arial"/>
                <w:sz w:val="24"/>
                <w:szCs w:val="24"/>
              </w:rPr>
            </w:pPr>
            <w:r w:rsidRPr="00814C33">
              <w:rPr>
                <w:rFonts w:ascii="Arial" w:hAnsi="Arial" w:cs="Arial"/>
                <w:sz w:val="24"/>
                <w:szCs w:val="24"/>
              </w:rPr>
              <w:t>Hotel: Not for Profit %</w:t>
            </w:r>
          </w:p>
        </w:tc>
        <w:tc>
          <w:tcPr>
            <w:tcW w:w="567" w:type="dxa"/>
            <w:shd w:val="clear" w:color="auto" w:fill="D6E3BC" w:themeFill="accent3" w:themeFillTint="66"/>
          </w:tcPr>
          <w:p w14:paraId="1127669B" w14:textId="77777777" w:rsidR="00814C33" w:rsidRPr="00814C33" w:rsidRDefault="00814C33" w:rsidP="005004EB">
            <w:pPr>
              <w:rPr>
                <w:rFonts w:ascii="Arial" w:hAnsi="Arial" w:cs="Arial"/>
                <w:sz w:val="24"/>
                <w:szCs w:val="24"/>
              </w:rPr>
            </w:pPr>
          </w:p>
        </w:tc>
        <w:tc>
          <w:tcPr>
            <w:tcW w:w="5917" w:type="dxa"/>
          </w:tcPr>
          <w:p w14:paraId="2F9808E6" w14:textId="77777777" w:rsidR="00814C33" w:rsidRPr="00814C33" w:rsidRDefault="00814C33" w:rsidP="005004EB">
            <w:pPr>
              <w:rPr>
                <w:rFonts w:ascii="Arial" w:hAnsi="Arial" w:cs="Arial"/>
                <w:sz w:val="24"/>
                <w:szCs w:val="24"/>
              </w:rPr>
            </w:pPr>
            <w:r w:rsidRPr="00814C33">
              <w:rPr>
                <w:rFonts w:ascii="Arial" w:hAnsi="Arial" w:cs="Arial"/>
                <w:sz w:val="24"/>
                <w:szCs w:val="24"/>
              </w:rPr>
              <w:t>March 2023 reported 48.3%, against target of 50-60%.</w:t>
            </w:r>
          </w:p>
        </w:tc>
      </w:tr>
      <w:tr w:rsidR="00814C33" w:rsidRPr="00814C33" w14:paraId="337D66B7" w14:textId="77777777" w:rsidTr="005004EB">
        <w:tc>
          <w:tcPr>
            <w:tcW w:w="2802" w:type="dxa"/>
          </w:tcPr>
          <w:p w14:paraId="1326058F" w14:textId="77777777" w:rsidR="00814C33" w:rsidRPr="00814C33" w:rsidRDefault="00814C33" w:rsidP="005004EB">
            <w:pPr>
              <w:rPr>
                <w:rFonts w:ascii="Arial" w:hAnsi="Arial" w:cs="Arial"/>
                <w:sz w:val="24"/>
                <w:szCs w:val="24"/>
              </w:rPr>
            </w:pPr>
            <w:r w:rsidRPr="00814C33">
              <w:rPr>
                <w:rFonts w:ascii="Arial" w:hAnsi="Arial" w:cs="Arial"/>
                <w:sz w:val="24"/>
                <w:szCs w:val="24"/>
              </w:rPr>
              <w:t>Hotel: Pro Quality Score</w:t>
            </w:r>
          </w:p>
        </w:tc>
        <w:tc>
          <w:tcPr>
            <w:tcW w:w="567" w:type="dxa"/>
            <w:shd w:val="clear" w:color="auto" w:fill="D6E3BC" w:themeFill="accent3" w:themeFillTint="66"/>
          </w:tcPr>
          <w:p w14:paraId="34B00203" w14:textId="77777777" w:rsidR="00814C33" w:rsidRPr="00814C33" w:rsidRDefault="00814C33" w:rsidP="005004EB">
            <w:pPr>
              <w:rPr>
                <w:rFonts w:ascii="Arial" w:hAnsi="Arial" w:cs="Arial"/>
                <w:sz w:val="24"/>
                <w:szCs w:val="24"/>
              </w:rPr>
            </w:pPr>
          </w:p>
        </w:tc>
        <w:tc>
          <w:tcPr>
            <w:tcW w:w="5917" w:type="dxa"/>
          </w:tcPr>
          <w:p w14:paraId="5F49F65E" w14:textId="77777777" w:rsidR="00814C33" w:rsidRPr="00814C33" w:rsidRDefault="00814C33" w:rsidP="005004EB">
            <w:pPr>
              <w:rPr>
                <w:rFonts w:ascii="Arial" w:hAnsi="Arial" w:cs="Arial"/>
                <w:sz w:val="24"/>
                <w:szCs w:val="24"/>
              </w:rPr>
            </w:pPr>
            <w:r w:rsidRPr="00814C33">
              <w:rPr>
                <w:rFonts w:ascii="Arial" w:hAnsi="Arial" w:cs="Arial"/>
                <w:sz w:val="24"/>
                <w:szCs w:val="24"/>
              </w:rPr>
              <w:t>March 2023 reported 88.4% against target of &gt;86%.</w:t>
            </w:r>
          </w:p>
        </w:tc>
      </w:tr>
      <w:tr w:rsidR="00814C33" w:rsidRPr="00814C33" w14:paraId="0D521171" w14:textId="77777777" w:rsidTr="005004EB">
        <w:tc>
          <w:tcPr>
            <w:tcW w:w="9286" w:type="dxa"/>
            <w:gridSpan w:val="3"/>
            <w:tcBorders>
              <w:top w:val="single" w:sz="4" w:space="0" w:color="auto"/>
              <w:left w:val="single" w:sz="4" w:space="0" w:color="auto"/>
              <w:bottom w:val="single" w:sz="4" w:space="0" w:color="auto"/>
            </w:tcBorders>
            <w:shd w:val="clear" w:color="auto" w:fill="C4BC96" w:themeFill="background2" w:themeFillShade="BF"/>
          </w:tcPr>
          <w:p w14:paraId="6CDA49E7" w14:textId="77777777" w:rsidR="00814C33" w:rsidRPr="00814C33" w:rsidRDefault="00814C33" w:rsidP="005004EB">
            <w:pPr>
              <w:rPr>
                <w:rFonts w:ascii="Arial" w:hAnsi="Arial" w:cs="Arial"/>
                <w:sz w:val="24"/>
                <w:szCs w:val="24"/>
              </w:rPr>
            </w:pPr>
            <w:r w:rsidRPr="00814C33">
              <w:rPr>
                <w:rFonts w:ascii="Arial" w:hAnsi="Arial" w:cs="Arial"/>
                <w:sz w:val="24"/>
                <w:szCs w:val="24"/>
              </w:rPr>
              <w:t>National Comparison Table, Corporate Dashboard, Waiting list &amp; Productivity table</w:t>
            </w:r>
          </w:p>
        </w:tc>
      </w:tr>
      <w:tr w:rsidR="00814C33" w:rsidRPr="00814C33" w14:paraId="157A44E4" w14:textId="77777777" w:rsidTr="005004EB">
        <w:tc>
          <w:tcPr>
            <w:tcW w:w="9286" w:type="dxa"/>
            <w:gridSpan w:val="3"/>
            <w:tcBorders>
              <w:top w:val="single" w:sz="4" w:space="0" w:color="auto"/>
            </w:tcBorders>
          </w:tcPr>
          <w:p w14:paraId="2073CC88" w14:textId="41FD73CD" w:rsidR="00814C33" w:rsidRPr="00814C33" w:rsidRDefault="00814C33" w:rsidP="005004EB">
            <w:pPr>
              <w:rPr>
                <w:rFonts w:ascii="Arial" w:hAnsi="Arial" w:cs="Arial"/>
                <w:sz w:val="24"/>
                <w:szCs w:val="24"/>
              </w:rPr>
            </w:pPr>
            <w:r w:rsidRPr="00814C33">
              <w:rPr>
                <w:rFonts w:ascii="Arial" w:hAnsi="Arial" w:cs="Arial"/>
                <w:sz w:val="24"/>
                <w:szCs w:val="24"/>
              </w:rPr>
              <w:t xml:space="preserve">The GJNH nationally reported elective cancellation rate, in February 2023, was reported as 5.3%. This ranked GJNH as 2 out of </w:t>
            </w:r>
            <w:r w:rsidR="009A12DE" w:rsidRPr="00814C33">
              <w:rPr>
                <w:rFonts w:ascii="Arial" w:hAnsi="Arial" w:cs="Arial"/>
                <w:sz w:val="24"/>
                <w:szCs w:val="24"/>
              </w:rPr>
              <w:t xml:space="preserve">15. </w:t>
            </w:r>
            <w:r w:rsidRPr="00814C33">
              <w:rPr>
                <w:rFonts w:ascii="Arial" w:hAnsi="Arial" w:cs="Arial"/>
                <w:sz w:val="24"/>
                <w:szCs w:val="24"/>
              </w:rPr>
              <w:t>The Scotland rate was 8.5%.</w:t>
            </w:r>
          </w:p>
        </w:tc>
      </w:tr>
      <w:tr w:rsidR="00814C33" w:rsidRPr="00814C33" w14:paraId="4EEA3920" w14:textId="77777777" w:rsidTr="005004EB">
        <w:tc>
          <w:tcPr>
            <w:tcW w:w="9286" w:type="dxa"/>
            <w:gridSpan w:val="3"/>
            <w:tcBorders>
              <w:top w:val="single" w:sz="4" w:space="0" w:color="auto"/>
            </w:tcBorders>
          </w:tcPr>
          <w:p w14:paraId="0EB19D3F" w14:textId="77777777" w:rsidR="00814C33" w:rsidRPr="00814C33" w:rsidRDefault="00814C33" w:rsidP="005004EB">
            <w:pPr>
              <w:rPr>
                <w:rFonts w:ascii="Arial" w:hAnsi="Arial" w:cs="Arial"/>
                <w:sz w:val="24"/>
                <w:szCs w:val="24"/>
              </w:rPr>
            </w:pPr>
            <w:r w:rsidRPr="00814C33">
              <w:rPr>
                <w:rFonts w:ascii="Arial" w:hAnsi="Arial" w:cs="Arial"/>
                <w:sz w:val="24"/>
                <w:szCs w:val="24"/>
              </w:rPr>
              <w:t>Golden Jubilee comparative performance against the national 31 Day Cancer target is reported using the Information Services Division (ISD) nationally published position. In February 2023 GJNH reported 95% of eligible patients treated within the target (Ranked 9 out of 22).</w:t>
            </w:r>
          </w:p>
        </w:tc>
      </w:tr>
      <w:tr w:rsidR="00814C33" w:rsidRPr="00814C33" w14:paraId="79C1C4B9" w14:textId="77777777" w:rsidTr="005004EB">
        <w:tc>
          <w:tcPr>
            <w:tcW w:w="9286" w:type="dxa"/>
            <w:gridSpan w:val="3"/>
          </w:tcPr>
          <w:p w14:paraId="0A9E6628" w14:textId="77777777" w:rsidR="00814C33" w:rsidRPr="00814C33" w:rsidRDefault="00814C33" w:rsidP="005004EB">
            <w:pPr>
              <w:rPr>
                <w:rFonts w:ascii="Arial" w:hAnsi="Arial" w:cs="Arial"/>
                <w:sz w:val="24"/>
                <w:szCs w:val="24"/>
              </w:rPr>
            </w:pPr>
            <w:r w:rsidRPr="00814C33">
              <w:rPr>
                <w:rFonts w:ascii="Arial" w:hAnsi="Arial" w:cs="Arial"/>
                <w:sz w:val="24"/>
                <w:szCs w:val="24"/>
              </w:rPr>
              <w:t>Health Protection Scotland published figures for Quarter 3 2022 report a GJNH incidence rate (per 100,000 total occupied bed days) of 15.8 for CDiff incidence and 31.6 for SAB. The Scotland rates were 13.1 and 17.1 respectively.</w:t>
            </w:r>
          </w:p>
        </w:tc>
      </w:tr>
      <w:tr w:rsidR="00814C33" w:rsidRPr="00814C33" w14:paraId="6887D7A1" w14:textId="77777777" w:rsidTr="005004EB">
        <w:trPr>
          <w:trHeight w:val="181"/>
        </w:trPr>
        <w:tc>
          <w:tcPr>
            <w:tcW w:w="9286" w:type="dxa"/>
            <w:gridSpan w:val="3"/>
          </w:tcPr>
          <w:p w14:paraId="19A4F641" w14:textId="77777777" w:rsidR="00814C33" w:rsidRPr="00814C33" w:rsidRDefault="00814C33" w:rsidP="005004EB">
            <w:pPr>
              <w:rPr>
                <w:rFonts w:ascii="Arial" w:hAnsi="Arial" w:cs="Arial"/>
                <w:sz w:val="24"/>
                <w:szCs w:val="24"/>
              </w:rPr>
            </w:pPr>
            <w:r w:rsidRPr="00814C33">
              <w:rPr>
                <w:rFonts w:ascii="Arial" w:hAnsi="Arial" w:cs="Arial"/>
                <w:sz w:val="24"/>
                <w:szCs w:val="24"/>
              </w:rPr>
              <w:lastRenderedPageBreak/>
              <w:t>Corporate sickness rate in March 2023 was 5.2% up 0.9% on the previous month. Departments over the 4% threshold were: Business Services, Catering, Clinical Governance, Estates, Finance, Housekeeping and Pharmacy.</w:t>
            </w:r>
          </w:p>
        </w:tc>
      </w:tr>
      <w:tr w:rsidR="00814C33" w:rsidRPr="00814C33" w14:paraId="2586898B" w14:textId="77777777" w:rsidTr="005004EB">
        <w:trPr>
          <w:trHeight w:val="1413"/>
        </w:trPr>
        <w:tc>
          <w:tcPr>
            <w:tcW w:w="9286" w:type="dxa"/>
            <w:gridSpan w:val="3"/>
          </w:tcPr>
          <w:p w14:paraId="3E682849" w14:textId="77777777" w:rsidR="00814C33" w:rsidRPr="00814C33" w:rsidRDefault="00814C33" w:rsidP="005004EB">
            <w:pPr>
              <w:spacing w:after="180"/>
              <w:rPr>
                <w:rFonts w:ascii="Arial" w:hAnsi="Arial" w:cs="Arial"/>
                <w:sz w:val="24"/>
                <w:szCs w:val="24"/>
              </w:rPr>
            </w:pPr>
            <w:r w:rsidRPr="00814C33">
              <w:rPr>
                <w:rFonts w:ascii="Arial" w:hAnsi="Arial" w:cs="Arial"/>
                <w:sz w:val="24"/>
                <w:szCs w:val="24"/>
              </w:rPr>
              <w:t>Referral numbers in March 2023 were 3721 (+370).</w:t>
            </w:r>
          </w:p>
          <w:p w14:paraId="3CDE4878" w14:textId="77777777" w:rsidR="00814C33" w:rsidRPr="00814C33" w:rsidRDefault="00814C33" w:rsidP="005004EB">
            <w:pPr>
              <w:spacing w:after="180"/>
              <w:rPr>
                <w:rFonts w:ascii="Arial" w:hAnsi="Arial" w:cs="Arial"/>
                <w:sz w:val="24"/>
                <w:szCs w:val="24"/>
              </w:rPr>
            </w:pPr>
            <w:r w:rsidRPr="00814C33">
              <w:rPr>
                <w:rFonts w:ascii="Arial" w:hAnsi="Arial" w:cs="Arial"/>
                <w:sz w:val="24"/>
                <w:szCs w:val="24"/>
              </w:rPr>
              <w:t>The total outpatient waiting list decreased by 385 from 2316 to 1931</w:t>
            </w:r>
          </w:p>
          <w:p w14:paraId="368EF62A" w14:textId="77777777" w:rsidR="00814C33" w:rsidRPr="00814C33" w:rsidRDefault="00814C33" w:rsidP="005004EB">
            <w:pPr>
              <w:spacing w:after="180"/>
              <w:rPr>
                <w:rFonts w:ascii="Arial" w:hAnsi="Arial" w:cs="Arial"/>
                <w:sz w:val="24"/>
                <w:szCs w:val="24"/>
              </w:rPr>
            </w:pPr>
            <w:r w:rsidRPr="00814C33">
              <w:rPr>
                <w:rFonts w:ascii="Arial" w:hAnsi="Arial" w:cs="Arial"/>
                <w:sz w:val="24"/>
                <w:szCs w:val="24"/>
              </w:rPr>
              <w:t>The total inpatient waiting list month end position increased by 461 from 4508 to 4969.</w:t>
            </w:r>
            <w:r w:rsidRPr="00814C33">
              <w:rPr>
                <w:rFonts w:ascii="Arial" w:hAnsi="Arial" w:cs="Arial"/>
                <w:vanish/>
                <w:sz w:val="24"/>
                <w:szCs w:val="24"/>
              </w:rPr>
              <w:t>e number of patients waiting over 52 weeks</w:t>
            </w:r>
          </w:p>
        </w:tc>
      </w:tr>
      <w:tr w:rsidR="00814C33" w:rsidRPr="00814C33" w14:paraId="638CBEFD" w14:textId="77777777" w:rsidTr="005004EB">
        <w:tc>
          <w:tcPr>
            <w:tcW w:w="9286" w:type="dxa"/>
            <w:gridSpan w:val="3"/>
          </w:tcPr>
          <w:p w14:paraId="35575CA2" w14:textId="77777777" w:rsidR="00814C33" w:rsidRPr="00814C33" w:rsidRDefault="00814C33" w:rsidP="005004EB">
            <w:pPr>
              <w:rPr>
                <w:rFonts w:ascii="Arial" w:hAnsi="Arial" w:cs="Arial"/>
                <w:sz w:val="24"/>
                <w:szCs w:val="24"/>
              </w:rPr>
            </w:pPr>
            <w:r w:rsidRPr="00814C33">
              <w:rPr>
                <w:rFonts w:ascii="Arial" w:hAnsi="Arial" w:cs="Arial"/>
                <w:sz w:val="24"/>
                <w:szCs w:val="24"/>
              </w:rPr>
              <w:t>For current inpatient waiters the number waiting between 12-26 weeks decreased to 353 (-15).</w:t>
            </w:r>
          </w:p>
          <w:p w14:paraId="73898319" w14:textId="77777777" w:rsidR="00814C33" w:rsidRPr="00814C33" w:rsidRDefault="00814C33" w:rsidP="005004EB">
            <w:pPr>
              <w:rPr>
                <w:rFonts w:ascii="Arial" w:hAnsi="Arial" w:cs="Arial"/>
                <w:sz w:val="24"/>
                <w:szCs w:val="24"/>
              </w:rPr>
            </w:pPr>
            <w:r w:rsidRPr="00814C33">
              <w:rPr>
                <w:rFonts w:ascii="Arial" w:hAnsi="Arial" w:cs="Arial"/>
                <w:sz w:val="24"/>
                <w:szCs w:val="24"/>
              </w:rPr>
              <w:t xml:space="preserve">The number of patients waiting 26-52 weeks increased to 394 (+50). </w:t>
            </w:r>
          </w:p>
          <w:p w14:paraId="7D774486" w14:textId="77777777" w:rsidR="00814C33" w:rsidRPr="00814C33" w:rsidRDefault="00814C33" w:rsidP="005004EB">
            <w:pPr>
              <w:rPr>
                <w:rFonts w:ascii="Arial" w:hAnsi="Arial" w:cs="Arial"/>
                <w:sz w:val="24"/>
                <w:szCs w:val="24"/>
              </w:rPr>
            </w:pPr>
            <w:r w:rsidRPr="00814C33">
              <w:rPr>
                <w:rFonts w:ascii="Arial" w:hAnsi="Arial" w:cs="Arial"/>
                <w:sz w:val="24"/>
                <w:szCs w:val="24"/>
              </w:rPr>
              <w:t>The number of patients waiting &gt;52 weeks increased to 534 (+84).</w:t>
            </w:r>
          </w:p>
        </w:tc>
      </w:tr>
    </w:tbl>
    <w:p w14:paraId="38D8DCA4" w14:textId="77777777" w:rsidR="007624F9" w:rsidRPr="007624F9" w:rsidRDefault="007624F9" w:rsidP="007624F9">
      <w:pPr>
        <w:rPr>
          <w:rFonts w:ascii="Arial" w:hAnsi="Arial" w:cs="Arial"/>
        </w:rPr>
      </w:pPr>
    </w:p>
    <w:sectPr w:rsidR="007624F9" w:rsidRPr="007624F9" w:rsidSect="007624F9">
      <w:headerReference w:type="even" r:id="rId22"/>
      <w:footerReference w:type="even" r:id="rId23"/>
      <w:footerReference w:type="first" r:id="rId24"/>
      <w:pgSz w:w="11906" w:h="16838" w:code="9"/>
      <w:pgMar w:top="851" w:right="1133"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1152B" w14:textId="77777777" w:rsidR="00D766A3" w:rsidRDefault="00D766A3" w:rsidP="005A1C4D">
      <w:r>
        <w:separator/>
      </w:r>
    </w:p>
  </w:endnote>
  <w:endnote w:type="continuationSeparator" w:id="0">
    <w:p w14:paraId="5BA10904" w14:textId="77777777" w:rsidR="00D766A3" w:rsidRDefault="00D766A3" w:rsidP="005A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tone Sans Semi Bold">
    <w:altName w:val="Calibri"/>
    <w:charset w:val="00"/>
    <w:family w:val="auto"/>
    <w:pitch w:val="variable"/>
    <w:sig w:usb0="00000001" w:usb1="00000000" w:usb2="00000000" w:usb3="00000000" w:csb0="00000009" w:csb1="00000000"/>
  </w:font>
  <w:font w:name="PMingLiU">
    <w:altName w:val="新細明體"/>
    <w:panose1 w:val="02010601000101010101"/>
    <w:charset w:val="88"/>
    <w:family w:val="roman"/>
    <w:pitch w:val="variable"/>
    <w:sig w:usb0="A00002FF" w:usb1="28CFFCFA" w:usb2="00000016" w:usb3="00000000" w:csb0="00100001" w:csb1="00000000"/>
  </w:font>
  <w:font w:name="Georgia-Bold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63936"/>
      <w:docPartObj>
        <w:docPartGallery w:val="Page Numbers (Bottom of Page)"/>
        <w:docPartUnique/>
      </w:docPartObj>
    </w:sdtPr>
    <w:sdtEndPr/>
    <w:sdtContent>
      <w:p w14:paraId="794490DF" w14:textId="31361283" w:rsidR="00D766A3" w:rsidRDefault="00D766A3">
        <w:pPr>
          <w:pStyle w:val="Footer"/>
          <w:jc w:val="right"/>
        </w:pPr>
        <w:r>
          <w:rPr>
            <w:noProof/>
          </w:rPr>
          <w:fldChar w:fldCharType="begin"/>
        </w:r>
        <w:r>
          <w:rPr>
            <w:noProof/>
          </w:rPr>
          <w:instrText xml:space="preserve"> PAGE   \* MERGEFORMAT </w:instrText>
        </w:r>
        <w:r>
          <w:rPr>
            <w:noProof/>
          </w:rPr>
          <w:fldChar w:fldCharType="separate"/>
        </w:r>
        <w:r w:rsidR="000D7129">
          <w:rPr>
            <w:noProof/>
          </w:rPr>
          <w:t>2</w:t>
        </w:r>
        <w:r>
          <w:rPr>
            <w:noProof/>
          </w:rPr>
          <w:fldChar w:fldCharType="end"/>
        </w:r>
      </w:p>
    </w:sdtContent>
  </w:sdt>
  <w:p w14:paraId="5676C52E" w14:textId="77777777" w:rsidR="00D766A3" w:rsidRDefault="00D766A3" w:rsidP="00A403AC">
    <w:pPr>
      <w:pStyle w:val="Footer"/>
      <w:tabs>
        <w:tab w:val="clear" w:pos="4320"/>
        <w:tab w:val="clear" w:pos="8640"/>
        <w:tab w:val="right" w:pos="9026"/>
      </w:tabs>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8500"/>
      <w:docPartObj>
        <w:docPartGallery w:val="Page Numbers (Bottom of Page)"/>
        <w:docPartUnique/>
      </w:docPartObj>
    </w:sdtPr>
    <w:sdtEndPr/>
    <w:sdtContent>
      <w:p w14:paraId="6CE32983" w14:textId="2E9F4FA9" w:rsidR="00D766A3" w:rsidRDefault="00D766A3">
        <w:pPr>
          <w:pStyle w:val="Footer"/>
          <w:jc w:val="right"/>
        </w:pPr>
        <w:r>
          <w:rPr>
            <w:noProof/>
          </w:rPr>
          <w:fldChar w:fldCharType="begin"/>
        </w:r>
        <w:r>
          <w:rPr>
            <w:noProof/>
          </w:rPr>
          <w:instrText xml:space="preserve"> PAGE   \* MERGEFORMAT </w:instrText>
        </w:r>
        <w:r>
          <w:rPr>
            <w:noProof/>
          </w:rPr>
          <w:fldChar w:fldCharType="separate"/>
        </w:r>
        <w:r w:rsidR="000D7129">
          <w:rPr>
            <w:noProof/>
          </w:rPr>
          <w:t>3</w:t>
        </w:r>
        <w:r>
          <w:rPr>
            <w:noProof/>
          </w:rPr>
          <w:fldChar w:fldCharType="end"/>
        </w:r>
      </w:p>
    </w:sdtContent>
  </w:sdt>
  <w:p w14:paraId="61BC86A4" w14:textId="77777777" w:rsidR="00D766A3" w:rsidRPr="0000750A" w:rsidRDefault="00D766A3" w:rsidP="0000750A">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3045D" w14:textId="77777777" w:rsidR="00D766A3" w:rsidRDefault="00D766A3">
    <w:pPr>
      <w:pStyle w:val="Footer"/>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p w14:paraId="70BB4E8F" w14:textId="77777777" w:rsidR="00D766A3" w:rsidRDefault="00D766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7E312" w14:textId="77777777" w:rsidR="00D766A3" w:rsidRDefault="00D766A3">
    <w:pPr>
      <w:pStyle w:val="Footer"/>
      <w:jc w:val="center"/>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p w14:paraId="1B1F204E" w14:textId="77777777" w:rsidR="00D766A3" w:rsidRDefault="00D766A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2B51" w14:textId="77777777" w:rsidR="00D766A3" w:rsidRPr="0023609F" w:rsidRDefault="00D766A3" w:rsidP="00236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B58E8" w14:textId="77777777" w:rsidR="00D766A3" w:rsidRDefault="00D766A3" w:rsidP="005A1C4D">
      <w:r>
        <w:separator/>
      </w:r>
    </w:p>
  </w:footnote>
  <w:footnote w:type="continuationSeparator" w:id="0">
    <w:p w14:paraId="6AF0BBDC" w14:textId="77777777" w:rsidR="00D766A3" w:rsidRDefault="00D766A3" w:rsidP="005A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81ACE" w14:textId="5AF0282C" w:rsidR="000D7129" w:rsidRDefault="000D7129">
    <w:pPr>
      <w:pStyle w:val="Header"/>
    </w:pPr>
    <w:r>
      <w:tab/>
    </w:r>
    <w:r>
      <w:tab/>
    </w:r>
    <w:r>
      <w:tab/>
      <w:t>Item 4.1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94D59" w14:textId="77777777" w:rsidR="00D766A3" w:rsidRDefault="00D766A3" w:rsidP="00E87544">
    <w:pPr>
      <w:pStyle w:val="BodyText"/>
      <w:kinsoku w:val="0"/>
      <w:overflowPunct w:val="0"/>
      <w:spacing w:before="19"/>
      <w:ind w:left="20"/>
    </w:pPr>
    <w:r>
      <w:tab/>
    </w:r>
  </w:p>
  <w:p w14:paraId="0D293F0E" w14:textId="77777777" w:rsidR="00D766A3" w:rsidRDefault="00D766A3" w:rsidP="00E87544">
    <w:pPr>
      <w:pStyle w:val="BodyText"/>
      <w:kinsoku w:val="0"/>
      <w:overflowPunct w:val="0"/>
      <w:spacing w:before="19"/>
      <w:ind w:left="20"/>
      <w:rPr>
        <w:rFonts w:ascii="Georgia-BoldItalic" w:hAnsi="Georgia-BoldItalic" w:cs="Georgia-BoldItalic"/>
        <w:b/>
        <w:bCs/>
        <w:i/>
        <w:iCs/>
        <w:color w:val="0070C0"/>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795D8" w14:textId="77777777" w:rsidR="00D766A3" w:rsidRDefault="00D766A3" w:rsidP="00C57AB9">
    <w:pPr>
      <w:pStyle w:val="BodyText"/>
      <w:kinsoku w:val="0"/>
      <w:overflowPunct w:val="0"/>
      <w:spacing w:before="19"/>
      <w:ind w:left="20"/>
    </w:pPr>
    <w:r>
      <w:tab/>
    </w:r>
  </w:p>
  <w:p w14:paraId="1A4C3B0A" w14:textId="77777777" w:rsidR="00D766A3" w:rsidRDefault="00D766A3" w:rsidP="00C57AB9">
    <w:pPr>
      <w:pStyle w:val="BodyText"/>
      <w:kinsoku w:val="0"/>
      <w:overflowPunct w:val="0"/>
      <w:spacing w:before="19"/>
      <w:ind w:left="20"/>
      <w:rPr>
        <w:rFonts w:ascii="Georgia-BoldItalic" w:hAnsi="Georgia-BoldItalic" w:cs="Georgia-BoldItalic"/>
        <w:b/>
        <w:bCs/>
        <w:i/>
        <w:iCs/>
        <w:color w:val="0070C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62B6"/>
    <w:multiLevelType w:val="hybridMultilevel"/>
    <w:tmpl w:val="EBD259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56039DC"/>
    <w:multiLevelType w:val="hybridMultilevel"/>
    <w:tmpl w:val="C4BC1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E80783"/>
    <w:multiLevelType w:val="hybridMultilevel"/>
    <w:tmpl w:val="A024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705D9"/>
    <w:multiLevelType w:val="hybridMultilevel"/>
    <w:tmpl w:val="12801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11C3E"/>
    <w:multiLevelType w:val="hybridMultilevel"/>
    <w:tmpl w:val="489A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D92927"/>
    <w:multiLevelType w:val="hybridMultilevel"/>
    <w:tmpl w:val="E73215A0"/>
    <w:lvl w:ilvl="0" w:tplc="04090005">
      <w:start w:val="1"/>
      <w:numFmt w:val="bullet"/>
      <w:lvlText w:val=""/>
      <w:lvlJc w:val="left"/>
      <w:pPr>
        <w:ind w:left="776" w:hanging="360"/>
      </w:pPr>
      <w:rPr>
        <w:rFonts w:ascii="Wingdings" w:hAnsi="Wingdings"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6" w15:restartNumberingAfterBreak="0">
    <w:nsid w:val="24394D2A"/>
    <w:multiLevelType w:val="hybridMultilevel"/>
    <w:tmpl w:val="C698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8633C"/>
    <w:multiLevelType w:val="hybridMultilevel"/>
    <w:tmpl w:val="30580648"/>
    <w:lvl w:ilvl="0" w:tplc="94949CB8">
      <w:start w:val="1"/>
      <w:numFmt w:val="bullet"/>
      <w:pStyle w:val="TableBullet2"/>
      <w:lvlText w:val=""/>
      <w:lvlJc w:val="left"/>
      <w:pPr>
        <w:tabs>
          <w:tab w:val="num" w:pos="681"/>
        </w:tabs>
        <w:ind w:left="681" w:hanging="284"/>
      </w:pPr>
      <w:rPr>
        <w:rFonts w:ascii="Symbol" w:hAnsi="Symbol" w:hint="default"/>
        <w:color w:val="auto"/>
      </w:rPr>
    </w:lvl>
    <w:lvl w:ilvl="1" w:tplc="04090019" w:tentative="1">
      <w:start w:val="1"/>
      <w:numFmt w:val="bullet"/>
      <w:lvlText w:val="o"/>
      <w:lvlJc w:val="left"/>
      <w:pPr>
        <w:tabs>
          <w:tab w:val="num" w:pos="1842"/>
        </w:tabs>
        <w:ind w:left="1842" w:hanging="360"/>
      </w:pPr>
      <w:rPr>
        <w:rFonts w:ascii="Courier New" w:hAnsi="Courier New" w:hint="default"/>
      </w:rPr>
    </w:lvl>
    <w:lvl w:ilvl="2" w:tplc="0409001B" w:tentative="1">
      <w:start w:val="1"/>
      <w:numFmt w:val="bullet"/>
      <w:lvlText w:val=""/>
      <w:lvlJc w:val="left"/>
      <w:pPr>
        <w:tabs>
          <w:tab w:val="num" w:pos="2562"/>
        </w:tabs>
        <w:ind w:left="2562" w:hanging="360"/>
      </w:pPr>
      <w:rPr>
        <w:rFonts w:ascii="Wingdings" w:hAnsi="Wingdings" w:hint="default"/>
      </w:rPr>
    </w:lvl>
    <w:lvl w:ilvl="3" w:tplc="0409000F" w:tentative="1">
      <w:start w:val="1"/>
      <w:numFmt w:val="bullet"/>
      <w:lvlText w:val=""/>
      <w:lvlJc w:val="left"/>
      <w:pPr>
        <w:tabs>
          <w:tab w:val="num" w:pos="3282"/>
        </w:tabs>
        <w:ind w:left="3282" w:hanging="360"/>
      </w:pPr>
      <w:rPr>
        <w:rFonts w:ascii="Symbol" w:hAnsi="Symbol" w:hint="default"/>
      </w:rPr>
    </w:lvl>
    <w:lvl w:ilvl="4" w:tplc="04090019" w:tentative="1">
      <w:start w:val="1"/>
      <w:numFmt w:val="bullet"/>
      <w:lvlText w:val="o"/>
      <w:lvlJc w:val="left"/>
      <w:pPr>
        <w:tabs>
          <w:tab w:val="num" w:pos="4002"/>
        </w:tabs>
        <w:ind w:left="4002" w:hanging="360"/>
      </w:pPr>
      <w:rPr>
        <w:rFonts w:ascii="Courier New" w:hAnsi="Courier New" w:hint="default"/>
      </w:rPr>
    </w:lvl>
    <w:lvl w:ilvl="5" w:tplc="0409001B" w:tentative="1">
      <w:start w:val="1"/>
      <w:numFmt w:val="bullet"/>
      <w:lvlText w:val=""/>
      <w:lvlJc w:val="left"/>
      <w:pPr>
        <w:tabs>
          <w:tab w:val="num" w:pos="4722"/>
        </w:tabs>
        <w:ind w:left="4722" w:hanging="360"/>
      </w:pPr>
      <w:rPr>
        <w:rFonts w:ascii="Wingdings" w:hAnsi="Wingdings" w:hint="default"/>
      </w:rPr>
    </w:lvl>
    <w:lvl w:ilvl="6" w:tplc="0409000F" w:tentative="1">
      <w:start w:val="1"/>
      <w:numFmt w:val="bullet"/>
      <w:lvlText w:val=""/>
      <w:lvlJc w:val="left"/>
      <w:pPr>
        <w:tabs>
          <w:tab w:val="num" w:pos="5442"/>
        </w:tabs>
        <w:ind w:left="5442" w:hanging="360"/>
      </w:pPr>
      <w:rPr>
        <w:rFonts w:ascii="Symbol" w:hAnsi="Symbol" w:hint="default"/>
      </w:rPr>
    </w:lvl>
    <w:lvl w:ilvl="7" w:tplc="04090019" w:tentative="1">
      <w:start w:val="1"/>
      <w:numFmt w:val="bullet"/>
      <w:lvlText w:val="o"/>
      <w:lvlJc w:val="left"/>
      <w:pPr>
        <w:tabs>
          <w:tab w:val="num" w:pos="6162"/>
        </w:tabs>
        <w:ind w:left="6162" w:hanging="360"/>
      </w:pPr>
      <w:rPr>
        <w:rFonts w:ascii="Courier New" w:hAnsi="Courier New" w:hint="default"/>
      </w:rPr>
    </w:lvl>
    <w:lvl w:ilvl="8" w:tplc="0409001B" w:tentative="1">
      <w:start w:val="1"/>
      <w:numFmt w:val="bullet"/>
      <w:lvlText w:val=""/>
      <w:lvlJc w:val="left"/>
      <w:pPr>
        <w:tabs>
          <w:tab w:val="num" w:pos="6882"/>
        </w:tabs>
        <w:ind w:left="6882" w:hanging="360"/>
      </w:pPr>
      <w:rPr>
        <w:rFonts w:ascii="Wingdings" w:hAnsi="Wingdings" w:hint="default"/>
      </w:rPr>
    </w:lvl>
  </w:abstractNum>
  <w:abstractNum w:abstractNumId="8" w15:restartNumberingAfterBreak="0">
    <w:nsid w:val="291E2AAC"/>
    <w:multiLevelType w:val="hybridMultilevel"/>
    <w:tmpl w:val="6DB6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2A7DF0"/>
    <w:multiLevelType w:val="hybridMultilevel"/>
    <w:tmpl w:val="4A7E4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091153"/>
    <w:multiLevelType w:val="hybridMultilevel"/>
    <w:tmpl w:val="4D0C375A"/>
    <w:lvl w:ilvl="0" w:tplc="6896B6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E3018A"/>
    <w:multiLevelType w:val="hybridMultilevel"/>
    <w:tmpl w:val="694631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5704CAA"/>
    <w:multiLevelType w:val="hybridMultilevel"/>
    <w:tmpl w:val="A0E85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C536A2C"/>
    <w:multiLevelType w:val="hybridMultilevel"/>
    <w:tmpl w:val="A860F03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1B55A9"/>
    <w:multiLevelType w:val="hybridMultilevel"/>
    <w:tmpl w:val="0792DCCE"/>
    <w:lvl w:ilvl="0" w:tplc="08090007">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867E33"/>
    <w:multiLevelType w:val="hybridMultilevel"/>
    <w:tmpl w:val="88442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A4546E"/>
    <w:multiLevelType w:val="hybridMultilevel"/>
    <w:tmpl w:val="1D4EA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BA2F5D"/>
    <w:multiLevelType w:val="hybridMultilevel"/>
    <w:tmpl w:val="7070E780"/>
    <w:lvl w:ilvl="0" w:tplc="08090005">
      <w:start w:val="1"/>
      <w:numFmt w:val="bullet"/>
      <w:lvlText w:val=""/>
      <w:lvlJc w:val="left"/>
      <w:pPr>
        <w:ind w:left="371" w:hanging="360"/>
      </w:pPr>
      <w:rPr>
        <w:rFonts w:ascii="Wingdings" w:hAnsi="Wingdings" w:hint="default"/>
      </w:rPr>
    </w:lvl>
    <w:lvl w:ilvl="1" w:tplc="08090003">
      <w:start w:val="1"/>
      <w:numFmt w:val="bullet"/>
      <w:lvlText w:val="o"/>
      <w:lvlJc w:val="left"/>
      <w:pPr>
        <w:ind w:left="1091" w:hanging="360"/>
      </w:pPr>
      <w:rPr>
        <w:rFonts w:ascii="Courier New" w:hAnsi="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8" w15:restartNumberingAfterBreak="0">
    <w:nsid w:val="76060359"/>
    <w:multiLevelType w:val="hybridMultilevel"/>
    <w:tmpl w:val="E1DAE5EA"/>
    <w:lvl w:ilvl="0" w:tplc="43CAEA5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267AEB"/>
    <w:multiLevelType w:val="hybridMultilevel"/>
    <w:tmpl w:val="29C6FAC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12"/>
  </w:num>
  <w:num w:numId="4">
    <w:abstractNumId w:val="11"/>
  </w:num>
  <w:num w:numId="5">
    <w:abstractNumId w:val="5"/>
  </w:num>
  <w:num w:numId="6">
    <w:abstractNumId w:val="9"/>
  </w:num>
  <w:num w:numId="7">
    <w:abstractNumId w:val="15"/>
  </w:num>
  <w:num w:numId="8">
    <w:abstractNumId w:val="17"/>
  </w:num>
  <w:num w:numId="9">
    <w:abstractNumId w:val="13"/>
  </w:num>
  <w:num w:numId="10">
    <w:abstractNumId w:val="6"/>
  </w:num>
  <w:num w:numId="11">
    <w:abstractNumId w:val="1"/>
  </w:num>
  <w:num w:numId="12">
    <w:abstractNumId w:val="8"/>
  </w:num>
  <w:num w:numId="13">
    <w:abstractNumId w:val="18"/>
  </w:num>
  <w:num w:numId="14">
    <w:abstractNumId w:val="4"/>
  </w:num>
  <w:num w:numId="15">
    <w:abstractNumId w:val="19"/>
  </w:num>
  <w:num w:numId="16">
    <w:abstractNumId w:val="16"/>
  </w:num>
  <w:num w:numId="17">
    <w:abstractNumId w:val="14"/>
  </w:num>
  <w:num w:numId="18">
    <w:abstractNumId w:val="3"/>
  </w:num>
  <w:num w:numId="19">
    <w:abstractNumId w:val="0"/>
  </w:num>
  <w:num w:numId="20">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efaultTabStop w:val="720"/>
  <w:drawingGridHorizontalSpacing w:val="110"/>
  <w:displayHorizontalDrawingGridEvery w:val="2"/>
  <w:characterSpacingControl w:val="doNotCompress"/>
  <w:hdrShapeDefaults>
    <o:shapedefaults v:ext="edit" spidmax="2252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enu v:ext="edit" fillcolor="none"/>
    </o:shapedefaults>
  </w:hdrShapeDefaults>
  <w:footnotePr>
    <w:footnote w:id="-1"/>
    <w:footnote w:id="0"/>
  </w:footnotePr>
  <w:endnotePr>
    <w:endnote w:id="-1"/>
    <w:endnote w:id="0"/>
  </w:endnotePr>
  <w:compat>
    <w:useFELayout/>
    <w:compatSetting w:name="compatibilityMode" w:uri="http://schemas.microsoft.com/office/word" w:val="12"/>
  </w:compat>
  <w:rsids>
    <w:rsidRoot w:val="00234ABE"/>
    <w:rsid w:val="00000344"/>
    <w:rsid w:val="00000522"/>
    <w:rsid w:val="0000063A"/>
    <w:rsid w:val="00000641"/>
    <w:rsid w:val="00000EF3"/>
    <w:rsid w:val="00001653"/>
    <w:rsid w:val="00001DD4"/>
    <w:rsid w:val="00001DDC"/>
    <w:rsid w:val="00001F33"/>
    <w:rsid w:val="00002666"/>
    <w:rsid w:val="00002804"/>
    <w:rsid w:val="00002A14"/>
    <w:rsid w:val="0000389C"/>
    <w:rsid w:val="00003FDF"/>
    <w:rsid w:val="00004163"/>
    <w:rsid w:val="00004A7E"/>
    <w:rsid w:val="0000531E"/>
    <w:rsid w:val="0000552B"/>
    <w:rsid w:val="00005B93"/>
    <w:rsid w:val="00006715"/>
    <w:rsid w:val="0000750A"/>
    <w:rsid w:val="000077B8"/>
    <w:rsid w:val="00007A8F"/>
    <w:rsid w:val="000102D0"/>
    <w:rsid w:val="00010603"/>
    <w:rsid w:val="00010862"/>
    <w:rsid w:val="00010DAB"/>
    <w:rsid w:val="00011268"/>
    <w:rsid w:val="00011BD0"/>
    <w:rsid w:val="00012ADE"/>
    <w:rsid w:val="00012D8A"/>
    <w:rsid w:val="00013344"/>
    <w:rsid w:val="00013BAD"/>
    <w:rsid w:val="00014189"/>
    <w:rsid w:val="00015DEE"/>
    <w:rsid w:val="0001741C"/>
    <w:rsid w:val="000179EB"/>
    <w:rsid w:val="00022A8F"/>
    <w:rsid w:val="00022C08"/>
    <w:rsid w:val="00022EC3"/>
    <w:rsid w:val="00023BDC"/>
    <w:rsid w:val="00023C1D"/>
    <w:rsid w:val="00023F59"/>
    <w:rsid w:val="0002479D"/>
    <w:rsid w:val="00024F25"/>
    <w:rsid w:val="000252BF"/>
    <w:rsid w:val="000254F5"/>
    <w:rsid w:val="000255FB"/>
    <w:rsid w:val="00025608"/>
    <w:rsid w:val="00026AD3"/>
    <w:rsid w:val="00026CE3"/>
    <w:rsid w:val="0002776F"/>
    <w:rsid w:val="0002792E"/>
    <w:rsid w:val="00027F88"/>
    <w:rsid w:val="00030119"/>
    <w:rsid w:val="00030FD4"/>
    <w:rsid w:val="00031036"/>
    <w:rsid w:val="00031610"/>
    <w:rsid w:val="00031C47"/>
    <w:rsid w:val="00031CC0"/>
    <w:rsid w:val="000320E7"/>
    <w:rsid w:val="00032476"/>
    <w:rsid w:val="000325C5"/>
    <w:rsid w:val="00032EFB"/>
    <w:rsid w:val="00033537"/>
    <w:rsid w:val="00034CC9"/>
    <w:rsid w:val="000352C2"/>
    <w:rsid w:val="000354E8"/>
    <w:rsid w:val="000359CC"/>
    <w:rsid w:val="00036181"/>
    <w:rsid w:val="00036478"/>
    <w:rsid w:val="0003663A"/>
    <w:rsid w:val="0003678D"/>
    <w:rsid w:val="0003690B"/>
    <w:rsid w:val="00036AAC"/>
    <w:rsid w:val="00037409"/>
    <w:rsid w:val="00041067"/>
    <w:rsid w:val="000425C2"/>
    <w:rsid w:val="00042653"/>
    <w:rsid w:val="00043005"/>
    <w:rsid w:val="0004300E"/>
    <w:rsid w:val="000441AE"/>
    <w:rsid w:val="00044433"/>
    <w:rsid w:val="00045EEB"/>
    <w:rsid w:val="00045F20"/>
    <w:rsid w:val="000469A3"/>
    <w:rsid w:val="000477B7"/>
    <w:rsid w:val="000508AC"/>
    <w:rsid w:val="000521ED"/>
    <w:rsid w:val="0005279E"/>
    <w:rsid w:val="00053EB2"/>
    <w:rsid w:val="0005542B"/>
    <w:rsid w:val="000556F0"/>
    <w:rsid w:val="0005676F"/>
    <w:rsid w:val="00057658"/>
    <w:rsid w:val="00057D18"/>
    <w:rsid w:val="0006009C"/>
    <w:rsid w:val="000605F7"/>
    <w:rsid w:val="00060807"/>
    <w:rsid w:val="00060D50"/>
    <w:rsid w:val="00060ED7"/>
    <w:rsid w:val="00063741"/>
    <w:rsid w:val="000637D1"/>
    <w:rsid w:val="00063CA5"/>
    <w:rsid w:val="00064152"/>
    <w:rsid w:val="00064A0C"/>
    <w:rsid w:val="00064EF8"/>
    <w:rsid w:val="00066620"/>
    <w:rsid w:val="0006739B"/>
    <w:rsid w:val="00067F6C"/>
    <w:rsid w:val="00070FA2"/>
    <w:rsid w:val="000717ED"/>
    <w:rsid w:val="00072EAD"/>
    <w:rsid w:val="00073169"/>
    <w:rsid w:val="0007331A"/>
    <w:rsid w:val="00073418"/>
    <w:rsid w:val="0007351C"/>
    <w:rsid w:val="00073658"/>
    <w:rsid w:val="000744B6"/>
    <w:rsid w:val="00074632"/>
    <w:rsid w:val="00075929"/>
    <w:rsid w:val="00075F91"/>
    <w:rsid w:val="000777BF"/>
    <w:rsid w:val="0008052D"/>
    <w:rsid w:val="00080A82"/>
    <w:rsid w:val="00080FEB"/>
    <w:rsid w:val="00081403"/>
    <w:rsid w:val="00081C6A"/>
    <w:rsid w:val="00082A4E"/>
    <w:rsid w:val="0008456B"/>
    <w:rsid w:val="0008461C"/>
    <w:rsid w:val="00085A9C"/>
    <w:rsid w:val="00085CD3"/>
    <w:rsid w:val="00086167"/>
    <w:rsid w:val="00086388"/>
    <w:rsid w:val="000865FF"/>
    <w:rsid w:val="00087C06"/>
    <w:rsid w:val="00087C84"/>
    <w:rsid w:val="00087EF4"/>
    <w:rsid w:val="00091498"/>
    <w:rsid w:val="00091952"/>
    <w:rsid w:val="00092955"/>
    <w:rsid w:val="00093559"/>
    <w:rsid w:val="000935D6"/>
    <w:rsid w:val="00093A56"/>
    <w:rsid w:val="00093B15"/>
    <w:rsid w:val="00094F31"/>
    <w:rsid w:val="000951FE"/>
    <w:rsid w:val="0009546E"/>
    <w:rsid w:val="00095479"/>
    <w:rsid w:val="00095904"/>
    <w:rsid w:val="00096022"/>
    <w:rsid w:val="00096B7B"/>
    <w:rsid w:val="00096E25"/>
    <w:rsid w:val="00097425"/>
    <w:rsid w:val="00097A2C"/>
    <w:rsid w:val="000A09BA"/>
    <w:rsid w:val="000A0E90"/>
    <w:rsid w:val="000A1EE7"/>
    <w:rsid w:val="000A49C0"/>
    <w:rsid w:val="000A4F39"/>
    <w:rsid w:val="000A4FD6"/>
    <w:rsid w:val="000A5272"/>
    <w:rsid w:val="000A6B2A"/>
    <w:rsid w:val="000A6BC0"/>
    <w:rsid w:val="000A7070"/>
    <w:rsid w:val="000A72F3"/>
    <w:rsid w:val="000A73CC"/>
    <w:rsid w:val="000A7A2F"/>
    <w:rsid w:val="000B00C3"/>
    <w:rsid w:val="000B0C4B"/>
    <w:rsid w:val="000B1464"/>
    <w:rsid w:val="000B19D9"/>
    <w:rsid w:val="000B2AE3"/>
    <w:rsid w:val="000B32C2"/>
    <w:rsid w:val="000B38A4"/>
    <w:rsid w:val="000B3D2C"/>
    <w:rsid w:val="000B41FE"/>
    <w:rsid w:val="000B4E79"/>
    <w:rsid w:val="000B5257"/>
    <w:rsid w:val="000B567C"/>
    <w:rsid w:val="000B6E0E"/>
    <w:rsid w:val="000B6F4A"/>
    <w:rsid w:val="000B764E"/>
    <w:rsid w:val="000C0299"/>
    <w:rsid w:val="000C10A0"/>
    <w:rsid w:val="000C293D"/>
    <w:rsid w:val="000C3735"/>
    <w:rsid w:val="000C38D4"/>
    <w:rsid w:val="000C38E4"/>
    <w:rsid w:val="000C40BD"/>
    <w:rsid w:val="000C440A"/>
    <w:rsid w:val="000C46DB"/>
    <w:rsid w:val="000C4BED"/>
    <w:rsid w:val="000C55B5"/>
    <w:rsid w:val="000C77EF"/>
    <w:rsid w:val="000C78D2"/>
    <w:rsid w:val="000D02CB"/>
    <w:rsid w:val="000D0BB5"/>
    <w:rsid w:val="000D1107"/>
    <w:rsid w:val="000D1572"/>
    <w:rsid w:val="000D1BC6"/>
    <w:rsid w:val="000D262A"/>
    <w:rsid w:val="000D3B61"/>
    <w:rsid w:val="000D5DD0"/>
    <w:rsid w:val="000D6AA3"/>
    <w:rsid w:val="000D7129"/>
    <w:rsid w:val="000D71EE"/>
    <w:rsid w:val="000E0520"/>
    <w:rsid w:val="000E0D85"/>
    <w:rsid w:val="000E0FA7"/>
    <w:rsid w:val="000E0FE5"/>
    <w:rsid w:val="000E1262"/>
    <w:rsid w:val="000E1402"/>
    <w:rsid w:val="000E15AA"/>
    <w:rsid w:val="000E1D6B"/>
    <w:rsid w:val="000E25EF"/>
    <w:rsid w:val="000E2718"/>
    <w:rsid w:val="000E2856"/>
    <w:rsid w:val="000E2BD8"/>
    <w:rsid w:val="000E2BF3"/>
    <w:rsid w:val="000E2CC3"/>
    <w:rsid w:val="000E3118"/>
    <w:rsid w:val="000E3BA6"/>
    <w:rsid w:val="000E45BE"/>
    <w:rsid w:val="000E5364"/>
    <w:rsid w:val="000E61C1"/>
    <w:rsid w:val="000E66BE"/>
    <w:rsid w:val="000E6A64"/>
    <w:rsid w:val="000E713E"/>
    <w:rsid w:val="000E7DD3"/>
    <w:rsid w:val="000E7F8A"/>
    <w:rsid w:val="000F0446"/>
    <w:rsid w:val="000F08D5"/>
    <w:rsid w:val="000F1B81"/>
    <w:rsid w:val="000F1DB5"/>
    <w:rsid w:val="000F1E91"/>
    <w:rsid w:val="000F2544"/>
    <w:rsid w:val="000F2BBC"/>
    <w:rsid w:val="000F36A2"/>
    <w:rsid w:val="000F3C26"/>
    <w:rsid w:val="000F3F5E"/>
    <w:rsid w:val="000F469D"/>
    <w:rsid w:val="000F4881"/>
    <w:rsid w:val="000F4E75"/>
    <w:rsid w:val="000F5356"/>
    <w:rsid w:val="000F53B0"/>
    <w:rsid w:val="000F5AB8"/>
    <w:rsid w:val="000F5CA5"/>
    <w:rsid w:val="000F62EC"/>
    <w:rsid w:val="000F6827"/>
    <w:rsid w:val="000F6BCA"/>
    <w:rsid w:val="000F6BDA"/>
    <w:rsid w:val="000F7C49"/>
    <w:rsid w:val="001000CB"/>
    <w:rsid w:val="001000F9"/>
    <w:rsid w:val="00100408"/>
    <w:rsid w:val="0010071A"/>
    <w:rsid w:val="00100E12"/>
    <w:rsid w:val="00101A8D"/>
    <w:rsid w:val="00102028"/>
    <w:rsid w:val="00102148"/>
    <w:rsid w:val="001022C4"/>
    <w:rsid w:val="0010268D"/>
    <w:rsid w:val="00103120"/>
    <w:rsid w:val="00103142"/>
    <w:rsid w:val="00104F89"/>
    <w:rsid w:val="00105869"/>
    <w:rsid w:val="00105BC1"/>
    <w:rsid w:val="00106CD5"/>
    <w:rsid w:val="00106E28"/>
    <w:rsid w:val="00106F79"/>
    <w:rsid w:val="00106FB8"/>
    <w:rsid w:val="0011005D"/>
    <w:rsid w:val="00110FA4"/>
    <w:rsid w:val="001117EA"/>
    <w:rsid w:val="00111BF9"/>
    <w:rsid w:val="00111FB0"/>
    <w:rsid w:val="001129D9"/>
    <w:rsid w:val="00113A09"/>
    <w:rsid w:val="00113AC1"/>
    <w:rsid w:val="00113FE0"/>
    <w:rsid w:val="00113FE7"/>
    <w:rsid w:val="001141FC"/>
    <w:rsid w:val="0011472A"/>
    <w:rsid w:val="00114FD9"/>
    <w:rsid w:val="001160BA"/>
    <w:rsid w:val="0011624F"/>
    <w:rsid w:val="00116353"/>
    <w:rsid w:val="00117396"/>
    <w:rsid w:val="001177E9"/>
    <w:rsid w:val="00117B2E"/>
    <w:rsid w:val="00120BD2"/>
    <w:rsid w:val="00120D98"/>
    <w:rsid w:val="00121D92"/>
    <w:rsid w:val="00122BCB"/>
    <w:rsid w:val="00122FBD"/>
    <w:rsid w:val="0012387E"/>
    <w:rsid w:val="00123A0A"/>
    <w:rsid w:val="001240AA"/>
    <w:rsid w:val="00124DC7"/>
    <w:rsid w:val="001250DB"/>
    <w:rsid w:val="00125394"/>
    <w:rsid w:val="001253E3"/>
    <w:rsid w:val="00125A90"/>
    <w:rsid w:val="0012677B"/>
    <w:rsid w:val="0012746A"/>
    <w:rsid w:val="00127D9C"/>
    <w:rsid w:val="00131605"/>
    <w:rsid w:val="00132043"/>
    <w:rsid w:val="00132895"/>
    <w:rsid w:val="001329FA"/>
    <w:rsid w:val="00132E37"/>
    <w:rsid w:val="00133250"/>
    <w:rsid w:val="00133897"/>
    <w:rsid w:val="001340CA"/>
    <w:rsid w:val="00135326"/>
    <w:rsid w:val="001357A8"/>
    <w:rsid w:val="00136B26"/>
    <w:rsid w:val="00136E0E"/>
    <w:rsid w:val="00137261"/>
    <w:rsid w:val="00140415"/>
    <w:rsid w:val="00140DF2"/>
    <w:rsid w:val="0014132A"/>
    <w:rsid w:val="00141381"/>
    <w:rsid w:val="00141C99"/>
    <w:rsid w:val="00141CD0"/>
    <w:rsid w:val="00142337"/>
    <w:rsid w:val="00142915"/>
    <w:rsid w:val="00142DDD"/>
    <w:rsid w:val="00143CB1"/>
    <w:rsid w:val="00143D74"/>
    <w:rsid w:val="001446DF"/>
    <w:rsid w:val="00144F29"/>
    <w:rsid w:val="00144F5D"/>
    <w:rsid w:val="00145273"/>
    <w:rsid w:val="00145918"/>
    <w:rsid w:val="00145BBE"/>
    <w:rsid w:val="00146367"/>
    <w:rsid w:val="001467D5"/>
    <w:rsid w:val="00146837"/>
    <w:rsid w:val="0014774B"/>
    <w:rsid w:val="00150F27"/>
    <w:rsid w:val="00150F63"/>
    <w:rsid w:val="00150FCB"/>
    <w:rsid w:val="001518BA"/>
    <w:rsid w:val="00151B73"/>
    <w:rsid w:val="00152017"/>
    <w:rsid w:val="0015483E"/>
    <w:rsid w:val="00155699"/>
    <w:rsid w:val="00155BBF"/>
    <w:rsid w:val="00155FE4"/>
    <w:rsid w:val="00156B4A"/>
    <w:rsid w:val="0015713C"/>
    <w:rsid w:val="00157B28"/>
    <w:rsid w:val="00157B40"/>
    <w:rsid w:val="00161C94"/>
    <w:rsid w:val="001621B0"/>
    <w:rsid w:val="00163137"/>
    <w:rsid w:val="00163894"/>
    <w:rsid w:val="00163DBE"/>
    <w:rsid w:val="00164571"/>
    <w:rsid w:val="001649C9"/>
    <w:rsid w:val="00164F3B"/>
    <w:rsid w:val="0016554C"/>
    <w:rsid w:val="00165783"/>
    <w:rsid w:val="001660DA"/>
    <w:rsid w:val="001666CA"/>
    <w:rsid w:val="00167237"/>
    <w:rsid w:val="00167F54"/>
    <w:rsid w:val="0017017F"/>
    <w:rsid w:val="00170B44"/>
    <w:rsid w:val="00171EDC"/>
    <w:rsid w:val="0017217C"/>
    <w:rsid w:val="00172A9C"/>
    <w:rsid w:val="00172E1E"/>
    <w:rsid w:val="00173134"/>
    <w:rsid w:val="0017353A"/>
    <w:rsid w:val="0017393B"/>
    <w:rsid w:val="00173FA9"/>
    <w:rsid w:val="00174556"/>
    <w:rsid w:val="00174624"/>
    <w:rsid w:val="00174928"/>
    <w:rsid w:val="00174C9A"/>
    <w:rsid w:val="0017517C"/>
    <w:rsid w:val="00175424"/>
    <w:rsid w:val="00175C34"/>
    <w:rsid w:val="001765BE"/>
    <w:rsid w:val="0017676B"/>
    <w:rsid w:val="00176DBC"/>
    <w:rsid w:val="001773F8"/>
    <w:rsid w:val="001776B6"/>
    <w:rsid w:val="00180159"/>
    <w:rsid w:val="00180192"/>
    <w:rsid w:val="00180A85"/>
    <w:rsid w:val="00180BEC"/>
    <w:rsid w:val="00180D9C"/>
    <w:rsid w:val="001812DB"/>
    <w:rsid w:val="0018206C"/>
    <w:rsid w:val="001824BD"/>
    <w:rsid w:val="001827C6"/>
    <w:rsid w:val="00182FAE"/>
    <w:rsid w:val="001830DD"/>
    <w:rsid w:val="001836C4"/>
    <w:rsid w:val="00183CAA"/>
    <w:rsid w:val="0018413B"/>
    <w:rsid w:val="001848AC"/>
    <w:rsid w:val="00184A62"/>
    <w:rsid w:val="00185315"/>
    <w:rsid w:val="00185C84"/>
    <w:rsid w:val="00186147"/>
    <w:rsid w:val="00186ECE"/>
    <w:rsid w:val="00187098"/>
    <w:rsid w:val="0018793A"/>
    <w:rsid w:val="00187E38"/>
    <w:rsid w:val="00190451"/>
    <w:rsid w:val="00190D2E"/>
    <w:rsid w:val="0019191C"/>
    <w:rsid w:val="00191F09"/>
    <w:rsid w:val="001923F9"/>
    <w:rsid w:val="001927F1"/>
    <w:rsid w:val="00192C5C"/>
    <w:rsid w:val="0019334C"/>
    <w:rsid w:val="0019340F"/>
    <w:rsid w:val="0019353F"/>
    <w:rsid w:val="001937CA"/>
    <w:rsid w:val="00195141"/>
    <w:rsid w:val="001955C3"/>
    <w:rsid w:val="00195895"/>
    <w:rsid w:val="00195FF5"/>
    <w:rsid w:val="00196EBF"/>
    <w:rsid w:val="00196FB9"/>
    <w:rsid w:val="0019774F"/>
    <w:rsid w:val="00197771"/>
    <w:rsid w:val="00197DBD"/>
    <w:rsid w:val="001A03D3"/>
    <w:rsid w:val="001A05F0"/>
    <w:rsid w:val="001A10DE"/>
    <w:rsid w:val="001A13E1"/>
    <w:rsid w:val="001A1E84"/>
    <w:rsid w:val="001A2A79"/>
    <w:rsid w:val="001A2DD6"/>
    <w:rsid w:val="001A30D9"/>
    <w:rsid w:val="001A34CC"/>
    <w:rsid w:val="001A3569"/>
    <w:rsid w:val="001A412A"/>
    <w:rsid w:val="001A6667"/>
    <w:rsid w:val="001A68D4"/>
    <w:rsid w:val="001A7851"/>
    <w:rsid w:val="001A7AAF"/>
    <w:rsid w:val="001B129E"/>
    <w:rsid w:val="001B14AB"/>
    <w:rsid w:val="001B16B5"/>
    <w:rsid w:val="001B2810"/>
    <w:rsid w:val="001B3127"/>
    <w:rsid w:val="001B320C"/>
    <w:rsid w:val="001B32A4"/>
    <w:rsid w:val="001B3BFA"/>
    <w:rsid w:val="001B3EC4"/>
    <w:rsid w:val="001B3FB1"/>
    <w:rsid w:val="001B4295"/>
    <w:rsid w:val="001B5804"/>
    <w:rsid w:val="001B616A"/>
    <w:rsid w:val="001B638F"/>
    <w:rsid w:val="001B6FFF"/>
    <w:rsid w:val="001B744B"/>
    <w:rsid w:val="001C0AA5"/>
    <w:rsid w:val="001C1521"/>
    <w:rsid w:val="001C1545"/>
    <w:rsid w:val="001C1575"/>
    <w:rsid w:val="001C19F7"/>
    <w:rsid w:val="001C1A09"/>
    <w:rsid w:val="001C2B2B"/>
    <w:rsid w:val="001C2E56"/>
    <w:rsid w:val="001C307B"/>
    <w:rsid w:val="001C34D7"/>
    <w:rsid w:val="001C37A5"/>
    <w:rsid w:val="001C3BEF"/>
    <w:rsid w:val="001C3F7B"/>
    <w:rsid w:val="001C3FB9"/>
    <w:rsid w:val="001C46F4"/>
    <w:rsid w:val="001C49DE"/>
    <w:rsid w:val="001C5E73"/>
    <w:rsid w:val="001C6052"/>
    <w:rsid w:val="001C71B6"/>
    <w:rsid w:val="001D0BDC"/>
    <w:rsid w:val="001D110E"/>
    <w:rsid w:val="001D12D0"/>
    <w:rsid w:val="001D1D01"/>
    <w:rsid w:val="001D2993"/>
    <w:rsid w:val="001D2A5B"/>
    <w:rsid w:val="001D3516"/>
    <w:rsid w:val="001D3E37"/>
    <w:rsid w:val="001D3EDE"/>
    <w:rsid w:val="001D4138"/>
    <w:rsid w:val="001D59B6"/>
    <w:rsid w:val="001D5AF8"/>
    <w:rsid w:val="001D5BFE"/>
    <w:rsid w:val="001D5C0A"/>
    <w:rsid w:val="001E02C7"/>
    <w:rsid w:val="001E046B"/>
    <w:rsid w:val="001E0A78"/>
    <w:rsid w:val="001E1A66"/>
    <w:rsid w:val="001E1E9A"/>
    <w:rsid w:val="001E2345"/>
    <w:rsid w:val="001E30A8"/>
    <w:rsid w:val="001E32A8"/>
    <w:rsid w:val="001E37AA"/>
    <w:rsid w:val="001E3998"/>
    <w:rsid w:val="001E444D"/>
    <w:rsid w:val="001E476C"/>
    <w:rsid w:val="001E4E83"/>
    <w:rsid w:val="001E5ED6"/>
    <w:rsid w:val="001E663E"/>
    <w:rsid w:val="001E6AF0"/>
    <w:rsid w:val="001E6DDC"/>
    <w:rsid w:val="001E74AE"/>
    <w:rsid w:val="001F0000"/>
    <w:rsid w:val="001F080E"/>
    <w:rsid w:val="001F0C57"/>
    <w:rsid w:val="001F0EC5"/>
    <w:rsid w:val="001F10B6"/>
    <w:rsid w:val="001F2269"/>
    <w:rsid w:val="001F24B7"/>
    <w:rsid w:val="001F2587"/>
    <w:rsid w:val="001F3573"/>
    <w:rsid w:val="001F4D78"/>
    <w:rsid w:val="001F5BBA"/>
    <w:rsid w:val="001F5BFB"/>
    <w:rsid w:val="001F606C"/>
    <w:rsid w:val="001F6E98"/>
    <w:rsid w:val="001F7848"/>
    <w:rsid w:val="001F7852"/>
    <w:rsid w:val="001F78FE"/>
    <w:rsid w:val="001F7C45"/>
    <w:rsid w:val="002004F1"/>
    <w:rsid w:val="00201096"/>
    <w:rsid w:val="002013E5"/>
    <w:rsid w:val="00201F89"/>
    <w:rsid w:val="00203BEE"/>
    <w:rsid w:val="00204444"/>
    <w:rsid w:val="00204831"/>
    <w:rsid w:val="0020484B"/>
    <w:rsid w:val="0020643F"/>
    <w:rsid w:val="00206829"/>
    <w:rsid w:val="00206EB4"/>
    <w:rsid w:val="0020712A"/>
    <w:rsid w:val="00207B02"/>
    <w:rsid w:val="00210EBD"/>
    <w:rsid w:val="00211652"/>
    <w:rsid w:val="00211B48"/>
    <w:rsid w:val="00212AA1"/>
    <w:rsid w:val="00212C8A"/>
    <w:rsid w:val="002131E4"/>
    <w:rsid w:val="0021348A"/>
    <w:rsid w:val="002144B0"/>
    <w:rsid w:val="00214700"/>
    <w:rsid w:val="00214B73"/>
    <w:rsid w:val="0021543D"/>
    <w:rsid w:val="00215857"/>
    <w:rsid w:val="00215CFC"/>
    <w:rsid w:val="002161BD"/>
    <w:rsid w:val="00216216"/>
    <w:rsid w:val="0021662B"/>
    <w:rsid w:val="00216A04"/>
    <w:rsid w:val="00217413"/>
    <w:rsid w:val="002204A3"/>
    <w:rsid w:val="00220B47"/>
    <w:rsid w:val="00221742"/>
    <w:rsid w:val="0022379F"/>
    <w:rsid w:val="00224170"/>
    <w:rsid w:val="002244C4"/>
    <w:rsid w:val="00224529"/>
    <w:rsid w:val="00224629"/>
    <w:rsid w:val="00224A35"/>
    <w:rsid w:val="00226350"/>
    <w:rsid w:val="002264AF"/>
    <w:rsid w:val="0023158A"/>
    <w:rsid w:val="00233771"/>
    <w:rsid w:val="002341CE"/>
    <w:rsid w:val="002343B5"/>
    <w:rsid w:val="00234943"/>
    <w:rsid w:val="00234ABE"/>
    <w:rsid w:val="00234CA7"/>
    <w:rsid w:val="00235575"/>
    <w:rsid w:val="0023572A"/>
    <w:rsid w:val="00235875"/>
    <w:rsid w:val="00235D42"/>
    <w:rsid w:val="00235FB3"/>
    <w:rsid w:val="0023609F"/>
    <w:rsid w:val="00237D44"/>
    <w:rsid w:val="00241E35"/>
    <w:rsid w:val="002429E9"/>
    <w:rsid w:val="00242D83"/>
    <w:rsid w:val="00242DC2"/>
    <w:rsid w:val="00242E27"/>
    <w:rsid w:val="00243EE0"/>
    <w:rsid w:val="002461DD"/>
    <w:rsid w:val="002464F4"/>
    <w:rsid w:val="00247F73"/>
    <w:rsid w:val="00247FBC"/>
    <w:rsid w:val="00250BA5"/>
    <w:rsid w:val="0025158B"/>
    <w:rsid w:val="002517B9"/>
    <w:rsid w:val="002523F6"/>
    <w:rsid w:val="002527E7"/>
    <w:rsid w:val="0025404E"/>
    <w:rsid w:val="00254600"/>
    <w:rsid w:val="00256C99"/>
    <w:rsid w:val="002579BA"/>
    <w:rsid w:val="00257E36"/>
    <w:rsid w:val="0026081E"/>
    <w:rsid w:val="00261229"/>
    <w:rsid w:val="002615A8"/>
    <w:rsid w:val="00261D8B"/>
    <w:rsid w:val="0026250E"/>
    <w:rsid w:val="002629A9"/>
    <w:rsid w:val="0026392F"/>
    <w:rsid w:val="00263ABB"/>
    <w:rsid w:val="00264C63"/>
    <w:rsid w:val="00265087"/>
    <w:rsid w:val="002663CD"/>
    <w:rsid w:val="002668C8"/>
    <w:rsid w:val="002726E4"/>
    <w:rsid w:val="00272F98"/>
    <w:rsid w:val="002737D1"/>
    <w:rsid w:val="0027448C"/>
    <w:rsid w:val="002747FC"/>
    <w:rsid w:val="00276618"/>
    <w:rsid w:val="00276F50"/>
    <w:rsid w:val="00281962"/>
    <w:rsid w:val="00281B11"/>
    <w:rsid w:val="00281FAE"/>
    <w:rsid w:val="002824DF"/>
    <w:rsid w:val="00283028"/>
    <w:rsid w:val="0028387A"/>
    <w:rsid w:val="00283E71"/>
    <w:rsid w:val="002844AE"/>
    <w:rsid w:val="00286139"/>
    <w:rsid w:val="00286681"/>
    <w:rsid w:val="00286BCB"/>
    <w:rsid w:val="00286D0E"/>
    <w:rsid w:val="00287F16"/>
    <w:rsid w:val="00290A05"/>
    <w:rsid w:val="00291465"/>
    <w:rsid w:val="00292422"/>
    <w:rsid w:val="002928DC"/>
    <w:rsid w:val="002928E3"/>
    <w:rsid w:val="00292E05"/>
    <w:rsid w:val="00293B88"/>
    <w:rsid w:val="002944BF"/>
    <w:rsid w:val="0029476D"/>
    <w:rsid w:val="00294AD8"/>
    <w:rsid w:val="00294B9B"/>
    <w:rsid w:val="00295993"/>
    <w:rsid w:val="00296377"/>
    <w:rsid w:val="002964C3"/>
    <w:rsid w:val="00296B7A"/>
    <w:rsid w:val="002977D7"/>
    <w:rsid w:val="00297B14"/>
    <w:rsid w:val="002A0B22"/>
    <w:rsid w:val="002A0CD6"/>
    <w:rsid w:val="002A0FC0"/>
    <w:rsid w:val="002A1403"/>
    <w:rsid w:val="002A2000"/>
    <w:rsid w:val="002A30A7"/>
    <w:rsid w:val="002A316F"/>
    <w:rsid w:val="002A3A55"/>
    <w:rsid w:val="002A47AB"/>
    <w:rsid w:val="002A4EB1"/>
    <w:rsid w:val="002A5394"/>
    <w:rsid w:val="002A540D"/>
    <w:rsid w:val="002A574A"/>
    <w:rsid w:val="002A63ED"/>
    <w:rsid w:val="002A7711"/>
    <w:rsid w:val="002A78A0"/>
    <w:rsid w:val="002B050F"/>
    <w:rsid w:val="002B05AE"/>
    <w:rsid w:val="002B187F"/>
    <w:rsid w:val="002B1D4E"/>
    <w:rsid w:val="002B1DC8"/>
    <w:rsid w:val="002B1F86"/>
    <w:rsid w:val="002B2200"/>
    <w:rsid w:val="002B2D13"/>
    <w:rsid w:val="002B3324"/>
    <w:rsid w:val="002B3E74"/>
    <w:rsid w:val="002B4927"/>
    <w:rsid w:val="002B4C35"/>
    <w:rsid w:val="002B5696"/>
    <w:rsid w:val="002B5D1B"/>
    <w:rsid w:val="002B697F"/>
    <w:rsid w:val="002B6B5A"/>
    <w:rsid w:val="002B79FE"/>
    <w:rsid w:val="002C0626"/>
    <w:rsid w:val="002C0870"/>
    <w:rsid w:val="002C1BB7"/>
    <w:rsid w:val="002C1D65"/>
    <w:rsid w:val="002C28A2"/>
    <w:rsid w:val="002C3896"/>
    <w:rsid w:val="002C3B18"/>
    <w:rsid w:val="002C4737"/>
    <w:rsid w:val="002C5831"/>
    <w:rsid w:val="002D06E1"/>
    <w:rsid w:val="002D0844"/>
    <w:rsid w:val="002D0880"/>
    <w:rsid w:val="002D0FB2"/>
    <w:rsid w:val="002D1A56"/>
    <w:rsid w:val="002D1A9B"/>
    <w:rsid w:val="002D1D50"/>
    <w:rsid w:val="002D30A9"/>
    <w:rsid w:val="002D34A2"/>
    <w:rsid w:val="002D36BB"/>
    <w:rsid w:val="002D3D35"/>
    <w:rsid w:val="002D5F69"/>
    <w:rsid w:val="002D73EA"/>
    <w:rsid w:val="002E006C"/>
    <w:rsid w:val="002E0E2B"/>
    <w:rsid w:val="002E1C24"/>
    <w:rsid w:val="002E230C"/>
    <w:rsid w:val="002E2570"/>
    <w:rsid w:val="002E2BEA"/>
    <w:rsid w:val="002E2E07"/>
    <w:rsid w:val="002E330D"/>
    <w:rsid w:val="002E3A2C"/>
    <w:rsid w:val="002E4131"/>
    <w:rsid w:val="002E70A1"/>
    <w:rsid w:val="002E760B"/>
    <w:rsid w:val="002E7B64"/>
    <w:rsid w:val="002F0639"/>
    <w:rsid w:val="002F0791"/>
    <w:rsid w:val="002F0CED"/>
    <w:rsid w:val="002F0FE5"/>
    <w:rsid w:val="002F1F73"/>
    <w:rsid w:val="002F271D"/>
    <w:rsid w:val="002F2978"/>
    <w:rsid w:val="002F37FA"/>
    <w:rsid w:val="002F3C4B"/>
    <w:rsid w:val="002F3CBF"/>
    <w:rsid w:val="002F407C"/>
    <w:rsid w:val="002F408D"/>
    <w:rsid w:val="002F639A"/>
    <w:rsid w:val="002F6741"/>
    <w:rsid w:val="002F6B61"/>
    <w:rsid w:val="002F770A"/>
    <w:rsid w:val="002F7C37"/>
    <w:rsid w:val="00300597"/>
    <w:rsid w:val="003005F9"/>
    <w:rsid w:val="0030067F"/>
    <w:rsid w:val="00300825"/>
    <w:rsid w:val="00301475"/>
    <w:rsid w:val="0030150C"/>
    <w:rsid w:val="00302356"/>
    <w:rsid w:val="003026AA"/>
    <w:rsid w:val="00302A15"/>
    <w:rsid w:val="00302EAE"/>
    <w:rsid w:val="0030434E"/>
    <w:rsid w:val="003044CC"/>
    <w:rsid w:val="00304CA9"/>
    <w:rsid w:val="003053E3"/>
    <w:rsid w:val="00305B15"/>
    <w:rsid w:val="00305C21"/>
    <w:rsid w:val="003064FA"/>
    <w:rsid w:val="003065DC"/>
    <w:rsid w:val="003073AB"/>
    <w:rsid w:val="00307F85"/>
    <w:rsid w:val="00310844"/>
    <w:rsid w:val="003109E4"/>
    <w:rsid w:val="00310ACD"/>
    <w:rsid w:val="00311201"/>
    <w:rsid w:val="00311D23"/>
    <w:rsid w:val="003122C6"/>
    <w:rsid w:val="003126AC"/>
    <w:rsid w:val="0031290C"/>
    <w:rsid w:val="00312C58"/>
    <w:rsid w:val="00314350"/>
    <w:rsid w:val="00314C0E"/>
    <w:rsid w:val="00314E14"/>
    <w:rsid w:val="00315497"/>
    <w:rsid w:val="00315924"/>
    <w:rsid w:val="00315D24"/>
    <w:rsid w:val="003164A6"/>
    <w:rsid w:val="00317157"/>
    <w:rsid w:val="003175E4"/>
    <w:rsid w:val="00317D40"/>
    <w:rsid w:val="003209A9"/>
    <w:rsid w:val="003209B7"/>
    <w:rsid w:val="00321144"/>
    <w:rsid w:val="00321A3C"/>
    <w:rsid w:val="00322864"/>
    <w:rsid w:val="00322CBB"/>
    <w:rsid w:val="003232DD"/>
    <w:rsid w:val="0032508F"/>
    <w:rsid w:val="003259FB"/>
    <w:rsid w:val="0032607A"/>
    <w:rsid w:val="0032694A"/>
    <w:rsid w:val="00326B95"/>
    <w:rsid w:val="0032725B"/>
    <w:rsid w:val="00327278"/>
    <w:rsid w:val="003273BC"/>
    <w:rsid w:val="00327DDF"/>
    <w:rsid w:val="00327F76"/>
    <w:rsid w:val="00330BA5"/>
    <w:rsid w:val="00331CC3"/>
    <w:rsid w:val="00332883"/>
    <w:rsid w:val="003329F1"/>
    <w:rsid w:val="003331B6"/>
    <w:rsid w:val="003335D3"/>
    <w:rsid w:val="00334284"/>
    <w:rsid w:val="003355F3"/>
    <w:rsid w:val="00335DF9"/>
    <w:rsid w:val="00336513"/>
    <w:rsid w:val="00340227"/>
    <w:rsid w:val="00340E5A"/>
    <w:rsid w:val="0034158B"/>
    <w:rsid w:val="0034172A"/>
    <w:rsid w:val="00341785"/>
    <w:rsid w:val="003427A0"/>
    <w:rsid w:val="003427E9"/>
    <w:rsid w:val="0034328E"/>
    <w:rsid w:val="00343460"/>
    <w:rsid w:val="00343601"/>
    <w:rsid w:val="0034374F"/>
    <w:rsid w:val="00343D13"/>
    <w:rsid w:val="003440C2"/>
    <w:rsid w:val="003448FD"/>
    <w:rsid w:val="003450AD"/>
    <w:rsid w:val="00345589"/>
    <w:rsid w:val="0034673C"/>
    <w:rsid w:val="00346ACF"/>
    <w:rsid w:val="003503C2"/>
    <w:rsid w:val="00350D8E"/>
    <w:rsid w:val="003515ED"/>
    <w:rsid w:val="00351E7A"/>
    <w:rsid w:val="00352000"/>
    <w:rsid w:val="00352DA2"/>
    <w:rsid w:val="00353387"/>
    <w:rsid w:val="00353D17"/>
    <w:rsid w:val="00354CB9"/>
    <w:rsid w:val="00355295"/>
    <w:rsid w:val="0035583E"/>
    <w:rsid w:val="00355885"/>
    <w:rsid w:val="003567F0"/>
    <w:rsid w:val="00357438"/>
    <w:rsid w:val="0036191E"/>
    <w:rsid w:val="00362495"/>
    <w:rsid w:val="003626C1"/>
    <w:rsid w:val="00363170"/>
    <w:rsid w:val="0036420C"/>
    <w:rsid w:val="00364465"/>
    <w:rsid w:val="003646BA"/>
    <w:rsid w:val="00364866"/>
    <w:rsid w:val="003648BC"/>
    <w:rsid w:val="00364914"/>
    <w:rsid w:val="00365317"/>
    <w:rsid w:val="003655DC"/>
    <w:rsid w:val="00366594"/>
    <w:rsid w:val="00366731"/>
    <w:rsid w:val="0036740D"/>
    <w:rsid w:val="00370D43"/>
    <w:rsid w:val="00370FEE"/>
    <w:rsid w:val="0037115D"/>
    <w:rsid w:val="00372407"/>
    <w:rsid w:val="00372614"/>
    <w:rsid w:val="003740F2"/>
    <w:rsid w:val="0037502B"/>
    <w:rsid w:val="003768B3"/>
    <w:rsid w:val="0037693E"/>
    <w:rsid w:val="003773AB"/>
    <w:rsid w:val="0037748C"/>
    <w:rsid w:val="00377754"/>
    <w:rsid w:val="00380582"/>
    <w:rsid w:val="00380915"/>
    <w:rsid w:val="00380919"/>
    <w:rsid w:val="00381390"/>
    <w:rsid w:val="00381434"/>
    <w:rsid w:val="0038207E"/>
    <w:rsid w:val="00382092"/>
    <w:rsid w:val="00382C75"/>
    <w:rsid w:val="00383A7A"/>
    <w:rsid w:val="00383ED6"/>
    <w:rsid w:val="003849EB"/>
    <w:rsid w:val="00384A27"/>
    <w:rsid w:val="003858B8"/>
    <w:rsid w:val="00386CDD"/>
    <w:rsid w:val="00386FCC"/>
    <w:rsid w:val="00387081"/>
    <w:rsid w:val="0038787B"/>
    <w:rsid w:val="003903D3"/>
    <w:rsid w:val="00390954"/>
    <w:rsid w:val="00391196"/>
    <w:rsid w:val="003918F9"/>
    <w:rsid w:val="00392708"/>
    <w:rsid w:val="003929CD"/>
    <w:rsid w:val="00393126"/>
    <w:rsid w:val="003946A5"/>
    <w:rsid w:val="00394C7B"/>
    <w:rsid w:val="003957AB"/>
    <w:rsid w:val="00396BEE"/>
    <w:rsid w:val="00397B6C"/>
    <w:rsid w:val="003A05D6"/>
    <w:rsid w:val="003A05F4"/>
    <w:rsid w:val="003A15D2"/>
    <w:rsid w:val="003A1CC2"/>
    <w:rsid w:val="003A2561"/>
    <w:rsid w:val="003A25A5"/>
    <w:rsid w:val="003A2771"/>
    <w:rsid w:val="003A28F9"/>
    <w:rsid w:val="003A2B9E"/>
    <w:rsid w:val="003A3240"/>
    <w:rsid w:val="003A36A7"/>
    <w:rsid w:val="003A3929"/>
    <w:rsid w:val="003A4888"/>
    <w:rsid w:val="003A49D9"/>
    <w:rsid w:val="003A4D38"/>
    <w:rsid w:val="003A58CC"/>
    <w:rsid w:val="003A5C8F"/>
    <w:rsid w:val="003A6537"/>
    <w:rsid w:val="003A65A7"/>
    <w:rsid w:val="003A6985"/>
    <w:rsid w:val="003A6BCC"/>
    <w:rsid w:val="003A740C"/>
    <w:rsid w:val="003A7B79"/>
    <w:rsid w:val="003A7D98"/>
    <w:rsid w:val="003B1AC2"/>
    <w:rsid w:val="003B1CC4"/>
    <w:rsid w:val="003B21F6"/>
    <w:rsid w:val="003B2B8F"/>
    <w:rsid w:val="003B2BD5"/>
    <w:rsid w:val="003B3B34"/>
    <w:rsid w:val="003B3C29"/>
    <w:rsid w:val="003B4DED"/>
    <w:rsid w:val="003B50A1"/>
    <w:rsid w:val="003B5C7B"/>
    <w:rsid w:val="003B6749"/>
    <w:rsid w:val="003B69C5"/>
    <w:rsid w:val="003B79B2"/>
    <w:rsid w:val="003C0246"/>
    <w:rsid w:val="003C0C1A"/>
    <w:rsid w:val="003C2065"/>
    <w:rsid w:val="003C29EB"/>
    <w:rsid w:val="003C2C7E"/>
    <w:rsid w:val="003C3079"/>
    <w:rsid w:val="003C3973"/>
    <w:rsid w:val="003C3F1A"/>
    <w:rsid w:val="003C445A"/>
    <w:rsid w:val="003C486D"/>
    <w:rsid w:val="003C49FA"/>
    <w:rsid w:val="003C512F"/>
    <w:rsid w:val="003C63C3"/>
    <w:rsid w:val="003C6CD1"/>
    <w:rsid w:val="003C7082"/>
    <w:rsid w:val="003C7D76"/>
    <w:rsid w:val="003D15C2"/>
    <w:rsid w:val="003D19C0"/>
    <w:rsid w:val="003D1E91"/>
    <w:rsid w:val="003D43DC"/>
    <w:rsid w:val="003D461B"/>
    <w:rsid w:val="003D46E5"/>
    <w:rsid w:val="003D4974"/>
    <w:rsid w:val="003D5B53"/>
    <w:rsid w:val="003D5F54"/>
    <w:rsid w:val="003D65B1"/>
    <w:rsid w:val="003D6AE9"/>
    <w:rsid w:val="003D6BDE"/>
    <w:rsid w:val="003D6C40"/>
    <w:rsid w:val="003E0BA8"/>
    <w:rsid w:val="003E1598"/>
    <w:rsid w:val="003E1BCA"/>
    <w:rsid w:val="003E1C57"/>
    <w:rsid w:val="003E1D43"/>
    <w:rsid w:val="003E2D21"/>
    <w:rsid w:val="003E3019"/>
    <w:rsid w:val="003E3033"/>
    <w:rsid w:val="003E46B3"/>
    <w:rsid w:val="003E58CF"/>
    <w:rsid w:val="003E7AE7"/>
    <w:rsid w:val="003F215A"/>
    <w:rsid w:val="003F2914"/>
    <w:rsid w:val="003F345F"/>
    <w:rsid w:val="003F358E"/>
    <w:rsid w:val="003F368A"/>
    <w:rsid w:val="003F3831"/>
    <w:rsid w:val="003F4AA0"/>
    <w:rsid w:val="003F4F9C"/>
    <w:rsid w:val="003F5951"/>
    <w:rsid w:val="003F5966"/>
    <w:rsid w:val="003F6234"/>
    <w:rsid w:val="003F6AF7"/>
    <w:rsid w:val="003F6DB7"/>
    <w:rsid w:val="00400409"/>
    <w:rsid w:val="00400AD8"/>
    <w:rsid w:val="00400C0F"/>
    <w:rsid w:val="0040200E"/>
    <w:rsid w:val="00402215"/>
    <w:rsid w:val="00402616"/>
    <w:rsid w:val="00403316"/>
    <w:rsid w:val="00403382"/>
    <w:rsid w:val="00403387"/>
    <w:rsid w:val="0040339C"/>
    <w:rsid w:val="00403580"/>
    <w:rsid w:val="00403FF7"/>
    <w:rsid w:val="0040438D"/>
    <w:rsid w:val="0040736D"/>
    <w:rsid w:val="0040737F"/>
    <w:rsid w:val="00407E9A"/>
    <w:rsid w:val="00410251"/>
    <w:rsid w:val="00410A53"/>
    <w:rsid w:val="00410C8B"/>
    <w:rsid w:val="00410E26"/>
    <w:rsid w:val="00410F7E"/>
    <w:rsid w:val="00411532"/>
    <w:rsid w:val="00411A7E"/>
    <w:rsid w:val="00411DA4"/>
    <w:rsid w:val="00412200"/>
    <w:rsid w:val="004122C3"/>
    <w:rsid w:val="0041267B"/>
    <w:rsid w:val="00412955"/>
    <w:rsid w:val="00412C4A"/>
    <w:rsid w:val="00412D51"/>
    <w:rsid w:val="00414672"/>
    <w:rsid w:val="00414A5A"/>
    <w:rsid w:val="00414D30"/>
    <w:rsid w:val="004168FC"/>
    <w:rsid w:val="004173B9"/>
    <w:rsid w:val="00417574"/>
    <w:rsid w:val="00420448"/>
    <w:rsid w:val="00420F0A"/>
    <w:rsid w:val="00421396"/>
    <w:rsid w:val="00421A0E"/>
    <w:rsid w:val="00421A14"/>
    <w:rsid w:val="00422027"/>
    <w:rsid w:val="00423760"/>
    <w:rsid w:val="00423928"/>
    <w:rsid w:val="00425131"/>
    <w:rsid w:val="0042778D"/>
    <w:rsid w:val="0043042E"/>
    <w:rsid w:val="00430B71"/>
    <w:rsid w:val="0043176D"/>
    <w:rsid w:val="00431D8F"/>
    <w:rsid w:val="00431DA3"/>
    <w:rsid w:val="004320AB"/>
    <w:rsid w:val="004321BA"/>
    <w:rsid w:val="004322EA"/>
    <w:rsid w:val="004328DA"/>
    <w:rsid w:val="00433749"/>
    <w:rsid w:val="004344DA"/>
    <w:rsid w:val="00435783"/>
    <w:rsid w:val="00435D20"/>
    <w:rsid w:val="00435D4B"/>
    <w:rsid w:val="00437155"/>
    <w:rsid w:val="004374A6"/>
    <w:rsid w:val="0044079B"/>
    <w:rsid w:val="00440839"/>
    <w:rsid w:val="00440A84"/>
    <w:rsid w:val="00441C99"/>
    <w:rsid w:val="00442A81"/>
    <w:rsid w:val="00442C2E"/>
    <w:rsid w:val="00443394"/>
    <w:rsid w:val="004436BE"/>
    <w:rsid w:val="00443954"/>
    <w:rsid w:val="00444970"/>
    <w:rsid w:val="00445059"/>
    <w:rsid w:val="004457D2"/>
    <w:rsid w:val="00446C7B"/>
    <w:rsid w:val="00447203"/>
    <w:rsid w:val="004473B4"/>
    <w:rsid w:val="00450525"/>
    <w:rsid w:val="00450A4B"/>
    <w:rsid w:val="00452EB5"/>
    <w:rsid w:val="00454CE2"/>
    <w:rsid w:val="004550AC"/>
    <w:rsid w:val="004552A4"/>
    <w:rsid w:val="0045664D"/>
    <w:rsid w:val="0045709B"/>
    <w:rsid w:val="00457EDE"/>
    <w:rsid w:val="00460243"/>
    <w:rsid w:val="0046119E"/>
    <w:rsid w:val="004611A2"/>
    <w:rsid w:val="00462716"/>
    <w:rsid w:val="0046393B"/>
    <w:rsid w:val="00463CBC"/>
    <w:rsid w:val="004646FC"/>
    <w:rsid w:val="00464FAB"/>
    <w:rsid w:val="00464FFF"/>
    <w:rsid w:val="0046655D"/>
    <w:rsid w:val="0046712F"/>
    <w:rsid w:val="00471647"/>
    <w:rsid w:val="00473EAD"/>
    <w:rsid w:val="00473F93"/>
    <w:rsid w:val="00474C88"/>
    <w:rsid w:val="00474E95"/>
    <w:rsid w:val="00475EE6"/>
    <w:rsid w:val="0047703C"/>
    <w:rsid w:val="00477AD1"/>
    <w:rsid w:val="00477EA3"/>
    <w:rsid w:val="00477F5C"/>
    <w:rsid w:val="004807ED"/>
    <w:rsid w:val="0048149B"/>
    <w:rsid w:val="00481C0C"/>
    <w:rsid w:val="00481EDF"/>
    <w:rsid w:val="00482D46"/>
    <w:rsid w:val="00482E13"/>
    <w:rsid w:val="0048516D"/>
    <w:rsid w:val="0048519A"/>
    <w:rsid w:val="00485E65"/>
    <w:rsid w:val="0049038F"/>
    <w:rsid w:val="0049054C"/>
    <w:rsid w:val="00490BDC"/>
    <w:rsid w:val="00491395"/>
    <w:rsid w:val="00491EB6"/>
    <w:rsid w:val="004922DA"/>
    <w:rsid w:val="004925EF"/>
    <w:rsid w:val="004928B4"/>
    <w:rsid w:val="004937F1"/>
    <w:rsid w:val="00493885"/>
    <w:rsid w:val="00493BED"/>
    <w:rsid w:val="00493E43"/>
    <w:rsid w:val="00493E7D"/>
    <w:rsid w:val="0049409D"/>
    <w:rsid w:val="004940BE"/>
    <w:rsid w:val="0049441F"/>
    <w:rsid w:val="0049476C"/>
    <w:rsid w:val="00495114"/>
    <w:rsid w:val="00495AF2"/>
    <w:rsid w:val="0049751A"/>
    <w:rsid w:val="004979C0"/>
    <w:rsid w:val="00497ABB"/>
    <w:rsid w:val="00497DB3"/>
    <w:rsid w:val="004A02DD"/>
    <w:rsid w:val="004A172B"/>
    <w:rsid w:val="004A213A"/>
    <w:rsid w:val="004A4836"/>
    <w:rsid w:val="004A7431"/>
    <w:rsid w:val="004A7683"/>
    <w:rsid w:val="004B0F3A"/>
    <w:rsid w:val="004B10F2"/>
    <w:rsid w:val="004B171D"/>
    <w:rsid w:val="004B18A9"/>
    <w:rsid w:val="004B2362"/>
    <w:rsid w:val="004B3989"/>
    <w:rsid w:val="004B3F10"/>
    <w:rsid w:val="004B4436"/>
    <w:rsid w:val="004B4940"/>
    <w:rsid w:val="004B4D96"/>
    <w:rsid w:val="004B68D4"/>
    <w:rsid w:val="004B6A4D"/>
    <w:rsid w:val="004B786A"/>
    <w:rsid w:val="004C0241"/>
    <w:rsid w:val="004C0D07"/>
    <w:rsid w:val="004C1112"/>
    <w:rsid w:val="004C11B4"/>
    <w:rsid w:val="004C2305"/>
    <w:rsid w:val="004C2353"/>
    <w:rsid w:val="004C3C2C"/>
    <w:rsid w:val="004C408F"/>
    <w:rsid w:val="004C4277"/>
    <w:rsid w:val="004C42D3"/>
    <w:rsid w:val="004C4900"/>
    <w:rsid w:val="004C5274"/>
    <w:rsid w:val="004C53BA"/>
    <w:rsid w:val="004C53FF"/>
    <w:rsid w:val="004C5DE4"/>
    <w:rsid w:val="004C76D7"/>
    <w:rsid w:val="004D17D3"/>
    <w:rsid w:val="004D18D7"/>
    <w:rsid w:val="004D1AF8"/>
    <w:rsid w:val="004D2192"/>
    <w:rsid w:val="004D2FF5"/>
    <w:rsid w:val="004D34BD"/>
    <w:rsid w:val="004D354C"/>
    <w:rsid w:val="004D5F53"/>
    <w:rsid w:val="004D625B"/>
    <w:rsid w:val="004D71E9"/>
    <w:rsid w:val="004D7667"/>
    <w:rsid w:val="004E2AC5"/>
    <w:rsid w:val="004E31BC"/>
    <w:rsid w:val="004E31E3"/>
    <w:rsid w:val="004E3B21"/>
    <w:rsid w:val="004E624E"/>
    <w:rsid w:val="004E6632"/>
    <w:rsid w:val="004F01C5"/>
    <w:rsid w:val="004F0FD9"/>
    <w:rsid w:val="004F16A8"/>
    <w:rsid w:val="004F3387"/>
    <w:rsid w:val="004F34B9"/>
    <w:rsid w:val="004F3B3A"/>
    <w:rsid w:val="004F3DE7"/>
    <w:rsid w:val="004F4524"/>
    <w:rsid w:val="004F4F75"/>
    <w:rsid w:val="004F52B4"/>
    <w:rsid w:val="004F618D"/>
    <w:rsid w:val="004F618F"/>
    <w:rsid w:val="004F61C3"/>
    <w:rsid w:val="004F62F0"/>
    <w:rsid w:val="004F683C"/>
    <w:rsid w:val="004F68FC"/>
    <w:rsid w:val="004F6E62"/>
    <w:rsid w:val="004F7341"/>
    <w:rsid w:val="004F7940"/>
    <w:rsid w:val="004F79F1"/>
    <w:rsid w:val="004F7E5B"/>
    <w:rsid w:val="00500DA5"/>
    <w:rsid w:val="005013FC"/>
    <w:rsid w:val="00501707"/>
    <w:rsid w:val="0050261B"/>
    <w:rsid w:val="0050324E"/>
    <w:rsid w:val="00504125"/>
    <w:rsid w:val="00504747"/>
    <w:rsid w:val="0050603D"/>
    <w:rsid w:val="005074B1"/>
    <w:rsid w:val="0051023B"/>
    <w:rsid w:val="00510410"/>
    <w:rsid w:val="00510706"/>
    <w:rsid w:val="005114B5"/>
    <w:rsid w:val="00511BED"/>
    <w:rsid w:val="0051339B"/>
    <w:rsid w:val="0051353A"/>
    <w:rsid w:val="00513650"/>
    <w:rsid w:val="00513C7F"/>
    <w:rsid w:val="0051445F"/>
    <w:rsid w:val="005148A3"/>
    <w:rsid w:val="00515A60"/>
    <w:rsid w:val="00516310"/>
    <w:rsid w:val="00516B46"/>
    <w:rsid w:val="00516CD8"/>
    <w:rsid w:val="00516E9B"/>
    <w:rsid w:val="00517A12"/>
    <w:rsid w:val="00517B39"/>
    <w:rsid w:val="00520080"/>
    <w:rsid w:val="00520205"/>
    <w:rsid w:val="005204F7"/>
    <w:rsid w:val="0052061C"/>
    <w:rsid w:val="00520E36"/>
    <w:rsid w:val="00521338"/>
    <w:rsid w:val="005217AF"/>
    <w:rsid w:val="00521E31"/>
    <w:rsid w:val="00521FC7"/>
    <w:rsid w:val="0052263D"/>
    <w:rsid w:val="00522A40"/>
    <w:rsid w:val="00522E0E"/>
    <w:rsid w:val="00523BB4"/>
    <w:rsid w:val="00523CB6"/>
    <w:rsid w:val="0052400A"/>
    <w:rsid w:val="00524DA6"/>
    <w:rsid w:val="00526104"/>
    <w:rsid w:val="0052625B"/>
    <w:rsid w:val="00530F3A"/>
    <w:rsid w:val="00531238"/>
    <w:rsid w:val="0053174E"/>
    <w:rsid w:val="0053189C"/>
    <w:rsid w:val="0053199F"/>
    <w:rsid w:val="00531B5C"/>
    <w:rsid w:val="00532D42"/>
    <w:rsid w:val="00532FF2"/>
    <w:rsid w:val="00533163"/>
    <w:rsid w:val="00533A9F"/>
    <w:rsid w:val="00534411"/>
    <w:rsid w:val="0053673A"/>
    <w:rsid w:val="005401CC"/>
    <w:rsid w:val="00540D81"/>
    <w:rsid w:val="005411C5"/>
    <w:rsid w:val="00541D96"/>
    <w:rsid w:val="0054200C"/>
    <w:rsid w:val="005421FA"/>
    <w:rsid w:val="005424A8"/>
    <w:rsid w:val="00543677"/>
    <w:rsid w:val="005437CC"/>
    <w:rsid w:val="00543C11"/>
    <w:rsid w:val="00543CCF"/>
    <w:rsid w:val="00544258"/>
    <w:rsid w:val="00544311"/>
    <w:rsid w:val="0054434A"/>
    <w:rsid w:val="00544A44"/>
    <w:rsid w:val="00544F06"/>
    <w:rsid w:val="0054508D"/>
    <w:rsid w:val="00545364"/>
    <w:rsid w:val="00545BB8"/>
    <w:rsid w:val="0054680D"/>
    <w:rsid w:val="00546DC2"/>
    <w:rsid w:val="00547557"/>
    <w:rsid w:val="0054758E"/>
    <w:rsid w:val="005518EA"/>
    <w:rsid w:val="00551C36"/>
    <w:rsid w:val="00551CBA"/>
    <w:rsid w:val="00552C8A"/>
    <w:rsid w:val="00552EC1"/>
    <w:rsid w:val="00553108"/>
    <w:rsid w:val="005539BB"/>
    <w:rsid w:val="00554201"/>
    <w:rsid w:val="00554568"/>
    <w:rsid w:val="005545CF"/>
    <w:rsid w:val="00554F53"/>
    <w:rsid w:val="00555CE3"/>
    <w:rsid w:val="00556DFA"/>
    <w:rsid w:val="00557896"/>
    <w:rsid w:val="00557D16"/>
    <w:rsid w:val="00560C00"/>
    <w:rsid w:val="00561127"/>
    <w:rsid w:val="0056128A"/>
    <w:rsid w:val="0056195C"/>
    <w:rsid w:val="00561BB7"/>
    <w:rsid w:val="00564263"/>
    <w:rsid w:val="0056487A"/>
    <w:rsid w:val="00564D1D"/>
    <w:rsid w:val="00565370"/>
    <w:rsid w:val="0056643A"/>
    <w:rsid w:val="00567A7D"/>
    <w:rsid w:val="00567B74"/>
    <w:rsid w:val="005700BA"/>
    <w:rsid w:val="005719D6"/>
    <w:rsid w:val="00571E3D"/>
    <w:rsid w:val="005722FA"/>
    <w:rsid w:val="00573399"/>
    <w:rsid w:val="00573EBD"/>
    <w:rsid w:val="00574992"/>
    <w:rsid w:val="00575FD1"/>
    <w:rsid w:val="0057697C"/>
    <w:rsid w:val="00576B28"/>
    <w:rsid w:val="00576CCE"/>
    <w:rsid w:val="00577714"/>
    <w:rsid w:val="00577831"/>
    <w:rsid w:val="00577A21"/>
    <w:rsid w:val="00577F12"/>
    <w:rsid w:val="00580777"/>
    <w:rsid w:val="00581400"/>
    <w:rsid w:val="0058159D"/>
    <w:rsid w:val="005831E0"/>
    <w:rsid w:val="00583AC7"/>
    <w:rsid w:val="00584DB6"/>
    <w:rsid w:val="0058569A"/>
    <w:rsid w:val="005862E4"/>
    <w:rsid w:val="00586FA4"/>
    <w:rsid w:val="005872E1"/>
    <w:rsid w:val="00587490"/>
    <w:rsid w:val="00587A7C"/>
    <w:rsid w:val="005900A5"/>
    <w:rsid w:val="00590223"/>
    <w:rsid w:val="005907D8"/>
    <w:rsid w:val="00590B77"/>
    <w:rsid w:val="00590E70"/>
    <w:rsid w:val="005915A9"/>
    <w:rsid w:val="00591F9E"/>
    <w:rsid w:val="005921CE"/>
    <w:rsid w:val="0059239A"/>
    <w:rsid w:val="005924E7"/>
    <w:rsid w:val="00592A26"/>
    <w:rsid w:val="00592A2C"/>
    <w:rsid w:val="005934A6"/>
    <w:rsid w:val="005938C6"/>
    <w:rsid w:val="00593A91"/>
    <w:rsid w:val="00593B34"/>
    <w:rsid w:val="00593E64"/>
    <w:rsid w:val="00595050"/>
    <w:rsid w:val="00597B40"/>
    <w:rsid w:val="005A0119"/>
    <w:rsid w:val="005A0760"/>
    <w:rsid w:val="005A16E1"/>
    <w:rsid w:val="005A1C4D"/>
    <w:rsid w:val="005A4128"/>
    <w:rsid w:val="005A4EB5"/>
    <w:rsid w:val="005A6013"/>
    <w:rsid w:val="005A6087"/>
    <w:rsid w:val="005A71E9"/>
    <w:rsid w:val="005A735A"/>
    <w:rsid w:val="005A7962"/>
    <w:rsid w:val="005B02FA"/>
    <w:rsid w:val="005B0EAB"/>
    <w:rsid w:val="005B1257"/>
    <w:rsid w:val="005B16BF"/>
    <w:rsid w:val="005B1951"/>
    <w:rsid w:val="005B264B"/>
    <w:rsid w:val="005B2FA1"/>
    <w:rsid w:val="005B5312"/>
    <w:rsid w:val="005B6206"/>
    <w:rsid w:val="005B6450"/>
    <w:rsid w:val="005B65AB"/>
    <w:rsid w:val="005B7F91"/>
    <w:rsid w:val="005C07C4"/>
    <w:rsid w:val="005C103F"/>
    <w:rsid w:val="005C12B0"/>
    <w:rsid w:val="005C346E"/>
    <w:rsid w:val="005C354F"/>
    <w:rsid w:val="005C4DB2"/>
    <w:rsid w:val="005C4DC1"/>
    <w:rsid w:val="005C4FC2"/>
    <w:rsid w:val="005C619C"/>
    <w:rsid w:val="005C76D3"/>
    <w:rsid w:val="005D00A3"/>
    <w:rsid w:val="005D04CA"/>
    <w:rsid w:val="005D1A77"/>
    <w:rsid w:val="005D3590"/>
    <w:rsid w:val="005D439E"/>
    <w:rsid w:val="005D4770"/>
    <w:rsid w:val="005D4EEB"/>
    <w:rsid w:val="005D52B8"/>
    <w:rsid w:val="005D5AA8"/>
    <w:rsid w:val="005D697F"/>
    <w:rsid w:val="005D6A6B"/>
    <w:rsid w:val="005D78BF"/>
    <w:rsid w:val="005E038A"/>
    <w:rsid w:val="005E18A9"/>
    <w:rsid w:val="005E1D11"/>
    <w:rsid w:val="005E2DB5"/>
    <w:rsid w:val="005E2E8E"/>
    <w:rsid w:val="005E4DC5"/>
    <w:rsid w:val="005E4DCA"/>
    <w:rsid w:val="005E4F05"/>
    <w:rsid w:val="005E4F8C"/>
    <w:rsid w:val="005E57BD"/>
    <w:rsid w:val="005E5B60"/>
    <w:rsid w:val="005E696F"/>
    <w:rsid w:val="005E7845"/>
    <w:rsid w:val="005E78C6"/>
    <w:rsid w:val="005E7A42"/>
    <w:rsid w:val="005E7AD8"/>
    <w:rsid w:val="005F1252"/>
    <w:rsid w:val="005F369D"/>
    <w:rsid w:val="005F3E75"/>
    <w:rsid w:val="005F5796"/>
    <w:rsid w:val="005F631A"/>
    <w:rsid w:val="005F6C20"/>
    <w:rsid w:val="005F71E6"/>
    <w:rsid w:val="0060013E"/>
    <w:rsid w:val="006002F4"/>
    <w:rsid w:val="00601600"/>
    <w:rsid w:val="00601629"/>
    <w:rsid w:val="006024CA"/>
    <w:rsid w:val="00602D0F"/>
    <w:rsid w:val="006037CD"/>
    <w:rsid w:val="00603B5F"/>
    <w:rsid w:val="00603FF6"/>
    <w:rsid w:val="006040D1"/>
    <w:rsid w:val="006048A1"/>
    <w:rsid w:val="00604D0E"/>
    <w:rsid w:val="006059A6"/>
    <w:rsid w:val="00605BD3"/>
    <w:rsid w:val="00606BF9"/>
    <w:rsid w:val="00607737"/>
    <w:rsid w:val="00610142"/>
    <w:rsid w:val="0061078B"/>
    <w:rsid w:val="00610EAB"/>
    <w:rsid w:val="006117B7"/>
    <w:rsid w:val="006121B3"/>
    <w:rsid w:val="0061424E"/>
    <w:rsid w:val="00614477"/>
    <w:rsid w:val="006144F0"/>
    <w:rsid w:val="00614C71"/>
    <w:rsid w:val="006155F5"/>
    <w:rsid w:val="00615C8D"/>
    <w:rsid w:val="0061616C"/>
    <w:rsid w:val="00617387"/>
    <w:rsid w:val="0061763D"/>
    <w:rsid w:val="00617C85"/>
    <w:rsid w:val="0062111C"/>
    <w:rsid w:val="00621998"/>
    <w:rsid w:val="00623013"/>
    <w:rsid w:val="00623A01"/>
    <w:rsid w:val="00624811"/>
    <w:rsid w:val="006252B1"/>
    <w:rsid w:val="0062576C"/>
    <w:rsid w:val="006258FF"/>
    <w:rsid w:val="00625B72"/>
    <w:rsid w:val="0062671D"/>
    <w:rsid w:val="00626B21"/>
    <w:rsid w:val="0062751B"/>
    <w:rsid w:val="00627CC2"/>
    <w:rsid w:val="00627EB9"/>
    <w:rsid w:val="00627F1E"/>
    <w:rsid w:val="00630284"/>
    <w:rsid w:val="0063057C"/>
    <w:rsid w:val="006309CE"/>
    <w:rsid w:val="00630E63"/>
    <w:rsid w:val="00630EEE"/>
    <w:rsid w:val="00631EEB"/>
    <w:rsid w:val="006320DD"/>
    <w:rsid w:val="0063285F"/>
    <w:rsid w:val="00632915"/>
    <w:rsid w:val="00633427"/>
    <w:rsid w:val="00634BCF"/>
    <w:rsid w:val="006359A4"/>
    <w:rsid w:val="00636525"/>
    <w:rsid w:val="00636673"/>
    <w:rsid w:val="00637421"/>
    <w:rsid w:val="00641541"/>
    <w:rsid w:val="0064180B"/>
    <w:rsid w:val="00641B88"/>
    <w:rsid w:val="00642A50"/>
    <w:rsid w:val="006446B4"/>
    <w:rsid w:val="00644C72"/>
    <w:rsid w:val="00644CCC"/>
    <w:rsid w:val="00644FD0"/>
    <w:rsid w:val="00645447"/>
    <w:rsid w:val="00645B06"/>
    <w:rsid w:val="00645B54"/>
    <w:rsid w:val="00645FB9"/>
    <w:rsid w:val="00647A7D"/>
    <w:rsid w:val="00647AC4"/>
    <w:rsid w:val="00647EB9"/>
    <w:rsid w:val="00647EE1"/>
    <w:rsid w:val="0065011A"/>
    <w:rsid w:val="00650526"/>
    <w:rsid w:val="0065164B"/>
    <w:rsid w:val="00651D62"/>
    <w:rsid w:val="006520BD"/>
    <w:rsid w:val="00652A35"/>
    <w:rsid w:val="00655B5B"/>
    <w:rsid w:val="00656948"/>
    <w:rsid w:val="0066023F"/>
    <w:rsid w:val="00660BDA"/>
    <w:rsid w:val="0066292F"/>
    <w:rsid w:val="006629B8"/>
    <w:rsid w:val="00662D74"/>
    <w:rsid w:val="00663DA9"/>
    <w:rsid w:val="00664041"/>
    <w:rsid w:val="006647A2"/>
    <w:rsid w:val="0066608A"/>
    <w:rsid w:val="0067081A"/>
    <w:rsid w:val="00672CFD"/>
    <w:rsid w:val="006737F5"/>
    <w:rsid w:val="00673DF0"/>
    <w:rsid w:val="00673E45"/>
    <w:rsid w:val="00673F4E"/>
    <w:rsid w:val="00674DFF"/>
    <w:rsid w:val="00676C9D"/>
    <w:rsid w:val="00677C36"/>
    <w:rsid w:val="00677EA2"/>
    <w:rsid w:val="00680431"/>
    <w:rsid w:val="006807D1"/>
    <w:rsid w:val="00680853"/>
    <w:rsid w:val="00680FF2"/>
    <w:rsid w:val="00682072"/>
    <w:rsid w:val="00682C39"/>
    <w:rsid w:val="00683067"/>
    <w:rsid w:val="00683584"/>
    <w:rsid w:val="00683C18"/>
    <w:rsid w:val="006854D9"/>
    <w:rsid w:val="00685EB7"/>
    <w:rsid w:val="00686381"/>
    <w:rsid w:val="006866D6"/>
    <w:rsid w:val="006866F0"/>
    <w:rsid w:val="00686A0D"/>
    <w:rsid w:val="00686F8D"/>
    <w:rsid w:val="00687F4B"/>
    <w:rsid w:val="00690476"/>
    <w:rsid w:val="006917DB"/>
    <w:rsid w:val="006922EE"/>
    <w:rsid w:val="0069296D"/>
    <w:rsid w:val="00692CD8"/>
    <w:rsid w:val="006950AD"/>
    <w:rsid w:val="00695535"/>
    <w:rsid w:val="006965CD"/>
    <w:rsid w:val="00696DCA"/>
    <w:rsid w:val="0069772A"/>
    <w:rsid w:val="0069797D"/>
    <w:rsid w:val="00697BA5"/>
    <w:rsid w:val="006A0826"/>
    <w:rsid w:val="006A1149"/>
    <w:rsid w:val="006A1279"/>
    <w:rsid w:val="006A144C"/>
    <w:rsid w:val="006A1738"/>
    <w:rsid w:val="006A191D"/>
    <w:rsid w:val="006A1AD5"/>
    <w:rsid w:val="006A22D6"/>
    <w:rsid w:val="006A2ECC"/>
    <w:rsid w:val="006A3B0C"/>
    <w:rsid w:val="006A3B6A"/>
    <w:rsid w:val="006A3C15"/>
    <w:rsid w:val="006A3CF5"/>
    <w:rsid w:val="006A63E1"/>
    <w:rsid w:val="006A6D08"/>
    <w:rsid w:val="006A6F3A"/>
    <w:rsid w:val="006A7AF6"/>
    <w:rsid w:val="006A7B1D"/>
    <w:rsid w:val="006B0814"/>
    <w:rsid w:val="006B092C"/>
    <w:rsid w:val="006B0B1F"/>
    <w:rsid w:val="006B1EE1"/>
    <w:rsid w:val="006B1FD0"/>
    <w:rsid w:val="006B3581"/>
    <w:rsid w:val="006B5AFE"/>
    <w:rsid w:val="006B5D3B"/>
    <w:rsid w:val="006B65E8"/>
    <w:rsid w:val="006B7DA1"/>
    <w:rsid w:val="006C04F0"/>
    <w:rsid w:val="006C13FF"/>
    <w:rsid w:val="006C1486"/>
    <w:rsid w:val="006C2258"/>
    <w:rsid w:val="006C5476"/>
    <w:rsid w:val="006C57CC"/>
    <w:rsid w:val="006C5AE1"/>
    <w:rsid w:val="006C6168"/>
    <w:rsid w:val="006C62BD"/>
    <w:rsid w:val="006C63F9"/>
    <w:rsid w:val="006C6459"/>
    <w:rsid w:val="006C7358"/>
    <w:rsid w:val="006D00A1"/>
    <w:rsid w:val="006D03C9"/>
    <w:rsid w:val="006D0616"/>
    <w:rsid w:val="006D069A"/>
    <w:rsid w:val="006D075E"/>
    <w:rsid w:val="006D15D3"/>
    <w:rsid w:val="006D28D4"/>
    <w:rsid w:val="006D2B4E"/>
    <w:rsid w:val="006D37F0"/>
    <w:rsid w:val="006D3B2E"/>
    <w:rsid w:val="006D3DAC"/>
    <w:rsid w:val="006D4172"/>
    <w:rsid w:val="006D4322"/>
    <w:rsid w:val="006D51F9"/>
    <w:rsid w:val="006D5271"/>
    <w:rsid w:val="006D5562"/>
    <w:rsid w:val="006D5C5C"/>
    <w:rsid w:val="006D65C2"/>
    <w:rsid w:val="006D6787"/>
    <w:rsid w:val="006D6D47"/>
    <w:rsid w:val="006D7999"/>
    <w:rsid w:val="006D7AB5"/>
    <w:rsid w:val="006D7ECA"/>
    <w:rsid w:val="006E026E"/>
    <w:rsid w:val="006E1644"/>
    <w:rsid w:val="006E2979"/>
    <w:rsid w:val="006E2EE9"/>
    <w:rsid w:val="006E2FCC"/>
    <w:rsid w:val="006E31E2"/>
    <w:rsid w:val="006E33FD"/>
    <w:rsid w:val="006E3712"/>
    <w:rsid w:val="006E3F7C"/>
    <w:rsid w:val="006E4658"/>
    <w:rsid w:val="006E4735"/>
    <w:rsid w:val="006E4D32"/>
    <w:rsid w:val="006E680E"/>
    <w:rsid w:val="006E7830"/>
    <w:rsid w:val="006F1B38"/>
    <w:rsid w:val="006F1DE3"/>
    <w:rsid w:val="006F3921"/>
    <w:rsid w:val="006F4282"/>
    <w:rsid w:val="006F4C70"/>
    <w:rsid w:val="006F5BE8"/>
    <w:rsid w:val="006F5BE9"/>
    <w:rsid w:val="006F5E93"/>
    <w:rsid w:val="006F6E9B"/>
    <w:rsid w:val="006F6FEA"/>
    <w:rsid w:val="006F7B9B"/>
    <w:rsid w:val="00700418"/>
    <w:rsid w:val="0070137B"/>
    <w:rsid w:val="007013F4"/>
    <w:rsid w:val="00701FF2"/>
    <w:rsid w:val="0070295F"/>
    <w:rsid w:val="0070320C"/>
    <w:rsid w:val="007033CC"/>
    <w:rsid w:val="00703C1A"/>
    <w:rsid w:val="007048C1"/>
    <w:rsid w:val="00704C54"/>
    <w:rsid w:val="00705744"/>
    <w:rsid w:val="0070692D"/>
    <w:rsid w:val="00706B72"/>
    <w:rsid w:val="007070DC"/>
    <w:rsid w:val="0071056E"/>
    <w:rsid w:val="00710B4E"/>
    <w:rsid w:val="007111BA"/>
    <w:rsid w:val="0071184D"/>
    <w:rsid w:val="00711889"/>
    <w:rsid w:val="00711D5D"/>
    <w:rsid w:val="00712070"/>
    <w:rsid w:val="007125C8"/>
    <w:rsid w:val="00713098"/>
    <w:rsid w:val="00713BB2"/>
    <w:rsid w:val="00713CB8"/>
    <w:rsid w:val="00713DDD"/>
    <w:rsid w:val="00713FB3"/>
    <w:rsid w:val="00714E78"/>
    <w:rsid w:val="00717383"/>
    <w:rsid w:val="0071745D"/>
    <w:rsid w:val="00722701"/>
    <w:rsid w:val="0072281A"/>
    <w:rsid w:val="007239A4"/>
    <w:rsid w:val="007241EB"/>
    <w:rsid w:val="00724A5A"/>
    <w:rsid w:val="00724F3A"/>
    <w:rsid w:val="00725D8F"/>
    <w:rsid w:val="00726142"/>
    <w:rsid w:val="007267B8"/>
    <w:rsid w:val="00727B12"/>
    <w:rsid w:val="007301E0"/>
    <w:rsid w:val="007318AD"/>
    <w:rsid w:val="00731968"/>
    <w:rsid w:val="00731F01"/>
    <w:rsid w:val="007326BB"/>
    <w:rsid w:val="00734412"/>
    <w:rsid w:val="0073487A"/>
    <w:rsid w:val="00734AED"/>
    <w:rsid w:val="00734EE7"/>
    <w:rsid w:val="007356D1"/>
    <w:rsid w:val="007360A2"/>
    <w:rsid w:val="0073626F"/>
    <w:rsid w:val="00736E9A"/>
    <w:rsid w:val="00737608"/>
    <w:rsid w:val="00741E24"/>
    <w:rsid w:val="00742762"/>
    <w:rsid w:val="007432D5"/>
    <w:rsid w:val="0074339A"/>
    <w:rsid w:val="00743927"/>
    <w:rsid w:val="0074394D"/>
    <w:rsid w:val="00743A88"/>
    <w:rsid w:val="00743D39"/>
    <w:rsid w:val="007463B8"/>
    <w:rsid w:val="00746BD5"/>
    <w:rsid w:val="007471F1"/>
    <w:rsid w:val="0074782D"/>
    <w:rsid w:val="00750564"/>
    <w:rsid w:val="0075057A"/>
    <w:rsid w:val="00750868"/>
    <w:rsid w:val="00752917"/>
    <w:rsid w:val="00752C18"/>
    <w:rsid w:val="00752D73"/>
    <w:rsid w:val="00753190"/>
    <w:rsid w:val="007534E0"/>
    <w:rsid w:val="007537F8"/>
    <w:rsid w:val="007543DE"/>
    <w:rsid w:val="007549FE"/>
    <w:rsid w:val="00755661"/>
    <w:rsid w:val="0075569A"/>
    <w:rsid w:val="007558C0"/>
    <w:rsid w:val="00755F56"/>
    <w:rsid w:val="00756349"/>
    <w:rsid w:val="007572DE"/>
    <w:rsid w:val="00757A1D"/>
    <w:rsid w:val="0076014F"/>
    <w:rsid w:val="00760DDE"/>
    <w:rsid w:val="0076244C"/>
    <w:rsid w:val="007624F9"/>
    <w:rsid w:val="00762E54"/>
    <w:rsid w:val="00762F53"/>
    <w:rsid w:val="007643B1"/>
    <w:rsid w:val="007650EC"/>
    <w:rsid w:val="00765184"/>
    <w:rsid w:val="00765276"/>
    <w:rsid w:val="00766D54"/>
    <w:rsid w:val="00771990"/>
    <w:rsid w:val="007722ED"/>
    <w:rsid w:val="00772438"/>
    <w:rsid w:val="0077268D"/>
    <w:rsid w:val="007730D0"/>
    <w:rsid w:val="00773638"/>
    <w:rsid w:val="00773A1B"/>
    <w:rsid w:val="00773B5F"/>
    <w:rsid w:val="0077457A"/>
    <w:rsid w:val="00775DE1"/>
    <w:rsid w:val="0077636D"/>
    <w:rsid w:val="00776876"/>
    <w:rsid w:val="00776D80"/>
    <w:rsid w:val="00777368"/>
    <w:rsid w:val="00777D3D"/>
    <w:rsid w:val="00780706"/>
    <w:rsid w:val="00783435"/>
    <w:rsid w:val="00783EC3"/>
    <w:rsid w:val="0078553F"/>
    <w:rsid w:val="00785DB9"/>
    <w:rsid w:val="00786A85"/>
    <w:rsid w:val="00786EFB"/>
    <w:rsid w:val="00786FB4"/>
    <w:rsid w:val="0078730F"/>
    <w:rsid w:val="007900BB"/>
    <w:rsid w:val="007900FC"/>
    <w:rsid w:val="00791B3F"/>
    <w:rsid w:val="00792373"/>
    <w:rsid w:val="007923B2"/>
    <w:rsid w:val="00792FF6"/>
    <w:rsid w:val="00793383"/>
    <w:rsid w:val="00793E97"/>
    <w:rsid w:val="0079512C"/>
    <w:rsid w:val="007959AA"/>
    <w:rsid w:val="00797502"/>
    <w:rsid w:val="0079774E"/>
    <w:rsid w:val="00797B76"/>
    <w:rsid w:val="00797EAD"/>
    <w:rsid w:val="007A0CB7"/>
    <w:rsid w:val="007A1C85"/>
    <w:rsid w:val="007A1D52"/>
    <w:rsid w:val="007A2513"/>
    <w:rsid w:val="007A29D9"/>
    <w:rsid w:val="007A3298"/>
    <w:rsid w:val="007A3AD0"/>
    <w:rsid w:val="007A3E2E"/>
    <w:rsid w:val="007A4F27"/>
    <w:rsid w:val="007A562E"/>
    <w:rsid w:val="007A6375"/>
    <w:rsid w:val="007A63B6"/>
    <w:rsid w:val="007A64A0"/>
    <w:rsid w:val="007B0B17"/>
    <w:rsid w:val="007B0B68"/>
    <w:rsid w:val="007B1AC0"/>
    <w:rsid w:val="007B1DC4"/>
    <w:rsid w:val="007B26FC"/>
    <w:rsid w:val="007B27AE"/>
    <w:rsid w:val="007B3705"/>
    <w:rsid w:val="007B3A6E"/>
    <w:rsid w:val="007B3B92"/>
    <w:rsid w:val="007B3E9E"/>
    <w:rsid w:val="007B57F4"/>
    <w:rsid w:val="007B5B76"/>
    <w:rsid w:val="007B78F6"/>
    <w:rsid w:val="007C00E5"/>
    <w:rsid w:val="007C0374"/>
    <w:rsid w:val="007C0911"/>
    <w:rsid w:val="007C0DCF"/>
    <w:rsid w:val="007C21B9"/>
    <w:rsid w:val="007C248D"/>
    <w:rsid w:val="007C36C9"/>
    <w:rsid w:val="007C37CA"/>
    <w:rsid w:val="007C45E8"/>
    <w:rsid w:val="007C460B"/>
    <w:rsid w:val="007C48E7"/>
    <w:rsid w:val="007C4BFF"/>
    <w:rsid w:val="007C55A1"/>
    <w:rsid w:val="007C61E7"/>
    <w:rsid w:val="007C654E"/>
    <w:rsid w:val="007C76BD"/>
    <w:rsid w:val="007C77CD"/>
    <w:rsid w:val="007C7931"/>
    <w:rsid w:val="007D110A"/>
    <w:rsid w:val="007D181B"/>
    <w:rsid w:val="007D18AA"/>
    <w:rsid w:val="007D1B5F"/>
    <w:rsid w:val="007D1FEE"/>
    <w:rsid w:val="007D28D4"/>
    <w:rsid w:val="007D4293"/>
    <w:rsid w:val="007D4484"/>
    <w:rsid w:val="007D4779"/>
    <w:rsid w:val="007D4D62"/>
    <w:rsid w:val="007D5D90"/>
    <w:rsid w:val="007D5DCD"/>
    <w:rsid w:val="007D658B"/>
    <w:rsid w:val="007D68C2"/>
    <w:rsid w:val="007D6A8B"/>
    <w:rsid w:val="007D6B42"/>
    <w:rsid w:val="007D71E5"/>
    <w:rsid w:val="007D7826"/>
    <w:rsid w:val="007E11C8"/>
    <w:rsid w:val="007E1271"/>
    <w:rsid w:val="007E1A5A"/>
    <w:rsid w:val="007E1F4F"/>
    <w:rsid w:val="007E2019"/>
    <w:rsid w:val="007E2116"/>
    <w:rsid w:val="007E2177"/>
    <w:rsid w:val="007E2398"/>
    <w:rsid w:val="007E2DE0"/>
    <w:rsid w:val="007E3676"/>
    <w:rsid w:val="007E43D4"/>
    <w:rsid w:val="007E79F2"/>
    <w:rsid w:val="007F000D"/>
    <w:rsid w:val="007F0326"/>
    <w:rsid w:val="007F0372"/>
    <w:rsid w:val="007F19B2"/>
    <w:rsid w:val="007F284C"/>
    <w:rsid w:val="007F3431"/>
    <w:rsid w:val="007F41C5"/>
    <w:rsid w:val="007F439A"/>
    <w:rsid w:val="007F45B7"/>
    <w:rsid w:val="007F4702"/>
    <w:rsid w:val="007F4F61"/>
    <w:rsid w:val="007F58CA"/>
    <w:rsid w:val="007F6869"/>
    <w:rsid w:val="007F7C75"/>
    <w:rsid w:val="008001F6"/>
    <w:rsid w:val="00801BF5"/>
    <w:rsid w:val="00803067"/>
    <w:rsid w:val="0080323A"/>
    <w:rsid w:val="00803311"/>
    <w:rsid w:val="008036A4"/>
    <w:rsid w:val="00803EA2"/>
    <w:rsid w:val="008040C3"/>
    <w:rsid w:val="008041A2"/>
    <w:rsid w:val="00806692"/>
    <w:rsid w:val="00807D50"/>
    <w:rsid w:val="00807D72"/>
    <w:rsid w:val="0081003D"/>
    <w:rsid w:val="00810EB0"/>
    <w:rsid w:val="0081264B"/>
    <w:rsid w:val="00812933"/>
    <w:rsid w:val="0081368F"/>
    <w:rsid w:val="00813D01"/>
    <w:rsid w:val="008144AD"/>
    <w:rsid w:val="00814A69"/>
    <w:rsid w:val="00814C33"/>
    <w:rsid w:val="008151EE"/>
    <w:rsid w:val="00815636"/>
    <w:rsid w:val="00815E05"/>
    <w:rsid w:val="00815FB4"/>
    <w:rsid w:val="00820230"/>
    <w:rsid w:val="00821C26"/>
    <w:rsid w:val="00821FDE"/>
    <w:rsid w:val="00823E24"/>
    <w:rsid w:val="00824743"/>
    <w:rsid w:val="00824876"/>
    <w:rsid w:val="00824A29"/>
    <w:rsid w:val="00824A99"/>
    <w:rsid w:val="00826452"/>
    <w:rsid w:val="008266C6"/>
    <w:rsid w:val="00826B0C"/>
    <w:rsid w:val="00827618"/>
    <w:rsid w:val="00827CBD"/>
    <w:rsid w:val="008303CF"/>
    <w:rsid w:val="00830ED8"/>
    <w:rsid w:val="008310AC"/>
    <w:rsid w:val="00831590"/>
    <w:rsid w:val="00831B8D"/>
    <w:rsid w:val="00831D55"/>
    <w:rsid w:val="0083215B"/>
    <w:rsid w:val="00832389"/>
    <w:rsid w:val="00833686"/>
    <w:rsid w:val="00834162"/>
    <w:rsid w:val="0083425E"/>
    <w:rsid w:val="00834369"/>
    <w:rsid w:val="0083521A"/>
    <w:rsid w:val="0083559D"/>
    <w:rsid w:val="00835638"/>
    <w:rsid w:val="00836424"/>
    <w:rsid w:val="008366AE"/>
    <w:rsid w:val="00836F72"/>
    <w:rsid w:val="008405D6"/>
    <w:rsid w:val="0084109A"/>
    <w:rsid w:val="008432A4"/>
    <w:rsid w:val="00843D8F"/>
    <w:rsid w:val="00845575"/>
    <w:rsid w:val="0084676C"/>
    <w:rsid w:val="00847DE0"/>
    <w:rsid w:val="0085033F"/>
    <w:rsid w:val="00853F3D"/>
    <w:rsid w:val="008544D2"/>
    <w:rsid w:val="0085494D"/>
    <w:rsid w:val="00854B35"/>
    <w:rsid w:val="00855035"/>
    <w:rsid w:val="00855756"/>
    <w:rsid w:val="00855FA1"/>
    <w:rsid w:val="00856027"/>
    <w:rsid w:val="00856A9D"/>
    <w:rsid w:val="0085725C"/>
    <w:rsid w:val="008574D3"/>
    <w:rsid w:val="00857B0C"/>
    <w:rsid w:val="00857C61"/>
    <w:rsid w:val="00860185"/>
    <w:rsid w:val="008605CE"/>
    <w:rsid w:val="008609D1"/>
    <w:rsid w:val="00860F1F"/>
    <w:rsid w:val="00861096"/>
    <w:rsid w:val="00861750"/>
    <w:rsid w:val="00861EBE"/>
    <w:rsid w:val="00863C9B"/>
    <w:rsid w:val="00863D5B"/>
    <w:rsid w:val="00863DAE"/>
    <w:rsid w:val="008652F5"/>
    <w:rsid w:val="008655BC"/>
    <w:rsid w:val="008659A8"/>
    <w:rsid w:val="00867BE8"/>
    <w:rsid w:val="00870110"/>
    <w:rsid w:val="0087016C"/>
    <w:rsid w:val="00871FFF"/>
    <w:rsid w:val="00873097"/>
    <w:rsid w:val="00873343"/>
    <w:rsid w:val="00873357"/>
    <w:rsid w:val="00873927"/>
    <w:rsid w:val="008748EB"/>
    <w:rsid w:val="00874BEE"/>
    <w:rsid w:val="00875E2D"/>
    <w:rsid w:val="00876117"/>
    <w:rsid w:val="00876AFC"/>
    <w:rsid w:val="00876CB0"/>
    <w:rsid w:val="00880719"/>
    <w:rsid w:val="0088141D"/>
    <w:rsid w:val="008815F7"/>
    <w:rsid w:val="00882B57"/>
    <w:rsid w:val="00882D9F"/>
    <w:rsid w:val="00884AA6"/>
    <w:rsid w:val="00885167"/>
    <w:rsid w:val="00885CD2"/>
    <w:rsid w:val="00885F8F"/>
    <w:rsid w:val="0088632D"/>
    <w:rsid w:val="008868BF"/>
    <w:rsid w:val="00887AC4"/>
    <w:rsid w:val="00887D80"/>
    <w:rsid w:val="00887DD3"/>
    <w:rsid w:val="00890674"/>
    <w:rsid w:val="00890B27"/>
    <w:rsid w:val="008910B2"/>
    <w:rsid w:val="0089222C"/>
    <w:rsid w:val="00894CA6"/>
    <w:rsid w:val="00894FA1"/>
    <w:rsid w:val="00896779"/>
    <w:rsid w:val="00896E06"/>
    <w:rsid w:val="008A16D8"/>
    <w:rsid w:val="008A1B0F"/>
    <w:rsid w:val="008A1C61"/>
    <w:rsid w:val="008A1E76"/>
    <w:rsid w:val="008A2D1F"/>
    <w:rsid w:val="008A343D"/>
    <w:rsid w:val="008A3797"/>
    <w:rsid w:val="008A3ED2"/>
    <w:rsid w:val="008A6398"/>
    <w:rsid w:val="008A7FC9"/>
    <w:rsid w:val="008B0FFB"/>
    <w:rsid w:val="008B1080"/>
    <w:rsid w:val="008B14CF"/>
    <w:rsid w:val="008B17B8"/>
    <w:rsid w:val="008B1F95"/>
    <w:rsid w:val="008B2B8F"/>
    <w:rsid w:val="008B3A85"/>
    <w:rsid w:val="008B40AF"/>
    <w:rsid w:val="008B4898"/>
    <w:rsid w:val="008B4D45"/>
    <w:rsid w:val="008B6540"/>
    <w:rsid w:val="008B65AC"/>
    <w:rsid w:val="008B720A"/>
    <w:rsid w:val="008B752D"/>
    <w:rsid w:val="008B7BC6"/>
    <w:rsid w:val="008C004C"/>
    <w:rsid w:val="008C0FEE"/>
    <w:rsid w:val="008C1714"/>
    <w:rsid w:val="008C1E9E"/>
    <w:rsid w:val="008C28F2"/>
    <w:rsid w:val="008C2F56"/>
    <w:rsid w:val="008C65D7"/>
    <w:rsid w:val="008C6D2C"/>
    <w:rsid w:val="008C6FD4"/>
    <w:rsid w:val="008C7F80"/>
    <w:rsid w:val="008C7FDF"/>
    <w:rsid w:val="008D0D37"/>
    <w:rsid w:val="008D13D3"/>
    <w:rsid w:val="008D13EB"/>
    <w:rsid w:val="008D16B5"/>
    <w:rsid w:val="008D1CF2"/>
    <w:rsid w:val="008D36D8"/>
    <w:rsid w:val="008D4AD0"/>
    <w:rsid w:val="008D4FC1"/>
    <w:rsid w:val="008D51BB"/>
    <w:rsid w:val="008D553D"/>
    <w:rsid w:val="008D6CC4"/>
    <w:rsid w:val="008D6F23"/>
    <w:rsid w:val="008D757E"/>
    <w:rsid w:val="008E0833"/>
    <w:rsid w:val="008E1086"/>
    <w:rsid w:val="008E1904"/>
    <w:rsid w:val="008E2821"/>
    <w:rsid w:val="008E2CC8"/>
    <w:rsid w:val="008E3626"/>
    <w:rsid w:val="008E5202"/>
    <w:rsid w:val="008E5A69"/>
    <w:rsid w:val="008E6884"/>
    <w:rsid w:val="008E6C1D"/>
    <w:rsid w:val="008E77AC"/>
    <w:rsid w:val="008F03CC"/>
    <w:rsid w:val="008F05FE"/>
    <w:rsid w:val="008F0998"/>
    <w:rsid w:val="008F0B93"/>
    <w:rsid w:val="008F0FE3"/>
    <w:rsid w:val="008F130F"/>
    <w:rsid w:val="008F27D9"/>
    <w:rsid w:val="008F29C6"/>
    <w:rsid w:val="008F45B2"/>
    <w:rsid w:val="008F5116"/>
    <w:rsid w:val="008F5476"/>
    <w:rsid w:val="008F563A"/>
    <w:rsid w:val="008F69E9"/>
    <w:rsid w:val="008F727A"/>
    <w:rsid w:val="008F754B"/>
    <w:rsid w:val="00900C6B"/>
    <w:rsid w:val="00901A5B"/>
    <w:rsid w:val="00902A1D"/>
    <w:rsid w:val="009044C4"/>
    <w:rsid w:val="00904739"/>
    <w:rsid w:val="0090634D"/>
    <w:rsid w:val="00906501"/>
    <w:rsid w:val="0090671F"/>
    <w:rsid w:val="009067CB"/>
    <w:rsid w:val="00906C42"/>
    <w:rsid w:val="00907046"/>
    <w:rsid w:val="00907DFC"/>
    <w:rsid w:val="00910511"/>
    <w:rsid w:val="0091051A"/>
    <w:rsid w:val="00910628"/>
    <w:rsid w:val="00910758"/>
    <w:rsid w:val="00911D16"/>
    <w:rsid w:val="0091314E"/>
    <w:rsid w:val="0091322B"/>
    <w:rsid w:val="0091323D"/>
    <w:rsid w:val="0091341A"/>
    <w:rsid w:val="00913B99"/>
    <w:rsid w:val="00914058"/>
    <w:rsid w:val="00915399"/>
    <w:rsid w:val="00915C39"/>
    <w:rsid w:val="00916408"/>
    <w:rsid w:val="0091642E"/>
    <w:rsid w:val="00917070"/>
    <w:rsid w:val="009174CF"/>
    <w:rsid w:val="00917B03"/>
    <w:rsid w:val="00917FA5"/>
    <w:rsid w:val="009206B3"/>
    <w:rsid w:val="009213A0"/>
    <w:rsid w:val="00922FD7"/>
    <w:rsid w:val="0092358A"/>
    <w:rsid w:val="00923CB2"/>
    <w:rsid w:val="00924114"/>
    <w:rsid w:val="00924350"/>
    <w:rsid w:val="00924562"/>
    <w:rsid w:val="009251E7"/>
    <w:rsid w:val="009258EE"/>
    <w:rsid w:val="00926036"/>
    <w:rsid w:val="00926C05"/>
    <w:rsid w:val="0092724C"/>
    <w:rsid w:val="00927B64"/>
    <w:rsid w:val="00927C97"/>
    <w:rsid w:val="009304C4"/>
    <w:rsid w:val="00930882"/>
    <w:rsid w:val="00931482"/>
    <w:rsid w:val="00931C79"/>
    <w:rsid w:val="009324A4"/>
    <w:rsid w:val="00932DA0"/>
    <w:rsid w:val="00933FD3"/>
    <w:rsid w:val="009346B6"/>
    <w:rsid w:val="0093508D"/>
    <w:rsid w:val="0093604B"/>
    <w:rsid w:val="00936362"/>
    <w:rsid w:val="00936AB9"/>
    <w:rsid w:val="00936D3B"/>
    <w:rsid w:val="00940CBD"/>
    <w:rsid w:val="00941FC4"/>
    <w:rsid w:val="009421B0"/>
    <w:rsid w:val="00942A8F"/>
    <w:rsid w:val="00942B09"/>
    <w:rsid w:val="00943049"/>
    <w:rsid w:val="0094382E"/>
    <w:rsid w:val="00943B03"/>
    <w:rsid w:val="00944058"/>
    <w:rsid w:val="00944A25"/>
    <w:rsid w:val="00944CFD"/>
    <w:rsid w:val="009456DD"/>
    <w:rsid w:val="0094579A"/>
    <w:rsid w:val="00946525"/>
    <w:rsid w:val="00946E2B"/>
    <w:rsid w:val="00947201"/>
    <w:rsid w:val="009500C4"/>
    <w:rsid w:val="009508B3"/>
    <w:rsid w:val="009519CE"/>
    <w:rsid w:val="0095208D"/>
    <w:rsid w:val="00952574"/>
    <w:rsid w:val="00953CF8"/>
    <w:rsid w:val="00953D8F"/>
    <w:rsid w:val="009543F6"/>
    <w:rsid w:val="009550DC"/>
    <w:rsid w:val="0095515B"/>
    <w:rsid w:val="00955244"/>
    <w:rsid w:val="00955929"/>
    <w:rsid w:val="00955B91"/>
    <w:rsid w:val="00956001"/>
    <w:rsid w:val="00956597"/>
    <w:rsid w:val="009569D3"/>
    <w:rsid w:val="00956BAD"/>
    <w:rsid w:val="00957768"/>
    <w:rsid w:val="00957CA6"/>
    <w:rsid w:val="00960C07"/>
    <w:rsid w:val="00960D5A"/>
    <w:rsid w:val="00961DB1"/>
    <w:rsid w:val="0096391E"/>
    <w:rsid w:val="00964FEF"/>
    <w:rsid w:val="00965582"/>
    <w:rsid w:val="009661C8"/>
    <w:rsid w:val="009667DC"/>
    <w:rsid w:val="00966BC7"/>
    <w:rsid w:val="00967851"/>
    <w:rsid w:val="0096792A"/>
    <w:rsid w:val="00967FD1"/>
    <w:rsid w:val="009707F5"/>
    <w:rsid w:val="00971500"/>
    <w:rsid w:val="00972FE6"/>
    <w:rsid w:val="009731CE"/>
    <w:rsid w:val="00973962"/>
    <w:rsid w:val="0097529A"/>
    <w:rsid w:val="00975861"/>
    <w:rsid w:val="009766EB"/>
    <w:rsid w:val="00976AF6"/>
    <w:rsid w:val="009774DA"/>
    <w:rsid w:val="00977F7E"/>
    <w:rsid w:val="00980833"/>
    <w:rsid w:val="00981511"/>
    <w:rsid w:val="0098168A"/>
    <w:rsid w:val="00981E2B"/>
    <w:rsid w:val="009827E8"/>
    <w:rsid w:val="00982963"/>
    <w:rsid w:val="00982E00"/>
    <w:rsid w:val="0098328E"/>
    <w:rsid w:val="00983A2C"/>
    <w:rsid w:val="00984316"/>
    <w:rsid w:val="00984B17"/>
    <w:rsid w:val="00984E4F"/>
    <w:rsid w:val="00986DAD"/>
    <w:rsid w:val="009879DA"/>
    <w:rsid w:val="00987F71"/>
    <w:rsid w:val="0099029D"/>
    <w:rsid w:val="00991F19"/>
    <w:rsid w:val="009926E5"/>
    <w:rsid w:val="00992CA4"/>
    <w:rsid w:val="00992DC1"/>
    <w:rsid w:val="00993BC2"/>
    <w:rsid w:val="00993CE5"/>
    <w:rsid w:val="009951B6"/>
    <w:rsid w:val="00995C8F"/>
    <w:rsid w:val="009963EB"/>
    <w:rsid w:val="009965C5"/>
    <w:rsid w:val="00996924"/>
    <w:rsid w:val="009A0819"/>
    <w:rsid w:val="009A12DE"/>
    <w:rsid w:val="009A17D5"/>
    <w:rsid w:val="009A190D"/>
    <w:rsid w:val="009A2253"/>
    <w:rsid w:val="009A274A"/>
    <w:rsid w:val="009A2A76"/>
    <w:rsid w:val="009A4D4A"/>
    <w:rsid w:val="009A4F61"/>
    <w:rsid w:val="009A636D"/>
    <w:rsid w:val="009A6495"/>
    <w:rsid w:val="009A6725"/>
    <w:rsid w:val="009A76D5"/>
    <w:rsid w:val="009A790A"/>
    <w:rsid w:val="009A7E71"/>
    <w:rsid w:val="009B0246"/>
    <w:rsid w:val="009B0265"/>
    <w:rsid w:val="009B026F"/>
    <w:rsid w:val="009B119F"/>
    <w:rsid w:val="009B154A"/>
    <w:rsid w:val="009B2C01"/>
    <w:rsid w:val="009B3B22"/>
    <w:rsid w:val="009B4DB5"/>
    <w:rsid w:val="009B5C5B"/>
    <w:rsid w:val="009B613F"/>
    <w:rsid w:val="009B66B1"/>
    <w:rsid w:val="009B746F"/>
    <w:rsid w:val="009B78F5"/>
    <w:rsid w:val="009C05C8"/>
    <w:rsid w:val="009C157D"/>
    <w:rsid w:val="009C1DA9"/>
    <w:rsid w:val="009C1EC0"/>
    <w:rsid w:val="009C4606"/>
    <w:rsid w:val="009C5F98"/>
    <w:rsid w:val="009C7C75"/>
    <w:rsid w:val="009D1B5A"/>
    <w:rsid w:val="009D2534"/>
    <w:rsid w:val="009D2DCB"/>
    <w:rsid w:val="009D43F1"/>
    <w:rsid w:val="009D4615"/>
    <w:rsid w:val="009D5965"/>
    <w:rsid w:val="009D67DB"/>
    <w:rsid w:val="009D6808"/>
    <w:rsid w:val="009D6CC2"/>
    <w:rsid w:val="009D6D06"/>
    <w:rsid w:val="009D7BA5"/>
    <w:rsid w:val="009E00D6"/>
    <w:rsid w:val="009E06C2"/>
    <w:rsid w:val="009E098A"/>
    <w:rsid w:val="009E0B90"/>
    <w:rsid w:val="009E2488"/>
    <w:rsid w:val="009E40F5"/>
    <w:rsid w:val="009E4476"/>
    <w:rsid w:val="009E458A"/>
    <w:rsid w:val="009E45CD"/>
    <w:rsid w:val="009E47D9"/>
    <w:rsid w:val="009E600A"/>
    <w:rsid w:val="009E6384"/>
    <w:rsid w:val="009E648E"/>
    <w:rsid w:val="009E7A8B"/>
    <w:rsid w:val="009E7D8E"/>
    <w:rsid w:val="009F01DC"/>
    <w:rsid w:val="009F1CE9"/>
    <w:rsid w:val="009F1F3F"/>
    <w:rsid w:val="009F2724"/>
    <w:rsid w:val="009F3805"/>
    <w:rsid w:val="009F3A45"/>
    <w:rsid w:val="009F438A"/>
    <w:rsid w:val="009F43E1"/>
    <w:rsid w:val="009F481F"/>
    <w:rsid w:val="009F4937"/>
    <w:rsid w:val="009F5EC1"/>
    <w:rsid w:val="009F6270"/>
    <w:rsid w:val="009F65E6"/>
    <w:rsid w:val="009F683B"/>
    <w:rsid w:val="009F78C3"/>
    <w:rsid w:val="00A0086C"/>
    <w:rsid w:val="00A00A89"/>
    <w:rsid w:val="00A01C8D"/>
    <w:rsid w:val="00A023E9"/>
    <w:rsid w:val="00A02428"/>
    <w:rsid w:val="00A02E41"/>
    <w:rsid w:val="00A03CDA"/>
    <w:rsid w:val="00A0417A"/>
    <w:rsid w:val="00A044E9"/>
    <w:rsid w:val="00A052FD"/>
    <w:rsid w:val="00A0546D"/>
    <w:rsid w:val="00A058D6"/>
    <w:rsid w:val="00A0590B"/>
    <w:rsid w:val="00A063AA"/>
    <w:rsid w:val="00A0685A"/>
    <w:rsid w:val="00A107C4"/>
    <w:rsid w:val="00A108E5"/>
    <w:rsid w:val="00A10ECA"/>
    <w:rsid w:val="00A1195C"/>
    <w:rsid w:val="00A122DF"/>
    <w:rsid w:val="00A1255B"/>
    <w:rsid w:val="00A13E3A"/>
    <w:rsid w:val="00A1496B"/>
    <w:rsid w:val="00A14C06"/>
    <w:rsid w:val="00A15A9B"/>
    <w:rsid w:val="00A15DD4"/>
    <w:rsid w:val="00A166B2"/>
    <w:rsid w:val="00A16D6A"/>
    <w:rsid w:val="00A171E9"/>
    <w:rsid w:val="00A1781F"/>
    <w:rsid w:val="00A20660"/>
    <w:rsid w:val="00A23153"/>
    <w:rsid w:val="00A2447A"/>
    <w:rsid w:val="00A248ED"/>
    <w:rsid w:val="00A253B9"/>
    <w:rsid w:val="00A255BA"/>
    <w:rsid w:val="00A25FA1"/>
    <w:rsid w:val="00A2675C"/>
    <w:rsid w:val="00A27C6F"/>
    <w:rsid w:val="00A302B6"/>
    <w:rsid w:val="00A31117"/>
    <w:rsid w:val="00A31A77"/>
    <w:rsid w:val="00A32056"/>
    <w:rsid w:val="00A3212F"/>
    <w:rsid w:val="00A33736"/>
    <w:rsid w:val="00A33D5E"/>
    <w:rsid w:val="00A33DAD"/>
    <w:rsid w:val="00A3467A"/>
    <w:rsid w:val="00A347E3"/>
    <w:rsid w:val="00A34826"/>
    <w:rsid w:val="00A36415"/>
    <w:rsid w:val="00A40323"/>
    <w:rsid w:val="00A403AC"/>
    <w:rsid w:val="00A41A78"/>
    <w:rsid w:val="00A42758"/>
    <w:rsid w:val="00A42DC1"/>
    <w:rsid w:val="00A443C0"/>
    <w:rsid w:val="00A468C5"/>
    <w:rsid w:val="00A4755C"/>
    <w:rsid w:val="00A47F50"/>
    <w:rsid w:val="00A502DC"/>
    <w:rsid w:val="00A504A2"/>
    <w:rsid w:val="00A50642"/>
    <w:rsid w:val="00A50AD5"/>
    <w:rsid w:val="00A513E0"/>
    <w:rsid w:val="00A52312"/>
    <w:rsid w:val="00A526F0"/>
    <w:rsid w:val="00A52CE7"/>
    <w:rsid w:val="00A5328D"/>
    <w:rsid w:val="00A534FC"/>
    <w:rsid w:val="00A53691"/>
    <w:rsid w:val="00A5374D"/>
    <w:rsid w:val="00A53D37"/>
    <w:rsid w:val="00A54E9F"/>
    <w:rsid w:val="00A55DFA"/>
    <w:rsid w:val="00A55EF3"/>
    <w:rsid w:val="00A56D85"/>
    <w:rsid w:val="00A62283"/>
    <w:rsid w:val="00A62F61"/>
    <w:rsid w:val="00A6406A"/>
    <w:rsid w:val="00A64C85"/>
    <w:rsid w:val="00A6577D"/>
    <w:rsid w:val="00A65D43"/>
    <w:rsid w:val="00A65E3B"/>
    <w:rsid w:val="00A665FF"/>
    <w:rsid w:val="00A674FE"/>
    <w:rsid w:val="00A67676"/>
    <w:rsid w:val="00A707FA"/>
    <w:rsid w:val="00A70DDA"/>
    <w:rsid w:val="00A7116F"/>
    <w:rsid w:val="00A71194"/>
    <w:rsid w:val="00A711A9"/>
    <w:rsid w:val="00A717DF"/>
    <w:rsid w:val="00A72688"/>
    <w:rsid w:val="00A72E33"/>
    <w:rsid w:val="00A73EE2"/>
    <w:rsid w:val="00A741F5"/>
    <w:rsid w:val="00A744CA"/>
    <w:rsid w:val="00A74FAE"/>
    <w:rsid w:val="00A753FE"/>
    <w:rsid w:val="00A758EB"/>
    <w:rsid w:val="00A75917"/>
    <w:rsid w:val="00A766D4"/>
    <w:rsid w:val="00A76822"/>
    <w:rsid w:val="00A76BCF"/>
    <w:rsid w:val="00A77925"/>
    <w:rsid w:val="00A808CE"/>
    <w:rsid w:val="00A80949"/>
    <w:rsid w:val="00A8103D"/>
    <w:rsid w:val="00A81B4C"/>
    <w:rsid w:val="00A82958"/>
    <w:rsid w:val="00A8362B"/>
    <w:rsid w:val="00A83990"/>
    <w:rsid w:val="00A83C18"/>
    <w:rsid w:val="00A84084"/>
    <w:rsid w:val="00A8573C"/>
    <w:rsid w:val="00A85A69"/>
    <w:rsid w:val="00A879BC"/>
    <w:rsid w:val="00A87D48"/>
    <w:rsid w:val="00A916B0"/>
    <w:rsid w:val="00A91DA0"/>
    <w:rsid w:val="00A924E3"/>
    <w:rsid w:val="00A92C19"/>
    <w:rsid w:val="00A92E6C"/>
    <w:rsid w:val="00A94377"/>
    <w:rsid w:val="00A9562D"/>
    <w:rsid w:val="00A95CD2"/>
    <w:rsid w:val="00A9678F"/>
    <w:rsid w:val="00A96A78"/>
    <w:rsid w:val="00A97B5E"/>
    <w:rsid w:val="00AA1592"/>
    <w:rsid w:val="00AA22AE"/>
    <w:rsid w:val="00AA2B6E"/>
    <w:rsid w:val="00AA3A27"/>
    <w:rsid w:val="00AA5016"/>
    <w:rsid w:val="00AA5EDD"/>
    <w:rsid w:val="00AA6A64"/>
    <w:rsid w:val="00AA7C0D"/>
    <w:rsid w:val="00AB14A1"/>
    <w:rsid w:val="00AB2C28"/>
    <w:rsid w:val="00AB333F"/>
    <w:rsid w:val="00AB360C"/>
    <w:rsid w:val="00AB398A"/>
    <w:rsid w:val="00AB3F5E"/>
    <w:rsid w:val="00AB48C6"/>
    <w:rsid w:val="00AB529C"/>
    <w:rsid w:val="00AB5EF9"/>
    <w:rsid w:val="00AB6526"/>
    <w:rsid w:val="00AB7DD9"/>
    <w:rsid w:val="00AC06A5"/>
    <w:rsid w:val="00AC07A2"/>
    <w:rsid w:val="00AC15DC"/>
    <w:rsid w:val="00AC1976"/>
    <w:rsid w:val="00AC2411"/>
    <w:rsid w:val="00AC2ED7"/>
    <w:rsid w:val="00AC39D0"/>
    <w:rsid w:val="00AC4FC3"/>
    <w:rsid w:val="00AC751C"/>
    <w:rsid w:val="00AC7530"/>
    <w:rsid w:val="00AC7C51"/>
    <w:rsid w:val="00AC7F5C"/>
    <w:rsid w:val="00AD0BB9"/>
    <w:rsid w:val="00AD219B"/>
    <w:rsid w:val="00AD2F74"/>
    <w:rsid w:val="00AD30F8"/>
    <w:rsid w:val="00AD3879"/>
    <w:rsid w:val="00AD3F76"/>
    <w:rsid w:val="00AD4EAC"/>
    <w:rsid w:val="00AD4FEC"/>
    <w:rsid w:val="00AD52D6"/>
    <w:rsid w:val="00AD5FCF"/>
    <w:rsid w:val="00AD66CB"/>
    <w:rsid w:val="00AD672E"/>
    <w:rsid w:val="00AD69BD"/>
    <w:rsid w:val="00AD723E"/>
    <w:rsid w:val="00AD7969"/>
    <w:rsid w:val="00AE0C68"/>
    <w:rsid w:val="00AE0E3D"/>
    <w:rsid w:val="00AE0E9B"/>
    <w:rsid w:val="00AE0EC9"/>
    <w:rsid w:val="00AE1093"/>
    <w:rsid w:val="00AE1BEC"/>
    <w:rsid w:val="00AE1FC6"/>
    <w:rsid w:val="00AE2404"/>
    <w:rsid w:val="00AE2D2E"/>
    <w:rsid w:val="00AE3190"/>
    <w:rsid w:val="00AE49E8"/>
    <w:rsid w:val="00AE5EFC"/>
    <w:rsid w:val="00AE6780"/>
    <w:rsid w:val="00AE6EE8"/>
    <w:rsid w:val="00AE70B4"/>
    <w:rsid w:val="00AE71D4"/>
    <w:rsid w:val="00AE745A"/>
    <w:rsid w:val="00AE7587"/>
    <w:rsid w:val="00AF21E8"/>
    <w:rsid w:val="00AF2CF8"/>
    <w:rsid w:val="00AF367B"/>
    <w:rsid w:val="00AF3E47"/>
    <w:rsid w:val="00AF3E93"/>
    <w:rsid w:val="00AF4269"/>
    <w:rsid w:val="00AF5859"/>
    <w:rsid w:val="00AF5914"/>
    <w:rsid w:val="00AF59A3"/>
    <w:rsid w:val="00AF5E7F"/>
    <w:rsid w:val="00AF6F8A"/>
    <w:rsid w:val="00AF7056"/>
    <w:rsid w:val="00AF7165"/>
    <w:rsid w:val="00AF75FB"/>
    <w:rsid w:val="00B0102F"/>
    <w:rsid w:val="00B01101"/>
    <w:rsid w:val="00B0189F"/>
    <w:rsid w:val="00B02A09"/>
    <w:rsid w:val="00B033C1"/>
    <w:rsid w:val="00B03960"/>
    <w:rsid w:val="00B04C25"/>
    <w:rsid w:val="00B0518D"/>
    <w:rsid w:val="00B052B9"/>
    <w:rsid w:val="00B05977"/>
    <w:rsid w:val="00B05D21"/>
    <w:rsid w:val="00B05F5F"/>
    <w:rsid w:val="00B06898"/>
    <w:rsid w:val="00B07D61"/>
    <w:rsid w:val="00B07ECC"/>
    <w:rsid w:val="00B10014"/>
    <w:rsid w:val="00B10B33"/>
    <w:rsid w:val="00B11192"/>
    <w:rsid w:val="00B111A3"/>
    <w:rsid w:val="00B114B7"/>
    <w:rsid w:val="00B11946"/>
    <w:rsid w:val="00B11AAC"/>
    <w:rsid w:val="00B11FB5"/>
    <w:rsid w:val="00B12FE5"/>
    <w:rsid w:val="00B130E7"/>
    <w:rsid w:val="00B13D7E"/>
    <w:rsid w:val="00B14C00"/>
    <w:rsid w:val="00B1686A"/>
    <w:rsid w:val="00B1696D"/>
    <w:rsid w:val="00B16F6B"/>
    <w:rsid w:val="00B171DF"/>
    <w:rsid w:val="00B21052"/>
    <w:rsid w:val="00B21D59"/>
    <w:rsid w:val="00B2236B"/>
    <w:rsid w:val="00B2295B"/>
    <w:rsid w:val="00B233A5"/>
    <w:rsid w:val="00B23647"/>
    <w:rsid w:val="00B23822"/>
    <w:rsid w:val="00B23C24"/>
    <w:rsid w:val="00B24735"/>
    <w:rsid w:val="00B249B0"/>
    <w:rsid w:val="00B2631D"/>
    <w:rsid w:val="00B27149"/>
    <w:rsid w:val="00B27178"/>
    <w:rsid w:val="00B2753F"/>
    <w:rsid w:val="00B27CA8"/>
    <w:rsid w:val="00B27E85"/>
    <w:rsid w:val="00B30109"/>
    <w:rsid w:val="00B32971"/>
    <w:rsid w:val="00B3374F"/>
    <w:rsid w:val="00B344DF"/>
    <w:rsid w:val="00B345DA"/>
    <w:rsid w:val="00B34B2D"/>
    <w:rsid w:val="00B35077"/>
    <w:rsid w:val="00B3581F"/>
    <w:rsid w:val="00B361A9"/>
    <w:rsid w:val="00B3662E"/>
    <w:rsid w:val="00B366A9"/>
    <w:rsid w:val="00B3739E"/>
    <w:rsid w:val="00B376C4"/>
    <w:rsid w:val="00B40994"/>
    <w:rsid w:val="00B4172A"/>
    <w:rsid w:val="00B419C9"/>
    <w:rsid w:val="00B41CB8"/>
    <w:rsid w:val="00B41DB4"/>
    <w:rsid w:val="00B42B0C"/>
    <w:rsid w:val="00B433F8"/>
    <w:rsid w:val="00B43F3D"/>
    <w:rsid w:val="00B449D5"/>
    <w:rsid w:val="00B44F9C"/>
    <w:rsid w:val="00B46261"/>
    <w:rsid w:val="00B46310"/>
    <w:rsid w:val="00B478B5"/>
    <w:rsid w:val="00B47F1D"/>
    <w:rsid w:val="00B51308"/>
    <w:rsid w:val="00B51626"/>
    <w:rsid w:val="00B51F95"/>
    <w:rsid w:val="00B5269D"/>
    <w:rsid w:val="00B526B5"/>
    <w:rsid w:val="00B534E6"/>
    <w:rsid w:val="00B54F93"/>
    <w:rsid w:val="00B550FD"/>
    <w:rsid w:val="00B56483"/>
    <w:rsid w:val="00B56A2F"/>
    <w:rsid w:val="00B5739A"/>
    <w:rsid w:val="00B57448"/>
    <w:rsid w:val="00B5790F"/>
    <w:rsid w:val="00B57DC8"/>
    <w:rsid w:val="00B57FC2"/>
    <w:rsid w:val="00B57FEA"/>
    <w:rsid w:val="00B606CB"/>
    <w:rsid w:val="00B620AB"/>
    <w:rsid w:val="00B6284E"/>
    <w:rsid w:val="00B62C69"/>
    <w:rsid w:val="00B63152"/>
    <w:rsid w:val="00B63803"/>
    <w:rsid w:val="00B639DF"/>
    <w:rsid w:val="00B655D9"/>
    <w:rsid w:val="00B65919"/>
    <w:rsid w:val="00B660E6"/>
    <w:rsid w:val="00B662F0"/>
    <w:rsid w:val="00B70078"/>
    <w:rsid w:val="00B70D4B"/>
    <w:rsid w:val="00B71815"/>
    <w:rsid w:val="00B71A7C"/>
    <w:rsid w:val="00B72178"/>
    <w:rsid w:val="00B72C8F"/>
    <w:rsid w:val="00B72D5F"/>
    <w:rsid w:val="00B733AA"/>
    <w:rsid w:val="00B736CB"/>
    <w:rsid w:val="00B73A61"/>
    <w:rsid w:val="00B75B1F"/>
    <w:rsid w:val="00B7606B"/>
    <w:rsid w:val="00B76942"/>
    <w:rsid w:val="00B77195"/>
    <w:rsid w:val="00B774DE"/>
    <w:rsid w:val="00B77BE0"/>
    <w:rsid w:val="00B77C53"/>
    <w:rsid w:val="00B80B6D"/>
    <w:rsid w:val="00B80CAF"/>
    <w:rsid w:val="00B810F5"/>
    <w:rsid w:val="00B815CF"/>
    <w:rsid w:val="00B82118"/>
    <w:rsid w:val="00B828E3"/>
    <w:rsid w:val="00B8337F"/>
    <w:rsid w:val="00B835CB"/>
    <w:rsid w:val="00B83A20"/>
    <w:rsid w:val="00B841F0"/>
    <w:rsid w:val="00B84890"/>
    <w:rsid w:val="00B84DC6"/>
    <w:rsid w:val="00B86514"/>
    <w:rsid w:val="00B86A43"/>
    <w:rsid w:val="00B86AA2"/>
    <w:rsid w:val="00B871F7"/>
    <w:rsid w:val="00B87621"/>
    <w:rsid w:val="00B9096B"/>
    <w:rsid w:val="00B91501"/>
    <w:rsid w:val="00B91B77"/>
    <w:rsid w:val="00B923C8"/>
    <w:rsid w:val="00B92728"/>
    <w:rsid w:val="00B92DB6"/>
    <w:rsid w:val="00B95672"/>
    <w:rsid w:val="00B958B3"/>
    <w:rsid w:val="00B95F68"/>
    <w:rsid w:val="00B96584"/>
    <w:rsid w:val="00B966EB"/>
    <w:rsid w:val="00B96C65"/>
    <w:rsid w:val="00B9754A"/>
    <w:rsid w:val="00B9761A"/>
    <w:rsid w:val="00BA1271"/>
    <w:rsid w:val="00BA13AB"/>
    <w:rsid w:val="00BA16E8"/>
    <w:rsid w:val="00BA1FB3"/>
    <w:rsid w:val="00BA2B6D"/>
    <w:rsid w:val="00BA2F40"/>
    <w:rsid w:val="00BA5EA4"/>
    <w:rsid w:val="00BA6440"/>
    <w:rsid w:val="00BA7592"/>
    <w:rsid w:val="00BA79D1"/>
    <w:rsid w:val="00BA7EF4"/>
    <w:rsid w:val="00BB13EA"/>
    <w:rsid w:val="00BB159F"/>
    <w:rsid w:val="00BB1ED3"/>
    <w:rsid w:val="00BB21A2"/>
    <w:rsid w:val="00BB25AA"/>
    <w:rsid w:val="00BB267C"/>
    <w:rsid w:val="00BB2C7D"/>
    <w:rsid w:val="00BB40C3"/>
    <w:rsid w:val="00BB497C"/>
    <w:rsid w:val="00BB4F40"/>
    <w:rsid w:val="00BB57D3"/>
    <w:rsid w:val="00BB62C1"/>
    <w:rsid w:val="00BB694A"/>
    <w:rsid w:val="00BB6995"/>
    <w:rsid w:val="00BB7215"/>
    <w:rsid w:val="00BB7F2C"/>
    <w:rsid w:val="00BC269B"/>
    <w:rsid w:val="00BC2DB3"/>
    <w:rsid w:val="00BC3C8F"/>
    <w:rsid w:val="00BC4EF2"/>
    <w:rsid w:val="00BC58AC"/>
    <w:rsid w:val="00BC6938"/>
    <w:rsid w:val="00BC706F"/>
    <w:rsid w:val="00BC74A8"/>
    <w:rsid w:val="00BC7D8D"/>
    <w:rsid w:val="00BD0755"/>
    <w:rsid w:val="00BD09E5"/>
    <w:rsid w:val="00BD185C"/>
    <w:rsid w:val="00BD1B46"/>
    <w:rsid w:val="00BD2535"/>
    <w:rsid w:val="00BD2A03"/>
    <w:rsid w:val="00BD339D"/>
    <w:rsid w:val="00BD474C"/>
    <w:rsid w:val="00BD485F"/>
    <w:rsid w:val="00BD49DF"/>
    <w:rsid w:val="00BD58C5"/>
    <w:rsid w:val="00BD5E70"/>
    <w:rsid w:val="00BD611C"/>
    <w:rsid w:val="00BD6184"/>
    <w:rsid w:val="00BD6A28"/>
    <w:rsid w:val="00BD6BD4"/>
    <w:rsid w:val="00BD763F"/>
    <w:rsid w:val="00BE02CD"/>
    <w:rsid w:val="00BE0395"/>
    <w:rsid w:val="00BE0595"/>
    <w:rsid w:val="00BE0999"/>
    <w:rsid w:val="00BE17F7"/>
    <w:rsid w:val="00BE2029"/>
    <w:rsid w:val="00BE2D7B"/>
    <w:rsid w:val="00BE3F09"/>
    <w:rsid w:val="00BE4515"/>
    <w:rsid w:val="00BE4C48"/>
    <w:rsid w:val="00BE4C60"/>
    <w:rsid w:val="00BE4D30"/>
    <w:rsid w:val="00BE6A3D"/>
    <w:rsid w:val="00BE6AF2"/>
    <w:rsid w:val="00BE6CD4"/>
    <w:rsid w:val="00BE711C"/>
    <w:rsid w:val="00BE71FA"/>
    <w:rsid w:val="00BE72F5"/>
    <w:rsid w:val="00BE7AF3"/>
    <w:rsid w:val="00BE7E52"/>
    <w:rsid w:val="00BF0F7D"/>
    <w:rsid w:val="00BF1582"/>
    <w:rsid w:val="00BF3440"/>
    <w:rsid w:val="00BF4C94"/>
    <w:rsid w:val="00BF4FD5"/>
    <w:rsid w:val="00BF5E40"/>
    <w:rsid w:val="00BF6D09"/>
    <w:rsid w:val="00BF7B45"/>
    <w:rsid w:val="00BF7EC8"/>
    <w:rsid w:val="00C003EB"/>
    <w:rsid w:val="00C00721"/>
    <w:rsid w:val="00C0140A"/>
    <w:rsid w:val="00C01724"/>
    <w:rsid w:val="00C01952"/>
    <w:rsid w:val="00C01CB6"/>
    <w:rsid w:val="00C02598"/>
    <w:rsid w:val="00C05546"/>
    <w:rsid w:val="00C05B17"/>
    <w:rsid w:val="00C0602A"/>
    <w:rsid w:val="00C06633"/>
    <w:rsid w:val="00C0676D"/>
    <w:rsid w:val="00C0699D"/>
    <w:rsid w:val="00C071C1"/>
    <w:rsid w:val="00C0783F"/>
    <w:rsid w:val="00C07D2B"/>
    <w:rsid w:val="00C07E88"/>
    <w:rsid w:val="00C103E7"/>
    <w:rsid w:val="00C10B9A"/>
    <w:rsid w:val="00C1105F"/>
    <w:rsid w:val="00C114C3"/>
    <w:rsid w:val="00C11797"/>
    <w:rsid w:val="00C117C2"/>
    <w:rsid w:val="00C120B8"/>
    <w:rsid w:val="00C12535"/>
    <w:rsid w:val="00C12C21"/>
    <w:rsid w:val="00C12F09"/>
    <w:rsid w:val="00C13047"/>
    <w:rsid w:val="00C13ADB"/>
    <w:rsid w:val="00C13B2A"/>
    <w:rsid w:val="00C13B65"/>
    <w:rsid w:val="00C1430C"/>
    <w:rsid w:val="00C15BD5"/>
    <w:rsid w:val="00C1641C"/>
    <w:rsid w:val="00C168EA"/>
    <w:rsid w:val="00C20299"/>
    <w:rsid w:val="00C20497"/>
    <w:rsid w:val="00C2112E"/>
    <w:rsid w:val="00C21F45"/>
    <w:rsid w:val="00C221DF"/>
    <w:rsid w:val="00C22619"/>
    <w:rsid w:val="00C22C31"/>
    <w:rsid w:val="00C22E24"/>
    <w:rsid w:val="00C23057"/>
    <w:rsid w:val="00C24C74"/>
    <w:rsid w:val="00C261E0"/>
    <w:rsid w:val="00C26864"/>
    <w:rsid w:val="00C276B3"/>
    <w:rsid w:val="00C307E2"/>
    <w:rsid w:val="00C30C58"/>
    <w:rsid w:val="00C30D4C"/>
    <w:rsid w:val="00C3145F"/>
    <w:rsid w:val="00C31DA5"/>
    <w:rsid w:val="00C32273"/>
    <w:rsid w:val="00C329E8"/>
    <w:rsid w:val="00C33B17"/>
    <w:rsid w:val="00C34932"/>
    <w:rsid w:val="00C355E6"/>
    <w:rsid w:val="00C35783"/>
    <w:rsid w:val="00C358F4"/>
    <w:rsid w:val="00C36CD4"/>
    <w:rsid w:val="00C36F6E"/>
    <w:rsid w:val="00C40068"/>
    <w:rsid w:val="00C40E38"/>
    <w:rsid w:val="00C40EC1"/>
    <w:rsid w:val="00C41168"/>
    <w:rsid w:val="00C42C69"/>
    <w:rsid w:val="00C43F08"/>
    <w:rsid w:val="00C441CB"/>
    <w:rsid w:val="00C44E01"/>
    <w:rsid w:val="00C44ECE"/>
    <w:rsid w:val="00C45660"/>
    <w:rsid w:val="00C45B62"/>
    <w:rsid w:val="00C468AD"/>
    <w:rsid w:val="00C46C93"/>
    <w:rsid w:val="00C46DCB"/>
    <w:rsid w:val="00C47963"/>
    <w:rsid w:val="00C50A69"/>
    <w:rsid w:val="00C51934"/>
    <w:rsid w:val="00C51B31"/>
    <w:rsid w:val="00C51D0E"/>
    <w:rsid w:val="00C527A1"/>
    <w:rsid w:val="00C52B0D"/>
    <w:rsid w:val="00C53869"/>
    <w:rsid w:val="00C545DC"/>
    <w:rsid w:val="00C547C8"/>
    <w:rsid w:val="00C54B3C"/>
    <w:rsid w:val="00C54D1F"/>
    <w:rsid w:val="00C555DE"/>
    <w:rsid w:val="00C560BF"/>
    <w:rsid w:val="00C567CA"/>
    <w:rsid w:val="00C56B22"/>
    <w:rsid w:val="00C56E66"/>
    <w:rsid w:val="00C5713D"/>
    <w:rsid w:val="00C57627"/>
    <w:rsid w:val="00C57AB9"/>
    <w:rsid w:val="00C6063B"/>
    <w:rsid w:val="00C60690"/>
    <w:rsid w:val="00C6077E"/>
    <w:rsid w:val="00C60A02"/>
    <w:rsid w:val="00C61B57"/>
    <w:rsid w:val="00C61C5C"/>
    <w:rsid w:val="00C61DF2"/>
    <w:rsid w:val="00C61F32"/>
    <w:rsid w:val="00C61FBE"/>
    <w:rsid w:val="00C62A51"/>
    <w:rsid w:val="00C62B5C"/>
    <w:rsid w:val="00C633D0"/>
    <w:rsid w:val="00C638EE"/>
    <w:rsid w:val="00C662C2"/>
    <w:rsid w:val="00C67049"/>
    <w:rsid w:val="00C67886"/>
    <w:rsid w:val="00C67C29"/>
    <w:rsid w:val="00C67C87"/>
    <w:rsid w:val="00C67CE8"/>
    <w:rsid w:val="00C70341"/>
    <w:rsid w:val="00C70468"/>
    <w:rsid w:val="00C70D6D"/>
    <w:rsid w:val="00C714C4"/>
    <w:rsid w:val="00C71FB1"/>
    <w:rsid w:val="00C72D06"/>
    <w:rsid w:val="00C7331A"/>
    <w:rsid w:val="00C73EC8"/>
    <w:rsid w:val="00C746B5"/>
    <w:rsid w:val="00C747A9"/>
    <w:rsid w:val="00C747C2"/>
    <w:rsid w:val="00C7506D"/>
    <w:rsid w:val="00C75E47"/>
    <w:rsid w:val="00C76151"/>
    <w:rsid w:val="00C76BE9"/>
    <w:rsid w:val="00C77AAA"/>
    <w:rsid w:val="00C77FBD"/>
    <w:rsid w:val="00C8048D"/>
    <w:rsid w:val="00C80E24"/>
    <w:rsid w:val="00C8171B"/>
    <w:rsid w:val="00C82503"/>
    <w:rsid w:val="00C82E9C"/>
    <w:rsid w:val="00C8352D"/>
    <w:rsid w:val="00C847BB"/>
    <w:rsid w:val="00C85119"/>
    <w:rsid w:val="00C85FD8"/>
    <w:rsid w:val="00C901DF"/>
    <w:rsid w:val="00C90BFB"/>
    <w:rsid w:val="00C91A6E"/>
    <w:rsid w:val="00C92032"/>
    <w:rsid w:val="00C92095"/>
    <w:rsid w:val="00C930CF"/>
    <w:rsid w:val="00C9342A"/>
    <w:rsid w:val="00C93CF0"/>
    <w:rsid w:val="00C93EDF"/>
    <w:rsid w:val="00C94878"/>
    <w:rsid w:val="00C948F5"/>
    <w:rsid w:val="00C95866"/>
    <w:rsid w:val="00C963D5"/>
    <w:rsid w:val="00C96FF8"/>
    <w:rsid w:val="00C973D4"/>
    <w:rsid w:val="00C97DDC"/>
    <w:rsid w:val="00CA08A0"/>
    <w:rsid w:val="00CA1029"/>
    <w:rsid w:val="00CA1C66"/>
    <w:rsid w:val="00CA2166"/>
    <w:rsid w:val="00CA4A15"/>
    <w:rsid w:val="00CA5CC7"/>
    <w:rsid w:val="00CA7557"/>
    <w:rsid w:val="00CA7837"/>
    <w:rsid w:val="00CB02C3"/>
    <w:rsid w:val="00CB0A80"/>
    <w:rsid w:val="00CB1EA2"/>
    <w:rsid w:val="00CB2BFA"/>
    <w:rsid w:val="00CB35DF"/>
    <w:rsid w:val="00CB38BD"/>
    <w:rsid w:val="00CB39BF"/>
    <w:rsid w:val="00CB419A"/>
    <w:rsid w:val="00CB4408"/>
    <w:rsid w:val="00CB576C"/>
    <w:rsid w:val="00CB5825"/>
    <w:rsid w:val="00CB6810"/>
    <w:rsid w:val="00CB6CDF"/>
    <w:rsid w:val="00CB6DDC"/>
    <w:rsid w:val="00CB7A7E"/>
    <w:rsid w:val="00CB7FFB"/>
    <w:rsid w:val="00CC02D8"/>
    <w:rsid w:val="00CC0D44"/>
    <w:rsid w:val="00CC176F"/>
    <w:rsid w:val="00CC2D68"/>
    <w:rsid w:val="00CC360A"/>
    <w:rsid w:val="00CC3738"/>
    <w:rsid w:val="00CC430E"/>
    <w:rsid w:val="00CC4351"/>
    <w:rsid w:val="00CC4BA9"/>
    <w:rsid w:val="00CC53FF"/>
    <w:rsid w:val="00CC5EB0"/>
    <w:rsid w:val="00CC5F6F"/>
    <w:rsid w:val="00CC6866"/>
    <w:rsid w:val="00CC6BD4"/>
    <w:rsid w:val="00CC78A7"/>
    <w:rsid w:val="00CD32CE"/>
    <w:rsid w:val="00CD3543"/>
    <w:rsid w:val="00CD457F"/>
    <w:rsid w:val="00CD4F0A"/>
    <w:rsid w:val="00CD56A2"/>
    <w:rsid w:val="00CD58F8"/>
    <w:rsid w:val="00CD712D"/>
    <w:rsid w:val="00CD7E9C"/>
    <w:rsid w:val="00CE015C"/>
    <w:rsid w:val="00CE0CC2"/>
    <w:rsid w:val="00CE0D84"/>
    <w:rsid w:val="00CE266A"/>
    <w:rsid w:val="00CE3553"/>
    <w:rsid w:val="00CE36C2"/>
    <w:rsid w:val="00CE3D23"/>
    <w:rsid w:val="00CE3DEA"/>
    <w:rsid w:val="00CE41C9"/>
    <w:rsid w:val="00CE43A4"/>
    <w:rsid w:val="00CE50E8"/>
    <w:rsid w:val="00CE5105"/>
    <w:rsid w:val="00CE5975"/>
    <w:rsid w:val="00CE69E7"/>
    <w:rsid w:val="00CE6DA1"/>
    <w:rsid w:val="00CE6FCE"/>
    <w:rsid w:val="00CE7343"/>
    <w:rsid w:val="00CE748E"/>
    <w:rsid w:val="00CE752A"/>
    <w:rsid w:val="00CE7B80"/>
    <w:rsid w:val="00CF035B"/>
    <w:rsid w:val="00CF0FC7"/>
    <w:rsid w:val="00CF2754"/>
    <w:rsid w:val="00CF2DAA"/>
    <w:rsid w:val="00CF32F0"/>
    <w:rsid w:val="00CF4522"/>
    <w:rsid w:val="00CF587C"/>
    <w:rsid w:val="00CF6F93"/>
    <w:rsid w:val="00D00189"/>
    <w:rsid w:val="00D004D6"/>
    <w:rsid w:val="00D0076C"/>
    <w:rsid w:val="00D00EAE"/>
    <w:rsid w:val="00D01BCE"/>
    <w:rsid w:val="00D025C1"/>
    <w:rsid w:val="00D027EC"/>
    <w:rsid w:val="00D02F03"/>
    <w:rsid w:val="00D047B7"/>
    <w:rsid w:val="00D047DC"/>
    <w:rsid w:val="00D04B97"/>
    <w:rsid w:val="00D04BDB"/>
    <w:rsid w:val="00D04CAB"/>
    <w:rsid w:val="00D0635E"/>
    <w:rsid w:val="00D0660F"/>
    <w:rsid w:val="00D06A96"/>
    <w:rsid w:val="00D106A8"/>
    <w:rsid w:val="00D11E87"/>
    <w:rsid w:val="00D12134"/>
    <w:rsid w:val="00D121E5"/>
    <w:rsid w:val="00D12C93"/>
    <w:rsid w:val="00D12D90"/>
    <w:rsid w:val="00D1321E"/>
    <w:rsid w:val="00D1326C"/>
    <w:rsid w:val="00D13541"/>
    <w:rsid w:val="00D13B1B"/>
    <w:rsid w:val="00D13BDF"/>
    <w:rsid w:val="00D14A44"/>
    <w:rsid w:val="00D157B7"/>
    <w:rsid w:val="00D15B73"/>
    <w:rsid w:val="00D20B71"/>
    <w:rsid w:val="00D20EFB"/>
    <w:rsid w:val="00D21330"/>
    <w:rsid w:val="00D21A35"/>
    <w:rsid w:val="00D21AE2"/>
    <w:rsid w:val="00D21D05"/>
    <w:rsid w:val="00D22115"/>
    <w:rsid w:val="00D22475"/>
    <w:rsid w:val="00D23242"/>
    <w:rsid w:val="00D23DAE"/>
    <w:rsid w:val="00D23F9A"/>
    <w:rsid w:val="00D25205"/>
    <w:rsid w:val="00D25883"/>
    <w:rsid w:val="00D25A04"/>
    <w:rsid w:val="00D25D96"/>
    <w:rsid w:val="00D26D6B"/>
    <w:rsid w:val="00D279AE"/>
    <w:rsid w:val="00D27B20"/>
    <w:rsid w:val="00D31EE4"/>
    <w:rsid w:val="00D32266"/>
    <w:rsid w:val="00D32B5B"/>
    <w:rsid w:val="00D32D9E"/>
    <w:rsid w:val="00D33C8B"/>
    <w:rsid w:val="00D34A42"/>
    <w:rsid w:val="00D34BD5"/>
    <w:rsid w:val="00D34D29"/>
    <w:rsid w:val="00D357F7"/>
    <w:rsid w:val="00D3599E"/>
    <w:rsid w:val="00D35F81"/>
    <w:rsid w:val="00D362CE"/>
    <w:rsid w:val="00D36356"/>
    <w:rsid w:val="00D3727D"/>
    <w:rsid w:val="00D3754B"/>
    <w:rsid w:val="00D375E8"/>
    <w:rsid w:val="00D377C2"/>
    <w:rsid w:val="00D40088"/>
    <w:rsid w:val="00D40704"/>
    <w:rsid w:val="00D40E91"/>
    <w:rsid w:val="00D42BA3"/>
    <w:rsid w:val="00D43106"/>
    <w:rsid w:val="00D4324D"/>
    <w:rsid w:val="00D43541"/>
    <w:rsid w:val="00D4409A"/>
    <w:rsid w:val="00D44149"/>
    <w:rsid w:val="00D4455A"/>
    <w:rsid w:val="00D4527C"/>
    <w:rsid w:val="00D46748"/>
    <w:rsid w:val="00D46F15"/>
    <w:rsid w:val="00D47240"/>
    <w:rsid w:val="00D4735B"/>
    <w:rsid w:val="00D47BAB"/>
    <w:rsid w:val="00D47FE9"/>
    <w:rsid w:val="00D50860"/>
    <w:rsid w:val="00D50B57"/>
    <w:rsid w:val="00D51830"/>
    <w:rsid w:val="00D51D07"/>
    <w:rsid w:val="00D5200E"/>
    <w:rsid w:val="00D52094"/>
    <w:rsid w:val="00D5254E"/>
    <w:rsid w:val="00D526A9"/>
    <w:rsid w:val="00D53CBB"/>
    <w:rsid w:val="00D56167"/>
    <w:rsid w:val="00D5620F"/>
    <w:rsid w:val="00D5698B"/>
    <w:rsid w:val="00D57759"/>
    <w:rsid w:val="00D579C0"/>
    <w:rsid w:val="00D60359"/>
    <w:rsid w:val="00D60417"/>
    <w:rsid w:val="00D60691"/>
    <w:rsid w:val="00D613F3"/>
    <w:rsid w:val="00D634E5"/>
    <w:rsid w:val="00D6353A"/>
    <w:rsid w:val="00D63842"/>
    <w:rsid w:val="00D645E6"/>
    <w:rsid w:val="00D6498C"/>
    <w:rsid w:val="00D65417"/>
    <w:rsid w:val="00D659DF"/>
    <w:rsid w:val="00D65D30"/>
    <w:rsid w:val="00D660D2"/>
    <w:rsid w:val="00D66997"/>
    <w:rsid w:val="00D66EDF"/>
    <w:rsid w:val="00D671AD"/>
    <w:rsid w:val="00D6753B"/>
    <w:rsid w:val="00D70064"/>
    <w:rsid w:val="00D717A3"/>
    <w:rsid w:val="00D717CD"/>
    <w:rsid w:val="00D720CE"/>
    <w:rsid w:val="00D73177"/>
    <w:rsid w:val="00D73524"/>
    <w:rsid w:val="00D74BAB"/>
    <w:rsid w:val="00D75183"/>
    <w:rsid w:val="00D766A3"/>
    <w:rsid w:val="00D76BD3"/>
    <w:rsid w:val="00D76D1E"/>
    <w:rsid w:val="00D7743B"/>
    <w:rsid w:val="00D77D97"/>
    <w:rsid w:val="00D80C2E"/>
    <w:rsid w:val="00D80E69"/>
    <w:rsid w:val="00D81032"/>
    <w:rsid w:val="00D81274"/>
    <w:rsid w:val="00D81A07"/>
    <w:rsid w:val="00D8368B"/>
    <w:rsid w:val="00D83B85"/>
    <w:rsid w:val="00D84A66"/>
    <w:rsid w:val="00D84B3B"/>
    <w:rsid w:val="00D85459"/>
    <w:rsid w:val="00D85BCC"/>
    <w:rsid w:val="00D864E8"/>
    <w:rsid w:val="00D8679B"/>
    <w:rsid w:val="00D86FFF"/>
    <w:rsid w:val="00D8726F"/>
    <w:rsid w:val="00D872D7"/>
    <w:rsid w:val="00D8748C"/>
    <w:rsid w:val="00D8749C"/>
    <w:rsid w:val="00D902A4"/>
    <w:rsid w:val="00D907D9"/>
    <w:rsid w:val="00D912DA"/>
    <w:rsid w:val="00D91532"/>
    <w:rsid w:val="00D916ED"/>
    <w:rsid w:val="00D919E0"/>
    <w:rsid w:val="00D91F02"/>
    <w:rsid w:val="00D92114"/>
    <w:rsid w:val="00D9240D"/>
    <w:rsid w:val="00D929DA"/>
    <w:rsid w:val="00D92B54"/>
    <w:rsid w:val="00D92D4F"/>
    <w:rsid w:val="00D93327"/>
    <w:rsid w:val="00D9351D"/>
    <w:rsid w:val="00D94A33"/>
    <w:rsid w:val="00DA01DC"/>
    <w:rsid w:val="00DA08B9"/>
    <w:rsid w:val="00DA1340"/>
    <w:rsid w:val="00DA1500"/>
    <w:rsid w:val="00DA1CF6"/>
    <w:rsid w:val="00DA1DBD"/>
    <w:rsid w:val="00DA2DC9"/>
    <w:rsid w:val="00DA5134"/>
    <w:rsid w:val="00DA52DE"/>
    <w:rsid w:val="00DA5362"/>
    <w:rsid w:val="00DA542D"/>
    <w:rsid w:val="00DA5613"/>
    <w:rsid w:val="00DA56C2"/>
    <w:rsid w:val="00DA56FF"/>
    <w:rsid w:val="00DA57D3"/>
    <w:rsid w:val="00DA59D5"/>
    <w:rsid w:val="00DA5A77"/>
    <w:rsid w:val="00DA6320"/>
    <w:rsid w:val="00DA7515"/>
    <w:rsid w:val="00DA7E3E"/>
    <w:rsid w:val="00DB0736"/>
    <w:rsid w:val="00DB1B6B"/>
    <w:rsid w:val="00DB1E24"/>
    <w:rsid w:val="00DB209B"/>
    <w:rsid w:val="00DB2663"/>
    <w:rsid w:val="00DB2770"/>
    <w:rsid w:val="00DB3401"/>
    <w:rsid w:val="00DB3502"/>
    <w:rsid w:val="00DB3A81"/>
    <w:rsid w:val="00DB3DF6"/>
    <w:rsid w:val="00DB47DE"/>
    <w:rsid w:val="00DB4E18"/>
    <w:rsid w:val="00DB5F58"/>
    <w:rsid w:val="00DB65A5"/>
    <w:rsid w:val="00DB7794"/>
    <w:rsid w:val="00DC0DF3"/>
    <w:rsid w:val="00DC2036"/>
    <w:rsid w:val="00DC37B0"/>
    <w:rsid w:val="00DC3844"/>
    <w:rsid w:val="00DC4006"/>
    <w:rsid w:val="00DC431D"/>
    <w:rsid w:val="00DC4B40"/>
    <w:rsid w:val="00DC4EDD"/>
    <w:rsid w:val="00DC51EA"/>
    <w:rsid w:val="00DC5256"/>
    <w:rsid w:val="00DC5B41"/>
    <w:rsid w:val="00DC6AA1"/>
    <w:rsid w:val="00DC6BF7"/>
    <w:rsid w:val="00DD008F"/>
    <w:rsid w:val="00DD037C"/>
    <w:rsid w:val="00DD16AF"/>
    <w:rsid w:val="00DD1B6E"/>
    <w:rsid w:val="00DD1C11"/>
    <w:rsid w:val="00DD1D96"/>
    <w:rsid w:val="00DD203A"/>
    <w:rsid w:val="00DD2707"/>
    <w:rsid w:val="00DD28E4"/>
    <w:rsid w:val="00DD3665"/>
    <w:rsid w:val="00DD36A1"/>
    <w:rsid w:val="00DD374E"/>
    <w:rsid w:val="00DD44D3"/>
    <w:rsid w:val="00DD48CD"/>
    <w:rsid w:val="00DD6914"/>
    <w:rsid w:val="00DD7A5E"/>
    <w:rsid w:val="00DD7E9C"/>
    <w:rsid w:val="00DE0402"/>
    <w:rsid w:val="00DE08DC"/>
    <w:rsid w:val="00DE0C26"/>
    <w:rsid w:val="00DE15E0"/>
    <w:rsid w:val="00DE1EF3"/>
    <w:rsid w:val="00DE2995"/>
    <w:rsid w:val="00DE2C60"/>
    <w:rsid w:val="00DE30DA"/>
    <w:rsid w:val="00DE33BD"/>
    <w:rsid w:val="00DE3C40"/>
    <w:rsid w:val="00DE4FA1"/>
    <w:rsid w:val="00DE5216"/>
    <w:rsid w:val="00DE5B9B"/>
    <w:rsid w:val="00DE6029"/>
    <w:rsid w:val="00DE6068"/>
    <w:rsid w:val="00DE619E"/>
    <w:rsid w:val="00DE6328"/>
    <w:rsid w:val="00DE65C0"/>
    <w:rsid w:val="00DE6D55"/>
    <w:rsid w:val="00DE7BB8"/>
    <w:rsid w:val="00DE7C12"/>
    <w:rsid w:val="00DE7E9B"/>
    <w:rsid w:val="00DF0197"/>
    <w:rsid w:val="00DF059D"/>
    <w:rsid w:val="00DF12A5"/>
    <w:rsid w:val="00DF14E4"/>
    <w:rsid w:val="00DF1B1C"/>
    <w:rsid w:val="00DF2DEE"/>
    <w:rsid w:val="00DF37D2"/>
    <w:rsid w:val="00DF3F9D"/>
    <w:rsid w:val="00DF42A9"/>
    <w:rsid w:val="00DF5BE2"/>
    <w:rsid w:val="00DF67B8"/>
    <w:rsid w:val="00DF7045"/>
    <w:rsid w:val="00DF7533"/>
    <w:rsid w:val="00DF765B"/>
    <w:rsid w:val="00E000D1"/>
    <w:rsid w:val="00E00175"/>
    <w:rsid w:val="00E00C12"/>
    <w:rsid w:val="00E00F00"/>
    <w:rsid w:val="00E017C0"/>
    <w:rsid w:val="00E02118"/>
    <w:rsid w:val="00E02BAE"/>
    <w:rsid w:val="00E0413C"/>
    <w:rsid w:val="00E06530"/>
    <w:rsid w:val="00E06B43"/>
    <w:rsid w:val="00E06C29"/>
    <w:rsid w:val="00E07B25"/>
    <w:rsid w:val="00E1025C"/>
    <w:rsid w:val="00E10565"/>
    <w:rsid w:val="00E1068A"/>
    <w:rsid w:val="00E10E19"/>
    <w:rsid w:val="00E11198"/>
    <w:rsid w:val="00E11866"/>
    <w:rsid w:val="00E12386"/>
    <w:rsid w:val="00E1263D"/>
    <w:rsid w:val="00E1270F"/>
    <w:rsid w:val="00E12D5A"/>
    <w:rsid w:val="00E1318B"/>
    <w:rsid w:val="00E135CA"/>
    <w:rsid w:val="00E15393"/>
    <w:rsid w:val="00E16111"/>
    <w:rsid w:val="00E1648E"/>
    <w:rsid w:val="00E166E2"/>
    <w:rsid w:val="00E167FE"/>
    <w:rsid w:val="00E16CB0"/>
    <w:rsid w:val="00E17718"/>
    <w:rsid w:val="00E17872"/>
    <w:rsid w:val="00E20694"/>
    <w:rsid w:val="00E20841"/>
    <w:rsid w:val="00E21042"/>
    <w:rsid w:val="00E214DC"/>
    <w:rsid w:val="00E21672"/>
    <w:rsid w:val="00E22111"/>
    <w:rsid w:val="00E22427"/>
    <w:rsid w:val="00E227DE"/>
    <w:rsid w:val="00E22999"/>
    <w:rsid w:val="00E22AE4"/>
    <w:rsid w:val="00E235C9"/>
    <w:rsid w:val="00E235D2"/>
    <w:rsid w:val="00E23E80"/>
    <w:rsid w:val="00E23E9A"/>
    <w:rsid w:val="00E2406B"/>
    <w:rsid w:val="00E24548"/>
    <w:rsid w:val="00E2461C"/>
    <w:rsid w:val="00E25017"/>
    <w:rsid w:val="00E25A95"/>
    <w:rsid w:val="00E26128"/>
    <w:rsid w:val="00E265C2"/>
    <w:rsid w:val="00E26E1B"/>
    <w:rsid w:val="00E2711D"/>
    <w:rsid w:val="00E2728F"/>
    <w:rsid w:val="00E30147"/>
    <w:rsid w:val="00E302F6"/>
    <w:rsid w:val="00E30A1D"/>
    <w:rsid w:val="00E32849"/>
    <w:rsid w:val="00E3285A"/>
    <w:rsid w:val="00E331EC"/>
    <w:rsid w:val="00E3359E"/>
    <w:rsid w:val="00E336BA"/>
    <w:rsid w:val="00E351F3"/>
    <w:rsid w:val="00E36437"/>
    <w:rsid w:val="00E3794A"/>
    <w:rsid w:val="00E404D2"/>
    <w:rsid w:val="00E412EC"/>
    <w:rsid w:val="00E41D05"/>
    <w:rsid w:val="00E4241D"/>
    <w:rsid w:val="00E42B81"/>
    <w:rsid w:val="00E42C2B"/>
    <w:rsid w:val="00E43459"/>
    <w:rsid w:val="00E435FA"/>
    <w:rsid w:val="00E442E0"/>
    <w:rsid w:val="00E44E51"/>
    <w:rsid w:val="00E457B1"/>
    <w:rsid w:val="00E4660A"/>
    <w:rsid w:val="00E4668A"/>
    <w:rsid w:val="00E47609"/>
    <w:rsid w:val="00E47791"/>
    <w:rsid w:val="00E47BB0"/>
    <w:rsid w:val="00E50512"/>
    <w:rsid w:val="00E50634"/>
    <w:rsid w:val="00E506C4"/>
    <w:rsid w:val="00E519FE"/>
    <w:rsid w:val="00E51F73"/>
    <w:rsid w:val="00E52CE2"/>
    <w:rsid w:val="00E5366E"/>
    <w:rsid w:val="00E53BFF"/>
    <w:rsid w:val="00E53C73"/>
    <w:rsid w:val="00E53CDB"/>
    <w:rsid w:val="00E55002"/>
    <w:rsid w:val="00E55087"/>
    <w:rsid w:val="00E55A09"/>
    <w:rsid w:val="00E55A4E"/>
    <w:rsid w:val="00E55A6E"/>
    <w:rsid w:val="00E5635E"/>
    <w:rsid w:val="00E57132"/>
    <w:rsid w:val="00E57281"/>
    <w:rsid w:val="00E600F7"/>
    <w:rsid w:val="00E6016A"/>
    <w:rsid w:val="00E608D2"/>
    <w:rsid w:val="00E609D2"/>
    <w:rsid w:val="00E616C9"/>
    <w:rsid w:val="00E6234A"/>
    <w:rsid w:val="00E649E8"/>
    <w:rsid w:val="00E64C65"/>
    <w:rsid w:val="00E65AC0"/>
    <w:rsid w:val="00E668E2"/>
    <w:rsid w:val="00E671FD"/>
    <w:rsid w:val="00E7008F"/>
    <w:rsid w:val="00E701D9"/>
    <w:rsid w:val="00E70A4F"/>
    <w:rsid w:val="00E70D72"/>
    <w:rsid w:val="00E717DF"/>
    <w:rsid w:val="00E71B26"/>
    <w:rsid w:val="00E723C4"/>
    <w:rsid w:val="00E72934"/>
    <w:rsid w:val="00E72A61"/>
    <w:rsid w:val="00E73A37"/>
    <w:rsid w:val="00E73D9E"/>
    <w:rsid w:val="00E741FD"/>
    <w:rsid w:val="00E745B2"/>
    <w:rsid w:val="00E7495C"/>
    <w:rsid w:val="00E7496D"/>
    <w:rsid w:val="00E7627F"/>
    <w:rsid w:val="00E77CF5"/>
    <w:rsid w:val="00E80055"/>
    <w:rsid w:val="00E802FF"/>
    <w:rsid w:val="00E808EE"/>
    <w:rsid w:val="00E80964"/>
    <w:rsid w:val="00E809DB"/>
    <w:rsid w:val="00E80B82"/>
    <w:rsid w:val="00E81011"/>
    <w:rsid w:val="00E81085"/>
    <w:rsid w:val="00E81117"/>
    <w:rsid w:val="00E81216"/>
    <w:rsid w:val="00E81D40"/>
    <w:rsid w:val="00E81E61"/>
    <w:rsid w:val="00E82426"/>
    <w:rsid w:val="00E82487"/>
    <w:rsid w:val="00E82574"/>
    <w:rsid w:val="00E8282A"/>
    <w:rsid w:val="00E82F29"/>
    <w:rsid w:val="00E834CE"/>
    <w:rsid w:val="00E836DC"/>
    <w:rsid w:val="00E83739"/>
    <w:rsid w:val="00E83F4E"/>
    <w:rsid w:val="00E86940"/>
    <w:rsid w:val="00E86E2F"/>
    <w:rsid w:val="00E86E5D"/>
    <w:rsid w:val="00E87544"/>
    <w:rsid w:val="00E90224"/>
    <w:rsid w:val="00E907B2"/>
    <w:rsid w:val="00E92537"/>
    <w:rsid w:val="00E92A05"/>
    <w:rsid w:val="00E93191"/>
    <w:rsid w:val="00E931FA"/>
    <w:rsid w:val="00E9418F"/>
    <w:rsid w:val="00E941FF"/>
    <w:rsid w:val="00E943CC"/>
    <w:rsid w:val="00E9495D"/>
    <w:rsid w:val="00E96CEB"/>
    <w:rsid w:val="00E96F76"/>
    <w:rsid w:val="00EA06BE"/>
    <w:rsid w:val="00EA2324"/>
    <w:rsid w:val="00EA27D3"/>
    <w:rsid w:val="00EA2FFE"/>
    <w:rsid w:val="00EA395E"/>
    <w:rsid w:val="00EA3F0F"/>
    <w:rsid w:val="00EA4176"/>
    <w:rsid w:val="00EA6D01"/>
    <w:rsid w:val="00EA733C"/>
    <w:rsid w:val="00EB0302"/>
    <w:rsid w:val="00EB0975"/>
    <w:rsid w:val="00EB1804"/>
    <w:rsid w:val="00EB19B0"/>
    <w:rsid w:val="00EB4714"/>
    <w:rsid w:val="00EB4FF2"/>
    <w:rsid w:val="00EB5497"/>
    <w:rsid w:val="00EB67C5"/>
    <w:rsid w:val="00EB708F"/>
    <w:rsid w:val="00EB783C"/>
    <w:rsid w:val="00EB7F8E"/>
    <w:rsid w:val="00EC0176"/>
    <w:rsid w:val="00EC0F1C"/>
    <w:rsid w:val="00EC2DE2"/>
    <w:rsid w:val="00EC2EBA"/>
    <w:rsid w:val="00EC4A48"/>
    <w:rsid w:val="00EC4F7A"/>
    <w:rsid w:val="00EC584E"/>
    <w:rsid w:val="00EC5935"/>
    <w:rsid w:val="00EC64B7"/>
    <w:rsid w:val="00EC7506"/>
    <w:rsid w:val="00EC75D9"/>
    <w:rsid w:val="00ED00F5"/>
    <w:rsid w:val="00ED0A61"/>
    <w:rsid w:val="00ED0C67"/>
    <w:rsid w:val="00ED149F"/>
    <w:rsid w:val="00ED176D"/>
    <w:rsid w:val="00ED18AA"/>
    <w:rsid w:val="00ED1FFA"/>
    <w:rsid w:val="00ED2A78"/>
    <w:rsid w:val="00ED2EFA"/>
    <w:rsid w:val="00ED37C8"/>
    <w:rsid w:val="00ED3CC3"/>
    <w:rsid w:val="00ED4185"/>
    <w:rsid w:val="00ED4978"/>
    <w:rsid w:val="00ED4A57"/>
    <w:rsid w:val="00ED5636"/>
    <w:rsid w:val="00ED69A2"/>
    <w:rsid w:val="00ED69E7"/>
    <w:rsid w:val="00ED6D9C"/>
    <w:rsid w:val="00ED6DE5"/>
    <w:rsid w:val="00ED7630"/>
    <w:rsid w:val="00ED7DEF"/>
    <w:rsid w:val="00EE023E"/>
    <w:rsid w:val="00EE0BD1"/>
    <w:rsid w:val="00EE271D"/>
    <w:rsid w:val="00EE2E4C"/>
    <w:rsid w:val="00EE32AE"/>
    <w:rsid w:val="00EE3C01"/>
    <w:rsid w:val="00EE40D1"/>
    <w:rsid w:val="00EE4351"/>
    <w:rsid w:val="00EE4E34"/>
    <w:rsid w:val="00EE4EE1"/>
    <w:rsid w:val="00EE620D"/>
    <w:rsid w:val="00EE6671"/>
    <w:rsid w:val="00EE67C0"/>
    <w:rsid w:val="00EE726A"/>
    <w:rsid w:val="00EE73EF"/>
    <w:rsid w:val="00EF0523"/>
    <w:rsid w:val="00EF0575"/>
    <w:rsid w:val="00EF16AA"/>
    <w:rsid w:val="00EF27DA"/>
    <w:rsid w:val="00EF3619"/>
    <w:rsid w:val="00EF3C0D"/>
    <w:rsid w:val="00EF5804"/>
    <w:rsid w:val="00EF6C85"/>
    <w:rsid w:val="00EF72CB"/>
    <w:rsid w:val="00EF7A04"/>
    <w:rsid w:val="00F02CDF"/>
    <w:rsid w:val="00F02FE6"/>
    <w:rsid w:val="00F03112"/>
    <w:rsid w:val="00F034CB"/>
    <w:rsid w:val="00F03574"/>
    <w:rsid w:val="00F046E0"/>
    <w:rsid w:val="00F0518E"/>
    <w:rsid w:val="00F05696"/>
    <w:rsid w:val="00F06C76"/>
    <w:rsid w:val="00F06EC1"/>
    <w:rsid w:val="00F0741A"/>
    <w:rsid w:val="00F10892"/>
    <w:rsid w:val="00F10DE2"/>
    <w:rsid w:val="00F114FC"/>
    <w:rsid w:val="00F11909"/>
    <w:rsid w:val="00F11E8B"/>
    <w:rsid w:val="00F11EF3"/>
    <w:rsid w:val="00F11F11"/>
    <w:rsid w:val="00F12123"/>
    <w:rsid w:val="00F1247A"/>
    <w:rsid w:val="00F1249D"/>
    <w:rsid w:val="00F128E5"/>
    <w:rsid w:val="00F12B1F"/>
    <w:rsid w:val="00F1312B"/>
    <w:rsid w:val="00F13C91"/>
    <w:rsid w:val="00F1411A"/>
    <w:rsid w:val="00F1431D"/>
    <w:rsid w:val="00F15292"/>
    <w:rsid w:val="00F15462"/>
    <w:rsid w:val="00F1572C"/>
    <w:rsid w:val="00F159CD"/>
    <w:rsid w:val="00F15FE2"/>
    <w:rsid w:val="00F1625F"/>
    <w:rsid w:val="00F16741"/>
    <w:rsid w:val="00F1734E"/>
    <w:rsid w:val="00F21509"/>
    <w:rsid w:val="00F21D6C"/>
    <w:rsid w:val="00F21F93"/>
    <w:rsid w:val="00F2312B"/>
    <w:rsid w:val="00F234ED"/>
    <w:rsid w:val="00F24A25"/>
    <w:rsid w:val="00F24E38"/>
    <w:rsid w:val="00F25365"/>
    <w:rsid w:val="00F2574C"/>
    <w:rsid w:val="00F27A0B"/>
    <w:rsid w:val="00F27DE1"/>
    <w:rsid w:val="00F302BD"/>
    <w:rsid w:val="00F30E78"/>
    <w:rsid w:val="00F30F34"/>
    <w:rsid w:val="00F311DC"/>
    <w:rsid w:val="00F31B9C"/>
    <w:rsid w:val="00F32C11"/>
    <w:rsid w:val="00F33E35"/>
    <w:rsid w:val="00F34933"/>
    <w:rsid w:val="00F35D60"/>
    <w:rsid w:val="00F35F1B"/>
    <w:rsid w:val="00F36277"/>
    <w:rsid w:val="00F3655E"/>
    <w:rsid w:val="00F374AB"/>
    <w:rsid w:val="00F3758A"/>
    <w:rsid w:val="00F3769B"/>
    <w:rsid w:val="00F37F59"/>
    <w:rsid w:val="00F40217"/>
    <w:rsid w:val="00F41042"/>
    <w:rsid w:val="00F417AF"/>
    <w:rsid w:val="00F42059"/>
    <w:rsid w:val="00F42918"/>
    <w:rsid w:val="00F42B10"/>
    <w:rsid w:val="00F43610"/>
    <w:rsid w:val="00F43989"/>
    <w:rsid w:val="00F44266"/>
    <w:rsid w:val="00F444B5"/>
    <w:rsid w:val="00F45073"/>
    <w:rsid w:val="00F46480"/>
    <w:rsid w:val="00F47308"/>
    <w:rsid w:val="00F47F7A"/>
    <w:rsid w:val="00F5016F"/>
    <w:rsid w:val="00F501C8"/>
    <w:rsid w:val="00F501EF"/>
    <w:rsid w:val="00F50B50"/>
    <w:rsid w:val="00F513D7"/>
    <w:rsid w:val="00F51B62"/>
    <w:rsid w:val="00F51C00"/>
    <w:rsid w:val="00F52923"/>
    <w:rsid w:val="00F52B16"/>
    <w:rsid w:val="00F53C7E"/>
    <w:rsid w:val="00F54201"/>
    <w:rsid w:val="00F54858"/>
    <w:rsid w:val="00F54F00"/>
    <w:rsid w:val="00F55820"/>
    <w:rsid w:val="00F55AD4"/>
    <w:rsid w:val="00F55E91"/>
    <w:rsid w:val="00F56B72"/>
    <w:rsid w:val="00F56C13"/>
    <w:rsid w:val="00F56F65"/>
    <w:rsid w:val="00F57B29"/>
    <w:rsid w:val="00F57F6D"/>
    <w:rsid w:val="00F6029A"/>
    <w:rsid w:val="00F607C5"/>
    <w:rsid w:val="00F61566"/>
    <w:rsid w:val="00F61CDB"/>
    <w:rsid w:val="00F62662"/>
    <w:rsid w:val="00F62ED7"/>
    <w:rsid w:val="00F63145"/>
    <w:rsid w:val="00F636A0"/>
    <w:rsid w:val="00F63F50"/>
    <w:rsid w:val="00F674D2"/>
    <w:rsid w:val="00F67A10"/>
    <w:rsid w:val="00F67AD1"/>
    <w:rsid w:val="00F70D2C"/>
    <w:rsid w:val="00F7139A"/>
    <w:rsid w:val="00F71DBE"/>
    <w:rsid w:val="00F72F2A"/>
    <w:rsid w:val="00F751EE"/>
    <w:rsid w:val="00F759BC"/>
    <w:rsid w:val="00F800BE"/>
    <w:rsid w:val="00F8028B"/>
    <w:rsid w:val="00F804DA"/>
    <w:rsid w:val="00F80DCD"/>
    <w:rsid w:val="00F80E8C"/>
    <w:rsid w:val="00F81C11"/>
    <w:rsid w:val="00F820B5"/>
    <w:rsid w:val="00F82A88"/>
    <w:rsid w:val="00F8338C"/>
    <w:rsid w:val="00F83D35"/>
    <w:rsid w:val="00F83FB3"/>
    <w:rsid w:val="00F8448C"/>
    <w:rsid w:val="00F8490E"/>
    <w:rsid w:val="00F8519A"/>
    <w:rsid w:val="00F85722"/>
    <w:rsid w:val="00F8627B"/>
    <w:rsid w:val="00F86C3A"/>
    <w:rsid w:val="00F86D46"/>
    <w:rsid w:val="00F8771F"/>
    <w:rsid w:val="00F90190"/>
    <w:rsid w:val="00F919C0"/>
    <w:rsid w:val="00F920DD"/>
    <w:rsid w:val="00F922EF"/>
    <w:rsid w:val="00F93270"/>
    <w:rsid w:val="00F935AC"/>
    <w:rsid w:val="00F93A22"/>
    <w:rsid w:val="00F946E3"/>
    <w:rsid w:val="00F95A89"/>
    <w:rsid w:val="00F95D1A"/>
    <w:rsid w:val="00F96395"/>
    <w:rsid w:val="00F96CE1"/>
    <w:rsid w:val="00F97229"/>
    <w:rsid w:val="00F978F3"/>
    <w:rsid w:val="00FA0E08"/>
    <w:rsid w:val="00FA0F74"/>
    <w:rsid w:val="00FA2158"/>
    <w:rsid w:val="00FA37DA"/>
    <w:rsid w:val="00FA5122"/>
    <w:rsid w:val="00FA5520"/>
    <w:rsid w:val="00FA6850"/>
    <w:rsid w:val="00FA6CE1"/>
    <w:rsid w:val="00FA7102"/>
    <w:rsid w:val="00FA764B"/>
    <w:rsid w:val="00FA7813"/>
    <w:rsid w:val="00FB01AE"/>
    <w:rsid w:val="00FB0A1F"/>
    <w:rsid w:val="00FB103F"/>
    <w:rsid w:val="00FB1BC3"/>
    <w:rsid w:val="00FB2045"/>
    <w:rsid w:val="00FB2691"/>
    <w:rsid w:val="00FB2AA7"/>
    <w:rsid w:val="00FB3002"/>
    <w:rsid w:val="00FB3E3A"/>
    <w:rsid w:val="00FB4569"/>
    <w:rsid w:val="00FB4FEE"/>
    <w:rsid w:val="00FB561A"/>
    <w:rsid w:val="00FB5E17"/>
    <w:rsid w:val="00FB65B4"/>
    <w:rsid w:val="00FB798D"/>
    <w:rsid w:val="00FC0634"/>
    <w:rsid w:val="00FC1F3B"/>
    <w:rsid w:val="00FC269C"/>
    <w:rsid w:val="00FC3230"/>
    <w:rsid w:val="00FC33D5"/>
    <w:rsid w:val="00FC48A2"/>
    <w:rsid w:val="00FC4975"/>
    <w:rsid w:val="00FC4E46"/>
    <w:rsid w:val="00FC62E6"/>
    <w:rsid w:val="00FC63C6"/>
    <w:rsid w:val="00FC69E0"/>
    <w:rsid w:val="00FC7328"/>
    <w:rsid w:val="00FC738F"/>
    <w:rsid w:val="00FD02A1"/>
    <w:rsid w:val="00FD0504"/>
    <w:rsid w:val="00FD0B93"/>
    <w:rsid w:val="00FD0BDE"/>
    <w:rsid w:val="00FD1474"/>
    <w:rsid w:val="00FD1AF0"/>
    <w:rsid w:val="00FD2A1C"/>
    <w:rsid w:val="00FD446B"/>
    <w:rsid w:val="00FD4636"/>
    <w:rsid w:val="00FD4E1A"/>
    <w:rsid w:val="00FD5541"/>
    <w:rsid w:val="00FD6A07"/>
    <w:rsid w:val="00FD6CEF"/>
    <w:rsid w:val="00FD6DDF"/>
    <w:rsid w:val="00FE03D4"/>
    <w:rsid w:val="00FE1498"/>
    <w:rsid w:val="00FE2328"/>
    <w:rsid w:val="00FE330A"/>
    <w:rsid w:val="00FE3422"/>
    <w:rsid w:val="00FE3AC1"/>
    <w:rsid w:val="00FE3CDB"/>
    <w:rsid w:val="00FE4D5B"/>
    <w:rsid w:val="00FE54E5"/>
    <w:rsid w:val="00FE74AD"/>
    <w:rsid w:val="00FE7714"/>
    <w:rsid w:val="00FF0305"/>
    <w:rsid w:val="00FF056A"/>
    <w:rsid w:val="00FF1550"/>
    <w:rsid w:val="00FF2070"/>
    <w:rsid w:val="00FF296C"/>
    <w:rsid w:val="00FF3007"/>
    <w:rsid w:val="00FF4746"/>
    <w:rsid w:val="00FF4D1F"/>
    <w:rsid w:val="00FF6E12"/>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style="mso-position-horizontal-relative:page;mso-position-vertical-relative:page;mso-width-percent:60;mso-height-percent:1000" o:allowincell="f" fillcolor="none [1303]" strokecolor="none [1303]">
      <v:fill color="none [1303]" color2="fill lighten(165)" rotate="t" method="linear sigma" focus="100%" type="gradient"/>
      <v:stroke color="none [1303]" weight="1pt"/>
      <v:imagedata embosscolor="shadow add(51)"/>
      <v:shadow type="perspective" color="none [2408]" origin=",.5" offset="0,-123pt" offset2=",-246pt" matrix=",,,-1"/>
      <o:extrusion v:ext="view" backdepth="0" color="none [1343]" rotationangle="25,25" viewpoint="0,0" viewpointorigin="0,0" skewangle="0" skewamt="0" lightposition="-50000,-50000" lightposition2="50000"/>
      <v:textbox inset="0,1in,1in,1in"/>
      <o:colormenu v:ext="edit" fillcolor="none"/>
    </o:shapedefaults>
    <o:shapelayout v:ext="edit">
      <o:idmap v:ext="edit" data="1"/>
    </o:shapelayout>
  </w:shapeDefaults>
  <w:decimalSymbol w:val="."/>
  <w:listSeparator w:val=","/>
  <w14:docId w14:val="4B22CFD3"/>
  <w15:docId w15:val="{D5E4FBB0-CF3D-4EA3-87F9-E1F1D755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FEE"/>
  </w:style>
  <w:style w:type="paragraph" w:styleId="Heading1">
    <w:name w:val="heading 1"/>
    <w:basedOn w:val="Normal"/>
    <w:next w:val="Normal"/>
    <w:link w:val="Heading1Char"/>
    <w:uiPriority w:val="1"/>
    <w:qFormat/>
    <w:rsid w:val="007D1FEE"/>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unhideWhenUsed/>
    <w:qFormat/>
    <w:rsid w:val="007D1FEE"/>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unhideWhenUsed/>
    <w:qFormat/>
    <w:rsid w:val="007D1FEE"/>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aliases w:val="Sub-Minor,Oscar Faber 4,Te,Te1,Te2,Te3,Te4,Te5,Te6,Te7,Te8,Te9,Te10,Te11,Te91,Te12,Te21,Te31,Te41,Te51,Te61,Te71,Te81,Te92,Te101,Te111,Te911,Te13,Te22,Te32,Te42,Te52,Te62,Te72,Te82,Te93,Te102,Te112,Te912,Te14,Te23,Te33,Te43,Te53,Te63,Te73"/>
    <w:basedOn w:val="Normal"/>
    <w:next w:val="Normal"/>
    <w:link w:val="Heading4Char"/>
    <w:uiPriority w:val="9"/>
    <w:unhideWhenUsed/>
    <w:qFormat/>
    <w:rsid w:val="007D1FEE"/>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unhideWhenUsed/>
    <w:qFormat/>
    <w:rsid w:val="007D1FEE"/>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unhideWhenUsed/>
    <w:qFormat/>
    <w:rsid w:val="007D1FEE"/>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unhideWhenUsed/>
    <w:qFormat/>
    <w:rsid w:val="007D1FEE"/>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unhideWhenUsed/>
    <w:qFormat/>
    <w:rsid w:val="007D1FEE"/>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unhideWhenUsed/>
    <w:qFormat/>
    <w:rsid w:val="007D1FEE"/>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D1FEE"/>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rsid w:val="007D1FEE"/>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rsid w:val="007D1FEE"/>
    <w:rPr>
      <w:rFonts w:asciiTheme="majorHAnsi" w:eastAsiaTheme="majorEastAsia" w:hAnsiTheme="majorHAnsi" w:cstheme="majorBidi"/>
      <w:color w:val="E36C0A" w:themeColor="accent6" w:themeShade="BF"/>
      <w:sz w:val="24"/>
      <w:szCs w:val="24"/>
    </w:rPr>
  </w:style>
  <w:style w:type="character" w:customStyle="1" w:styleId="Heading4Char">
    <w:name w:val="Heading 4 Char"/>
    <w:aliases w:val="Sub-Minor Char,Oscar Faber 4 Char,Te Char,Te1 Char,Te2 Char,Te3 Char,Te4 Char,Te5 Char,Te6 Char,Te7 Char,Te8 Char,Te9 Char,Te10 Char,Te11 Char,Te91 Char,Te12 Char,Te21 Char,Te31 Char,Te41 Char,Te51 Char,Te61 Char,Te71 Char,Te81 Char"/>
    <w:basedOn w:val="DefaultParagraphFont"/>
    <w:link w:val="Heading4"/>
    <w:uiPriority w:val="9"/>
    <w:rsid w:val="007D1FEE"/>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rsid w:val="007D1FEE"/>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rsid w:val="007D1FEE"/>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rsid w:val="007D1FEE"/>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rsid w:val="007D1FEE"/>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rsid w:val="007D1FEE"/>
    <w:rPr>
      <w:rFonts w:asciiTheme="majorHAnsi" w:eastAsiaTheme="majorEastAsia" w:hAnsiTheme="majorHAnsi" w:cstheme="majorBidi"/>
      <w:i/>
      <w:iCs/>
      <w:color w:val="F79646" w:themeColor="accent6"/>
      <w:sz w:val="20"/>
      <w:szCs w:val="20"/>
    </w:rPr>
  </w:style>
  <w:style w:type="paragraph" w:styleId="Header">
    <w:name w:val="header"/>
    <w:basedOn w:val="Normal"/>
    <w:link w:val="HeaderChar"/>
    <w:uiPriority w:val="99"/>
    <w:rsid w:val="00234ABE"/>
    <w:pPr>
      <w:tabs>
        <w:tab w:val="center" w:pos="4320"/>
        <w:tab w:val="right" w:pos="8640"/>
      </w:tabs>
    </w:pPr>
  </w:style>
  <w:style w:type="character" w:customStyle="1" w:styleId="HeaderChar">
    <w:name w:val="Header Char"/>
    <w:basedOn w:val="DefaultParagraphFont"/>
    <w:link w:val="Header"/>
    <w:uiPriority w:val="99"/>
    <w:rsid w:val="00234ABE"/>
    <w:rPr>
      <w:rFonts w:ascii="Arial" w:eastAsia="Times New Roman" w:hAnsi="Arial" w:cs="Times New Roman"/>
      <w:szCs w:val="20"/>
      <w:lang w:val="en-US"/>
    </w:rPr>
  </w:style>
  <w:style w:type="paragraph" w:styleId="Footer">
    <w:name w:val="footer"/>
    <w:basedOn w:val="Normal"/>
    <w:link w:val="FooterChar"/>
    <w:uiPriority w:val="99"/>
    <w:rsid w:val="00234ABE"/>
    <w:pPr>
      <w:tabs>
        <w:tab w:val="center" w:pos="4320"/>
        <w:tab w:val="right" w:pos="8640"/>
      </w:tabs>
    </w:pPr>
  </w:style>
  <w:style w:type="character" w:customStyle="1" w:styleId="FooterChar">
    <w:name w:val="Footer Char"/>
    <w:basedOn w:val="DefaultParagraphFont"/>
    <w:link w:val="Footer"/>
    <w:uiPriority w:val="99"/>
    <w:rsid w:val="00234ABE"/>
    <w:rPr>
      <w:rFonts w:ascii="Arial" w:eastAsia="Times New Roman" w:hAnsi="Arial" w:cs="Times New Roman"/>
      <w:szCs w:val="20"/>
      <w:lang w:val="en-US"/>
    </w:rPr>
  </w:style>
  <w:style w:type="paragraph" w:styleId="ListParagraph">
    <w:name w:val="List Paragraph"/>
    <w:aliases w:val="F5 List Paragraph,List Paragraph2,MAIN CONTENT,List Paragraph12,Dot pt,List Paragraph1,Colorful List - Accent 11,List Paragraph Char Char Char,Indicator Text,Numbered Para 1,Bullet Points,Bullet 1,Normal numbered,OBC Bullet,L"/>
    <w:basedOn w:val="Normal"/>
    <w:link w:val="ListParagraphChar"/>
    <w:uiPriority w:val="99"/>
    <w:qFormat/>
    <w:rsid w:val="00234ABE"/>
    <w:pPr>
      <w:ind w:left="720"/>
      <w:contextualSpacing/>
    </w:pPr>
  </w:style>
  <w:style w:type="character" w:styleId="Hyperlink">
    <w:name w:val="Hyperlink"/>
    <w:basedOn w:val="DefaultParagraphFont"/>
    <w:uiPriority w:val="99"/>
    <w:rsid w:val="00234ABE"/>
    <w:rPr>
      <w:color w:val="0000FF"/>
      <w:u w:val="single"/>
    </w:rPr>
  </w:style>
  <w:style w:type="paragraph" w:styleId="TOC1">
    <w:name w:val="toc 1"/>
    <w:basedOn w:val="Normal"/>
    <w:next w:val="Normal"/>
    <w:autoRedefine/>
    <w:uiPriority w:val="39"/>
    <w:rsid w:val="00234ABE"/>
    <w:pPr>
      <w:spacing w:after="100"/>
    </w:pPr>
  </w:style>
  <w:style w:type="paragraph" w:styleId="TOC2">
    <w:name w:val="toc 2"/>
    <w:basedOn w:val="Normal"/>
    <w:next w:val="Normal"/>
    <w:autoRedefine/>
    <w:uiPriority w:val="39"/>
    <w:rsid w:val="00234ABE"/>
    <w:pPr>
      <w:spacing w:after="100"/>
      <w:ind w:left="200"/>
    </w:pPr>
  </w:style>
  <w:style w:type="paragraph" w:styleId="Title">
    <w:name w:val="Title"/>
    <w:basedOn w:val="Normal"/>
    <w:next w:val="Normal"/>
    <w:link w:val="TitleChar"/>
    <w:uiPriority w:val="10"/>
    <w:qFormat/>
    <w:rsid w:val="007D1FEE"/>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7D1FEE"/>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7D1FEE"/>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7D1FEE"/>
    <w:rPr>
      <w:rFonts w:asciiTheme="majorHAnsi" w:eastAsiaTheme="majorEastAsia" w:hAnsiTheme="majorHAnsi" w:cstheme="majorBidi"/>
      <w:sz w:val="30"/>
      <w:szCs w:val="30"/>
    </w:rPr>
  </w:style>
  <w:style w:type="character" w:styleId="Emphasis">
    <w:name w:val="Emphasis"/>
    <w:basedOn w:val="DefaultParagraphFont"/>
    <w:uiPriority w:val="20"/>
    <w:qFormat/>
    <w:rsid w:val="007D1FEE"/>
    <w:rPr>
      <w:i/>
      <w:iCs/>
      <w:color w:val="F79646" w:themeColor="accent6"/>
    </w:rPr>
  </w:style>
  <w:style w:type="character" w:styleId="BookTitle">
    <w:name w:val="Book Title"/>
    <w:basedOn w:val="DefaultParagraphFont"/>
    <w:uiPriority w:val="33"/>
    <w:qFormat/>
    <w:rsid w:val="007D1FEE"/>
    <w:rPr>
      <w:b/>
      <w:bCs/>
      <w:caps w:val="0"/>
      <w:smallCaps/>
      <w:spacing w:val="7"/>
      <w:sz w:val="21"/>
      <w:szCs w:val="21"/>
    </w:rPr>
  </w:style>
  <w:style w:type="paragraph" w:styleId="BalloonText">
    <w:name w:val="Balloon Text"/>
    <w:basedOn w:val="Normal"/>
    <w:link w:val="BalloonTextChar"/>
    <w:uiPriority w:val="99"/>
    <w:unhideWhenUsed/>
    <w:rsid w:val="00234ABE"/>
    <w:rPr>
      <w:rFonts w:ascii="Tahoma" w:hAnsi="Tahoma" w:cs="Tahoma"/>
      <w:sz w:val="16"/>
      <w:szCs w:val="16"/>
    </w:rPr>
  </w:style>
  <w:style w:type="character" w:customStyle="1" w:styleId="BalloonTextChar">
    <w:name w:val="Balloon Text Char"/>
    <w:basedOn w:val="DefaultParagraphFont"/>
    <w:link w:val="BalloonText"/>
    <w:uiPriority w:val="99"/>
    <w:rsid w:val="00234ABE"/>
    <w:rPr>
      <w:rFonts w:ascii="Tahoma" w:eastAsia="Times New Roman" w:hAnsi="Tahoma" w:cs="Tahoma"/>
      <w:sz w:val="16"/>
      <w:szCs w:val="16"/>
      <w:lang w:val="en-US"/>
    </w:rPr>
  </w:style>
  <w:style w:type="paragraph" w:styleId="TOC3">
    <w:name w:val="toc 3"/>
    <w:basedOn w:val="Normal"/>
    <w:next w:val="Normal"/>
    <w:autoRedefine/>
    <w:uiPriority w:val="39"/>
    <w:unhideWhenUsed/>
    <w:rsid w:val="00234ABE"/>
    <w:pPr>
      <w:spacing w:after="100"/>
      <w:ind w:left="440"/>
    </w:pPr>
  </w:style>
  <w:style w:type="character" w:styleId="Strong">
    <w:name w:val="Strong"/>
    <w:basedOn w:val="DefaultParagraphFont"/>
    <w:uiPriority w:val="22"/>
    <w:qFormat/>
    <w:rsid w:val="007D1FEE"/>
    <w:rPr>
      <w:b/>
      <w:bCs/>
    </w:rPr>
  </w:style>
  <w:style w:type="paragraph" w:styleId="NoSpacing">
    <w:name w:val="No Spacing"/>
    <w:uiPriority w:val="1"/>
    <w:qFormat/>
    <w:rsid w:val="007D1FEE"/>
    <w:pPr>
      <w:spacing w:after="0" w:line="240" w:lineRule="auto"/>
    </w:pPr>
  </w:style>
  <w:style w:type="paragraph" w:customStyle="1" w:styleId="xl74">
    <w:name w:val="xl74"/>
    <w:basedOn w:val="Normal"/>
    <w:rsid w:val="00450A4B"/>
    <w:pPr>
      <w:spacing w:before="100" w:beforeAutospacing="1" w:after="100" w:afterAutospacing="1"/>
    </w:pPr>
    <w:rPr>
      <w:rFonts w:cs="Arial"/>
      <w:b/>
      <w:bCs/>
      <w:sz w:val="24"/>
      <w:szCs w:val="24"/>
      <w:lang w:eastAsia="en-GB"/>
    </w:rPr>
  </w:style>
  <w:style w:type="paragraph" w:customStyle="1" w:styleId="xl75">
    <w:name w:val="xl75"/>
    <w:basedOn w:val="Normal"/>
    <w:rsid w:val="00450A4B"/>
    <w:pPr>
      <w:spacing w:before="100" w:beforeAutospacing="1" w:after="100" w:afterAutospacing="1"/>
      <w:jc w:val="center"/>
    </w:pPr>
    <w:rPr>
      <w:rFonts w:cs="Arial"/>
      <w:b/>
      <w:bCs/>
      <w:sz w:val="24"/>
      <w:szCs w:val="24"/>
      <w:lang w:eastAsia="en-GB"/>
    </w:rPr>
  </w:style>
  <w:style w:type="paragraph" w:customStyle="1" w:styleId="xl76">
    <w:name w:val="xl76"/>
    <w:basedOn w:val="Normal"/>
    <w:rsid w:val="00450A4B"/>
    <w:pPr>
      <w:spacing w:before="100" w:beforeAutospacing="1" w:after="100" w:afterAutospacing="1"/>
    </w:pPr>
    <w:rPr>
      <w:rFonts w:cs="Arial"/>
      <w:sz w:val="24"/>
      <w:szCs w:val="24"/>
      <w:lang w:eastAsia="en-GB"/>
    </w:rPr>
  </w:style>
  <w:style w:type="paragraph" w:customStyle="1" w:styleId="xl77">
    <w:name w:val="xl77"/>
    <w:basedOn w:val="Normal"/>
    <w:rsid w:val="00450A4B"/>
    <w:pPr>
      <w:spacing w:before="100" w:beforeAutospacing="1" w:after="100" w:afterAutospacing="1"/>
    </w:pPr>
    <w:rPr>
      <w:rFonts w:cs="Arial"/>
      <w:sz w:val="24"/>
      <w:szCs w:val="24"/>
      <w:lang w:eastAsia="en-GB"/>
    </w:rPr>
  </w:style>
  <w:style w:type="paragraph" w:customStyle="1" w:styleId="xl78">
    <w:name w:val="xl78"/>
    <w:basedOn w:val="Normal"/>
    <w:rsid w:val="00450A4B"/>
    <w:pPr>
      <w:spacing w:before="100" w:beforeAutospacing="1" w:after="100" w:afterAutospacing="1"/>
      <w:jc w:val="center"/>
    </w:pPr>
    <w:rPr>
      <w:rFonts w:cs="Arial"/>
      <w:sz w:val="24"/>
      <w:szCs w:val="24"/>
      <w:lang w:eastAsia="en-GB"/>
    </w:rPr>
  </w:style>
  <w:style w:type="paragraph" w:customStyle="1" w:styleId="xl79">
    <w:name w:val="xl79"/>
    <w:basedOn w:val="Normal"/>
    <w:rsid w:val="00450A4B"/>
    <w:pPr>
      <w:pBdr>
        <w:top w:val="single" w:sz="4" w:space="0" w:color="auto"/>
        <w:left w:val="single" w:sz="4" w:space="0" w:color="auto"/>
      </w:pBdr>
      <w:spacing w:before="100" w:beforeAutospacing="1" w:after="100" w:afterAutospacing="1"/>
    </w:pPr>
    <w:rPr>
      <w:rFonts w:cs="Arial"/>
      <w:b/>
      <w:bCs/>
      <w:sz w:val="24"/>
      <w:szCs w:val="24"/>
      <w:lang w:eastAsia="en-GB"/>
    </w:rPr>
  </w:style>
  <w:style w:type="paragraph" w:customStyle="1" w:styleId="xl80">
    <w:name w:val="xl80"/>
    <w:basedOn w:val="Normal"/>
    <w:rsid w:val="00450A4B"/>
    <w:pPr>
      <w:pBdr>
        <w:top w:val="single" w:sz="4" w:space="0" w:color="auto"/>
        <w:left w:val="single" w:sz="4" w:space="0" w:color="auto"/>
      </w:pBdr>
      <w:spacing w:before="100" w:beforeAutospacing="1" w:after="100" w:afterAutospacing="1"/>
      <w:jc w:val="center"/>
    </w:pPr>
    <w:rPr>
      <w:rFonts w:cs="Arial"/>
      <w:b/>
      <w:bCs/>
      <w:sz w:val="24"/>
      <w:szCs w:val="24"/>
      <w:lang w:eastAsia="en-GB"/>
    </w:rPr>
  </w:style>
  <w:style w:type="paragraph" w:customStyle="1" w:styleId="xl81">
    <w:name w:val="xl81"/>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2">
    <w:name w:val="xl82"/>
    <w:basedOn w:val="Normal"/>
    <w:rsid w:val="00450A4B"/>
    <w:pPr>
      <w:pBdr>
        <w:top w:val="single" w:sz="4" w:space="0" w:color="auto"/>
      </w:pBdr>
      <w:spacing w:before="100" w:beforeAutospacing="1" w:after="100" w:afterAutospacing="1"/>
      <w:jc w:val="center"/>
    </w:pPr>
    <w:rPr>
      <w:rFonts w:cs="Arial"/>
      <w:b/>
      <w:bCs/>
      <w:sz w:val="24"/>
      <w:szCs w:val="24"/>
      <w:lang w:eastAsia="en-GB"/>
    </w:rPr>
  </w:style>
  <w:style w:type="paragraph" w:customStyle="1" w:styleId="xl83">
    <w:name w:val="xl83"/>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4">
    <w:name w:val="xl84"/>
    <w:basedOn w:val="Normal"/>
    <w:rsid w:val="00450A4B"/>
    <w:pPr>
      <w:pBdr>
        <w:top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5">
    <w:name w:val="xl85"/>
    <w:basedOn w:val="Normal"/>
    <w:rsid w:val="00450A4B"/>
    <w:pPr>
      <w:pBdr>
        <w:left w:val="single" w:sz="4" w:space="0" w:color="auto"/>
      </w:pBdr>
      <w:spacing w:before="100" w:beforeAutospacing="1" w:after="100" w:afterAutospacing="1"/>
    </w:pPr>
    <w:rPr>
      <w:rFonts w:cs="Arial"/>
      <w:b/>
      <w:bCs/>
      <w:sz w:val="24"/>
      <w:szCs w:val="24"/>
      <w:lang w:eastAsia="en-GB"/>
    </w:rPr>
  </w:style>
  <w:style w:type="paragraph" w:customStyle="1" w:styleId="xl86">
    <w:name w:val="xl86"/>
    <w:basedOn w:val="Normal"/>
    <w:rsid w:val="00450A4B"/>
    <w:pPr>
      <w:pBdr>
        <w:left w:val="single" w:sz="4" w:space="0" w:color="auto"/>
      </w:pBdr>
      <w:spacing w:before="100" w:beforeAutospacing="1" w:after="100" w:afterAutospacing="1"/>
      <w:jc w:val="center"/>
    </w:pPr>
    <w:rPr>
      <w:rFonts w:cs="Arial"/>
      <w:b/>
      <w:bCs/>
      <w:sz w:val="24"/>
      <w:szCs w:val="24"/>
      <w:lang w:eastAsia="en-GB"/>
    </w:rPr>
  </w:style>
  <w:style w:type="paragraph" w:customStyle="1" w:styleId="xl87">
    <w:name w:val="xl8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88">
    <w:name w:val="xl88"/>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89">
    <w:name w:val="xl89"/>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90">
    <w:name w:val="xl90"/>
    <w:basedOn w:val="Normal"/>
    <w:rsid w:val="00450A4B"/>
    <w:pPr>
      <w:pBdr>
        <w:left w:val="single" w:sz="4" w:space="0" w:color="auto"/>
        <w:bottom w:val="single" w:sz="4" w:space="0" w:color="auto"/>
      </w:pBdr>
      <w:spacing w:before="100" w:beforeAutospacing="1" w:after="100" w:afterAutospacing="1"/>
    </w:pPr>
    <w:rPr>
      <w:rFonts w:cs="Arial"/>
      <w:b/>
      <w:bCs/>
      <w:sz w:val="24"/>
      <w:szCs w:val="24"/>
      <w:lang w:eastAsia="en-GB"/>
    </w:rPr>
  </w:style>
  <w:style w:type="paragraph" w:customStyle="1" w:styleId="xl91">
    <w:name w:val="xl91"/>
    <w:basedOn w:val="Normal"/>
    <w:rsid w:val="00450A4B"/>
    <w:pPr>
      <w:pBdr>
        <w:left w:val="single" w:sz="4" w:space="0" w:color="auto"/>
        <w:bottom w:val="single" w:sz="4" w:space="0" w:color="auto"/>
      </w:pBdr>
      <w:spacing w:before="100" w:beforeAutospacing="1" w:after="100" w:afterAutospacing="1"/>
      <w:jc w:val="center"/>
    </w:pPr>
    <w:rPr>
      <w:rFonts w:cs="Arial"/>
      <w:b/>
      <w:bCs/>
      <w:sz w:val="24"/>
      <w:szCs w:val="24"/>
      <w:lang w:eastAsia="en-GB"/>
    </w:rPr>
  </w:style>
  <w:style w:type="paragraph" w:customStyle="1" w:styleId="xl92">
    <w:name w:val="xl92"/>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93">
    <w:name w:val="xl93"/>
    <w:basedOn w:val="Normal"/>
    <w:rsid w:val="00450A4B"/>
    <w:pPr>
      <w:pBdr>
        <w:bottom w:val="single" w:sz="4" w:space="0" w:color="auto"/>
      </w:pBdr>
      <w:spacing w:before="100" w:beforeAutospacing="1" w:after="100" w:afterAutospacing="1"/>
      <w:jc w:val="center"/>
    </w:pPr>
    <w:rPr>
      <w:rFonts w:cs="Arial"/>
      <w:b/>
      <w:bCs/>
      <w:sz w:val="24"/>
      <w:szCs w:val="24"/>
      <w:lang w:eastAsia="en-GB"/>
    </w:rPr>
  </w:style>
  <w:style w:type="paragraph" w:customStyle="1" w:styleId="xl94">
    <w:name w:val="xl94"/>
    <w:basedOn w:val="Normal"/>
    <w:rsid w:val="00450A4B"/>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5">
    <w:name w:val="xl95"/>
    <w:basedOn w:val="Normal"/>
    <w:rsid w:val="00450A4B"/>
    <w:pPr>
      <w:pBdr>
        <w:bottom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96">
    <w:name w:val="xl96"/>
    <w:basedOn w:val="Normal"/>
    <w:rsid w:val="00450A4B"/>
    <w:pPr>
      <w:pBdr>
        <w:top w:val="single" w:sz="4" w:space="0" w:color="auto"/>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97">
    <w:name w:val="xl97"/>
    <w:basedOn w:val="Normal"/>
    <w:rsid w:val="00450A4B"/>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98">
    <w:name w:val="xl98"/>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99">
    <w:name w:val="xl99"/>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00">
    <w:name w:val="xl10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01">
    <w:name w:val="xl101"/>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02">
    <w:name w:val="xl10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3">
    <w:name w:val="xl103"/>
    <w:basedOn w:val="Normal"/>
    <w:rsid w:val="00450A4B"/>
    <w:pPr>
      <w:spacing w:before="100" w:beforeAutospacing="1" w:after="100" w:afterAutospacing="1"/>
    </w:pPr>
    <w:rPr>
      <w:rFonts w:cs="Arial"/>
      <w:sz w:val="24"/>
      <w:szCs w:val="24"/>
      <w:lang w:eastAsia="en-GB"/>
    </w:rPr>
  </w:style>
  <w:style w:type="paragraph" w:customStyle="1" w:styleId="xl104">
    <w:name w:val="xl104"/>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5">
    <w:name w:val="xl105"/>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06">
    <w:name w:val="xl106"/>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07">
    <w:name w:val="xl107"/>
    <w:basedOn w:val="Normal"/>
    <w:rsid w:val="00450A4B"/>
    <w:pPr>
      <w:pBdr>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08">
    <w:name w:val="xl108"/>
    <w:basedOn w:val="Normal"/>
    <w:rsid w:val="00450A4B"/>
    <w:pPr>
      <w:pBdr>
        <w:right w:val="single" w:sz="4" w:space="0" w:color="auto"/>
      </w:pBdr>
      <w:spacing w:before="100" w:beforeAutospacing="1" w:after="100" w:afterAutospacing="1"/>
    </w:pPr>
    <w:rPr>
      <w:rFonts w:cs="Arial"/>
      <w:b/>
      <w:bCs/>
      <w:sz w:val="24"/>
      <w:szCs w:val="24"/>
      <w:u w:val="single"/>
      <w:lang w:eastAsia="en-GB"/>
    </w:rPr>
  </w:style>
  <w:style w:type="paragraph" w:customStyle="1" w:styleId="xl109">
    <w:name w:val="xl109"/>
    <w:basedOn w:val="Normal"/>
    <w:rsid w:val="00450A4B"/>
    <w:pPr>
      <w:pBdr>
        <w:right w:val="single" w:sz="4" w:space="0" w:color="auto"/>
      </w:pBdr>
      <w:spacing w:before="100" w:beforeAutospacing="1" w:after="100" w:afterAutospacing="1"/>
      <w:jc w:val="center"/>
    </w:pPr>
    <w:rPr>
      <w:rFonts w:cs="Arial"/>
      <w:sz w:val="24"/>
      <w:szCs w:val="24"/>
      <w:lang w:eastAsia="en-GB"/>
    </w:rPr>
  </w:style>
  <w:style w:type="paragraph" w:customStyle="1" w:styleId="xl110">
    <w:name w:val="xl110"/>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11">
    <w:name w:val="xl111"/>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2">
    <w:name w:val="xl11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13">
    <w:name w:val="xl11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4">
    <w:name w:val="xl11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5">
    <w:name w:val="xl115"/>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6">
    <w:name w:val="xl116"/>
    <w:basedOn w:val="Normal"/>
    <w:rsid w:val="00450A4B"/>
    <w:pPr>
      <w:pBdr>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17">
    <w:name w:val="xl117"/>
    <w:basedOn w:val="Normal"/>
    <w:rsid w:val="00450A4B"/>
    <w:pPr>
      <w:pBdr>
        <w:top w:val="single" w:sz="4" w:space="0" w:color="auto"/>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18">
    <w:name w:val="xl118"/>
    <w:basedOn w:val="Normal"/>
    <w:rsid w:val="00450A4B"/>
    <w:pPr>
      <w:pBdr>
        <w:left w:val="single" w:sz="4" w:space="0" w:color="auto"/>
        <w:right w:val="single" w:sz="4" w:space="0" w:color="auto"/>
      </w:pBdr>
      <w:spacing w:before="100" w:beforeAutospacing="1" w:after="100" w:afterAutospacing="1"/>
    </w:pPr>
    <w:rPr>
      <w:rFonts w:cs="Arial"/>
      <w:b/>
      <w:bCs/>
      <w:sz w:val="24"/>
      <w:szCs w:val="24"/>
      <w:u w:val="single"/>
      <w:lang w:eastAsia="en-GB"/>
    </w:rPr>
  </w:style>
  <w:style w:type="paragraph" w:customStyle="1" w:styleId="xl119">
    <w:name w:val="xl119"/>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u w:val="single"/>
      <w:lang w:eastAsia="en-GB"/>
    </w:rPr>
  </w:style>
  <w:style w:type="paragraph" w:customStyle="1" w:styleId="xl120">
    <w:name w:val="xl12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1">
    <w:name w:val="xl121"/>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22">
    <w:name w:val="xl122"/>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23">
    <w:name w:val="xl123"/>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4">
    <w:name w:val="xl124"/>
    <w:basedOn w:val="Normal"/>
    <w:rsid w:val="00450A4B"/>
    <w:pPr>
      <w:pBdr>
        <w:right w:val="single" w:sz="4" w:space="0" w:color="auto"/>
      </w:pBdr>
      <w:spacing w:before="100" w:beforeAutospacing="1" w:after="100" w:afterAutospacing="1"/>
      <w:jc w:val="center"/>
    </w:pPr>
    <w:rPr>
      <w:rFonts w:cs="Arial"/>
      <w:b/>
      <w:bCs/>
      <w:sz w:val="24"/>
      <w:szCs w:val="24"/>
      <w:lang w:eastAsia="en-GB"/>
    </w:rPr>
  </w:style>
  <w:style w:type="paragraph" w:customStyle="1" w:styleId="xl125">
    <w:name w:val="xl125"/>
    <w:basedOn w:val="Normal"/>
    <w:rsid w:val="00450A4B"/>
    <w:pPr>
      <w:spacing w:before="100" w:beforeAutospacing="1" w:after="100" w:afterAutospacing="1"/>
    </w:pPr>
    <w:rPr>
      <w:rFonts w:cs="Arial"/>
      <w:b/>
      <w:bCs/>
      <w:sz w:val="24"/>
      <w:szCs w:val="24"/>
      <w:lang w:eastAsia="en-GB"/>
    </w:rPr>
  </w:style>
  <w:style w:type="paragraph" w:customStyle="1" w:styleId="xl126">
    <w:name w:val="xl126"/>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27">
    <w:name w:val="xl127"/>
    <w:basedOn w:val="Normal"/>
    <w:rsid w:val="00450A4B"/>
    <w:pPr>
      <w:pBdr>
        <w:right w:val="single" w:sz="4" w:space="0" w:color="auto"/>
      </w:pBdr>
      <w:spacing w:before="100" w:beforeAutospacing="1" w:after="100" w:afterAutospacing="1"/>
    </w:pPr>
    <w:rPr>
      <w:rFonts w:cs="Arial"/>
      <w:sz w:val="24"/>
      <w:szCs w:val="24"/>
      <w:lang w:eastAsia="en-GB"/>
    </w:rPr>
  </w:style>
  <w:style w:type="paragraph" w:customStyle="1" w:styleId="xl128">
    <w:name w:val="xl128"/>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29">
    <w:name w:val="xl129"/>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0">
    <w:name w:val="xl130"/>
    <w:basedOn w:val="Normal"/>
    <w:rsid w:val="00450A4B"/>
    <w:pPr>
      <w:pBdr>
        <w:left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1">
    <w:name w:val="xl131"/>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2">
    <w:name w:val="xl132"/>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lang w:eastAsia="en-GB"/>
    </w:rPr>
  </w:style>
  <w:style w:type="paragraph" w:customStyle="1" w:styleId="xl133">
    <w:name w:val="xl133"/>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4">
    <w:name w:val="xl134"/>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sz w:val="24"/>
      <w:szCs w:val="24"/>
      <w:lang w:eastAsia="en-GB"/>
    </w:rPr>
  </w:style>
  <w:style w:type="paragraph" w:customStyle="1" w:styleId="xl135">
    <w:name w:val="xl135"/>
    <w:basedOn w:val="Normal"/>
    <w:rsid w:val="00450A4B"/>
    <w:pPr>
      <w:pBdr>
        <w:left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36">
    <w:name w:val="xl136"/>
    <w:basedOn w:val="Normal"/>
    <w:rsid w:val="00450A4B"/>
    <w:pPr>
      <w:pBdr>
        <w:left w:val="single" w:sz="4" w:space="0" w:color="auto"/>
        <w:bottom w:val="single" w:sz="4" w:space="0" w:color="auto"/>
        <w:right w:val="single" w:sz="4" w:space="0" w:color="auto"/>
      </w:pBdr>
      <w:spacing w:before="100" w:beforeAutospacing="1" w:after="100" w:afterAutospacing="1"/>
    </w:pPr>
    <w:rPr>
      <w:rFonts w:cs="Arial"/>
      <w:sz w:val="24"/>
      <w:szCs w:val="24"/>
      <w:u w:val="single"/>
      <w:lang w:eastAsia="en-GB"/>
    </w:rPr>
  </w:style>
  <w:style w:type="paragraph" w:customStyle="1" w:styleId="xl137">
    <w:name w:val="xl13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38">
    <w:name w:val="xl138"/>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39">
    <w:name w:val="xl139"/>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sz w:val="24"/>
      <w:szCs w:val="24"/>
      <w:lang w:eastAsia="en-GB"/>
    </w:rPr>
  </w:style>
  <w:style w:type="paragraph" w:customStyle="1" w:styleId="xl140">
    <w:name w:val="xl140"/>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1">
    <w:name w:val="xl141"/>
    <w:basedOn w:val="Normal"/>
    <w:rsid w:val="00450A4B"/>
    <w:pPr>
      <w:pBdr>
        <w:left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2">
    <w:name w:val="xl142"/>
    <w:basedOn w:val="Normal"/>
    <w:rsid w:val="00450A4B"/>
    <w:pPr>
      <w:pBdr>
        <w:left w:val="single" w:sz="4" w:space="0" w:color="auto"/>
        <w:right w:val="single" w:sz="4" w:space="0" w:color="auto"/>
      </w:pBdr>
      <w:spacing w:before="100" w:beforeAutospacing="1" w:after="100" w:afterAutospacing="1"/>
    </w:pPr>
    <w:rPr>
      <w:rFonts w:cs="Arial"/>
      <w:b/>
      <w:bCs/>
      <w:sz w:val="24"/>
      <w:szCs w:val="24"/>
      <w:lang w:eastAsia="en-GB"/>
    </w:rPr>
  </w:style>
  <w:style w:type="paragraph" w:customStyle="1" w:styleId="xl143">
    <w:name w:val="xl143"/>
    <w:basedOn w:val="Normal"/>
    <w:rsid w:val="00450A4B"/>
    <w:pPr>
      <w:pBdr>
        <w:left w:val="single" w:sz="4" w:space="0" w:color="auto"/>
        <w:right w:val="single" w:sz="4" w:space="0" w:color="auto"/>
      </w:pBdr>
      <w:spacing w:before="100" w:beforeAutospacing="1" w:after="100" w:afterAutospacing="1"/>
      <w:jc w:val="center"/>
    </w:pPr>
    <w:rPr>
      <w:rFonts w:cs="Arial"/>
      <w:b/>
      <w:bCs/>
      <w:sz w:val="24"/>
      <w:szCs w:val="24"/>
      <w:lang w:eastAsia="en-GB"/>
    </w:rPr>
  </w:style>
  <w:style w:type="paragraph" w:customStyle="1" w:styleId="xl144">
    <w:name w:val="xl144"/>
    <w:basedOn w:val="Normal"/>
    <w:rsid w:val="00450A4B"/>
    <w:pPr>
      <w:pBdr>
        <w:left w:val="single" w:sz="4" w:space="0" w:color="auto"/>
        <w:right w:val="single" w:sz="4" w:space="0" w:color="auto"/>
      </w:pBdr>
      <w:spacing w:before="100" w:beforeAutospacing="1" w:after="100" w:afterAutospacing="1"/>
      <w:jc w:val="center"/>
    </w:pPr>
    <w:rPr>
      <w:rFonts w:cs="Arial"/>
      <w:sz w:val="24"/>
      <w:szCs w:val="24"/>
      <w:lang w:eastAsia="en-GB"/>
    </w:rPr>
  </w:style>
  <w:style w:type="paragraph" w:customStyle="1" w:styleId="xl145">
    <w:name w:val="xl145"/>
    <w:basedOn w:val="Normal"/>
    <w:rsid w:val="00450A4B"/>
    <w:pPr>
      <w:spacing w:before="100" w:beforeAutospacing="1" w:after="100" w:afterAutospacing="1"/>
      <w:jc w:val="center"/>
    </w:pPr>
    <w:rPr>
      <w:rFonts w:cs="Arial"/>
      <w:sz w:val="24"/>
      <w:szCs w:val="24"/>
      <w:lang w:eastAsia="en-GB"/>
    </w:rPr>
  </w:style>
  <w:style w:type="paragraph" w:customStyle="1" w:styleId="xl146">
    <w:name w:val="xl146"/>
    <w:basedOn w:val="Normal"/>
    <w:rsid w:val="00450A4B"/>
    <w:pPr>
      <w:pBdr>
        <w:left w:val="single" w:sz="4" w:space="0" w:color="auto"/>
        <w:bottom w:val="single" w:sz="4"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xl147">
    <w:name w:val="xl147"/>
    <w:basedOn w:val="Normal"/>
    <w:rsid w:val="00450A4B"/>
    <w:pPr>
      <w:pBdr>
        <w:left w:val="single" w:sz="4" w:space="0" w:color="auto"/>
        <w:right w:val="single" w:sz="4" w:space="0" w:color="auto"/>
      </w:pBdr>
      <w:shd w:val="clear" w:color="000000" w:fill="FFFF00"/>
      <w:spacing w:before="100" w:beforeAutospacing="1" w:after="100" w:afterAutospacing="1"/>
      <w:jc w:val="center"/>
    </w:pPr>
    <w:rPr>
      <w:rFonts w:cs="Arial"/>
      <w:b/>
      <w:bCs/>
      <w:sz w:val="24"/>
      <w:szCs w:val="24"/>
      <w:lang w:eastAsia="en-GB"/>
    </w:rPr>
  </w:style>
  <w:style w:type="paragraph" w:customStyle="1" w:styleId="xl148">
    <w:name w:val="xl148"/>
    <w:basedOn w:val="Normal"/>
    <w:rsid w:val="00450A4B"/>
    <w:pPr>
      <w:shd w:val="clear" w:color="000000" w:fill="FFFF00"/>
      <w:spacing w:before="100" w:beforeAutospacing="1" w:after="100" w:afterAutospacing="1"/>
      <w:jc w:val="center"/>
    </w:pPr>
    <w:rPr>
      <w:rFonts w:cs="Arial"/>
      <w:sz w:val="24"/>
      <w:szCs w:val="24"/>
      <w:lang w:eastAsia="en-GB"/>
    </w:rPr>
  </w:style>
  <w:style w:type="paragraph" w:customStyle="1" w:styleId="xl149">
    <w:name w:val="xl149"/>
    <w:basedOn w:val="Normal"/>
    <w:rsid w:val="00450A4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pPr>
    <w:rPr>
      <w:rFonts w:cs="Arial"/>
      <w:b/>
      <w:bCs/>
      <w:sz w:val="24"/>
      <w:szCs w:val="24"/>
      <w:lang w:eastAsia="en-GB"/>
    </w:rPr>
  </w:style>
  <w:style w:type="paragraph" w:customStyle="1" w:styleId="Default">
    <w:name w:val="Default"/>
    <w:link w:val="DefaultChar"/>
    <w:rsid w:val="0068306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CommentText">
    <w:name w:val="annotation text"/>
    <w:basedOn w:val="Normal"/>
    <w:link w:val="CommentTextChar"/>
    <w:uiPriority w:val="99"/>
    <w:unhideWhenUsed/>
    <w:rsid w:val="00224170"/>
    <w:rPr>
      <w:sz w:val="20"/>
    </w:rPr>
  </w:style>
  <w:style w:type="character" w:customStyle="1" w:styleId="CommentTextChar">
    <w:name w:val="Comment Text Char"/>
    <w:basedOn w:val="DefaultParagraphFont"/>
    <w:link w:val="CommentText"/>
    <w:uiPriority w:val="99"/>
    <w:rsid w:val="00224170"/>
    <w:rPr>
      <w:rFonts w:ascii="Arial" w:eastAsia="Times New Roman" w:hAnsi="Arial" w:cs="Times New Roman"/>
      <w:sz w:val="20"/>
      <w:szCs w:val="20"/>
      <w:lang w:val="en-US"/>
    </w:rPr>
  </w:style>
  <w:style w:type="character" w:customStyle="1" w:styleId="CommentSubjectChar">
    <w:name w:val="Comment Subject Char"/>
    <w:basedOn w:val="CommentTextChar"/>
    <w:link w:val="CommentSubject"/>
    <w:uiPriority w:val="99"/>
    <w:rsid w:val="00224170"/>
    <w:rPr>
      <w:rFonts w:ascii="Arial" w:eastAsia="Times New Roman" w:hAnsi="Arial" w:cs="Times New Roman"/>
      <w:b/>
      <w:bCs/>
      <w:sz w:val="20"/>
      <w:szCs w:val="20"/>
      <w:lang w:val="en-US"/>
    </w:rPr>
  </w:style>
  <w:style w:type="paragraph" w:styleId="CommentSubject">
    <w:name w:val="annotation subject"/>
    <w:basedOn w:val="CommentText"/>
    <w:next w:val="CommentText"/>
    <w:link w:val="CommentSubjectChar"/>
    <w:uiPriority w:val="99"/>
    <w:unhideWhenUsed/>
    <w:rsid w:val="00224170"/>
    <w:rPr>
      <w:b/>
      <w:bCs/>
    </w:rPr>
  </w:style>
  <w:style w:type="paragraph" w:styleId="Caption">
    <w:name w:val="caption"/>
    <w:basedOn w:val="Normal"/>
    <w:next w:val="Normal"/>
    <w:uiPriority w:val="35"/>
    <w:unhideWhenUsed/>
    <w:qFormat/>
    <w:rsid w:val="007D1FEE"/>
    <w:pPr>
      <w:spacing w:line="240" w:lineRule="auto"/>
    </w:pPr>
    <w:rPr>
      <w:b/>
      <w:bCs/>
      <w:smallCaps/>
      <w:color w:val="595959" w:themeColor="text1" w:themeTint="A6"/>
    </w:rPr>
  </w:style>
  <w:style w:type="table" w:styleId="TableGrid">
    <w:name w:val="Table Grid"/>
    <w:basedOn w:val="TableNormal"/>
    <w:uiPriority w:val="59"/>
    <w:rsid w:val="000960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7E1F4F"/>
    <w:rPr>
      <w:sz w:val="16"/>
      <w:szCs w:val="16"/>
    </w:rPr>
  </w:style>
  <w:style w:type="paragraph" w:styleId="NormalWeb">
    <w:name w:val="Normal (Web)"/>
    <w:basedOn w:val="Normal"/>
    <w:uiPriority w:val="99"/>
    <w:unhideWhenUsed/>
    <w:rsid w:val="00286139"/>
    <w:pPr>
      <w:spacing w:before="100" w:beforeAutospacing="1" w:after="100" w:afterAutospacing="1"/>
    </w:pPr>
    <w:rPr>
      <w:rFonts w:ascii="Times New Roman" w:hAnsi="Times New Roman"/>
      <w:sz w:val="24"/>
      <w:szCs w:val="24"/>
      <w:lang w:eastAsia="en-GB"/>
    </w:rPr>
  </w:style>
  <w:style w:type="paragraph" w:customStyle="1" w:styleId="NoSpacing1">
    <w:name w:val="No Spacing1"/>
    <w:link w:val="NoSpacingChar"/>
    <w:uiPriority w:val="1"/>
    <w:rsid w:val="00024F25"/>
    <w:pPr>
      <w:spacing w:after="0" w:line="240" w:lineRule="auto"/>
    </w:pPr>
    <w:rPr>
      <w:rFonts w:ascii="Calibri" w:eastAsia="Calibri" w:hAnsi="Calibri" w:cs="Times New Roman"/>
    </w:rPr>
  </w:style>
  <w:style w:type="character" w:customStyle="1" w:styleId="NoSpacingChar">
    <w:name w:val="No Spacing Char"/>
    <w:link w:val="NoSpacing1"/>
    <w:uiPriority w:val="1"/>
    <w:rsid w:val="00024F25"/>
    <w:rPr>
      <w:rFonts w:ascii="Calibri" w:eastAsia="Calibri" w:hAnsi="Calibri" w:cs="Times New Roman"/>
    </w:rPr>
  </w:style>
  <w:style w:type="character" w:customStyle="1" w:styleId="ListParagraphChar">
    <w:name w:val="List Paragraph Char"/>
    <w:aliases w:val="F5 List Paragraph Char,List Paragraph2 Char,MAIN CONTENT Char,List Paragraph12 Char,Dot pt Char,List Paragraph1 Char,Colorful List - Accent 11 Char,List Paragraph Char Char Char Char,Indicator Text Char,Numbered Para 1 Char,L Char"/>
    <w:link w:val="ListParagraph"/>
    <w:uiPriority w:val="34"/>
    <w:qFormat/>
    <w:locked/>
    <w:rsid w:val="009206B3"/>
  </w:style>
  <w:style w:type="paragraph" w:styleId="BodyTextIndent2">
    <w:name w:val="Body Text Indent 2"/>
    <w:basedOn w:val="Normal"/>
    <w:link w:val="BodyTextIndent2Char"/>
    <w:uiPriority w:val="99"/>
    <w:rsid w:val="00242DC2"/>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242DC2"/>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D40704"/>
    <w:pPr>
      <w:spacing w:after="120"/>
      <w:ind w:left="283"/>
    </w:pPr>
  </w:style>
  <w:style w:type="character" w:customStyle="1" w:styleId="BodyTextIndentChar">
    <w:name w:val="Body Text Indent Char"/>
    <w:basedOn w:val="DefaultParagraphFont"/>
    <w:link w:val="BodyTextIndent"/>
    <w:uiPriority w:val="99"/>
    <w:rsid w:val="00D40704"/>
    <w:rPr>
      <w:rFonts w:ascii="Arial" w:eastAsia="Times New Roman" w:hAnsi="Arial" w:cs="Times New Roman"/>
      <w:szCs w:val="20"/>
    </w:rPr>
  </w:style>
  <w:style w:type="character" w:styleId="PageNumber">
    <w:name w:val="page number"/>
    <w:basedOn w:val="DefaultParagraphFont"/>
    <w:uiPriority w:val="99"/>
    <w:rsid w:val="00D40704"/>
  </w:style>
  <w:style w:type="paragraph" w:styleId="DocumentMap">
    <w:name w:val="Document Map"/>
    <w:basedOn w:val="Normal"/>
    <w:link w:val="DocumentMapChar"/>
    <w:uiPriority w:val="99"/>
    <w:semiHidden/>
    <w:rsid w:val="00D40704"/>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D40704"/>
    <w:rPr>
      <w:rFonts w:ascii="Tahoma" w:eastAsia="Times New Roman" w:hAnsi="Tahoma" w:cs="Tahoma"/>
      <w:sz w:val="20"/>
      <w:szCs w:val="20"/>
      <w:shd w:val="clear" w:color="auto" w:fill="000080"/>
    </w:rPr>
  </w:style>
  <w:style w:type="paragraph" w:styleId="BodyTextIndent3">
    <w:name w:val="Body Text Indent 3"/>
    <w:basedOn w:val="Normal"/>
    <w:link w:val="BodyTextIndent3Char"/>
    <w:uiPriority w:val="99"/>
    <w:rsid w:val="00D40704"/>
    <w:pPr>
      <w:spacing w:after="120"/>
      <w:ind w:left="283"/>
    </w:pPr>
    <w:rPr>
      <w:rFonts w:ascii="Times New Roman" w:hAnsi="Times New Roman"/>
      <w:sz w:val="16"/>
      <w:szCs w:val="16"/>
    </w:rPr>
  </w:style>
  <w:style w:type="character" w:customStyle="1" w:styleId="BodyTextIndent3Char">
    <w:name w:val="Body Text Indent 3 Char"/>
    <w:basedOn w:val="DefaultParagraphFont"/>
    <w:link w:val="BodyTextIndent3"/>
    <w:uiPriority w:val="99"/>
    <w:rsid w:val="00D40704"/>
    <w:rPr>
      <w:rFonts w:ascii="Times New Roman" w:eastAsia="Times New Roman" w:hAnsi="Times New Roman" w:cs="Times New Roman"/>
      <w:sz w:val="16"/>
      <w:szCs w:val="16"/>
    </w:rPr>
  </w:style>
  <w:style w:type="paragraph" w:styleId="BodyText">
    <w:name w:val="Body Text"/>
    <w:basedOn w:val="Normal"/>
    <w:link w:val="BodyTextChar"/>
    <w:uiPriority w:val="1"/>
    <w:qFormat/>
    <w:rsid w:val="00D40704"/>
    <w:pPr>
      <w:spacing w:after="120"/>
    </w:pPr>
    <w:rPr>
      <w:rFonts w:ascii="Times New Roman" w:hAnsi="Times New Roman"/>
      <w:sz w:val="24"/>
      <w:szCs w:val="24"/>
    </w:rPr>
  </w:style>
  <w:style w:type="character" w:customStyle="1" w:styleId="BodyTextChar">
    <w:name w:val="Body Text Char"/>
    <w:basedOn w:val="DefaultParagraphFont"/>
    <w:link w:val="BodyText"/>
    <w:uiPriority w:val="1"/>
    <w:rsid w:val="00D40704"/>
    <w:rPr>
      <w:rFonts w:ascii="Times New Roman" w:eastAsia="Times New Roman" w:hAnsi="Times New Roman" w:cs="Times New Roman"/>
      <w:sz w:val="24"/>
      <w:szCs w:val="24"/>
    </w:rPr>
  </w:style>
  <w:style w:type="paragraph" w:styleId="BodyText2">
    <w:name w:val="Body Text 2"/>
    <w:basedOn w:val="Normal"/>
    <w:link w:val="BodyText2Char"/>
    <w:uiPriority w:val="99"/>
    <w:rsid w:val="00D40704"/>
    <w:pPr>
      <w:jc w:val="center"/>
    </w:pPr>
    <w:rPr>
      <w:rFonts w:cs="Arial"/>
      <w:b/>
      <w:bCs/>
      <w:sz w:val="24"/>
      <w:szCs w:val="24"/>
    </w:rPr>
  </w:style>
  <w:style w:type="character" w:customStyle="1" w:styleId="BodyText2Char">
    <w:name w:val="Body Text 2 Char"/>
    <w:basedOn w:val="DefaultParagraphFont"/>
    <w:link w:val="BodyText2"/>
    <w:uiPriority w:val="99"/>
    <w:rsid w:val="00D40704"/>
    <w:rPr>
      <w:rFonts w:ascii="Arial" w:eastAsia="Times New Roman" w:hAnsi="Arial" w:cs="Arial"/>
      <w:b/>
      <w:bCs/>
      <w:sz w:val="24"/>
      <w:szCs w:val="24"/>
    </w:rPr>
  </w:style>
  <w:style w:type="paragraph" w:customStyle="1" w:styleId="Pa3">
    <w:name w:val="Pa3"/>
    <w:basedOn w:val="Normal"/>
    <w:next w:val="Normal"/>
    <w:uiPriority w:val="99"/>
    <w:rsid w:val="00D40704"/>
    <w:pPr>
      <w:autoSpaceDE w:val="0"/>
      <w:autoSpaceDN w:val="0"/>
      <w:adjustRightInd w:val="0"/>
      <w:spacing w:after="220" w:line="201" w:lineRule="atLeast"/>
    </w:pPr>
    <w:rPr>
      <w:rFonts w:ascii="Univers" w:hAnsi="Univers"/>
      <w:sz w:val="24"/>
      <w:szCs w:val="24"/>
      <w:lang w:val="en-US"/>
    </w:rPr>
  </w:style>
  <w:style w:type="character" w:customStyle="1" w:styleId="CharChar4">
    <w:name w:val="Char Char4"/>
    <w:basedOn w:val="DefaultParagraphFont"/>
    <w:uiPriority w:val="99"/>
    <w:locked/>
    <w:rsid w:val="00D40704"/>
    <w:rPr>
      <w:rFonts w:cs="Times New Roman"/>
      <w:iCs/>
      <w:sz w:val="24"/>
      <w:szCs w:val="24"/>
      <w:lang w:eastAsia="en-US"/>
    </w:rPr>
  </w:style>
  <w:style w:type="character" w:customStyle="1" w:styleId="CharChar6">
    <w:name w:val="Char Char6"/>
    <w:basedOn w:val="DefaultParagraphFont"/>
    <w:uiPriority w:val="99"/>
    <w:locked/>
    <w:rsid w:val="00D40704"/>
    <w:rPr>
      <w:rFonts w:cs="Times New Roman"/>
      <w:iCs/>
      <w:sz w:val="24"/>
      <w:szCs w:val="24"/>
      <w:lang w:eastAsia="en-US"/>
    </w:rPr>
  </w:style>
  <w:style w:type="paragraph" w:customStyle="1" w:styleId="TableBullet2">
    <w:name w:val="Table Bullet 2"/>
    <w:basedOn w:val="Normal"/>
    <w:rsid w:val="00D40704"/>
    <w:pPr>
      <w:numPr>
        <w:numId w:val="2"/>
      </w:numPr>
    </w:pPr>
    <w:rPr>
      <w:sz w:val="18"/>
      <w:szCs w:val="18"/>
    </w:rPr>
  </w:style>
  <w:style w:type="table" w:customStyle="1" w:styleId="TableStyle1">
    <w:name w:val="Table Style1"/>
    <w:basedOn w:val="TableNormal"/>
    <w:rsid w:val="00F0741A"/>
    <w:pPr>
      <w:spacing w:after="0" w:line="240" w:lineRule="auto"/>
    </w:pPr>
    <w:rPr>
      <w:rFonts w:ascii="Times New Roman" w:eastAsia="Times New Roman" w:hAnsi="Times New Roman" w:cs="Times New Roman"/>
      <w:sz w:val="20"/>
      <w:szCs w:val="20"/>
      <w:lang w:eastAsia="en-GB"/>
    </w:rPr>
    <w:tblPr/>
  </w:style>
  <w:style w:type="table" w:styleId="TableList3">
    <w:name w:val="Table List 3"/>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0741A"/>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F0741A"/>
    <w:pPr>
      <w:spacing w:after="0" w:line="240" w:lineRule="auto"/>
    </w:pPr>
    <w:rPr>
      <w:rFonts w:ascii="Times New Roman" w:eastAsia="Times New Roman" w:hAnsi="Times New Roman" w:cs="Times New Roman"/>
      <w:sz w:val="20"/>
      <w:szCs w:val="20"/>
      <w:lang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Style2">
    <w:name w:val="Table Style2"/>
    <w:basedOn w:val="TableGrid"/>
    <w:rsid w:val="00F0741A"/>
    <w:tblPr/>
  </w:style>
  <w:style w:type="character" w:customStyle="1" w:styleId="y0nh2b">
    <w:name w:val="y0nh2b"/>
    <w:basedOn w:val="DefaultParagraphFont"/>
    <w:rsid w:val="00936AB9"/>
  </w:style>
  <w:style w:type="paragraph" w:customStyle="1" w:styleId="BodyText1">
    <w:name w:val="Body Text1"/>
    <w:basedOn w:val="Normal"/>
    <w:rsid w:val="00632915"/>
    <w:rPr>
      <w:sz w:val="24"/>
      <w:lang w:eastAsia="en-GB"/>
    </w:rPr>
  </w:style>
  <w:style w:type="paragraph" w:customStyle="1" w:styleId="BodyText11">
    <w:name w:val="Body Text11"/>
    <w:basedOn w:val="Normal"/>
    <w:rsid w:val="00632915"/>
    <w:rPr>
      <w:sz w:val="24"/>
      <w:lang w:eastAsia="en-GB"/>
    </w:rPr>
  </w:style>
  <w:style w:type="paragraph" w:customStyle="1" w:styleId="BodyText20">
    <w:name w:val="Body Text2"/>
    <w:basedOn w:val="Normal"/>
    <w:rsid w:val="00830ED8"/>
    <w:rPr>
      <w:sz w:val="24"/>
      <w:lang w:eastAsia="en-GB"/>
    </w:rPr>
  </w:style>
  <w:style w:type="paragraph" w:styleId="Revision">
    <w:name w:val="Revision"/>
    <w:hidden/>
    <w:uiPriority w:val="99"/>
    <w:semiHidden/>
    <w:rsid w:val="002A4EB1"/>
    <w:pPr>
      <w:spacing w:after="0" w:line="240" w:lineRule="auto"/>
    </w:pPr>
    <w:rPr>
      <w:rFonts w:ascii="Arial" w:eastAsia="Times New Roman" w:hAnsi="Arial" w:cs="Times New Roman"/>
      <w:szCs w:val="20"/>
    </w:rPr>
  </w:style>
  <w:style w:type="character" w:styleId="FollowedHyperlink">
    <w:name w:val="FollowedHyperlink"/>
    <w:basedOn w:val="DefaultParagraphFont"/>
    <w:uiPriority w:val="99"/>
    <w:rsid w:val="00DE65C0"/>
    <w:rPr>
      <w:rFonts w:cs="Times New Roman"/>
      <w:color w:val="606420"/>
      <w:u w:val="single"/>
    </w:rPr>
  </w:style>
  <w:style w:type="character" w:customStyle="1" w:styleId="header3">
    <w:name w:val="header3"/>
    <w:basedOn w:val="DefaultParagraphFont"/>
    <w:uiPriority w:val="99"/>
    <w:rsid w:val="00DE65C0"/>
    <w:rPr>
      <w:rFonts w:cs="Times New Roman"/>
      <w:b/>
      <w:bCs/>
      <w:color w:val="05265C"/>
      <w:sz w:val="24"/>
      <w:szCs w:val="24"/>
    </w:rPr>
  </w:style>
  <w:style w:type="paragraph" w:styleId="FootnoteText">
    <w:name w:val="footnote text"/>
    <w:basedOn w:val="Normal"/>
    <w:link w:val="FootnoteTextChar"/>
    <w:uiPriority w:val="99"/>
    <w:semiHidden/>
    <w:rsid w:val="00DE65C0"/>
    <w:pPr>
      <w:tabs>
        <w:tab w:val="left" w:pos="720"/>
        <w:tab w:val="left" w:pos="1440"/>
        <w:tab w:val="left" w:pos="2160"/>
        <w:tab w:val="left" w:pos="2880"/>
        <w:tab w:val="left" w:pos="4680"/>
        <w:tab w:val="left" w:pos="5400"/>
        <w:tab w:val="right" w:pos="9000"/>
      </w:tabs>
      <w:spacing w:line="240" w:lineRule="atLeast"/>
      <w:jc w:val="both"/>
    </w:pPr>
    <w:rPr>
      <w:sz w:val="20"/>
      <w:lang w:eastAsia="en-GB"/>
    </w:rPr>
  </w:style>
  <w:style w:type="character" w:customStyle="1" w:styleId="FootnoteTextChar">
    <w:name w:val="Footnote Text Char"/>
    <w:basedOn w:val="DefaultParagraphFont"/>
    <w:link w:val="FootnoteText"/>
    <w:uiPriority w:val="99"/>
    <w:semiHidden/>
    <w:rsid w:val="00DE65C0"/>
    <w:rPr>
      <w:rFonts w:ascii="Arial" w:eastAsia="Times New Roman" w:hAnsi="Arial" w:cs="Times New Roman"/>
      <w:sz w:val="20"/>
      <w:szCs w:val="20"/>
      <w:lang w:eastAsia="en-GB"/>
    </w:rPr>
  </w:style>
  <w:style w:type="character" w:styleId="FootnoteReference">
    <w:name w:val="footnote reference"/>
    <w:basedOn w:val="DefaultParagraphFont"/>
    <w:uiPriority w:val="99"/>
    <w:semiHidden/>
    <w:rsid w:val="00DE65C0"/>
    <w:rPr>
      <w:rFonts w:cs="Times New Roman"/>
      <w:vertAlign w:val="superscript"/>
    </w:rPr>
  </w:style>
  <w:style w:type="table" w:customStyle="1" w:styleId="TableGrid1">
    <w:name w:val="Table Grid1"/>
    <w:uiPriority w:val="99"/>
    <w:rsid w:val="00DE65C0"/>
    <w:pPr>
      <w:spacing w:after="0" w:line="240" w:lineRule="auto"/>
    </w:pPr>
    <w:rPr>
      <w:rFonts w:ascii="Arial" w:eastAsia="Times New Roman" w:hAnsi="Arial" w:cs="Times New Roman"/>
      <w:sz w:val="24"/>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DE65C0"/>
    <w:pPr>
      <w:ind w:left="720"/>
    </w:pPr>
    <w:rPr>
      <w:rFonts w:ascii="Calibri" w:hAnsi="Calibri"/>
      <w:szCs w:val="22"/>
      <w:lang w:eastAsia="en-GB"/>
    </w:rPr>
  </w:style>
  <w:style w:type="character" w:styleId="HTMLCite">
    <w:name w:val="HTML Cite"/>
    <w:basedOn w:val="DefaultParagraphFont"/>
    <w:uiPriority w:val="99"/>
    <w:semiHidden/>
    <w:rsid w:val="00DE65C0"/>
    <w:rPr>
      <w:rFonts w:cs="Times New Roman"/>
      <w:i/>
      <w:iCs/>
    </w:rPr>
  </w:style>
  <w:style w:type="character" w:customStyle="1" w:styleId="DefaultChar">
    <w:name w:val="Default Char"/>
    <w:basedOn w:val="DefaultParagraphFont"/>
    <w:link w:val="Default"/>
    <w:locked/>
    <w:rsid w:val="00DE65C0"/>
    <w:rPr>
      <w:rFonts w:ascii="Arial" w:eastAsia="Times New Roman" w:hAnsi="Arial" w:cs="Arial"/>
      <w:color w:val="000000"/>
      <w:sz w:val="24"/>
      <w:szCs w:val="24"/>
      <w:lang w:eastAsia="en-GB"/>
    </w:rPr>
  </w:style>
  <w:style w:type="character" w:customStyle="1" w:styleId="EmailStyle42">
    <w:name w:val="EmailStyle42"/>
    <w:basedOn w:val="DefaultParagraphFont"/>
    <w:uiPriority w:val="99"/>
    <w:semiHidden/>
    <w:rsid w:val="00DE65C0"/>
    <w:rPr>
      <w:rFonts w:ascii="Arial" w:hAnsi="Arial" w:cs="Arial"/>
      <w:color w:val="000080"/>
      <w:sz w:val="20"/>
      <w:szCs w:val="20"/>
    </w:rPr>
  </w:style>
  <w:style w:type="character" w:customStyle="1" w:styleId="A3">
    <w:name w:val="A3"/>
    <w:uiPriority w:val="99"/>
    <w:rsid w:val="00DE65C0"/>
    <w:rPr>
      <w:color w:val="000000"/>
      <w:sz w:val="22"/>
    </w:rPr>
  </w:style>
  <w:style w:type="table" w:customStyle="1" w:styleId="TableGrid2">
    <w:name w:val="Table Grid2"/>
    <w:basedOn w:val="TableNormal"/>
    <w:next w:val="TableGrid"/>
    <w:uiPriority w:val="59"/>
    <w:rsid w:val="00FA0F7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7D1FEE"/>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D1FEE"/>
    <w:rPr>
      <w:i/>
      <w:iCs/>
      <w:color w:val="262626" w:themeColor="text1" w:themeTint="D9"/>
    </w:rPr>
  </w:style>
  <w:style w:type="paragraph" w:styleId="IntenseQuote">
    <w:name w:val="Intense Quote"/>
    <w:basedOn w:val="Normal"/>
    <w:next w:val="Normal"/>
    <w:link w:val="IntenseQuoteChar"/>
    <w:uiPriority w:val="30"/>
    <w:qFormat/>
    <w:rsid w:val="007D1FEE"/>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D1FEE"/>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D1FEE"/>
    <w:rPr>
      <w:i/>
      <w:iCs/>
    </w:rPr>
  </w:style>
  <w:style w:type="character" w:styleId="IntenseEmphasis">
    <w:name w:val="Intense Emphasis"/>
    <w:basedOn w:val="DefaultParagraphFont"/>
    <w:uiPriority w:val="21"/>
    <w:qFormat/>
    <w:rsid w:val="007D1FEE"/>
    <w:rPr>
      <w:b/>
      <w:bCs/>
      <w:i/>
      <w:iCs/>
    </w:rPr>
  </w:style>
  <w:style w:type="character" w:styleId="SubtleReference">
    <w:name w:val="Subtle Reference"/>
    <w:basedOn w:val="DefaultParagraphFont"/>
    <w:uiPriority w:val="31"/>
    <w:qFormat/>
    <w:rsid w:val="007D1FEE"/>
    <w:rPr>
      <w:smallCaps/>
      <w:color w:val="595959" w:themeColor="text1" w:themeTint="A6"/>
    </w:rPr>
  </w:style>
  <w:style w:type="character" w:styleId="IntenseReference">
    <w:name w:val="Intense Reference"/>
    <w:basedOn w:val="DefaultParagraphFont"/>
    <w:uiPriority w:val="32"/>
    <w:qFormat/>
    <w:rsid w:val="007D1FEE"/>
    <w:rPr>
      <w:b/>
      <w:bCs/>
      <w:smallCaps/>
      <w:color w:val="F79646" w:themeColor="accent6"/>
    </w:rPr>
  </w:style>
  <w:style w:type="paragraph" w:styleId="TOCHeading">
    <w:name w:val="TOC Heading"/>
    <w:basedOn w:val="Heading1"/>
    <w:next w:val="Normal"/>
    <w:uiPriority w:val="39"/>
    <w:semiHidden/>
    <w:unhideWhenUsed/>
    <w:qFormat/>
    <w:rsid w:val="007D1FEE"/>
    <w:pPr>
      <w:outlineLvl w:val="9"/>
    </w:pPr>
  </w:style>
  <w:style w:type="table" w:customStyle="1" w:styleId="TableGrid3">
    <w:name w:val="Table Grid3"/>
    <w:basedOn w:val="TableNormal"/>
    <w:next w:val="TableGrid"/>
    <w:uiPriority w:val="59"/>
    <w:rsid w:val="004F68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F683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35F8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35F81"/>
    <w:pPr>
      <w:spacing w:after="0" w:line="240" w:lineRule="auto"/>
    </w:pPr>
    <w:rPr>
      <w:sz w:val="22"/>
      <w:szCs w:val="22"/>
      <w:lang w:eastAsia="en-GB"/>
    </w:rPr>
    <w:tblPr>
      <w:tblCellMar>
        <w:top w:w="0" w:type="dxa"/>
        <w:left w:w="0" w:type="dxa"/>
        <w:bottom w:w="0" w:type="dxa"/>
        <w:right w:w="0" w:type="dxa"/>
      </w:tblCellMar>
    </w:tblPr>
  </w:style>
  <w:style w:type="table" w:customStyle="1" w:styleId="TableGrid6">
    <w:name w:val="Table Grid6"/>
    <w:basedOn w:val="TableNormal"/>
    <w:next w:val="TableGrid"/>
    <w:uiPriority w:val="59"/>
    <w:rsid w:val="008E52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8E520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610EAB"/>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610EAB"/>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F13C9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B92D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B92DB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FD0B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FD0B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99"/>
    <w:rsid w:val="00BB694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rsid w:val="00603B5F"/>
    <w:pPr>
      <w:spacing w:after="0" w:line="240" w:lineRule="auto"/>
    </w:pPr>
    <w:rPr>
      <w:rFonts w:ascii="Calibri" w:eastAsiaTheme="minorHAnsi" w:hAnsi="Calibri" w:cs="Calibri"/>
      <w:sz w:val="22"/>
      <w:szCs w:val="22"/>
      <w:lang w:eastAsia="en-GB"/>
    </w:rPr>
  </w:style>
  <w:style w:type="paragraph" w:customStyle="1" w:styleId="xxxmsobodytext">
    <w:name w:val="x_xxmsobodytext"/>
    <w:basedOn w:val="Normal"/>
    <w:rsid w:val="00603B5F"/>
    <w:pPr>
      <w:autoSpaceDE w:val="0"/>
      <w:autoSpaceDN w:val="0"/>
      <w:spacing w:after="0" w:line="240" w:lineRule="auto"/>
    </w:pPr>
    <w:rPr>
      <w:rFonts w:ascii="Georgia" w:eastAsiaTheme="minorHAnsi" w:hAnsi="Georgia" w:cs="Times New Roman"/>
      <w:sz w:val="20"/>
      <w:szCs w:val="20"/>
      <w:lang w:eastAsia="en-GB"/>
    </w:rPr>
  </w:style>
  <w:style w:type="paragraph" w:customStyle="1" w:styleId="xxxmsobodytextindent3">
    <w:name w:val="x_xxmsobodytextindent3"/>
    <w:basedOn w:val="Normal"/>
    <w:rsid w:val="00603B5F"/>
    <w:pPr>
      <w:autoSpaceDE w:val="0"/>
      <w:autoSpaceDN w:val="0"/>
      <w:spacing w:after="120" w:line="240" w:lineRule="auto"/>
      <w:ind w:left="283"/>
    </w:pPr>
    <w:rPr>
      <w:rFonts w:ascii="Georgia" w:eastAsiaTheme="minorHAnsi" w:hAnsi="Georgia" w:cs="Times New Roman"/>
      <w:sz w:val="16"/>
      <w:szCs w:val="16"/>
      <w:lang w:eastAsia="en-GB"/>
    </w:rPr>
  </w:style>
  <w:style w:type="paragraph" w:customStyle="1" w:styleId="paragraph">
    <w:name w:val="paragraph"/>
    <w:basedOn w:val="Normal"/>
    <w:rsid w:val="00E77C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7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38076">
      <w:bodyDiv w:val="1"/>
      <w:marLeft w:val="0"/>
      <w:marRight w:val="0"/>
      <w:marTop w:val="0"/>
      <w:marBottom w:val="0"/>
      <w:divBdr>
        <w:top w:val="none" w:sz="0" w:space="0" w:color="auto"/>
        <w:left w:val="none" w:sz="0" w:space="0" w:color="auto"/>
        <w:bottom w:val="none" w:sz="0" w:space="0" w:color="auto"/>
        <w:right w:val="none" w:sz="0" w:space="0" w:color="auto"/>
      </w:divBdr>
    </w:div>
    <w:div w:id="83578705">
      <w:bodyDiv w:val="1"/>
      <w:marLeft w:val="0"/>
      <w:marRight w:val="0"/>
      <w:marTop w:val="0"/>
      <w:marBottom w:val="0"/>
      <w:divBdr>
        <w:top w:val="none" w:sz="0" w:space="0" w:color="auto"/>
        <w:left w:val="none" w:sz="0" w:space="0" w:color="auto"/>
        <w:bottom w:val="none" w:sz="0" w:space="0" w:color="auto"/>
        <w:right w:val="none" w:sz="0" w:space="0" w:color="auto"/>
      </w:divBdr>
    </w:div>
    <w:div w:id="124156679">
      <w:bodyDiv w:val="1"/>
      <w:marLeft w:val="0"/>
      <w:marRight w:val="0"/>
      <w:marTop w:val="0"/>
      <w:marBottom w:val="0"/>
      <w:divBdr>
        <w:top w:val="none" w:sz="0" w:space="0" w:color="auto"/>
        <w:left w:val="none" w:sz="0" w:space="0" w:color="auto"/>
        <w:bottom w:val="none" w:sz="0" w:space="0" w:color="auto"/>
        <w:right w:val="none" w:sz="0" w:space="0" w:color="auto"/>
      </w:divBdr>
    </w:div>
    <w:div w:id="200896850">
      <w:bodyDiv w:val="1"/>
      <w:marLeft w:val="0"/>
      <w:marRight w:val="0"/>
      <w:marTop w:val="0"/>
      <w:marBottom w:val="0"/>
      <w:divBdr>
        <w:top w:val="none" w:sz="0" w:space="0" w:color="auto"/>
        <w:left w:val="none" w:sz="0" w:space="0" w:color="auto"/>
        <w:bottom w:val="none" w:sz="0" w:space="0" w:color="auto"/>
        <w:right w:val="none" w:sz="0" w:space="0" w:color="auto"/>
      </w:divBdr>
    </w:div>
    <w:div w:id="213002974">
      <w:bodyDiv w:val="1"/>
      <w:marLeft w:val="0"/>
      <w:marRight w:val="0"/>
      <w:marTop w:val="0"/>
      <w:marBottom w:val="0"/>
      <w:divBdr>
        <w:top w:val="none" w:sz="0" w:space="0" w:color="auto"/>
        <w:left w:val="none" w:sz="0" w:space="0" w:color="auto"/>
        <w:bottom w:val="none" w:sz="0" w:space="0" w:color="auto"/>
        <w:right w:val="none" w:sz="0" w:space="0" w:color="auto"/>
      </w:divBdr>
    </w:div>
    <w:div w:id="357237629">
      <w:bodyDiv w:val="1"/>
      <w:marLeft w:val="0"/>
      <w:marRight w:val="0"/>
      <w:marTop w:val="0"/>
      <w:marBottom w:val="0"/>
      <w:divBdr>
        <w:top w:val="none" w:sz="0" w:space="0" w:color="auto"/>
        <w:left w:val="none" w:sz="0" w:space="0" w:color="auto"/>
        <w:bottom w:val="none" w:sz="0" w:space="0" w:color="auto"/>
        <w:right w:val="none" w:sz="0" w:space="0" w:color="auto"/>
      </w:divBdr>
    </w:div>
    <w:div w:id="402022396">
      <w:bodyDiv w:val="1"/>
      <w:marLeft w:val="0"/>
      <w:marRight w:val="0"/>
      <w:marTop w:val="0"/>
      <w:marBottom w:val="0"/>
      <w:divBdr>
        <w:top w:val="none" w:sz="0" w:space="0" w:color="auto"/>
        <w:left w:val="none" w:sz="0" w:space="0" w:color="auto"/>
        <w:bottom w:val="none" w:sz="0" w:space="0" w:color="auto"/>
        <w:right w:val="none" w:sz="0" w:space="0" w:color="auto"/>
      </w:divBdr>
    </w:div>
    <w:div w:id="462231145">
      <w:bodyDiv w:val="1"/>
      <w:marLeft w:val="0"/>
      <w:marRight w:val="0"/>
      <w:marTop w:val="0"/>
      <w:marBottom w:val="0"/>
      <w:divBdr>
        <w:top w:val="none" w:sz="0" w:space="0" w:color="auto"/>
        <w:left w:val="none" w:sz="0" w:space="0" w:color="auto"/>
        <w:bottom w:val="none" w:sz="0" w:space="0" w:color="auto"/>
        <w:right w:val="none" w:sz="0" w:space="0" w:color="auto"/>
      </w:divBdr>
    </w:div>
    <w:div w:id="554201265">
      <w:bodyDiv w:val="1"/>
      <w:marLeft w:val="0"/>
      <w:marRight w:val="0"/>
      <w:marTop w:val="0"/>
      <w:marBottom w:val="0"/>
      <w:divBdr>
        <w:top w:val="none" w:sz="0" w:space="0" w:color="auto"/>
        <w:left w:val="none" w:sz="0" w:space="0" w:color="auto"/>
        <w:bottom w:val="none" w:sz="0" w:space="0" w:color="auto"/>
        <w:right w:val="none" w:sz="0" w:space="0" w:color="auto"/>
      </w:divBdr>
    </w:div>
    <w:div w:id="557522276">
      <w:bodyDiv w:val="1"/>
      <w:marLeft w:val="0"/>
      <w:marRight w:val="0"/>
      <w:marTop w:val="0"/>
      <w:marBottom w:val="0"/>
      <w:divBdr>
        <w:top w:val="none" w:sz="0" w:space="0" w:color="auto"/>
        <w:left w:val="none" w:sz="0" w:space="0" w:color="auto"/>
        <w:bottom w:val="none" w:sz="0" w:space="0" w:color="auto"/>
        <w:right w:val="none" w:sz="0" w:space="0" w:color="auto"/>
      </w:divBdr>
    </w:div>
    <w:div w:id="610162808">
      <w:bodyDiv w:val="1"/>
      <w:marLeft w:val="0"/>
      <w:marRight w:val="0"/>
      <w:marTop w:val="0"/>
      <w:marBottom w:val="0"/>
      <w:divBdr>
        <w:top w:val="none" w:sz="0" w:space="0" w:color="auto"/>
        <w:left w:val="none" w:sz="0" w:space="0" w:color="auto"/>
        <w:bottom w:val="none" w:sz="0" w:space="0" w:color="auto"/>
        <w:right w:val="none" w:sz="0" w:space="0" w:color="auto"/>
      </w:divBdr>
    </w:div>
    <w:div w:id="669674612">
      <w:bodyDiv w:val="1"/>
      <w:marLeft w:val="0"/>
      <w:marRight w:val="0"/>
      <w:marTop w:val="0"/>
      <w:marBottom w:val="0"/>
      <w:divBdr>
        <w:top w:val="none" w:sz="0" w:space="0" w:color="auto"/>
        <w:left w:val="none" w:sz="0" w:space="0" w:color="auto"/>
        <w:bottom w:val="none" w:sz="0" w:space="0" w:color="auto"/>
        <w:right w:val="none" w:sz="0" w:space="0" w:color="auto"/>
      </w:divBdr>
    </w:div>
    <w:div w:id="1018238346">
      <w:bodyDiv w:val="1"/>
      <w:marLeft w:val="0"/>
      <w:marRight w:val="0"/>
      <w:marTop w:val="0"/>
      <w:marBottom w:val="0"/>
      <w:divBdr>
        <w:top w:val="none" w:sz="0" w:space="0" w:color="auto"/>
        <w:left w:val="none" w:sz="0" w:space="0" w:color="auto"/>
        <w:bottom w:val="none" w:sz="0" w:space="0" w:color="auto"/>
        <w:right w:val="none" w:sz="0" w:space="0" w:color="auto"/>
      </w:divBdr>
    </w:div>
    <w:div w:id="1053849540">
      <w:bodyDiv w:val="1"/>
      <w:marLeft w:val="0"/>
      <w:marRight w:val="0"/>
      <w:marTop w:val="0"/>
      <w:marBottom w:val="0"/>
      <w:divBdr>
        <w:top w:val="none" w:sz="0" w:space="0" w:color="auto"/>
        <w:left w:val="none" w:sz="0" w:space="0" w:color="auto"/>
        <w:bottom w:val="none" w:sz="0" w:space="0" w:color="auto"/>
        <w:right w:val="none" w:sz="0" w:space="0" w:color="auto"/>
      </w:divBdr>
    </w:div>
    <w:div w:id="1061902653">
      <w:bodyDiv w:val="1"/>
      <w:marLeft w:val="0"/>
      <w:marRight w:val="0"/>
      <w:marTop w:val="0"/>
      <w:marBottom w:val="0"/>
      <w:divBdr>
        <w:top w:val="none" w:sz="0" w:space="0" w:color="auto"/>
        <w:left w:val="none" w:sz="0" w:space="0" w:color="auto"/>
        <w:bottom w:val="none" w:sz="0" w:space="0" w:color="auto"/>
        <w:right w:val="none" w:sz="0" w:space="0" w:color="auto"/>
      </w:divBdr>
    </w:div>
    <w:div w:id="1072898336">
      <w:bodyDiv w:val="1"/>
      <w:marLeft w:val="0"/>
      <w:marRight w:val="0"/>
      <w:marTop w:val="0"/>
      <w:marBottom w:val="0"/>
      <w:divBdr>
        <w:top w:val="none" w:sz="0" w:space="0" w:color="auto"/>
        <w:left w:val="none" w:sz="0" w:space="0" w:color="auto"/>
        <w:bottom w:val="none" w:sz="0" w:space="0" w:color="auto"/>
        <w:right w:val="none" w:sz="0" w:space="0" w:color="auto"/>
      </w:divBdr>
    </w:div>
    <w:div w:id="1232083999">
      <w:bodyDiv w:val="1"/>
      <w:marLeft w:val="0"/>
      <w:marRight w:val="0"/>
      <w:marTop w:val="0"/>
      <w:marBottom w:val="0"/>
      <w:divBdr>
        <w:top w:val="none" w:sz="0" w:space="0" w:color="auto"/>
        <w:left w:val="none" w:sz="0" w:space="0" w:color="auto"/>
        <w:bottom w:val="none" w:sz="0" w:space="0" w:color="auto"/>
        <w:right w:val="none" w:sz="0" w:space="0" w:color="auto"/>
      </w:divBdr>
    </w:div>
    <w:div w:id="1285035547">
      <w:bodyDiv w:val="1"/>
      <w:marLeft w:val="0"/>
      <w:marRight w:val="0"/>
      <w:marTop w:val="0"/>
      <w:marBottom w:val="0"/>
      <w:divBdr>
        <w:top w:val="none" w:sz="0" w:space="0" w:color="auto"/>
        <w:left w:val="none" w:sz="0" w:space="0" w:color="auto"/>
        <w:bottom w:val="none" w:sz="0" w:space="0" w:color="auto"/>
        <w:right w:val="none" w:sz="0" w:space="0" w:color="auto"/>
      </w:divBdr>
    </w:div>
    <w:div w:id="1324121164">
      <w:bodyDiv w:val="1"/>
      <w:marLeft w:val="0"/>
      <w:marRight w:val="0"/>
      <w:marTop w:val="0"/>
      <w:marBottom w:val="0"/>
      <w:divBdr>
        <w:top w:val="none" w:sz="0" w:space="0" w:color="auto"/>
        <w:left w:val="none" w:sz="0" w:space="0" w:color="auto"/>
        <w:bottom w:val="none" w:sz="0" w:space="0" w:color="auto"/>
        <w:right w:val="none" w:sz="0" w:space="0" w:color="auto"/>
      </w:divBdr>
    </w:div>
    <w:div w:id="1431658754">
      <w:bodyDiv w:val="1"/>
      <w:marLeft w:val="0"/>
      <w:marRight w:val="0"/>
      <w:marTop w:val="0"/>
      <w:marBottom w:val="0"/>
      <w:divBdr>
        <w:top w:val="none" w:sz="0" w:space="0" w:color="auto"/>
        <w:left w:val="none" w:sz="0" w:space="0" w:color="auto"/>
        <w:bottom w:val="none" w:sz="0" w:space="0" w:color="auto"/>
        <w:right w:val="none" w:sz="0" w:space="0" w:color="auto"/>
      </w:divBdr>
    </w:div>
    <w:div w:id="1452357359">
      <w:bodyDiv w:val="1"/>
      <w:marLeft w:val="0"/>
      <w:marRight w:val="0"/>
      <w:marTop w:val="0"/>
      <w:marBottom w:val="0"/>
      <w:divBdr>
        <w:top w:val="none" w:sz="0" w:space="0" w:color="auto"/>
        <w:left w:val="none" w:sz="0" w:space="0" w:color="auto"/>
        <w:bottom w:val="none" w:sz="0" w:space="0" w:color="auto"/>
        <w:right w:val="none" w:sz="0" w:space="0" w:color="auto"/>
      </w:divBdr>
    </w:div>
    <w:div w:id="1603108024">
      <w:bodyDiv w:val="1"/>
      <w:marLeft w:val="0"/>
      <w:marRight w:val="0"/>
      <w:marTop w:val="0"/>
      <w:marBottom w:val="0"/>
      <w:divBdr>
        <w:top w:val="none" w:sz="0" w:space="0" w:color="auto"/>
        <w:left w:val="none" w:sz="0" w:space="0" w:color="auto"/>
        <w:bottom w:val="none" w:sz="0" w:space="0" w:color="auto"/>
        <w:right w:val="none" w:sz="0" w:space="0" w:color="auto"/>
      </w:divBdr>
    </w:div>
    <w:div w:id="1667434509">
      <w:bodyDiv w:val="1"/>
      <w:marLeft w:val="0"/>
      <w:marRight w:val="0"/>
      <w:marTop w:val="0"/>
      <w:marBottom w:val="0"/>
      <w:divBdr>
        <w:top w:val="none" w:sz="0" w:space="0" w:color="auto"/>
        <w:left w:val="none" w:sz="0" w:space="0" w:color="auto"/>
        <w:bottom w:val="none" w:sz="0" w:space="0" w:color="auto"/>
        <w:right w:val="none" w:sz="0" w:space="0" w:color="auto"/>
      </w:divBdr>
    </w:div>
    <w:div w:id="1692681252">
      <w:bodyDiv w:val="1"/>
      <w:marLeft w:val="0"/>
      <w:marRight w:val="0"/>
      <w:marTop w:val="0"/>
      <w:marBottom w:val="0"/>
      <w:divBdr>
        <w:top w:val="none" w:sz="0" w:space="0" w:color="auto"/>
        <w:left w:val="none" w:sz="0" w:space="0" w:color="auto"/>
        <w:bottom w:val="none" w:sz="0" w:space="0" w:color="auto"/>
        <w:right w:val="none" w:sz="0" w:space="0" w:color="auto"/>
      </w:divBdr>
    </w:div>
    <w:div w:id="1705128640">
      <w:bodyDiv w:val="1"/>
      <w:marLeft w:val="0"/>
      <w:marRight w:val="0"/>
      <w:marTop w:val="0"/>
      <w:marBottom w:val="0"/>
      <w:divBdr>
        <w:top w:val="none" w:sz="0" w:space="0" w:color="auto"/>
        <w:left w:val="none" w:sz="0" w:space="0" w:color="auto"/>
        <w:bottom w:val="none" w:sz="0" w:space="0" w:color="auto"/>
        <w:right w:val="none" w:sz="0" w:space="0" w:color="auto"/>
      </w:divBdr>
    </w:div>
    <w:div w:id="1788424403">
      <w:bodyDiv w:val="1"/>
      <w:marLeft w:val="0"/>
      <w:marRight w:val="0"/>
      <w:marTop w:val="0"/>
      <w:marBottom w:val="0"/>
      <w:divBdr>
        <w:top w:val="none" w:sz="0" w:space="0" w:color="auto"/>
        <w:left w:val="none" w:sz="0" w:space="0" w:color="auto"/>
        <w:bottom w:val="none" w:sz="0" w:space="0" w:color="auto"/>
        <w:right w:val="none" w:sz="0" w:space="0" w:color="auto"/>
      </w:divBdr>
    </w:div>
    <w:div w:id="1790857033">
      <w:bodyDiv w:val="1"/>
      <w:marLeft w:val="0"/>
      <w:marRight w:val="0"/>
      <w:marTop w:val="0"/>
      <w:marBottom w:val="0"/>
      <w:divBdr>
        <w:top w:val="none" w:sz="0" w:space="0" w:color="auto"/>
        <w:left w:val="none" w:sz="0" w:space="0" w:color="auto"/>
        <w:bottom w:val="none" w:sz="0" w:space="0" w:color="auto"/>
        <w:right w:val="none" w:sz="0" w:space="0" w:color="auto"/>
      </w:divBdr>
    </w:div>
    <w:div w:id="1837577203">
      <w:bodyDiv w:val="1"/>
      <w:marLeft w:val="0"/>
      <w:marRight w:val="0"/>
      <w:marTop w:val="0"/>
      <w:marBottom w:val="0"/>
      <w:divBdr>
        <w:top w:val="none" w:sz="0" w:space="0" w:color="auto"/>
        <w:left w:val="none" w:sz="0" w:space="0" w:color="auto"/>
        <w:bottom w:val="none" w:sz="0" w:space="0" w:color="auto"/>
        <w:right w:val="none" w:sz="0" w:space="0" w:color="auto"/>
      </w:divBdr>
    </w:div>
    <w:div w:id="1962296308">
      <w:bodyDiv w:val="1"/>
      <w:marLeft w:val="0"/>
      <w:marRight w:val="0"/>
      <w:marTop w:val="0"/>
      <w:marBottom w:val="0"/>
      <w:divBdr>
        <w:top w:val="none" w:sz="0" w:space="0" w:color="auto"/>
        <w:left w:val="none" w:sz="0" w:space="0" w:color="auto"/>
        <w:bottom w:val="none" w:sz="0" w:space="0" w:color="auto"/>
        <w:right w:val="none" w:sz="0" w:space="0" w:color="auto"/>
      </w:divBdr>
    </w:div>
    <w:div w:id="2002269538">
      <w:bodyDiv w:val="1"/>
      <w:marLeft w:val="0"/>
      <w:marRight w:val="0"/>
      <w:marTop w:val="0"/>
      <w:marBottom w:val="0"/>
      <w:divBdr>
        <w:top w:val="none" w:sz="0" w:space="0" w:color="auto"/>
        <w:left w:val="none" w:sz="0" w:space="0" w:color="auto"/>
        <w:bottom w:val="none" w:sz="0" w:space="0" w:color="auto"/>
        <w:right w:val="none" w:sz="0" w:space="0" w:color="auto"/>
      </w:divBdr>
    </w:div>
    <w:div w:id="2017531423">
      <w:bodyDiv w:val="1"/>
      <w:marLeft w:val="0"/>
      <w:marRight w:val="0"/>
      <w:marTop w:val="0"/>
      <w:marBottom w:val="0"/>
      <w:divBdr>
        <w:top w:val="none" w:sz="0" w:space="0" w:color="auto"/>
        <w:left w:val="none" w:sz="0" w:space="0" w:color="auto"/>
        <w:bottom w:val="none" w:sz="0" w:space="0" w:color="auto"/>
        <w:right w:val="none" w:sz="0" w:space="0" w:color="auto"/>
      </w:divBdr>
    </w:div>
    <w:div w:id="211158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oleObject" Target="file:///\\nwtc-filesrv\Departments\Performance&amp;Planning\Common\Performance%20Management\Directorate%20Scorecard%20Updates\Staff%20Gov\Absence%20SPC%20Fil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NHS Golden Jubilee Absence (SPC:</a:t>
            </a:r>
            <a:r>
              <a:rPr lang="en-GB" baseline="0"/>
              <a:t> P Chart)</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229023791380917"/>
          <c:y val="0.17171296296296296"/>
          <c:w val="0.81761230610180535"/>
          <c:h val="0.55804024496937887"/>
        </c:manualLayout>
      </c:layout>
      <c:lineChart>
        <c:grouping val="standard"/>
        <c:varyColors val="0"/>
        <c:ser>
          <c:idx val="0"/>
          <c:order val="0"/>
          <c:tx>
            <c:strRef>
              <c:f>'Data Entry Sheet'!$L$1</c:f>
              <c:strCache>
                <c:ptCount val="1"/>
                <c:pt idx="0">
                  <c:v>NHS GJ Absence Rate</c:v>
                </c:pt>
              </c:strCache>
            </c:strRef>
          </c:tx>
          <c:spPr>
            <a:ln w="28575" cap="rnd">
              <a:solidFill>
                <a:schemeClr val="accent1"/>
              </a:solidFill>
              <a:round/>
            </a:ln>
            <a:effectLst/>
          </c:spPr>
          <c:marker>
            <c:symbol val="none"/>
          </c:marker>
          <c:cat>
            <c:numRef>
              <c:f>'Data Entry Sheet'!$A$2:$A$97</c:f>
              <c:numCache>
                <c:formatCode>mmm\-yy</c:formatCode>
                <c:ptCount val="84"/>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pt idx="36">
                  <c:v>43556</c:v>
                </c:pt>
                <c:pt idx="37">
                  <c:v>43586</c:v>
                </c:pt>
                <c:pt idx="38">
                  <c:v>43617</c:v>
                </c:pt>
                <c:pt idx="39">
                  <c:v>43647</c:v>
                </c:pt>
                <c:pt idx="40">
                  <c:v>43678</c:v>
                </c:pt>
                <c:pt idx="41">
                  <c:v>43709</c:v>
                </c:pt>
                <c:pt idx="42">
                  <c:v>43739</c:v>
                </c:pt>
                <c:pt idx="43">
                  <c:v>43770</c:v>
                </c:pt>
                <c:pt idx="44">
                  <c:v>43800</c:v>
                </c:pt>
                <c:pt idx="45">
                  <c:v>43831</c:v>
                </c:pt>
                <c:pt idx="46">
                  <c:v>43862</c:v>
                </c:pt>
                <c:pt idx="47">
                  <c:v>43891</c:v>
                </c:pt>
                <c:pt idx="48">
                  <c:v>43922</c:v>
                </c:pt>
                <c:pt idx="49">
                  <c:v>43952</c:v>
                </c:pt>
                <c:pt idx="50">
                  <c:v>43983</c:v>
                </c:pt>
                <c:pt idx="51">
                  <c:v>44013</c:v>
                </c:pt>
                <c:pt idx="52">
                  <c:v>44044</c:v>
                </c:pt>
                <c:pt idx="53">
                  <c:v>44075</c:v>
                </c:pt>
                <c:pt idx="54">
                  <c:v>44105</c:v>
                </c:pt>
                <c:pt idx="55">
                  <c:v>44136</c:v>
                </c:pt>
                <c:pt idx="56">
                  <c:v>44166</c:v>
                </c:pt>
                <c:pt idx="57">
                  <c:v>44197</c:v>
                </c:pt>
                <c:pt idx="58">
                  <c:v>44228</c:v>
                </c:pt>
                <c:pt idx="59">
                  <c:v>44256</c:v>
                </c:pt>
                <c:pt idx="60">
                  <c:v>44287</c:v>
                </c:pt>
                <c:pt idx="61">
                  <c:v>44317</c:v>
                </c:pt>
                <c:pt idx="62">
                  <c:v>44348</c:v>
                </c:pt>
                <c:pt idx="63">
                  <c:v>44378</c:v>
                </c:pt>
                <c:pt idx="64">
                  <c:v>44409</c:v>
                </c:pt>
                <c:pt idx="65">
                  <c:v>44440</c:v>
                </c:pt>
                <c:pt idx="66">
                  <c:v>44470</c:v>
                </c:pt>
                <c:pt idx="67">
                  <c:v>44501</c:v>
                </c:pt>
                <c:pt idx="68">
                  <c:v>44531</c:v>
                </c:pt>
                <c:pt idx="69">
                  <c:v>44562</c:v>
                </c:pt>
                <c:pt idx="70">
                  <c:v>44593</c:v>
                </c:pt>
                <c:pt idx="71">
                  <c:v>44621</c:v>
                </c:pt>
                <c:pt idx="72">
                  <c:v>44652</c:v>
                </c:pt>
                <c:pt idx="73">
                  <c:v>44682</c:v>
                </c:pt>
                <c:pt idx="74">
                  <c:v>44713</c:v>
                </c:pt>
                <c:pt idx="75">
                  <c:v>44743</c:v>
                </c:pt>
                <c:pt idx="76">
                  <c:v>44774</c:v>
                </c:pt>
                <c:pt idx="77">
                  <c:v>44805</c:v>
                </c:pt>
                <c:pt idx="78">
                  <c:v>44835</c:v>
                </c:pt>
                <c:pt idx="79">
                  <c:v>44866</c:v>
                </c:pt>
                <c:pt idx="80">
                  <c:v>44896</c:v>
                </c:pt>
                <c:pt idx="81">
                  <c:v>44927</c:v>
                </c:pt>
                <c:pt idx="82">
                  <c:v>44958</c:v>
                </c:pt>
                <c:pt idx="83">
                  <c:v>44986</c:v>
                </c:pt>
              </c:numCache>
            </c:numRef>
          </c:cat>
          <c:val>
            <c:numRef>
              <c:f>'Data Entry Sheet'!$L$2:$L$97</c:f>
              <c:numCache>
                <c:formatCode>0.00%</c:formatCode>
                <c:ptCount val="84"/>
                <c:pt idx="0">
                  <c:v>4.4484448450184427E-2</c:v>
                </c:pt>
                <c:pt idx="1">
                  <c:v>4.2659400522623799E-2</c:v>
                </c:pt>
                <c:pt idx="2">
                  <c:v>4.7596807514952502E-2</c:v>
                </c:pt>
                <c:pt idx="3">
                  <c:v>4.2162022243506417E-2</c:v>
                </c:pt>
                <c:pt idx="4">
                  <c:v>5.0871406060931032E-2</c:v>
                </c:pt>
                <c:pt idx="5">
                  <c:v>0.05</c:v>
                </c:pt>
                <c:pt idx="6">
                  <c:v>4.6100000000000002E-2</c:v>
                </c:pt>
                <c:pt idx="7">
                  <c:v>5.4414591058848195E-2</c:v>
                </c:pt>
                <c:pt idx="8">
                  <c:v>4.7600000000000003E-2</c:v>
                </c:pt>
                <c:pt idx="9">
                  <c:v>5.3900000000000003E-2</c:v>
                </c:pt>
                <c:pt idx="10">
                  <c:v>4.3443119144076565E-2</c:v>
                </c:pt>
                <c:pt idx="11">
                  <c:v>4.4299999999999999E-2</c:v>
                </c:pt>
                <c:pt idx="12">
                  <c:v>4.1214001685518163E-2</c:v>
                </c:pt>
                <c:pt idx="13">
                  <c:v>5.3305068201693187E-2</c:v>
                </c:pt>
                <c:pt idx="14">
                  <c:v>4.8899999999999999E-2</c:v>
                </c:pt>
                <c:pt idx="15">
                  <c:v>4.7399999999999998E-2</c:v>
                </c:pt>
                <c:pt idx="16">
                  <c:v>5.0799999999999998E-2</c:v>
                </c:pt>
                <c:pt idx="17">
                  <c:v>4.3099999999999999E-2</c:v>
                </c:pt>
                <c:pt idx="18">
                  <c:v>5.0099999999999999E-2</c:v>
                </c:pt>
                <c:pt idx="19">
                  <c:v>5.74E-2</c:v>
                </c:pt>
                <c:pt idx="20">
                  <c:v>5.5199999999999999E-2</c:v>
                </c:pt>
                <c:pt idx="21">
                  <c:v>5.8099999999999999E-2</c:v>
                </c:pt>
                <c:pt idx="22">
                  <c:v>4.9099999999999998E-2</c:v>
                </c:pt>
                <c:pt idx="23">
                  <c:v>5.4100000000000002E-2</c:v>
                </c:pt>
                <c:pt idx="24">
                  <c:v>4.82E-2</c:v>
                </c:pt>
                <c:pt idx="25">
                  <c:v>5.6599999999999998E-2</c:v>
                </c:pt>
                <c:pt idx="26">
                  <c:v>4.9700000000000001E-2</c:v>
                </c:pt>
                <c:pt idx="27">
                  <c:v>4.3700000000000003E-2</c:v>
                </c:pt>
                <c:pt idx="28">
                  <c:v>4.5400000000000003E-2</c:v>
                </c:pt>
                <c:pt idx="29">
                  <c:v>4.7699999999999999E-2</c:v>
                </c:pt>
                <c:pt idx="30">
                  <c:v>4.5900000000000003E-2</c:v>
                </c:pt>
                <c:pt idx="31">
                  <c:v>4.5600000000000002E-2</c:v>
                </c:pt>
                <c:pt idx="32">
                  <c:v>4.2099999999999999E-2</c:v>
                </c:pt>
                <c:pt idx="33">
                  <c:v>5.2200000000000003E-2</c:v>
                </c:pt>
                <c:pt idx="34">
                  <c:v>5.1200000000000002E-2</c:v>
                </c:pt>
                <c:pt idx="35">
                  <c:v>4.53E-2</c:v>
                </c:pt>
                <c:pt idx="36">
                  <c:v>4.6899999999999997E-2</c:v>
                </c:pt>
                <c:pt idx="37">
                  <c:v>4.82E-2</c:v>
                </c:pt>
                <c:pt idx="38">
                  <c:v>4.9599999999999998E-2</c:v>
                </c:pt>
                <c:pt idx="39">
                  <c:v>5.0999999999999997E-2</c:v>
                </c:pt>
                <c:pt idx="40">
                  <c:v>4.4999999999999998E-2</c:v>
                </c:pt>
                <c:pt idx="41">
                  <c:v>4.2000000000000003E-2</c:v>
                </c:pt>
                <c:pt idx="42">
                  <c:v>4.3999999999999997E-2</c:v>
                </c:pt>
                <c:pt idx="43">
                  <c:v>5.1406794027289329E-2</c:v>
                </c:pt>
                <c:pt idx="44">
                  <c:v>5.7763328843914448E-2</c:v>
                </c:pt>
                <c:pt idx="45">
                  <c:v>5.583452347609083E-2</c:v>
                </c:pt>
                <c:pt idx="46">
                  <c:v>4.8560771943773742E-2</c:v>
                </c:pt>
                <c:pt idx="47">
                  <c:v>5.0053772572797202E-2</c:v>
                </c:pt>
                <c:pt idx="48">
                  <c:v>4.7153680503277853E-2</c:v>
                </c:pt>
                <c:pt idx="49">
                  <c:v>4.7471172514688333E-2</c:v>
                </c:pt>
                <c:pt idx="50">
                  <c:v>4.2989657028779479E-2</c:v>
                </c:pt>
                <c:pt idx="51">
                  <c:v>4.1018383958539704E-2</c:v>
                </c:pt>
                <c:pt idx="52">
                  <c:v>5.5496965645319848E-2</c:v>
                </c:pt>
                <c:pt idx="53">
                  <c:v>6.0044095633411149E-2</c:v>
                </c:pt>
                <c:pt idx="54">
                  <c:v>5.3001694020169209E-2</c:v>
                </c:pt>
                <c:pt idx="55">
                  <c:v>5.4167737626161519E-2</c:v>
                </c:pt>
                <c:pt idx="56">
                  <c:v>4.518572314963587E-2</c:v>
                </c:pt>
                <c:pt idx="57">
                  <c:v>4.65E-2</c:v>
                </c:pt>
                <c:pt idx="58">
                  <c:v>3.9940000000000003E-2</c:v>
                </c:pt>
                <c:pt idx="59">
                  <c:v>4.4200000000000003E-2</c:v>
                </c:pt>
                <c:pt idx="60">
                  <c:v>4.8599999999999997E-2</c:v>
                </c:pt>
                <c:pt idx="61">
                  <c:v>4.82E-2</c:v>
                </c:pt>
                <c:pt idx="62">
                  <c:v>4.99E-2</c:v>
                </c:pt>
                <c:pt idx="63">
                  <c:v>5.5500000000000001E-2</c:v>
                </c:pt>
                <c:pt idx="64">
                  <c:v>6.4000000000000001E-2</c:v>
                </c:pt>
                <c:pt idx="65">
                  <c:v>6.93E-2</c:v>
                </c:pt>
                <c:pt idx="66">
                  <c:v>6.8699999999999997E-2</c:v>
                </c:pt>
                <c:pt idx="67">
                  <c:v>7.1099999999999997E-2</c:v>
                </c:pt>
                <c:pt idx="68">
                  <c:v>7.0800000000000002E-2</c:v>
                </c:pt>
                <c:pt idx="69">
                  <c:v>5.91E-2</c:v>
                </c:pt>
                <c:pt idx="70">
                  <c:v>0.06</c:v>
                </c:pt>
                <c:pt idx="71">
                  <c:v>6.0199999999999997E-2</c:v>
                </c:pt>
                <c:pt idx="72">
                  <c:v>5.6099999999999997E-2</c:v>
                </c:pt>
                <c:pt idx="73">
                  <c:v>5.3800000000000001E-2</c:v>
                </c:pt>
                <c:pt idx="74">
                  <c:v>5.4300000000000001E-2</c:v>
                </c:pt>
                <c:pt idx="75">
                  <c:v>5.8000000000000003E-2</c:v>
                </c:pt>
                <c:pt idx="76">
                  <c:v>5.1700000000000003E-2</c:v>
                </c:pt>
                <c:pt idx="77">
                  <c:v>5.4899999999999997E-2</c:v>
                </c:pt>
                <c:pt idx="78">
                  <c:v>0.06</c:v>
                </c:pt>
                <c:pt idx="79">
                  <c:v>6.5100000000000005E-2</c:v>
                </c:pt>
                <c:pt idx="80">
                  <c:v>6.9099999999999995E-2</c:v>
                </c:pt>
                <c:pt idx="81">
                  <c:v>6.0600000000000001E-2</c:v>
                </c:pt>
                <c:pt idx="82">
                  <c:v>5.57E-2</c:v>
                </c:pt>
                <c:pt idx="83">
                  <c:v>6.6299999999999998E-2</c:v>
                </c:pt>
              </c:numCache>
            </c:numRef>
          </c:val>
          <c:smooth val="0"/>
          <c:extLst>
            <c:ext xmlns:c16="http://schemas.microsoft.com/office/drawing/2014/chart" uri="{C3380CC4-5D6E-409C-BE32-E72D297353CC}">
              <c16:uniqueId val="{00000000-0DF9-4564-B1A1-D55391915F3A}"/>
            </c:ext>
          </c:extLst>
        </c:ser>
        <c:ser>
          <c:idx val="1"/>
          <c:order val="1"/>
          <c:tx>
            <c:v>Centre</c:v>
          </c:tx>
          <c:spPr>
            <a:ln w="22225" cap="rnd">
              <a:solidFill>
                <a:schemeClr val="tx1"/>
              </a:solidFill>
              <a:prstDash val="dash"/>
              <a:round/>
            </a:ln>
            <a:effectLst/>
          </c:spPr>
          <c:marker>
            <c:symbol val="none"/>
          </c:marker>
          <c:cat>
            <c:numRef>
              <c:f>'Data Entry Sheet'!$A$2:$A$97</c:f>
              <c:numCache>
                <c:formatCode>mmm\-yy</c:formatCode>
                <c:ptCount val="84"/>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pt idx="36">
                  <c:v>43556</c:v>
                </c:pt>
                <c:pt idx="37">
                  <c:v>43586</c:v>
                </c:pt>
                <c:pt idx="38">
                  <c:v>43617</c:v>
                </c:pt>
                <c:pt idx="39">
                  <c:v>43647</c:v>
                </c:pt>
                <c:pt idx="40">
                  <c:v>43678</c:v>
                </c:pt>
                <c:pt idx="41">
                  <c:v>43709</c:v>
                </c:pt>
                <c:pt idx="42">
                  <c:v>43739</c:v>
                </c:pt>
                <c:pt idx="43">
                  <c:v>43770</c:v>
                </c:pt>
                <c:pt idx="44">
                  <c:v>43800</c:v>
                </c:pt>
                <c:pt idx="45">
                  <c:v>43831</c:v>
                </c:pt>
                <c:pt idx="46">
                  <c:v>43862</c:v>
                </c:pt>
                <c:pt idx="47">
                  <c:v>43891</c:v>
                </c:pt>
                <c:pt idx="48">
                  <c:v>43922</c:v>
                </c:pt>
                <c:pt idx="49">
                  <c:v>43952</c:v>
                </c:pt>
                <c:pt idx="50">
                  <c:v>43983</c:v>
                </c:pt>
                <c:pt idx="51">
                  <c:v>44013</c:v>
                </c:pt>
                <c:pt idx="52">
                  <c:v>44044</c:v>
                </c:pt>
                <c:pt idx="53">
                  <c:v>44075</c:v>
                </c:pt>
                <c:pt idx="54">
                  <c:v>44105</c:v>
                </c:pt>
                <c:pt idx="55">
                  <c:v>44136</c:v>
                </c:pt>
                <c:pt idx="56">
                  <c:v>44166</c:v>
                </c:pt>
                <c:pt idx="57">
                  <c:v>44197</c:v>
                </c:pt>
                <c:pt idx="58">
                  <c:v>44228</c:v>
                </c:pt>
                <c:pt idx="59">
                  <c:v>44256</c:v>
                </c:pt>
                <c:pt idx="60">
                  <c:v>44287</c:v>
                </c:pt>
                <c:pt idx="61">
                  <c:v>44317</c:v>
                </c:pt>
                <c:pt idx="62">
                  <c:v>44348</c:v>
                </c:pt>
                <c:pt idx="63">
                  <c:v>44378</c:v>
                </c:pt>
                <c:pt idx="64">
                  <c:v>44409</c:v>
                </c:pt>
                <c:pt idx="65">
                  <c:v>44440</c:v>
                </c:pt>
                <c:pt idx="66">
                  <c:v>44470</c:v>
                </c:pt>
                <c:pt idx="67">
                  <c:v>44501</c:v>
                </c:pt>
                <c:pt idx="68">
                  <c:v>44531</c:v>
                </c:pt>
                <c:pt idx="69">
                  <c:v>44562</c:v>
                </c:pt>
                <c:pt idx="70">
                  <c:v>44593</c:v>
                </c:pt>
                <c:pt idx="71">
                  <c:v>44621</c:v>
                </c:pt>
                <c:pt idx="72">
                  <c:v>44652</c:v>
                </c:pt>
                <c:pt idx="73">
                  <c:v>44682</c:v>
                </c:pt>
                <c:pt idx="74">
                  <c:v>44713</c:v>
                </c:pt>
                <c:pt idx="75">
                  <c:v>44743</c:v>
                </c:pt>
                <c:pt idx="76">
                  <c:v>44774</c:v>
                </c:pt>
                <c:pt idx="77">
                  <c:v>44805</c:v>
                </c:pt>
                <c:pt idx="78">
                  <c:v>44835</c:v>
                </c:pt>
                <c:pt idx="79">
                  <c:v>44866</c:v>
                </c:pt>
                <c:pt idx="80">
                  <c:v>44896</c:v>
                </c:pt>
                <c:pt idx="81">
                  <c:v>44927</c:v>
                </c:pt>
                <c:pt idx="82">
                  <c:v>44958</c:v>
                </c:pt>
                <c:pt idx="83">
                  <c:v>44986</c:v>
                </c:pt>
              </c:numCache>
            </c:numRef>
          </c:cat>
          <c:val>
            <c:numRef>
              <c:f>'Data Entry Sheet'!$N$2:$N$97</c:f>
              <c:numCache>
                <c:formatCode>0.00%</c:formatCode>
                <c:ptCount val="84"/>
                <c:pt idx="0">
                  <c:v>4.7294316249593578E-2</c:v>
                </c:pt>
                <c:pt idx="1">
                  <c:v>4.7294316249593578E-2</c:v>
                </c:pt>
                <c:pt idx="2">
                  <c:v>4.7294316249593578E-2</c:v>
                </c:pt>
                <c:pt idx="3">
                  <c:v>4.7294316249593578E-2</c:v>
                </c:pt>
                <c:pt idx="4">
                  <c:v>4.7294316249593578E-2</c:v>
                </c:pt>
                <c:pt idx="5">
                  <c:v>4.7294316249593578E-2</c:v>
                </c:pt>
                <c:pt idx="6">
                  <c:v>4.7294316249593578E-2</c:v>
                </c:pt>
                <c:pt idx="7">
                  <c:v>4.7294316249593578E-2</c:v>
                </c:pt>
                <c:pt idx="8">
                  <c:v>4.7294316249593578E-2</c:v>
                </c:pt>
                <c:pt idx="9">
                  <c:v>4.7294316249593578E-2</c:v>
                </c:pt>
                <c:pt idx="10">
                  <c:v>4.7294316249593578E-2</c:v>
                </c:pt>
                <c:pt idx="11">
                  <c:v>4.7294316249593578E-2</c:v>
                </c:pt>
                <c:pt idx="12">
                  <c:v>4.7294316249593578E-2</c:v>
                </c:pt>
                <c:pt idx="13">
                  <c:v>4.7294316249593578E-2</c:v>
                </c:pt>
                <c:pt idx="14">
                  <c:v>4.7294316249593578E-2</c:v>
                </c:pt>
                <c:pt idx="15">
                  <c:v>4.7294316249593578E-2</c:v>
                </c:pt>
                <c:pt idx="16">
                  <c:v>4.7294316249593578E-2</c:v>
                </c:pt>
                <c:pt idx="17">
                  <c:v>4.7294316249593578E-2</c:v>
                </c:pt>
                <c:pt idx="18">
                  <c:v>5.1274999999999994E-2</c:v>
                </c:pt>
                <c:pt idx="19">
                  <c:v>5.1274999999999994E-2</c:v>
                </c:pt>
                <c:pt idx="20">
                  <c:v>5.1274999999999994E-2</c:v>
                </c:pt>
                <c:pt idx="21">
                  <c:v>5.1274999999999994E-2</c:v>
                </c:pt>
                <c:pt idx="22">
                  <c:v>5.1274999999999994E-2</c:v>
                </c:pt>
                <c:pt idx="23">
                  <c:v>5.1274999999999994E-2</c:v>
                </c:pt>
                <c:pt idx="24">
                  <c:v>5.1274999999999994E-2</c:v>
                </c:pt>
                <c:pt idx="25">
                  <c:v>5.1274999999999994E-2</c:v>
                </c:pt>
                <c:pt idx="26">
                  <c:v>5.1274999999999994E-2</c:v>
                </c:pt>
                <c:pt idx="27">
                  <c:v>5.1274999999999994E-2</c:v>
                </c:pt>
                <c:pt idx="28">
                  <c:v>5.1274999999999994E-2</c:v>
                </c:pt>
                <c:pt idx="29">
                  <c:v>5.1274999999999994E-2</c:v>
                </c:pt>
                <c:pt idx="30">
                  <c:v>5.1274999999999994E-2</c:v>
                </c:pt>
                <c:pt idx="31">
                  <c:v>5.1274999999999994E-2</c:v>
                </c:pt>
                <c:pt idx="32">
                  <c:v>5.1274999999999994E-2</c:v>
                </c:pt>
                <c:pt idx="33">
                  <c:v>5.1274999999999994E-2</c:v>
                </c:pt>
                <c:pt idx="34">
                  <c:v>5.1274999999999994E-2</c:v>
                </c:pt>
                <c:pt idx="35">
                  <c:v>4.8797118190922355E-2</c:v>
                </c:pt>
                <c:pt idx="36">
                  <c:v>4.8797118190922355E-2</c:v>
                </c:pt>
                <c:pt idx="37">
                  <c:v>4.8797118190922355E-2</c:v>
                </c:pt>
                <c:pt idx="38">
                  <c:v>4.8797118190922355E-2</c:v>
                </c:pt>
                <c:pt idx="39">
                  <c:v>4.8797118190922355E-2</c:v>
                </c:pt>
                <c:pt idx="40">
                  <c:v>4.8797118190922355E-2</c:v>
                </c:pt>
                <c:pt idx="41">
                  <c:v>4.8797118190922355E-2</c:v>
                </c:pt>
                <c:pt idx="42">
                  <c:v>4.8797118190922355E-2</c:v>
                </c:pt>
                <c:pt idx="43">
                  <c:v>4.8797118190922355E-2</c:v>
                </c:pt>
                <c:pt idx="44">
                  <c:v>4.8797118190922355E-2</c:v>
                </c:pt>
                <c:pt idx="45">
                  <c:v>4.8797118190922355E-2</c:v>
                </c:pt>
                <c:pt idx="46">
                  <c:v>4.8797118190922355E-2</c:v>
                </c:pt>
                <c:pt idx="47">
                  <c:v>4.8797118190922355E-2</c:v>
                </c:pt>
                <c:pt idx="48">
                  <c:v>4.8797118190922355E-2</c:v>
                </c:pt>
                <c:pt idx="49">
                  <c:v>4.8797118190922355E-2</c:v>
                </c:pt>
                <c:pt idx="50">
                  <c:v>4.8797118190922355E-2</c:v>
                </c:pt>
                <c:pt idx="51">
                  <c:v>4.8797118190922355E-2</c:v>
                </c:pt>
                <c:pt idx="52">
                  <c:v>4.8797118190922355E-2</c:v>
                </c:pt>
                <c:pt idx="53">
                  <c:v>4.8797118190922355E-2</c:v>
                </c:pt>
                <c:pt idx="54">
                  <c:v>4.8797118190922355E-2</c:v>
                </c:pt>
                <c:pt idx="55">
                  <c:v>4.8797118190922355E-2</c:v>
                </c:pt>
                <c:pt idx="56">
                  <c:v>4.8797118190922355E-2</c:v>
                </c:pt>
                <c:pt idx="57">
                  <c:v>4.8797118190922355E-2</c:v>
                </c:pt>
                <c:pt idx="58">
                  <c:v>4.8797118190922355E-2</c:v>
                </c:pt>
                <c:pt idx="59">
                  <c:v>4.8797118190922355E-2</c:v>
                </c:pt>
                <c:pt idx="60">
                  <c:v>4.8797118190922355E-2</c:v>
                </c:pt>
                <c:pt idx="61">
                  <c:v>4.8797118190922355E-2</c:v>
                </c:pt>
                <c:pt idx="62">
                  <c:v>6.1541666666666668E-2</c:v>
                </c:pt>
                <c:pt idx="63">
                  <c:v>6.1541666666666668E-2</c:v>
                </c:pt>
                <c:pt idx="64">
                  <c:v>6.1541666666666668E-2</c:v>
                </c:pt>
                <c:pt idx="65">
                  <c:v>6.1541666666666668E-2</c:v>
                </c:pt>
                <c:pt idx="66">
                  <c:v>6.1541666666666668E-2</c:v>
                </c:pt>
                <c:pt idx="67">
                  <c:v>6.1541666666666668E-2</c:v>
                </c:pt>
                <c:pt idx="68">
                  <c:v>6.1541666666666668E-2</c:v>
                </c:pt>
                <c:pt idx="69">
                  <c:v>5.8525000000000015E-2</c:v>
                </c:pt>
                <c:pt idx="70">
                  <c:v>5.8525000000000015E-2</c:v>
                </c:pt>
                <c:pt idx="71">
                  <c:v>5.8525000000000015E-2</c:v>
                </c:pt>
                <c:pt idx="72">
                  <c:v>5.8525000000000015E-2</c:v>
                </c:pt>
                <c:pt idx="73">
                  <c:v>5.8525000000000015E-2</c:v>
                </c:pt>
                <c:pt idx="74">
                  <c:v>5.8525000000000015E-2</c:v>
                </c:pt>
                <c:pt idx="75">
                  <c:v>5.8525000000000015E-2</c:v>
                </c:pt>
                <c:pt idx="76">
                  <c:v>5.8525000000000015E-2</c:v>
                </c:pt>
                <c:pt idx="77">
                  <c:v>5.8525000000000015E-2</c:v>
                </c:pt>
                <c:pt idx="78">
                  <c:v>5.8525000000000015E-2</c:v>
                </c:pt>
                <c:pt idx="79">
                  <c:v>5.8525000000000015E-2</c:v>
                </c:pt>
                <c:pt idx="80">
                  <c:v>5.8525000000000015E-2</c:v>
                </c:pt>
                <c:pt idx="81">
                  <c:v>5.8525000000000015E-2</c:v>
                </c:pt>
                <c:pt idx="82">
                  <c:v>5.8525000000000015E-2</c:v>
                </c:pt>
                <c:pt idx="83">
                  <c:v>5.8525000000000015E-2</c:v>
                </c:pt>
              </c:numCache>
            </c:numRef>
          </c:val>
          <c:smooth val="0"/>
          <c:extLst>
            <c:ext xmlns:c16="http://schemas.microsoft.com/office/drawing/2014/chart" uri="{C3380CC4-5D6E-409C-BE32-E72D297353CC}">
              <c16:uniqueId val="{00000001-0DF9-4564-B1A1-D55391915F3A}"/>
            </c:ext>
          </c:extLst>
        </c:ser>
        <c:ser>
          <c:idx val="2"/>
          <c:order val="2"/>
          <c:tx>
            <c:v>Control</c:v>
          </c:tx>
          <c:spPr>
            <a:ln w="22225" cap="rnd">
              <a:solidFill>
                <a:schemeClr val="bg1">
                  <a:lumMod val="50000"/>
                </a:schemeClr>
              </a:solidFill>
              <a:prstDash val="sysDash"/>
              <a:round/>
            </a:ln>
            <a:effectLst/>
          </c:spPr>
          <c:marker>
            <c:symbol val="none"/>
          </c:marker>
          <c:cat>
            <c:numRef>
              <c:f>'Data Entry Sheet'!$A$2:$A$97</c:f>
              <c:numCache>
                <c:formatCode>mmm\-yy</c:formatCode>
                <c:ptCount val="84"/>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pt idx="36">
                  <c:v>43556</c:v>
                </c:pt>
                <c:pt idx="37">
                  <c:v>43586</c:v>
                </c:pt>
                <c:pt idx="38">
                  <c:v>43617</c:v>
                </c:pt>
                <c:pt idx="39">
                  <c:v>43647</c:v>
                </c:pt>
                <c:pt idx="40">
                  <c:v>43678</c:v>
                </c:pt>
                <c:pt idx="41">
                  <c:v>43709</c:v>
                </c:pt>
                <c:pt idx="42">
                  <c:v>43739</c:v>
                </c:pt>
                <c:pt idx="43">
                  <c:v>43770</c:v>
                </c:pt>
                <c:pt idx="44">
                  <c:v>43800</c:v>
                </c:pt>
                <c:pt idx="45">
                  <c:v>43831</c:v>
                </c:pt>
                <c:pt idx="46">
                  <c:v>43862</c:v>
                </c:pt>
                <c:pt idx="47">
                  <c:v>43891</c:v>
                </c:pt>
                <c:pt idx="48">
                  <c:v>43922</c:v>
                </c:pt>
                <c:pt idx="49">
                  <c:v>43952</c:v>
                </c:pt>
                <c:pt idx="50">
                  <c:v>43983</c:v>
                </c:pt>
                <c:pt idx="51">
                  <c:v>44013</c:v>
                </c:pt>
                <c:pt idx="52">
                  <c:v>44044</c:v>
                </c:pt>
                <c:pt idx="53">
                  <c:v>44075</c:v>
                </c:pt>
                <c:pt idx="54">
                  <c:v>44105</c:v>
                </c:pt>
                <c:pt idx="55">
                  <c:v>44136</c:v>
                </c:pt>
                <c:pt idx="56">
                  <c:v>44166</c:v>
                </c:pt>
                <c:pt idx="57">
                  <c:v>44197</c:v>
                </c:pt>
                <c:pt idx="58">
                  <c:v>44228</c:v>
                </c:pt>
                <c:pt idx="59">
                  <c:v>44256</c:v>
                </c:pt>
                <c:pt idx="60">
                  <c:v>44287</c:v>
                </c:pt>
                <c:pt idx="61">
                  <c:v>44317</c:v>
                </c:pt>
                <c:pt idx="62">
                  <c:v>44348</c:v>
                </c:pt>
                <c:pt idx="63">
                  <c:v>44378</c:v>
                </c:pt>
                <c:pt idx="64">
                  <c:v>44409</c:v>
                </c:pt>
                <c:pt idx="65">
                  <c:v>44440</c:v>
                </c:pt>
                <c:pt idx="66">
                  <c:v>44470</c:v>
                </c:pt>
                <c:pt idx="67">
                  <c:v>44501</c:v>
                </c:pt>
                <c:pt idx="68">
                  <c:v>44531</c:v>
                </c:pt>
                <c:pt idx="69">
                  <c:v>44562</c:v>
                </c:pt>
                <c:pt idx="70">
                  <c:v>44593</c:v>
                </c:pt>
                <c:pt idx="71">
                  <c:v>44621</c:v>
                </c:pt>
                <c:pt idx="72">
                  <c:v>44652</c:v>
                </c:pt>
                <c:pt idx="73">
                  <c:v>44682</c:v>
                </c:pt>
                <c:pt idx="74">
                  <c:v>44713</c:v>
                </c:pt>
                <c:pt idx="75">
                  <c:v>44743</c:v>
                </c:pt>
                <c:pt idx="76">
                  <c:v>44774</c:v>
                </c:pt>
                <c:pt idx="77">
                  <c:v>44805</c:v>
                </c:pt>
                <c:pt idx="78">
                  <c:v>44835</c:v>
                </c:pt>
                <c:pt idx="79">
                  <c:v>44866</c:v>
                </c:pt>
                <c:pt idx="80">
                  <c:v>44896</c:v>
                </c:pt>
                <c:pt idx="81">
                  <c:v>44927</c:v>
                </c:pt>
                <c:pt idx="82">
                  <c:v>44958</c:v>
                </c:pt>
                <c:pt idx="83">
                  <c:v>44986</c:v>
                </c:pt>
              </c:numCache>
            </c:numRef>
          </c:cat>
          <c:val>
            <c:numRef>
              <c:f>'Data Entry Sheet'!$P$2:$P$97</c:f>
              <c:numCache>
                <c:formatCode>0.00%</c:formatCode>
                <c:ptCount val="84"/>
                <c:pt idx="0">
                  <c:v>6.2379522712906997E-2</c:v>
                </c:pt>
                <c:pt idx="1">
                  <c:v>6.2417761573908673E-2</c:v>
                </c:pt>
                <c:pt idx="2">
                  <c:v>6.2434850218144711E-2</c:v>
                </c:pt>
                <c:pt idx="3">
                  <c:v>6.2417761573908673E-2</c:v>
                </c:pt>
                <c:pt idx="4">
                  <c:v>6.2400730661609401E-2</c:v>
                </c:pt>
                <c:pt idx="5">
                  <c:v>6.2387995168763553E-2</c:v>
                </c:pt>
                <c:pt idx="6">
                  <c:v>6.2400730661609401E-2</c:v>
                </c:pt>
                <c:pt idx="7">
                  <c:v>6.2456292707246903E-2</c:v>
                </c:pt>
                <c:pt idx="8">
                  <c:v>6.2404982995096024E-2</c:v>
                </c:pt>
                <c:pt idx="9">
                  <c:v>6.2375291831751473E-2</c:v>
                </c:pt>
                <c:pt idx="10">
                  <c:v>6.23541906942554E-2</c:v>
                </c:pt>
                <c:pt idx="11">
                  <c:v>6.2349981085663121E-2</c:v>
                </c:pt>
                <c:pt idx="12">
                  <c:v>6.2349981085663121E-2</c:v>
                </c:pt>
                <c:pt idx="13">
                  <c:v>6.2320612337103544E-2</c:v>
                </c:pt>
                <c:pt idx="14">
                  <c:v>6.2341572447846612E-2</c:v>
                </c:pt>
                <c:pt idx="15">
                  <c:v>6.2451996921225661E-2</c:v>
                </c:pt>
                <c:pt idx="16">
                  <c:v>6.2404982995096024E-2</c:v>
                </c:pt>
                <c:pt idx="17">
                  <c:v>6.2392236753481024E-2</c:v>
                </c:pt>
                <c:pt idx="18">
                  <c:v>6.688817025456735E-2</c:v>
                </c:pt>
                <c:pt idx="19">
                  <c:v>6.6849196810813027E-2</c:v>
                </c:pt>
                <c:pt idx="20">
                  <c:v>6.6849196810813027E-2</c:v>
                </c:pt>
                <c:pt idx="21">
                  <c:v>6.6831968711722478E-2</c:v>
                </c:pt>
                <c:pt idx="22">
                  <c:v>6.6784884642853259E-2</c:v>
                </c:pt>
                <c:pt idx="23">
                  <c:v>6.6759381937780762E-2</c:v>
                </c:pt>
                <c:pt idx="24">
                  <c:v>6.6738225510441951E-2</c:v>
                </c:pt>
                <c:pt idx="25">
                  <c:v>6.6750908951133864E-2</c:v>
                </c:pt>
                <c:pt idx="26">
                  <c:v>6.6755143705338485E-2</c:v>
                </c:pt>
                <c:pt idx="27">
                  <c:v>6.6738225510441951E-2</c:v>
                </c:pt>
                <c:pt idx="28">
                  <c:v>6.6806233427415207E-2</c:v>
                </c:pt>
                <c:pt idx="29">
                  <c:v>6.6849196810813027E-2</c:v>
                </c:pt>
                <c:pt idx="30">
                  <c:v>6.6993547177806395E-2</c:v>
                </c:pt>
                <c:pt idx="31">
                  <c:v>6.681479765934667E-2</c:v>
                </c:pt>
                <c:pt idx="32">
                  <c:v>6.6767868856443605E-2</c:v>
                </c:pt>
                <c:pt idx="33">
                  <c:v>6.681479765934667E-2</c:v>
                </c:pt>
                <c:pt idx="34">
                  <c:v>6.6975836133108202E-2</c:v>
                </c:pt>
                <c:pt idx="35">
                  <c:v>6.404399467892205E-2</c:v>
                </c:pt>
                <c:pt idx="36">
                  <c:v>6.4060992316851514E-2</c:v>
                </c:pt>
                <c:pt idx="37">
                  <c:v>6.39682019486085E-2</c:v>
                </c:pt>
                <c:pt idx="38">
                  <c:v>6.3955679384561565E-2</c:v>
                </c:pt>
                <c:pt idx="39">
                  <c:v>6.3959850126473927E-2</c:v>
                </c:pt>
                <c:pt idx="40">
                  <c:v>6.3926580241217335E-2</c:v>
                </c:pt>
                <c:pt idx="41">
                  <c:v>6.3918296932602842E-2</c:v>
                </c:pt>
                <c:pt idx="42">
                  <c:v>6.3901771049259204E-2</c:v>
                </c:pt>
                <c:pt idx="43">
                  <c:v>6.3901771049259204E-2</c:v>
                </c:pt>
                <c:pt idx="44">
                  <c:v>6.3934877177432028E-2</c:v>
                </c:pt>
                <c:pt idx="45">
                  <c:v>6.379969762116354E-2</c:v>
                </c:pt>
                <c:pt idx="46">
                  <c:v>6.3844354295154421E-2</c:v>
                </c:pt>
                <c:pt idx="47">
                  <c:v>6.3783557132972304E-2</c:v>
                </c:pt>
                <c:pt idx="48">
                  <c:v>6.3695706214382863E-2</c:v>
                </c:pt>
                <c:pt idx="49">
                  <c:v>6.3543695715398973E-2</c:v>
                </c:pt>
                <c:pt idx="50">
                  <c:v>6.3456200738761709E-2</c:v>
                </c:pt>
                <c:pt idx="51">
                  <c:v>6.3444902792923127E-2</c:v>
                </c:pt>
                <c:pt idx="52">
                  <c:v>6.3403699379087547E-2</c:v>
                </c:pt>
                <c:pt idx="53">
                  <c:v>6.3403699379087547E-2</c:v>
                </c:pt>
                <c:pt idx="54">
                  <c:v>6.3795657610472206E-2</c:v>
                </c:pt>
                <c:pt idx="55">
                  <c:v>6.3149399741684681E-2</c:v>
                </c:pt>
                <c:pt idx="56">
                  <c:v>6.327124401833345E-2</c:v>
                </c:pt>
                <c:pt idx="57">
                  <c:v>6.3160027126740098E-2</c:v>
                </c:pt>
                <c:pt idx="58">
                  <c:v>6.3082636410041651E-2</c:v>
                </c:pt>
                <c:pt idx="59">
                  <c:v>6.2996192930760017E-2</c:v>
                </c:pt>
                <c:pt idx="60">
                  <c:v>6.2962052283280528E-2</c:v>
                </c:pt>
                <c:pt idx="61">
                  <c:v>6.2945074051010394E-2</c:v>
                </c:pt>
                <c:pt idx="62">
                  <c:v>7.7311976870067328E-2</c:v>
                </c:pt>
                <c:pt idx="63">
                  <c:v>7.7327089772628324E-2</c:v>
                </c:pt>
                <c:pt idx="64">
                  <c:v>7.7346042142410074E-2</c:v>
                </c:pt>
                <c:pt idx="65">
                  <c:v>7.7334662535407869E-2</c:v>
                </c:pt>
                <c:pt idx="66">
                  <c:v>7.7233340142533913E-2</c:v>
                </c:pt>
                <c:pt idx="67">
                  <c:v>7.7152207562124375E-2</c:v>
                </c:pt>
                <c:pt idx="68">
                  <c:v>7.7185245780870493E-2</c:v>
                </c:pt>
                <c:pt idx="69">
                  <c:v>7.383009159424006E-2</c:v>
                </c:pt>
                <c:pt idx="70">
                  <c:v>7.375830371444822E-2</c:v>
                </c:pt>
                <c:pt idx="71">
                  <c:v>7.3769007524445221E-2</c:v>
                </c:pt>
                <c:pt idx="72">
                  <c:v>7.3808448748257163E-2</c:v>
                </c:pt>
                <c:pt idx="73">
                  <c:v>7.382286709933944E-2</c:v>
                </c:pt>
                <c:pt idx="74">
                  <c:v>7.3812049513708997E-2</c:v>
                </c:pt>
                <c:pt idx="75">
                  <c:v>7.3833707682085969E-2</c:v>
                </c:pt>
                <c:pt idx="76">
                  <c:v>7.3812049513708997E-2</c:v>
                </c:pt>
                <c:pt idx="77">
                  <c:v>7.3676983420083997E-2</c:v>
                </c:pt>
                <c:pt idx="78">
                  <c:v>7.3638548717888747E-2</c:v>
                </c:pt>
                <c:pt idx="79">
                  <c:v>7.3624644806281461E-2</c:v>
                </c:pt>
                <c:pt idx="80">
                  <c:v>7.3621174820068497E-2</c:v>
                </c:pt>
                <c:pt idx="81">
                  <c:v>7.3649001894044192E-2</c:v>
                </c:pt>
                <c:pt idx="82">
                  <c:v>7.3621174820068497E-2</c:v>
                </c:pt>
                <c:pt idx="83">
                  <c:v>7.358660602081829E-2</c:v>
                </c:pt>
              </c:numCache>
            </c:numRef>
          </c:val>
          <c:smooth val="0"/>
          <c:extLst>
            <c:ext xmlns:c16="http://schemas.microsoft.com/office/drawing/2014/chart" uri="{C3380CC4-5D6E-409C-BE32-E72D297353CC}">
              <c16:uniqueId val="{00000002-0DF9-4564-B1A1-D55391915F3A}"/>
            </c:ext>
          </c:extLst>
        </c:ser>
        <c:ser>
          <c:idx val="3"/>
          <c:order val="3"/>
          <c:tx>
            <c:v>Control</c:v>
          </c:tx>
          <c:spPr>
            <a:ln w="22225" cap="rnd">
              <a:solidFill>
                <a:schemeClr val="bg1">
                  <a:lumMod val="50000"/>
                </a:schemeClr>
              </a:solidFill>
              <a:prstDash val="sysDash"/>
              <a:round/>
            </a:ln>
            <a:effectLst/>
          </c:spPr>
          <c:marker>
            <c:symbol val="none"/>
          </c:marker>
          <c:cat>
            <c:numRef>
              <c:f>'Data Entry Sheet'!$A$2:$A$97</c:f>
              <c:numCache>
                <c:formatCode>mmm\-yy</c:formatCode>
                <c:ptCount val="84"/>
                <c:pt idx="0">
                  <c:v>42461</c:v>
                </c:pt>
                <c:pt idx="1">
                  <c:v>42491</c:v>
                </c:pt>
                <c:pt idx="2">
                  <c:v>42522</c:v>
                </c:pt>
                <c:pt idx="3">
                  <c:v>42552</c:v>
                </c:pt>
                <c:pt idx="4">
                  <c:v>42583</c:v>
                </c:pt>
                <c:pt idx="5">
                  <c:v>42614</c:v>
                </c:pt>
                <c:pt idx="6">
                  <c:v>42644</c:v>
                </c:pt>
                <c:pt idx="7">
                  <c:v>42675</c:v>
                </c:pt>
                <c:pt idx="8">
                  <c:v>42705</c:v>
                </c:pt>
                <c:pt idx="9">
                  <c:v>42736</c:v>
                </c:pt>
                <c:pt idx="10">
                  <c:v>42767</c:v>
                </c:pt>
                <c:pt idx="11">
                  <c:v>42795</c:v>
                </c:pt>
                <c:pt idx="12">
                  <c:v>42826</c:v>
                </c:pt>
                <c:pt idx="13">
                  <c:v>42856</c:v>
                </c:pt>
                <c:pt idx="14">
                  <c:v>42887</c:v>
                </c:pt>
                <c:pt idx="15">
                  <c:v>42917</c:v>
                </c:pt>
                <c:pt idx="16">
                  <c:v>42948</c:v>
                </c:pt>
                <c:pt idx="17">
                  <c:v>42979</c:v>
                </c:pt>
                <c:pt idx="18">
                  <c:v>43009</c:v>
                </c:pt>
                <c:pt idx="19">
                  <c:v>43040</c:v>
                </c:pt>
                <c:pt idx="20">
                  <c:v>43070</c:v>
                </c:pt>
                <c:pt idx="21">
                  <c:v>43101</c:v>
                </c:pt>
                <c:pt idx="22">
                  <c:v>43132</c:v>
                </c:pt>
                <c:pt idx="23">
                  <c:v>43160</c:v>
                </c:pt>
                <c:pt idx="24">
                  <c:v>43191</c:v>
                </c:pt>
                <c:pt idx="25">
                  <c:v>43221</c:v>
                </c:pt>
                <c:pt idx="26">
                  <c:v>43252</c:v>
                </c:pt>
                <c:pt idx="27">
                  <c:v>43282</c:v>
                </c:pt>
                <c:pt idx="28">
                  <c:v>43313</c:v>
                </c:pt>
                <c:pt idx="29">
                  <c:v>43344</c:v>
                </c:pt>
                <c:pt idx="30">
                  <c:v>43374</c:v>
                </c:pt>
                <c:pt idx="31">
                  <c:v>43405</c:v>
                </c:pt>
                <c:pt idx="32">
                  <c:v>43435</c:v>
                </c:pt>
                <c:pt idx="33">
                  <c:v>43466</c:v>
                </c:pt>
                <c:pt idx="34">
                  <c:v>43497</c:v>
                </c:pt>
                <c:pt idx="35">
                  <c:v>43525</c:v>
                </c:pt>
                <c:pt idx="36">
                  <c:v>43556</c:v>
                </c:pt>
                <c:pt idx="37">
                  <c:v>43586</c:v>
                </c:pt>
                <c:pt idx="38">
                  <c:v>43617</c:v>
                </c:pt>
                <c:pt idx="39">
                  <c:v>43647</c:v>
                </c:pt>
                <c:pt idx="40">
                  <c:v>43678</c:v>
                </c:pt>
                <c:pt idx="41">
                  <c:v>43709</c:v>
                </c:pt>
                <c:pt idx="42">
                  <c:v>43739</c:v>
                </c:pt>
                <c:pt idx="43">
                  <c:v>43770</c:v>
                </c:pt>
                <c:pt idx="44">
                  <c:v>43800</c:v>
                </c:pt>
                <c:pt idx="45">
                  <c:v>43831</c:v>
                </c:pt>
                <c:pt idx="46">
                  <c:v>43862</c:v>
                </c:pt>
                <c:pt idx="47">
                  <c:v>43891</c:v>
                </c:pt>
                <c:pt idx="48">
                  <c:v>43922</c:v>
                </c:pt>
                <c:pt idx="49">
                  <c:v>43952</c:v>
                </c:pt>
                <c:pt idx="50">
                  <c:v>43983</c:v>
                </c:pt>
                <c:pt idx="51">
                  <c:v>44013</c:v>
                </c:pt>
                <c:pt idx="52">
                  <c:v>44044</c:v>
                </c:pt>
                <c:pt idx="53">
                  <c:v>44075</c:v>
                </c:pt>
                <c:pt idx="54">
                  <c:v>44105</c:v>
                </c:pt>
                <c:pt idx="55">
                  <c:v>44136</c:v>
                </c:pt>
                <c:pt idx="56">
                  <c:v>44166</c:v>
                </c:pt>
                <c:pt idx="57">
                  <c:v>44197</c:v>
                </c:pt>
                <c:pt idx="58">
                  <c:v>44228</c:v>
                </c:pt>
                <c:pt idx="59">
                  <c:v>44256</c:v>
                </c:pt>
                <c:pt idx="60">
                  <c:v>44287</c:v>
                </c:pt>
                <c:pt idx="61">
                  <c:v>44317</c:v>
                </c:pt>
                <c:pt idx="62">
                  <c:v>44348</c:v>
                </c:pt>
                <c:pt idx="63">
                  <c:v>44378</c:v>
                </c:pt>
                <c:pt idx="64">
                  <c:v>44409</c:v>
                </c:pt>
                <c:pt idx="65">
                  <c:v>44440</c:v>
                </c:pt>
                <c:pt idx="66">
                  <c:v>44470</c:v>
                </c:pt>
                <c:pt idx="67">
                  <c:v>44501</c:v>
                </c:pt>
                <c:pt idx="68">
                  <c:v>44531</c:v>
                </c:pt>
                <c:pt idx="69">
                  <c:v>44562</c:v>
                </c:pt>
                <c:pt idx="70">
                  <c:v>44593</c:v>
                </c:pt>
                <c:pt idx="71">
                  <c:v>44621</c:v>
                </c:pt>
                <c:pt idx="72">
                  <c:v>44652</c:v>
                </c:pt>
                <c:pt idx="73">
                  <c:v>44682</c:v>
                </c:pt>
                <c:pt idx="74">
                  <c:v>44713</c:v>
                </c:pt>
                <c:pt idx="75">
                  <c:v>44743</c:v>
                </c:pt>
                <c:pt idx="76">
                  <c:v>44774</c:v>
                </c:pt>
                <c:pt idx="77">
                  <c:v>44805</c:v>
                </c:pt>
                <c:pt idx="78">
                  <c:v>44835</c:v>
                </c:pt>
                <c:pt idx="79">
                  <c:v>44866</c:v>
                </c:pt>
                <c:pt idx="80">
                  <c:v>44896</c:v>
                </c:pt>
                <c:pt idx="81">
                  <c:v>44927</c:v>
                </c:pt>
                <c:pt idx="82">
                  <c:v>44958</c:v>
                </c:pt>
                <c:pt idx="83">
                  <c:v>44986</c:v>
                </c:pt>
              </c:numCache>
            </c:numRef>
          </c:cat>
          <c:val>
            <c:numRef>
              <c:f>'Data Entry Sheet'!$Q$2:$Q$97</c:f>
              <c:numCache>
                <c:formatCode>0.00%</c:formatCode>
                <c:ptCount val="84"/>
                <c:pt idx="0">
                  <c:v>3.2209109786280159E-2</c:v>
                </c:pt>
                <c:pt idx="1">
                  <c:v>3.2170870925278483E-2</c:v>
                </c:pt>
                <c:pt idx="2">
                  <c:v>3.2153782281042445E-2</c:v>
                </c:pt>
                <c:pt idx="3">
                  <c:v>3.2170870925278483E-2</c:v>
                </c:pt>
                <c:pt idx="4">
                  <c:v>3.2187901837577755E-2</c:v>
                </c:pt>
                <c:pt idx="5">
                  <c:v>3.2200637330423602E-2</c:v>
                </c:pt>
                <c:pt idx="6">
                  <c:v>3.2187901837577755E-2</c:v>
                </c:pt>
                <c:pt idx="7">
                  <c:v>3.2132339791940252E-2</c:v>
                </c:pt>
                <c:pt idx="8">
                  <c:v>3.2183649504091132E-2</c:v>
                </c:pt>
                <c:pt idx="9">
                  <c:v>3.2213340667435683E-2</c:v>
                </c:pt>
                <c:pt idx="10">
                  <c:v>3.2234441804931756E-2</c:v>
                </c:pt>
                <c:pt idx="11">
                  <c:v>3.2238651413524035E-2</c:v>
                </c:pt>
                <c:pt idx="12">
                  <c:v>3.2238651413524035E-2</c:v>
                </c:pt>
                <c:pt idx="13">
                  <c:v>3.2268020162083612E-2</c:v>
                </c:pt>
                <c:pt idx="14">
                  <c:v>3.2247060051340544E-2</c:v>
                </c:pt>
                <c:pt idx="15">
                  <c:v>3.2136635577961495E-2</c:v>
                </c:pt>
                <c:pt idx="16">
                  <c:v>3.2183649504091132E-2</c:v>
                </c:pt>
                <c:pt idx="17">
                  <c:v>3.2196395745706131E-2</c:v>
                </c:pt>
                <c:pt idx="18">
                  <c:v>3.5661829745432638E-2</c:v>
                </c:pt>
                <c:pt idx="19">
                  <c:v>3.5700803189186961E-2</c:v>
                </c:pt>
                <c:pt idx="20">
                  <c:v>3.5700803189186961E-2</c:v>
                </c:pt>
                <c:pt idx="21">
                  <c:v>3.571803128827751E-2</c:v>
                </c:pt>
                <c:pt idx="22">
                  <c:v>3.5765115357146736E-2</c:v>
                </c:pt>
                <c:pt idx="23">
                  <c:v>3.5790618062219233E-2</c:v>
                </c:pt>
                <c:pt idx="24">
                  <c:v>3.5811774489558031E-2</c:v>
                </c:pt>
                <c:pt idx="25">
                  <c:v>3.5799091048866125E-2</c:v>
                </c:pt>
                <c:pt idx="26">
                  <c:v>3.5794856294661503E-2</c:v>
                </c:pt>
                <c:pt idx="27">
                  <c:v>3.5811774489558031E-2</c:v>
                </c:pt>
                <c:pt idx="28">
                  <c:v>3.5743766572584788E-2</c:v>
                </c:pt>
                <c:pt idx="29">
                  <c:v>3.5700803189186961E-2</c:v>
                </c:pt>
                <c:pt idx="30">
                  <c:v>3.5556452822193593E-2</c:v>
                </c:pt>
                <c:pt idx="31">
                  <c:v>3.5735202340653326E-2</c:v>
                </c:pt>
                <c:pt idx="32">
                  <c:v>3.5782131143556377E-2</c:v>
                </c:pt>
                <c:pt idx="33">
                  <c:v>3.5735202340653326E-2</c:v>
                </c:pt>
                <c:pt idx="34">
                  <c:v>3.5574163866891786E-2</c:v>
                </c:pt>
                <c:pt idx="35">
                  <c:v>3.3550241702922652E-2</c:v>
                </c:pt>
                <c:pt idx="36">
                  <c:v>3.3533244064993195E-2</c:v>
                </c:pt>
                <c:pt idx="37">
                  <c:v>3.3626034433236217E-2</c:v>
                </c:pt>
                <c:pt idx="38">
                  <c:v>3.3638556997283145E-2</c:v>
                </c:pt>
                <c:pt idx="39">
                  <c:v>3.3634386255370782E-2</c:v>
                </c:pt>
                <c:pt idx="40">
                  <c:v>3.3667656140627375E-2</c:v>
                </c:pt>
                <c:pt idx="41">
                  <c:v>3.3675939449241868E-2</c:v>
                </c:pt>
                <c:pt idx="42">
                  <c:v>3.3692465332585499E-2</c:v>
                </c:pt>
                <c:pt idx="43">
                  <c:v>3.3692465332585499E-2</c:v>
                </c:pt>
                <c:pt idx="44">
                  <c:v>3.3659359204412688E-2</c:v>
                </c:pt>
                <c:pt idx="45">
                  <c:v>3.379453876068117E-2</c:v>
                </c:pt>
                <c:pt idx="46">
                  <c:v>3.3749882086690289E-2</c:v>
                </c:pt>
                <c:pt idx="47">
                  <c:v>3.3810679248872405E-2</c:v>
                </c:pt>
                <c:pt idx="48">
                  <c:v>3.3898530167461839E-2</c:v>
                </c:pt>
                <c:pt idx="49">
                  <c:v>3.4050540666445736E-2</c:v>
                </c:pt>
                <c:pt idx="50">
                  <c:v>3.4138035643083008E-2</c:v>
                </c:pt>
                <c:pt idx="51">
                  <c:v>3.4149333588921582E-2</c:v>
                </c:pt>
                <c:pt idx="52">
                  <c:v>3.4190537002757156E-2</c:v>
                </c:pt>
                <c:pt idx="53">
                  <c:v>3.4190537002757156E-2</c:v>
                </c:pt>
                <c:pt idx="54">
                  <c:v>3.3798578771372503E-2</c:v>
                </c:pt>
                <c:pt idx="55">
                  <c:v>3.4444836640160022E-2</c:v>
                </c:pt>
                <c:pt idx="56">
                  <c:v>3.4322992363511259E-2</c:v>
                </c:pt>
                <c:pt idx="57">
                  <c:v>3.4434209255104604E-2</c:v>
                </c:pt>
                <c:pt idx="58">
                  <c:v>3.4511599971803059E-2</c:v>
                </c:pt>
                <c:pt idx="59">
                  <c:v>3.4598043451084692E-2</c:v>
                </c:pt>
                <c:pt idx="60">
                  <c:v>3.4632184098564181E-2</c:v>
                </c:pt>
                <c:pt idx="61">
                  <c:v>3.4649162330834322E-2</c:v>
                </c:pt>
                <c:pt idx="62">
                  <c:v>4.5771356463266001E-2</c:v>
                </c:pt>
                <c:pt idx="63">
                  <c:v>4.5756243560705012E-2</c:v>
                </c:pt>
                <c:pt idx="64">
                  <c:v>4.5737291190923263E-2</c:v>
                </c:pt>
                <c:pt idx="65">
                  <c:v>4.5748670797925467E-2</c:v>
                </c:pt>
                <c:pt idx="66">
                  <c:v>4.584999319079943E-2</c:v>
                </c:pt>
                <c:pt idx="67">
                  <c:v>4.5931125771208961E-2</c:v>
                </c:pt>
                <c:pt idx="68">
                  <c:v>4.5898087552462843E-2</c:v>
                </c:pt>
                <c:pt idx="69">
                  <c:v>4.3219908405759962E-2</c:v>
                </c:pt>
                <c:pt idx="70">
                  <c:v>4.3291696285551809E-2</c:v>
                </c:pt>
                <c:pt idx="71">
                  <c:v>4.3280992475554808E-2</c:v>
                </c:pt>
                <c:pt idx="72">
                  <c:v>4.3241551251742866E-2</c:v>
                </c:pt>
                <c:pt idx="73">
                  <c:v>4.3227132900660596E-2</c:v>
                </c:pt>
                <c:pt idx="74">
                  <c:v>4.3237950486291032E-2</c:v>
                </c:pt>
                <c:pt idx="75">
                  <c:v>4.3216292317914053E-2</c:v>
                </c:pt>
                <c:pt idx="76">
                  <c:v>4.3237950486291032E-2</c:v>
                </c:pt>
                <c:pt idx="77">
                  <c:v>4.3373016579916025E-2</c:v>
                </c:pt>
                <c:pt idx="78">
                  <c:v>4.3411451282111276E-2</c:v>
                </c:pt>
                <c:pt idx="79">
                  <c:v>4.3425355193718568E-2</c:v>
                </c:pt>
                <c:pt idx="80">
                  <c:v>4.3428825179931525E-2</c:v>
                </c:pt>
                <c:pt idx="81">
                  <c:v>4.3400998105955844E-2</c:v>
                </c:pt>
                <c:pt idx="82">
                  <c:v>4.3428825179931525E-2</c:v>
                </c:pt>
                <c:pt idx="83">
                  <c:v>4.3463393979181732E-2</c:v>
                </c:pt>
              </c:numCache>
            </c:numRef>
          </c:val>
          <c:smooth val="0"/>
          <c:extLst>
            <c:ext xmlns:c16="http://schemas.microsoft.com/office/drawing/2014/chart" uri="{C3380CC4-5D6E-409C-BE32-E72D297353CC}">
              <c16:uniqueId val="{00000003-0DF9-4564-B1A1-D55391915F3A}"/>
            </c:ext>
          </c:extLst>
        </c:ser>
        <c:dLbls>
          <c:showLegendKey val="0"/>
          <c:showVal val="0"/>
          <c:showCatName val="0"/>
          <c:showSerName val="0"/>
          <c:showPercent val="0"/>
          <c:showBubbleSize val="0"/>
        </c:dLbls>
        <c:marker val="1"/>
        <c:smooth val="0"/>
        <c:axId val="395361952"/>
        <c:axId val="395361624"/>
      </c:lineChart>
      <c:lineChart>
        <c:grouping val="standard"/>
        <c:varyColors val="0"/>
        <c:ser>
          <c:idx val="4"/>
          <c:order val="4"/>
          <c:tx>
            <c:v>Centre reset to: </c:v>
          </c:tx>
          <c:spPr>
            <a:ln w="28575" cap="rnd">
              <a:noFill/>
              <a:round/>
            </a:ln>
            <a:effectLst/>
          </c:spPr>
          <c:marker>
            <c:symbol val="none"/>
          </c:marker>
          <c:dLbls>
            <c:dLbl>
              <c:idx val="0"/>
              <c:layout>
                <c:manualLayout>
                  <c:x val="-1.1318619128466326E-2"/>
                  <c:y val="0.2361111111111111"/>
                </c:manualLayout>
              </c:layout>
              <c:dLblPos val="r"/>
              <c:showLegendKey val="0"/>
              <c:showVal val="1"/>
              <c:showCatName val="0"/>
              <c:showSerName val="1"/>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4-0DF9-4564-B1A1-D55391915F3A}"/>
                </c:ext>
              </c:extLst>
            </c:dLbl>
            <c:dLbl>
              <c:idx val="18"/>
              <c:layout>
                <c:manualLayout>
                  <c:x val="-1.3582342954159592E-2"/>
                  <c:y val="0.26851851851851855"/>
                </c:manualLayout>
              </c:layout>
              <c:dLblPos val="r"/>
              <c:showLegendKey val="0"/>
              <c:showVal val="1"/>
              <c:showCatName val="0"/>
              <c:showSerName val="1"/>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5-0DF9-4564-B1A1-D55391915F3A}"/>
                </c:ext>
              </c:extLst>
            </c:dLbl>
            <c:dLbl>
              <c:idx val="35"/>
              <c:layout>
                <c:manualLayout>
                  <c:x val="-1.1318619128466326E-2"/>
                  <c:y val="0.25462962962962965"/>
                </c:manualLayout>
              </c:layout>
              <c:dLblPos val="r"/>
              <c:showLegendKey val="0"/>
              <c:showVal val="1"/>
              <c:showCatName val="0"/>
              <c:showSerName val="1"/>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6-0DF9-4564-B1A1-D55391915F3A}"/>
                </c:ext>
              </c:extLst>
            </c:dLbl>
            <c:dLbl>
              <c:idx val="62"/>
              <c:layout>
                <c:manualLayout>
                  <c:x val="-9.0548953027729789E-3"/>
                  <c:y val="0.18417945690672963"/>
                </c:manualLayout>
              </c:layout>
              <c:dLblPos val="r"/>
              <c:showLegendKey val="0"/>
              <c:showVal val="1"/>
              <c:showCatName val="0"/>
              <c:showSerName val="1"/>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0DF9-4564-B1A1-D55391915F3A}"/>
                </c:ext>
              </c:extLst>
            </c:dLbl>
            <c:spPr>
              <a:noFill/>
              <a:ln>
                <a:noFill/>
              </a:ln>
              <a:effectLst/>
            </c:spPr>
            <c:txPr>
              <a:bodyPr rot="0" spcFirstLastPara="1" vertOverflow="ellipsis" vert="horz" wrap="square" lIns="38100" tIns="19050" rIns="38100" bIns="19050" anchor="b"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1"/>
            <c:showPercent val="0"/>
            <c:showBubbleSize val="0"/>
            <c:separator> </c:separator>
            <c:showLeaderLines val="0"/>
            <c:extLst>
              <c:ext xmlns:c15="http://schemas.microsoft.com/office/drawing/2012/chart" uri="{CE6537A1-D6FC-4f65-9D91-7224C49458BB}">
                <c15:layout/>
                <c15:showLeaderLines val="1"/>
                <c15:leaderLines>
                  <c:spPr>
                    <a:ln w="9525" cap="flat" cmpd="sng" algn="ctr">
                      <a:noFill/>
                      <a:round/>
                    </a:ln>
                    <a:effectLst/>
                  </c:spPr>
                </c15:leaderLines>
              </c:ext>
            </c:extLst>
          </c:dLbls>
          <c:errBars>
            <c:errDir val="y"/>
            <c:errBarType val="both"/>
            <c:errValType val="fixedVal"/>
            <c:noEndCap val="0"/>
            <c:val val="0.5"/>
            <c:spPr>
              <a:noFill/>
              <a:ln w="9525" cap="flat" cmpd="sng" algn="ctr">
                <a:solidFill>
                  <a:schemeClr val="tx1">
                    <a:lumMod val="65000"/>
                    <a:lumOff val="35000"/>
                  </a:schemeClr>
                </a:solidFill>
                <a:prstDash val="lgDash"/>
                <a:round/>
              </a:ln>
              <a:effectLst/>
            </c:spPr>
          </c:errBars>
          <c:val>
            <c:numRef>
              <c:f>'Data Entry Sheet'!$CX$2:$CX$97</c:f>
              <c:numCache>
                <c:formatCode>0.00%</c:formatCode>
                <c:ptCount val="84"/>
                <c:pt idx="0">
                  <c:v>4.7294316249593578E-2</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5.1274999999999994E-2</c:v>
                </c:pt>
                <c:pt idx="19">
                  <c:v>#N/A</c:v>
                </c:pt>
                <c:pt idx="20">
                  <c:v>#N/A</c:v>
                </c:pt>
                <c:pt idx="21">
                  <c:v>#N/A</c:v>
                </c:pt>
                <c:pt idx="22">
                  <c:v>#N/A</c:v>
                </c:pt>
                <c:pt idx="23">
                  <c:v>#N/A</c:v>
                </c:pt>
                <c:pt idx="24">
                  <c:v>#N/A</c:v>
                </c:pt>
                <c:pt idx="25">
                  <c:v>#N/A</c:v>
                </c:pt>
                <c:pt idx="26">
                  <c:v>#N/A</c:v>
                </c:pt>
                <c:pt idx="27">
                  <c:v>#N/A</c:v>
                </c:pt>
                <c:pt idx="28">
                  <c:v>#N/A</c:v>
                </c:pt>
                <c:pt idx="29">
                  <c:v>#N/A</c:v>
                </c:pt>
                <c:pt idx="30">
                  <c:v>#N/A</c:v>
                </c:pt>
                <c:pt idx="31">
                  <c:v>#N/A</c:v>
                </c:pt>
                <c:pt idx="32">
                  <c:v>#N/A</c:v>
                </c:pt>
                <c:pt idx="33">
                  <c:v>#N/A</c:v>
                </c:pt>
                <c:pt idx="34">
                  <c:v>#N/A</c:v>
                </c:pt>
                <c:pt idx="35">
                  <c:v>4.8797118190922355E-2</c:v>
                </c:pt>
                <c:pt idx="36">
                  <c:v>#N/A</c:v>
                </c:pt>
                <c:pt idx="37">
                  <c:v>#N/A</c:v>
                </c:pt>
                <c:pt idx="38">
                  <c:v>#N/A</c:v>
                </c:pt>
                <c:pt idx="39">
                  <c:v>#N/A</c:v>
                </c:pt>
                <c:pt idx="40">
                  <c:v>#N/A</c:v>
                </c:pt>
                <c:pt idx="41">
                  <c:v>#N/A</c:v>
                </c:pt>
                <c:pt idx="42">
                  <c:v>#N/A</c:v>
                </c:pt>
                <c:pt idx="43">
                  <c:v>#N/A</c:v>
                </c:pt>
                <c:pt idx="44">
                  <c:v>#N/A</c:v>
                </c:pt>
                <c:pt idx="45">
                  <c:v>#N/A</c:v>
                </c:pt>
                <c:pt idx="46">
                  <c:v>#N/A</c:v>
                </c:pt>
                <c:pt idx="47">
                  <c:v>#N/A</c:v>
                </c:pt>
                <c:pt idx="48">
                  <c:v>#N/A</c:v>
                </c:pt>
                <c:pt idx="49">
                  <c:v>#N/A</c:v>
                </c:pt>
                <c:pt idx="50">
                  <c:v>#N/A</c:v>
                </c:pt>
                <c:pt idx="51">
                  <c:v>#N/A</c:v>
                </c:pt>
                <c:pt idx="52">
                  <c:v>#N/A</c:v>
                </c:pt>
                <c:pt idx="53">
                  <c:v>#N/A</c:v>
                </c:pt>
                <c:pt idx="54">
                  <c:v>#N/A</c:v>
                </c:pt>
                <c:pt idx="55">
                  <c:v>#N/A</c:v>
                </c:pt>
                <c:pt idx="56">
                  <c:v>#N/A</c:v>
                </c:pt>
                <c:pt idx="57">
                  <c:v>#N/A</c:v>
                </c:pt>
                <c:pt idx="58">
                  <c:v>#N/A</c:v>
                </c:pt>
                <c:pt idx="59">
                  <c:v>#N/A</c:v>
                </c:pt>
                <c:pt idx="60">
                  <c:v>#N/A</c:v>
                </c:pt>
                <c:pt idx="61">
                  <c:v>#N/A</c:v>
                </c:pt>
                <c:pt idx="62">
                  <c:v>6.1541666666666668E-2</c:v>
                </c:pt>
                <c:pt idx="63">
                  <c:v>#N/A</c:v>
                </c:pt>
                <c:pt idx="64">
                  <c:v>#N/A</c:v>
                </c:pt>
                <c:pt idx="65">
                  <c:v>#N/A</c:v>
                </c:pt>
                <c:pt idx="66">
                  <c:v>#N/A</c:v>
                </c:pt>
                <c:pt idx="67">
                  <c:v>#N/A</c:v>
                </c:pt>
                <c:pt idx="68">
                  <c:v>#N/A</c:v>
                </c:pt>
                <c:pt idx="69">
                  <c:v>5.8525000000000015E-2</c:v>
                </c:pt>
                <c:pt idx="70">
                  <c:v>#N/A</c:v>
                </c:pt>
                <c:pt idx="71">
                  <c:v>#N/A</c:v>
                </c:pt>
                <c:pt idx="72">
                  <c:v>#N/A</c:v>
                </c:pt>
                <c:pt idx="73">
                  <c:v>#N/A</c:v>
                </c:pt>
                <c:pt idx="74">
                  <c:v>#N/A</c:v>
                </c:pt>
                <c:pt idx="75">
                  <c:v>#N/A</c:v>
                </c:pt>
                <c:pt idx="76">
                  <c:v>#N/A</c:v>
                </c:pt>
                <c:pt idx="77">
                  <c:v>#N/A</c:v>
                </c:pt>
                <c:pt idx="78">
                  <c:v>#N/A</c:v>
                </c:pt>
                <c:pt idx="79">
                  <c:v>#N/A</c:v>
                </c:pt>
                <c:pt idx="80">
                  <c:v>#N/A</c:v>
                </c:pt>
                <c:pt idx="81">
                  <c:v>#N/A</c:v>
                </c:pt>
                <c:pt idx="82">
                  <c:v>#N/A</c:v>
                </c:pt>
                <c:pt idx="83">
                  <c:v>#N/A</c:v>
                </c:pt>
              </c:numCache>
            </c:numRef>
          </c:val>
          <c:smooth val="0"/>
          <c:extLst>
            <c:ext xmlns:c16="http://schemas.microsoft.com/office/drawing/2014/chart" uri="{C3380CC4-5D6E-409C-BE32-E72D297353CC}">
              <c16:uniqueId val="{00000008-0DF9-4564-B1A1-D55391915F3A}"/>
            </c:ext>
          </c:extLst>
        </c:ser>
        <c:dLbls>
          <c:showLegendKey val="0"/>
          <c:showVal val="0"/>
          <c:showCatName val="0"/>
          <c:showSerName val="0"/>
          <c:showPercent val="0"/>
          <c:showBubbleSize val="0"/>
        </c:dLbls>
        <c:marker val="1"/>
        <c:smooth val="0"/>
        <c:axId val="500470616"/>
        <c:axId val="500475864"/>
      </c:lineChart>
      <c:dateAx>
        <c:axId val="3953619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Month</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361624"/>
        <c:crosses val="autoZero"/>
        <c:auto val="1"/>
        <c:lblOffset val="100"/>
        <c:baseTimeUnit val="months"/>
      </c:dateAx>
      <c:valAx>
        <c:axId val="395361624"/>
        <c:scaling>
          <c:orientation val="minMax"/>
          <c:max val="8.0000000000000016E-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Absence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361952"/>
        <c:crosses val="autoZero"/>
        <c:crossBetween val="between"/>
      </c:valAx>
      <c:valAx>
        <c:axId val="500475864"/>
        <c:scaling>
          <c:orientation val="minMax"/>
          <c:max val="0.5"/>
          <c:min val="0"/>
        </c:scaling>
        <c:delete val="1"/>
        <c:axPos val="r"/>
        <c:numFmt formatCode="0.00%" sourceLinked="1"/>
        <c:majorTickMark val="out"/>
        <c:minorTickMark val="none"/>
        <c:tickLblPos val="nextTo"/>
        <c:crossAx val="500470616"/>
        <c:crosses val="max"/>
        <c:crossBetween val="between"/>
      </c:valAx>
      <c:catAx>
        <c:axId val="500470616"/>
        <c:scaling>
          <c:orientation val="minMax"/>
        </c:scaling>
        <c:delete val="1"/>
        <c:axPos val="b"/>
        <c:majorTickMark val="out"/>
        <c:minorTickMark val="none"/>
        <c:tickLblPos val="nextTo"/>
        <c:crossAx val="500475864"/>
        <c:crosses val="autoZero"/>
        <c:auto val="1"/>
        <c:lblAlgn val="ctr"/>
        <c:lblOffset val="100"/>
        <c:noMultiLvlLbl val="0"/>
      </c:catAx>
      <c:spPr>
        <a:noFill/>
        <a:ln>
          <a:noFill/>
        </a:ln>
        <a:effectLst/>
      </c:spPr>
    </c:plotArea>
    <c:legend>
      <c:legendPos val="r"/>
      <c:legendEntry>
        <c:idx val="3"/>
        <c:delete val="1"/>
      </c:legendEntry>
      <c:legendEntry>
        <c:idx val="4"/>
        <c:delete val="1"/>
      </c:legendEntry>
      <c:layout>
        <c:manualLayout>
          <c:xMode val="edge"/>
          <c:yMode val="edge"/>
          <c:x val="0.14976369040457377"/>
          <c:y val="8.1224482356372113E-2"/>
          <c:w val="0.76949730180162101"/>
          <c:h val="0.1041688538932633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63D361-84E5-402A-B7C0-A7BC15F6C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15</Pages>
  <Words>2170</Words>
  <Characters>12370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NHS FIFE</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cummingsl</dc:creator>
  <cp:lastModifiedBy>Shannon Simpson (NHS GOLDEN JUBILEE)</cp:lastModifiedBy>
  <cp:revision>15</cp:revision>
  <cp:lastPrinted>2023-01-16T17:16:00Z</cp:lastPrinted>
  <dcterms:created xsi:type="dcterms:W3CDTF">2023-03-21T11:20:00Z</dcterms:created>
  <dcterms:modified xsi:type="dcterms:W3CDTF">2023-07-20T10:54:00Z</dcterms:modified>
</cp:coreProperties>
</file>