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5E2EBF4" wp14:editId="0D82AC7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2967E2">
        <w:rPr>
          <w:rStyle w:val="Heading3Char"/>
          <w:b/>
        </w:rPr>
        <w:t>28</w:t>
      </w:r>
      <w:r w:rsidR="00FE7C8E">
        <w:rPr>
          <w:rStyle w:val="Heading3Char"/>
          <w:b/>
        </w:rPr>
        <w:t xml:space="preserve"> September 2023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C3506D">
        <w:rPr>
          <w:rStyle w:val="Heading3Char"/>
          <w:b/>
        </w:rPr>
        <w:t xml:space="preserve">Michael Breen, Finance Director </w:t>
      </w:r>
      <w:r w:rsidR="00022EE5">
        <w:rPr>
          <w:rStyle w:val="Heading3Char"/>
          <w:b/>
        </w:rPr>
        <w:t xml:space="preserve"> </w:t>
      </w:r>
    </w:p>
    <w:p w:rsidR="0003098A" w:rsidRPr="00F3337D" w:rsidRDefault="00B312CF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  <w:bookmarkStart w:id="0" w:name="_GoBack"/>
      <w:bookmarkEnd w:id="0"/>
    </w:p>
    <w:p w:rsidR="00430C09" w:rsidRDefault="00430C09" w:rsidP="00DF2ADD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107B3E">
        <w:rPr>
          <w:rStyle w:val="Heading3Char"/>
          <w:b/>
        </w:rPr>
        <w:t>Nicki Hamer, Head of Corporate Governance and Board Secretary</w:t>
      </w:r>
      <w:r w:rsidR="00C3506D">
        <w:rPr>
          <w:rStyle w:val="Heading3Char"/>
          <w:b/>
        </w:rPr>
        <w:t xml:space="preserve"> </w:t>
      </w:r>
    </w:p>
    <w:p w:rsidR="00B77902" w:rsidRPr="00B77902" w:rsidRDefault="00B77902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FPC</w:t>
      </w:r>
      <w:r w:rsidR="00050D76">
        <w:rPr>
          <w:rFonts w:cs="Arial"/>
          <w:bCs/>
        </w:rPr>
        <w:t xml:space="preserve">) was held on </w:t>
      </w:r>
      <w:r>
        <w:rPr>
          <w:rFonts w:cs="Arial"/>
          <w:bCs/>
        </w:rPr>
        <w:t>5</w:t>
      </w:r>
      <w:r w:rsidR="00FE7C8E">
        <w:rPr>
          <w:rFonts w:cs="Arial"/>
          <w:bCs/>
        </w:rPr>
        <w:t xml:space="preserve"> September</w:t>
      </w:r>
      <w:r w:rsidR="005814A6">
        <w:rPr>
          <w:rFonts w:cs="Arial"/>
          <w:bCs/>
        </w:rPr>
        <w:t xml:space="preserve"> </w:t>
      </w:r>
      <w:r w:rsidR="00DE04A0">
        <w:rPr>
          <w:rFonts w:cs="Arial"/>
          <w:bCs/>
        </w:rPr>
        <w:t>2023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022EE5">
        <w:tc>
          <w:tcPr>
            <w:tcW w:w="1251" w:type="dxa"/>
            <w:gridSpan w:val="2"/>
          </w:tcPr>
          <w:p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:rsidR="00050D76" w:rsidRDefault="00050D76" w:rsidP="00011140">
            <w:pPr>
              <w:rPr>
                <w:rFonts w:cs="Arial"/>
                <w:szCs w:val="24"/>
              </w:rPr>
            </w:pPr>
          </w:p>
          <w:p w:rsidR="00B312CF" w:rsidRP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reflected on the operational performance noting the continuing challenges around workforce, particularly in Perfusion and Anesthetists.  </w:t>
            </w:r>
          </w:p>
          <w:p w:rsidR="00B312CF" w:rsidRPr="00B312CF" w:rsidRDefault="00B312CF" w:rsidP="00B312CF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noted the 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 xml:space="preserve">early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financial position and 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>a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pproximately £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>2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>05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m in non-recurring savings 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>being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identified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>.  F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urther work around identifying key areas and the deep dives across Divisi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 xml:space="preserve">ons would assist in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understanding 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 xml:space="preserve">what it costs to deliver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services.  </w:t>
            </w:r>
          </w:p>
          <w:p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lastRenderedPageBreak/>
              <w:t>The Committee received an update on the Golden Jubilee Research Institute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 xml:space="preserve">.  The Committee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were assure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>d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that 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>funds w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ould be available for fixed term support to cover the additional approved research projects. </w:t>
            </w:r>
          </w:p>
          <w:p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B312CF" w:rsidRP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Committee were pleased to note the Phase 2 update and the importance of keeping on track as the project reached a critical phase.</w:t>
            </w:r>
          </w:p>
          <w:p w:rsidR="00B312CF" w:rsidRPr="00B312CF" w:rsidRDefault="00B312CF" w:rsidP="00B312CF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B312CF" w:rsidRPr="00B312CF" w:rsidRDefault="00B312CF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Committee approved the NHS Golden Jubilee Corporate Objectives 2023/24.</w:t>
            </w:r>
          </w:p>
          <w:p w:rsidR="00B312CF" w:rsidRPr="00480CBB" w:rsidRDefault="00B312CF" w:rsidP="00011140">
            <w:pPr>
              <w:rPr>
                <w:rFonts w:cs="Arial"/>
                <w:szCs w:val="24"/>
              </w:rPr>
            </w:pPr>
          </w:p>
        </w:tc>
      </w:tr>
    </w:tbl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 scheduled for </w:t>
      </w:r>
      <w:r w:rsidR="00B312CF">
        <w:rPr>
          <w:rFonts w:hAnsi="Arial" w:cs="Arial"/>
          <w:lang w:val="en-US"/>
        </w:rPr>
        <w:t>Tuesday 14</w:t>
      </w:r>
      <w:r w:rsidR="00466A7E">
        <w:rPr>
          <w:rFonts w:hAnsi="Arial" w:cs="Arial"/>
          <w:lang w:val="en-US"/>
        </w:rPr>
        <w:t xml:space="preserve"> November</w:t>
      </w:r>
      <w:r w:rsidR="00022EE5">
        <w:rPr>
          <w:rFonts w:hAnsi="Arial" w:cs="Arial"/>
          <w:lang w:val="en-US"/>
        </w:rPr>
        <w:t xml:space="preserve"> </w:t>
      </w:r>
      <w:r w:rsidR="00DE04A0">
        <w:rPr>
          <w:rFonts w:hAnsi="Arial" w:cs="Arial"/>
          <w:lang w:val="en-US"/>
        </w:rPr>
        <w:t>2023</w:t>
      </w:r>
      <w:r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234F3">
        <w:rPr>
          <w:rFonts w:cs="Arial"/>
        </w:rPr>
        <w:t>Finance and Performance Committee</w:t>
      </w:r>
      <w:r w:rsidR="007E133D">
        <w:rPr>
          <w:rFonts w:cs="Arial"/>
        </w:rPr>
        <w:t xml:space="preserve">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E234F3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E234F3">
        <w:rPr>
          <w:rFonts w:cs="Arial"/>
          <w:b/>
          <w:bCs/>
        </w:rPr>
        <w:t>Finance and Performance</w:t>
      </w:r>
      <w:r>
        <w:rPr>
          <w:rFonts w:cs="Arial"/>
          <w:b/>
          <w:bCs/>
        </w:rPr>
        <w:t xml:space="preserve"> Committee</w:t>
      </w:r>
    </w:p>
    <w:p w:rsidR="007E133D" w:rsidRDefault="00FE7C8E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September</w:t>
      </w:r>
      <w:r w:rsidR="00666AAB">
        <w:rPr>
          <w:rFonts w:cs="Arial"/>
          <w:b/>
          <w:bCs/>
        </w:rPr>
        <w:t xml:space="preserve"> </w:t>
      </w:r>
      <w:r w:rsidR="00AD01F4">
        <w:rPr>
          <w:rFonts w:cs="Arial"/>
          <w:b/>
          <w:bCs/>
        </w:rPr>
        <w:t>2023</w:t>
      </w:r>
    </w:p>
    <w:p w:rsidR="007E133D" w:rsidRPr="00050D76" w:rsidRDefault="007E133D" w:rsidP="00050D76"/>
    <w:sectPr w:rsidR="007E133D" w:rsidRPr="00050D76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65" w:rsidRDefault="00FF2465">
      <w:r>
        <w:separator/>
      </w:r>
    </w:p>
  </w:endnote>
  <w:endnote w:type="continuationSeparator" w:id="0">
    <w:p w:rsidR="00FF2465" w:rsidRDefault="00FF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967E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967E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65" w:rsidRDefault="00FF2465">
      <w:r>
        <w:separator/>
      </w:r>
    </w:p>
  </w:footnote>
  <w:footnote w:type="continuationSeparator" w:id="0">
    <w:p w:rsidR="00FF2465" w:rsidRDefault="00FF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E2" w:rsidRDefault="002967E2" w:rsidP="002967E2">
    <w:pPr>
      <w:pStyle w:val="Header"/>
      <w:jc w:val="right"/>
    </w:pPr>
    <w:r>
      <w:t>Item 6.3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22EE5"/>
    <w:rsid w:val="0003098A"/>
    <w:rsid w:val="000451B7"/>
    <w:rsid w:val="00047714"/>
    <w:rsid w:val="00050D76"/>
    <w:rsid w:val="0006550E"/>
    <w:rsid w:val="00072A23"/>
    <w:rsid w:val="00076EF2"/>
    <w:rsid w:val="00085465"/>
    <w:rsid w:val="00091974"/>
    <w:rsid w:val="000945DB"/>
    <w:rsid w:val="000C561F"/>
    <w:rsid w:val="000E2BDE"/>
    <w:rsid w:val="000F7706"/>
    <w:rsid w:val="00102D33"/>
    <w:rsid w:val="00107B3E"/>
    <w:rsid w:val="00125A9E"/>
    <w:rsid w:val="00140DB3"/>
    <w:rsid w:val="001D05E4"/>
    <w:rsid w:val="001D0FFB"/>
    <w:rsid w:val="001D11B6"/>
    <w:rsid w:val="001E7464"/>
    <w:rsid w:val="0023473B"/>
    <w:rsid w:val="00262DD5"/>
    <w:rsid w:val="002967E2"/>
    <w:rsid w:val="002B72F8"/>
    <w:rsid w:val="002F4B67"/>
    <w:rsid w:val="00301BBF"/>
    <w:rsid w:val="0033790B"/>
    <w:rsid w:val="00346269"/>
    <w:rsid w:val="003473AE"/>
    <w:rsid w:val="00372380"/>
    <w:rsid w:val="003751DE"/>
    <w:rsid w:val="003D757C"/>
    <w:rsid w:val="003F7F61"/>
    <w:rsid w:val="00430C09"/>
    <w:rsid w:val="00446219"/>
    <w:rsid w:val="00466A7E"/>
    <w:rsid w:val="00480CBB"/>
    <w:rsid w:val="00495B36"/>
    <w:rsid w:val="004C24DE"/>
    <w:rsid w:val="004C4472"/>
    <w:rsid w:val="00523880"/>
    <w:rsid w:val="00563DB7"/>
    <w:rsid w:val="005814A6"/>
    <w:rsid w:val="00591C18"/>
    <w:rsid w:val="005A04F7"/>
    <w:rsid w:val="005A2580"/>
    <w:rsid w:val="005A5BBA"/>
    <w:rsid w:val="005F4D65"/>
    <w:rsid w:val="005F78F7"/>
    <w:rsid w:val="00610728"/>
    <w:rsid w:val="006173A9"/>
    <w:rsid w:val="0064075B"/>
    <w:rsid w:val="00666AAB"/>
    <w:rsid w:val="00681C8C"/>
    <w:rsid w:val="00682DC0"/>
    <w:rsid w:val="006C1535"/>
    <w:rsid w:val="006C6D4B"/>
    <w:rsid w:val="006D1343"/>
    <w:rsid w:val="00736213"/>
    <w:rsid w:val="00785B8C"/>
    <w:rsid w:val="00785DD1"/>
    <w:rsid w:val="007865D9"/>
    <w:rsid w:val="007E133D"/>
    <w:rsid w:val="007F32CF"/>
    <w:rsid w:val="00816E22"/>
    <w:rsid w:val="008763F0"/>
    <w:rsid w:val="008D20C7"/>
    <w:rsid w:val="008F1E59"/>
    <w:rsid w:val="00927C6C"/>
    <w:rsid w:val="009615FE"/>
    <w:rsid w:val="009807B4"/>
    <w:rsid w:val="0098106F"/>
    <w:rsid w:val="00982384"/>
    <w:rsid w:val="00996603"/>
    <w:rsid w:val="009D4C83"/>
    <w:rsid w:val="009E630D"/>
    <w:rsid w:val="00A24ED0"/>
    <w:rsid w:val="00A2680C"/>
    <w:rsid w:val="00A314F6"/>
    <w:rsid w:val="00A32685"/>
    <w:rsid w:val="00A43898"/>
    <w:rsid w:val="00A62B58"/>
    <w:rsid w:val="00A72814"/>
    <w:rsid w:val="00A84C97"/>
    <w:rsid w:val="00AA77F7"/>
    <w:rsid w:val="00AD01F4"/>
    <w:rsid w:val="00AE522B"/>
    <w:rsid w:val="00AF0530"/>
    <w:rsid w:val="00AF356A"/>
    <w:rsid w:val="00B06E59"/>
    <w:rsid w:val="00B159C0"/>
    <w:rsid w:val="00B178D4"/>
    <w:rsid w:val="00B312CF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AF0"/>
    <w:rsid w:val="00BF6FFA"/>
    <w:rsid w:val="00C3506D"/>
    <w:rsid w:val="00C87B62"/>
    <w:rsid w:val="00C94BF7"/>
    <w:rsid w:val="00CB6644"/>
    <w:rsid w:val="00CE0398"/>
    <w:rsid w:val="00D55622"/>
    <w:rsid w:val="00DA0BFA"/>
    <w:rsid w:val="00DA3DD2"/>
    <w:rsid w:val="00DD2D3D"/>
    <w:rsid w:val="00DD6252"/>
    <w:rsid w:val="00DE04A0"/>
    <w:rsid w:val="00DF1BE0"/>
    <w:rsid w:val="00DF2ADD"/>
    <w:rsid w:val="00E16549"/>
    <w:rsid w:val="00E234F3"/>
    <w:rsid w:val="00E555A5"/>
    <w:rsid w:val="00E657F3"/>
    <w:rsid w:val="00E71CD2"/>
    <w:rsid w:val="00E82894"/>
    <w:rsid w:val="00E84B9D"/>
    <w:rsid w:val="00EB2B54"/>
    <w:rsid w:val="00ED4F12"/>
    <w:rsid w:val="00EE008B"/>
    <w:rsid w:val="00EF7713"/>
    <w:rsid w:val="00F04DF8"/>
    <w:rsid w:val="00F1405E"/>
    <w:rsid w:val="00F3337D"/>
    <w:rsid w:val="00FB0DBB"/>
    <w:rsid w:val="00FB0DF4"/>
    <w:rsid w:val="00FB3B8C"/>
    <w:rsid w:val="00FB5D47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5064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41C8-3EAF-40AA-B75E-97C27457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5</cp:revision>
  <cp:lastPrinted>2023-05-12T08:13:00Z</cp:lastPrinted>
  <dcterms:created xsi:type="dcterms:W3CDTF">2023-09-15T15:39:00Z</dcterms:created>
  <dcterms:modified xsi:type="dcterms:W3CDTF">2023-09-22T08:26:00Z</dcterms:modified>
</cp:coreProperties>
</file>