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503C2" w:rsidRDefault="008D03DB" w:rsidP="00E06B43">
      <w:pPr>
        <w:jc w:val="center"/>
        <w:rPr>
          <w:rFonts w:ascii="Stone Sans Semi Bold" w:hAnsi="Stone Sans Semi Bold"/>
          <w:b/>
          <w:color w:val="004380"/>
        </w:rPr>
      </w:pPr>
      <w:bookmarkStart w:id="0" w:name="_GoBack"/>
      <w:bookmarkEnd w:id="0"/>
      <w:r>
        <w:rPr>
          <w:noProof/>
          <w:lang w:eastAsia="en-GB"/>
        </w:rPr>
        <w:pict w14:anchorId="0FF645F2">
          <v:rect id="_x0000_s1982" style="position:absolute;left:0;text-align:left;margin-left:15.25pt;margin-top:695.15pt;width:344.35pt;height:24.75pt;z-index:252902399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" fillcolor="white [3212]" stroked="f" strokeweight="2pt">
            <v:textbox>
              <w:txbxContent>
                <w:p w:rsidR="0033247B" w:rsidRPr="0033247B" w:rsidRDefault="0033247B" w:rsidP="0033247B">
                  <w:pPr>
                    <w:rPr>
                      <w:b/>
                      <w:color w:val="17365D" w:themeColor="text2" w:themeShade="BF"/>
                      <w:sz w:val="24"/>
                      <w:szCs w:val="30"/>
                    </w:rPr>
                  </w:pPr>
                  <w:r w:rsidRPr="0033247B">
                    <w:rPr>
                      <w:b/>
                      <w:color w:val="17365D" w:themeColor="text2" w:themeShade="BF"/>
                      <w:sz w:val="24"/>
                      <w:szCs w:val="30"/>
                    </w:rPr>
                    <w:t>Quality, Performance, Planning &amp; Programmes</w:t>
                  </w:r>
                </w:p>
              </w:txbxContent>
            </v:textbox>
          </v:rect>
        </w:pict>
      </w:r>
      <w:r>
        <w:rPr>
          <w:noProof/>
        </w:rPr>
        <w:pict w14:anchorId="0FF645F2">
          <v:rect id="Rectangle 8" o:spid="_x0000_s1980" style="position:absolute;left:0;text-align:left;margin-left:16.55pt;margin-top:646.3pt;width:182.75pt;height:24.75pt;z-index:252901375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" fillcolor="white [3212]" stroked="f" strokeweight="2pt">
            <v:textbox>
              <w:txbxContent>
                <w:p w:rsidR="00D766A3" w:rsidRPr="00E668E2" w:rsidRDefault="00DB6A19" w:rsidP="00173134">
                  <w:pPr>
                    <w:rPr>
                      <w:b/>
                      <w:color w:val="17365D" w:themeColor="text2" w:themeShade="BF"/>
                      <w:sz w:val="28"/>
                      <w:szCs w:val="30"/>
                    </w:rPr>
                  </w:pPr>
                  <w:r>
                    <w:rPr>
                      <w:b/>
                      <w:color w:val="17365D" w:themeColor="text2" w:themeShade="BF"/>
                      <w:sz w:val="28"/>
                      <w:szCs w:val="30"/>
                    </w:rPr>
                    <w:t>30 May</w:t>
                  </w:r>
                  <w:r w:rsidR="0033247B">
                    <w:rPr>
                      <w:b/>
                      <w:color w:val="17365D" w:themeColor="text2" w:themeShade="BF"/>
                      <w:sz w:val="28"/>
                      <w:szCs w:val="30"/>
                    </w:rPr>
                    <w:t xml:space="preserve"> 2024</w:t>
                  </w:r>
                </w:p>
              </w:txbxContent>
            </v:textbox>
          </v:rect>
        </w:pict>
      </w:r>
      <w:r w:rsidR="007F0523" w:rsidRPr="007F0523">
        <w:rPr>
          <w:rFonts w:ascii="Stone Sans Semi Bold" w:hAnsi="Stone Sans Semi Bold"/>
          <w:b/>
          <w:noProof/>
          <w:color w:val="004380"/>
          <w:lang w:eastAsia="en-GB"/>
        </w:rPr>
        <w:drawing>
          <wp:inline distT="0" distB="0" distL="0" distR="0" wp14:anchorId="3A96905E" wp14:editId="085F4B83">
            <wp:extent cx="6645910" cy="9402980"/>
            <wp:effectExtent l="0" t="0" r="0" b="0"/>
            <wp:docPr id="10" name="Picture 10" descr="C:\Users\mackiej\Desktop\Board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kiej\Desktop\Board Cov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E2" w:rsidRPr="0000531E" w:rsidRDefault="00E668E2" w:rsidP="00B3581F">
      <w:pPr>
        <w:jc w:val="center"/>
        <w:rPr>
          <w:rFonts w:ascii="Arial" w:hAnsi="Arial" w:cs="Arial"/>
          <w:b/>
          <w:caps/>
          <w:sz w:val="56"/>
          <w:szCs w:val="56"/>
        </w:rPr>
      </w:pPr>
    </w:p>
    <w:p w:rsidR="007F0523" w:rsidRDefault="007F0523" w:rsidP="00B3581F">
      <w:pPr>
        <w:jc w:val="center"/>
        <w:rPr>
          <w:rFonts w:ascii="Arial" w:hAnsi="Arial" w:cs="Arial"/>
          <w:b/>
          <w:caps/>
          <w:sz w:val="52"/>
          <w:szCs w:val="56"/>
        </w:rPr>
      </w:pPr>
    </w:p>
    <w:p w:rsidR="00B3581F" w:rsidRPr="0000531E" w:rsidRDefault="00B3581F" w:rsidP="00B3581F">
      <w:pPr>
        <w:jc w:val="center"/>
        <w:rPr>
          <w:rFonts w:ascii="Arial" w:hAnsi="Arial" w:cs="Arial"/>
          <w:b/>
          <w:caps/>
          <w:sz w:val="52"/>
          <w:szCs w:val="56"/>
        </w:rPr>
      </w:pPr>
      <w:r w:rsidRPr="0000531E">
        <w:rPr>
          <w:rFonts w:ascii="Arial" w:hAnsi="Arial" w:cs="Arial"/>
          <w:b/>
          <w:caps/>
          <w:sz w:val="52"/>
          <w:szCs w:val="56"/>
        </w:rPr>
        <w:t>BoARD SUmMARy Report</w:t>
      </w:r>
    </w:p>
    <w:p w:rsidR="00B3581F" w:rsidRPr="0000531E" w:rsidRDefault="00B3581F" w:rsidP="00B3581F">
      <w:pPr>
        <w:jc w:val="center"/>
        <w:rPr>
          <w:rFonts w:ascii="Arial" w:hAnsi="Arial" w:cs="Arial"/>
          <w:b/>
          <w:caps/>
          <w:sz w:val="52"/>
          <w:szCs w:val="56"/>
        </w:rPr>
      </w:pPr>
      <w:r w:rsidRPr="0000531E">
        <w:rPr>
          <w:rFonts w:ascii="Arial" w:hAnsi="Arial" w:cs="Arial"/>
          <w:b/>
          <w:caps/>
          <w:sz w:val="52"/>
          <w:szCs w:val="56"/>
        </w:rPr>
        <w:t xml:space="preserve">Produced in </w:t>
      </w:r>
      <w:r w:rsidR="0033247B">
        <w:rPr>
          <w:rFonts w:ascii="Arial" w:hAnsi="Arial" w:cs="Arial"/>
          <w:b/>
          <w:caps/>
          <w:sz w:val="52"/>
          <w:szCs w:val="56"/>
        </w:rPr>
        <w:t>March 2024</w:t>
      </w:r>
    </w:p>
    <w:p w:rsidR="00B3581F" w:rsidRPr="0000531E" w:rsidRDefault="00B3581F" w:rsidP="00917FA5">
      <w:pPr>
        <w:rPr>
          <w:rFonts w:ascii="Arial" w:hAnsi="Arial" w:cs="Arial"/>
          <w:b/>
          <w:caps/>
          <w:sz w:val="36"/>
          <w:szCs w:val="56"/>
        </w:rPr>
      </w:pPr>
      <w:r w:rsidRPr="0000531E">
        <w:rPr>
          <w:rFonts w:ascii="Arial" w:hAnsi="Arial" w:cs="Arial"/>
          <w:b/>
          <w:caps/>
          <w:sz w:val="36"/>
          <w:szCs w:val="56"/>
        </w:rPr>
        <w:t xml:space="preserve">Data reported up to END of </w:t>
      </w:r>
      <w:r w:rsidR="00DB6A19">
        <w:rPr>
          <w:rFonts w:ascii="Arial" w:hAnsi="Arial" w:cs="Arial"/>
          <w:b/>
          <w:caps/>
          <w:sz w:val="36"/>
          <w:szCs w:val="56"/>
        </w:rPr>
        <w:t>FEbruary</w:t>
      </w:r>
      <w:r w:rsidRPr="0000531E">
        <w:rPr>
          <w:rFonts w:ascii="Arial" w:hAnsi="Arial" w:cs="Arial"/>
          <w:b/>
          <w:caps/>
          <w:sz w:val="36"/>
          <w:szCs w:val="56"/>
        </w:rPr>
        <w:t xml:space="preserve"> 202</w:t>
      </w:r>
      <w:r w:rsidR="0033247B">
        <w:rPr>
          <w:rFonts w:ascii="Arial" w:hAnsi="Arial" w:cs="Arial"/>
          <w:b/>
          <w:caps/>
          <w:sz w:val="36"/>
          <w:szCs w:val="56"/>
        </w:rPr>
        <w:t>4</w:t>
      </w:r>
    </w:p>
    <w:p w:rsidR="00B3581F" w:rsidRPr="0000531E" w:rsidRDefault="00B3581F" w:rsidP="00B3581F">
      <w:pPr>
        <w:rPr>
          <w:rFonts w:ascii="Arial" w:hAnsi="Arial" w:cs="Arial"/>
          <w:b/>
          <w:caps/>
          <w:sz w:val="28"/>
          <w:szCs w:val="56"/>
        </w:rPr>
      </w:pPr>
      <w:r w:rsidRPr="0000531E">
        <w:rPr>
          <w:rFonts w:ascii="Arial" w:hAnsi="Arial" w:cs="Arial"/>
          <w:b/>
          <w:caps/>
          <w:sz w:val="28"/>
          <w:szCs w:val="56"/>
        </w:rPr>
        <w:t>For submission to:</w:t>
      </w:r>
    </w:p>
    <w:p w:rsidR="00B3581F" w:rsidRPr="0000531E" w:rsidRDefault="00B5269D" w:rsidP="00B3581F">
      <w:pPr>
        <w:pStyle w:val="ListParagraph"/>
        <w:numPr>
          <w:ilvl w:val="0"/>
          <w:numId w:val="16"/>
        </w:numPr>
        <w:spacing w:after="0" w:line="240" w:lineRule="auto"/>
        <w:ind w:left="360"/>
        <w:contextualSpacing w:val="0"/>
        <w:rPr>
          <w:rFonts w:ascii="Arial" w:hAnsi="Arial" w:cs="Arial"/>
          <w:b/>
          <w:caps/>
          <w:sz w:val="28"/>
          <w:szCs w:val="56"/>
        </w:rPr>
      </w:pPr>
      <w:r w:rsidRPr="0000531E">
        <w:rPr>
          <w:rFonts w:ascii="Arial" w:hAnsi="Arial" w:cs="Arial"/>
          <w:b/>
          <w:caps/>
          <w:sz w:val="28"/>
          <w:szCs w:val="56"/>
        </w:rPr>
        <w:t xml:space="preserve">Board Meeting – </w:t>
      </w:r>
      <w:r w:rsidR="00DB6A19">
        <w:rPr>
          <w:rFonts w:ascii="Arial" w:hAnsi="Arial" w:cs="Arial"/>
          <w:b/>
          <w:caps/>
          <w:sz w:val="28"/>
          <w:szCs w:val="56"/>
        </w:rPr>
        <w:t>30 May</w:t>
      </w:r>
      <w:r w:rsidR="0033247B">
        <w:rPr>
          <w:rFonts w:ascii="Arial" w:hAnsi="Arial" w:cs="Arial"/>
          <w:b/>
          <w:caps/>
          <w:sz w:val="28"/>
          <w:szCs w:val="56"/>
        </w:rPr>
        <w:t xml:space="preserve"> 2024</w:t>
      </w:r>
    </w:p>
    <w:p w:rsidR="00234ABE" w:rsidRPr="0000531E" w:rsidRDefault="00234ABE" w:rsidP="00E50634">
      <w:pPr>
        <w:pStyle w:val="Heading1"/>
        <w:rPr>
          <w:rFonts w:ascii="Arial" w:hAnsi="Arial" w:cs="Arial"/>
          <w:b/>
          <w:color w:val="17365D" w:themeColor="text2" w:themeShade="BF"/>
          <w:sz w:val="32"/>
          <w:szCs w:val="32"/>
        </w:rPr>
      </w:pPr>
      <w:r w:rsidRPr="0000531E">
        <w:rPr>
          <w:rFonts w:ascii="Arial" w:hAnsi="Arial" w:cs="Arial"/>
        </w:rPr>
        <w:t>Contents</w:t>
      </w:r>
      <w:r w:rsidRPr="0000531E">
        <w:rPr>
          <w:rFonts w:ascii="Arial" w:hAnsi="Arial" w:cs="Arial"/>
        </w:rPr>
        <w:tab/>
      </w:r>
      <w:r w:rsidRPr="0000531E">
        <w:rPr>
          <w:rFonts w:ascii="Arial" w:hAnsi="Arial" w:cs="Arial"/>
          <w:color w:val="17365D" w:themeColor="text2" w:themeShade="BF"/>
          <w:sz w:val="32"/>
          <w:szCs w:val="32"/>
        </w:rPr>
        <w:tab/>
      </w:r>
    </w:p>
    <w:p w:rsidR="001B3EC4" w:rsidRPr="0000531E" w:rsidRDefault="001B3EC4" w:rsidP="001B4295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</w:p>
    <w:p w:rsidR="00B3581F" w:rsidRPr="0000531E" w:rsidRDefault="00B3581F" w:rsidP="001B4295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</w:p>
    <w:p w:rsidR="0061763D" w:rsidRPr="0000531E" w:rsidRDefault="0061763D" w:rsidP="001B4295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</w:p>
    <w:p w:rsidR="001B4295" w:rsidRPr="0000531E" w:rsidRDefault="001B3EC4" w:rsidP="00EE40D1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  <w:r w:rsidRPr="0000531E">
        <w:rPr>
          <w:rFonts w:ascii="Arial" w:hAnsi="Arial" w:cs="Arial"/>
          <w:color w:val="17365D" w:themeColor="text2" w:themeShade="BF"/>
          <w:szCs w:val="22"/>
        </w:rPr>
        <w:tab/>
      </w:r>
      <w:r w:rsidRPr="0000531E">
        <w:rPr>
          <w:rFonts w:ascii="Arial" w:hAnsi="Arial" w:cs="Arial"/>
          <w:color w:val="17365D" w:themeColor="text2" w:themeShade="BF"/>
          <w:szCs w:val="22"/>
        </w:rPr>
        <w:tab/>
      </w:r>
    </w:p>
    <w:p w:rsidR="0061763D" w:rsidRPr="0000531E" w:rsidRDefault="008D03DB" w:rsidP="00EE40D1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  <w:r>
        <w:rPr>
          <w:rFonts w:ascii="Arial" w:hAnsi="Arial" w:cs="Arial"/>
          <w:noProof/>
          <w:color w:val="17365D" w:themeColor="text2" w:themeShade="BF"/>
          <w:szCs w:val="22"/>
          <w:lang w:eastAsia="en-GB"/>
        </w:rPr>
        <w:pict w14:anchorId="6F2D3766">
          <v:rect id="_x0000_s1975" style="position:absolute;margin-left:-12.15pt;margin-top:-77.2pt;width:508.5pt;height:131.25pt;z-index:252897279" fillcolor="white [3212]">
            <v:textbox style="mso-next-textbox:#_x0000_s1975">
              <w:txbxContent>
                <w:p w:rsidR="00D766A3" w:rsidRPr="00B0435F" w:rsidRDefault="00D766A3" w:rsidP="004A02D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right" w:pos="9072"/>
                    </w:tabs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Introduction</w:t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2</w:t>
                  </w:r>
                </w:p>
                <w:p w:rsidR="00D766A3" w:rsidRPr="00B0435F" w:rsidRDefault="00D766A3" w:rsidP="004A02D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right" w:pos="9072"/>
                    </w:tabs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Performance Summary Dashboard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  <w:t>5</w:t>
                  </w:r>
                </w:p>
                <w:p w:rsidR="00D766A3" w:rsidRDefault="00D766A3" w:rsidP="004A02D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right" w:pos="9072"/>
                    </w:tabs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Integrated Performance Report: Executive Summa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ries</w:t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7</w:t>
                  </w:r>
                </w:p>
                <w:p w:rsidR="00D766A3" w:rsidRPr="00B0435F" w:rsidRDefault="00D766A3" w:rsidP="004A02D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right" w:pos="9072"/>
                    </w:tabs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</w:p>
              </w:txbxContent>
            </v:textbox>
          </v:rect>
        </w:pict>
      </w:r>
      <w:r w:rsidR="001B4295" w:rsidRPr="0000531E">
        <w:rPr>
          <w:rFonts w:ascii="Arial" w:hAnsi="Arial" w:cs="Arial"/>
          <w:color w:val="17365D" w:themeColor="text2" w:themeShade="BF"/>
          <w:szCs w:val="22"/>
        </w:rPr>
        <w:tab/>
      </w:r>
      <w:r w:rsidR="001B4295" w:rsidRPr="0000531E">
        <w:rPr>
          <w:rFonts w:ascii="Arial" w:hAnsi="Arial" w:cs="Arial"/>
          <w:color w:val="17365D" w:themeColor="text2" w:themeShade="BF"/>
          <w:szCs w:val="22"/>
        </w:rPr>
        <w:tab/>
      </w:r>
      <w:r w:rsidR="001B4295" w:rsidRPr="0000531E">
        <w:rPr>
          <w:rFonts w:ascii="Arial" w:hAnsi="Arial" w:cs="Arial"/>
          <w:color w:val="17365D" w:themeColor="text2" w:themeShade="BF"/>
          <w:szCs w:val="22"/>
        </w:rPr>
        <w:tab/>
      </w:r>
      <w:r w:rsidR="001B4295" w:rsidRPr="0000531E">
        <w:rPr>
          <w:rFonts w:ascii="Arial" w:hAnsi="Arial" w:cs="Arial"/>
          <w:color w:val="17365D" w:themeColor="text2" w:themeShade="BF"/>
          <w:szCs w:val="22"/>
        </w:rPr>
        <w:tab/>
      </w:r>
    </w:p>
    <w:p w:rsidR="009E0B90" w:rsidRPr="0000531E" w:rsidRDefault="009E0B90" w:rsidP="001B4295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</w:p>
    <w:p w:rsidR="00B3581F" w:rsidRPr="0000531E" w:rsidRDefault="00E50634" w:rsidP="007F0523">
      <w:pPr>
        <w:pStyle w:val="Heading1"/>
        <w:rPr>
          <w:rFonts w:ascii="Arial" w:hAnsi="Arial" w:cs="Arial"/>
        </w:rPr>
      </w:pPr>
      <w:r w:rsidRPr="0000531E">
        <w:rPr>
          <w:rFonts w:ascii="Arial" w:hAnsi="Arial" w:cs="Arial"/>
        </w:rPr>
        <w:t xml:space="preserve">Section A: </w:t>
      </w:r>
      <w:r w:rsidR="00ED7630" w:rsidRPr="0000531E">
        <w:rPr>
          <w:rFonts w:ascii="Arial" w:hAnsi="Arial" w:cs="Arial"/>
        </w:rPr>
        <w:t>Introduction</w:t>
      </w:r>
      <w:r w:rsidR="002668C8" w:rsidRPr="0000531E">
        <w:rPr>
          <w:rFonts w:ascii="Arial" w:hAnsi="Arial" w:cs="Arial"/>
        </w:rPr>
        <w:tab/>
      </w:r>
    </w:p>
    <w:p w:rsidR="00AA1592" w:rsidRPr="0000531E" w:rsidRDefault="00AA1592" w:rsidP="00AA1592">
      <w:pPr>
        <w:spacing w:after="180"/>
        <w:jc w:val="both"/>
        <w:rPr>
          <w:rFonts w:ascii="Arial" w:hAnsi="Arial" w:cs="Arial"/>
          <w:szCs w:val="22"/>
        </w:rPr>
      </w:pPr>
      <w:r w:rsidRPr="0000531E">
        <w:rPr>
          <w:rFonts w:ascii="Arial" w:hAnsi="Arial" w:cs="Arial"/>
          <w:szCs w:val="22"/>
        </w:rPr>
        <w:t>The purpose of the Integrated Performance Report (IPR) is to provide assurance on NHS Golden Jubilee’s performance relating to National Standards, local priorities and significant risks.</w:t>
      </w:r>
    </w:p>
    <w:p w:rsidR="00AA1592" w:rsidRPr="0000531E" w:rsidRDefault="00AA1592" w:rsidP="00AA1592">
      <w:pPr>
        <w:spacing w:after="180"/>
        <w:jc w:val="both"/>
        <w:rPr>
          <w:rFonts w:ascii="Arial" w:hAnsi="Arial" w:cs="Arial"/>
          <w:szCs w:val="22"/>
        </w:rPr>
      </w:pPr>
      <w:r w:rsidRPr="0000531E">
        <w:rPr>
          <w:rFonts w:ascii="Arial" w:hAnsi="Arial" w:cs="Arial"/>
          <w:szCs w:val="22"/>
        </w:rPr>
        <w:t>The IPR comprises four section with each section being considered in detail by the appropriate Standing Committee:</w:t>
      </w:r>
    </w:p>
    <w:p w:rsidR="00AA1592" w:rsidRPr="0000531E" w:rsidRDefault="00AA1592" w:rsidP="00B3581F">
      <w:pPr>
        <w:pStyle w:val="ListParagraph"/>
        <w:numPr>
          <w:ilvl w:val="0"/>
          <w:numId w:val="1"/>
        </w:numPr>
        <w:tabs>
          <w:tab w:val="left" w:pos="3402"/>
        </w:tabs>
        <w:ind w:left="714" w:hanging="357"/>
        <w:jc w:val="both"/>
        <w:rPr>
          <w:rFonts w:ascii="Arial" w:hAnsi="Arial" w:cs="Arial"/>
          <w:sz w:val="22"/>
          <w:szCs w:val="22"/>
        </w:rPr>
      </w:pPr>
      <w:r w:rsidRPr="0000531E">
        <w:rPr>
          <w:rFonts w:ascii="Arial" w:hAnsi="Arial" w:cs="Arial"/>
          <w:sz w:val="22"/>
          <w:szCs w:val="22"/>
        </w:rPr>
        <w:t>Section A</w:t>
      </w:r>
      <w:r w:rsidRPr="0000531E">
        <w:rPr>
          <w:rFonts w:ascii="Arial" w:hAnsi="Arial" w:cs="Arial"/>
          <w:sz w:val="22"/>
          <w:szCs w:val="22"/>
        </w:rPr>
        <w:tab/>
        <w:t>Introduction</w:t>
      </w:r>
    </w:p>
    <w:p w:rsidR="00AA1592" w:rsidRPr="0000531E" w:rsidRDefault="00AA1592" w:rsidP="00B3581F">
      <w:pPr>
        <w:pStyle w:val="ListParagraph"/>
        <w:numPr>
          <w:ilvl w:val="0"/>
          <w:numId w:val="1"/>
        </w:numPr>
        <w:tabs>
          <w:tab w:val="left" w:pos="3402"/>
        </w:tabs>
        <w:ind w:left="714" w:hanging="357"/>
        <w:jc w:val="both"/>
        <w:rPr>
          <w:rFonts w:ascii="Arial" w:hAnsi="Arial" w:cs="Arial"/>
          <w:sz w:val="22"/>
          <w:szCs w:val="22"/>
        </w:rPr>
      </w:pPr>
      <w:r w:rsidRPr="0000531E">
        <w:rPr>
          <w:rFonts w:ascii="Arial" w:hAnsi="Arial" w:cs="Arial"/>
          <w:sz w:val="22"/>
          <w:szCs w:val="22"/>
        </w:rPr>
        <w:t>Section B:1</w:t>
      </w:r>
      <w:r w:rsidRPr="0000531E">
        <w:rPr>
          <w:rFonts w:ascii="Arial" w:hAnsi="Arial" w:cs="Arial"/>
          <w:sz w:val="22"/>
          <w:szCs w:val="22"/>
        </w:rPr>
        <w:tab/>
        <w:t>Clinical Governance</w:t>
      </w:r>
    </w:p>
    <w:p w:rsidR="00AA1592" w:rsidRPr="0000531E" w:rsidRDefault="00AA1592" w:rsidP="00B3581F">
      <w:pPr>
        <w:pStyle w:val="ListParagraph"/>
        <w:numPr>
          <w:ilvl w:val="0"/>
          <w:numId w:val="1"/>
        </w:numPr>
        <w:tabs>
          <w:tab w:val="left" w:pos="3402"/>
        </w:tabs>
        <w:ind w:left="714" w:hanging="357"/>
        <w:jc w:val="both"/>
        <w:rPr>
          <w:rFonts w:ascii="Arial" w:hAnsi="Arial" w:cs="Arial"/>
          <w:sz w:val="22"/>
          <w:szCs w:val="22"/>
        </w:rPr>
      </w:pPr>
      <w:r w:rsidRPr="0000531E">
        <w:rPr>
          <w:rFonts w:ascii="Arial" w:hAnsi="Arial" w:cs="Arial"/>
          <w:sz w:val="22"/>
          <w:szCs w:val="22"/>
        </w:rPr>
        <w:t>Section B:2</w:t>
      </w:r>
      <w:r w:rsidRPr="0000531E">
        <w:rPr>
          <w:rFonts w:ascii="Arial" w:hAnsi="Arial" w:cs="Arial"/>
          <w:sz w:val="22"/>
          <w:szCs w:val="22"/>
        </w:rPr>
        <w:tab/>
        <w:t>Staff Governance</w:t>
      </w:r>
    </w:p>
    <w:p w:rsidR="00AA1592" w:rsidRPr="0000531E" w:rsidRDefault="00AA1592" w:rsidP="00B3581F">
      <w:pPr>
        <w:pStyle w:val="ListParagraph"/>
        <w:numPr>
          <w:ilvl w:val="0"/>
          <w:numId w:val="1"/>
        </w:numPr>
        <w:tabs>
          <w:tab w:val="left" w:pos="3402"/>
        </w:tabs>
        <w:ind w:left="714" w:hanging="357"/>
        <w:jc w:val="both"/>
        <w:rPr>
          <w:rFonts w:ascii="Arial" w:hAnsi="Arial" w:cs="Arial"/>
          <w:sz w:val="22"/>
          <w:szCs w:val="22"/>
        </w:rPr>
      </w:pPr>
      <w:r w:rsidRPr="0000531E">
        <w:rPr>
          <w:rFonts w:ascii="Arial" w:hAnsi="Arial" w:cs="Arial"/>
          <w:sz w:val="22"/>
          <w:szCs w:val="22"/>
        </w:rPr>
        <w:t>Section B:3</w:t>
      </w:r>
      <w:r w:rsidRPr="0000531E">
        <w:rPr>
          <w:rFonts w:ascii="Arial" w:hAnsi="Arial" w:cs="Arial"/>
          <w:sz w:val="22"/>
          <w:szCs w:val="22"/>
        </w:rPr>
        <w:tab/>
        <w:t>Finance, Performance &amp; Planning</w:t>
      </w:r>
    </w:p>
    <w:p w:rsidR="00AA1592" w:rsidRPr="0000531E" w:rsidRDefault="00AA1592" w:rsidP="00AA1592">
      <w:pPr>
        <w:spacing w:after="180"/>
        <w:jc w:val="both"/>
        <w:rPr>
          <w:rFonts w:ascii="Arial" w:hAnsi="Arial" w:cs="Arial"/>
          <w:szCs w:val="22"/>
        </w:rPr>
      </w:pPr>
      <w:r w:rsidRPr="0000531E">
        <w:rPr>
          <w:rFonts w:ascii="Arial" w:hAnsi="Arial" w:cs="Arial"/>
          <w:szCs w:val="22"/>
        </w:rPr>
        <w:t>This Board Summary Report of the IPR is presented to the Board and contains the summaries from each section of the full IPR.</w:t>
      </w:r>
    </w:p>
    <w:p w:rsidR="00AA1592" w:rsidRPr="0000531E" w:rsidRDefault="0000531E" w:rsidP="00AA1592">
      <w:pPr>
        <w:pStyle w:val="BodyTextIndent"/>
        <w:spacing w:after="0"/>
        <w:ind w:left="0" w:right="183"/>
        <w:rPr>
          <w:rFonts w:ascii="Arial" w:hAnsi="Arial" w:cs="Arial"/>
          <w:b/>
          <w:bCs/>
        </w:rPr>
      </w:pPr>
      <w:r w:rsidRPr="0000531E">
        <w:rPr>
          <w:rFonts w:ascii="Arial" w:hAnsi="Arial" w:cs="Arial"/>
          <w:b/>
          <w:bCs/>
        </w:rPr>
        <w:t>Gordon James</w:t>
      </w:r>
      <w:r w:rsidR="00AA1592" w:rsidRPr="0000531E">
        <w:rPr>
          <w:rFonts w:ascii="Arial" w:hAnsi="Arial" w:cs="Arial"/>
          <w:b/>
          <w:bCs/>
        </w:rPr>
        <w:tab/>
      </w:r>
      <w:r w:rsidRPr="0000531E">
        <w:rPr>
          <w:rFonts w:ascii="Arial" w:hAnsi="Arial" w:cs="Arial"/>
          <w:b/>
          <w:bCs/>
        </w:rPr>
        <w:tab/>
      </w:r>
      <w:r w:rsidR="00026CE3" w:rsidRPr="0000531E">
        <w:rPr>
          <w:rFonts w:ascii="Arial" w:hAnsi="Arial" w:cs="Arial"/>
          <w:b/>
          <w:bCs/>
        </w:rPr>
        <w:t>Michael Breen</w:t>
      </w:r>
      <w:r w:rsidR="00AA1592" w:rsidRPr="0000531E">
        <w:rPr>
          <w:rFonts w:ascii="Arial" w:hAnsi="Arial" w:cs="Arial"/>
          <w:b/>
          <w:bCs/>
        </w:rPr>
        <w:tab/>
      </w:r>
      <w:r w:rsidR="00AA1592" w:rsidRPr="0000531E">
        <w:rPr>
          <w:rFonts w:ascii="Arial" w:hAnsi="Arial" w:cs="Arial"/>
          <w:b/>
          <w:bCs/>
        </w:rPr>
        <w:tab/>
      </w:r>
      <w:r w:rsidR="00026CE3" w:rsidRPr="0000531E">
        <w:rPr>
          <w:rFonts w:ascii="Arial" w:hAnsi="Arial" w:cs="Arial"/>
          <w:b/>
          <w:bCs/>
        </w:rPr>
        <w:t>Carolynne O’Connor</w:t>
      </w:r>
    </w:p>
    <w:p w:rsidR="00AA1592" w:rsidRPr="0000531E" w:rsidRDefault="00AA1592" w:rsidP="00AA1592">
      <w:pPr>
        <w:pStyle w:val="BodyTextIndent"/>
        <w:spacing w:after="0"/>
        <w:ind w:left="0" w:right="183"/>
        <w:rPr>
          <w:rFonts w:ascii="Arial" w:hAnsi="Arial" w:cs="Arial"/>
          <w:b/>
          <w:bCs/>
        </w:rPr>
      </w:pPr>
      <w:r w:rsidRPr="0000531E">
        <w:rPr>
          <w:rFonts w:ascii="Arial" w:hAnsi="Arial" w:cs="Arial"/>
          <w:b/>
          <w:bCs/>
        </w:rPr>
        <w:t>Chief Executive</w:t>
      </w:r>
      <w:r w:rsidRPr="0000531E">
        <w:rPr>
          <w:rFonts w:ascii="Arial" w:hAnsi="Arial" w:cs="Arial"/>
          <w:b/>
          <w:bCs/>
        </w:rPr>
        <w:tab/>
      </w:r>
      <w:r w:rsidRPr="0000531E">
        <w:rPr>
          <w:rFonts w:ascii="Arial" w:hAnsi="Arial" w:cs="Arial"/>
          <w:b/>
          <w:bCs/>
        </w:rPr>
        <w:tab/>
      </w:r>
      <w:r w:rsidR="00DA5362" w:rsidRPr="0000531E">
        <w:rPr>
          <w:rFonts w:ascii="Arial" w:hAnsi="Arial" w:cs="Arial"/>
          <w:b/>
          <w:bCs/>
        </w:rPr>
        <w:t>Director of Finance</w:t>
      </w:r>
      <w:r w:rsidR="00DA5362" w:rsidRPr="0000531E">
        <w:rPr>
          <w:rFonts w:ascii="Arial" w:hAnsi="Arial" w:cs="Arial"/>
          <w:b/>
          <w:bCs/>
        </w:rPr>
        <w:tab/>
      </w:r>
      <w:r w:rsidR="00026CE3" w:rsidRPr="0000531E">
        <w:rPr>
          <w:rFonts w:ascii="Arial" w:hAnsi="Arial" w:cs="Arial"/>
          <w:b/>
          <w:bCs/>
        </w:rPr>
        <w:t xml:space="preserve">Director of Operations &amp; Deputy CEO                      </w:t>
      </w:r>
    </w:p>
    <w:p w:rsidR="005148A3" w:rsidRPr="0000531E" w:rsidRDefault="005148A3" w:rsidP="004C0D07">
      <w:pPr>
        <w:spacing w:after="180"/>
        <w:jc w:val="both"/>
        <w:rPr>
          <w:rFonts w:ascii="Arial" w:hAnsi="Arial" w:cs="Arial"/>
          <w:szCs w:val="22"/>
        </w:rPr>
        <w:sectPr w:rsidR="005148A3" w:rsidRPr="0000531E" w:rsidSect="00093B15">
          <w:footerReference w:type="default" r:id="rId9"/>
          <w:headerReference w:type="first" r:id="rId10"/>
          <w:pgSz w:w="11906" w:h="16838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B42B0C" w:rsidRPr="0000531E" w:rsidRDefault="0008461C" w:rsidP="00B42B0C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bCs/>
          <w:sz w:val="36"/>
          <w:szCs w:val="36"/>
        </w:rPr>
        <w:lastRenderedPageBreak/>
        <w:t>Performance Summary</w:t>
      </w:r>
      <w:r w:rsidR="002341CE" w:rsidRPr="0000531E">
        <w:rPr>
          <w:rFonts w:ascii="Arial" w:hAnsi="Arial" w:cs="Arial"/>
          <w:bCs/>
          <w:sz w:val="36"/>
          <w:szCs w:val="36"/>
        </w:rPr>
        <w:t xml:space="preserve"> </w:t>
      </w:r>
      <w:r w:rsidR="00CB2BFA" w:rsidRPr="0000531E">
        <w:rPr>
          <w:rFonts w:ascii="Arial" w:hAnsi="Arial" w:cs="Arial"/>
          <w:bCs/>
          <w:sz w:val="36"/>
          <w:szCs w:val="36"/>
        </w:rPr>
        <w:t>Dashboard</w:t>
      </w:r>
      <w:r w:rsidR="00247F73" w:rsidRPr="0000531E">
        <w:rPr>
          <w:rFonts w:ascii="Arial" w:hAnsi="Arial" w:cs="Arial"/>
          <w:bCs/>
          <w:sz w:val="36"/>
          <w:szCs w:val="36"/>
        </w:rPr>
        <w:t xml:space="preserve"> – Guidance</w:t>
      </w:r>
    </w:p>
    <w:p w:rsidR="00247F73" w:rsidRPr="0000531E" w:rsidRDefault="00942B09" w:rsidP="00B42B0C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noProof/>
          <w:lang w:eastAsia="en-GB"/>
        </w:rPr>
        <w:drawing>
          <wp:inline distT="0" distB="0" distL="0" distR="0" wp14:anchorId="34B3240A" wp14:editId="577A6155">
            <wp:extent cx="8891270" cy="41811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73" w:rsidRPr="0000531E" w:rsidRDefault="00894CA6" w:rsidP="00247F73">
      <w:pPr>
        <w:spacing w:after="180"/>
        <w:rPr>
          <w:rFonts w:ascii="Arial" w:hAnsi="Arial" w:cs="Arial"/>
          <w:bCs/>
          <w:color w:val="FF0000"/>
          <w:sz w:val="36"/>
          <w:szCs w:val="36"/>
        </w:rPr>
      </w:pPr>
      <w:r w:rsidRPr="0000531E">
        <w:rPr>
          <w:rFonts w:ascii="Arial" w:hAnsi="Arial" w:cs="Arial"/>
          <w:bCs/>
          <w:sz w:val="36"/>
          <w:szCs w:val="36"/>
        </w:rPr>
        <w:t xml:space="preserve"> </w:t>
      </w:r>
    </w:p>
    <w:p w:rsidR="00573399" w:rsidRPr="0000531E" w:rsidRDefault="00573399" w:rsidP="00133250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</w:p>
    <w:p w:rsidR="000C38D4" w:rsidRPr="0000531E" w:rsidRDefault="000C38D4" w:rsidP="000C38D4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bCs/>
          <w:sz w:val="36"/>
          <w:szCs w:val="36"/>
        </w:rPr>
        <w:lastRenderedPageBreak/>
        <w:t>Statistical Process Control – Guidance</w:t>
      </w:r>
    </w:p>
    <w:p w:rsidR="000C38D4" w:rsidRPr="0000531E" w:rsidRDefault="000C38D4" w:rsidP="00133250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noProof/>
          <w:lang w:eastAsia="en-GB"/>
        </w:rPr>
        <w:drawing>
          <wp:inline distT="0" distB="0" distL="0" distR="0" wp14:anchorId="0CF4E195" wp14:editId="297ED398">
            <wp:extent cx="8147685" cy="5145206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695" cy="51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3D" w:rsidRPr="0000531E" w:rsidRDefault="008303CF" w:rsidP="00D80E69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bCs/>
          <w:sz w:val="36"/>
          <w:szCs w:val="36"/>
        </w:rPr>
        <w:lastRenderedPageBreak/>
        <w:t>Board</w:t>
      </w:r>
      <w:r w:rsidR="00247F73" w:rsidRPr="0000531E">
        <w:rPr>
          <w:rFonts w:ascii="Arial" w:hAnsi="Arial" w:cs="Arial"/>
          <w:bCs/>
          <w:sz w:val="36"/>
          <w:szCs w:val="36"/>
        </w:rPr>
        <w:t xml:space="preserve"> Performance Dashboard</w:t>
      </w:r>
      <w:r w:rsidR="00133250" w:rsidRPr="0000531E">
        <w:rPr>
          <w:rFonts w:ascii="Arial" w:hAnsi="Arial" w:cs="Arial"/>
          <w:bCs/>
          <w:sz w:val="36"/>
          <w:szCs w:val="36"/>
        </w:rPr>
        <w:t xml:space="preserve"> – P</w:t>
      </w:r>
      <w:r w:rsidR="00D4735B" w:rsidRPr="0000531E">
        <w:rPr>
          <w:rFonts w:ascii="Arial" w:hAnsi="Arial" w:cs="Arial"/>
          <w:bCs/>
          <w:sz w:val="36"/>
          <w:szCs w:val="36"/>
        </w:rPr>
        <w:t xml:space="preserve">art </w:t>
      </w:r>
      <w:r w:rsidR="00133250" w:rsidRPr="0000531E">
        <w:rPr>
          <w:rFonts w:ascii="Arial" w:hAnsi="Arial" w:cs="Arial"/>
          <w:bCs/>
          <w:sz w:val="36"/>
          <w:szCs w:val="36"/>
        </w:rPr>
        <w:t>1</w:t>
      </w:r>
    </w:p>
    <w:p w:rsidR="00DB6A19" w:rsidRDefault="00D80E69" w:rsidP="00A32056">
      <w:pPr>
        <w:spacing w:after="180"/>
        <w:rPr>
          <w:rFonts w:ascii="Arial" w:hAnsi="Arial" w:cs="Arial"/>
          <w:szCs w:val="22"/>
        </w:rPr>
      </w:pPr>
      <w:r w:rsidRPr="0000531E">
        <w:rPr>
          <w:rFonts w:ascii="Arial" w:hAnsi="Arial" w:cs="Arial"/>
          <w:noProof/>
          <w:lang w:eastAsia="en-GB"/>
        </w:rPr>
        <w:drawing>
          <wp:inline distT="0" distB="0" distL="0" distR="0" wp14:anchorId="139DEA40" wp14:editId="2409EA70">
            <wp:extent cx="8891270" cy="699135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19" w:rsidRPr="0000531E" w:rsidRDefault="00DB6A19" w:rsidP="00A32056">
      <w:pPr>
        <w:spacing w:after="180"/>
        <w:rPr>
          <w:rFonts w:ascii="Arial" w:hAnsi="Arial" w:cs="Arial"/>
          <w:szCs w:val="22"/>
        </w:rPr>
        <w:sectPr w:rsidR="00DB6A19" w:rsidRPr="0000531E" w:rsidSect="00551C36">
          <w:footerReference w:type="first" r:id="rId14"/>
          <w:pgSz w:w="16838" w:h="11906" w:orient="landscape" w:code="9"/>
          <w:pgMar w:top="1134" w:right="1418" w:bottom="1134" w:left="1418" w:header="709" w:footer="709" w:gutter="0"/>
          <w:cols w:space="708"/>
          <w:titlePg/>
          <w:docGrid w:linePitch="360"/>
        </w:sectPr>
      </w:pPr>
      <w:r w:rsidRPr="00737BDC">
        <w:rPr>
          <w:noProof/>
          <w:lang w:eastAsia="en-GB"/>
        </w:rPr>
        <w:drawing>
          <wp:inline distT="0" distB="0" distL="0" distR="0" wp14:anchorId="56E0D29D" wp14:editId="5D740D8A">
            <wp:extent cx="8810046" cy="44234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841" cy="44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92" w:rsidRPr="0000531E" w:rsidRDefault="00AA1592" w:rsidP="00D717CD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  <w:r w:rsidRPr="0000531E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At each meeting, the Standing Committees of NHS Golden Jubilee consider targets and </w:t>
      </w:r>
      <w:r w:rsidR="006A3CF5" w:rsidRPr="0000531E">
        <w:rPr>
          <w:rFonts w:ascii="Arial" w:hAnsi="Arial" w:cs="Arial"/>
          <w:color w:val="000000" w:themeColor="text1"/>
          <w:sz w:val="22"/>
          <w:szCs w:val="22"/>
        </w:rPr>
        <w:t>s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>tandards specific to their area of remit</w:t>
      </w:r>
      <w:r w:rsidR="00B620AB" w:rsidRPr="0000531E">
        <w:rPr>
          <w:rFonts w:ascii="Arial" w:hAnsi="Arial" w:cs="Arial"/>
          <w:color w:val="000000" w:themeColor="text1"/>
          <w:sz w:val="22"/>
          <w:szCs w:val="22"/>
        </w:rPr>
        <w:t xml:space="preserve"> using the Integrated Performance Report (IPR)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>. Th</w:t>
      </w:r>
      <w:r w:rsidR="00B620AB" w:rsidRPr="0000531E">
        <w:rPr>
          <w:rFonts w:ascii="Arial" w:hAnsi="Arial" w:cs="Arial"/>
          <w:color w:val="000000" w:themeColor="text1"/>
          <w:sz w:val="22"/>
          <w:szCs w:val="22"/>
        </w:rPr>
        <w:t>ere is a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 xml:space="preserve"> section of the IPR </w:t>
      </w:r>
      <w:r w:rsidR="00B620AB" w:rsidRPr="0000531E">
        <w:rPr>
          <w:rFonts w:ascii="Arial" w:hAnsi="Arial" w:cs="Arial"/>
          <w:color w:val="000000" w:themeColor="text1"/>
          <w:sz w:val="22"/>
          <w:szCs w:val="22"/>
        </w:rPr>
        <w:t xml:space="preserve">which 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>provides a summary of performance Standards and targets identified as areas of note</w:t>
      </w:r>
      <w:r w:rsidR="00B620AB" w:rsidRPr="0000531E">
        <w:rPr>
          <w:rFonts w:ascii="Arial" w:hAnsi="Arial" w:cs="Arial"/>
          <w:color w:val="000000" w:themeColor="text1"/>
          <w:sz w:val="22"/>
          <w:szCs w:val="22"/>
        </w:rPr>
        <w:t xml:space="preserve"> which is reproduced below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>. Topics are grouped under the heading of the Committee responsible</w:t>
      </w:r>
      <w:r w:rsidR="002343B5" w:rsidRPr="0000531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>for scrutiny of performance.</w:t>
      </w:r>
    </w:p>
    <w:p w:rsidR="00025608" w:rsidRDefault="00025608" w:rsidP="00025608">
      <w:pPr>
        <w:pStyle w:val="Heading1"/>
        <w:rPr>
          <w:rFonts w:ascii="Arial" w:hAnsi="Arial" w:cs="Arial"/>
        </w:rPr>
      </w:pPr>
      <w:r w:rsidRPr="0000531E">
        <w:rPr>
          <w:rFonts w:ascii="Arial" w:hAnsi="Arial" w:cs="Arial"/>
        </w:rPr>
        <w:t>Section B: 1 Clinical Governance</w:t>
      </w:r>
    </w:p>
    <w:p w:rsidR="0017217C" w:rsidRPr="0017217C" w:rsidRDefault="0017217C" w:rsidP="0017217C"/>
    <w:tbl>
      <w:tblPr>
        <w:tblStyle w:val="TableGrid16"/>
        <w:tblW w:w="9286" w:type="dxa"/>
        <w:tblLayout w:type="fixed"/>
        <w:tblLook w:val="04A0" w:firstRow="1" w:lastRow="0" w:firstColumn="1" w:lastColumn="0" w:noHBand="0" w:noVBand="1"/>
      </w:tblPr>
      <w:tblGrid>
        <w:gridCol w:w="2802"/>
        <w:gridCol w:w="567"/>
        <w:gridCol w:w="5917"/>
      </w:tblGrid>
      <w:tr w:rsidR="00DB6A19" w:rsidRPr="00DB6A19" w:rsidTr="001028D9">
        <w:trPr>
          <w:trHeight w:val="132"/>
        </w:trPr>
        <w:tc>
          <w:tcPr>
            <w:tcW w:w="9286" w:type="dxa"/>
            <w:gridSpan w:val="3"/>
            <w:shd w:val="clear" w:color="auto" w:fill="B8CCE4" w:themeFill="accent1" w:themeFillTint="66"/>
          </w:tcPr>
          <w:p w:rsidR="00DB6A19" w:rsidRPr="00DB6A19" w:rsidRDefault="00DB6A19" w:rsidP="00DB6A19">
            <w:pPr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  <w:lang w:eastAsia="en-US"/>
              </w:rPr>
            </w:pPr>
            <w:r w:rsidRPr="00DB6A1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Clinical Governance</w:t>
            </w:r>
          </w:p>
        </w:tc>
      </w:tr>
      <w:tr w:rsidR="00DB6A19" w:rsidRPr="00DB6A19" w:rsidTr="001028D9">
        <w:trPr>
          <w:trHeight w:val="280"/>
        </w:trPr>
        <w:tc>
          <w:tcPr>
            <w:tcW w:w="2802" w:type="dxa"/>
          </w:tcPr>
          <w:p w:rsidR="00DB6A19" w:rsidRPr="00DB6A19" w:rsidRDefault="00DB6A19" w:rsidP="00DB6A19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DB6A1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KPI</w:t>
            </w:r>
          </w:p>
        </w:tc>
        <w:tc>
          <w:tcPr>
            <w:tcW w:w="567" w:type="dxa"/>
            <w:vAlign w:val="center"/>
          </w:tcPr>
          <w:p w:rsidR="00DB6A19" w:rsidRPr="00DB6A19" w:rsidRDefault="00DB6A19" w:rsidP="00DB6A19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DB6A19">
              <w:rPr>
                <w:rFonts w:ascii="Arial" w:hAnsi="Arial" w:cs="Arial"/>
                <w:b/>
                <w:sz w:val="14"/>
                <w:szCs w:val="24"/>
                <w:lang w:eastAsia="en-US"/>
              </w:rPr>
              <w:t>RAG</w:t>
            </w:r>
          </w:p>
        </w:tc>
        <w:tc>
          <w:tcPr>
            <w:tcW w:w="5917" w:type="dxa"/>
          </w:tcPr>
          <w:p w:rsidR="00DB6A19" w:rsidRPr="00DB6A19" w:rsidRDefault="00DB6A19" w:rsidP="00DB6A19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DB6A1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Position:</w:t>
            </w:r>
          </w:p>
        </w:tc>
      </w:tr>
      <w:tr w:rsidR="00DB6A19" w:rsidRPr="00DB6A19" w:rsidTr="001028D9">
        <w:trPr>
          <w:trHeight w:val="400"/>
        </w:trPr>
        <w:tc>
          <w:tcPr>
            <w:tcW w:w="2802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Total complaints (Stage 1 and 2) by volume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highlight w:val="yellow"/>
                <w:lang w:eastAsia="en-US"/>
              </w:rPr>
            </w:pPr>
          </w:p>
        </w:tc>
        <w:tc>
          <w:tcPr>
            <w:tcW w:w="5917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In January 2024 there were 18 complaints reported. Latest position available.</w:t>
            </w:r>
          </w:p>
        </w:tc>
      </w:tr>
      <w:tr w:rsidR="00DB6A19" w:rsidRPr="00DB6A19" w:rsidTr="001028D9">
        <w:trPr>
          <w:trHeight w:val="832"/>
        </w:trPr>
        <w:tc>
          <w:tcPr>
            <w:tcW w:w="2802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Stage 1 complaints response time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highlight w:val="yellow"/>
                <w:lang w:eastAsia="en-US"/>
              </w:rPr>
            </w:pPr>
          </w:p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highlight w:val="yellow"/>
                <w:lang w:eastAsia="en-US"/>
              </w:rPr>
            </w:pPr>
          </w:p>
        </w:tc>
        <w:tc>
          <w:tcPr>
            <w:tcW w:w="5917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In January 2024, there were 12 Stage 1 complaints, all 12 were responded to within the five day target (100%). Latest position available.</w:t>
            </w:r>
          </w:p>
        </w:tc>
      </w:tr>
      <w:tr w:rsidR="00DB6A19" w:rsidRPr="00DB6A19" w:rsidTr="001028D9">
        <w:tc>
          <w:tcPr>
            <w:tcW w:w="2802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 xml:space="preserve">Stage 2 complaints response time 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highlight w:val="yellow"/>
                <w:lang w:eastAsia="en-US"/>
              </w:rPr>
            </w:pPr>
          </w:p>
        </w:tc>
        <w:tc>
          <w:tcPr>
            <w:tcW w:w="5917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In January 2024 there were six Stage 2 complaints, zero were responded to within the twenty day target (0%). Latest position available.</w:t>
            </w:r>
          </w:p>
        </w:tc>
      </w:tr>
      <w:tr w:rsidR="00DB6A19" w:rsidRPr="00DB6A19" w:rsidTr="001028D9">
        <w:trPr>
          <w:trHeight w:val="321"/>
        </w:trPr>
        <w:tc>
          <w:tcPr>
            <w:tcW w:w="2802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Mortality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highlight w:val="yellow"/>
                <w:lang w:eastAsia="en-US"/>
              </w:rPr>
            </w:pPr>
          </w:p>
        </w:tc>
        <w:tc>
          <w:tcPr>
            <w:tcW w:w="5917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The mortality figure for February 2024 was reported as six.</w:t>
            </w:r>
          </w:p>
        </w:tc>
      </w:tr>
      <w:tr w:rsidR="00DB6A19" w:rsidRPr="00DB6A19" w:rsidTr="001028D9">
        <w:trPr>
          <w:trHeight w:val="321"/>
        </w:trPr>
        <w:tc>
          <w:tcPr>
            <w:tcW w:w="2802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Significant adverse events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917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There was one significant adverse event review in February 2024.</w:t>
            </w:r>
          </w:p>
        </w:tc>
      </w:tr>
      <w:tr w:rsidR="00DB6A19" w:rsidRPr="00DB6A19" w:rsidTr="001028D9">
        <w:trPr>
          <w:trHeight w:val="321"/>
        </w:trPr>
        <w:tc>
          <w:tcPr>
            <w:tcW w:w="2802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MRSA/MSSA cases</w:t>
            </w:r>
          </w:p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917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There were zero instances of Staphylococcus aureus Bacteraemia (SAB) reported in February 2024. The rate per 100,000 bed days was 0.0 in February.</w:t>
            </w:r>
          </w:p>
        </w:tc>
      </w:tr>
      <w:tr w:rsidR="00DB6A19" w:rsidRPr="00DB6A19" w:rsidTr="001028D9">
        <w:trPr>
          <w:trHeight w:val="321"/>
        </w:trPr>
        <w:tc>
          <w:tcPr>
            <w:tcW w:w="2802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Clostridiodes Difficile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B6A19" w:rsidRPr="00DB6A19" w:rsidRDefault="00DB6A19" w:rsidP="00DB6A19">
            <w:pPr>
              <w:jc w:val="both"/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917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 xml:space="preserve">There were zero Clostridiodes Difficile Infections (CDI) reported in February 2024.  </w:t>
            </w:r>
          </w:p>
        </w:tc>
      </w:tr>
      <w:tr w:rsidR="00DB6A19" w:rsidRPr="00DB6A19" w:rsidTr="001028D9">
        <w:trPr>
          <w:trHeight w:val="321"/>
        </w:trPr>
        <w:tc>
          <w:tcPr>
            <w:tcW w:w="2802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Gram Negative Bacteraemia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917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There were zero reported instances of Gram Negative Bacteraemia in February 2024.</w:t>
            </w:r>
          </w:p>
        </w:tc>
      </w:tr>
      <w:tr w:rsidR="00DB6A19" w:rsidRPr="00DB6A19" w:rsidTr="001028D9">
        <w:trPr>
          <w:trHeight w:val="321"/>
        </w:trPr>
        <w:tc>
          <w:tcPr>
            <w:tcW w:w="2802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SSI: Hips &amp; Knees</w:t>
            </w:r>
          </w:p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917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Surveillance recommenced in July with zero SSIs reported in February 2024.</w:t>
            </w:r>
          </w:p>
        </w:tc>
      </w:tr>
      <w:tr w:rsidR="00DB6A19" w:rsidRPr="00DB6A19" w:rsidTr="001028D9">
        <w:trPr>
          <w:trHeight w:val="321"/>
        </w:trPr>
        <w:tc>
          <w:tcPr>
            <w:tcW w:w="2802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SSI: Cardiac</w:t>
            </w:r>
          </w:p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917" w:type="dxa"/>
          </w:tcPr>
          <w:p w:rsidR="00DB6A19" w:rsidRPr="00DB6A19" w:rsidRDefault="00DB6A19" w:rsidP="00DB6A19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DB6A19">
              <w:rPr>
                <w:rFonts w:ascii="Arial" w:hAnsi="Arial" w:cs="Arial"/>
                <w:sz w:val="24"/>
                <w:szCs w:val="23"/>
                <w:lang w:eastAsia="en-US"/>
              </w:rPr>
              <w:t>Surveillance recommenced in October with two SSIs reported in February 2024.</w:t>
            </w:r>
          </w:p>
        </w:tc>
      </w:tr>
    </w:tbl>
    <w:p w:rsidR="00ED7DEF" w:rsidRPr="0000531E" w:rsidRDefault="00ED7DEF" w:rsidP="00ED7DEF">
      <w:pPr>
        <w:rPr>
          <w:rFonts w:ascii="Arial" w:hAnsi="Arial" w:cs="Arial"/>
        </w:rPr>
      </w:pPr>
    </w:p>
    <w:p w:rsidR="00F13C91" w:rsidRPr="0000531E" w:rsidRDefault="00F13C91" w:rsidP="00ED7DEF">
      <w:pPr>
        <w:rPr>
          <w:rFonts w:ascii="Arial" w:hAnsi="Arial" w:cs="Arial"/>
        </w:rPr>
      </w:pPr>
    </w:p>
    <w:p w:rsidR="004C2305" w:rsidRPr="0000531E" w:rsidRDefault="004C2305" w:rsidP="004C2305">
      <w:pPr>
        <w:rPr>
          <w:rFonts w:ascii="Arial" w:hAnsi="Arial" w:cs="Arial"/>
          <w:b/>
          <w:sz w:val="24"/>
        </w:rPr>
      </w:pPr>
    </w:p>
    <w:p w:rsidR="00F13C91" w:rsidRPr="0000531E" w:rsidRDefault="00F13C91" w:rsidP="004C2305">
      <w:pPr>
        <w:rPr>
          <w:rFonts w:ascii="Arial" w:hAnsi="Arial" w:cs="Arial"/>
          <w:b/>
          <w:sz w:val="24"/>
        </w:rPr>
      </w:pPr>
    </w:p>
    <w:p w:rsidR="00F13C91" w:rsidRPr="0000531E" w:rsidRDefault="00F13C91" w:rsidP="004C2305">
      <w:pPr>
        <w:rPr>
          <w:rFonts w:ascii="Arial" w:hAnsi="Arial" w:cs="Arial"/>
          <w:b/>
          <w:sz w:val="24"/>
        </w:rPr>
      </w:pPr>
    </w:p>
    <w:p w:rsidR="00F13C91" w:rsidRPr="0000531E" w:rsidRDefault="00F13C91" w:rsidP="004C2305">
      <w:pPr>
        <w:rPr>
          <w:rFonts w:ascii="Arial" w:hAnsi="Arial" w:cs="Arial"/>
          <w:b/>
          <w:sz w:val="24"/>
        </w:rPr>
      </w:pPr>
    </w:p>
    <w:p w:rsidR="00F13C91" w:rsidRPr="0000531E" w:rsidRDefault="00F13C91" w:rsidP="004C2305">
      <w:pPr>
        <w:rPr>
          <w:rFonts w:ascii="Arial" w:hAnsi="Arial" w:cs="Arial"/>
          <w:b/>
          <w:sz w:val="24"/>
        </w:rPr>
      </w:pPr>
    </w:p>
    <w:p w:rsidR="00F13C91" w:rsidRPr="0000531E" w:rsidRDefault="00F13C91" w:rsidP="004C2305">
      <w:pPr>
        <w:rPr>
          <w:rFonts w:ascii="Arial" w:hAnsi="Arial" w:cs="Arial"/>
          <w:b/>
          <w:sz w:val="24"/>
        </w:rPr>
      </w:pPr>
    </w:p>
    <w:p w:rsidR="00B92DB6" w:rsidRPr="0000531E" w:rsidRDefault="00B92DB6" w:rsidP="00B92DB6">
      <w:pPr>
        <w:tabs>
          <w:tab w:val="left" w:pos="8115"/>
        </w:tabs>
        <w:rPr>
          <w:rFonts w:ascii="Arial" w:hAnsi="Arial" w:cs="Arial"/>
          <w:b/>
          <w:sz w:val="24"/>
        </w:rPr>
      </w:pPr>
    </w:p>
    <w:p w:rsidR="00631C60" w:rsidRDefault="007F0523" w:rsidP="00631C60">
      <w:pPr>
        <w:spacing w:after="18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Clinical Governance </w:t>
      </w:r>
      <w:r w:rsidR="00631C60" w:rsidRPr="00631C60">
        <w:rPr>
          <w:rFonts w:ascii="Arial" w:hAnsi="Arial" w:cs="Arial"/>
          <w:b/>
          <w:bCs/>
          <w:sz w:val="28"/>
          <w:szCs w:val="28"/>
        </w:rPr>
        <w:t>Executive Summary</w:t>
      </w:r>
    </w:p>
    <w:p w:rsidR="00DB6A19" w:rsidRPr="00DB6A19" w:rsidRDefault="00DB6A19" w:rsidP="00DB6A19">
      <w:pPr>
        <w:spacing w:after="180" w:line="240" w:lineRule="auto"/>
        <w:rPr>
          <w:rFonts w:ascii="Arial" w:eastAsia="Times New Roman" w:hAnsi="Arial" w:cs="Times New Roman"/>
          <w:b/>
          <w:sz w:val="28"/>
          <w:szCs w:val="28"/>
        </w:rPr>
      </w:pPr>
      <w:r w:rsidRPr="00DB6A19">
        <w:rPr>
          <w:rFonts w:ascii="Arial" w:eastAsia="Times New Roman" w:hAnsi="Arial" w:cs="Times New Roman"/>
          <w:b/>
          <w:sz w:val="28"/>
          <w:szCs w:val="28"/>
        </w:rPr>
        <w:t>Executive Summary</w:t>
      </w:r>
    </w:p>
    <w:p w:rsidR="00DB6A19" w:rsidRPr="00DB6A19" w:rsidRDefault="00DB6A19" w:rsidP="00DB6A19">
      <w:pPr>
        <w:spacing w:after="0" w:line="240" w:lineRule="auto"/>
        <w:rPr>
          <w:rFonts w:ascii="Arial" w:eastAsia="Times New Roman" w:hAnsi="Arial" w:cs="Times New Roman"/>
          <w:iCs/>
          <w:sz w:val="22"/>
          <w:szCs w:val="22"/>
        </w:rPr>
      </w:pPr>
      <w:r w:rsidRPr="00DB6A19">
        <w:rPr>
          <w:rFonts w:ascii="Arial" w:eastAsia="Times New Roman" w:hAnsi="Arial" w:cs="Times New Roman"/>
          <w:iCs/>
          <w:sz w:val="22"/>
          <w:szCs w:val="22"/>
        </w:rPr>
        <w:t>In January 2024 we received 12 Stage 1 complaints and six Stage 2 complaints.</w:t>
      </w:r>
    </w:p>
    <w:p w:rsidR="00DB6A19" w:rsidRPr="00DB6A19" w:rsidRDefault="00DB6A19" w:rsidP="00DB6A19">
      <w:pPr>
        <w:spacing w:after="0" w:line="240" w:lineRule="auto"/>
        <w:rPr>
          <w:rFonts w:ascii="Arial" w:eastAsia="Times New Roman" w:hAnsi="Arial" w:cs="Times New Roman"/>
          <w:iCs/>
          <w:sz w:val="22"/>
          <w:szCs w:val="22"/>
        </w:rPr>
      </w:pPr>
      <w:r w:rsidRPr="00DB6A19">
        <w:rPr>
          <w:rFonts w:ascii="Arial" w:eastAsia="Times New Roman" w:hAnsi="Arial" w:cs="Times New Roman"/>
          <w:iCs/>
          <w:sz w:val="22"/>
          <w:szCs w:val="22"/>
        </w:rPr>
        <w:t xml:space="preserve">100% of the Stage 1 complaints that were investigated were responded to within guidance timescale (5 days) n=12.  </w:t>
      </w:r>
    </w:p>
    <w:p w:rsidR="00DB6A19" w:rsidRPr="00DB6A19" w:rsidRDefault="00DB6A19" w:rsidP="00DB6A19">
      <w:pPr>
        <w:spacing w:after="0" w:line="240" w:lineRule="auto"/>
        <w:rPr>
          <w:rFonts w:ascii="Arial" w:eastAsia="Times New Roman" w:hAnsi="Arial" w:cs="Times New Roman"/>
          <w:iCs/>
          <w:sz w:val="22"/>
          <w:szCs w:val="22"/>
        </w:rPr>
      </w:pPr>
    </w:p>
    <w:p w:rsidR="00DB6A19" w:rsidRPr="00DB6A19" w:rsidRDefault="00DB6A19" w:rsidP="00DB6A19">
      <w:pPr>
        <w:spacing w:after="0" w:line="240" w:lineRule="auto"/>
        <w:rPr>
          <w:rFonts w:ascii="Arial" w:eastAsia="Times New Roman" w:hAnsi="Arial" w:cs="Times New Roman"/>
          <w:bCs/>
          <w:sz w:val="22"/>
          <w:szCs w:val="22"/>
        </w:rPr>
      </w:pPr>
      <w:r w:rsidRPr="00DB6A19">
        <w:rPr>
          <w:rFonts w:ascii="Arial" w:eastAsia="Times New Roman" w:hAnsi="Arial" w:cs="Times New Roman"/>
          <w:iCs/>
          <w:sz w:val="22"/>
          <w:szCs w:val="22"/>
        </w:rPr>
        <w:t>T</w:t>
      </w:r>
      <w:r w:rsidRPr="00DB6A19">
        <w:rPr>
          <w:rFonts w:ascii="Arial" w:eastAsia="Times New Roman" w:hAnsi="Arial" w:cs="Times New Roman"/>
          <w:bCs/>
          <w:sz w:val="22"/>
          <w:szCs w:val="22"/>
        </w:rPr>
        <w:t>he average time taken to complete and respond to the Stage 1 complaints, was 4.2 working days.</w:t>
      </w:r>
    </w:p>
    <w:p w:rsidR="00DB6A19" w:rsidRPr="00DB6A19" w:rsidRDefault="00DB6A19" w:rsidP="00DB6A19">
      <w:pPr>
        <w:spacing w:after="0" w:line="240" w:lineRule="auto"/>
        <w:rPr>
          <w:rFonts w:ascii="Arial" w:eastAsia="Times New Roman" w:hAnsi="Arial" w:cs="Times New Roman"/>
          <w:bCs/>
          <w:sz w:val="22"/>
          <w:szCs w:val="22"/>
        </w:rPr>
      </w:pPr>
    </w:p>
    <w:p w:rsidR="00DB6A19" w:rsidRPr="00DB6A19" w:rsidRDefault="00DB6A19" w:rsidP="00DB6A19">
      <w:pPr>
        <w:spacing w:after="0" w:line="240" w:lineRule="auto"/>
        <w:rPr>
          <w:rFonts w:ascii="Arial" w:eastAsia="Times New Roman" w:hAnsi="Arial" w:cs="Times New Roman"/>
          <w:iCs/>
          <w:sz w:val="22"/>
          <w:szCs w:val="22"/>
        </w:rPr>
      </w:pPr>
      <w:r w:rsidRPr="00DB6A19">
        <w:rPr>
          <w:rFonts w:ascii="Arial" w:eastAsia="Times New Roman" w:hAnsi="Arial" w:cs="Times New Roman"/>
          <w:iCs/>
          <w:sz w:val="22"/>
          <w:szCs w:val="22"/>
        </w:rPr>
        <w:t>0% of the Stage 2 complaints were investigated and responded to within 20 working days therefore none were compliant with the guidance timescale (20 days) n=0.  Three Stage 2 complains were complete and responded to after the 20 working day guideline.  The average time taken to close these three Stage 2 complaints was 29 working days.  The remaining three Stage 2 complaints from January are ongoing and have therefore already breached the 20 day timescale.</w:t>
      </w:r>
    </w:p>
    <w:p w:rsidR="00DB6A19" w:rsidRPr="00DB6A19" w:rsidRDefault="00DB6A19" w:rsidP="00DB6A19">
      <w:pPr>
        <w:spacing w:after="0" w:line="240" w:lineRule="auto"/>
        <w:rPr>
          <w:rFonts w:ascii="Arial" w:eastAsia="Times New Roman" w:hAnsi="Arial" w:cs="Times New Roman"/>
          <w:iCs/>
          <w:sz w:val="22"/>
          <w:szCs w:val="22"/>
        </w:rPr>
      </w:pPr>
    </w:p>
    <w:p w:rsidR="00DB6A19" w:rsidRPr="00DB6A19" w:rsidRDefault="00DB6A19" w:rsidP="00DB6A19">
      <w:pPr>
        <w:spacing w:after="0" w:line="240" w:lineRule="auto"/>
        <w:rPr>
          <w:rFonts w:ascii="Arial" w:eastAsia="Times New Roman" w:hAnsi="Arial" w:cs="Times New Roman"/>
          <w:iCs/>
          <w:sz w:val="22"/>
          <w:szCs w:val="22"/>
        </w:rPr>
      </w:pPr>
      <w:r w:rsidRPr="00DB6A19">
        <w:rPr>
          <w:rFonts w:ascii="Arial" w:eastAsia="Times New Roman" w:hAnsi="Arial" w:cs="Times New Roman"/>
          <w:iCs/>
          <w:sz w:val="22"/>
          <w:szCs w:val="22"/>
        </w:rPr>
        <w:t>Mortality data for February 2024 was within control limits (n=6).</w:t>
      </w:r>
    </w:p>
    <w:p w:rsidR="00DB6A19" w:rsidRDefault="00DB6A19" w:rsidP="00631C60">
      <w:pPr>
        <w:spacing w:after="180"/>
        <w:jc w:val="both"/>
        <w:rPr>
          <w:rFonts w:ascii="Arial" w:hAnsi="Arial" w:cs="Arial"/>
          <w:b/>
          <w:bCs/>
          <w:sz w:val="28"/>
          <w:szCs w:val="28"/>
        </w:rPr>
      </w:pPr>
    </w:p>
    <w:p w:rsidR="00B14AD3" w:rsidRDefault="00B14AD3" w:rsidP="00631C60">
      <w:pPr>
        <w:spacing w:after="18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iCs/>
          <w:noProof/>
          <w:szCs w:val="22"/>
          <w:lang w:eastAsia="en-GB"/>
        </w:rPr>
        <w:drawing>
          <wp:inline distT="0" distB="0" distL="0" distR="0" wp14:anchorId="0CB38D3A" wp14:editId="5F3D9EE5">
            <wp:extent cx="5652770" cy="4005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18" cy="4011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47B" w:rsidRDefault="0033247B" w:rsidP="0033247B">
      <w:pPr>
        <w:spacing w:after="0" w:line="240" w:lineRule="auto"/>
        <w:rPr>
          <w:rFonts w:ascii="Arial" w:eastAsia="Times New Roman" w:hAnsi="Arial" w:cs="Arial"/>
          <w:sz w:val="22"/>
          <w:szCs w:val="20"/>
        </w:rPr>
      </w:pPr>
      <w:r w:rsidRPr="0033247B">
        <w:rPr>
          <w:rFonts w:ascii="Arial" w:eastAsia="Times New Roman" w:hAnsi="Arial" w:cs="Arial"/>
          <w:sz w:val="22"/>
          <w:szCs w:val="20"/>
        </w:rPr>
        <w:t xml:space="preserve">No whistleblowing concerns have been raised during </w:t>
      </w:r>
      <w:r w:rsidR="00B14AD3">
        <w:rPr>
          <w:rFonts w:ascii="Arial" w:eastAsia="Times New Roman" w:hAnsi="Arial" w:cs="Arial"/>
          <w:sz w:val="22"/>
          <w:szCs w:val="20"/>
        </w:rPr>
        <w:t>February</w:t>
      </w:r>
      <w:r w:rsidRPr="0033247B">
        <w:rPr>
          <w:rFonts w:ascii="Arial" w:eastAsia="Times New Roman" w:hAnsi="Arial" w:cs="Arial"/>
          <w:sz w:val="22"/>
          <w:szCs w:val="20"/>
        </w:rPr>
        <w:t xml:space="preserve"> 2024.</w:t>
      </w:r>
    </w:p>
    <w:p w:rsidR="00B14AD3" w:rsidRDefault="00B14AD3" w:rsidP="0033247B">
      <w:pPr>
        <w:spacing w:after="0" w:line="240" w:lineRule="auto"/>
        <w:rPr>
          <w:rFonts w:ascii="Arial" w:eastAsia="Times New Roman" w:hAnsi="Arial" w:cs="Arial"/>
          <w:sz w:val="22"/>
          <w:szCs w:val="20"/>
        </w:rPr>
      </w:pPr>
    </w:p>
    <w:p w:rsidR="00B14AD3" w:rsidRDefault="00B14AD3" w:rsidP="0033247B">
      <w:pPr>
        <w:spacing w:after="0" w:line="240" w:lineRule="auto"/>
        <w:rPr>
          <w:rFonts w:ascii="Arial" w:eastAsia="Times New Roman" w:hAnsi="Arial" w:cs="Arial"/>
          <w:sz w:val="22"/>
          <w:szCs w:val="20"/>
        </w:rPr>
      </w:pPr>
    </w:p>
    <w:p w:rsidR="00B14AD3" w:rsidRDefault="00B14AD3" w:rsidP="0033247B">
      <w:pPr>
        <w:spacing w:after="0" w:line="240" w:lineRule="auto"/>
        <w:rPr>
          <w:rFonts w:ascii="Arial" w:eastAsia="Times New Roman" w:hAnsi="Arial" w:cs="Arial"/>
          <w:sz w:val="22"/>
          <w:szCs w:val="20"/>
        </w:rPr>
      </w:pPr>
    </w:p>
    <w:p w:rsidR="00B14AD3" w:rsidRDefault="00B14AD3" w:rsidP="0033247B">
      <w:pPr>
        <w:spacing w:after="0" w:line="240" w:lineRule="auto"/>
        <w:rPr>
          <w:rFonts w:ascii="Arial" w:eastAsia="Times New Roman" w:hAnsi="Arial" w:cs="Arial"/>
          <w:sz w:val="22"/>
          <w:szCs w:val="20"/>
        </w:rPr>
      </w:pPr>
    </w:p>
    <w:p w:rsidR="00B14AD3" w:rsidRDefault="00B14AD3" w:rsidP="0033247B">
      <w:pPr>
        <w:spacing w:after="0" w:line="240" w:lineRule="auto"/>
        <w:rPr>
          <w:rFonts w:ascii="Arial" w:eastAsia="Times New Roman" w:hAnsi="Arial" w:cs="Arial"/>
          <w:sz w:val="22"/>
          <w:szCs w:val="20"/>
        </w:rPr>
      </w:pPr>
    </w:p>
    <w:p w:rsidR="00B14AD3" w:rsidRPr="0033247B" w:rsidRDefault="00B14AD3" w:rsidP="0033247B">
      <w:pPr>
        <w:spacing w:after="0" w:line="240" w:lineRule="auto"/>
        <w:rPr>
          <w:rFonts w:ascii="Arial" w:eastAsia="Times New Roman" w:hAnsi="Arial" w:cs="Times New Roman"/>
          <w:sz w:val="22"/>
          <w:szCs w:val="20"/>
        </w:rPr>
      </w:pPr>
    </w:p>
    <w:p w:rsidR="003F13BA" w:rsidRDefault="003F13BA" w:rsidP="001D7C8B">
      <w:pPr>
        <w:tabs>
          <w:tab w:val="left" w:pos="1418"/>
        </w:tabs>
        <w:spacing w:after="12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31C60" w:rsidRPr="001D7C8B" w:rsidRDefault="00631C60" w:rsidP="001D7C8B">
      <w:pPr>
        <w:tabs>
          <w:tab w:val="left" w:pos="1418"/>
        </w:tabs>
        <w:spacing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D7C8B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Key Healthcare Associated Infection Headlines </w:t>
      </w:r>
    </w:p>
    <w:p w:rsidR="003F13BA" w:rsidRPr="003F13BA" w:rsidRDefault="003F13BA" w:rsidP="003F13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14AD3" w:rsidRPr="00B14AD3" w:rsidRDefault="00B14AD3" w:rsidP="00B14AD3">
      <w:pPr>
        <w:numPr>
          <w:ilvl w:val="0"/>
          <w:numId w:val="10"/>
        </w:numPr>
        <w:shd w:val="clear" w:color="auto" w:fill="FFFFFF" w:themeFill="background1"/>
        <w:spacing w:after="100" w:afterAutospacing="1" w:line="240" w:lineRule="auto"/>
        <w:ind w:left="709"/>
        <w:contextualSpacing/>
        <w:jc w:val="both"/>
        <w:rPr>
          <w:rFonts w:ascii="Arial" w:eastAsia="Times New Roman" w:hAnsi="Arial" w:cs="Arial"/>
          <w:color w:val="000000" w:themeColor="text1"/>
          <w:sz w:val="22"/>
          <w:szCs w:val="20"/>
        </w:rPr>
      </w:pPr>
      <w:r w:rsidRPr="00B14AD3">
        <w:rPr>
          <w:rFonts w:ascii="Arial" w:eastAsia="Times New Roman" w:hAnsi="Arial" w:cs="Arial"/>
          <w:b/>
          <w:i/>
          <w:iCs/>
          <w:sz w:val="22"/>
          <w:szCs w:val="22"/>
        </w:rPr>
        <w:t>Staphylococcus aureus</w:t>
      </w:r>
      <w:r w:rsidRPr="00B14AD3">
        <w:rPr>
          <w:rFonts w:ascii="Arial" w:eastAsia="Times New Roman" w:hAnsi="Arial" w:cs="Arial"/>
          <w:b/>
          <w:sz w:val="22"/>
          <w:szCs w:val="22"/>
        </w:rPr>
        <w:t xml:space="preserve"> Bacteraemia-</w:t>
      </w:r>
      <w:r w:rsidRPr="00B14AD3">
        <w:rPr>
          <w:rFonts w:ascii="Arial" w:eastAsia="Times New Roman" w:hAnsi="Arial" w:cs="Arial"/>
          <w:sz w:val="22"/>
          <w:szCs w:val="22"/>
        </w:rPr>
        <w:t xml:space="preserve"> 0 cases to report in February.</w:t>
      </w:r>
    </w:p>
    <w:p w:rsidR="00B14AD3" w:rsidRPr="00B14AD3" w:rsidRDefault="00B14AD3" w:rsidP="00B14AD3">
      <w:pPr>
        <w:shd w:val="clear" w:color="auto" w:fill="FFFFFF" w:themeFill="background1"/>
        <w:spacing w:after="100" w:afterAutospacing="1" w:line="240" w:lineRule="auto"/>
        <w:ind w:left="709"/>
        <w:jc w:val="both"/>
        <w:rPr>
          <w:rFonts w:ascii="Arial" w:eastAsia="Times New Roman" w:hAnsi="Arial" w:cs="Arial"/>
          <w:color w:val="000000" w:themeColor="text1"/>
          <w:sz w:val="24"/>
          <w:szCs w:val="20"/>
        </w:rPr>
      </w:pPr>
    </w:p>
    <w:p w:rsidR="00B14AD3" w:rsidRDefault="00B14AD3" w:rsidP="00B14AD3">
      <w:pPr>
        <w:pStyle w:val="ListParagraph"/>
        <w:numPr>
          <w:ilvl w:val="0"/>
          <w:numId w:val="10"/>
        </w:numPr>
        <w:shd w:val="clear" w:color="auto" w:fill="FFFFFF" w:themeFill="background1"/>
        <w:spacing w:after="100" w:afterAutospacing="1" w:line="240" w:lineRule="auto"/>
        <w:rPr>
          <w:rFonts w:ascii="Arial" w:eastAsia="Times New Roman" w:hAnsi="Arial" w:cs="Arial"/>
          <w:sz w:val="22"/>
          <w:szCs w:val="22"/>
        </w:rPr>
      </w:pPr>
      <w:r w:rsidRPr="00B14AD3">
        <w:rPr>
          <w:rFonts w:ascii="Arial" w:eastAsia="Times New Roman" w:hAnsi="Arial" w:cs="Arial"/>
          <w:b/>
          <w:i/>
          <w:sz w:val="22"/>
          <w:szCs w:val="22"/>
        </w:rPr>
        <w:t>Clostridioides difficile</w:t>
      </w:r>
      <w:r w:rsidRPr="00B14AD3">
        <w:rPr>
          <w:rFonts w:ascii="Arial" w:eastAsia="Times New Roman" w:hAnsi="Arial" w:cs="Arial"/>
          <w:b/>
          <w:sz w:val="22"/>
          <w:szCs w:val="22"/>
        </w:rPr>
        <w:t xml:space="preserve"> infection (previously known as </w:t>
      </w:r>
      <w:r w:rsidRPr="00B14AD3">
        <w:rPr>
          <w:rFonts w:ascii="Arial" w:eastAsia="Times New Roman" w:hAnsi="Arial" w:cs="Arial"/>
          <w:b/>
          <w:i/>
          <w:sz w:val="22"/>
          <w:szCs w:val="22"/>
        </w:rPr>
        <w:t>Clostridium difficile</w:t>
      </w:r>
      <w:r w:rsidRPr="00B14AD3">
        <w:rPr>
          <w:rFonts w:ascii="Arial" w:eastAsia="Times New Roman" w:hAnsi="Arial" w:cs="Arial"/>
          <w:sz w:val="22"/>
          <w:szCs w:val="22"/>
        </w:rPr>
        <w:t>) – 0 cases to report in February, and nil reported since September 2023.</w:t>
      </w:r>
    </w:p>
    <w:p w:rsidR="00B14AD3" w:rsidRPr="00B14AD3" w:rsidRDefault="00B14AD3" w:rsidP="00B14AD3">
      <w:pPr>
        <w:pStyle w:val="ListParagraph"/>
        <w:shd w:val="clear" w:color="auto" w:fill="FFFFFF" w:themeFill="background1"/>
        <w:rPr>
          <w:rFonts w:ascii="Arial" w:eastAsia="Times New Roman" w:hAnsi="Arial" w:cs="Arial"/>
          <w:sz w:val="22"/>
          <w:szCs w:val="22"/>
        </w:rPr>
      </w:pPr>
    </w:p>
    <w:p w:rsidR="00B14AD3" w:rsidRPr="00B14AD3" w:rsidRDefault="00B14AD3" w:rsidP="00B14AD3">
      <w:pPr>
        <w:pStyle w:val="ListParagraph"/>
        <w:shd w:val="clear" w:color="auto" w:fill="FFFFFF" w:themeFill="background1"/>
        <w:spacing w:after="100" w:afterAutospacing="1" w:line="240" w:lineRule="auto"/>
        <w:rPr>
          <w:rFonts w:ascii="Arial" w:eastAsia="Times New Roman" w:hAnsi="Arial" w:cs="Arial"/>
          <w:sz w:val="22"/>
          <w:szCs w:val="22"/>
        </w:rPr>
      </w:pPr>
    </w:p>
    <w:p w:rsidR="00B14AD3" w:rsidRDefault="00B14AD3" w:rsidP="00B14AD3">
      <w:pPr>
        <w:pStyle w:val="ListParagraph"/>
        <w:numPr>
          <w:ilvl w:val="0"/>
          <w:numId w:val="10"/>
        </w:numPr>
        <w:shd w:val="clear" w:color="auto" w:fill="FFFFFF" w:themeFill="background1"/>
        <w:spacing w:after="100" w:afterAutospacing="1" w:line="240" w:lineRule="auto"/>
        <w:rPr>
          <w:rFonts w:ascii="Arial" w:eastAsia="Times New Roman" w:hAnsi="Arial" w:cs="Arial"/>
          <w:sz w:val="22"/>
          <w:szCs w:val="22"/>
        </w:rPr>
      </w:pPr>
      <w:r w:rsidRPr="00B14AD3">
        <w:rPr>
          <w:rFonts w:ascii="Arial" w:eastAsia="Times New Roman" w:hAnsi="Arial" w:cs="Arial"/>
          <w:b/>
          <w:sz w:val="22"/>
          <w:szCs w:val="20"/>
        </w:rPr>
        <w:t>Gram Negative/E.coli Bacteraemia (ECB)</w:t>
      </w:r>
      <w:r w:rsidRPr="00B14AD3">
        <w:rPr>
          <w:rFonts w:ascii="Arial" w:eastAsia="Times New Roman" w:hAnsi="Arial" w:cs="Arial"/>
          <w:sz w:val="22"/>
          <w:szCs w:val="20"/>
        </w:rPr>
        <w:t xml:space="preserve"> </w:t>
      </w:r>
      <w:r w:rsidRPr="00B14AD3">
        <w:rPr>
          <w:rFonts w:ascii="Arial" w:eastAsia="Times New Roman" w:hAnsi="Arial" w:cs="Arial"/>
          <w:sz w:val="22"/>
          <w:szCs w:val="22"/>
        </w:rPr>
        <w:t>– 0 cases to report in February.</w:t>
      </w:r>
    </w:p>
    <w:p w:rsidR="00B14AD3" w:rsidRPr="00B14AD3" w:rsidRDefault="00B14AD3" w:rsidP="00B14AD3">
      <w:pPr>
        <w:pStyle w:val="ListParagraph"/>
        <w:shd w:val="clear" w:color="auto" w:fill="FFFFFF" w:themeFill="background1"/>
        <w:spacing w:after="100" w:afterAutospacing="1" w:line="240" w:lineRule="auto"/>
        <w:rPr>
          <w:rFonts w:ascii="Arial" w:eastAsia="Times New Roman" w:hAnsi="Arial" w:cs="Arial"/>
          <w:sz w:val="22"/>
          <w:szCs w:val="22"/>
        </w:rPr>
      </w:pPr>
    </w:p>
    <w:p w:rsidR="00B14AD3" w:rsidRPr="00B14AD3" w:rsidRDefault="00B14AD3" w:rsidP="00B14AD3">
      <w:pPr>
        <w:pStyle w:val="ListParagraph"/>
        <w:numPr>
          <w:ilvl w:val="0"/>
          <w:numId w:val="10"/>
        </w:numPr>
        <w:shd w:val="clear" w:color="auto" w:fill="FFFFFF" w:themeFill="background1"/>
        <w:spacing w:after="100" w:afterAutospacing="1" w:line="240" w:lineRule="auto"/>
        <w:jc w:val="both"/>
        <w:rPr>
          <w:rFonts w:ascii="Arial" w:eastAsia="Times New Roman" w:hAnsi="Arial" w:cs="Arial"/>
          <w:b/>
          <w:sz w:val="22"/>
          <w:szCs w:val="22"/>
        </w:rPr>
      </w:pPr>
      <w:r w:rsidRPr="00B14AD3">
        <w:rPr>
          <w:rFonts w:ascii="Arial" w:eastAsia="Times New Roman" w:hAnsi="Arial" w:cs="Arial"/>
          <w:b/>
          <w:sz w:val="22"/>
          <w:szCs w:val="20"/>
        </w:rPr>
        <w:t>Hand Hygiene-</w:t>
      </w:r>
      <w:r w:rsidRPr="00B14AD3">
        <w:rPr>
          <w:rFonts w:ascii="Arial" w:eastAsia="Times New Roman" w:hAnsi="Arial" w:cs="Arial"/>
          <w:sz w:val="22"/>
          <w:szCs w:val="22"/>
        </w:rPr>
        <w:t xml:space="preserve"> The bimonthly report from January 24 indicates a combined compliance score of 98%. Next report March 24.</w:t>
      </w:r>
    </w:p>
    <w:p w:rsidR="00B14AD3" w:rsidRPr="00B14AD3" w:rsidRDefault="00B14AD3" w:rsidP="00B14AD3">
      <w:pPr>
        <w:shd w:val="clear" w:color="auto" w:fill="FFFFFF" w:themeFill="background1"/>
        <w:spacing w:after="100" w:afterAutospacing="1" w:line="240" w:lineRule="auto"/>
        <w:ind w:left="720"/>
        <w:jc w:val="both"/>
        <w:rPr>
          <w:rFonts w:ascii="Arial" w:eastAsia="Times New Roman" w:hAnsi="Arial" w:cs="Arial"/>
          <w:b/>
          <w:sz w:val="22"/>
          <w:szCs w:val="22"/>
        </w:rPr>
      </w:pPr>
    </w:p>
    <w:p w:rsidR="00B14AD3" w:rsidRPr="00B14AD3" w:rsidRDefault="00B14AD3" w:rsidP="00B14AD3">
      <w:pPr>
        <w:numPr>
          <w:ilvl w:val="0"/>
          <w:numId w:val="17"/>
        </w:numPr>
        <w:shd w:val="clear" w:color="auto" w:fill="FFFFFF" w:themeFill="background1"/>
        <w:spacing w:after="100" w:afterAutospacing="1" w:line="240" w:lineRule="auto"/>
        <w:contextualSpacing/>
        <w:jc w:val="both"/>
        <w:rPr>
          <w:rFonts w:ascii="Arial" w:eastAsia="Times New Roman" w:hAnsi="Arial" w:cs="Arial"/>
          <w:b/>
          <w:sz w:val="22"/>
          <w:szCs w:val="22"/>
        </w:rPr>
      </w:pPr>
      <w:r w:rsidRPr="00B14AD3">
        <w:rPr>
          <w:rFonts w:ascii="Arial" w:eastAsia="Times New Roman" w:hAnsi="Arial" w:cs="Arial"/>
          <w:b/>
          <w:sz w:val="22"/>
          <w:szCs w:val="22"/>
        </w:rPr>
        <w:t xml:space="preserve">Cleaning and the Healthcare Environment -Facilities Management Tool </w:t>
      </w:r>
    </w:p>
    <w:p w:rsidR="00B14AD3" w:rsidRPr="00B14AD3" w:rsidRDefault="00B14AD3" w:rsidP="00B14AD3">
      <w:pPr>
        <w:shd w:val="clear" w:color="auto" w:fill="FFFFFF" w:themeFill="background1"/>
        <w:spacing w:after="0" w:line="240" w:lineRule="auto"/>
        <w:ind w:left="720"/>
        <w:rPr>
          <w:rFonts w:ascii="Arial" w:eastAsia="Times New Roman" w:hAnsi="Arial" w:cs="Arial"/>
          <w:sz w:val="22"/>
          <w:szCs w:val="22"/>
        </w:rPr>
      </w:pPr>
      <w:r w:rsidRPr="00B14AD3">
        <w:rPr>
          <w:rFonts w:ascii="Arial" w:eastAsia="Times New Roman" w:hAnsi="Arial" w:cs="Arial"/>
          <w:b/>
          <w:sz w:val="22"/>
          <w:szCs w:val="22"/>
        </w:rPr>
        <w:t>Housekeeping Compliance: 98.76</w:t>
      </w:r>
      <w:r w:rsidRPr="00B14AD3">
        <w:rPr>
          <w:rFonts w:ascii="Arial" w:eastAsia="Times New Roman" w:hAnsi="Arial" w:cs="Arial"/>
          <w:sz w:val="22"/>
          <w:szCs w:val="22"/>
        </w:rPr>
        <w:t xml:space="preserve">%    </w:t>
      </w:r>
      <w:r w:rsidRPr="00B14AD3">
        <w:rPr>
          <w:rFonts w:ascii="Arial" w:eastAsia="Times New Roman" w:hAnsi="Arial" w:cs="Arial"/>
          <w:b/>
          <w:sz w:val="22"/>
          <w:szCs w:val="22"/>
        </w:rPr>
        <w:t xml:space="preserve">Estates Compliance: 95.23 </w:t>
      </w:r>
      <w:r w:rsidRPr="00B14AD3">
        <w:rPr>
          <w:rFonts w:ascii="Arial" w:eastAsia="Times New Roman" w:hAnsi="Arial" w:cs="Arial"/>
          <w:sz w:val="22"/>
          <w:szCs w:val="22"/>
        </w:rPr>
        <w:t>%</w:t>
      </w:r>
    </w:p>
    <w:p w:rsidR="00B14AD3" w:rsidRPr="00B14AD3" w:rsidRDefault="00B14AD3" w:rsidP="00B14AD3">
      <w:pPr>
        <w:shd w:val="clear" w:color="auto" w:fill="FFFFFF" w:themeFill="background1"/>
        <w:spacing w:after="0" w:line="240" w:lineRule="auto"/>
        <w:ind w:left="720"/>
        <w:rPr>
          <w:rFonts w:ascii="Arial" w:eastAsia="Times New Roman" w:hAnsi="Arial" w:cs="Arial"/>
          <w:sz w:val="22"/>
          <w:szCs w:val="22"/>
        </w:rPr>
      </w:pPr>
    </w:p>
    <w:p w:rsidR="00B14AD3" w:rsidRPr="00B14AD3" w:rsidRDefault="00B14AD3" w:rsidP="00B14AD3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709"/>
        <w:contextualSpacing/>
        <w:rPr>
          <w:rFonts w:ascii="Arial" w:eastAsia="Times New Roman" w:hAnsi="Arial" w:cs="Arial"/>
          <w:sz w:val="22"/>
          <w:szCs w:val="22"/>
        </w:rPr>
      </w:pPr>
      <w:r w:rsidRPr="00B14AD3">
        <w:rPr>
          <w:rFonts w:ascii="Arial" w:eastAsia="Times New Roman" w:hAnsi="Arial" w:cs="Arial"/>
          <w:b/>
          <w:sz w:val="22"/>
          <w:szCs w:val="22"/>
        </w:rPr>
        <w:t xml:space="preserve">Orthopaedic Surgical Site Surveillance- </w:t>
      </w:r>
      <w:r w:rsidRPr="00B14AD3">
        <w:rPr>
          <w:rFonts w:ascii="Arial" w:eastAsia="Times New Roman" w:hAnsi="Arial" w:cs="Arial"/>
          <w:sz w:val="22"/>
          <w:szCs w:val="22"/>
        </w:rPr>
        <w:t>No SSI to report in February. Remains within control limits.</w:t>
      </w:r>
    </w:p>
    <w:p w:rsidR="00B14AD3" w:rsidRPr="00B14AD3" w:rsidRDefault="00B14AD3" w:rsidP="00B14AD3">
      <w:pPr>
        <w:shd w:val="clear" w:color="auto" w:fill="FFFFFF" w:themeFill="background1"/>
        <w:spacing w:after="0" w:line="240" w:lineRule="auto"/>
        <w:ind w:left="720"/>
        <w:textAlignment w:val="baseline"/>
        <w:rPr>
          <w:rFonts w:ascii="Arial" w:eastAsia="Times New Roman" w:hAnsi="Arial" w:cs="Arial"/>
          <w:sz w:val="22"/>
          <w:szCs w:val="22"/>
        </w:rPr>
      </w:pPr>
    </w:p>
    <w:p w:rsidR="00B14AD3" w:rsidRPr="00B14AD3" w:rsidRDefault="00B14AD3" w:rsidP="00B14AD3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709"/>
        <w:contextualSpacing/>
        <w:rPr>
          <w:rFonts w:ascii="Arial" w:eastAsia="Times New Roman" w:hAnsi="Arial" w:cs="Arial"/>
          <w:sz w:val="22"/>
          <w:szCs w:val="22"/>
        </w:rPr>
      </w:pPr>
      <w:r w:rsidRPr="00B14AD3">
        <w:rPr>
          <w:rFonts w:ascii="Arial" w:eastAsia="Times New Roman" w:hAnsi="Arial" w:cs="Arial"/>
          <w:b/>
          <w:sz w:val="22"/>
          <w:szCs w:val="22"/>
        </w:rPr>
        <w:t>Cardiac Surgical Site Surveillance</w:t>
      </w:r>
      <w:r w:rsidRPr="00B14AD3">
        <w:rPr>
          <w:rFonts w:ascii="Arial" w:eastAsia="Times New Roman" w:hAnsi="Arial" w:cs="Arial"/>
          <w:sz w:val="22"/>
          <w:szCs w:val="22"/>
        </w:rPr>
        <w:t>- No SSI to report in February. Remains within control limits.</w:t>
      </w:r>
    </w:p>
    <w:p w:rsidR="00B14AD3" w:rsidRPr="00B14AD3" w:rsidRDefault="00B14AD3" w:rsidP="00B14AD3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2"/>
          <w:szCs w:val="22"/>
        </w:rPr>
      </w:pPr>
    </w:p>
    <w:p w:rsidR="00B14AD3" w:rsidRPr="00B14AD3" w:rsidRDefault="00B14AD3" w:rsidP="00B14AD3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709"/>
        <w:contextualSpacing/>
        <w:rPr>
          <w:rFonts w:ascii="Arial" w:eastAsia="Times New Roman" w:hAnsi="Arial" w:cs="Arial"/>
          <w:b/>
          <w:sz w:val="22"/>
          <w:szCs w:val="22"/>
        </w:rPr>
      </w:pPr>
      <w:r w:rsidRPr="00B14AD3">
        <w:rPr>
          <w:rFonts w:ascii="Arial" w:eastAsia="Times New Roman" w:hAnsi="Arial" w:cs="Arial"/>
          <w:b/>
          <w:sz w:val="22"/>
          <w:szCs w:val="22"/>
        </w:rPr>
        <w:t>Other HAI Activity Overview</w:t>
      </w:r>
    </w:p>
    <w:p w:rsidR="00B14AD3" w:rsidRPr="00B14AD3" w:rsidRDefault="00B14AD3" w:rsidP="00B14AD3">
      <w:pPr>
        <w:shd w:val="clear" w:color="auto" w:fill="FFFFFF" w:themeFill="background1"/>
        <w:spacing w:after="0" w:line="240" w:lineRule="auto"/>
        <w:ind w:left="709"/>
        <w:rPr>
          <w:rFonts w:ascii="Arial" w:eastAsia="Times New Roman" w:hAnsi="Arial" w:cs="Arial"/>
          <w:sz w:val="22"/>
          <w:szCs w:val="20"/>
        </w:rPr>
      </w:pPr>
    </w:p>
    <w:p w:rsidR="00B14AD3" w:rsidRPr="00B14AD3" w:rsidRDefault="00B14AD3" w:rsidP="00B14AD3">
      <w:pPr>
        <w:shd w:val="clear" w:color="auto" w:fill="FFFFFF" w:themeFill="background1"/>
        <w:spacing w:after="0" w:line="240" w:lineRule="auto"/>
        <w:ind w:left="709"/>
        <w:rPr>
          <w:rFonts w:ascii="Arial" w:eastAsia="Times New Roman" w:hAnsi="Arial" w:cs="Arial"/>
          <w:b/>
          <w:sz w:val="22"/>
          <w:szCs w:val="20"/>
        </w:rPr>
      </w:pPr>
      <w:r w:rsidRPr="00B14AD3">
        <w:rPr>
          <w:rFonts w:ascii="Arial" w:eastAsia="Times New Roman" w:hAnsi="Arial" w:cs="Arial"/>
          <w:b/>
          <w:sz w:val="22"/>
          <w:szCs w:val="20"/>
        </w:rPr>
        <w:t xml:space="preserve">Transfer of key HAI data to </w:t>
      </w:r>
      <w:r w:rsidR="00BA4682" w:rsidRPr="00B14AD3">
        <w:rPr>
          <w:rFonts w:ascii="Arial" w:eastAsia="Times New Roman" w:hAnsi="Arial" w:cs="Arial"/>
          <w:b/>
          <w:sz w:val="22"/>
          <w:szCs w:val="20"/>
        </w:rPr>
        <w:t>SharePoint</w:t>
      </w:r>
      <w:r w:rsidRPr="00B14AD3">
        <w:rPr>
          <w:rFonts w:ascii="Arial" w:eastAsia="Times New Roman" w:hAnsi="Arial" w:cs="Arial"/>
          <w:b/>
          <w:sz w:val="22"/>
          <w:szCs w:val="20"/>
        </w:rPr>
        <w:t xml:space="preserve"> </w:t>
      </w:r>
    </w:p>
    <w:p w:rsidR="00B14AD3" w:rsidRPr="00B14AD3" w:rsidRDefault="00B14AD3" w:rsidP="00B14AD3">
      <w:pPr>
        <w:shd w:val="clear" w:color="auto" w:fill="FFFFFF" w:themeFill="background1"/>
        <w:spacing w:after="0" w:line="240" w:lineRule="auto"/>
        <w:ind w:left="709"/>
        <w:rPr>
          <w:rFonts w:ascii="Arial" w:eastAsia="Times New Roman" w:hAnsi="Arial" w:cs="Arial"/>
          <w:sz w:val="22"/>
          <w:szCs w:val="20"/>
        </w:rPr>
      </w:pPr>
      <w:r w:rsidRPr="00B14AD3">
        <w:rPr>
          <w:rFonts w:ascii="Arial" w:eastAsia="Times New Roman" w:hAnsi="Arial" w:cs="Arial"/>
          <w:sz w:val="22"/>
          <w:szCs w:val="20"/>
        </w:rPr>
        <w:t xml:space="preserve">PCIT have been working with Clinical Governance to build and transfer key HAI data to </w:t>
      </w:r>
      <w:r w:rsidR="00BA4682" w:rsidRPr="00B14AD3">
        <w:rPr>
          <w:rFonts w:ascii="Arial" w:eastAsia="Times New Roman" w:hAnsi="Arial" w:cs="Arial"/>
          <w:sz w:val="22"/>
          <w:szCs w:val="20"/>
        </w:rPr>
        <w:t>SharePoint</w:t>
      </w:r>
      <w:r w:rsidRPr="00B14AD3">
        <w:rPr>
          <w:rFonts w:ascii="Arial" w:eastAsia="Times New Roman" w:hAnsi="Arial" w:cs="Arial"/>
          <w:sz w:val="22"/>
          <w:szCs w:val="20"/>
        </w:rPr>
        <w:t>. Aligning HAI data location with SPSP data, will facilitate ease of access, data entry and review of HAI data for clinical colleagues.</w:t>
      </w:r>
    </w:p>
    <w:p w:rsidR="00B14AD3" w:rsidRPr="00B14AD3" w:rsidRDefault="00B14AD3" w:rsidP="00B14AD3">
      <w:pPr>
        <w:shd w:val="clear" w:color="auto" w:fill="FFFFFF" w:themeFill="background1"/>
        <w:spacing w:after="0" w:line="240" w:lineRule="auto"/>
        <w:ind w:left="709"/>
        <w:rPr>
          <w:rFonts w:ascii="Arial" w:eastAsia="Times New Roman" w:hAnsi="Arial" w:cs="Arial"/>
          <w:sz w:val="22"/>
          <w:szCs w:val="20"/>
        </w:rPr>
      </w:pPr>
    </w:p>
    <w:p w:rsidR="00B14AD3" w:rsidRPr="00B14AD3" w:rsidRDefault="00B14AD3" w:rsidP="00B14AD3">
      <w:pPr>
        <w:shd w:val="clear" w:color="auto" w:fill="FFFFFF" w:themeFill="background1"/>
        <w:spacing w:after="0" w:line="240" w:lineRule="auto"/>
        <w:ind w:left="709"/>
        <w:rPr>
          <w:rFonts w:ascii="Arial" w:eastAsia="Times New Roman" w:hAnsi="Arial" w:cs="Arial"/>
          <w:sz w:val="22"/>
          <w:szCs w:val="20"/>
        </w:rPr>
      </w:pPr>
      <w:r w:rsidRPr="00B14AD3">
        <w:rPr>
          <w:rFonts w:ascii="Arial" w:eastAsia="Times New Roman" w:hAnsi="Arial" w:cs="Arial"/>
          <w:sz w:val="22"/>
          <w:szCs w:val="20"/>
        </w:rPr>
        <w:t>This key data includes-</w:t>
      </w:r>
    </w:p>
    <w:p w:rsidR="00B14AD3" w:rsidRPr="00B14AD3" w:rsidRDefault="00B14AD3" w:rsidP="00B14AD3">
      <w:pPr>
        <w:numPr>
          <w:ilvl w:val="0"/>
          <w:numId w:val="22"/>
        </w:numPr>
        <w:shd w:val="clear" w:color="auto" w:fill="FFFFFF" w:themeFill="background1"/>
        <w:spacing w:after="0" w:line="240" w:lineRule="auto"/>
        <w:contextualSpacing/>
        <w:rPr>
          <w:rFonts w:ascii="Arial" w:eastAsia="Times New Roman" w:hAnsi="Arial" w:cs="Arial"/>
          <w:sz w:val="22"/>
          <w:szCs w:val="20"/>
        </w:rPr>
      </w:pPr>
      <w:r w:rsidRPr="00B14AD3">
        <w:rPr>
          <w:rFonts w:ascii="Arial" w:eastAsia="Times New Roman" w:hAnsi="Arial" w:cs="Arial"/>
          <w:sz w:val="22"/>
          <w:szCs w:val="20"/>
        </w:rPr>
        <w:t>Standard Infection Control Precautions (SICPs) compliance data entry and outcome data allowing both individual and service overview</w:t>
      </w:r>
    </w:p>
    <w:p w:rsidR="00B14AD3" w:rsidRPr="00B14AD3" w:rsidRDefault="00B14AD3" w:rsidP="00B14AD3">
      <w:pPr>
        <w:numPr>
          <w:ilvl w:val="0"/>
          <w:numId w:val="22"/>
        </w:numPr>
        <w:shd w:val="clear" w:color="auto" w:fill="FFFFFF" w:themeFill="background1"/>
        <w:spacing w:after="0" w:line="240" w:lineRule="auto"/>
        <w:contextualSpacing/>
        <w:rPr>
          <w:rFonts w:ascii="Arial" w:eastAsia="Times New Roman" w:hAnsi="Arial" w:cs="Arial"/>
          <w:sz w:val="22"/>
          <w:szCs w:val="20"/>
        </w:rPr>
      </w:pPr>
      <w:r w:rsidRPr="00B14AD3">
        <w:rPr>
          <w:rFonts w:ascii="Arial" w:eastAsia="Times New Roman" w:hAnsi="Arial" w:cs="Arial"/>
          <w:sz w:val="22"/>
          <w:szCs w:val="20"/>
        </w:rPr>
        <w:t>Alert organism data by clinical area</w:t>
      </w:r>
    </w:p>
    <w:p w:rsidR="00B14AD3" w:rsidRPr="00B14AD3" w:rsidRDefault="00B14AD3" w:rsidP="00B14AD3">
      <w:pPr>
        <w:numPr>
          <w:ilvl w:val="0"/>
          <w:numId w:val="22"/>
        </w:numPr>
        <w:shd w:val="clear" w:color="auto" w:fill="FFFFFF" w:themeFill="background1"/>
        <w:spacing w:after="0" w:line="240" w:lineRule="auto"/>
        <w:contextualSpacing/>
        <w:rPr>
          <w:rFonts w:ascii="Arial" w:eastAsia="Times New Roman" w:hAnsi="Arial" w:cs="Arial"/>
          <w:sz w:val="22"/>
          <w:szCs w:val="20"/>
        </w:rPr>
      </w:pPr>
      <w:r w:rsidRPr="00B14AD3">
        <w:rPr>
          <w:rFonts w:ascii="Arial" w:eastAsia="Times New Roman" w:hAnsi="Arial" w:cs="Arial"/>
          <w:sz w:val="22"/>
          <w:szCs w:val="20"/>
        </w:rPr>
        <w:t>Prevention and Control of Infection Annual Review data by clinical area and service.</w:t>
      </w:r>
    </w:p>
    <w:p w:rsidR="00B14AD3" w:rsidRPr="00B14AD3" w:rsidRDefault="00B14AD3" w:rsidP="00B14AD3">
      <w:pPr>
        <w:shd w:val="clear" w:color="auto" w:fill="FFFFFF" w:themeFill="background1"/>
        <w:spacing w:before="100" w:beforeAutospacing="1" w:after="100" w:afterAutospacing="1" w:line="276" w:lineRule="auto"/>
        <w:ind w:left="284" w:firstLine="360"/>
        <w:contextualSpacing/>
        <w:rPr>
          <w:rFonts w:ascii="Arial" w:eastAsia="Times New Roman" w:hAnsi="Arial" w:cs="Arial"/>
          <w:sz w:val="24"/>
          <w:szCs w:val="20"/>
        </w:rPr>
      </w:pPr>
      <w:r w:rsidRPr="00B14AD3">
        <w:rPr>
          <w:rFonts w:ascii="Arial" w:eastAsia="Times New Roman" w:hAnsi="Arial" w:cs="Arial"/>
          <w:sz w:val="24"/>
          <w:szCs w:val="20"/>
        </w:rPr>
        <w:t>Site transfer planned March.</w:t>
      </w:r>
    </w:p>
    <w:p w:rsidR="001D7C8B" w:rsidRDefault="001D7C8B" w:rsidP="0017217C">
      <w:pPr>
        <w:rPr>
          <w:rFonts w:ascii="Arial" w:hAnsi="Arial" w:cs="Arial"/>
          <w:b/>
          <w:bCs/>
          <w:sz w:val="24"/>
        </w:rPr>
      </w:pPr>
    </w:p>
    <w:p w:rsidR="001D7C8B" w:rsidRDefault="001D7C8B" w:rsidP="0017217C">
      <w:pPr>
        <w:rPr>
          <w:rFonts w:ascii="Arial" w:hAnsi="Arial" w:cs="Arial"/>
          <w:b/>
          <w:bCs/>
          <w:sz w:val="24"/>
        </w:rPr>
      </w:pPr>
    </w:p>
    <w:p w:rsidR="001D7C8B" w:rsidRDefault="001D7C8B" w:rsidP="0017217C">
      <w:pPr>
        <w:rPr>
          <w:rFonts w:ascii="Arial" w:hAnsi="Arial" w:cs="Arial"/>
          <w:b/>
          <w:bCs/>
          <w:sz w:val="24"/>
        </w:rPr>
      </w:pPr>
    </w:p>
    <w:p w:rsidR="001D7C8B" w:rsidRPr="0017217C" w:rsidRDefault="001D7C8B" w:rsidP="0017217C">
      <w:pPr>
        <w:rPr>
          <w:rFonts w:ascii="Arial" w:hAnsi="Arial" w:cs="Arial"/>
          <w:b/>
          <w:bCs/>
          <w:sz w:val="24"/>
        </w:rPr>
      </w:pPr>
    </w:p>
    <w:p w:rsidR="00631C60" w:rsidRDefault="00631C60" w:rsidP="004C2305">
      <w:pPr>
        <w:tabs>
          <w:tab w:val="left" w:pos="1418"/>
        </w:tabs>
        <w:spacing w:after="120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3F13BA" w:rsidRDefault="003F13BA" w:rsidP="004C2305">
      <w:pPr>
        <w:tabs>
          <w:tab w:val="left" w:pos="1418"/>
        </w:tabs>
        <w:spacing w:after="120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3F13BA" w:rsidRDefault="003F13BA" w:rsidP="004C2305">
      <w:pPr>
        <w:tabs>
          <w:tab w:val="left" w:pos="1418"/>
        </w:tabs>
        <w:spacing w:after="120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3F13BA" w:rsidRDefault="003F13BA" w:rsidP="004C2305">
      <w:pPr>
        <w:tabs>
          <w:tab w:val="left" w:pos="1418"/>
        </w:tabs>
        <w:spacing w:after="120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025608" w:rsidRPr="0000531E" w:rsidRDefault="00D50B57" w:rsidP="00025608">
      <w:pPr>
        <w:pStyle w:val="Heading1"/>
        <w:rPr>
          <w:rFonts w:ascii="Arial" w:hAnsi="Arial" w:cs="Arial"/>
        </w:rPr>
      </w:pPr>
      <w:r w:rsidRPr="0000531E">
        <w:rPr>
          <w:rFonts w:ascii="Arial" w:hAnsi="Arial" w:cs="Arial"/>
        </w:rPr>
        <w:lastRenderedPageBreak/>
        <w:t>S</w:t>
      </w:r>
      <w:r w:rsidR="00CD32CE" w:rsidRPr="0000531E">
        <w:rPr>
          <w:rFonts w:ascii="Arial" w:hAnsi="Arial" w:cs="Arial"/>
        </w:rPr>
        <w:t xml:space="preserve">ection B: </w:t>
      </w:r>
      <w:r w:rsidR="00025608" w:rsidRPr="0000531E">
        <w:rPr>
          <w:rFonts w:ascii="Arial" w:hAnsi="Arial" w:cs="Arial"/>
        </w:rPr>
        <w:t>2 Staff Governance</w:t>
      </w:r>
    </w:p>
    <w:p w:rsidR="002523F6" w:rsidRDefault="002523F6" w:rsidP="008E5202">
      <w:pPr>
        <w:rPr>
          <w:rFonts w:ascii="Arial" w:hAnsi="Arial" w:cs="Arial"/>
        </w:rPr>
      </w:pPr>
    </w:p>
    <w:tbl>
      <w:tblPr>
        <w:tblStyle w:val="TableGrid17"/>
        <w:tblW w:w="9286" w:type="dxa"/>
        <w:tblLayout w:type="fixed"/>
        <w:tblLook w:val="04A0" w:firstRow="1" w:lastRow="0" w:firstColumn="1" w:lastColumn="0" w:noHBand="0" w:noVBand="1"/>
      </w:tblPr>
      <w:tblGrid>
        <w:gridCol w:w="2802"/>
        <w:gridCol w:w="567"/>
        <w:gridCol w:w="5917"/>
      </w:tblGrid>
      <w:tr w:rsidR="00B14AD3" w:rsidRPr="00B14AD3" w:rsidTr="001028D9">
        <w:trPr>
          <w:trHeight w:val="321"/>
        </w:trPr>
        <w:tc>
          <w:tcPr>
            <w:tcW w:w="9286" w:type="dxa"/>
            <w:gridSpan w:val="3"/>
            <w:shd w:val="clear" w:color="auto" w:fill="B2A1C7" w:themeFill="accent4" w:themeFillTint="99"/>
          </w:tcPr>
          <w:p w:rsidR="00B14AD3" w:rsidRPr="00B14AD3" w:rsidRDefault="00B14AD3" w:rsidP="00B14AD3">
            <w:pPr>
              <w:tabs>
                <w:tab w:val="left" w:pos="690"/>
              </w:tabs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14AD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Staff Governance</w:t>
            </w:r>
          </w:p>
        </w:tc>
      </w:tr>
      <w:tr w:rsidR="00B14AD3" w:rsidRPr="00B14AD3" w:rsidTr="001028D9">
        <w:trPr>
          <w:trHeight w:val="303"/>
        </w:trPr>
        <w:tc>
          <w:tcPr>
            <w:tcW w:w="2802" w:type="dxa"/>
            <w:shd w:val="clear" w:color="auto" w:fill="auto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Disciplinaries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highlight w:val="yellow"/>
                <w:lang w:eastAsia="en-US"/>
              </w:rPr>
            </w:pPr>
          </w:p>
        </w:tc>
        <w:tc>
          <w:tcPr>
            <w:tcW w:w="5917" w:type="dxa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There were zero disciplinary cases raised in February 2024.</w:t>
            </w:r>
          </w:p>
        </w:tc>
      </w:tr>
      <w:tr w:rsidR="00B14AD3" w:rsidRPr="00B14AD3" w:rsidTr="001028D9">
        <w:trPr>
          <w:trHeight w:val="341"/>
        </w:trPr>
        <w:tc>
          <w:tcPr>
            <w:tcW w:w="2802" w:type="dxa"/>
            <w:shd w:val="clear" w:color="auto" w:fill="auto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Grievances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highlight w:val="yellow"/>
                <w:lang w:eastAsia="en-US"/>
              </w:rPr>
            </w:pPr>
          </w:p>
        </w:tc>
        <w:tc>
          <w:tcPr>
            <w:tcW w:w="5917" w:type="dxa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There were zero grievance cases raised in February 2024.</w:t>
            </w:r>
          </w:p>
        </w:tc>
      </w:tr>
      <w:tr w:rsidR="00B14AD3" w:rsidRPr="00B14AD3" w:rsidTr="001028D9">
        <w:trPr>
          <w:trHeight w:val="341"/>
        </w:trPr>
        <w:tc>
          <w:tcPr>
            <w:tcW w:w="2802" w:type="dxa"/>
            <w:shd w:val="clear" w:color="auto" w:fill="auto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Dignity of work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highlight w:val="yellow"/>
                <w:lang w:eastAsia="en-US"/>
              </w:rPr>
            </w:pPr>
          </w:p>
        </w:tc>
        <w:tc>
          <w:tcPr>
            <w:tcW w:w="5917" w:type="dxa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There were zero dignity cases raised in February 2024.</w:t>
            </w:r>
          </w:p>
        </w:tc>
      </w:tr>
      <w:tr w:rsidR="00B14AD3" w:rsidRPr="00B14AD3" w:rsidTr="001028D9">
        <w:trPr>
          <w:trHeight w:val="651"/>
        </w:trPr>
        <w:tc>
          <w:tcPr>
            <w:tcW w:w="2802" w:type="dxa"/>
            <w:shd w:val="clear" w:color="auto" w:fill="FFFFFF" w:themeFill="background1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Local Sickness absence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highlight w:val="yellow"/>
                <w:lang w:eastAsia="en-US"/>
              </w:rPr>
            </w:pPr>
          </w:p>
        </w:tc>
        <w:tc>
          <w:tcPr>
            <w:tcW w:w="5917" w:type="dxa"/>
            <w:shd w:val="clear" w:color="auto" w:fill="FFFFFF" w:themeFill="background1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Sickness absence in February 2024 was reported at 6.3%. This is within control limits.</w:t>
            </w:r>
          </w:p>
        </w:tc>
      </w:tr>
      <w:tr w:rsidR="00B14AD3" w:rsidRPr="00B14AD3" w:rsidTr="001028D9">
        <w:trPr>
          <w:trHeight w:val="499"/>
        </w:trPr>
        <w:tc>
          <w:tcPr>
            <w:tcW w:w="2802" w:type="dxa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Turnover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917" w:type="dxa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Turnover in February was reported as within control limits at 0.3%.</w:t>
            </w:r>
          </w:p>
        </w:tc>
      </w:tr>
      <w:tr w:rsidR="00B14AD3" w:rsidRPr="00B14AD3" w:rsidTr="001028D9">
        <w:trPr>
          <w:trHeight w:val="707"/>
        </w:trPr>
        <w:tc>
          <w:tcPr>
            <w:tcW w:w="2802" w:type="dxa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Medical appraisal with completed interview &amp; form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  <w:tc>
          <w:tcPr>
            <w:tcW w:w="5917" w:type="dxa"/>
          </w:tcPr>
          <w:p w:rsidR="00B14AD3" w:rsidRPr="00B14AD3" w:rsidRDefault="00B14AD3" w:rsidP="00B14AD3">
            <w:pPr>
              <w:ind w:right="2"/>
              <w:textAlignment w:val="baseline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4"/>
                <w:lang w:val="en-US" w:eastAsia="en-US"/>
              </w:rPr>
              <w:t>The appraisal year for medical staff runs from 1 April to 31 March. To date, 84 doctors out of 168 had completed their 2023/2024 appraisal, and one had an ARCP.</w:t>
            </w:r>
          </w:p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</w:p>
        </w:tc>
      </w:tr>
      <w:tr w:rsidR="00B14AD3" w:rsidRPr="00B14AD3" w:rsidTr="001028D9">
        <w:trPr>
          <w:trHeight w:val="613"/>
        </w:trPr>
        <w:tc>
          <w:tcPr>
            <w:tcW w:w="2802" w:type="dxa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TURAS Appraisal rates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B14AD3" w:rsidRPr="00B14AD3" w:rsidRDefault="00B14AD3" w:rsidP="00B14AD3">
            <w:pPr>
              <w:rPr>
                <w:rFonts w:ascii="Arial" w:hAnsi="Arial" w:cs="Arial"/>
                <w:color w:val="FF0000"/>
                <w:sz w:val="24"/>
                <w:szCs w:val="23"/>
                <w:lang w:eastAsia="en-US"/>
              </w:rPr>
            </w:pPr>
          </w:p>
        </w:tc>
        <w:tc>
          <w:tcPr>
            <w:tcW w:w="5917" w:type="dxa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Position for February 2024 reported as 60%.</w:t>
            </w:r>
          </w:p>
        </w:tc>
      </w:tr>
      <w:tr w:rsidR="00B14AD3" w:rsidRPr="00B14AD3" w:rsidTr="001028D9">
        <w:trPr>
          <w:trHeight w:val="616"/>
        </w:trPr>
        <w:tc>
          <w:tcPr>
            <w:tcW w:w="2802" w:type="dxa"/>
          </w:tcPr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3"/>
                <w:lang w:eastAsia="en-US"/>
              </w:rPr>
            </w:pPr>
            <w:r w:rsidRPr="00B14AD3">
              <w:rPr>
                <w:rFonts w:ascii="Arial" w:hAnsi="Arial" w:cs="Arial"/>
                <w:sz w:val="24"/>
                <w:szCs w:val="23"/>
                <w:lang w:eastAsia="en-US"/>
              </w:rPr>
              <w:t>Job Planning: All hospital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B14AD3" w:rsidRPr="00B14AD3" w:rsidRDefault="00B14AD3" w:rsidP="00B14AD3">
            <w:pPr>
              <w:rPr>
                <w:rFonts w:ascii="Arial" w:hAnsi="Arial" w:cs="Arial"/>
                <w:color w:val="FF0000"/>
                <w:sz w:val="24"/>
                <w:szCs w:val="23"/>
                <w:lang w:eastAsia="en-US"/>
              </w:rPr>
            </w:pPr>
          </w:p>
        </w:tc>
        <w:tc>
          <w:tcPr>
            <w:tcW w:w="5917" w:type="dxa"/>
          </w:tcPr>
          <w:p w:rsidR="00B14AD3" w:rsidRPr="00B14AD3" w:rsidRDefault="00B14AD3" w:rsidP="00B14AD3">
            <w:pPr>
              <w:rPr>
                <w:rFonts w:ascii="Arial" w:eastAsia="PMingLiU" w:hAnsi="Arial" w:cs="Arial"/>
                <w:sz w:val="24"/>
                <w:szCs w:val="24"/>
                <w:lang w:val="en-US" w:eastAsia="en-US"/>
              </w:rPr>
            </w:pPr>
            <w:r w:rsidRPr="00B14AD3">
              <w:rPr>
                <w:rFonts w:ascii="Arial" w:eastAsia="PMingLiU" w:hAnsi="Arial" w:cs="Arial"/>
                <w:sz w:val="24"/>
                <w:szCs w:val="24"/>
                <w:lang w:val="en-US" w:eastAsia="en-US"/>
              </w:rPr>
              <w:t xml:space="preserve">The year end position for job planning for 2023/24 is now complete. </w:t>
            </w:r>
          </w:p>
          <w:p w:rsidR="00B14AD3" w:rsidRPr="00B14AD3" w:rsidRDefault="00B14AD3" w:rsidP="00B14AD3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14AD3">
              <w:rPr>
                <w:rFonts w:ascii="Arial" w:eastAsia="PMingLiU" w:hAnsi="Arial" w:cs="Arial"/>
                <w:sz w:val="24"/>
                <w:szCs w:val="24"/>
                <w:lang w:val="en-US" w:eastAsia="en-US"/>
              </w:rPr>
              <w:t xml:space="preserve">The 2024/25 round of job planning is underway, </w:t>
            </w:r>
            <w:r w:rsidRPr="00B14AD3">
              <w:rPr>
                <w:rFonts w:ascii="Arial" w:hAnsi="Arial" w:cs="Calibri"/>
                <w:sz w:val="24"/>
                <w:szCs w:val="24"/>
                <w:lang w:eastAsia="en-US"/>
              </w:rPr>
              <w:t>45 of the 131 job plans for 2024/2025 are sitting in discussion</w:t>
            </w:r>
            <w:r w:rsidRPr="00B14AD3">
              <w:rPr>
                <w:rFonts w:ascii="Arial" w:hAnsi="Arial" w:cs="Arial"/>
                <w:sz w:val="24"/>
                <w:szCs w:val="24"/>
                <w:lang w:eastAsia="en-US"/>
              </w:rPr>
              <w:t xml:space="preserve">; 30 were awaiting the clinician’s sign off; 10 were awaiting first manager sign off; 17 were awaiting second manager sign off; </w:t>
            </w:r>
            <w:r w:rsidRPr="00B14AD3">
              <w:rPr>
                <w:rFonts w:ascii="Arial" w:hAnsi="Arial" w:cs="Calibri"/>
                <w:sz w:val="24"/>
                <w:lang w:eastAsia="en-US"/>
              </w:rPr>
              <w:t>2 were awaiting third manager sign off, and 27 had been signed off.</w:t>
            </w:r>
          </w:p>
        </w:tc>
      </w:tr>
    </w:tbl>
    <w:p w:rsidR="00B14AD3" w:rsidRPr="0000531E" w:rsidRDefault="00B14AD3" w:rsidP="008E5202">
      <w:pPr>
        <w:rPr>
          <w:rFonts w:ascii="Arial" w:hAnsi="Arial" w:cs="Arial"/>
        </w:rPr>
      </w:pPr>
    </w:p>
    <w:p w:rsidR="007F0372" w:rsidRPr="0000531E" w:rsidRDefault="007F0372" w:rsidP="00AA1592">
      <w:pPr>
        <w:rPr>
          <w:rFonts w:ascii="Arial" w:hAnsi="Arial" w:cs="Arial"/>
          <w:sz w:val="24"/>
        </w:rPr>
      </w:pPr>
    </w:p>
    <w:p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:rsidR="0000531E" w:rsidRDefault="0000531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:rsidR="00814C33" w:rsidRPr="0000531E" w:rsidRDefault="00814C33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:rsidR="00A16F0F" w:rsidRPr="006B3746" w:rsidRDefault="00AE0C68" w:rsidP="006B3746">
      <w:pPr>
        <w:spacing w:after="180"/>
        <w:rPr>
          <w:rFonts w:ascii="Arial" w:hAnsi="Arial" w:cs="Arial"/>
          <w:b/>
          <w:sz w:val="32"/>
          <w:szCs w:val="28"/>
        </w:rPr>
      </w:pPr>
      <w:r w:rsidRPr="0000531E">
        <w:rPr>
          <w:rFonts w:ascii="Arial" w:hAnsi="Arial" w:cs="Arial"/>
          <w:b/>
          <w:sz w:val="32"/>
          <w:szCs w:val="28"/>
        </w:rPr>
        <w:t>Staff Governance Executive Summary</w:t>
      </w:r>
    </w:p>
    <w:p w:rsidR="00A16F0F" w:rsidRDefault="00A16F0F" w:rsidP="002523F6">
      <w:pPr>
        <w:ind w:right="2"/>
        <w:textAlignment w:val="baseline"/>
        <w:rPr>
          <w:rFonts w:ascii="Arial" w:eastAsia="PMingLiU" w:hAnsi="Arial" w:cs="Arial"/>
          <w:sz w:val="22"/>
          <w:szCs w:val="22"/>
          <w:lang w:val="en-US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Calibri" w:eastAsia="Times New Roman" w:hAnsi="Calibri" w:cs="Calibri"/>
          <w:b/>
          <w:bCs/>
          <w:sz w:val="22"/>
          <w:szCs w:val="22"/>
        </w:rPr>
      </w:pPr>
      <w:r w:rsidRPr="00B14AD3">
        <w:rPr>
          <w:rFonts w:ascii="Arial" w:eastAsia="Times New Roman" w:hAnsi="Arial" w:cs="Calibri"/>
          <w:b/>
          <w:bCs/>
          <w:sz w:val="22"/>
          <w:szCs w:val="22"/>
        </w:rPr>
        <w:t>Sickness absence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  <w:lang w:val="en-US"/>
        </w:rPr>
      </w:pPr>
      <w:r w:rsidRPr="00B14AD3">
        <w:rPr>
          <w:rFonts w:ascii="Arial" w:eastAsia="Times New Roman" w:hAnsi="Arial" w:cs="Calibri"/>
          <w:sz w:val="22"/>
          <w:szCs w:val="22"/>
        </w:rPr>
        <w:t>In February 2024, NHS Golden Jubilee’s sickness absence rate is unchanged from the January position remaining at 6.3%. Across the Directorates, sickness absence was as follows: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Corporate: 5.1% (+0.1% on January);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  <w:lang w:val="en-US"/>
        </w:rPr>
      </w:pPr>
      <w:r w:rsidRPr="00B14AD3">
        <w:rPr>
          <w:rFonts w:ascii="Arial" w:eastAsia="Times New Roman" w:hAnsi="Arial" w:cs="Calibri"/>
          <w:sz w:val="22"/>
          <w:szCs w:val="22"/>
        </w:rPr>
        <w:t>Golden Jubilee Conference Hotel: 3.9% (-2.0%);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Heart, Lung and Diagnostic Services: 6.4% (-0.6%); and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4"/>
          <w:szCs w:val="20"/>
        </w:rPr>
      </w:pPr>
      <w:r w:rsidRPr="00B14AD3">
        <w:rPr>
          <w:rFonts w:ascii="Arial" w:eastAsia="Times New Roman" w:hAnsi="Arial" w:cs="Calibri"/>
          <w:sz w:val="22"/>
          <w:szCs w:val="22"/>
        </w:rPr>
        <w:t>National Elective Services: 7.3% (+0.6%).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Arial"/>
          <w:color w:val="FF0000"/>
          <w:sz w:val="22"/>
          <w:szCs w:val="20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Arial"/>
          <w:sz w:val="22"/>
          <w:szCs w:val="20"/>
        </w:rPr>
      </w:pPr>
      <w:r w:rsidRPr="00B14AD3">
        <w:rPr>
          <w:rFonts w:ascii="Arial" w:eastAsia="Times New Roman" w:hAnsi="Arial" w:cs="Arial"/>
          <w:noProof/>
          <w:sz w:val="22"/>
          <w:szCs w:val="20"/>
          <w:lang w:eastAsia="en-GB"/>
        </w:rPr>
        <w:drawing>
          <wp:inline distT="0" distB="0" distL="0" distR="0" wp14:anchorId="1B746FE0" wp14:editId="5CF4A39D">
            <wp:extent cx="5686926" cy="236601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35" cy="237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Arial"/>
          <w:sz w:val="22"/>
          <w:szCs w:val="20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Arial"/>
          <w:sz w:val="22"/>
          <w:szCs w:val="20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The rolling 12-month sickness absence rate for the Board was 5.5%. The 12-month breakdown for the Directorates was: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Corporate: 4.5%;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  <w:lang w:val="en-US"/>
        </w:rPr>
      </w:pPr>
      <w:r w:rsidRPr="00B14AD3">
        <w:rPr>
          <w:rFonts w:ascii="Arial" w:eastAsia="Times New Roman" w:hAnsi="Arial" w:cs="Calibri"/>
          <w:sz w:val="22"/>
          <w:szCs w:val="22"/>
        </w:rPr>
        <w:t>Golden Jubilee Conference Hotel: 3.2%;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Heart, Lung and Diagnostic Services: 6.0%; and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National Elective Services: 6.0%.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  <w:lang w:val="en-US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 xml:space="preserve">“Anxiety/stress/ depression/other psychiatric illnesses” was the highest cause of sickness absence in February, accounting for 22.8% of all sickness absence, 1.4% lower than January’s figure of 21.4%. It accounted for 1.4% of contracted hours.  It was the main cause of absence in three Directorates: 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  <w:lang w:val="en-US"/>
        </w:rPr>
      </w:pPr>
      <w:r w:rsidRPr="00B14AD3">
        <w:rPr>
          <w:rFonts w:ascii="Arial" w:eastAsia="Times New Roman" w:hAnsi="Arial" w:cs="Calibri"/>
          <w:sz w:val="22"/>
          <w:szCs w:val="22"/>
        </w:rPr>
        <w:t>Corporate: 24.9% of sickness absence, and 1.3% of contracted hours;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Golden Jubilee Conference Hotel: 31.7% and 1.2%;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Heart, Lung and Diagnostic Services: 29.2% and 1.3%; and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National Elective Services: 15.8% and 1.2%.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“Cold, cough, flu - influenza” was the second top cause of sickness absence overall in February, accounting for 13.3% of sickness absence hours.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b/>
          <w:bCs/>
          <w:sz w:val="22"/>
          <w:szCs w:val="22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b/>
          <w:bCs/>
          <w:sz w:val="22"/>
          <w:szCs w:val="22"/>
        </w:rPr>
      </w:pPr>
      <w:r w:rsidRPr="00B14AD3">
        <w:rPr>
          <w:rFonts w:ascii="Arial" w:eastAsia="Times New Roman" w:hAnsi="Arial" w:cs="Calibri"/>
          <w:b/>
          <w:bCs/>
          <w:sz w:val="22"/>
          <w:szCs w:val="22"/>
        </w:rPr>
        <w:t>Turnover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bCs/>
          <w:sz w:val="22"/>
          <w:szCs w:val="22"/>
        </w:rPr>
      </w:pPr>
      <w:r w:rsidRPr="00B14AD3">
        <w:rPr>
          <w:rFonts w:ascii="Arial" w:eastAsia="Times New Roman" w:hAnsi="Arial" w:cs="Calibri"/>
          <w:bCs/>
          <w:sz w:val="22"/>
          <w:szCs w:val="22"/>
        </w:rPr>
        <w:lastRenderedPageBreak/>
        <w:t>In February, turnover for NHS Golden Jubilee decreased to 0.3%, down from 0.7% in January.  This was due to seven people leaving employment.  The Directorate breakdown was as follows: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Corporate: 0.3% (-0.4% on January);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  <w:lang w:val="en-US"/>
        </w:rPr>
      </w:pPr>
      <w:r w:rsidRPr="00B14AD3">
        <w:rPr>
          <w:rFonts w:ascii="Arial" w:eastAsia="Times New Roman" w:hAnsi="Arial" w:cs="Calibri"/>
          <w:sz w:val="22"/>
          <w:szCs w:val="22"/>
        </w:rPr>
        <w:t>Golden Jubilee Conference Hotel: 0.0% (+/-0.0%);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Heart, Lung and Diagnostic Services: 0.1% (-0.4%); and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National Elective Services: 0.5% (-0.4%).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  <w:lang w:val="en-US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The rolling 12-month turnover rate for the Board was 8.5%. The 12-month breakdown for the Directorates was: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Corporate: 8.4%;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  <w:lang w:val="en-US"/>
        </w:rPr>
      </w:pPr>
      <w:r w:rsidRPr="00B14AD3">
        <w:rPr>
          <w:rFonts w:ascii="Arial" w:eastAsia="Times New Roman" w:hAnsi="Arial" w:cs="Calibri"/>
          <w:sz w:val="22"/>
          <w:szCs w:val="22"/>
        </w:rPr>
        <w:t>Golden Jubilee Conference Hotel: 9.2%;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Heart, Lung and Diagnostic Services: 7.8%; and</w:t>
      </w:r>
    </w:p>
    <w:p w:rsidR="00B14AD3" w:rsidRPr="00B14AD3" w:rsidRDefault="00B14AD3" w:rsidP="00B14AD3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National Elective Services: 9.4%.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b/>
          <w:bCs/>
          <w:sz w:val="22"/>
          <w:szCs w:val="22"/>
          <w:lang w:val="en-US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b/>
          <w:bCs/>
          <w:sz w:val="22"/>
          <w:szCs w:val="22"/>
        </w:rPr>
      </w:pPr>
      <w:r w:rsidRPr="00B14AD3">
        <w:rPr>
          <w:rFonts w:ascii="Arial" w:eastAsia="Times New Roman" w:hAnsi="Arial" w:cs="Calibri"/>
          <w:b/>
          <w:bCs/>
          <w:sz w:val="22"/>
          <w:szCs w:val="22"/>
        </w:rPr>
        <w:t>Agenda for Change appraisal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Within the twelve months to 29 February 2024, 60% of staff who come under the Agenda for Change terms and conditions completed their appraisal using TURAS, which is the same rate 2% higher than the previous month. The Directorate breakdown is as follows:</w:t>
      </w:r>
    </w:p>
    <w:p w:rsidR="00B14AD3" w:rsidRPr="00B14AD3" w:rsidRDefault="00B14AD3" w:rsidP="00B14AD3">
      <w:pPr>
        <w:numPr>
          <w:ilvl w:val="0"/>
          <w:numId w:val="6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  <w:lang w:val="en-US"/>
        </w:rPr>
      </w:pPr>
      <w:r w:rsidRPr="00B14AD3">
        <w:rPr>
          <w:rFonts w:ascii="Arial" w:eastAsia="Times New Roman" w:hAnsi="Arial" w:cs="Calibri"/>
          <w:sz w:val="22"/>
          <w:szCs w:val="22"/>
        </w:rPr>
        <w:t>Corporate: 55% (+7% on January);</w:t>
      </w:r>
    </w:p>
    <w:p w:rsidR="00B14AD3" w:rsidRPr="00B14AD3" w:rsidRDefault="00B14AD3" w:rsidP="00B14AD3">
      <w:pPr>
        <w:numPr>
          <w:ilvl w:val="0"/>
          <w:numId w:val="6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Golden Jubilee Conference Hotel: 65% (-1%);</w:t>
      </w:r>
    </w:p>
    <w:p w:rsidR="00B14AD3" w:rsidRPr="00B14AD3" w:rsidRDefault="00B14AD3" w:rsidP="00B14AD3">
      <w:pPr>
        <w:numPr>
          <w:ilvl w:val="0"/>
          <w:numId w:val="6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Heart, Lung and Diagnostic Services: 59% (+/-0%); and</w:t>
      </w:r>
    </w:p>
    <w:p w:rsidR="00B14AD3" w:rsidRPr="00B14AD3" w:rsidRDefault="00B14AD3" w:rsidP="00B14AD3">
      <w:pPr>
        <w:numPr>
          <w:ilvl w:val="0"/>
          <w:numId w:val="6"/>
        </w:num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National Elective Services: 64% (+6%).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b/>
          <w:bCs/>
          <w:sz w:val="22"/>
          <w:szCs w:val="22"/>
          <w:lang w:val="en-US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b/>
          <w:bCs/>
          <w:sz w:val="22"/>
          <w:szCs w:val="22"/>
        </w:rPr>
      </w:pPr>
      <w:r w:rsidRPr="00B14AD3">
        <w:rPr>
          <w:rFonts w:ascii="Arial" w:eastAsia="Times New Roman" w:hAnsi="Arial" w:cs="Calibri"/>
          <w:b/>
          <w:bCs/>
          <w:sz w:val="22"/>
          <w:szCs w:val="22"/>
        </w:rPr>
        <w:t>Medical appraisal</w:t>
      </w:r>
    </w:p>
    <w:p w:rsidR="00B14AD3" w:rsidRPr="00B14AD3" w:rsidRDefault="00B14AD3" w:rsidP="00B14AD3">
      <w:pPr>
        <w:spacing w:after="0" w:line="240" w:lineRule="auto"/>
        <w:textAlignment w:val="baseline"/>
        <w:rPr>
          <w:rFonts w:ascii="Arial" w:eastAsia="Times New Roman" w:hAnsi="Arial" w:cs="Calibri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The appraisal year for medical staff runs from 1 April to 31 March. As at 7 March 2024, 84 doctors out of 168 had completed their 2023/2024 appraisal, and one had an ARCP.  This is an increase of 33 on the previous month.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sz w:val="22"/>
          <w:szCs w:val="22"/>
        </w:rPr>
      </w:pP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Calibri"/>
          <w:b/>
          <w:bCs/>
          <w:sz w:val="22"/>
          <w:szCs w:val="22"/>
        </w:rPr>
      </w:pPr>
      <w:r w:rsidRPr="00B14AD3">
        <w:rPr>
          <w:rFonts w:ascii="Arial" w:eastAsia="Times New Roman" w:hAnsi="Arial" w:cs="Calibri"/>
          <w:b/>
          <w:bCs/>
          <w:sz w:val="22"/>
          <w:szCs w:val="22"/>
        </w:rPr>
        <w:t>Medical job planning</w:t>
      </w:r>
    </w:p>
    <w:p w:rsidR="00B14AD3" w:rsidRPr="00B14AD3" w:rsidRDefault="00B14AD3" w:rsidP="00B14AD3">
      <w:pPr>
        <w:spacing w:after="0" w:line="240" w:lineRule="auto"/>
        <w:ind w:right="2"/>
        <w:textAlignment w:val="baseline"/>
        <w:rPr>
          <w:rFonts w:ascii="Arial" w:eastAsia="Times New Roman" w:hAnsi="Arial" w:cs="Arial"/>
          <w:color w:val="FF0000"/>
          <w:sz w:val="22"/>
          <w:szCs w:val="22"/>
        </w:rPr>
      </w:pPr>
      <w:r w:rsidRPr="00B14AD3">
        <w:rPr>
          <w:rFonts w:ascii="Arial" w:eastAsia="Times New Roman" w:hAnsi="Arial" w:cs="Calibri"/>
          <w:sz w:val="22"/>
          <w:szCs w:val="22"/>
        </w:rPr>
        <w:t>In December 2023, we closed almost all medical job plans on the Allocate job planning system for 2023/2024, and started new job plans for the year starting 1 April 2024. As at 7 March 2024, 45 of the 131 job plans for 2024/2025 were sitting in discussion; 30 were awaiting the clinician’s sign off; 10 were awaiting first manager sign off; 17 were awaiting second manager sign off; 2 were awaiting third manager sign off, and 27 had been signed off.</w:t>
      </w:r>
    </w:p>
    <w:p w:rsidR="00B14AD3" w:rsidRPr="0000531E" w:rsidRDefault="00B14AD3" w:rsidP="002523F6">
      <w:pPr>
        <w:ind w:right="2"/>
        <w:textAlignment w:val="baseline"/>
        <w:rPr>
          <w:rFonts w:ascii="Arial" w:eastAsia="PMingLiU" w:hAnsi="Arial" w:cs="Arial"/>
          <w:sz w:val="22"/>
          <w:szCs w:val="22"/>
          <w:lang w:val="en-US"/>
        </w:rPr>
        <w:sectPr w:rsidR="00B14AD3" w:rsidRPr="0000531E" w:rsidSect="002523F6">
          <w:headerReference w:type="even" r:id="rId18"/>
          <w:footerReference w:type="even" r:id="rId19"/>
          <w:pgSz w:w="11906" w:h="16838" w:code="9"/>
          <w:pgMar w:top="851" w:right="1133" w:bottom="1134" w:left="1134" w:header="709" w:footer="709" w:gutter="0"/>
          <w:cols w:space="708"/>
          <w:titlePg/>
          <w:docGrid w:linePitch="360"/>
        </w:sectPr>
      </w:pPr>
    </w:p>
    <w:p w:rsidR="00A6577D" w:rsidRDefault="00AE0C68" w:rsidP="00A16F0F">
      <w:pPr>
        <w:pStyle w:val="Heading1"/>
        <w:jc w:val="center"/>
        <w:rPr>
          <w:rFonts w:ascii="Arial" w:hAnsi="Arial" w:cs="Arial"/>
        </w:rPr>
      </w:pPr>
      <w:r w:rsidRPr="0000531E">
        <w:rPr>
          <w:rFonts w:ascii="Arial" w:hAnsi="Arial" w:cs="Arial"/>
        </w:rPr>
        <w:lastRenderedPageBreak/>
        <w:t>S</w:t>
      </w:r>
      <w:r w:rsidR="00A6577D" w:rsidRPr="0000531E">
        <w:rPr>
          <w:rFonts w:ascii="Arial" w:hAnsi="Arial" w:cs="Arial"/>
        </w:rPr>
        <w:t>ection B:3 Finance</w:t>
      </w:r>
      <w:r w:rsidR="002523F6" w:rsidRPr="0000531E">
        <w:rPr>
          <w:rFonts w:ascii="Arial" w:hAnsi="Arial" w:cs="Arial"/>
        </w:rPr>
        <w:t>,</w:t>
      </w:r>
      <w:r w:rsidR="00A6577D" w:rsidRPr="0000531E">
        <w:rPr>
          <w:rFonts w:ascii="Arial" w:hAnsi="Arial" w:cs="Arial"/>
        </w:rPr>
        <w:t xml:space="preserve"> Performance and Resources</w:t>
      </w:r>
    </w:p>
    <w:p w:rsidR="00B14AD3" w:rsidRPr="00B14AD3" w:rsidRDefault="00B14AD3" w:rsidP="00B14AD3"/>
    <w:p w:rsidR="00A16F0F" w:rsidRDefault="00B14AD3" w:rsidP="00A16F0F">
      <w:r w:rsidRPr="00CA60F3">
        <w:rPr>
          <w:noProof/>
          <w:lang w:eastAsia="en-GB"/>
        </w:rPr>
        <w:drawing>
          <wp:inline distT="0" distB="0" distL="0" distR="0" wp14:anchorId="70F9C3EA" wp14:editId="38DDE8A9">
            <wp:extent cx="9251950" cy="983711"/>
            <wp:effectExtent l="0" t="0" r="635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A7A">
        <w:rPr>
          <w:noProof/>
          <w:lang w:eastAsia="en-GB"/>
        </w:rPr>
        <w:drawing>
          <wp:inline distT="0" distB="0" distL="0" distR="0" wp14:anchorId="2BD72031" wp14:editId="043B344F">
            <wp:extent cx="9251950" cy="14204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886" cy="143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AD3" w:rsidRDefault="00B14AD3" w:rsidP="00A16F0F"/>
    <w:p w:rsidR="00B14AD3" w:rsidRDefault="00B14AD3" w:rsidP="00A16F0F"/>
    <w:p w:rsidR="00B14AD3" w:rsidRDefault="00B14AD3" w:rsidP="00A16F0F"/>
    <w:p w:rsidR="00B14AD3" w:rsidRDefault="00B14AD3" w:rsidP="00A16F0F"/>
    <w:p w:rsidR="00B14AD3" w:rsidRDefault="00B14AD3" w:rsidP="00A16F0F"/>
    <w:p w:rsidR="00B14AD3" w:rsidRDefault="00B14AD3" w:rsidP="00A16F0F"/>
    <w:p w:rsidR="00B14AD3" w:rsidRDefault="00B14AD3" w:rsidP="00A16F0F"/>
    <w:p w:rsidR="00B14AD3" w:rsidRDefault="00B14AD3" w:rsidP="00A16F0F"/>
    <w:p w:rsidR="00B14AD3" w:rsidRDefault="00B14AD3" w:rsidP="00A16F0F"/>
    <w:p w:rsidR="00B14AD3" w:rsidRDefault="00B14AD3" w:rsidP="00B14AD3">
      <w:pPr>
        <w:pStyle w:val="Heading1"/>
        <w:sectPr w:rsidR="00B14AD3" w:rsidSect="00A16F0F">
          <w:headerReference w:type="even" r:id="rId22"/>
          <w:footerReference w:type="even" r:id="rId23"/>
          <w:footerReference w:type="first" r:id="rId24"/>
          <w:pgSz w:w="16838" w:h="11906" w:orient="landscape" w:code="9"/>
          <w:pgMar w:top="1134" w:right="851" w:bottom="1134" w:left="709" w:header="709" w:footer="709" w:gutter="0"/>
          <w:cols w:space="708"/>
          <w:titlePg/>
          <w:docGrid w:linePitch="360"/>
        </w:sectPr>
      </w:pPr>
    </w:p>
    <w:p w:rsidR="00B14AD3" w:rsidRPr="00B50B80" w:rsidRDefault="00B14AD3" w:rsidP="00B14AD3">
      <w:pPr>
        <w:pStyle w:val="Heading1"/>
      </w:pPr>
      <w:r w:rsidRPr="00B50B80">
        <w:lastRenderedPageBreak/>
        <w:t>Finance</w:t>
      </w:r>
    </w:p>
    <w:p w:rsidR="00B14AD3" w:rsidRDefault="00B14AD3" w:rsidP="00B14AD3">
      <w:pPr>
        <w:jc w:val="center"/>
        <w:rPr>
          <w:rFonts w:cs="Arial"/>
          <w:sz w:val="24"/>
          <w:szCs w:val="24"/>
        </w:rPr>
      </w:pPr>
      <w:r w:rsidRPr="00A204E4">
        <w:rPr>
          <w:rFonts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31C9265C" wp14:editId="0CD168F3">
            <wp:simplePos x="0" y="0"/>
            <wp:positionH relativeFrom="margin">
              <wp:align>left</wp:align>
            </wp:positionH>
            <wp:positionV relativeFrom="margin">
              <wp:posOffset>585588</wp:posOffset>
            </wp:positionV>
            <wp:extent cx="3784600" cy="2670175"/>
            <wp:effectExtent l="133350" t="114300" r="139700" b="1682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67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8B3D75E" wp14:editId="065A079F">
            <wp:extent cx="1566916" cy="92490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68" cy="9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AD3" w:rsidRDefault="00B14AD3" w:rsidP="00B14AD3">
      <w:pPr>
        <w:jc w:val="center"/>
        <w:rPr>
          <w:rFonts w:cs="Arial"/>
          <w:sz w:val="24"/>
          <w:szCs w:val="24"/>
        </w:rPr>
      </w:pPr>
    </w:p>
    <w:p w:rsidR="00B14AD3" w:rsidRDefault="00B14AD3" w:rsidP="00B14AD3">
      <w:pPr>
        <w:jc w:val="center"/>
        <w:rPr>
          <w:rFonts w:cs="Arial"/>
          <w:sz w:val="24"/>
          <w:szCs w:val="24"/>
        </w:rPr>
      </w:pPr>
    </w:p>
    <w:p w:rsidR="00B14AD3" w:rsidRDefault="00B14AD3" w:rsidP="00B14AD3">
      <w:pPr>
        <w:jc w:val="center"/>
        <w:rPr>
          <w:rFonts w:cs="Arial"/>
          <w:sz w:val="24"/>
          <w:szCs w:val="24"/>
        </w:rPr>
      </w:pPr>
    </w:p>
    <w:p w:rsidR="00B14AD3" w:rsidRDefault="00B14AD3" w:rsidP="00B14AD3">
      <w:pPr>
        <w:jc w:val="center"/>
        <w:rPr>
          <w:rFonts w:cs="Arial"/>
          <w:sz w:val="24"/>
          <w:szCs w:val="24"/>
        </w:rPr>
      </w:pPr>
    </w:p>
    <w:p w:rsidR="00B14AD3" w:rsidRDefault="00B14AD3" w:rsidP="00B14AD3">
      <w:pPr>
        <w:jc w:val="center"/>
        <w:rPr>
          <w:rFonts w:cs="Arial"/>
          <w:sz w:val="24"/>
          <w:szCs w:val="24"/>
        </w:rPr>
      </w:pPr>
    </w:p>
    <w:p w:rsidR="00B14AD3" w:rsidRDefault="00B14AD3" w:rsidP="00B14AD3">
      <w:pPr>
        <w:jc w:val="center"/>
        <w:rPr>
          <w:rFonts w:cs="Arial"/>
          <w:sz w:val="24"/>
          <w:szCs w:val="24"/>
        </w:rPr>
      </w:pPr>
    </w:p>
    <w:p w:rsidR="00B14AD3" w:rsidRDefault="00B14AD3" w:rsidP="00B14AD3">
      <w:pPr>
        <w:jc w:val="center"/>
        <w:rPr>
          <w:rFonts w:cs="Arial"/>
          <w:b/>
          <w:sz w:val="48"/>
          <w:szCs w:val="48"/>
        </w:rPr>
      </w:pPr>
      <w:r w:rsidRPr="00A50166">
        <w:rPr>
          <w:rFonts w:cs="Arial"/>
          <w:b/>
          <w:sz w:val="48"/>
          <w:szCs w:val="48"/>
        </w:rPr>
        <w:t>NHS GOLDEN JUBILEE</w:t>
      </w:r>
    </w:p>
    <w:p w:rsidR="00B14AD3" w:rsidRDefault="00B14AD3" w:rsidP="00B14AD3">
      <w:pPr>
        <w:jc w:val="center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>SUMMARY FINANCIAL REPORT</w:t>
      </w:r>
    </w:p>
    <w:p w:rsidR="00B14AD3" w:rsidRDefault="00B14AD3" w:rsidP="00B14AD3">
      <w:pPr>
        <w:jc w:val="center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 xml:space="preserve">MONTH 11 </w:t>
      </w:r>
    </w:p>
    <w:p w:rsidR="00B14AD3" w:rsidRDefault="00B14AD3" w:rsidP="00B14AD3">
      <w:pPr>
        <w:jc w:val="center"/>
        <w:rPr>
          <w:rFonts w:cs="Arial"/>
          <w:sz w:val="24"/>
          <w:szCs w:val="24"/>
        </w:rPr>
      </w:pPr>
      <w:r>
        <w:rPr>
          <w:rFonts w:cs="Arial"/>
          <w:b/>
          <w:sz w:val="48"/>
          <w:szCs w:val="48"/>
        </w:rPr>
        <w:t>AS AT 29th February 2024</w:t>
      </w:r>
    </w:p>
    <w:p w:rsidR="00B14AD3" w:rsidRDefault="00B14AD3" w:rsidP="00B14AD3">
      <w:pPr>
        <w:jc w:val="center"/>
        <w:rPr>
          <w:rFonts w:cs="Arial"/>
          <w:sz w:val="24"/>
          <w:szCs w:val="24"/>
        </w:rPr>
      </w:pPr>
    </w:p>
    <w:p w:rsidR="00B14AD3" w:rsidRDefault="00B14AD3" w:rsidP="00B14AD3">
      <w:pPr>
        <w:rPr>
          <w:rFonts w:cs="Arial"/>
          <w:sz w:val="24"/>
          <w:szCs w:val="24"/>
        </w:rPr>
      </w:pPr>
    </w:p>
    <w:p w:rsidR="00B14AD3" w:rsidRDefault="00B14AD3" w:rsidP="00B14AD3">
      <w:pPr>
        <w:jc w:val="right"/>
        <w:rPr>
          <w:rFonts w:cs="Arial"/>
          <w:sz w:val="24"/>
          <w:szCs w:val="24"/>
        </w:rPr>
      </w:pPr>
    </w:p>
    <w:p w:rsidR="00B14AD3" w:rsidRDefault="00B14AD3" w:rsidP="00B14AD3">
      <w:pPr>
        <w:jc w:val="right"/>
        <w:rPr>
          <w:rFonts w:cs="Arial"/>
          <w:sz w:val="24"/>
          <w:szCs w:val="24"/>
        </w:rPr>
      </w:pPr>
    </w:p>
    <w:p w:rsidR="00B14AD3" w:rsidRDefault="00B14AD3" w:rsidP="00B14AD3">
      <w:pPr>
        <w:jc w:val="right"/>
        <w:rPr>
          <w:rFonts w:cs="Arial"/>
          <w:sz w:val="24"/>
          <w:szCs w:val="24"/>
        </w:rPr>
      </w:pPr>
    </w:p>
    <w:p w:rsidR="00B14AD3" w:rsidRDefault="00B14AD3" w:rsidP="00B14AD3">
      <w:pPr>
        <w:jc w:val="right"/>
        <w:rPr>
          <w:rFonts w:cs="Arial"/>
          <w:sz w:val="24"/>
          <w:szCs w:val="24"/>
        </w:rPr>
      </w:pPr>
    </w:p>
    <w:p w:rsidR="00B14AD3" w:rsidRDefault="00B14AD3" w:rsidP="00B14AD3">
      <w:pPr>
        <w:jc w:val="right"/>
        <w:rPr>
          <w:rFonts w:cs="Arial"/>
          <w:sz w:val="24"/>
          <w:szCs w:val="24"/>
        </w:rPr>
      </w:pPr>
    </w:p>
    <w:p w:rsidR="00B14AD3" w:rsidRDefault="00B14AD3" w:rsidP="00B14AD3">
      <w:pPr>
        <w:jc w:val="right"/>
        <w:rPr>
          <w:rFonts w:cs="Arial"/>
          <w:sz w:val="24"/>
          <w:szCs w:val="24"/>
        </w:rPr>
      </w:pPr>
    </w:p>
    <w:p w:rsidR="00B14AD3" w:rsidRDefault="00B14AD3" w:rsidP="00B14AD3">
      <w:pPr>
        <w:jc w:val="right"/>
        <w:rPr>
          <w:rFonts w:cs="Arial"/>
          <w:sz w:val="24"/>
          <w:szCs w:val="24"/>
        </w:rPr>
      </w:pPr>
    </w:p>
    <w:p w:rsidR="00B14AD3" w:rsidRPr="00594355" w:rsidRDefault="00B14AD3" w:rsidP="00B14AD3">
      <w:pPr>
        <w:rPr>
          <w:rFonts w:cs="Arial"/>
          <w:sz w:val="24"/>
          <w:szCs w:val="24"/>
        </w:rPr>
      </w:pPr>
    </w:p>
    <w:tbl>
      <w:tblPr>
        <w:tblStyle w:val="TableGrid"/>
        <w:tblpPr w:leftFromText="180" w:rightFromText="180" w:horzAnchor="margin" w:tblpY="-1128"/>
        <w:tblW w:w="9865" w:type="dxa"/>
        <w:tblLook w:val="04A0" w:firstRow="1" w:lastRow="0" w:firstColumn="1" w:lastColumn="0" w:noHBand="0" w:noVBand="1"/>
      </w:tblPr>
      <w:tblGrid>
        <w:gridCol w:w="9865"/>
      </w:tblGrid>
      <w:tr w:rsidR="00B14AD3" w:rsidRPr="00594355" w:rsidTr="00B14AD3">
        <w:trPr>
          <w:trHeight w:val="567"/>
        </w:trPr>
        <w:tc>
          <w:tcPr>
            <w:tcW w:w="9865" w:type="dxa"/>
            <w:shd w:val="clear" w:color="auto" w:fill="EEECE1" w:themeFill="background2"/>
          </w:tcPr>
          <w:p w:rsidR="00B14AD3" w:rsidRPr="00BD37A2" w:rsidRDefault="00B14AD3" w:rsidP="00B14AD3">
            <w:pPr>
              <w:ind w:left="-5"/>
              <w:rPr>
                <w:rFonts w:cs="Arial"/>
                <w:b/>
                <w:sz w:val="36"/>
                <w:szCs w:val="36"/>
              </w:rPr>
            </w:pPr>
            <w:r w:rsidRPr="00BD37A2">
              <w:rPr>
                <w:rFonts w:cs="Arial"/>
                <w:b/>
                <w:color w:val="002060"/>
                <w:sz w:val="36"/>
                <w:szCs w:val="36"/>
              </w:rPr>
              <w:t xml:space="preserve">FINANCIAL POSITION </w:t>
            </w:r>
            <w:r>
              <w:rPr>
                <w:rFonts w:cs="Arial"/>
                <w:b/>
                <w:color w:val="002060"/>
                <w:sz w:val="36"/>
                <w:szCs w:val="36"/>
              </w:rPr>
              <w:t>29th February 2024</w:t>
            </w:r>
            <w:r w:rsidRPr="00BD37A2">
              <w:rPr>
                <w:rFonts w:cs="Arial"/>
                <w:b/>
                <w:color w:val="002060"/>
                <w:sz w:val="36"/>
                <w:szCs w:val="36"/>
              </w:rPr>
              <w:t xml:space="preserve"> (</w:t>
            </w:r>
            <w:r>
              <w:rPr>
                <w:rFonts w:cs="Arial"/>
                <w:b/>
                <w:color w:val="002060"/>
                <w:sz w:val="36"/>
                <w:szCs w:val="36"/>
              </w:rPr>
              <w:t>MONTH 11</w:t>
            </w:r>
            <w:r w:rsidRPr="00BD37A2">
              <w:rPr>
                <w:rFonts w:cs="Arial"/>
                <w:b/>
                <w:color w:val="002060"/>
                <w:sz w:val="36"/>
                <w:szCs w:val="36"/>
              </w:rPr>
              <w:t>)</w:t>
            </w:r>
          </w:p>
        </w:tc>
      </w:tr>
      <w:tr w:rsidR="00B14AD3" w:rsidRPr="00594355" w:rsidTr="00B14AD3">
        <w:trPr>
          <w:trHeight w:val="567"/>
        </w:trPr>
        <w:tc>
          <w:tcPr>
            <w:tcW w:w="9865" w:type="dxa"/>
            <w:shd w:val="clear" w:color="auto" w:fill="EEECE1" w:themeFill="background2"/>
          </w:tcPr>
          <w:p w:rsidR="00B14AD3" w:rsidRPr="00BD37A2" w:rsidRDefault="00B14AD3" w:rsidP="00B14AD3">
            <w:pPr>
              <w:pStyle w:val="NoSpacing"/>
              <w:rPr>
                <w:rFonts w:cs="Arial"/>
                <w:b/>
                <w:sz w:val="36"/>
                <w:szCs w:val="36"/>
              </w:rPr>
            </w:pPr>
            <w:r w:rsidRPr="00BD37A2">
              <w:rPr>
                <w:rFonts w:cs="Arial"/>
                <w:b/>
                <w:color w:val="002060"/>
                <w:sz w:val="36"/>
                <w:szCs w:val="36"/>
              </w:rPr>
              <w:lastRenderedPageBreak/>
              <w:t>EXECUTIVE SUMMARY</w:t>
            </w:r>
          </w:p>
        </w:tc>
      </w:tr>
      <w:tr w:rsidR="00B14AD3" w:rsidRPr="00594355" w:rsidTr="00B14AD3">
        <w:tc>
          <w:tcPr>
            <w:tcW w:w="9865" w:type="dxa"/>
          </w:tcPr>
          <w:p w:rsidR="00B14AD3" w:rsidRPr="005961DA" w:rsidRDefault="00B14AD3" w:rsidP="00B14AD3">
            <w:pPr>
              <w:pStyle w:val="NoSpacing"/>
              <w:numPr>
                <w:ilvl w:val="0"/>
                <w:numId w:val="25"/>
              </w:numPr>
              <w:spacing w:before="120"/>
              <w:rPr>
                <w:rFonts w:cs="Arial"/>
                <w:b/>
                <w:color w:val="002060"/>
                <w:szCs w:val="24"/>
              </w:rPr>
            </w:pPr>
            <w:r w:rsidRPr="00D22A23">
              <w:rPr>
                <w:rFonts w:cs="Arial"/>
                <w:b/>
                <w:color w:val="002060"/>
                <w:sz w:val="32"/>
                <w:szCs w:val="24"/>
              </w:rPr>
              <w:t>2023/2024 to 2025/26 FINANCIAL PLAN</w:t>
            </w:r>
          </w:p>
          <w:p w:rsidR="00B14AD3" w:rsidRPr="00D04E68" w:rsidRDefault="00B14AD3" w:rsidP="00B14AD3">
            <w:pPr>
              <w:pStyle w:val="NoSpacing"/>
              <w:rPr>
                <w:rFonts w:cs="Arial"/>
                <w:b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jc w:val="both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The NHS Golden Jubilee Board in March 2023 approved a 3 year break-even Financial Plan for the period 2023/24 to 2025/26. The Month 11 forecast position is still assuming a continued break-even position, although the delivery of significant levels of savings in still required in each of the 3 years of the plan through a combination of recurring and non-recurring measures.</w:t>
            </w:r>
          </w:p>
          <w:p w:rsidR="00B14AD3" w:rsidRPr="001E4495" w:rsidRDefault="00B14AD3" w:rsidP="00B14AD3">
            <w:pPr>
              <w:pStyle w:val="NoSpacing"/>
              <w:rPr>
                <w:rFonts w:cs="Arial"/>
                <w:b/>
                <w:szCs w:val="24"/>
                <w:u w:val="single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b/>
                <w:color w:val="002060"/>
                <w:sz w:val="28"/>
                <w:szCs w:val="24"/>
              </w:rPr>
            </w:pPr>
            <w:r w:rsidRPr="00646AB9">
              <w:rPr>
                <w:rFonts w:cs="Arial"/>
                <w:b/>
                <w:color w:val="002060"/>
                <w:sz w:val="28"/>
                <w:szCs w:val="24"/>
              </w:rPr>
              <w:t>DELIVERY OF 2023/24 FINANCIAL PLAN</w:t>
            </w:r>
          </w:p>
          <w:p w:rsidR="00B14AD3" w:rsidRPr="00646AB9" w:rsidRDefault="00B14AD3" w:rsidP="00B14AD3">
            <w:pPr>
              <w:pStyle w:val="NoSpacing"/>
              <w:rPr>
                <w:rFonts w:cs="Arial"/>
                <w:b/>
                <w:color w:val="002060"/>
                <w:sz w:val="28"/>
                <w:szCs w:val="24"/>
              </w:rPr>
            </w:pPr>
          </w:p>
          <w:tbl>
            <w:tblPr>
              <w:tblpPr w:leftFromText="180" w:rightFromText="180" w:vertAnchor="text" w:horzAnchor="page" w:tblpX="123" w:tblpY="5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835"/>
              <w:gridCol w:w="1696"/>
            </w:tblGrid>
            <w:tr w:rsidR="00B14AD3" w:rsidTr="001028D9">
              <w:trPr>
                <w:trHeight w:val="416"/>
              </w:trPr>
              <w:tc>
                <w:tcPr>
                  <w:tcW w:w="2835" w:type="dxa"/>
                </w:tcPr>
                <w:p w:rsidR="00B14AD3" w:rsidRPr="00976C64" w:rsidRDefault="00B14AD3" w:rsidP="00B14AD3">
                  <w:pPr>
                    <w:pStyle w:val="NoSpacing"/>
                    <w:rPr>
                      <w:rFonts w:cs="Arial"/>
                      <w:b/>
                      <w:szCs w:val="24"/>
                    </w:rPr>
                  </w:pPr>
                  <w:r w:rsidRPr="00976C64">
                    <w:rPr>
                      <w:rFonts w:cs="Arial"/>
                      <w:b/>
                      <w:szCs w:val="24"/>
                    </w:rPr>
                    <w:t>Current Risk Rating</w:t>
                  </w:r>
                </w:p>
              </w:tc>
              <w:tc>
                <w:tcPr>
                  <w:tcW w:w="1696" w:type="dxa"/>
                  <w:shd w:val="clear" w:color="auto" w:fill="92D050"/>
                </w:tcPr>
                <w:p w:rsidR="00B14AD3" w:rsidRPr="00F20EF9" w:rsidRDefault="00B14AD3" w:rsidP="00B14AD3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  <w:highlight w:val="green"/>
                    </w:rPr>
                  </w:pPr>
                  <w:r w:rsidRPr="00A16C3F">
                    <w:rPr>
                      <w:rFonts w:cs="Arial"/>
                      <w:b/>
                      <w:sz w:val="24"/>
                      <w:szCs w:val="24"/>
                    </w:rPr>
                    <w:t>Low</w:t>
                  </w:r>
                </w:p>
              </w:tc>
            </w:tr>
          </w:tbl>
          <w:p w:rsidR="00B14AD3" w:rsidRDefault="00B14AD3" w:rsidP="00B14AD3">
            <w:pPr>
              <w:pStyle w:val="NoSpacing"/>
              <w:rPr>
                <w:rFonts w:cs="Arial"/>
                <w:b/>
                <w:szCs w:val="24"/>
                <w:u w:val="single"/>
              </w:rPr>
            </w:pPr>
          </w:p>
          <w:p w:rsidR="00B14AD3" w:rsidRPr="00A15AC0" w:rsidRDefault="00B14AD3" w:rsidP="00B14AD3">
            <w:pPr>
              <w:pStyle w:val="NoSpacing"/>
              <w:rPr>
                <w:rFonts w:cs="Arial"/>
                <w:b/>
                <w:szCs w:val="24"/>
                <w:u w:val="single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 xml:space="preserve">For 2023/24 a break-even outturn position requires the delivery of </w:t>
            </w:r>
            <w:r w:rsidRPr="006E0FF5">
              <w:rPr>
                <w:rFonts w:cs="Arial"/>
                <w:color w:val="FF0000"/>
                <w:sz w:val="22"/>
                <w:szCs w:val="22"/>
              </w:rPr>
              <w:t xml:space="preserve">-£6.66m </w:t>
            </w:r>
            <w:r w:rsidRPr="006E0FF5">
              <w:rPr>
                <w:rFonts w:cs="Arial"/>
                <w:sz w:val="22"/>
                <w:szCs w:val="22"/>
              </w:rPr>
              <w:t>of in-year savings /budget reductions through a combination of recurring and non-recurring measures.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 xml:space="preserve">The Year to Date (YTD) core revenue position as at the end of February 2024 is a favourable variance of £969k. This represents a favourable % variance of 0.47%. 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Following the workstreams reviewing the revised SLA with HL&amp;D NSD SLAs as well as confirmation of forecast performance across the Topslice SLAs, a significant update on both Pays and Non-pays across both Divisions has released recurring budgets to reflect the costs associated with this year’s ADP and SLA reviews.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The Month 11 position shows the impact of this re-alignment of both Pays and Non-pays, resulting in the improvement in the YTD position.</w:t>
            </w:r>
          </w:p>
          <w:p w:rsidR="00B14AD3" w:rsidRPr="001E4495" w:rsidRDefault="00B14AD3" w:rsidP="00B14AD3">
            <w:pPr>
              <w:pStyle w:val="NoSpacing"/>
              <w:rPr>
                <w:rFonts w:cs="Arial"/>
                <w:b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b/>
                <w:color w:val="002060"/>
                <w:sz w:val="28"/>
                <w:szCs w:val="24"/>
              </w:rPr>
            </w:pPr>
            <w:r w:rsidRPr="00646AB9">
              <w:rPr>
                <w:rFonts w:cs="Arial"/>
                <w:b/>
                <w:color w:val="002060"/>
                <w:sz w:val="28"/>
                <w:szCs w:val="24"/>
              </w:rPr>
              <w:t>202</w:t>
            </w:r>
            <w:r>
              <w:rPr>
                <w:rFonts w:cs="Arial"/>
                <w:b/>
                <w:color w:val="002060"/>
                <w:sz w:val="28"/>
                <w:szCs w:val="24"/>
              </w:rPr>
              <w:t>3</w:t>
            </w:r>
            <w:r w:rsidRPr="00646AB9">
              <w:rPr>
                <w:rFonts w:cs="Arial"/>
                <w:b/>
                <w:color w:val="002060"/>
                <w:sz w:val="28"/>
                <w:szCs w:val="24"/>
              </w:rPr>
              <w:t>/202</w:t>
            </w:r>
            <w:r>
              <w:rPr>
                <w:rFonts w:cs="Arial"/>
                <w:b/>
                <w:color w:val="002060"/>
                <w:sz w:val="28"/>
                <w:szCs w:val="24"/>
              </w:rPr>
              <w:t>4</w:t>
            </w:r>
            <w:r w:rsidRPr="00646AB9">
              <w:rPr>
                <w:rFonts w:cs="Arial"/>
                <w:b/>
                <w:color w:val="002060"/>
                <w:sz w:val="28"/>
                <w:szCs w:val="24"/>
              </w:rPr>
              <w:t xml:space="preserve"> TO 202</w:t>
            </w:r>
            <w:r>
              <w:rPr>
                <w:rFonts w:cs="Arial"/>
                <w:b/>
                <w:color w:val="002060"/>
                <w:sz w:val="28"/>
                <w:szCs w:val="24"/>
              </w:rPr>
              <w:t>5</w:t>
            </w:r>
            <w:r w:rsidRPr="00646AB9">
              <w:rPr>
                <w:rFonts w:cs="Arial"/>
                <w:b/>
                <w:color w:val="002060"/>
                <w:sz w:val="28"/>
                <w:szCs w:val="24"/>
              </w:rPr>
              <w:t>/2</w:t>
            </w:r>
            <w:r>
              <w:rPr>
                <w:rFonts w:cs="Arial"/>
                <w:b/>
                <w:color w:val="002060"/>
                <w:sz w:val="28"/>
                <w:szCs w:val="24"/>
              </w:rPr>
              <w:t>6</w:t>
            </w:r>
            <w:r w:rsidRPr="00646AB9">
              <w:rPr>
                <w:rFonts w:cs="Arial"/>
                <w:b/>
                <w:color w:val="002060"/>
                <w:sz w:val="28"/>
                <w:szCs w:val="24"/>
              </w:rPr>
              <w:t xml:space="preserve"> FINANCIAL PLAN</w:t>
            </w:r>
            <w:r>
              <w:rPr>
                <w:rFonts w:cs="Arial"/>
                <w:b/>
                <w:color w:val="002060"/>
                <w:sz w:val="28"/>
                <w:szCs w:val="24"/>
              </w:rPr>
              <w:t xml:space="preserve"> </w:t>
            </w:r>
          </w:p>
          <w:p w:rsidR="00B14AD3" w:rsidRPr="00646AB9" w:rsidRDefault="00B14AD3" w:rsidP="00B14AD3">
            <w:pPr>
              <w:pStyle w:val="NoSpacing"/>
              <w:rPr>
                <w:rFonts w:cs="Arial"/>
                <w:b/>
                <w:color w:val="002060"/>
                <w:sz w:val="28"/>
                <w:szCs w:val="24"/>
              </w:rPr>
            </w:pPr>
          </w:p>
          <w:tbl>
            <w:tblPr>
              <w:tblpPr w:leftFromText="180" w:rightFromText="180" w:vertAnchor="text" w:horzAnchor="page" w:tblpX="123" w:tblpY="5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835"/>
              <w:gridCol w:w="1701"/>
            </w:tblGrid>
            <w:tr w:rsidR="00B14AD3" w:rsidRPr="00976C64" w:rsidTr="001028D9">
              <w:trPr>
                <w:trHeight w:val="283"/>
              </w:trPr>
              <w:tc>
                <w:tcPr>
                  <w:tcW w:w="2835" w:type="dxa"/>
                </w:tcPr>
                <w:p w:rsidR="00B14AD3" w:rsidRPr="00976C64" w:rsidRDefault="00B14AD3" w:rsidP="00B14AD3">
                  <w:pPr>
                    <w:pStyle w:val="NoSpacing"/>
                    <w:rPr>
                      <w:rFonts w:cs="Arial"/>
                      <w:b/>
                      <w:szCs w:val="24"/>
                    </w:rPr>
                  </w:pPr>
                  <w:r w:rsidRPr="00976C64">
                    <w:rPr>
                      <w:rFonts w:cs="Arial"/>
                      <w:b/>
                      <w:szCs w:val="24"/>
                    </w:rPr>
                    <w:t>Current Risk Rating</w:t>
                  </w:r>
                </w:p>
              </w:tc>
              <w:tc>
                <w:tcPr>
                  <w:tcW w:w="1701" w:type="dxa"/>
                  <w:shd w:val="clear" w:color="auto" w:fill="FF0000"/>
                </w:tcPr>
                <w:p w:rsidR="00B14AD3" w:rsidRPr="00976C64" w:rsidRDefault="00B14AD3" w:rsidP="00B14AD3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 xml:space="preserve">Very </w:t>
                  </w:r>
                  <w:r w:rsidRPr="00976C64">
                    <w:rPr>
                      <w:rFonts w:cs="Arial"/>
                      <w:b/>
                      <w:sz w:val="24"/>
                      <w:szCs w:val="24"/>
                    </w:rPr>
                    <w:t>High</w:t>
                  </w:r>
                </w:p>
              </w:tc>
            </w:tr>
          </w:tbl>
          <w:p w:rsidR="00B14AD3" w:rsidRPr="00976C64" w:rsidRDefault="00B14AD3" w:rsidP="00B14AD3">
            <w:pPr>
              <w:pStyle w:val="NoSpacing"/>
              <w:rPr>
                <w:rFonts w:cs="Arial"/>
                <w:b/>
                <w:szCs w:val="24"/>
                <w:u w:val="single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  <w:u w:val="single"/>
              </w:rPr>
            </w:pPr>
            <w:r w:rsidRPr="006E0FF5">
              <w:rPr>
                <w:rFonts w:cs="Arial"/>
                <w:sz w:val="22"/>
                <w:szCs w:val="22"/>
                <w:u w:val="single"/>
              </w:rPr>
              <w:t>March 2023 Financial Plan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2024/25 and 2025/26 also require the delivery of significant savings to achieve a break-even outturn position in both of the years.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  <w:u w:val="single"/>
              </w:rPr>
            </w:pPr>
            <w:r w:rsidRPr="006E0FF5">
              <w:rPr>
                <w:rFonts w:cs="Arial"/>
                <w:sz w:val="22"/>
                <w:szCs w:val="22"/>
                <w:u w:val="single"/>
              </w:rPr>
              <w:t>March 2024 Financial Plan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The proposed 2024/25 to 2026/27 3 year plan was submitted to SG on 15</w:t>
            </w:r>
            <w:r w:rsidRPr="006E0FF5">
              <w:rPr>
                <w:rFonts w:cs="Arial"/>
                <w:sz w:val="22"/>
                <w:szCs w:val="22"/>
                <w:vertAlign w:val="superscript"/>
              </w:rPr>
              <w:t>th</w:t>
            </w:r>
            <w:r w:rsidRPr="006E0FF5">
              <w:rPr>
                <w:rFonts w:cs="Arial"/>
                <w:sz w:val="22"/>
                <w:szCs w:val="22"/>
              </w:rPr>
              <w:t xml:space="preserve"> March 2024, following approval at FPC. This shows a savings requirement of </w:t>
            </w:r>
            <w:r w:rsidRPr="006E0FF5">
              <w:rPr>
                <w:rFonts w:cs="Arial"/>
                <w:color w:val="FF0000"/>
                <w:sz w:val="22"/>
                <w:szCs w:val="22"/>
              </w:rPr>
              <w:t>(£9.944m)</w:t>
            </w:r>
            <w:r w:rsidRPr="006E0FF5">
              <w:rPr>
                <w:rFonts w:cs="Arial"/>
                <w:sz w:val="22"/>
                <w:szCs w:val="22"/>
              </w:rPr>
              <w:t xml:space="preserve"> for 2024/25, rising to </w:t>
            </w:r>
            <w:r w:rsidRPr="006E0FF5">
              <w:rPr>
                <w:rFonts w:cs="Arial"/>
                <w:color w:val="FF0000"/>
                <w:sz w:val="22"/>
                <w:szCs w:val="22"/>
              </w:rPr>
              <w:t xml:space="preserve">(£11.028m) </w:t>
            </w:r>
            <w:r w:rsidRPr="006E0FF5">
              <w:rPr>
                <w:rFonts w:cs="Arial"/>
                <w:sz w:val="22"/>
                <w:szCs w:val="22"/>
              </w:rPr>
              <w:t xml:space="preserve">for 2025/26 and </w:t>
            </w:r>
            <w:r w:rsidRPr="006E0FF5">
              <w:rPr>
                <w:rFonts w:cs="Arial"/>
                <w:color w:val="FF0000"/>
                <w:sz w:val="22"/>
                <w:szCs w:val="22"/>
              </w:rPr>
              <w:t xml:space="preserve">(£11.481m) </w:t>
            </w:r>
            <w:r w:rsidRPr="006E0FF5">
              <w:rPr>
                <w:rFonts w:cs="Arial"/>
                <w:sz w:val="22"/>
                <w:szCs w:val="22"/>
              </w:rPr>
              <w:t>for the final year of the plan in 2026/27.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 xml:space="preserve"> 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Whilst savings plans are being developed mainly around workforce challenges, including enhanced vacancy management, review of agency costs and Waiting list initiatives, there remains a significant gap to identify in 2024/25 at this time.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 xml:space="preserve">The final March 2024 financial plan </w:t>
            </w:r>
            <w:r w:rsidRPr="006E0FF5">
              <w:rPr>
                <w:rFonts w:cs="Arial"/>
                <w:sz w:val="22"/>
                <w:szCs w:val="22"/>
                <w:highlight w:val="yellow"/>
              </w:rPr>
              <w:t>is being taken to</w:t>
            </w:r>
            <w:r w:rsidRPr="006E0FF5">
              <w:rPr>
                <w:rFonts w:cs="Arial"/>
                <w:sz w:val="22"/>
                <w:szCs w:val="22"/>
              </w:rPr>
              <w:t xml:space="preserve"> the NHS GJ Board meeting on 28</w:t>
            </w:r>
            <w:r w:rsidRPr="006E0FF5">
              <w:rPr>
                <w:rFonts w:cs="Arial"/>
                <w:sz w:val="22"/>
                <w:szCs w:val="22"/>
                <w:vertAlign w:val="superscript"/>
              </w:rPr>
              <w:t>th</w:t>
            </w:r>
            <w:r w:rsidRPr="006E0FF5">
              <w:rPr>
                <w:rFonts w:cs="Arial"/>
                <w:sz w:val="22"/>
                <w:szCs w:val="22"/>
              </w:rPr>
              <w:t xml:space="preserve"> March for final approval.</w:t>
            </w: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Pr="00594355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</w:tc>
      </w:tr>
      <w:tr w:rsidR="00B14AD3" w:rsidRPr="00594355" w:rsidTr="00B14AD3">
        <w:tc>
          <w:tcPr>
            <w:tcW w:w="9865" w:type="dxa"/>
          </w:tcPr>
          <w:p w:rsidR="00B14AD3" w:rsidRDefault="00B14AD3" w:rsidP="00B14AD3">
            <w:pPr>
              <w:pStyle w:val="NoSpacing"/>
              <w:numPr>
                <w:ilvl w:val="0"/>
                <w:numId w:val="25"/>
              </w:numPr>
              <w:spacing w:before="120"/>
              <w:rPr>
                <w:rFonts w:cs="Arial"/>
                <w:b/>
                <w:color w:val="002060"/>
                <w:sz w:val="32"/>
                <w:szCs w:val="32"/>
              </w:rPr>
            </w:pPr>
            <w:r w:rsidRPr="00553A02">
              <w:rPr>
                <w:rFonts w:cs="Arial"/>
                <w:b/>
                <w:color w:val="002060"/>
                <w:sz w:val="32"/>
                <w:szCs w:val="32"/>
              </w:rPr>
              <w:t>2023/24 CORE INCOME POSITION</w:t>
            </w:r>
          </w:p>
          <w:p w:rsidR="00B14AD3" w:rsidRPr="00553A02" w:rsidRDefault="00B14AD3" w:rsidP="00B14AD3">
            <w:pPr>
              <w:pStyle w:val="NoSpacing"/>
            </w:pPr>
            <w:r w:rsidRPr="00553A02">
              <w:t xml:space="preserve"> </w:t>
            </w:r>
          </w:p>
          <w:tbl>
            <w:tblPr>
              <w:tblpPr w:leftFromText="180" w:rightFromText="180" w:vertAnchor="text" w:horzAnchor="page" w:tblpX="123" w:tblpY="5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835"/>
              <w:gridCol w:w="1701"/>
            </w:tblGrid>
            <w:tr w:rsidR="00B14AD3" w:rsidRPr="00976C64" w:rsidTr="001028D9">
              <w:trPr>
                <w:trHeight w:val="283"/>
              </w:trPr>
              <w:tc>
                <w:tcPr>
                  <w:tcW w:w="2835" w:type="dxa"/>
                </w:tcPr>
                <w:p w:rsidR="00B14AD3" w:rsidRPr="00976C64" w:rsidRDefault="00B14AD3" w:rsidP="00B14AD3">
                  <w:pPr>
                    <w:pStyle w:val="NoSpacing"/>
                    <w:rPr>
                      <w:rFonts w:cs="Arial"/>
                      <w:b/>
                      <w:szCs w:val="24"/>
                    </w:rPr>
                  </w:pPr>
                  <w:r w:rsidRPr="00976C64">
                    <w:rPr>
                      <w:rFonts w:cs="Arial"/>
                      <w:b/>
                      <w:szCs w:val="24"/>
                    </w:rPr>
                    <w:lastRenderedPageBreak/>
                    <w:t>Current Risk Rating</w:t>
                  </w:r>
                </w:p>
              </w:tc>
              <w:tc>
                <w:tcPr>
                  <w:tcW w:w="1701" w:type="dxa"/>
                  <w:shd w:val="clear" w:color="auto" w:fill="92D050"/>
                </w:tcPr>
                <w:p w:rsidR="00B14AD3" w:rsidRPr="00976C64" w:rsidRDefault="00B14AD3" w:rsidP="00B14AD3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Low</w:t>
                  </w:r>
                </w:p>
              </w:tc>
            </w:tr>
          </w:tbl>
          <w:p w:rsidR="00B14AD3" w:rsidRPr="00E0176C" w:rsidRDefault="00B14AD3" w:rsidP="00B14AD3">
            <w:pPr>
              <w:pStyle w:val="NoSpacing"/>
              <w:rPr>
                <w:rFonts w:cs="Arial"/>
                <w:b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Income is £1.846m or 0.89% above the Financial Plan at Month 11.  The main over-performance continues to be around service SLAs and Hotel income generation.</w:t>
            </w:r>
          </w:p>
          <w:p w:rsidR="00B14AD3" w:rsidRPr="004B20EA" w:rsidRDefault="00B14AD3" w:rsidP="00B14AD3">
            <w:pPr>
              <w:pStyle w:val="NoSpacing"/>
              <w:rPr>
                <w:rFonts w:cs="Arial"/>
                <w:sz w:val="16"/>
                <w:szCs w:val="24"/>
                <w:highlight w:val="red"/>
              </w:rPr>
            </w:pPr>
          </w:p>
        </w:tc>
      </w:tr>
      <w:tr w:rsidR="00B14AD3" w:rsidRPr="00594355" w:rsidTr="00B14AD3">
        <w:tc>
          <w:tcPr>
            <w:tcW w:w="9865" w:type="dxa"/>
            <w:shd w:val="clear" w:color="auto" w:fill="auto"/>
          </w:tcPr>
          <w:p w:rsidR="00B14AD3" w:rsidRPr="00D22A23" w:rsidRDefault="00B14AD3" w:rsidP="00B14AD3">
            <w:pPr>
              <w:pStyle w:val="NoSpacing"/>
              <w:numPr>
                <w:ilvl w:val="0"/>
                <w:numId w:val="25"/>
              </w:numPr>
              <w:spacing w:before="120"/>
              <w:rPr>
                <w:rFonts w:cs="Arial"/>
                <w:b/>
                <w:color w:val="002060"/>
                <w:sz w:val="32"/>
                <w:szCs w:val="24"/>
              </w:rPr>
            </w:pPr>
            <w:r w:rsidRPr="00D22A23">
              <w:rPr>
                <w:rFonts w:cs="Arial"/>
                <w:b/>
                <w:color w:val="002060"/>
                <w:sz w:val="32"/>
                <w:szCs w:val="24"/>
              </w:rPr>
              <w:lastRenderedPageBreak/>
              <w:t>2023/24 CORE EXPENDITURE POSITION</w:t>
            </w: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 xml:space="preserve">Core Expenditure is </w:t>
            </w:r>
            <w:r w:rsidRPr="006E0FF5">
              <w:rPr>
                <w:rFonts w:cs="Arial"/>
                <w:color w:val="FF0000"/>
                <w:sz w:val="22"/>
                <w:szCs w:val="22"/>
              </w:rPr>
              <w:t xml:space="preserve">-£877k </w:t>
            </w:r>
            <w:r w:rsidRPr="006E0FF5">
              <w:rPr>
                <w:rFonts w:cs="Arial"/>
                <w:sz w:val="22"/>
                <w:szCs w:val="22"/>
              </w:rPr>
              <w:t xml:space="preserve">or </w:t>
            </w:r>
            <w:r w:rsidRPr="006E0FF5">
              <w:rPr>
                <w:rFonts w:cs="Arial"/>
                <w:bCs/>
                <w:color w:val="FF0000"/>
                <w:sz w:val="22"/>
                <w:szCs w:val="22"/>
              </w:rPr>
              <w:t>-0.42%</w:t>
            </w:r>
            <w:r w:rsidRPr="006E0FF5">
              <w:rPr>
                <w:rFonts w:cs="Arial"/>
                <w:sz w:val="22"/>
                <w:szCs w:val="22"/>
              </w:rPr>
              <w:t xml:space="preserve"> above the Financial Plan at Month 11.</w:t>
            </w:r>
          </w:p>
          <w:p w:rsidR="00B14AD3" w:rsidRPr="004B20EA" w:rsidRDefault="00B14AD3" w:rsidP="00B14AD3">
            <w:pPr>
              <w:pStyle w:val="NoSpacing"/>
              <w:rPr>
                <w:rFonts w:cs="Arial"/>
                <w:b/>
                <w:sz w:val="14"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b/>
                <w:color w:val="002060"/>
                <w:sz w:val="28"/>
                <w:szCs w:val="24"/>
              </w:rPr>
            </w:pPr>
            <w:r w:rsidRPr="00646AB9">
              <w:rPr>
                <w:rFonts w:cs="Arial"/>
                <w:b/>
                <w:color w:val="002060"/>
                <w:sz w:val="28"/>
                <w:szCs w:val="24"/>
              </w:rPr>
              <w:t>PAY COSTS</w:t>
            </w:r>
          </w:p>
          <w:p w:rsidR="00B14AD3" w:rsidRPr="004B20EA" w:rsidRDefault="00B14AD3" w:rsidP="00B14AD3">
            <w:pPr>
              <w:pStyle w:val="NoSpacing"/>
              <w:rPr>
                <w:rFonts w:cs="Arial"/>
                <w:b/>
                <w:color w:val="002060"/>
                <w:sz w:val="16"/>
                <w:szCs w:val="24"/>
              </w:rPr>
            </w:pPr>
          </w:p>
          <w:tbl>
            <w:tblPr>
              <w:tblpPr w:leftFromText="180" w:rightFromText="180" w:vertAnchor="text" w:horzAnchor="page" w:tblpX="123" w:tblpY="5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835"/>
              <w:gridCol w:w="1701"/>
            </w:tblGrid>
            <w:tr w:rsidR="00B14AD3" w:rsidRPr="00976C64" w:rsidTr="001028D9">
              <w:trPr>
                <w:trHeight w:val="283"/>
              </w:trPr>
              <w:tc>
                <w:tcPr>
                  <w:tcW w:w="2835" w:type="dxa"/>
                </w:tcPr>
                <w:p w:rsidR="00B14AD3" w:rsidRPr="00976C64" w:rsidRDefault="00B14AD3" w:rsidP="00B14AD3">
                  <w:pPr>
                    <w:pStyle w:val="NoSpacing"/>
                    <w:rPr>
                      <w:rFonts w:cs="Arial"/>
                      <w:b/>
                      <w:szCs w:val="24"/>
                    </w:rPr>
                  </w:pPr>
                  <w:r w:rsidRPr="00976C64">
                    <w:rPr>
                      <w:rFonts w:cs="Arial"/>
                      <w:b/>
                      <w:szCs w:val="24"/>
                    </w:rPr>
                    <w:t>Current Risk Rating</w:t>
                  </w:r>
                </w:p>
              </w:tc>
              <w:tc>
                <w:tcPr>
                  <w:tcW w:w="1701" w:type="dxa"/>
                  <w:shd w:val="clear" w:color="auto" w:fill="FFC000"/>
                </w:tcPr>
                <w:p w:rsidR="00B14AD3" w:rsidRPr="00976C64" w:rsidRDefault="00B14AD3" w:rsidP="00B14AD3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Medium</w:t>
                  </w:r>
                </w:p>
              </w:tc>
            </w:tr>
          </w:tbl>
          <w:p w:rsidR="00B14AD3" w:rsidRDefault="00B14AD3" w:rsidP="00B14AD3">
            <w:pPr>
              <w:pStyle w:val="NoSpacing"/>
              <w:rPr>
                <w:rFonts w:cs="Arial"/>
                <w:szCs w:val="24"/>
                <w:highlight w:val="red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  <w:highlight w:val="red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In overall terms, Pay costs at Month 11 are underspent by £1.086m or 0.78%</w:t>
            </w:r>
            <w:r w:rsidRPr="006E0FF5">
              <w:rPr>
                <w:rFonts w:cs="Arial"/>
                <w:color w:val="FF0000"/>
                <w:sz w:val="22"/>
                <w:szCs w:val="22"/>
              </w:rPr>
              <w:t xml:space="preserve"> </w:t>
            </w:r>
            <w:r w:rsidRPr="006E0FF5">
              <w:rPr>
                <w:rFonts w:cs="Arial"/>
                <w:sz w:val="22"/>
                <w:szCs w:val="22"/>
              </w:rPr>
              <w:t>below plan, primarily reflecting the level of vacancies across Nursing in particular.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Further analysis is provided within the relevant section of the main report.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b/>
                <w:color w:val="002060"/>
                <w:sz w:val="22"/>
                <w:szCs w:val="22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b/>
                <w:color w:val="002060"/>
                <w:sz w:val="28"/>
                <w:szCs w:val="24"/>
              </w:rPr>
            </w:pPr>
            <w:r w:rsidRPr="00646AB9">
              <w:rPr>
                <w:rFonts w:cs="Arial"/>
                <w:b/>
                <w:color w:val="002060"/>
                <w:sz w:val="28"/>
                <w:szCs w:val="24"/>
              </w:rPr>
              <w:t>NON PAY COSTS</w:t>
            </w:r>
          </w:p>
          <w:p w:rsidR="00B14AD3" w:rsidRPr="004B20EA" w:rsidRDefault="00B14AD3" w:rsidP="00B14AD3">
            <w:pPr>
              <w:pStyle w:val="NoSpacing"/>
              <w:rPr>
                <w:rFonts w:cs="Arial"/>
                <w:b/>
                <w:color w:val="002060"/>
                <w:sz w:val="18"/>
                <w:szCs w:val="24"/>
              </w:rPr>
            </w:pPr>
          </w:p>
          <w:tbl>
            <w:tblPr>
              <w:tblpPr w:leftFromText="180" w:rightFromText="180" w:vertAnchor="text" w:horzAnchor="page" w:tblpX="123" w:tblpY="5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835"/>
              <w:gridCol w:w="1701"/>
            </w:tblGrid>
            <w:tr w:rsidR="00B14AD3" w:rsidRPr="00976C64" w:rsidTr="001028D9">
              <w:trPr>
                <w:trHeight w:val="283"/>
              </w:trPr>
              <w:tc>
                <w:tcPr>
                  <w:tcW w:w="2835" w:type="dxa"/>
                </w:tcPr>
                <w:p w:rsidR="00B14AD3" w:rsidRPr="00976C64" w:rsidRDefault="00B14AD3" w:rsidP="00B14AD3">
                  <w:pPr>
                    <w:pStyle w:val="NoSpacing"/>
                    <w:rPr>
                      <w:rFonts w:cs="Arial"/>
                      <w:b/>
                      <w:szCs w:val="24"/>
                    </w:rPr>
                  </w:pPr>
                  <w:r w:rsidRPr="00976C64">
                    <w:rPr>
                      <w:rFonts w:cs="Arial"/>
                      <w:b/>
                      <w:szCs w:val="24"/>
                    </w:rPr>
                    <w:t>Current Risk Rating</w:t>
                  </w:r>
                </w:p>
              </w:tc>
              <w:tc>
                <w:tcPr>
                  <w:tcW w:w="1701" w:type="dxa"/>
                  <w:shd w:val="clear" w:color="auto" w:fill="FF0000"/>
                </w:tcPr>
                <w:p w:rsidR="00B14AD3" w:rsidRPr="00976C64" w:rsidRDefault="00B14AD3" w:rsidP="00B14AD3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 xml:space="preserve">Very </w:t>
                  </w:r>
                  <w:r w:rsidRPr="00976C64">
                    <w:rPr>
                      <w:rFonts w:cs="Arial"/>
                      <w:b/>
                      <w:sz w:val="24"/>
                      <w:szCs w:val="24"/>
                    </w:rPr>
                    <w:t>High</w:t>
                  </w:r>
                </w:p>
              </w:tc>
            </w:tr>
          </w:tbl>
          <w:p w:rsidR="00B14AD3" w:rsidRDefault="00B14AD3" w:rsidP="00B14AD3">
            <w:pPr>
              <w:pStyle w:val="NoSpacing"/>
              <w:rPr>
                <w:rFonts w:cs="Arial"/>
                <w:b/>
                <w:szCs w:val="24"/>
                <w:highlight w:val="red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b/>
                <w:szCs w:val="24"/>
                <w:highlight w:val="red"/>
              </w:rPr>
            </w:pPr>
          </w:p>
          <w:p w:rsidR="00B14AD3" w:rsidRPr="004B20EA" w:rsidRDefault="00B14AD3" w:rsidP="00B14AD3">
            <w:pPr>
              <w:pStyle w:val="NoSpacing"/>
              <w:rPr>
                <w:rFonts w:cs="Arial"/>
                <w:sz w:val="18"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 xml:space="preserve">In overall terms, Non Pay costs at Month 11 are overspent by </w:t>
            </w:r>
            <w:r w:rsidRPr="006E0FF5">
              <w:rPr>
                <w:rFonts w:cs="Arial"/>
                <w:color w:val="FF0000"/>
                <w:sz w:val="22"/>
                <w:szCs w:val="22"/>
              </w:rPr>
              <w:t xml:space="preserve">-£1.962m </w:t>
            </w:r>
            <w:r w:rsidRPr="006E0FF5">
              <w:rPr>
                <w:rFonts w:cs="Arial"/>
                <w:sz w:val="22"/>
                <w:szCs w:val="22"/>
              </w:rPr>
              <w:t xml:space="preserve">equating to </w:t>
            </w:r>
            <w:r w:rsidRPr="006E0FF5">
              <w:rPr>
                <w:rFonts w:cs="Arial"/>
                <w:color w:val="FF0000"/>
                <w:sz w:val="22"/>
                <w:szCs w:val="22"/>
              </w:rPr>
              <w:t xml:space="preserve">-2.95% </w:t>
            </w:r>
            <w:r w:rsidRPr="006E0FF5">
              <w:rPr>
                <w:rFonts w:cs="Arial"/>
                <w:sz w:val="22"/>
                <w:szCs w:val="22"/>
              </w:rPr>
              <w:t>above YTD budget across a number of Board expenditure categories. This position has been improved following the rebasing of SLAs across both HL&amp;D and NES Divisions, to better reflect the baseline funding required to deliver this year’s associated ADP.  However significant pressures continue across Facilities Management (FM) and Surgical Supplies.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Further analysis is provided within the relevant section of the main report.</w:t>
            </w:r>
          </w:p>
          <w:p w:rsidR="00B14AD3" w:rsidRPr="004B20EA" w:rsidRDefault="00B14AD3" w:rsidP="00B14AD3">
            <w:pPr>
              <w:pStyle w:val="NoSpacing"/>
              <w:rPr>
                <w:rFonts w:cs="Arial"/>
                <w:sz w:val="18"/>
                <w:szCs w:val="24"/>
                <w:highlight w:val="red"/>
              </w:rPr>
            </w:pPr>
          </w:p>
        </w:tc>
      </w:tr>
      <w:tr w:rsidR="00B14AD3" w:rsidRPr="00594355" w:rsidTr="00B14AD3">
        <w:tc>
          <w:tcPr>
            <w:tcW w:w="9865" w:type="dxa"/>
          </w:tcPr>
          <w:p w:rsidR="00B14AD3" w:rsidRPr="004265A6" w:rsidRDefault="00B14AD3" w:rsidP="00B14AD3">
            <w:pPr>
              <w:pStyle w:val="NoSpacing"/>
              <w:numPr>
                <w:ilvl w:val="0"/>
                <w:numId w:val="25"/>
              </w:numPr>
              <w:spacing w:before="120"/>
              <w:rPr>
                <w:rFonts w:cs="Arial"/>
                <w:szCs w:val="24"/>
              </w:rPr>
            </w:pPr>
            <w:r w:rsidRPr="00553A02">
              <w:rPr>
                <w:rFonts w:cs="Arial"/>
                <w:b/>
                <w:color w:val="002060"/>
                <w:sz w:val="32"/>
                <w:szCs w:val="24"/>
              </w:rPr>
              <w:t xml:space="preserve">2023/24 EFFICIENCY REQUIREMENT </w:t>
            </w:r>
          </w:p>
          <w:p w:rsidR="00B14AD3" w:rsidRPr="004B20EA" w:rsidRDefault="00B14AD3" w:rsidP="00B14AD3">
            <w:pPr>
              <w:pStyle w:val="NoSpacing"/>
              <w:rPr>
                <w:sz w:val="12"/>
              </w:rPr>
            </w:pPr>
          </w:p>
          <w:tbl>
            <w:tblPr>
              <w:tblpPr w:leftFromText="180" w:rightFromText="180" w:vertAnchor="text" w:horzAnchor="page" w:tblpX="123" w:tblpY="5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835"/>
              <w:gridCol w:w="1701"/>
            </w:tblGrid>
            <w:tr w:rsidR="00B14AD3" w:rsidRPr="00976C64" w:rsidTr="001028D9">
              <w:trPr>
                <w:trHeight w:val="283"/>
              </w:trPr>
              <w:tc>
                <w:tcPr>
                  <w:tcW w:w="2835" w:type="dxa"/>
                </w:tcPr>
                <w:p w:rsidR="00B14AD3" w:rsidRPr="00976C64" w:rsidRDefault="00B14AD3" w:rsidP="00B14AD3">
                  <w:pPr>
                    <w:pStyle w:val="NoSpacing"/>
                    <w:rPr>
                      <w:rFonts w:cs="Arial"/>
                      <w:b/>
                      <w:szCs w:val="24"/>
                    </w:rPr>
                  </w:pPr>
                  <w:r w:rsidRPr="00976C64">
                    <w:rPr>
                      <w:rFonts w:cs="Arial"/>
                      <w:b/>
                      <w:szCs w:val="24"/>
                    </w:rPr>
                    <w:t>Current Risk Rating</w:t>
                  </w:r>
                </w:p>
              </w:tc>
              <w:tc>
                <w:tcPr>
                  <w:tcW w:w="1701" w:type="dxa"/>
                  <w:shd w:val="clear" w:color="auto" w:fill="FFC000"/>
                </w:tcPr>
                <w:p w:rsidR="00B14AD3" w:rsidRPr="00976C64" w:rsidRDefault="00B14AD3" w:rsidP="00B14AD3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Medium</w:t>
                  </w:r>
                </w:p>
              </w:tc>
            </w:tr>
          </w:tbl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Pr="004B20EA" w:rsidRDefault="00B14AD3" w:rsidP="00B14AD3">
            <w:pPr>
              <w:pStyle w:val="NoSpacing"/>
              <w:rPr>
                <w:rFonts w:cs="Arial"/>
                <w:sz w:val="16"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  <w:r w:rsidRPr="004A44DA">
              <w:rPr>
                <w:rFonts w:cs="Arial"/>
                <w:szCs w:val="24"/>
              </w:rPr>
              <w:t xml:space="preserve">There is a </w:t>
            </w:r>
            <w:r w:rsidRPr="00D77176">
              <w:rPr>
                <w:rFonts w:cs="Arial"/>
                <w:color w:val="FF0000"/>
                <w:szCs w:val="24"/>
              </w:rPr>
              <w:t>-£</w:t>
            </w:r>
            <w:r w:rsidRPr="004A44DA">
              <w:rPr>
                <w:rFonts w:cs="Arial"/>
                <w:color w:val="FF0000"/>
                <w:szCs w:val="24"/>
              </w:rPr>
              <w:t>6.66m</w:t>
            </w:r>
            <w:r w:rsidRPr="004A44DA">
              <w:rPr>
                <w:rFonts w:cs="Arial"/>
                <w:szCs w:val="24"/>
              </w:rPr>
              <w:t xml:space="preserve"> efficiency requirement within the Financial Plan to achieve the targeted break</w:t>
            </w:r>
            <w:r>
              <w:rPr>
                <w:rFonts w:cs="Arial"/>
                <w:szCs w:val="24"/>
              </w:rPr>
              <w:t>-</w:t>
            </w:r>
            <w:r w:rsidRPr="004A44DA">
              <w:rPr>
                <w:rFonts w:cs="Arial"/>
                <w:szCs w:val="24"/>
              </w:rPr>
              <w:t xml:space="preserve">even position for 2023/24. </w:t>
            </w:r>
          </w:p>
          <w:p w:rsidR="00B14AD3" w:rsidRPr="004B20EA" w:rsidRDefault="00B14AD3" w:rsidP="00B14AD3">
            <w:pPr>
              <w:pStyle w:val="NoSpacing"/>
              <w:rPr>
                <w:rFonts w:cs="Arial"/>
                <w:sz w:val="16"/>
                <w:szCs w:val="24"/>
              </w:rPr>
            </w:pPr>
          </w:p>
          <w:p w:rsidR="00B14AD3" w:rsidRPr="005E7DA9" w:rsidRDefault="00B14AD3" w:rsidP="00B14AD3">
            <w:pPr>
              <w:pStyle w:val="NoSpacing"/>
              <w:rPr>
                <w:rFonts w:cs="Arial"/>
                <w:b/>
                <w:color w:val="002060"/>
                <w:sz w:val="28"/>
                <w:szCs w:val="24"/>
              </w:rPr>
            </w:pPr>
            <w:r w:rsidRPr="005E7DA9">
              <w:rPr>
                <w:rFonts w:cs="Arial"/>
                <w:b/>
                <w:color w:val="002060"/>
                <w:sz w:val="28"/>
                <w:szCs w:val="24"/>
              </w:rPr>
              <w:t>FULL YEAR SAVINGS PLAN</w:t>
            </w:r>
          </w:p>
          <w:p w:rsidR="00B14AD3" w:rsidRPr="004B20EA" w:rsidRDefault="00B14AD3" w:rsidP="00B14AD3">
            <w:pPr>
              <w:pStyle w:val="NoSpacing"/>
              <w:rPr>
                <w:rFonts w:cs="Arial"/>
                <w:sz w:val="18"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 xml:space="preserve">Savings schemes identified to-date, as part of the Month 11 review, show that the efficiency target will be met in full by the year-end. </w:t>
            </w: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</w:p>
          <w:p w:rsidR="00B14AD3" w:rsidRPr="006E0FF5" w:rsidRDefault="00B14AD3" w:rsidP="00B14AD3">
            <w:pPr>
              <w:pStyle w:val="NoSpacing"/>
              <w:jc w:val="both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 xml:space="preserve">Forecast savings of £6.297m have been identified as at Month 11, leaving a remaining £0.369m which will be identified by the year end. </w:t>
            </w:r>
            <w:r w:rsidRPr="006E0FF5">
              <w:rPr>
                <w:rFonts w:cs="Arial"/>
                <w:b/>
                <w:bCs/>
                <w:sz w:val="22"/>
                <w:szCs w:val="22"/>
              </w:rPr>
              <w:t>£4.510m of this total has been identified non-recurrently,</w:t>
            </w:r>
          </w:p>
          <w:p w:rsidR="00B14AD3" w:rsidRPr="006E0FF5" w:rsidRDefault="00B14AD3" w:rsidP="00B14AD3">
            <w:pPr>
              <w:pStyle w:val="NoSpacing"/>
              <w:jc w:val="both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 xml:space="preserve">with </w:t>
            </w:r>
            <w:r w:rsidRPr="006E0FF5">
              <w:rPr>
                <w:rFonts w:cs="Arial"/>
                <w:b/>
                <w:bCs/>
                <w:sz w:val="22"/>
                <w:szCs w:val="22"/>
              </w:rPr>
              <w:t>c</w:t>
            </w:r>
            <w:r w:rsidRPr="006E0FF5">
              <w:rPr>
                <w:rFonts w:cs="Arial"/>
                <w:sz w:val="22"/>
                <w:szCs w:val="22"/>
              </w:rPr>
              <w:t xml:space="preserve">. </w:t>
            </w:r>
            <w:r w:rsidRPr="006E0FF5">
              <w:rPr>
                <w:rFonts w:cs="Arial"/>
                <w:b/>
                <w:bCs/>
                <w:sz w:val="22"/>
                <w:szCs w:val="22"/>
              </w:rPr>
              <w:t>£1.787m recurrently</w:t>
            </w:r>
            <w:r w:rsidRPr="006E0FF5">
              <w:rPr>
                <w:rFonts w:cs="Arial"/>
                <w:sz w:val="22"/>
                <w:szCs w:val="22"/>
              </w:rPr>
              <w:t xml:space="preserve"> delivered. </w:t>
            </w:r>
          </w:p>
          <w:p w:rsidR="00B14AD3" w:rsidRDefault="00B14AD3" w:rsidP="00B14AD3">
            <w:pPr>
              <w:pStyle w:val="NoSpacing"/>
              <w:jc w:val="both"/>
              <w:rPr>
                <w:rFonts w:cs="Arial"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jc w:val="both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 xml:space="preserve">This leaves an on-going recurring challenge of </w:t>
            </w:r>
            <w:r w:rsidRPr="006E0FF5">
              <w:rPr>
                <w:rFonts w:cs="Arial"/>
                <w:b/>
                <w:sz w:val="22"/>
                <w:szCs w:val="22"/>
              </w:rPr>
              <w:t>£4.9m</w:t>
            </w:r>
            <w:r w:rsidRPr="006E0FF5">
              <w:rPr>
                <w:rFonts w:cs="Arial"/>
                <w:sz w:val="22"/>
                <w:szCs w:val="22"/>
              </w:rPr>
              <w:t xml:space="preserve"> which has been carried forward into next year’s financial planning assumptions.</w:t>
            </w:r>
          </w:p>
          <w:p w:rsidR="00B14AD3" w:rsidRPr="004B20EA" w:rsidRDefault="00B14AD3" w:rsidP="00B14AD3">
            <w:pPr>
              <w:pStyle w:val="NoSpacing"/>
              <w:rPr>
                <w:rFonts w:cs="Arial"/>
                <w:sz w:val="12"/>
                <w:szCs w:val="24"/>
              </w:rPr>
            </w:pPr>
          </w:p>
        </w:tc>
      </w:tr>
      <w:tr w:rsidR="00B14AD3" w:rsidRPr="00594355" w:rsidTr="00B14AD3">
        <w:tc>
          <w:tcPr>
            <w:tcW w:w="9865" w:type="dxa"/>
          </w:tcPr>
          <w:p w:rsidR="00B14AD3" w:rsidRPr="003048D2" w:rsidRDefault="00B14AD3" w:rsidP="00B14AD3">
            <w:pPr>
              <w:pStyle w:val="NoSpacing"/>
              <w:numPr>
                <w:ilvl w:val="0"/>
                <w:numId w:val="25"/>
              </w:numPr>
              <w:spacing w:before="120"/>
              <w:rPr>
                <w:rFonts w:cs="Arial"/>
                <w:b/>
                <w:color w:val="002060"/>
                <w:sz w:val="32"/>
                <w:szCs w:val="24"/>
              </w:rPr>
            </w:pPr>
            <w:r w:rsidRPr="003048D2">
              <w:rPr>
                <w:rFonts w:cs="Arial"/>
                <w:b/>
                <w:color w:val="002060"/>
                <w:sz w:val="32"/>
                <w:szCs w:val="24"/>
              </w:rPr>
              <w:t xml:space="preserve">NON-CORE REVENUE POSITION  </w:t>
            </w: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tbl>
            <w:tblPr>
              <w:tblpPr w:leftFromText="180" w:rightFromText="180" w:vertAnchor="text" w:horzAnchor="page" w:tblpX="123" w:tblpY="5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835"/>
              <w:gridCol w:w="1701"/>
            </w:tblGrid>
            <w:tr w:rsidR="00B14AD3" w:rsidRPr="00976C64" w:rsidTr="001028D9">
              <w:trPr>
                <w:trHeight w:val="283"/>
              </w:trPr>
              <w:tc>
                <w:tcPr>
                  <w:tcW w:w="2835" w:type="dxa"/>
                </w:tcPr>
                <w:p w:rsidR="00B14AD3" w:rsidRPr="00976C64" w:rsidRDefault="00B14AD3" w:rsidP="00B14AD3">
                  <w:pPr>
                    <w:pStyle w:val="NoSpacing"/>
                    <w:rPr>
                      <w:rFonts w:cs="Arial"/>
                      <w:b/>
                      <w:szCs w:val="24"/>
                    </w:rPr>
                  </w:pPr>
                  <w:r w:rsidRPr="00976C64">
                    <w:rPr>
                      <w:rFonts w:cs="Arial"/>
                      <w:b/>
                      <w:szCs w:val="24"/>
                    </w:rPr>
                    <w:lastRenderedPageBreak/>
                    <w:t>Current Risk Rating</w:t>
                  </w:r>
                </w:p>
              </w:tc>
              <w:tc>
                <w:tcPr>
                  <w:tcW w:w="1701" w:type="dxa"/>
                  <w:shd w:val="clear" w:color="auto" w:fill="92D050"/>
                </w:tcPr>
                <w:p w:rsidR="00B14AD3" w:rsidRPr="00976C64" w:rsidRDefault="00B14AD3" w:rsidP="00B14AD3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Low</w:t>
                  </w:r>
                </w:p>
              </w:tc>
            </w:tr>
          </w:tbl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Non-Core position at Month 11 is anticipated to be break-even (expenditure matched by SG Income).</w:t>
            </w:r>
          </w:p>
          <w:p w:rsidR="00B14AD3" w:rsidRPr="00D04E68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</w:tc>
      </w:tr>
      <w:tr w:rsidR="00B14AD3" w:rsidRPr="00594355" w:rsidTr="00B14AD3">
        <w:tc>
          <w:tcPr>
            <w:tcW w:w="9865" w:type="dxa"/>
          </w:tcPr>
          <w:p w:rsidR="00B14AD3" w:rsidRPr="00BC457E" w:rsidRDefault="00B14AD3" w:rsidP="00B14AD3">
            <w:pPr>
              <w:pStyle w:val="NoSpacing"/>
              <w:numPr>
                <w:ilvl w:val="0"/>
                <w:numId w:val="25"/>
              </w:numPr>
              <w:spacing w:before="120"/>
              <w:rPr>
                <w:rFonts w:cs="Arial"/>
                <w:b/>
                <w:color w:val="002060"/>
                <w:sz w:val="32"/>
                <w:szCs w:val="32"/>
              </w:rPr>
            </w:pPr>
            <w:r w:rsidRPr="00BC457E">
              <w:rPr>
                <w:rFonts w:cs="Arial"/>
                <w:b/>
                <w:color w:val="002060"/>
                <w:sz w:val="32"/>
                <w:szCs w:val="32"/>
              </w:rPr>
              <w:lastRenderedPageBreak/>
              <w:t>CAPITAL INCOME AND EXPENDITURE</w:t>
            </w:r>
          </w:p>
          <w:p w:rsidR="00B14AD3" w:rsidRPr="00FF51B4" w:rsidRDefault="00B14AD3" w:rsidP="00B14AD3">
            <w:pPr>
              <w:pStyle w:val="NoSpacing"/>
              <w:rPr>
                <w:rFonts w:cs="Arial"/>
                <w:b/>
                <w:szCs w:val="24"/>
              </w:rPr>
            </w:pPr>
          </w:p>
          <w:tbl>
            <w:tblPr>
              <w:tblpPr w:leftFromText="180" w:rightFromText="180" w:vertAnchor="text" w:horzAnchor="page" w:tblpX="123" w:tblpY="5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835"/>
              <w:gridCol w:w="1701"/>
            </w:tblGrid>
            <w:tr w:rsidR="00B14AD3" w:rsidRPr="00976C64" w:rsidTr="001028D9">
              <w:trPr>
                <w:trHeight w:val="283"/>
              </w:trPr>
              <w:tc>
                <w:tcPr>
                  <w:tcW w:w="2835" w:type="dxa"/>
                </w:tcPr>
                <w:p w:rsidR="00B14AD3" w:rsidRPr="00976C64" w:rsidRDefault="00B14AD3" w:rsidP="00B14AD3">
                  <w:pPr>
                    <w:pStyle w:val="NoSpacing"/>
                    <w:rPr>
                      <w:rFonts w:cs="Arial"/>
                      <w:b/>
                      <w:szCs w:val="24"/>
                    </w:rPr>
                  </w:pPr>
                  <w:r w:rsidRPr="00976C64">
                    <w:rPr>
                      <w:rFonts w:cs="Arial"/>
                      <w:b/>
                      <w:szCs w:val="24"/>
                    </w:rPr>
                    <w:t>Current Risk Rating</w:t>
                  </w:r>
                </w:p>
              </w:tc>
              <w:tc>
                <w:tcPr>
                  <w:tcW w:w="1701" w:type="dxa"/>
                  <w:shd w:val="clear" w:color="auto" w:fill="FFC000"/>
                </w:tcPr>
                <w:p w:rsidR="00B14AD3" w:rsidRPr="00976C64" w:rsidRDefault="00B14AD3" w:rsidP="00B14AD3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Medium</w:t>
                  </w:r>
                </w:p>
              </w:tc>
            </w:tr>
          </w:tbl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Default="00B14AD3" w:rsidP="00B14AD3">
            <w:pPr>
              <w:pStyle w:val="NoSpacing"/>
              <w:rPr>
                <w:rFonts w:cs="Arial"/>
                <w:szCs w:val="24"/>
              </w:rPr>
            </w:pPr>
          </w:p>
          <w:p w:rsidR="00B14AD3" w:rsidRPr="006E0FF5" w:rsidRDefault="00B14AD3" w:rsidP="00B14AD3">
            <w:pPr>
              <w:pStyle w:val="NoSpacing"/>
              <w:jc w:val="both"/>
              <w:rPr>
                <w:rFonts w:cs="Arial"/>
                <w:sz w:val="22"/>
                <w:szCs w:val="22"/>
              </w:rPr>
            </w:pPr>
            <w:r w:rsidRPr="006E0FF5">
              <w:rPr>
                <w:rFonts w:cs="Arial"/>
                <w:sz w:val="22"/>
                <w:szCs w:val="22"/>
              </w:rPr>
              <w:t>Capital allocations of £4.270m have been confirmed by Scottish Government at Month 11 with ‘anticipated’ allocations expected of a further £10.042m which would result in an overall funded 2023/24 Capital Plan of £14.312m. This has been updated following the latest cost control meeting with the Board’s Phase 2 cost advisors, reducing the value of expected works carried out down significantly by the end of this financial year. The remaining balance of the Phase 2 works will be carried into the next financial year. The capital position will continue to be reviewed on a monthly basis and updated accordingly.</w:t>
            </w:r>
          </w:p>
          <w:p w:rsidR="00B14AD3" w:rsidRPr="006E0FF5" w:rsidRDefault="00B14AD3" w:rsidP="00B14AD3">
            <w:pPr>
              <w:pStyle w:val="NoSpacing"/>
              <w:jc w:val="both"/>
              <w:rPr>
                <w:rFonts w:cs="Arial"/>
                <w:sz w:val="22"/>
                <w:szCs w:val="22"/>
              </w:rPr>
            </w:pPr>
          </w:p>
          <w:p w:rsidR="00B14AD3" w:rsidRPr="00594355" w:rsidRDefault="00B14AD3" w:rsidP="00B14AD3">
            <w:pPr>
              <w:pStyle w:val="NoSpacing"/>
              <w:ind w:left="720"/>
              <w:rPr>
                <w:rFonts w:cs="Arial"/>
                <w:szCs w:val="24"/>
              </w:rPr>
            </w:pPr>
          </w:p>
        </w:tc>
      </w:tr>
    </w:tbl>
    <w:p w:rsidR="00B82E86" w:rsidRPr="00B14AD3" w:rsidRDefault="00B82E86" w:rsidP="00B14AD3">
      <w:pPr>
        <w:spacing w:line="276" w:lineRule="auto"/>
        <w:rPr>
          <w:rFonts w:cs="Arial"/>
          <w:bCs/>
          <w:sz w:val="28"/>
          <w:szCs w:val="36"/>
        </w:rPr>
      </w:pPr>
    </w:p>
    <w:sectPr w:rsidR="00B82E86" w:rsidRPr="00B14AD3" w:rsidSect="00B14AD3">
      <w:pgSz w:w="11906" w:h="16838" w:code="9"/>
      <w:pgMar w:top="851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5B8" w:rsidRDefault="009335B8" w:rsidP="005A1C4D">
      <w:r>
        <w:separator/>
      </w:r>
    </w:p>
  </w:endnote>
  <w:endnote w:type="continuationSeparator" w:id="0">
    <w:p w:rsidR="009335B8" w:rsidRDefault="009335B8" w:rsidP="005A1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one Sans Semi Bold">
    <w:altName w:val="Calibri"/>
    <w:charset w:val="00"/>
    <w:family w:val="auto"/>
    <w:pitch w:val="variable"/>
    <w:sig w:usb0="00000001" w:usb1="00000000" w:usb2="00000000" w:usb3="00000000" w:csb0="00000009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963936"/>
      <w:docPartObj>
        <w:docPartGallery w:val="Page Numbers (Bottom of Page)"/>
        <w:docPartUnique/>
      </w:docPartObj>
    </w:sdtPr>
    <w:sdtEndPr/>
    <w:sdtContent>
      <w:p w:rsidR="00D766A3" w:rsidRDefault="00D766A3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D03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766A3" w:rsidRDefault="00D766A3" w:rsidP="00A403AC">
    <w:pPr>
      <w:pStyle w:val="Footer"/>
      <w:tabs>
        <w:tab w:val="clear" w:pos="4320"/>
        <w:tab w:val="clear" w:pos="8640"/>
        <w:tab w:val="right" w:pos="9026"/>
      </w:tabs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58500"/>
      <w:docPartObj>
        <w:docPartGallery w:val="Page Numbers (Bottom of Page)"/>
        <w:docPartUnique/>
      </w:docPartObj>
    </w:sdtPr>
    <w:sdtEndPr/>
    <w:sdtContent>
      <w:p w:rsidR="00D766A3" w:rsidRDefault="00D766A3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D03D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766A3" w:rsidRPr="0000750A" w:rsidRDefault="00D766A3" w:rsidP="0000750A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6A3" w:rsidRDefault="00D766A3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D766A3" w:rsidRDefault="00D766A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6A3" w:rsidRDefault="00D766A3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D766A3" w:rsidRDefault="00D766A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6A3" w:rsidRPr="0023609F" w:rsidRDefault="00D766A3" w:rsidP="002360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5B8" w:rsidRDefault="009335B8" w:rsidP="005A1C4D">
      <w:r>
        <w:separator/>
      </w:r>
    </w:p>
  </w:footnote>
  <w:footnote w:type="continuationSeparator" w:id="0">
    <w:p w:rsidR="009335B8" w:rsidRDefault="009335B8" w:rsidP="005A1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3DB" w:rsidRDefault="008D03DB">
    <w:pPr>
      <w:pStyle w:val="Header"/>
    </w:pPr>
    <w:r>
      <w:tab/>
    </w:r>
    <w:r>
      <w:tab/>
      <w:t>Board Public Item 4.1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6A3" w:rsidRDefault="00D766A3" w:rsidP="00E87544">
    <w:pPr>
      <w:pStyle w:val="BodyText"/>
      <w:kinsoku w:val="0"/>
      <w:overflowPunct w:val="0"/>
      <w:spacing w:before="19"/>
      <w:ind w:left="20"/>
    </w:pPr>
    <w:r>
      <w:tab/>
    </w:r>
  </w:p>
  <w:p w:rsidR="00D766A3" w:rsidRDefault="00D766A3" w:rsidP="00E87544">
    <w:pPr>
      <w:pStyle w:val="BodyText"/>
      <w:kinsoku w:val="0"/>
      <w:overflowPunct w:val="0"/>
      <w:spacing w:before="19"/>
      <w:ind w:left="20"/>
      <w:rPr>
        <w:rFonts w:ascii="Georgia-BoldItalic" w:hAnsi="Georgia-BoldItalic" w:cs="Georgia-BoldItalic"/>
        <w:b/>
        <w:bCs/>
        <w:i/>
        <w:iCs/>
        <w:color w:val="0070C0"/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6A3" w:rsidRDefault="00D766A3" w:rsidP="00C57AB9">
    <w:pPr>
      <w:pStyle w:val="BodyText"/>
      <w:kinsoku w:val="0"/>
      <w:overflowPunct w:val="0"/>
      <w:spacing w:before="19"/>
      <w:ind w:left="20"/>
    </w:pPr>
    <w:r>
      <w:tab/>
    </w:r>
  </w:p>
  <w:p w:rsidR="00D766A3" w:rsidRDefault="00D766A3" w:rsidP="00C57AB9">
    <w:pPr>
      <w:pStyle w:val="BodyText"/>
      <w:kinsoku w:val="0"/>
      <w:overflowPunct w:val="0"/>
      <w:spacing w:before="19"/>
      <w:ind w:left="20"/>
      <w:rPr>
        <w:rFonts w:ascii="Georgia-BoldItalic" w:hAnsi="Georgia-BoldItalic" w:cs="Georgia-BoldItalic"/>
        <w:b/>
        <w:bCs/>
        <w:i/>
        <w:iCs/>
        <w:color w:val="0070C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FF645F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6BF8"/>
      </v:shape>
    </w:pict>
  </w:numPicBullet>
  <w:abstractNum w:abstractNumId="0" w15:restartNumberingAfterBreak="0">
    <w:nsid w:val="08AC62B6"/>
    <w:multiLevelType w:val="hybridMultilevel"/>
    <w:tmpl w:val="EBD259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6039DC"/>
    <w:multiLevelType w:val="hybridMultilevel"/>
    <w:tmpl w:val="C4BC1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80783"/>
    <w:multiLevelType w:val="hybridMultilevel"/>
    <w:tmpl w:val="A0242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705D9"/>
    <w:multiLevelType w:val="hybridMultilevel"/>
    <w:tmpl w:val="12801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11C3E"/>
    <w:multiLevelType w:val="hybridMultilevel"/>
    <w:tmpl w:val="489AA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2927"/>
    <w:multiLevelType w:val="hybridMultilevel"/>
    <w:tmpl w:val="E73215A0"/>
    <w:lvl w:ilvl="0" w:tplc="04090005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23CF003D"/>
    <w:multiLevelType w:val="hybridMultilevel"/>
    <w:tmpl w:val="34E4919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94D2A"/>
    <w:multiLevelType w:val="hybridMultilevel"/>
    <w:tmpl w:val="0CF69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8633C"/>
    <w:multiLevelType w:val="hybridMultilevel"/>
    <w:tmpl w:val="30580648"/>
    <w:lvl w:ilvl="0" w:tplc="94949CB8">
      <w:start w:val="1"/>
      <w:numFmt w:val="bullet"/>
      <w:pStyle w:val="TableBullet2"/>
      <w:lvlText w:val=""/>
      <w:lvlJc w:val="left"/>
      <w:pPr>
        <w:tabs>
          <w:tab w:val="num" w:pos="681"/>
        </w:tabs>
        <w:ind w:left="681" w:hanging="284"/>
      </w:pPr>
      <w:rPr>
        <w:rFonts w:ascii="Symbol" w:hAnsi="Symbol" w:hint="default"/>
        <w:color w:val="auto"/>
      </w:rPr>
    </w:lvl>
    <w:lvl w:ilvl="1" w:tplc="04090019" w:tentative="1">
      <w:start w:val="1"/>
      <w:numFmt w:val="bullet"/>
      <w:lvlText w:val="o"/>
      <w:lvlJc w:val="left"/>
      <w:pPr>
        <w:tabs>
          <w:tab w:val="num" w:pos="1842"/>
        </w:tabs>
        <w:ind w:left="1842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62"/>
        </w:tabs>
        <w:ind w:left="256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82"/>
        </w:tabs>
        <w:ind w:left="328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002"/>
        </w:tabs>
        <w:ind w:left="4002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722"/>
        </w:tabs>
        <w:ind w:left="472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42"/>
        </w:tabs>
        <w:ind w:left="544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62"/>
        </w:tabs>
        <w:ind w:left="6162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82"/>
        </w:tabs>
        <w:ind w:left="6882" w:hanging="360"/>
      </w:pPr>
      <w:rPr>
        <w:rFonts w:ascii="Wingdings" w:hAnsi="Wingdings" w:hint="default"/>
      </w:rPr>
    </w:lvl>
  </w:abstractNum>
  <w:abstractNum w:abstractNumId="9" w15:restartNumberingAfterBreak="0">
    <w:nsid w:val="291E2AAC"/>
    <w:multiLevelType w:val="hybridMultilevel"/>
    <w:tmpl w:val="6DB65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A7DF0"/>
    <w:multiLevelType w:val="hybridMultilevel"/>
    <w:tmpl w:val="4A7E4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091153"/>
    <w:multiLevelType w:val="hybridMultilevel"/>
    <w:tmpl w:val="4D0C375A"/>
    <w:lvl w:ilvl="0" w:tplc="6896B6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C0E3C"/>
    <w:multiLevelType w:val="hybridMultilevel"/>
    <w:tmpl w:val="9ED4D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3018A"/>
    <w:multiLevelType w:val="hybridMultilevel"/>
    <w:tmpl w:val="694631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704CAA"/>
    <w:multiLevelType w:val="hybridMultilevel"/>
    <w:tmpl w:val="A0E857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0B432E"/>
    <w:multiLevelType w:val="hybridMultilevel"/>
    <w:tmpl w:val="21783AB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36A2C"/>
    <w:multiLevelType w:val="hybridMultilevel"/>
    <w:tmpl w:val="A860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B55A9"/>
    <w:multiLevelType w:val="hybridMultilevel"/>
    <w:tmpl w:val="0792DCCE"/>
    <w:lvl w:ilvl="0" w:tplc="080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67E33"/>
    <w:multiLevelType w:val="hybridMultilevel"/>
    <w:tmpl w:val="88442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4546E"/>
    <w:multiLevelType w:val="hybridMultilevel"/>
    <w:tmpl w:val="4EA20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892789"/>
    <w:multiLevelType w:val="hybridMultilevel"/>
    <w:tmpl w:val="C63EC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BF0C30"/>
    <w:multiLevelType w:val="hybridMultilevel"/>
    <w:tmpl w:val="7022690E"/>
    <w:lvl w:ilvl="0" w:tplc="BB367AC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BA2F5D"/>
    <w:multiLevelType w:val="hybridMultilevel"/>
    <w:tmpl w:val="7070E780"/>
    <w:lvl w:ilvl="0" w:tplc="08090005">
      <w:start w:val="1"/>
      <w:numFmt w:val="bullet"/>
      <w:lvlText w:val=""/>
      <w:lvlJc w:val="left"/>
      <w:pPr>
        <w:ind w:left="371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3" w15:restartNumberingAfterBreak="0">
    <w:nsid w:val="76060359"/>
    <w:multiLevelType w:val="hybridMultilevel"/>
    <w:tmpl w:val="E1DAE5EA"/>
    <w:lvl w:ilvl="0" w:tplc="43CAEA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67AEB"/>
    <w:multiLevelType w:val="hybridMultilevel"/>
    <w:tmpl w:val="29C6FAC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13"/>
  </w:num>
  <w:num w:numId="5">
    <w:abstractNumId w:val="5"/>
  </w:num>
  <w:num w:numId="6">
    <w:abstractNumId w:val="10"/>
  </w:num>
  <w:num w:numId="7">
    <w:abstractNumId w:val="18"/>
  </w:num>
  <w:num w:numId="8">
    <w:abstractNumId w:val="22"/>
  </w:num>
  <w:num w:numId="9">
    <w:abstractNumId w:val="16"/>
  </w:num>
  <w:num w:numId="10">
    <w:abstractNumId w:val="7"/>
  </w:num>
  <w:num w:numId="11">
    <w:abstractNumId w:val="1"/>
  </w:num>
  <w:num w:numId="12">
    <w:abstractNumId w:val="9"/>
  </w:num>
  <w:num w:numId="13">
    <w:abstractNumId w:val="23"/>
  </w:num>
  <w:num w:numId="14">
    <w:abstractNumId w:val="4"/>
  </w:num>
  <w:num w:numId="15">
    <w:abstractNumId w:val="24"/>
  </w:num>
  <w:num w:numId="16">
    <w:abstractNumId w:val="19"/>
  </w:num>
  <w:num w:numId="17">
    <w:abstractNumId w:val="17"/>
  </w:num>
  <w:num w:numId="18">
    <w:abstractNumId w:val="3"/>
  </w:num>
  <w:num w:numId="19">
    <w:abstractNumId w:val="0"/>
  </w:num>
  <w:num w:numId="20">
    <w:abstractNumId w:val="2"/>
  </w:num>
  <w:num w:numId="21">
    <w:abstractNumId w:val="20"/>
  </w:num>
  <w:num w:numId="22">
    <w:abstractNumId w:val="12"/>
  </w:num>
  <w:num w:numId="23">
    <w:abstractNumId w:val="15"/>
  </w:num>
  <w:num w:numId="24">
    <w:abstractNumId w:val="6"/>
  </w:num>
  <w:num w:numId="25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page;mso-position-vertical-relative:page;mso-width-percent:60;mso-height-percent:1000" o:allowincell="f" fillcolor="none [1303]" strokecolor="none [1303]">
      <v:fill color="none [1303]" color2="fill lighten(165)" rotate="t" method="linear sigma" focus="100%" type="gradient"/>
      <v:stroke color="none [1303]" weight="1pt"/>
      <v:imagedata embosscolor="shadow add(51)"/>
      <v:shadow type="perspective" color="none [2408]" origin=",.5" offset="0,-123pt" offset2=",-246pt" matrix=",,,-1"/>
      <o:extrusion v:ext="view" backdepth="0" color="none [1343]" rotationangle="25,25" viewpoint="0,0" viewpointorigin="0,0" skewangle="0" skewamt="0" lightposition="-50000,-50000" lightposition2="50000"/>
      <v:textbox inset="0,1in,1in,1in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34ABE"/>
    <w:rsid w:val="00000344"/>
    <w:rsid w:val="00000522"/>
    <w:rsid w:val="0000063A"/>
    <w:rsid w:val="00000641"/>
    <w:rsid w:val="00000EF3"/>
    <w:rsid w:val="00001653"/>
    <w:rsid w:val="00001DD4"/>
    <w:rsid w:val="00001DDC"/>
    <w:rsid w:val="00001F33"/>
    <w:rsid w:val="00002666"/>
    <w:rsid w:val="00002804"/>
    <w:rsid w:val="00002A14"/>
    <w:rsid w:val="0000389C"/>
    <w:rsid w:val="00003FDF"/>
    <w:rsid w:val="00004163"/>
    <w:rsid w:val="00004A7E"/>
    <w:rsid w:val="0000531E"/>
    <w:rsid w:val="0000552B"/>
    <w:rsid w:val="00005B93"/>
    <w:rsid w:val="00006715"/>
    <w:rsid w:val="0000750A"/>
    <w:rsid w:val="000077B8"/>
    <w:rsid w:val="00007A8F"/>
    <w:rsid w:val="000102D0"/>
    <w:rsid w:val="00010603"/>
    <w:rsid w:val="00010862"/>
    <w:rsid w:val="00010DAB"/>
    <w:rsid w:val="00011268"/>
    <w:rsid w:val="00011BD0"/>
    <w:rsid w:val="00012ADE"/>
    <w:rsid w:val="00012D8A"/>
    <w:rsid w:val="00013344"/>
    <w:rsid w:val="00013BAD"/>
    <w:rsid w:val="00014189"/>
    <w:rsid w:val="00015DEE"/>
    <w:rsid w:val="0001741C"/>
    <w:rsid w:val="000179EB"/>
    <w:rsid w:val="00022A8F"/>
    <w:rsid w:val="00022C08"/>
    <w:rsid w:val="00022EC3"/>
    <w:rsid w:val="00023BDC"/>
    <w:rsid w:val="00023C1D"/>
    <w:rsid w:val="00023F59"/>
    <w:rsid w:val="0002479D"/>
    <w:rsid w:val="00024F25"/>
    <w:rsid w:val="000252BF"/>
    <w:rsid w:val="000254F5"/>
    <w:rsid w:val="000255FB"/>
    <w:rsid w:val="00025608"/>
    <w:rsid w:val="00026AD3"/>
    <w:rsid w:val="00026CE3"/>
    <w:rsid w:val="0002776F"/>
    <w:rsid w:val="0002792E"/>
    <w:rsid w:val="00027F88"/>
    <w:rsid w:val="00030119"/>
    <w:rsid w:val="00030FD4"/>
    <w:rsid w:val="00031036"/>
    <w:rsid w:val="00031610"/>
    <w:rsid w:val="00031C47"/>
    <w:rsid w:val="00031CC0"/>
    <w:rsid w:val="000320E7"/>
    <w:rsid w:val="00032476"/>
    <w:rsid w:val="000325C5"/>
    <w:rsid w:val="00032EFB"/>
    <w:rsid w:val="00033537"/>
    <w:rsid w:val="00034CC9"/>
    <w:rsid w:val="000352C2"/>
    <w:rsid w:val="000354E8"/>
    <w:rsid w:val="000359CC"/>
    <w:rsid w:val="00036181"/>
    <w:rsid w:val="00036478"/>
    <w:rsid w:val="0003663A"/>
    <w:rsid w:val="0003678D"/>
    <w:rsid w:val="0003690B"/>
    <w:rsid w:val="00036AAC"/>
    <w:rsid w:val="00037409"/>
    <w:rsid w:val="00041067"/>
    <w:rsid w:val="000425C2"/>
    <w:rsid w:val="00042653"/>
    <w:rsid w:val="00043005"/>
    <w:rsid w:val="0004300E"/>
    <w:rsid w:val="000441AE"/>
    <w:rsid w:val="00044433"/>
    <w:rsid w:val="00045EEB"/>
    <w:rsid w:val="00045F20"/>
    <w:rsid w:val="000469A3"/>
    <w:rsid w:val="000477B7"/>
    <w:rsid w:val="000508AC"/>
    <w:rsid w:val="000521ED"/>
    <w:rsid w:val="0005279E"/>
    <w:rsid w:val="00053EB2"/>
    <w:rsid w:val="0005542B"/>
    <w:rsid w:val="000556F0"/>
    <w:rsid w:val="0005676F"/>
    <w:rsid w:val="00057658"/>
    <w:rsid w:val="00057D18"/>
    <w:rsid w:val="0006009C"/>
    <w:rsid w:val="000605F7"/>
    <w:rsid w:val="00060807"/>
    <w:rsid w:val="00060D50"/>
    <w:rsid w:val="00060ED7"/>
    <w:rsid w:val="00063741"/>
    <w:rsid w:val="000637D1"/>
    <w:rsid w:val="00063CA5"/>
    <w:rsid w:val="00064152"/>
    <w:rsid w:val="00064A0C"/>
    <w:rsid w:val="00064EF8"/>
    <w:rsid w:val="00066620"/>
    <w:rsid w:val="0006739B"/>
    <w:rsid w:val="00067F6C"/>
    <w:rsid w:val="00070FA2"/>
    <w:rsid w:val="000717ED"/>
    <w:rsid w:val="00072EAD"/>
    <w:rsid w:val="00073169"/>
    <w:rsid w:val="0007331A"/>
    <w:rsid w:val="00073418"/>
    <w:rsid w:val="0007351C"/>
    <w:rsid w:val="00073658"/>
    <w:rsid w:val="000744B6"/>
    <w:rsid w:val="00074632"/>
    <w:rsid w:val="00075929"/>
    <w:rsid w:val="00075F91"/>
    <w:rsid w:val="000777BF"/>
    <w:rsid w:val="0008052D"/>
    <w:rsid w:val="00080A82"/>
    <w:rsid w:val="00080FEB"/>
    <w:rsid w:val="00081403"/>
    <w:rsid w:val="00081C6A"/>
    <w:rsid w:val="00082A4E"/>
    <w:rsid w:val="0008456B"/>
    <w:rsid w:val="0008461C"/>
    <w:rsid w:val="00085A9C"/>
    <w:rsid w:val="00085CD3"/>
    <w:rsid w:val="00086167"/>
    <w:rsid w:val="00086388"/>
    <w:rsid w:val="000865FF"/>
    <w:rsid w:val="00087C06"/>
    <w:rsid w:val="00087C84"/>
    <w:rsid w:val="00087EF4"/>
    <w:rsid w:val="00091498"/>
    <w:rsid w:val="00091952"/>
    <w:rsid w:val="00092955"/>
    <w:rsid w:val="00093559"/>
    <w:rsid w:val="000935D6"/>
    <w:rsid w:val="00093A56"/>
    <w:rsid w:val="00093B15"/>
    <w:rsid w:val="00094F31"/>
    <w:rsid w:val="000951FE"/>
    <w:rsid w:val="0009546E"/>
    <w:rsid w:val="00095479"/>
    <w:rsid w:val="00095904"/>
    <w:rsid w:val="00096022"/>
    <w:rsid w:val="00096B7B"/>
    <w:rsid w:val="00096E25"/>
    <w:rsid w:val="00097425"/>
    <w:rsid w:val="00097A2C"/>
    <w:rsid w:val="000A09BA"/>
    <w:rsid w:val="000A0E90"/>
    <w:rsid w:val="000A1EE7"/>
    <w:rsid w:val="000A49C0"/>
    <w:rsid w:val="000A4F39"/>
    <w:rsid w:val="000A4FD6"/>
    <w:rsid w:val="000A5272"/>
    <w:rsid w:val="000A6B2A"/>
    <w:rsid w:val="000A6BC0"/>
    <w:rsid w:val="000A7070"/>
    <w:rsid w:val="000A72F3"/>
    <w:rsid w:val="000A73CC"/>
    <w:rsid w:val="000A7A2F"/>
    <w:rsid w:val="000B00C3"/>
    <w:rsid w:val="000B0C4B"/>
    <w:rsid w:val="000B1464"/>
    <w:rsid w:val="000B19D9"/>
    <w:rsid w:val="000B2AE3"/>
    <w:rsid w:val="000B32C2"/>
    <w:rsid w:val="000B38A4"/>
    <w:rsid w:val="000B3D2C"/>
    <w:rsid w:val="000B41FE"/>
    <w:rsid w:val="000B4E79"/>
    <w:rsid w:val="000B5257"/>
    <w:rsid w:val="000B567C"/>
    <w:rsid w:val="000B6E0E"/>
    <w:rsid w:val="000B6F4A"/>
    <w:rsid w:val="000B764E"/>
    <w:rsid w:val="000C0299"/>
    <w:rsid w:val="000C10A0"/>
    <w:rsid w:val="000C293D"/>
    <w:rsid w:val="000C3735"/>
    <w:rsid w:val="000C38D4"/>
    <w:rsid w:val="000C38E4"/>
    <w:rsid w:val="000C40BD"/>
    <w:rsid w:val="000C440A"/>
    <w:rsid w:val="000C46DB"/>
    <w:rsid w:val="000C4BED"/>
    <w:rsid w:val="000C55B5"/>
    <w:rsid w:val="000C77EF"/>
    <w:rsid w:val="000C78D2"/>
    <w:rsid w:val="000D02CB"/>
    <w:rsid w:val="000D0BB5"/>
    <w:rsid w:val="000D1107"/>
    <w:rsid w:val="000D1572"/>
    <w:rsid w:val="000D1BC6"/>
    <w:rsid w:val="000D262A"/>
    <w:rsid w:val="000D3B61"/>
    <w:rsid w:val="000D5DD0"/>
    <w:rsid w:val="000D6AA3"/>
    <w:rsid w:val="000D71EE"/>
    <w:rsid w:val="000E0520"/>
    <w:rsid w:val="000E0D85"/>
    <w:rsid w:val="000E0FA7"/>
    <w:rsid w:val="000E0FE5"/>
    <w:rsid w:val="000E1262"/>
    <w:rsid w:val="000E1402"/>
    <w:rsid w:val="000E15AA"/>
    <w:rsid w:val="000E1D6B"/>
    <w:rsid w:val="000E25EF"/>
    <w:rsid w:val="000E2718"/>
    <w:rsid w:val="000E2856"/>
    <w:rsid w:val="000E2BD8"/>
    <w:rsid w:val="000E2BF3"/>
    <w:rsid w:val="000E2CC3"/>
    <w:rsid w:val="000E3118"/>
    <w:rsid w:val="000E3BA6"/>
    <w:rsid w:val="000E45BE"/>
    <w:rsid w:val="000E5364"/>
    <w:rsid w:val="000E61C1"/>
    <w:rsid w:val="000E66BE"/>
    <w:rsid w:val="000E6A64"/>
    <w:rsid w:val="000E713E"/>
    <w:rsid w:val="000E7DD3"/>
    <w:rsid w:val="000E7F8A"/>
    <w:rsid w:val="000F0446"/>
    <w:rsid w:val="000F08D5"/>
    <w:rsid w:val="000F1B81"/>
    <w:rsid w:val="000F1DB5"/>
    <w:rsid w:val="000F1E91"/>
    <w:rsid w:val="000F2544"/>
    <w:rsid w:val="000F2BBC"/>
    <w:rsid w:val="000F36A2"/>
    <w:rsid w:val="000F3C26"/>
    <w:rsid w:val="000F3F5E"/>
    <w:rsid w:val="000F469D"/>
    <w:rsid w:val="000F4881"/>
    <w:rsid w:val="000F4E75"/>
    <w:rsid w:val="000F5356"/>
    <w:rsid w:val="000F53B0"/>
    <w:rsid w:val="000F5AB8"/>
    <w:rsid w:val="000F5CA5"/>
    <w:rsid w:val="000F62EC"/>
    <w:rsid w:val="000F6827"/>
    <w:rsid w:val="000F6BCA"/>
    <w:rsid w:val="000F6BDA"/>
    <w:rsid w:val="000F7C49"/>
    <w:rsid w:val="001000CB"/>
    <w:rsid w:val="001000F9"/>
    <w:rsid w:val="00100408"/>
    <w:rsid w:val="0010071A"/>
    <w:rsid w:val="00100E12"/>
    <w:rsid w:val="00101A8D"/>
    <w:rsid w:val="00102028"/>
    <w:rsid w:val="00102148"/>
    <w:rsid w:val="001022C4"/>
    <w:rsid w:val="0010268D"/>
    <w:rsid w:val="00103120"/>
    <w:rsid w:val="00103142"/>
    <w:rsid w:val="00104F89"/>
    <w:rsid w:val="00105869"/>
    <w:rsid w:val="00105BC1"/>
    <w:rsid w:val="00106CD5"/>
    <w:rsid w:val="00106E28"/>
    <w:rsid w:val="00106F79"/>
    <w:rsid w:val="00106FB8"/>
    <w:rsid w:val="0011005D"/>
    <w:rsid w:val="00110FA4"/>
    <w:rsid w:val="001117EA"/>
    <w:rsid w:val="00111BF9"/>
    <w:rsid w:val="00111FB0"/>
    <w:rsid w:val="001129D9"/>
    <w:rsid w:val="00113A09"/>
    <w:rsid w:val="00113AC1"/>
    <w:rsid w:val="00113FE0"/>
    <w:rsid w:val="00113FE7"/>
    <w:rsid w:val="001141FC"/>
    <w:rsid w:val="0011472A"/>
    <w:rsid w:val="00114FD9"/>
    <w:rsid w:val="001160BA"/>
    <w:rsid w:val="0011624F"/>
    <w:rsid w:val="00116353"/>
    <w:rsid w:val="00117396"/>
    <w:rsid w:val="001177E9"/>
    <w:rsid w:val="00117B2E"/>
    <w:rsid w:val="00120BD2"/>
    <w:rsid w:val="00120D98"/>
    <w:rsid w:val="00121D92"/>
    <w:rsid w:val="00122BCB"/>
    <w:rsid w:val="00122FBD"/>
    <w:rsid w:val="0012387E"/>
    <w:rsid w:val="00123A0A"/>
    <w:rsid w:val="001240AA"/>
    <w:rsid w:val="00124DC7"/>
    <w:rsid w:val="001250DB"/>
    <w:rsid w:val="00125394"/>
    <w:rsid w:val="001253E3"/>
    <w:rsid w:val="00125A90"/>
    <w:rsid w:val="0012677B"/>
    <w:rsid w:val="0012746A"/>
    <w:rsid w:val="00127D9C"/>
    <w:rsid w:val="00131605"/>
    <w:rsid w:val="00132043"/>
    <w:rsid w:val="00132895"/>
    <w:rsid w:val="001329FA"/>
    <w:rsid w:val="00132E37"/>
    <w:rsid w:val="00133250"/>
    <w:rsid w:val="00133897"/>
    <w:rsid w:val="001340CA"/>
    <w:rsid w:val="00135326"/>
    <w:rsid w:val="001357A8"/>
    <w:rsid w:val="00136B26"/>
    <w:rsid w:val="00136E0E"/>
    <w:rsid w:val="00137261"/>
    <w:rsid w:val="00140415"/>
    <w:rsid w:val="00140DF2"/>
    <w:rsid w:val="0014132A"/>
    <w:rsid w:val="00141381"/>
    <w:rsid w:val="00141C99"/>
    <w:rsid w:val="00141CD0"/>
    <w:rsid w:val="00142337"/>
    <w:rsid w:val="00142915"/>
    <w:rsid w:val="00142DDD"/>
    <w:rsid w:val="00143CB1"/>
    <w:rsid w:val="00143D74"/>
    <w:rsid w:val="001446DF"/>
    <w:rsid w:val="00144F29"/>
    <w:rsid w:val="00144F5D"/>
    <w:rsid w:val="00145273"/>
    <w:rsid w:val="00145918"/>
    <w:rsid w:val="00145BBE"/>
    <w:rsid w:val="00146367"/>
    <w:rsid w:val="001467D5"/>
    <w:rsid w:val="00146837"/>
    <w:rsid w:val="0014774B"/>
    <w:rsid w:val="00150F27"/>
    <w:rsid w:val="00150F63"/>
    <w:rsid w:val="00150FCB"/>
    <w:rsid w:val="001518BA"/>
    <w:rsid w:val="00151B73"/>
    <w:rsid w:val="00152017"/>
    <w:rsid w:val="0015483E"/>
    <w:rsid w:val="00155699"/>
    <w:rsid w:val="00155BBF"/>
    <w:rsid w:val="00155FE4"/>
    <w:rsid w:val="00156B4A"/>
    <w:rsid w:val="0015713C"/>
    <w:rsid w:val="00157B28"/>
    <w:rsid w:val="00157B40"/>
    <w:rsid w:val="00161C94"/>
    <w:rsid w:val="001621B0"/>
    <w:rsid w:val="00163137"/>
    <w:rsid w:val="00163894"/>
    <w:rsid w:val="00163DBE"/>
    <w:rsid w:val="00164571"/>
    <w:rsid w:val="001649C9"/>
    <w:rsid w:val="00164F3B"/>
    <w:rsid w:val="0016554C"/>
    <w:rsid w:val="00165783"/>
    <w:rsid w:val="001660DA"/>
    <w:rsid w:val="001666CA"/>
    <w:rsid w:val="00167237"/>
    <w:rsid w:val="00167F54"/>
    <w:rsid w:val="0017017F"/>
    <w:rsid w:val="00170B44"/>
    <w:rsid w:val="00171EDC"/>
    <w:rsid w:val="0017217C"/>
    <w:rsid w:val="00172A9C"/>
    <w:rsid w:val="00172E1E"/>
    <w:rsid w:val="00173134"/>
    <w:rsid w:val="0017353A"/>
    <w:rsid w:val="0017393B"/>
    <w:rsid w:val="00173FA9"/>
    <w:rsid w:val="00174556"/>
    <w:rsid w:val="00174624"/>
    <w:rsid w:val="00174928"/>
    <w:rsid w:val="00174C9A"/>
    <w:rsid w:val="0017517C"/>
    <w:rsid w:val="00175424"/>
    <w:rsid w:val="00175C34"/>
    <w:rsid w:val="001765BE"/>
    <w:rsid w:val="0017676B"/>
    <w:rsid w:val="00176DBC"/>
    <w:rsid w:val="001773F8"/>
    <w:rsid w:val="001776B6"/>
    <w:rsid w:val="00180159"/>
    <w:rsid w:val="00180192"/>
    <w:rsid w:val="00180A85"/>
    <w:rsid w:val="00180BEC"/>
    <w:rsid w:val="00180D9C"/>
    <w:rsid w:val="001812DB"/>
    <w:rsid w:val="0018206C"/>
    <w:rsid w:val="001824BD"/>
    <w:rsid w:val="001827C6"/>
    <w:rsid w:val="00182FAE"/>
    <w:rsid w:val="001830DD"/>
    <w:rsid w:val="001836C4"/>
    <w:rsid w:val="00183CAA"/>
    <w:rsid w:val="0018413B"/>
    <w:rsid w:val="001848AC"/>
    <w:rsid w:val="00184A62"/>
    <w:rsid w:val="00185315"/>
    <w:rsid w:val="00185C84"/>
    <w:rsid w:val="00186147"/>
    <w:rsid w:val="00186ECE"/>
    <w:rsid w:val="00187098"/>
    <w:rsid w:val="0018793A"/>
    <w:rsid w:val="00187E38"/>
    <w:rsid w:val="00190451"/>
    <w:rsid w:val="00190D2E"/>
    <w:rsid w:val="0019191C"/>
    <w:rsid w:val="00191F09"/>
    <w:rsid w:val="001923F9"/>
    <w:rsid w:val="001927F1"/>
    <w:rsid w:val="00192C5C"/>
    <w:rsid w:val="0019334C"/>
    <w:rsid w:val="0019340F"/>
    <w:rsid w:val="0019353F"/>
    <w:rsid w:val="001937CA"/>
    <w:rsid w:val="00195141"/>
    <w:rsid w:val="001955C3"/>
    <w:rsid w:val="00195895"/>
    <w:rsid w:val="00195FF5"/>
    <w:rsid w:val="00196EBF"/>
    <w:rsid w:val="00196FB9"/>
    <w:rsid w:val="0019774F"/>
    <w:rsid w:val="00197771"/>
    <w:rsid w:val="00197DBD"/>
    <w:rsid w:val="001A03D3"/>
    <w:rsid w:val="001A05F0"/>
    <w:rsid w:val="001A10DE"/>
    <w:rsid w:val="001A13E1"/>
    <w:rsid w:val="001A1E84"/>
    <w:rsid w:val="001A2A79"/>
    <w:rsid w:val="001A2DD6"/>
    <w:rsid w:val="001A30D9"/>
    <w:rsid w:val="001A34CC"/>
    <w:rsid w:val="001A3569"/>
    <w:rsid w:val="001A412A"/>
    <w:rsid w:val="001A6667"/>
    <w:rsid w:val="001A68D4"/>
    <w:rsid w:val="001A7851"/>
    <w:rsid w:val="001A7AAF"/>
    <w:rsid w:val="001B0DB0"/>
    <w:rsid w:val="001B129E"/>
    <w:rsid w:val="001B14AB"/>
    <w:rsid w:val="001B16B5"/>
    <w:rsid w:val="001B2810"/>
    <w:rsid w:val="001B3127"/>
    <w:rsid w:val="001B320C"/>
    <w:rsid w:val="001B32A4"/>
    <w:rsid w:val="001B3BFA"/>
    <w:rsid w:val="001B3EC4"/>
    <w:rsid w:val="001B3FB1"/>
    <w:rsid w:val="001B4295"/>
    <w:rsid w:val="001B5804"/>
    <w:rsid w:val="001B616A"/>
    <w:rsid w:val="001B638F"/>
    <w:rsid w:val="001B6FFF"/>
    <w:rsid w:val="001B744B"/>
    <w:rsid w:val="001C0AA5"/>
    <w:rsid w:val="001C1521"/>
    <w:rsid w:val="001C1545"/>
    <w:rsid w:val="001C1575"/>
    <w:rsid w:val="001C19F7"/>
    <w:rsid w:val="001C1A09"/>
    <w:rsid w:val="001C2B2B"/>
    <w:rsid w:val="001C2E56"/>
    <w:rsid w:val="001C307B"/>
    <w:rsid w:val="001C34D7"/>
    <w:rsid w:val="001C37A5"/>
    <w:rsid w:val="001C3BEF"/>
    <w:rsid w:val="001C3F7B"/>
    <w:rsid w:val="001C3FB9"/>
    <w:rsid w:val="001C46F4"/>
    <w:rsid w:val="001C49DE"/>
    <w:rsid w:val="001C5E73"/>
    <w:rsid w:val="001C6052"/>
    <w:rsid w:val="001C71B6"/>
    <w:rsid w:val="001D0BDC"/>
    <w:rsid w:val="001D110E"/>
    <w:rsid w:val="001D12D0"/>
    <w:rsid w:val="001D1D01"/>
    <w:rsid w:val="001D2993"/>
    <w:rsid w:val="001D2A5B"/>
    <w:rsid w:val="001D3516"/>
    <w:rsid w:val="001D3E37"/>
    <w:rsid w:val="001D3EDE"/>
    <w:rsid w:val="001D4138"/>
    <w:rsid w:val="001D59B6"/>
    <w:rsid w:val="001D5AF8"/>
    <w:rsid w:val="001D5BFE"/>
    <w:rsid w:val="001D5C0A"/>
    <w:rsid w:val="001D7C8B"/>
    <w:rsid w:val="001E02C7"/>
    <w:rsid w:val="001E046B"/>
    <w:rsid w:val="001E0A78"/>
    <w:rsid w:val="001E1A66"/>
    <w:rsid w:val="001E1E9A"/>
    <w:rsid w:val="001E2345"/>
    <w:rsid w:val="001E30A8"/>
    <w:rsid w:val="001E32A8"/>
    <w:rsid w:val="001E37AA"/>
    <w:rsid w:val="001E3998"/>
    <w:rsid w:val="001E444D"/>
    <w:rsid w:val="001E476C"/>
    <w:rsid w:val="001E4E83"/>
    <w:rsid w:val="001E5ED6"/>
    <w:rsid w:val="001E663E"/>
    <w:rsid w:val="001E6AF0"/>
    <w:rsid w:val="001E6DDC"/>
    <w:rsid w:val="001E74AE"/>
    <w:rsid w:val="001F0000"/>
    <w:rsid w:val="001F080E"/>
    <w:rsid w:val="001F0C57"/>
    <w:rsid w:val="001F0EC5"/>
    <w:rsid w:val="001F10B6"/>
    <w:rsid w:val="001F2269"/>
    <w:rsid w:val="001F24B7"/>
    <w:rsid w:val="001F2587"/>
    <w:rsid w:val="001F3573"/>
    <w:rsid w:val="001F4D78"/>
    <w:rsid w:val="001F5BBA"/>
    <w:rsid w:val="001F5BFB"/>
    <w:rsid w:val="001F606C"/>
    <w:rsid w:val="001F6E98"/>
    <w:rsid w:val="001F7848"/>
    <w:rsid w:val="001F7852"/>
    <w:rsid w:val="001F78FE"/>
    <w:rsid w:val="001F7C45"/>
    <w:rsid w:val="00200054"/>
    <w:rsid w:val="002004F1"/>
    <w:rsid w:val="00201096"/>
    <w:rsid w:val="002013E5"/>
    <w:rsid w:val="00201F89"/>
    <w:rsid w:val="00203BEE"/>
    <w:rsid w:val="00204444"/>
    <w:rsid w:val="00204831"/>
    <w:rsid w:val="0020484B"/>
    <w:rsid w:val="0020643F"/>
    <w:rsid w:val="00206829"/>
    <w:rsid w:val="00206EB4"/>
    <w:rsid w:val="0020712A"/>
    <w:rsid w:val="00207B02"/>
    <w:rsid w:val="00210EBD"/>
    <w:rsid w:val="00211652"/>
    <w:rsid w:val="00211B48"/>
    <w:rsid w:val="00212AA1"/>
    <w:rsid w:val="00212C8A"/>
    <w:rsid w:val="002131E4"/>
    <w:rsid w:val="0021348A"/>
    <w:rsid w:val="002144B0"/>
    <w:rsid w:val="00214700"/>
    <w:rsid w:val="00214B73"/>
    <w:rsid w:val="0021543D"/>
    <w:rsid w:val="00215857"/>
    <w:rsid w:val="00215CFC"/>
    <w:rsid w:val="002161BD"/>
    <w:rsid w:val="00216216"/>
    <w:rsid w:val="0021662B"/>
    <w:rsid w:val="00216A04"/>
    <w:rsid w:val="00217413"/>
    <w:rsid w:val="002204A3"/>
    <w:rsid w:val="00220B47"/>
    <w:rsid w:val="00221742"/>
    <w:rsid w:val="0022379F"/>
    <w:rsid w:val="00224170"/>
    <w:rsid w:val="002244C4"/>
    <w:rsid w:val="00224529"/>
    <w:rsid w:val="00224629"/>
    <w:rsid w:val="00224A35"/>
    <w:rsid w:val="00226350"/>
    <w:rsid w:val="002264AF"/>
    <w:rsid w:val="0023158A"/>
    <w:rsid w:val="00233771"/>
    <w:rsid w:val="002341CE"/>
    <w:rsid w:val="002343B5"/>
    <w:rsid w:val="00234943"/>
    <w:rsid w:val="00234ABE"/>
    <w:rsid w:val="00234CA7"/>
    <w:rsid w:val="00235575"/>
    <w:rsid w:val="0023572A"/>
    <w:rsid w:val="00235875"/>
    <w:rsid w:val="00235D42"/>
    <w:rsid w:val="00235FB3"/>
    <w:rsid w:val="0023609F"/>
    <w:rsid w:val="00237D44"/>
    <w:rsid w:val="00241E35"/>
    <w:rsid w:val="002429E9"/>
    <w:rsid w:val="00242D83"/>
    <w:rsid w:val="00242DC2"/>
    <w:rsid w:val="00242E27"/>
    <w:rsid w:val="00243EE0"/>
    <w:rsid w:val="002461DD"/>
    <w:rsid w:val="002464F4"/>
    <w:rsid w:val="00247F73"/>
    <w:rsid w:val="00247FBC"/>
    <w:rsid w:val="00250BA5"/>
    <w:rsid w:val="0025158B"/>
    <w:rsid w:val="002517B9"/>
    <w:rsid w:val="002523F6"/>
    <w:rsid w:val="002527E7"/>
    <w:rsid w:val="0025404E"/>
    <w:rsid w:val="00254600"/>
    <w:rsid w:val="00256C99"/>
    <w:rsid w:val="002579BA"/>
    <w:rsid w:val="00257E36"/>
    <w:rsid w:val="0026081E"/>
    <w:rsid w:val="00261229"/>
    <w:rsid w:val="002615A8"/>
    <w:rsid w:val="00261D8B"/>
    <w:rsid w:val="0026250E"/>
    <w:rsid w:val="002629A9"/>
    <w:rsid w:val="0026392F"/>
    <w:rsid w:val="00263ABB"/>
    <w:rsid w:val="00264C63"/>
    <w:rsid w:val="00265087"/>
    <w:rsid w:val="002663CD"/>
    <w:rsid w:val="002668C8"/>
    <w:rsid w:val="002726E4"/>
    <w:rsid w:val="00272F98"/>
    <w:rsid w:val="002737D1"/>
    <w:rsid w:val="0027448C"/>
    <w:rsid w:val="002747FC"/>
    <w:rsid w:val="00276618"/>
    <w:rsid w:val="00276F50"/>
    <w:rsid w:val="00281962"/>
    <w:rsid w:val="00281B11"/>
    <w:rsid w:val="00281FAE"/>
    <w:rsid w:val="002824DF"/>
    <w:rsid w:val="00283028"/>
    <w:rsid w:val="0028387A"/>
    <w:rsid w:val="00283E71"/>
    <w:rsid w:val="002844AE"/>
    <w:rsid w:val="00286139"/>
    <w:rsid w:val="00286681"/>
    <w:rsid w:val="00286BCB"/>
    <w:rsid w:val="00286D0E"/>
    <w:rsid w:val="00287F16"/>
    <w:rsid w:val="00290A05"/>
    <w:rsid w:val="00291465"/>
    <w:rsid w:val="00292422"/>
    <w:rsid w:val="002928DC"/>
    <w:rsid w:val="002928E3"/>
    <w:rsid w:val="00292E05"/>
    <w:rsid w:val="00293B88"/>
    <w:rsid w:val="002944BF"/>
    <w:rsid w:val="0029476D"/>
    <w:rsid w:val="00294AD8"/>
    <w:rsid w:val="00294B9B"/>
    <w:rsid w:val="00295993"/>
    <w:rsid w:val="00296377"/>
    <w:rsid w:val="002964C3"/>
    <w:rsid w:val="00296B7A"/>
    <w:rsid w:val="002977D7"/>
    <w:rsid w:val="00297B14"/>
    <w:rsid w:val="002A0B22"/>
    <w:rsid w:val="002A0CD6"/>
    <w:rsid w:val="002A0FC0"/>
    <w:rsid w:val="002A1403"/>
    <w:rsid w:val="002A2000"/>
    <w:rsid w:val="002A30A7"/>
    <w:rsid w:val="002A316F"/>
    <w:rsid w:val="002A3A55"/>
    <w:rsid w:val="002A47AB"/>
    <w:rsid w:val="002A4EB1"/>
    <w:rsid w:val="002A5394"/>
    <w:rsid w:val="002A540D"/>
    <w:rsid w:val="002A574A"/>
    <w:rsid w:val="002A63ED"/>
    <w:rsid w:val="002A7711"/>
    <w:rsid w:val="002A78A0"/>
    <w:rsid w:val="002B050F"/>
    <w:rsid w:val="002B05AE"/>
    <w:rsid w:val="002B187F"/>
    <w:rsid w:val="002B1D4E"/>
    <w:rsid w:val="002B1DC8"/>
    <w:rsid w:val="002B1F86"/>
    <w:rsid w:val="002B2200"/>
    <w:rsid w:val="002B2D13"/>
    <w:rsid w:val="002B3324"/>
    <w:rsid w:val="002B3E74"/>
    <w:rsid w:val="002B4927"/>
    <w:rsid w:val="002B4C35"/>
    <w:rsid w:val="002B5696"/>
    <w:rsid w:val="002B5D1B"/>
    <w:rsid w:val="002B697F"/>
    <w:rsid w:val="002B6B5A"/>
    <w:rsid w:val="002B79FE"/>
    <w:rsid w:val="002C0626"/>
    <w:rsid w:val="002C0870"/>
    <w:rsid w:val="002C1BB7"/>
    <w:rsid w:val="002C1D65"/>
    <w:rsid w:val="002C28A2"/>
    <w:rsid w:val="002C3896"/>
    <w:rsid w:val="002C3B18"/>
    <w:rsid w:val="002C4737"/>
    <w:rsid w:val="002C5831"/>
    <w:rsid w:val="002D06E1"/>
    <w:rsid w:val="002D0844"/>
    <w:rsid w:val="002D0880"/>
    <w:rsid w:val="002D0FB2"/>
    <w:rsid w:val="002D1A56"/>
    <w:rsid w:val="002D1A9B"/>
    <w:rsid w:val="002D1D50"/>
    <w:rsid w:val="002D30A9"/>
    <w:rsid w:val="002D34A2"/>
    <w:rsid w:val="002D36BB"/>
    <w:rsid w:val="002D3D35"/>
    <w:rsid w:val="002D5F69"/>
    <w:rsid w:val="002D73EA"/>
    <w:rsid w:val="002E006C"/>
    <w:rsid w:val="002E0E2B"/>
    <w:rsid w:val="002E1C24"/>
    <w:rsid w:val="002E230C"/>
    <w:rsid w:val="002E2570"/>
    <w:rsid w:val="002E2BEA"/>
    <w:rsid w:val="002E2E07"/>
    <w:rsid w:val="002E330D"/>
    <w:rsid w:val="002E3A2C"/>
    <w:rsid w:val="002E4131"/>
    <w:rsid w:val="002E70A1"/>
    <w:rsid w:val="002E760B"/>
    <w:rsid w:val="002E7B64"/>
    <w:rsid w:val="002F0639"/>
    <w:rsid w:val="002F0791"/>
    <w:rsid w:val="002F0CED"/>
    <w:rsid w:val="002F0FE5"/>
    <w:rsid w:val="002F1F73"/>
    <w:rsid w:val="002F271D"/>
    <w:rsid w:val="002F2978"/>
    <w:rsid w:val="002F37FA"/>
    <w:rsid w:val="002F3C4B"/>
    <w:rsid w:val="002F3CBF"/>
    <w:rsid w:val="002F407C"/>
    <w:rsid w:val="002F408D"/>
    <w:rsid w:val="002F639A"/>
    <w:rsid w:val="002F6741"/>
    <w:rsid w:val="002F6B61"/>
    <w:rsid w:val="002F770A"/>
    <w:rsid w:val="002F7C37"/>
    <w:rsid w:val="00300597"/>
    <w:rsid w:val="003005F9"/>
    <w:rsid w:val="0030067F"/>
    <w:rsid w:val="00300825"/>
    <w:rsid w:val="00301475"/>
    <w:rsid w:val="0030150C"/>
    <w:rsid w:val="00302356"/>
    <w:rsid w:val="003026AA"/>
    <w:rsid w:val="00302A15"/>
    <w:rsid w:val="00302EAE"/>
    <w:rsid w:val="0030434E"/>
    <w:rsid w:val="003044CC"/>
    <w:rsid w:val="00304CA9"/>
    <w:rsid w:val="003053E3"/>
    <w:rsid w:val="00305B15"/>
    <w:rsid w:val="00305C21"/>
    <w:rsid w:val="003064FA"/>
    <w:rsid w:val="003065DC"/>
    <w:rsid w:val="003073AB"/>
    <w:rsid w:val="00307F85"/>
    <w:rsid w:val="00310844"/>
    <w:rsid w:val="003109E4"/>
    <w:rsid w:val="00310ACD"/>
    <w:rsid w:val="00311201"/>
    <w:rsid w:val="00311D23"/>
    <w:rsid w:val="003122C6"/>
    <w:rsid w:val="003126AC"/>
    <w:rsid w:val="0031290C"/>
    <w:rsid w:val="00312C58"/>
    <w:rsid w:val="00314350"/>
    <w:rsid w:val="00314C0E"/>
    <w:rsid w:val="00314E14"/>
    <w:rsid w:val="00315497"/>
    <w:rsid w:val="00315924"/>
    <w:rsid w:val="00315D24"/>
    <w:rsid w:val="003164A6"/>
    <w:rsid w:val="00317157"/>
    <w:rsid w:val="003175E4"/>
    <w:rsid w:val="00317D40"/>
    <w:rsid w:val="003209A9"/>
    <w:rsid w:val="003209B7"/>
    <w:rsid w:val="00321144"/>
    <w:rsid w:val="00321A3C"/>
    <w:rsid w:val="00322864"/>
    <w:rsid w:val="00322CBB"/>
    <w:rsid w:val="003232DD"/>
    <w:rsid w:val="0032508F"/>
    <w:rsid w:val="003259FB"/>
    <w:rsid w:val="0032607A"/>
    <w:rsid w:val="0032694A"/>
    <w:rsid w:val="00326B95"/>
    <w:rsid w:val="0032725B"/>
    <w:rsid w:val="00327278"/>
    <w:rsid w:val="003273BC"/>
    <w:rsid w:val="00327DDF"/>
    <w:rsid w:val="00327F76"/>
    <w:rsid w:val="00330BA5"/>
    <w:rsid w:val="00331CC3"/>
    <w:rsid w:val="0033247B"/>
    <w:rsid w:val="00332883"/>
    <w:rsid w:val="003329F1"/>
    <w:rsid w:val="003331B6"/>
    <w:rsid w:val="003335D3"/>
    <w:rsid w:val="00334284"/>
    <w:rsid w:val="003355F3"/>
    <w:rsid w:val="00335DF9"/>
    <w:rsid w:val="00336513"/>
    <w:rsid w:val="00340227"/>
    <w:rsid w:val="00340E5A"/>
    <w:rsid w:val="0034158B"/>
    <w:rsid w:val="0034172A"/>
    <w:rsid w:val="00341785"/>
    <w:rsid w:val="003427A0"/>
    <w:rsid w:val="003427E9"/>
    <w:rsid w:val="0034328E"/>
    <w:rsid w:val="00343460"/>
    <w:rsid w:val="00343601"/>
    <w:rsid w:val="0034374F"/>
    <w:rsid w:val="00343D13"/>
    <w:rsid w:val="003440C2"/>
    <w:rsid w:val="003448FD"/>
    <w:rsid w:val="003450AD"/>
    <w:rsid w:val="00345589"/>
    <w:rsid w:val="0034673C"/>
    <w:rsid w:val="00346ACF"/>
    <w:rsid w:val="003503C2"/>
    <w:rsid w:val="00350D8E"/>
    <w:rsid w:val="003515ED"/>
    <w:rsid w:val="00351E7A"/>
    <w:rsid w:val="00352000"/>
    <w:rsid w:val="00352DA2"/>
    <w:rsid w:val="00353387"/>
    <w:rsid w:val="00353D17"/>
    <w:rsid w:val="00354CB9"/>
    <w:rsid w:val="00355295"/>
    <w:rsid w:val="0035583E"/>
    <w:rsid w:val="00355885"/>
    <w:rsid w:val="003567F0"/>
    <w:rsid w:val="00357438"/>
    <w:rsid w:val="0036191E"/>
    <w:rsid w:val="00362495"/>
    <w:rsid w:val="003626C1"/>
    <w:rsid w:val="00363170"/>
    <w:rsid w:val="0036420C"/>
    <w:rsid w:val="00364465"/>
    <w:rsid w:val="003646BA"/>
    <w:rsid w:val="00364866"/>
    <w:rsid w:val="003648BC"/>
    <w:rsid w:val="00364914"/>
    <w:rsid w:val="00365317"/>
    <w:rsid w:val="003655DC"/>
    <w:rsid w:val="00366594"/>
    <w:rsid w:val="00366731"/>
    <w:rsid w:val="0036740D"/>
    <w:rsid w:val="00370D43"/>
    <w:rsid w:val="00370FEE"/>
    <w:rsid w:val="0037115D"/>
    <w:rsid w:val="00372407"/>
    <w:rsid w:val="00372614"/>
    <w:rsid w:val="003740F2"/>
    <w:rsid w:val="0037502B"/>
    <w:rsid w:val="003768B3"/>
    <w:rsid w:val="0037693E"/>
    <w:rsid w:val="003773AB"/>
    <w:rsid w:val="0037748C"/>
    <w:rsid w:val="00377754"/>
    <w:rsid w:val="00380582"/>
    <w:rsid w:val="00380915"/>
    <w:rsid w:val="00380919"/>
    <w:rsid w:val="00381390"/>
    <w:rsid w:val="00381434"/>
    <w:rsid w:val="0038207E"/>
    <w:rsid w:val="00382092"/>
    <w:rsid w:val="00382C75"/>
    <w:rsid w:val="00383A7A"/>
    <w:rsid w:val="00383ED6"/>
    <w:rsid w:val="003849EB"/>
    <w:rsid w:val="00384A27"/>
    <w:rsid w:val="003858B8"/>
    <w:rsid w:val="00386CDD"/>
    <w:rsid w:val="00386FCC"/>
    <w:rsid w:val="00387081"/>
    <w:rsid w:val="0038787B"/>
    <w:rsid w:val="003903D3"/>
    <w:rsid w:val="00390954"/>
    <w:rsid w:val="00391196"/>
    <w:rsid w:val="003918EA"/>
    <w:rsid w:val="003918F9"/>
    <w:rsid w:val="00392708"/>
    <w:rsid w:val="003929CD"/>
    <w:rsid w:val="00393126"/>
    <w:rsid w:val="003946A5"/>
    <w:rsid w:val="00394C7B"/>
    <w:rsid w:val="003957AB"/>
    <w:rsid w:val="00396BEE"/>
    <w:rsid w:val="00397B6C"/>
    <w:rsid w:val="003A05D6"/>
    <w:rsid w:val="003A05F4"/>
    <w:rsid w:val="003A15D2"/>
    <w:rsid w:val="003A1CC2"/>
    <w:rsid w:val="003A2561"/>
    <w:rsid w:val="003A25A5"/>
    <w:rsid w:val="003A2771"/>
    <w:rsid w:val="003A28F9"/>
    <w:rsid w:val="003A2B9E"/>
    <w:rsid w:val="003A3240"/>
    <w:rsid w:val="003A36A7"/>
    <w:rsid w:val="003A3929"/>
    <w:rsid w:val="003A4888"/>
    <w:rsid w:val="003A49D9"/>
    <w:rsid w:val="003A4D38"/>
    <w:rsid w:val="003A58CC"/>
    <w:rsid w:val="003A5C8F"/>
    <w:rsid w:val="003A6537"/>
    <w:rsid w:val="003A65A7"/>
    <w:rsid w:val="003A6985"/>
    <w:rsid w:val="003A6BCC"/>
    <w:rsid w:val="003A740C"/>
    <w:rsid w:val="003A7B79"/>
    <w:rsid w:val="003A7D98"/>
    <w:rsid w:val="003B1AC2"/>
    <w:rsid w:val="003B1CC4"/>
    <w:rsid w:val="003B21F6"/>
    <w:rsid w:val="003B2B8F"/>
    <w:rsid w:val="003B2BD5"/>
    <w:rsid w:val="003B3B34"/>
    <w:rsid w:val="003B3C29"/>
    <w:rsid w:val="003B4DED"/>
    <w:rsid w:val="003B50A1"/>
    <w:rsid w:val="003B5C7B"/>
    <w:rsid w:val="003B6749"/>
    <w:rsid w:val="003B69C5"/>
    <w:rsid w:val="003B79B2"/>
    <w:rsid w:val="003C0246"/>
    <w:rsid w:val="003C0C1A"/>
    <w:rsid w:val="003C2065"/>
    <w:rsid w:val="003C29EB"/>
    <w:rsid w:val="003C2C7E"/>
    <w:rsid w:val="003C3079"/>
    <w:rsid w:val="003C3973"/>
    <w:rsid w:val="003C3F1A"/>
    <w:rsid w:val="003C445A"/>
    <w:rsid w:val="003C486D"/>
    <w:rsid w:val="003C49FA"/>
    <w:rsid w:val="003C512F"/>
    <w:rsid w:val="003C63C3"/>
    <w:rsid w:val="003C6CD1"/>
    <w:rsid w:val="003C7082"/>
    <w:rsid w:val="003C7D76"/>
    <w:rsid w:val="003D15C2"/>
    <w:rsid w:val="003D19C0"/>
    <w:rsid w:val="003D1E91"/>
    <w:rsid w:val="003D43DC"/>
    <w:rsid w:val="003D461B"/>
    <w:rsid w:val="003D46E5"/>
    <w:rsid w:val="003D4974"/>
    <w:rsid w:val="003D5B53"/>
    <w:rsid w:val="003D5F54"/>
    <w:rsid w:val="003D65B1"/>
    <w:rsid w:val="003D6AE9"/>
    <w:rsid w:val="003D6BDE"/>
    <w:rsid w:val="003D6C40"/>
    <w:rsid w:val="003E0BA8"/>
    <w:rsid w:val="003E1598"/>
    <w:rsid w:val="003E1BCA"/>
    <w:rsid w:val="003E1C57"/>
    <w:rsid w:val="003E1D43"/>
    <w:rsid w:val="003E2D21"/>
    <w:rsid w:val="003E3019"/>
    <w:rsid w:val="003E3033"/>
    <w:rsid w:val="003E46B3"/>
    <w:rsid w:val="003E58CF"/>
    <w:rsid w:val="003E7AE7"/>
    <w:rsid w:val="003F13BA"/>
    <w:rsid w:val="003F215A"/>
    <w:rsid w:val="003F2914"/>
    <w:rsid w:val="003F345F"/>
    <w:rsid w:val="003F358E"/>
    <w:rsid w:val="003F368A"/>
    <w:rsid w:val="003F3831"/>
    <w:rsid w:val="003F4AA0"/>
    <w:rsid w:val="003F4F9C"/>
    <w:rsid w:val="003F5951"/>
    <w:rsid w:val="003F5966"/>
    <w:rsid w:val="003F6234"/>
    <w:rsid w:val="003F6AF7"/>
    <w:rsid w:val="003F6DB7"/>
    <w:rsid w:val="00400409"/>
    <w:rsid w:val="00400AD8"/>
    <w:rsid w:val="00400C0F"/>
    <w:rsid w:val="0040138C"/>
    <w:rsid w:val="0040200E"/>
    <w:rsid w:val="00402215"/>
    <w:rsid w:val="00402616"/>
    <w:rsid w:val="00403316"/>
    <w:rsid w:val="00403382"/>
    <w:rsid w:val="00403387"/>
    <w:rsid w:val="0040339C"/>
    <w:rsid w:val="00403580"/>
    <w:rsid w:val="00403FF7"/>
    <w:rsid w:val="0040438D"/>
    <w:rsid w:val="0040736D"/>
    <w:rsid w:val="0040737F"/>
    <w:rsid w:val="00407E9A"/>
    <w:rsid w:val="00410251"/>
    <w:rsid w:val="00410A53"/>
    <w:rsid w:val="00410C8B"/>
    <w:rsid w:val="00410E26"/>
    <w:rsid w:val="00410F7E"/>
    <w:rsid w:val="00411532"/>
    <w:rsid w:val="00411A7E"/>
    <w:rsid w:val="00411DA4"/>
    <w:rsid w:val="00412200"/>
    <w:rsid w:val="004122C3"/>
    <w:rsid w:val="0041267B"/>
    <w:rsid w:val="00412955"/>
    <w:rsid w:val="00412C4A"/>
    <w:rsid w:val="00412D51"/>
    <w:rsid w:val="00414672"/>
    <w:rsid w:val="00414A5A"/>
    <w:rsid w:val="00414D30"/>
    <w:rsid w:val="00415EB1"/>
    <w:rsid w:val="004168FC"/>
    <w:rsid w:val="004173B9"/>
    <w:rsid w:val="00417574"/>
    <w:rsid w:val="00420448"/>
    <w:rsid w:val="00420F0A"/>
    <w:rsid w:val="00421396"/>
    <w:rsid w:val="00421A0E"/>
    <w:rsid w:val="00421A14"/>
    <w:rsid w:val="00422027"/>
    <w:rsid w:val="00423760"/>
    <w:rsid w:val="00423928"/>
    <w:rsid w:val="00425131"/>
    <w:rsid w:val="0042778D"/>
    <w:rsid w:val="0043042E"/>
    <w:rsid w:val="00430B71"/>
    <w:rsid w:val="0043176D"/>
    <w:rsid w:val="00431D8F"/>
    <w:rsid w:val="00431DA3"/>
    <w:rsid w:val="004320AB"/>
    <w:rsid w:val="004321BA"/>
    <w:rsid w:val="004322EA"/>
    <w:rsid w:val="004328DA"/>
    <w:rsid w:val="00433749"/>
    <w:rsid w:val="004344DA"/>
    <w:rsid w:val="00435783"/>
    <w:rsid w:val="00435D20"/>
    <w:rsid w:val="00435D4B"/>
    <w:rsid w:val="00437155"/>
    <w:rsid w:val="004374A6"/>
    <w:rsid w:val="0044079B"/>
    <w:rsid w:val="00440839"/>
    <w:rsid w:val="00440A84"/>
    <w:rsid w:val="00441C99"/>
    <w:rsid w:val="00442A81"/>
    <w:rsid w:val="00442C2E"/>
    <w:rsid w:val="00443394"/>
    <w:rsid w:val="004436BE"/>
    <w:rsid w:val="00443954"/>
    <w:rsid w:val="00444970"/>
    <w:rsid w:val="00445059"/>
    <w:rsid w:val="004457D2"/>
    <w:rsid w:val="00446C7B"/>
    <w:rsid w:val="00447203"/>
    <w:rsid w:val="004473B4"/>
    <w:rsid w:val="00450525"/>
    <w:rsid w:val="00450A4B"/>
    <w:rsid w:val="00452EB5"/>
    <w:rsid w:val="00454CE2"/>
    <w:rsid w:val="004550AC"/>
    <w:rsid w:val="004552A4"/>
    <w:rsid w:val="0045664D"/>
    <w:rsid w:val="0045709B"/>
    <w:rsid w:val="00457EDE"/>
    <w:rsid w:val="00460243"/>
    <w:rsid w:val="0046119E"/>
    <w:rsid w:val="004611A2"/>
    <w:rsid w:val="00462716"/>
    <w:rsid w:val="0046393B"/>
    <w:rsid w:val="00463CBC"/>
    <w:rsid w:val="004646FC"/>
    <w:rsid w:val="00464FAB"/>
    <w:rsid w:val="00464FFF"/>
    <w:rsid w:val="0046655D"/>
    <w:rsid w:val="0046712F"/>
    <w:rsid w:val="00471647"/>
    <w:rsid w:val="00473EAD"/>
    <w:rsid w:val="00473F93"/>
    <w:rsid w:val="00474C88"/>
    <w:rsid w:val="00474E95"/>
    <w:rsid w:val="00475EE6"/>
    <w:rsid w:val="0047703C"/>
    <w:rsid w:val="00477AD1"/>
    <w:rsid w:val="00477EA3"/>
    <w:rsid w:val="00477F5C"/>
    <w:rsid w:val="004807ED"/>
    <w:rsid w:val="0048149B"/>
    <w:rsid w:val="00481C0C"/>
    <w:rsid w:val="00481EDF"/>
    <w:rsid w:val="00482D46"/>
    <w:rsid w:val="00482E13"/>
    <w:rsid w:val="0048516D"/>
    <w:rsid w:val="0048519A"/>
    <w:rsid w:val="00485E65"/>
    <w:rsid w:val="0049038F"/>
    <w:rsid w:val="0049054C"/>
    <w:rsid w:val="00490BDC"/>
    <w:rsid w:val="00491395"/>
    <w:rsid w:val="00491EB6"/>
    <w:rsid w:val="004922DA"/>
    <w:rsid w:val="004925EF"/>
    <w:rsid w:val="004928B4"/>
    <w:rsid w:val="004937F1"/>
    <w:rsid w:val="00493885"/>
    <w:rsid w:val="00493BED"/>
    <w:rsid w:val="00493E43"/>
    <w:rsid w:val="00493E7D"/>
    <w:rsid w:val="0049409D"/>
    <w:rsid w:val="004940BE"/>
    <w:rsid w:val="0049441F"/>
    <w:rsid w:val="0049476C"/>
    <w:rsid w:val="00495114"/>
    <w:rsid w:val="00495AF2"/>
    <w:rsid w:val="0049751A"/>
    <w:rsid w:val="004979C0"/>
    <w:rsid w:val="00497ABB"/>
    <w:rsid w:val="00497DB3"/>
    <w:rsid w:val="004A02DD"/>
    <w:rsid w:val="004A172B"/>
    <w:rsid w:val="004A213A"/>
    <w:rsid w:val="004A4836"/>
    <w:rsid w:val="004A7431"/>
    <w:rsid w:val="004A7683"/>
    <w:rsid w:val="004B0F3A"/>
    <w:rsid w:val="004B10F2"/>
    <w:rsid w:val="004B171D"/>
    <w:rsid w:val="004B18A9"/>
    <w:rsid w:val="004B2362"/>
    <w:rsid w:val="004B3989"/>
    <w:rsid w:val="004B3F10"/>
    <w:rsid w:val="004B4436"/>
    <w:rsid w:val="004B4940"/>
    <w:rsid w:val="004B4D96"/>
    <w:rsid w:val="004B68D4"/>
    <w:rsid w:val="004B6A4D"/>
    <w:rsid w:val="004B786A"/>
    <w:rsid w:val="004C0241"/>
    <w:rsid w:val="004C0D07"/>
    <w:rsid w:val="004C1112"/>
    <w:rsid w:val="004C11B4"/>
    <w:rsid w:val="004C2305"/>
    <w:rsid w:val="004C2353"/>
    <w:rsid w:val="004C3C2C"/>
    <w:rsid w:val="004C408F"/>
    <w:rsid w:val="004C4277"/>
    <w:rsid w:val="004C42D3"/>
    <w:rsid w:val="004C4900"/>
    <w:rsid w:val="004C5274"/>
    <w:rsid w:val="004C53BA"/>
    <w:rsid w:val="004C53FF"/>
    <w:rsid w:val="004C5DE4"/>
    <w:rsid w:val="004C76D7"/>
    <w:rsid w:val="004D17D3"/>
    <w:rsid w:val="004D18D7"/>
    <w:rsid w:val="004D1AF8"/>
    <w:rsid w:val="004D2192"/>
    <w:rsid w:val="004D2FF5"/>
    <w:rsid w:val="004D34BD"/>
    <w:rsid w:val="004D354C"/>
    <w:rsid w:val="004D5F53"/>
    <w:rsid w:val="004D625B"/>
    <w:rsid w:val="004D71E9"/>
    <w:rsid w:val="004D7667"/>
    <w:rsid w:val="004E2AC5"/>
    <w:rsid w:val="004E31BC"/>
    <w:rsid w:val="004E31E3"/>
    <w:rsid w:val="004E3B21"/>
    <w:rsid w:val="004E624E"/>
    <w:rsid w:val="004E6632"/>
    <w:rsid w:val="004F01C5"/>
    <w:rsid w:val="004F0FD9"/>
    <w:rsid w:val="004F16A8"/>
    <w:rsid w:val="004F3387"/>
    <w:rsid w:val="004F34B9"/>
    <w:rsid w:val="004F3B3A"/>
    <w:rsid w:val="004F3DE7"/>
    <w:rsid w:val="004F4524"/>
    <w:rsid w:val="004F4F75"/>
    <w:rsid w:val="004F52B4"/>
    <w:rsid w:val="004F618D"/>
    <w:rsid w:val="004F618F"/>
    <w:rsid w:val="004F61C3"/>
    <w:rsid w:val="004F62F0"/>
    <w:rsid w:val="004F683C"/>
    <w:rsid w:val="004F68FC"/>
    <w:rsid w:val="004F6E62"/>
    <w:rsid w:val="004F7341"/>
    <w:rsid w:val="004F7940"/>
    <w:rsid w:val="004F79F1"/>
    <w:rsid w:val="004F7E5B"/>
    <w:rsid w:val="00500DA5"/>
    <w:rsid w:val="005013FC"/>
    <w:rsid w:val="00501707"/>
    <w:rsid w:val="0050261B"/>
    <w:rsid w:val="0050324E"/>
    <w:rsid w:val="00504125"/>
    <w:rsid w:val="00504747"/>
    <w:rsid w:val="0050603D"/>
    <w:rsid w:val="005074B1"/>
    <w:rsid w:val="0051023B"/>
    <w:rsid w:val="00510410"/>
    <w:rsid w:val="00510706"/>
    <w:rsid w:val="005114B5"/>
    <w:rsid w:val="00511BED"/>
    <w:rsid w:val="0051339B"/>
    <w:rsid w:val="0051353A"/>
    <w:rsid w:val="00513650"/>
    <w:rsid w:val="00513C7F"/>
    <w:rsid w:val="0051445F"/>
    <w:rsid w:val="005148A3"/>
    <w:rsid w:val="00515A60"/>
    <w:rsid w:val="00516310"/>
    <w:rsid w:val="00516B46"/>
    <w:rsid w:val="00516CD8"/>
    <w:rsid w:val="00516E9B"/>
    <w:rsid w:val="00517A12"/>
    <w:rsid w:val="00517B39"/>
    <w:rsid w:val="00520080"/>
    <w:rsid w:val="00520205"/>
    <w:rsid w:val="005204F7"/>
    <w:rsid w:val="0052061C"/>
    <w:rsid w:val="00520E36"/>
    <w:rsid w:val="00521338"/>
    <w:rsid w:val="005217AF"/>
    <w:rsid w:val="00521E31"/>
    <w:rsid w:val="00521FC7"/>
    <w:rsid w:val="0052263D"/>
    <w:rsid w:val="00522A40"/>
    <w:rsid w:val="00522E0E"/>
    <w:rsid w:val="00523BB4"/>
    <w:rsid w:val="00523CB6"/>
    <w:rsid w:val="0052400A"/>
    <w:rsid w:val="00524DA6"/>
    <w:rsid w:val="00526104"/>
    <w:rsid w:val="0052625B"/>
    <w:rsid w:val="00530F3A"/>
    <w:rsid w:val="00531238"/>
    <w:rsid w:val="0053174E"/>
    <w:rsid w:val="0053189C"/>
    <w:rsid w:val="0053199F"/>
    <w:rsid w:val="00531B5C"/>
    <w:rsid w:val="00532D42"/>
    <w:rsid w:val="00532FF2"/>
    <w:rsid w:val="00533163"/>
    <w:rsid w:val="00533A9F"/>
    <w:rsid w:val="00534411"/>
    <w:rsid w:val="0053673A"/>
    <w:rsid w:val="005401CC"/>
    <w:rsid w:val="00540D81"/>
    <w:rsid w:val="005411C5"/>
    <w:rsid w:val="00541D96"/>
    <w:rsid w:val="0054200C"/>
    <w:rsid w:val="005421FA"/>
    <w:rsid w:val="005424A8"/>
    <w:rsid w:val="00543677"/>
    <w:rsid w:val="005437CC"/>
    <w:rsid w:val="00543C11"/>
    <w:rsid w:val="00543CCF"/>
    <w:rsid w:val="00544258"/>
    <w:rsid w:val="00544311"/>
    <w:rsid w:val="0054434A"/>
    <w:rsid w:val="00544A44"/>
    <w:rsid w:val="00544F06"/>
    <w:rsid w:val="0054508D"/>
    <w:rsid w:val="00545364"/>
    <w:rsid w:val="00545BB8"/>
    <w:rsid w:val="0054680D"/>
    <w:rsid w:val="00546DC2"/>
    <w:rsid w:val="00547557"/>
    <w:rsid w:val="0054758E"/>
    <w:rsid w:val="005518EA"/>
    <w:rsid w:val="00551C36"/>
    <w:rsid w:val="00551CBA"/>
    <w:rsid w:val="00552C8A"/>
    <w:rsid w:val="00552EC1"/>
    <w:rsid w:val="00553108"/>
    <w:rsid w:val="005539BB"/>
    <w:rsid w:val="00554201"/>
    <w:rsid w:val="00554568"/>
    <w:rsid w:val="005545CF"/>
    <w:rsid w:val="00554F53"/>
    <w:rsid w:val="00555CE3"/>
    <w:rsid w:val="00556DFA"/>
    <w:rsid w:val="00557896"/>
    <w:rsid w:val="00557D16"/>
    <w:rsid w:val="00560C00"/>
    <w:rsid w:val="00561127"/>
    <w:rsid w:val="0056128A"/>
    <w:rsid w:val="0056195C"/>
    <w:rsid w:val="00561BB7"/>
    <w:rsid w:val="00564263"/>
    <w:rsid w:val="0056487A"/>
    <w:rsid w:val="00564D1D"/>
    <w:rsid w:val="00565370"/>
    <w:rsid w:val="0056643A"/>
    <w:rsid w:val="00567A7D"/>
    <w:rsid w:val="00567B74"/>
    <w:rsid w:val="005700BA"/>
    <w:rsid w:val="005719D6"/>
    <w:rsid w:val="00571E3D"/>
    <w:rsid w:val="005722FA"/>
    <w:rsid w:val="00573399"/>
    <w:rsid w:val="00573EBD"/>
    <w:rsid w:val="00574992"/>
    <w:rsid w:val="00575FD1"/>
    <w:rsid w:val="0057697C"/>
    <w:rsid w:val="00576B28"/>
    <w:rsid w:val="00576CCE"/>
    <w:rsid w:val="00577714"/>
    <w:rsid w:val="00577831"/>
    <w:rsid w:val="00577A21"/>
    <w:rsid w:val="00577F12"/>
    <w:rsid w:val="00580777"/>
    <w:rsid w:val="00581400"/>
    <w:rsid w:val="0058159D"/>
    <w:rsid w:val="005831E0"/>
    <w:rsid w:val="00583AC7"/>
    <w:rsid w:val="00584DB6"/>
    <w:rsid w:val="0058569A"/>
    <w:rsid w:val="005862E4"/>
    <w:rsid w:val="00586FA4"/>
    <w:rsid w:val="005872E1"/>
    <w:rsid w:val="00587490"/>
    <w:rsid w:val="00587A7C"/>
    <w:rsid w:val="005900A5"/>
    <w:rsid w:val="00590223"/>
    <w:rsid w:val="005907D8"/>
    <w:rsid w:val="00590B77"/>
    <w:rsid w:val="00590E70"/>
    <w:rsid w:val="005915A9"/>
    <w:rsid w:val="00591F9E"/>
    <w:rsid w:val="005921CE"/>
    <w:rsid w:val="0059239A"/>
    <w:rsid w:val="005924E7"/>
    <w:rsid w:val="00592A26"/>
    <w:rsid w:val="00592A2C"/>
    <w:rsid w:val="005934A6"/>
    <w:rsid w:val="005938C6"/>
    <w:rsid w:val="00593A91"/>
    <w:rsid w:val="00593B34"/>
    <w:rsid w:val="00593E64"/>
    <w:rsid w:val="00595050"/>
    <w:rsid w:val="00597B40"/>
    <w:rsid w:val="005A0119"/>
    <w:rsid w:val="005A0760"/>
    <w:rsid w:val="005A16E1"/>
    <w:rsid w:val="005A1C4D"/>
    <w:rsid w:val="005A4128"/>
    <w:rsid w:val="005A4EB5"/>
    <w:rsid w:val="005A6013"/>
    <w:rsid w:val="005A6087"/>
    <w:rsid w:val="005A71E9"/>
    <w:rsid w:val="005A735A"/>
    <w:rsid w:val="005A7962"/>
    <w:rsid w:val="005B02FA"/>
    <w:rsid w:val="005B0EAB"/>
    <w:rsid w:val="005B1257"/>
    <w:rsid w:val="005B16BF"/>
    <w:rsid w:val="005B1951"/>
    <w:rsid w:val="005B264B"/>
    <w:rsid w:val="005B2FA1"/>
    <w:rsid w:val="005B5312"/>
    <w:rsid w:val="005B6206"/>
    <w:rsid w:val="005B6450"/>
    <w:rsid w:val="005B65AB"/>
    <w:rsid w:val="005B7F91"/>
    <w:rsid w:val="005C07C4"/>
    <w:rsid w:val="005C103F"/>
    <w:rsid w:val="005C12B0"/>
    <w:rsid w:val="005C346E"/>
    <w:rsid w:val="005C354F"/>
    <w:rsid w:val="005C4DB2"/>
    <w:rsid w:val="005C4DC1"/>
    <w:rsid w:val="005C4FC2"/>
    <w:rsid w:val="005C619C"/>
    <w:rsid w:val="005C76D3"/>
    <w:rsid w:val="005D00A3"/>
    <w:rsid w:val="005D04CA"/>
    <w:rsid w:val="005D1A77"/>
    <w:rsid w:val="005D3590"/>
    <w:rsid w:val="005D439E"/>
    <w:rsid w:val="005D4770"/>
    <w:rsid w:val="005D4EEB"/>
    <w:rsid w:val="005D52B8"/>
    <w:rsid w:val="005D5AA8"/>
    <w:rsid w:val="005D697F"/>
    <w:rsid w:val="005D6A6B"/>
    <w:rsid w:val="005D78BF"/>
    <w:rsid w:val="005E038A"/>
    <w:rsid w:val="005E18A9"/>
    <w:rsid w:val="005E1D11"/>
    <w:rsid w:val="005E2DB5"/>
    <w:rsid w:val="005E2E8E"/>
    <w:rsid w:val="005E4DC5"/>
    <w:rsid w:val="005E4DCA"/>
    <w:rsid w:val="005E4F05"/>
    <w:rsid w:val="005E4F8C"/>
    <w:rsid w:val="005E57BD"/>
    <w:rsid w:val="005E5B60"/>
    <w:rsid w:val="005E696F"/>
    <w:rsid w:val="005E7845"/>
    <w:rsid w:val="005E78C6"/>
    <w:rsid w:val="005E7A42"/>
    <w:rsid w:val="005E7AD8"/>
    <w:rsid w:val="005F1252"/>
    <w:rsid w:val="005F369D"/>
    <w:rsid w:val="005F3E75"/>
    <w:rsid w:val="005F5796"/>
    <w:rsid w:val="005F631A"/>
    <w:rsid w:val="005F6C20"/>
    <w:rsid w:val="005F71E6"/>
    <w:rsid w:val="0060013E"/>
    <w:rsid w:val="006002F4"/>
    <w:rsid w:val="00601600"/>
    <w:rsid w:val="00601629"/>
    <w:rsid w:val="006024CA"/>
    <w:rsid w:val="00602D0F"/>
    <w:rsid w:val="006037CD"/>
    <w:rsid w:val="00603B5F"/>
    <w:rsid w:val="00603FF6"/>
    <w:rsid w:val="006040D1"/>
    <w:rsid w:val="006048A1"/>
    <w:rsid w:val="00604D0E"/>
    <w:rsid w:val="006059A6"/>
    <w:rsid w:val="00605BD3"/>
    <w:rsid w:val="00606BF9"/>
    <w:rsid w:val="00607737"/>
    <w:rsid w:val="00610142"/>
    <w:rsid w:val="0061078B"/>
    <w:rsid w:val="00610EAB"/>
    <w:rsid w:val="006112B9"/>
    <w:rsid w:val="006117B7"/>
    <w:rsid w:val="006121B3"/>
    <w:rsid w:val="0061424E"/>
    <w:rsid w:val="00614477"/>
    <w:rsid w:val="006144F0"/>
    <w:rsid w:val="00614C71"/>
    <w:rsid w:val="006155F5"/>
    <w:rsid w:val="00615C8D"/>
    <w:rsid w:val="0061616C"/>
    <w:rsid w:val="00617387"/>
    <w:rsid w:val="0061763D"/>
    <w:rsid w:val="00617C85"/>
    <w:rsid w:val="0062111C"/>
    <w:rsid w:val="00621998"/>
    <w:rsid w:val="00623013"/>
    <w:rsid w:val="00623A01"/>
    <w:rsid w:val="00624811"/>
    <w:rsid w:val="006252B1"/>
    <w:rsid w:val="0062576C"/>
    <w:rsid w:val="006258FF"/>
    <w:rsid w:val="00625B72"/>
    <w:rsid w:val="0062671D"/>
    <w:rsid w:val="00626B21"/>
    <w:rsid w:val="0062751B"/>
    <w:rsid w:val="00627CC2"/>
    <w:rsid w:val="00627EB9"/>
    <w:rsid w:val="00627F1E"/>
    <w:rsid w:val="00630284"/>
    <w:rsid w:val="0063057C"/>
    <w:rsid w:val="006309CE"/>
    <w:rsid w:val="00630E63"/>
    <w:rsid w:val="00630EEE"/>
    <w:rsid w:val="00631C60"/>
    <w:rsid w:val="00631EEB"/>
    <w:rsid w:val="006320DD"/>
    <w:rsid w:val="0063285F"/>
    <w:rsid w:val="00632915"/>
    <w:rsid w:val="00633427"/>
    <w:rsid w:val="00634BCF"/>
    <w:rsid w:val="006359A4"/>
    <w:rsid w:val="00636525"/>
    <w:rsid w:val="00636673"/>
    <w:rsid w:val="00637421"/>
    <w:rsid w:val="00641541"/>
    <w:rsid w:val="0064180B"/>
    <w:rsid w:val="00641B88"/>
    <w:rsid w:val="00642A50"/>
    <w:rsid w:val="006446B4"/>
    <w:rsid w:val="00644C72"/>
    <w:rsid w:val="00644CCC"/>
    <w:rsid w:val="00644FD0"/>
    <w:rsid w:val="00645447"/>
    <w:rsid w:val="00645B06"/>
    <w:rsid w:val="00645B54"/>
    <w:rsid w:val="00645FB9"/>
    <w:rsid w:val="00647A7D"/>
    <w:rsid w:val="00647AC4"/>
    <w:rsid w:val="00647EB9"/>
    <w:rsid w:val="00647EE1"/>
    <w:rsid w:val="0065011A"/>
    <w:rsid w:val="00650526"/>
    <w:rsid w:val="0065164B"/>
    <w:rsid w:val="00651D62"/>
    <w:rsid w:val="006520BD"/>
    <w:rsid w:val="00652A35"/>
    <w:rsid w:val="00655B5B"/>
    <w:rsid w:val="00656948"/>
    <w:rsid w:val="0066023F"/>
    <w:rsid w:val="00660BDA"/>
    <w:rsid w:val="0066292F"/>
    <w:rsid w:val="006629B8"/>
    <w:rsid w:val="00662D74"/>
    <w:rsid w:val="00663DA9"/>
    <w:rsid w:val="00664041"/>
    <w:rsid w:val="006647A2"/>
    <w:rsid w:val="0066608A"/>
    <w:rsid w:val="0067081A"/>
    <w:rsid w:val="00672CFD"/>
    <w:rsid w:val="006737F5"/>
    <w:rsid w:val="00673DF0"/>
    <w:rsid w:val="00673E45"/>
    <w:rsid w:val="00673F4E"/>
    <w:rsid w:val="00674DFF"/>
    <w:rsid w:val="00676C9D"/>
    <w:rsid w:val="00677C36"/>
    <w:rsid w:val="00677EA2"/>
    <w:rsid w:val="00680431"/>
    <w:rsid w:val="006807D1"/>
    <w:rsid w:val="00680853"/>
    <w:rsid w:val="00680FF2"/>
    <w:rsid w:val="00682072"/>
    <w:rsid w:val="00682C39"/>
    <w:rsid w:val="00683067"/>
    <w:rsid w:val="00683584"/>
    <w:rsid w:val="00683C18"/>
    <w:rsid w:val="006854D9"/>
    <w:rsid w:val="00685EB7"/>
    <w:rsid w:val="00686381"/>
    <w:rsid w:val="006866D6"/>
    <w:rsid w:val="006866F0"/>
    <w:rsid w:val="00686A0D"/>
    <w:rsid w:val="00686F8D"/>
    <w:rsid w:val="00687F4B"/>
    <w:rsid w:val="00690476"/>
    <w:rsid w:val="006917DB"/>
    <w:rsid w:val="006922EE"/>
    <w:rsid w:val="0069296D"/>
    <w:rsid w:val="00692CD8"/>
    <w:rsid w:val="006950AD"/>
    <w:rsid w:val="00695535"/>
    <w:rsid w:val="006965CD"/>
    <w:rsid w:val="00696DCA"/>
    <w:rsid w:val="0069772A"/>
    <w:rsid w:val="0069797D"/>
    <w:rsid w:val="00697BA5"/>
    <w:rsid w:val="006A0826"/>
    <w:rsid w:val="006A1149"/>
    <w:rsid w:val="006A1279"/>
    <w:rsid w:val="006A144C"/>
    <w:rsid w:val="006A1738"/>
    <w:rsid w:val="006A191D"/>
    <w:rsid w:val="006A1AD5"/>
    <w:rsid w:val="006A22D6"/>
    <w:rsid w:val="006A2ECC"/>
    <w:rsid w:val="006A3B0C"/>
    <w:rsid w:val="006A3B6A"/>
    <w:rsid w:val="006A3C15"/>
    <w:rsid w:val="006A3CF5"/>
    <w:rsid w:val="006A63E1"/>
    <w:rsid w:val="006A6D08"/>
    <w:rsid w:val="006A6F3A"/>
    <w:rsid w:val="006A7AF6"/>
    <w:rsid w:val="006A7B1D"/>
    <w:rsid w:val="006B0814"/>
    <w:rsid w:val="006B092C"/>
    <w:rsid w:val="006B0B1F"/>
    <w:rsid w:val="006B1EE1"/>
    <w:rsid w:val="006B1FD0"/>
    <w:rsid w:val="006B3581"/>
    <w:rsid w:val="006B3746"/>
    <w:rsid w:val="006B5AFE"/>
    <w:rsid w:val="006B5D3B"/>
    <w:rsid w:val="006B65E8"/>
    <w:rsid w:val="006B7DA1"/>
    <w:rsid w:val="006C04F0"/>
    <w:rsid w:val="006C13FF"/>
    <w:rsid w:val="006C1486"/>
    <w:rsid w:val="006C2258"/>
    <w:rsid w:val="006C5476"/>
    <w:rsid w:val="006C57CC"/>
    <w:rsid w:val="006C5AE1"/>
    <w:rsid w:val="006C6168"/>
    <w:rsid w:val="006C62BD"/>
    <w:rsid w:val="006C63F9"/>
    <w:rsid w:val="006C6459"/>
    <w:rsid w:val="006C7358"/>
    <w:rsid w:val="006D00A1"/>
    <w:rsid w:val="006D03C9"/>
    <w:rsid w:val="006D0616"/>
    <w:rsid w:val="006D069A"/>
    <w:rsid w:val="006D075E"/>
    <w:rsid w:val="006D15D3"/>
    <w:rsid w:val="006D28D4"/>
    <w:rsid w:val="006D2B4E"/>
    <w:rsid w:val="006D37F0"/>
    <w:rsid w:val="006D3B2E"/>
    <w:rsid w:val="006D3DAC"/>
    <w:rsid w:val="006D4172"/>
    <w:rsid w:val="006D4322"/>
    <w:rsid w:val="006D51F9"/>
    <w:rsid w:val="006D5271"/>
    <w:rsid w:val="006D5562"/>
    <w:rsid w:val="006D5C5C"/>
    <w:rsid w:val="006D65C2"/>
    <w:rsid w:val="006D6787"/>
    <w:rsid w:val="006D6D47"/>
    <w:rsid w:val="006D7999"/>
    <w:rsid w:val="006D7AB5"/>
    <w:rsid w:val="006D7ECA"/>
    <w:rsid w:val="006E026E"/>
    <w:rsid w:val="006E1644"/>
    <w:rsid w:val="006E2979"/>
    <w:rsid w:val="006E2EE9"/>
    <w:rsid w:val="006E2FCC"/>
    <w:rsid w:val="006E31E2"/>
    <w:rsid w:val="006E33FD"/>
    <w:rsid w:val="006E3712"/>
    <w:rsid w:val="006E3F7C"/>
    <w:rsid w:val="006E4658"/>
    <w:rsid w:val="006E4735"/>
    <w:rsid w:val="006E4D32"/>
    <w:rsid w:val="006E680E"/>
    <w:rsid w:val="006E7830"/>
    <w:rsid w:val="006F1B38"/>
    <w:rsid w:val="006F1DE3"/>
    <w:rsid w:val="006F3921"/>
    <w:rsid w:val="006F4282"/>
    <w:rsid w:val="006F4C70"/>
    <w:rsid w:val="006F5BE8"/>
    <w:rsid w:val="006F5BE9"/>
    <w:rsid w:val="006F5E93"/>
    <w:rsid w:val="006F6E9B"/>
    <w:rsid w:val="006F6FEA"/>
    <w:rsid w:val="006F7B9B"/>
    <w:rsid w:val="00700418"/>
    <w:rsid w:val="0070137B"/>
    <w:rsid w:val="007013F4"/>
    <w:rsid w:val="00701FF2"/>
    <w:rsid w:val="0070295F"/>
    <w:rsid w:val="0070320C"/>
    <w:rsid w:val="007033CC"/>
    <w:rsid w:val="00703C1A"/>
    <w:rsid w:val="007048C1"/>
    <w:rsid w:val="00704C54"/>
    <w:rsid w:val="00705744"/>
    <w:rsid w:val="0070692D"/>
    <w:rsid w:val="00706B72"/>
    <w:rsid w:val="007070DC"/>
    <w:rsid w:val="0071056E"/>
    <w:rsid w:val="00710B4E"/>
    <w:rsid w:val="007111BA"/>
    <w:rsid w:val="0071184D"/>
    <w:rsid w:val="00711889"/>
    <w:rsid w:val="00711D5D"/>
    <w:rsid w:val="00712070"/>
    <w:rsid w:val="007125C8"/>
    <w:rsid w:val="00713098"/>
    <w:rsid w:val="00713BB2"/>
    <w:rsid w:val="00713CB8"/>
    <w:rsid w:val="00713DDD"/>
    <w:rsid w:val="00713FB3"/>
    <w:rsid w:val="00714E78"/>
    <w:rsid w:val="00717383"/>
    <w:rsid w:val="0071745D"/>
    <w:rsid w:val="00722701"/>
    <w:rsid w:val="0072281A"/>
    <w:rsid w:val="007239A4"/>
    <w:rsid w:val="007241EB"/>
    <w:rsid w:val="00724A5A"/>
    <w:rsid w:val="00724F3A"/>
    <w:rsid w:val="00725D8F"/>
    <w:rsid w:val="00726142"/>
    <w:rsid w:val="007267B8"/>
    <w:rsid w:val="00727B12"/>
    <w:rsid w:val="007301E0"/>
    <w:rsid w:val="007318AD"/>
    <w:rsid w:val="00731968"/>
    <w:rsid w:val="00731F01"/>
    <w:rsid w:val="007326BB"/>
    <w:rsid w:val="00734412"/>
    <w:rsid w:val="0073487A"/>
    <w:rsid w:val="00734AED"/>
    <w:rsid w:val="00734EE7"/>
    <w:rsid w:val="007356D1"/>
    <w:rsid w:val="007360A2"/>
    <w:rsid w:val="0073626F"/>
    <w:rsid w:val="00736E9A"/>
    <w:rsid w:val="00737608"/>
    <w:rsid w:val="00741E24"/>
    <w:rsid w:val="00742762"/>
    <w:rsid w:val="007432D5"/>
    <w:rsid w:val="0074339A"/>
    <w:rsid w:val="00743927"/>
    <w:rsid w:val="0074394D"/>
    <w:rsid w:val="00743A88"/>
    <w:rsid w:val="00743D39"/>
    <w:rsid w:val="007463B8"/>
    <w:rsid w:val="00746BD5"/>
    <w:rsid w:val="007471F1"/>
    <w:rsid w:val="0074782D"/>
    <w:rsid w:val="00750564"/>
    <w:rsid w:val="0075057A"/>
    <w:rsid w:val="00750868"/>
    <w:rsid w:val="00752917"/>
    <w:rsid w:val="00752C18"/>
    <w:rsid w:val="00752D73"/>
    <w:rsid w:val="00753190"/>
    <w:rsid w:val="007534E0"/>
    <w:rsid w:val="007537F8"/>
    <w:rsid w:val="007543DE"/>
    <w:rsid w:val="007549FE"/>
    <w:rsid w:val="00755661"/>
    <w:rsid w:val="0075569A"/>
    <w:rsid w:val="007558C0"/>
    <w:rsid w:val="00755F56"/>
    <w:rsid w:val="00756349"/>
    <w:rsid w:val="007572DE"/>
    <w:rsid w:val="00757A1D"/>
    <w:rsid w:val="0076014F"/>
    <w:rsid w:val="00760DDE"/>
    <w:rsid w:val="0076244C"/>
    <w:rsid w:val="007624F9"/>
    <w:rsid w:val="00762E54"/>
    <w:rsid w:val="00762F53"/>
    <w:rsid w:val="007643B1"/>
    <w:rsid w:val="007650EC"/>
    <w:rsid w:val="00765184"/>
    <w:rsid w:val="00765276"/>
    <w:rsid w:val="00766D54"/>
    <w:rsid w:val="00771990"/>
    <w:rsid w:val="007722ED"/>
    <w:rsid w:val="00772438"/>
    <w:rsid w:val="0077268D"/>
    <w:rsid w:val="007730D0"/>
    <w:rsid w:val="00773638"/>
    <w:rsid w:val="00773A1B"/>
    <w:rsid w:val="00773B5F"/>
    <w:rsid w:val="0077457A"/>
    <w:rsid w:val="00775DE1"/>
    <w:rsid w:val="0077636D"/>
    <w:rsid w:val="00776876"/>
    <w:rsid w:val="00776D80"/>
    <w:rsid w:val="00777368"/>
    <w:rsid w:val="00777D3D"/>
    <w:rsid w:val="00780706"/>
    <w:rsid w:val="00783435"/>
    <w:rsid w:val="00783EC3"/>
    <w:rsid w:val="0078553F"/>
    <w:rsid w:val="00785DB9"/>
    <w:rsid w:val="00786A85"/>
    <w:rsid w:val="00786EFB"/>
    <w:rsid w:val="00786FB4"/>
    <w:rsid w:val="0078730F"/>
    <w:rsid w:val="007900BB"/>
    <w:rsid w:val="007900FC"/>
    <w:rsid w:val="00791B3F"/>
    <w:rsid w:val="00792373"/>
    <w:rsid w:val="007923B2"/>
    <w:rsid w:val="00792FF6"/>
    <w:rsid w:val="00793383"/>
    <w:rsid w:val="00793E97"/>
    <w:rsid w:val="0079512C"/>
    <w:rsid w:val="007959AA"/>
    <w:rsid w:val="00797502"/>
    <w:rsid w:val="0079774E"/>
    <w:rsid w:val="00797B76"/>
    <w:rsid w:val="00797EAD"/>
    <w:rsid w:val="007A0CB7"/>
    <w:rsid w:val="007A1C85"/>
    <w:rsid w:val="007A1D52"/>
    <w:rsid w:val="007A2513"/>
    <w:rsid w:val="007A29D9"/>
    <w:rsid w:val="007A3298"/>
    <w:rsid w:val="007A3AD0"/>
    <w:rsid w:val="007A3E2E"/>
    <w:rsid w:val="007A4F27"/>
    <w:rsid w:val="007A562E"/>
    <w:rsid w:val="007A6375"/>
    <w:rsid w:val="007A63B6"/>
    <w:rsid w:val="007A64A0"/>
    <w:rsid w:val="007B0B17"/>
    <w:rsid w:val="007B0B68"/>
    <w:rsid w:val="007B1AC0"/>
    <w:rsid w:val="007B1DC4"/>
    <w:rsid w:val="007B26FC"/>
    <w:rsid w:val="007B27AE"/>
    <w:rsid w:val="007B3705"/>
    <w:rsid w:val="007B3A6E"/>
    <w:rsid w:val="007B3B92"/>
    <w:rsid w:val="007B3E9E"/>
    <w:rsid w:val="007B57F4"/>
    <w:rsid w:val="007B5B76"/>
    <w:rsid w:val="007B78F6"/>
    <w:rsid w:val="007C00E5"/>
    <w:rsid w:val="007C0374"/>
    <w:rsid w:val="007C0911"/>
    <w:rsid w:val="007C0DCF"/>
    <w:rsid w:val="007C21B9"/>
    <w:rsid w:val="007C248D"/>
    <w:rsid w:val="007C36C9"/>
    <w:rsid w:val="007C37CA"/>
    <w:rsid w:val="007C45E8"/>
    <w:rsid w:val="007C460B"/>
    <w:rsid w:val="007C48E7"/>
    <w:rsid w:val="007C4BFF"/>
    <w:rsid w:val="007C55A1"/>
    <w:rsid w:val="007C61E7"/>
    <w:rsid w:val="007C654E"/>
    <w:rsid w:val="007C76BD"/>
    <w:rsid w:val="007C77CD"/>
    <w:rsid w:val="007C7931"/>
    <w:rsid w:val="007D110A"/>
    <w:rsid w:val="007D181B"/>
    <w:rsid w:val="007D18AA"/>
    <w:rsid w:val="007D1B5F"/>
    <w:rsid w:val="007D1FEE"/>
    <w:rsid w:val="007D28D4"/>
    <w:rsid w:val="007D4293"/>
    <w:rsid w:val="007D4484"/>
    <w:rsid w:val="007D4779"/>
    <w:rsid w:val="007D4D62"/>
    <w:rsid w:val="007D5D90"/>
    <w:rsid w:val="007D5DCD"/>
    <w:rsid w:val="007D658B"/>
    <w:rsid w:val="007D68C2"/>
    <w:rsid w:val="007D6A8B"/>
    <w:rsid w:val="007D6B42"/>
    <w:rsid w:val="007D71E5"/>
    <w:rsid w:val="007D7826"/>
    <w:rsid w:val="007E11C8"/>
    <w:rsid w:val="007E1271"/>
    <w:rsid w:val="007E1A5A"/>
    <w:rsid w:val="007E1F4F"/>
    <w:rsid w:val="007E2019"/>
    <w:rsid w:val="007E2116"/>
    <w:rsid w:val="007E2177"/>
    <w:rsid w:val="007E2398"/>
    <w:rsid w:val="007E2DE0"/>
    <w:rsid w:val="007E3676"/>
    <w:rsid w:val="007E43D4"/>
    <w:rsid w:val="007E79F2"/>
    <w:rsid w:val="007F000D"/>
    <w:rsid w:val="007F0326"/>
    <w:rsid w:val="007F0372"/>
    <w:rsid w:val="007F0523"/>
    <w:rsid w:val="007F19B2"/>
    <w:rsid w:val="007F284C"/>
    <w:rsid w:val="007F3431"/>
    <w:rsid w:val="007F41C5"/>
    <w:rsid w:val="007F439A"/>
    <w:rsid w:val="007F45B7"/>
    <w:rsid w:val="007F4702"/>
    <w:rsid w:val="007F4F61"/>
    <w:rsid w:val="007F58CA"/>
    <w:rsid w:val="007F6869"/>
    <w:rsid w:val="007F7C75"/>
    <w:rsid w:val="008001F6"/>
    <w:rsid w:val="00801BF5"/>
    <w:rsid w:val="00803067"/>
    <w:rsid w:val="0080323A"/>
    <w:rsid w:val="00803311"/>
    <w:rsid w:val="008036A4"/>
    <w:rsid w:val="00803EA2"/>
    <w:rsid w:val="008040C3"/>
    <w:rsid w:val="008041A2"/>
    <w:rsid w:val="00806692"/>
    <w:rsid w:val="00807D50"/>
    <w:rsid w:val="00807D72"/>
    <w:rsid w:val="0081003D"/>
    <w:rsid w:val="00810EB0"/>
    <w:rsid w:val="0081264B"/>
    <w:rsid w:val="00812933"/>
    <w:rsid w:val="0081368F"/>
    <w:rsid w:val="00813D01"/>
    <w:rsid w:val="008144AD"/>
    <w:rsid w:val="00814A69"/>
    <w:rsid w:val="00814C33"/>
    <w:rsid w:val="008151EE"/>
    <w:rsid w:val="00815636"/>
    <w:rsid w:val="00815E05"/>
    <w:rsid w:val="00815FB4"/>
    <w:rsid w:val="00820230"/>
    <w:rsid w:val="00821C26"/>
    <w:rsid w:val="00821FDE"/>
    <w:rsid w:val="00823E24"/>
    <w:rsid w:val="00824743"/>
    <w:rsid w:val="00824876"/>
    <w:rsid w:val="00824A29"/>
    <w:rsid w:val="00824A99"/>
    <w:rsid w:val="00826452"/>
    <w:rsid w:val="008266C6"/>
    <w:rsid w:val="00826B0C"/>
    <w:rsid w:val="00827618"/>
    <w:rsid w:val="00827CBD"/>
    <w:rsid w:val="008303CF"/>
    <w:rsid w:val="00830ED8"/>
    <w:rsid w:val="008310AC"/>
    <w:rsid w:val="008313E2"/>
    <w:rsid w:val="00831590"/>
    <w:rsid w:val="00831B8D"/>
    <w:rsid w:val="00831D55"/>
    <w:rsid w:val="0083215B"/>
    <w:rsid w:val="00832389"/>
    <w:rsid w:val="00833686"/>
    <w:rsid w:val="00834162"/>
    <w:rsid w:val="0083425E"/>
    <w:rsid w:val="00834369"/>
    <w:rsid w:val="0083521A"/>
    <w:rsid w:val="0083559D"/>
    <w:rsid w:val="00835638"/>
    <w:rsid w:val="00836424"/>
    <w:rsid w:val="008366AE"/>
    <w:rsid w:val="00836F72"/>
    <w:rsid w:val="008405D6"/>
    <w:rsid w:val="0084109A"/>
    <w:rsid w:val="0084280E"/>
    <w:rsid w:val="008432A4"/>
    <w:rsid w:val="00843D8F"/>
    <w:rsid w:val="00845575"/>
    <w:rsid w:val="0084676C"/>
    <w:rsid w:val="00847DE0"/>
    <w:rsid w:val="0085033F"/>
    <w:rsid w:val="00853F3D"/>
    <w:rsid w:val="008544D2"/>
    <w:rsid w:val="0085494D"/>
    <w:rsid w:val="00854B35"/>
    <w:rsid w:val="00855035"/>
    <w:rsid w:val="00855756"/>
    <w:rsid w:val="00855FA1"/>
    <w:rsid w:val="00856027"/>
    <w:rsid w:val="00856A9D"/>
    <w:rsid w:val="0085725C"/>
    <w:rsid w:val="008574D3"/>
    <w:rsid w:val="00857B0C"/>
    <w:rsid w:val="00857C61"/>
    <w:rsid w:val="00860185"/>
    <w:rsid w:val="008605CE"/>
    <w:rsid w:val="008609D1"/>
    <w:rsid w:val="00860F1F"/>
    <w:rsid w:val="00861096"/>
    <w:rsid w:val="00861750"/>
    <w:rsid w:val="00861EBE"/>
    <w:rsid w:val="00863C9B"/>
    <w:rsid w:val="00863D5B"/>
    <w:rsid w:val="00863DAE"/>
    <w:rsid w:val="008652F5"/>
    <w:rsid w:val="008655BC"/>
    <w:rsid w:val="008659A8"/>
    <w:rsid w:val="00867BE8"/>
    <w:rsid w:val="00870110"/>
    <w:rsid w:val="0087016C"/>
    <w:rsid w:val="00871FFF"/>
    <w:rsid w:val="00873097"/>
    <w:rsid w:val="00873343"/>
    <w:rsid w:val="00873357"/>
    <w:rsid w:val="00873927"/>
    <w:rsid w:val="008748EB"/>
    <w:rsid w:val="00874BEE"/>
    <w:rsid w:val="00875E2D"/>
    <w:rsid w:val="00876117"/>
    <w:rsid w:val="00876AFC"/>
    <w:rsid w:val="00876CB0"/>
    <w:rsid w:val="00880719"/>
    <w:rsid w:val="0088141D"/>
    <w:rsid w:val="008815F7"/>
    <w:rsid w:val="00882B57"/>
    <w:rsid w:val="00882D9F"/>
    <w:rsid w:val="00884AA6"/>
    <w:rsid w:val="00885167"/>
    <w:rsid w:val="00885CD2"/>
    <w:rsid w:val="00885F8F"/>
    <w:rsid w:val="0088632D"/>
    <w:rsid w:val="008868BF"/>
    <w:rsid w:val="00887AC4"/>
    <w:rsid w:val="00887D80"/>
    <w:rsid w:val="00887DD3"/>
    <w:rsid w:val="00890674"/>
    <w:rsid w:val="00890B27"/>
    <w:rsid w:val="008910B2"/>
    <w:rsid w:val="0089222C"/>
    <w:rsid w:val="00894CA6"/>
    <w:rsid w:val="00894FA1"/>
    <w:rsid w:val="00896779"/>
    <w:rsid w:val="00896E06"/>
    <w:rsid w:val="008A16D8"/>
    <w:rsid w:val="008A1B0F"/>
    <w:rsid w:val="008A1C61"/>
    <w:rsid w:val="008A1E76"/>
    <w:rsid w:val="008A2D1F"/>
    <w:rsid w:val="008A343D"/>
    <w:rsid w:val="008A3797"/>
    <w:rsid w:val="008A3ED2"/>
    <w:rsid w:val="008A6398"/>
    <w:rsid w:val="008A7FC9"/>
    <w:rsid w:val="008B0FFB"/>
    <w:rsid w:val="008B1080"/>
    <w:rsid w:val="008B14CF"/>
    <w:rsid w:val="008B17B8"/>
    <w:rsid w:val="008B1F95"/>
    <w:rsid w:val="008B2B8F"/>
    <w:rsid w:val="008B3A85"/>
    <w:rsid w:val="008B40AF"/>
    <w:rsid w:val="008B4898"/>
    <w:rsid w:val="008B4D45"/>
    <w:rsid w:val="008B6540"/>
    <w:rsid w:val="008B65AC"/>
    <w:rsid w:val="008B6C94"/>
    <w:rsid w:val="008B720A"/>
    <w:rsid w:val="008B752D"/>
    <w:rsid w:val="008B7BC6"/>
    <w:rsid w:val="008C004C"/>
    <w:rsid w:val="008C0FEE"/>
    <w:rsid w:val="008C1714"/>
    <w:rsid w:val="008C1E9E"/>
    <w:rsid w:val="008C28F2"/>
    <w:rsid w:val="008C2F56"/>
    <w:rsid w:val="008C65D7"/>
    <w:rsid w:val="008C6D2C"/>
    <w:rsid w:val="008C6FD4"/>
    <w:rsid w:val="008C7F80"/>
    <w:rsid w:val="008C7FDF"/>
    <w:rsid w:val="008D03DB"/>
    <w:rsid w:val="008D0D37"/>
    <w:rsid w:val="008D13D3"/>
    <w:rsid w:val="008D13EB"/>
    <w:rsid w:val="008D16B5"/>
    <w:rsid w:val="008D1CF2"/>
    <w:rsid w:val="008D36D8"/>
    <w:rsid w:val="008D4AD0"/>
    <w:rsid w:val="008D4FC1"/>
    <w:rsid w:val="008D51BB"/>
    <w:rsid w:val="008D553D"/>
    <w:rsid w:val="008D6CC4"/>
    <w:rsid w:val="008D6F23"/>
    <w:rsid w:val="008D757E"/>
    <w:rsid w:val="008E0833"/>
    <w:rsid w:val="008E1086"/>
    <w:rsid w:val="008E1904"/>
    <w:rsid w:val="008E2821"/>
    <w:rsid w:val="008E2CC8"/>
    <w:rsid w:val="008E3626"/>
    <w:rsid w:val="008E5202"/>
    <w:rsid w:val="008E5A69"/>
    <w:rsid w:val="008E6884"/>
    <w:rsid w:val="008E6C1D"/>
    <w:rsid w:val="008E77AC"/>
    <w:rsid w:val="008F03CC"/>
    <w:rsid w:val="008F05FE"/>
    <w:rsid w:val="008F0998"/>
    <w:rsid w:val="008F0B93"/>
    <w:rsid w:val="008F0FE3"/>
    <w:rsid w:val="008F130F"/>
    <w:rsid w:val="008F27D9"/>
    <w:rsid w:val="008F29C6"/>
    <w:rsid w:val="008F45B2"/>
    <w:rsid w:val="008F5116"/>
    <w:rsid w:val="008F5476"/>
    <w:rsid w:val="008F563A"/>
    <w:rsid w:val="008F69E9"/>
    <w:rsid w:val="008F727A"/>
    <w:rsid w:val="008F754B"/>
    <w:rsid w:val="00900C6B"/>
    <w:rsid w:val="00901A5B"/>
    <w:rsid w:val="00902A1D"/>
    <w:rsid w:val="009044C4"/>
    <w:rsid w:val="00904739"/>
    <w:rsid w:val="0090634D"/>
    <w:rsid w:val="00906501"/>
    <w:rsid w:val="0090671F"/>
    <w:rsid w:val="009067CB"/>
    <w:rsid w:val="00906C42"/>
    <w:rsid w:val="00907046"/>
    <w:rsid w:val="00907DFC"/>
    <w:rsid w:val="00910511"/>
    <w:rsid w:val="0091051A"/>
    <w:rsid w:val="00910628"/>
    <w:rsid w:val="00910758"/>
    <w:rsid w:val="00911D16"/>
    <w:rsid w:val="0091314E"/>
    <w:rsid w:val="0091322B"/>
    <w:rsid w:val="0091323D"/>
    <w:rsid w:val="0091341A"/>
    <w:rsid w:val="00913B99"/>
    <w:rsid w:val="00914058"/>
    <w:rsid w:val="00915399"/>
    <w:rsid w:val="00915C39"/>
    <w:rsid w:val="00916408"/>
    <w:rsid w:val="0091642E"/>
    <w:rsid w:val="00917070"/>
    <w:rsid w:val="009174CF"/>
    <w:rsid w:val="00917B03"/>
    <w:rsid w:val="00917FA5"/>
    <w:rsid w:val="009206B3"/>
    <w:rsid w:val="009213A0"/>
    <w:rsid w:val="00922FD7"/>
    <w:rsid w:val="0092358A"/>
    <w:rsid w:val="00923CB2"/>
    <w:rsid w:val="00924114"/>
    <w:rsid w:val="00924350"/>
    <w:rsid w:val="00924562"/>
    <w:rsid w:val="009251E7"/>
    <w:rsid w:val="009258EE"/>
    <w:rsid w:val="00926036"/>
    <w:rsid w:val="00926C05"/>
    <w:rsid w:val="0092724C"/>
    <w:rsid w:val="00927B64"/>
    <w:rsid w:val="00927C97"/>
    <w:rsid w:val="009304C4"/>
    <w:rsid w:val="00930882"/>
    <w:rsid w:val="00931482"/>
    <w:rsid w:val="00931C79"/>
    <w:rsid w:val="009324A4"/>
    <w:rsid w:val="00932DA0"/>
    <w:rsid w:val="009335B8"/>
    <w:rsid w:val="00933FD3"/>
    <w:rsid w:val="009346B6"/>
    <w:rsid w:val="0093508D"/>
    <w:rsid w:val="0093604B"/>
    <w:rsid w:val="00936362"/>
    <w:rsid w:val="00936AB9"/>
    <w:rsid w:val="00936D3B"/>
    <w:rsid w:val="00940CBD"/>
    <w:rsid w:val="00941FC4"/>
    <w:rsid w:val="009421B0"/>
    <w:rsid w:val="00942A8F"/>
    <w:rsid w:val="00942B09"/>
    <w:rsid w:val="00943049"/>
    <w:rsid w:val="0094382E"/>
    <w:rsid w:val="00943B03"/>
    <w:rsid w:val="00944058"/>
    <w:rsid w:val="00944A25"/>
    <w:rsid w:val="00944CFD"/>
    <w:rsid w:val="009456DD"/>
    <w:rsid w:val="0094579A"/>
    <w:rsid w:val="00946525"/>
    <w:rsid w:val="00946E2B"/>
    <w:rsid w:val="00947201"/>
    <w:rsid w:val="009500C4"/>
    <w:rsid w:val="009508B3"/>
    <w:rsid w:val="009519CE"/>
    <w:rsid w:val="0095208D"/>
    <w:rsid w:val="00952574"/>
    <w:rsid w:val="00953CF8"/>
    <w:rsid w:val="00953D8F"/>
    <w:rsid w:val="009543F6"/>
    <w:rsid w:val="009550DC"/>
    <w:rsid w:val="0095515B"/>
    <w:rsid w:val="00955244"/>
    <w:rsid w:val="00955929"/>
    <w:rsid w:val="00955B91"/>
    <w:rsid w:val="00956001"/>
    <w:rsid w:val="00956597"/>
    <w:rsid w:val="009569D3"/>
    <w:rsid w:val="00956BAD"/>
    <w:rsid w:val="00957768"/>
    <w:rsid w:val="00957CA6"/>
    <w:rsid w:val="00960C07"/>
    <w:rsid w:val="00960D5A"/>
    <w:rsid w:val="00961DB1"/>
    <w:rsid w:val="0096391E"/>
    <w:rsid w:val="00964FEF"/>
    <w:rsid w:val="00965582"/>
    <w:rsid w:val="009661C8"/>
    <w:rsid w:val="009667DC"/>
    <w:rsid w:val="00966BC7"/>
    <w:rsid w:val="00967851"/>
    <w:rsid w:val="0096792A"/>
    <w:rsid w:val="00967FD1"/>
    <w:rsid w:val="009707F5"/>
    <w:rsid w:val="00971500"/>
    <w:rsid w:val="00972FE6"/>
    <w:rsid w:val="009731CE"/>
    <w:rsid w:val="00973962"/>
    <w:rsid w:val="0097529A"/>
    <w:rsid w:val="00975861"/>
    <w:rsid w:val="009766EB"/>
    <w:rsid w:val="00976AF6"/>
    <w:rsid w:val="009774DA"/>
    <w:rsid w:val="00977F7E"/>
    <w:rsid w:val="00980833"/>
    <w:rsid w:val="00981511"/>
    <w:rsid w:val="0098168A"/>
    <w:rsid w:val="00981E2B"/>
    <w:rsid w:val="009827E8"/>
    <w:rsid w:val="00982963"/>
    <w:rsid w:val="00982E00"/>
    <w:rsid w:val="0098328E"/>
    <w:rsid w:val="00983A2C"/>
    <w:rsid w:val="00984316"/>
    <w:rsid w:val="00984B17"/>
    <w:rsid w:val="00984E4F"/>
    <w:rsid w:val="00986DAD"/>
    <w:rsid w:val="009879DA"/>
    <w:rsid w:val="00987F71"/>
    <w:rsid w:val="0099029D"/>
    <w:rsid w:val="00991F19"/>
    <w:rsid w:val="009926E5"/>
    <w:rsid w:val="00992CA4"/>
    <w:rsid w:val="00992DC1"/>
    <w:rsid w:val="00993BC2"/>
    <w:rsid w:val="00993CE5"/>
    <w:rsid w:val="009951B6"/>
    <w:rsid w:val="00995C8F"/>
    <w:rsid w:val="009963EB"/>
    <w:rsid w:val="009965C5"/>
    <w:rsid w:val="00996924"/>
    <w:rsid w:val="009A0819"/>
    <w:rsid w:val="009A12DE"/>
    <w:rsid w:val="009A17D5"/>
    <w:rsid w:val="009A190D"/>
    <w:rsid w:val="009A2253"/>
    <w:rsid w:val="009A274A"/>
    <w:rsid w:val="009A2A76"/>
    <w:rsid w:val="009A4D4A"/>
    <w:rsid w:val="009A4F61"/>
    <w:rsid w:val="009A636D"/>
    <w:rsid w:val="009A6495"/>
    <w:rsid w:val="009A6725"/>
    <w:rsid w:val="009A76D5"/>
    <w:rsid w:val="009A790A"/>
    <w:rsid w:val="009A7E71"/>
    <w:rsid w:val="009B0246"/>
    <w:rsid w:val="009B0265"/>
    <w:rsid w:val="009B026F"/>
    <w:rsid w:val="009B119F"/>
    <w:rsid w:val="009B154A"/>
    <w:rsid w:val="009B2C01"/>
    <w:rsid w:val="009B3B22"/>
    <w:rsid w:val="009B4DB5"/>
    <w:rsid w:val="009B5C5B"/>
    <w:rsid w:val="009B613F"/>
    <w:rsid w:val="009B66B1"/>
    <w:rsid w:val="009B746F"/>
    <w:rsid w:val="009B78F5"/>
    <w:rsid w:val="009C05C8"/>
    <w:rsid w:val="009C157D"/>
    <w:rsid w:val="009C1DA9"/>
    <w:rsid w:val="009C1EC0"/>
    <w:rsid w:val="009C4606"/>
    <w:rsid w:val="009C5F98"/>
    <w:rsid w:val="009C7C75"/>
    <w:rsid w:val="009D1B5A"/>
    <w:rsid w:val="009D2534"/>
    <w:rsid w:val="009D2DCB"/>
    <w:rsid w:val="009D43F1"/>
    <w:rsid w:val="009D4615"/>
    <w:rsid w:val="009D505E"/>
    <w:rsid w:val="009D5965"/>
    <w:rsid w:val="009D67DB"/>
    <w:rsid w:val="009D6808"/>
    <w:rsid w:val="009D6CC2"/>
    <w:rsid w:val="009D6D06"/>
    <w:rsid w:val="009D7BA5"/>
    <w:rsid w:val="009E00D6"/>
    <w:rsid w:val="009E06C2"/>
    <w:rsid w:val="009E098A"/>
    <w:rsid w:val="009E0B90"/>
    <w:rsid w:val="009E2488"/>
    <w:rsid w:val="009E40F5"/>
    <w:rsid w:val="009E4476"/>
    <w:rsid w:val="009E458A"/>
    <w:rsid w:val="009E45CD"/>
    <w:rsid w:val="009E47D9"/>
    <w:rsid w:val="009E600A"/>
    <w:rsid w:val="009E6384"/>
    <w:rsid w:val="009E648E"/>
    <w:rsid w:val="009E7A8B"/>
    <w:rsid w:val="009E7D8E"/>
    <w:rsid w:val="009F01DC"/>
    <w:rsid w:val="009F1CE9"/>
    <w:rsid w:val="009F1F3F"/>
    <w:rsid w:val="009F2724"/>
    <w:rsid w:val="009F3805"/>
    <w:rsid w:val="009F3A45"/>
    <w:rsid w:val="009F438A"/>
    <w:rsid w:val="009F43E1"/>
    <w:rsid w:val="009F481F"/>
    <w:rsid w:val="009F4937"/>
    <w:rsid w:val="009F5EC1"/>
    <w:rsid w:val="009F6270"/>
    <w:rsid w:val="009F65E6"/>
    <w:rsid w:val="009F683B"/>
    <w:rsid w:val="009F78C3"/>
    <w:rsid w:val="00A0086C"/>
    <w:rsid w:val="00A00A89"/>
    <w:rsid w:val="00A01C8D"/>
    <w:rsid w:val="00A023E9"/>
    <w:rsid w:val="00A02428"/>
    <w:rsid w:val="00A02E41"/>
    <w:rsid w:val="00A03CDA"/>
    <w:rsid w:val="00A0417A"/>
    <w:rsid w:val="00A044E9"/>
    <w:rsid w:val="00A052FD"/>
    <w:rsid w:val="00A0546D"/>
    <w:rsid w:val="00A058D6"/>
    <w:rsid w:val="00A0590B"/>
    <w:rsid w:val="00A063AA"/>
    <w:rsid w:val="00A0685A"/>
    <w:rsid w:val="00A107C4"/>
    <w:rsid w:val="00A108E5"/>
    <w:rsid w:val="00A10ECA"/>
    <w:rsid w:val="00A1195C"/>
    <w:rsid w:val="00A122DF"/>
    <w:rsid w:val="00A1255B"/>
    <w:rsid w:val="00A13E3A"/>
    <w:rsid w:val="00A1496B"/>
    <w:rsid w:val="00A14C06"/>
    <w:rsid w:val="00A15A9B"/>
    <w:rsid w:val="00A15DD4"/>
    <w:rsid w:val="00A166B2"/>
    <w:rsid w:val="00A16D6A"/>
    <w:rsid w:val="00A16F0F"/>
    <w:rsid w:val="00A171E9"/>
    <w:rsid w:val="00A1781F"/>
    <w:rsid w:val="00A20660"/>
    <w:rsid w:val="00A23153"/>
    <w:rsid w:val="00A2447A"/>
    <w:rsid w:val="00A248ED"/>
    <w:rsid w:val="00A253B9"/>
    <w:rsid w:val="00A255BA"/>
    <w:rsid w:val="00A25FA1"/>
    <w:rsid w:val="00A2675C"/>
    <w:rsid w:val="00A27C6F"/>
    <w:rsid w:val="00A302B6"/>
    <w:rsid w:val="00A31117"/>
    <w:rsid w:val="00A31A77"/>
    <w:rsid w:val="00A32056"/>
    <w:rsid w:val="00A3212F"/>
    <w:rsid w:val="00A33736"/>
    <w:rsid w:val="00A33D5E"/>
    <w:rsid w:val="00A33DAD"/>
    <w:rsid w:val="00A3467A"/>
    <w:rsid w:val="00A347E3"/>
    <w:rsid w:val="00A34826"/>
    <w:rsid w:val="00A36415"/>
    <w:rsid w:val="00A40323"/>
    <w:rsid w:val="00A403AC"/>
    <w:rsid w:val="00A41A78"/>
    <w:rsid w:val="00A42758"/>
    <w:rsid w:val="00A42DC1"/>
    <w:rsid w:val="00A443C0"/>
    <w:rsid w:val="00A468C5"/>
    <w:rsid w:val="00A4755C"/>
    <w:rsid w:val="00A47F50"/>
    <w:rsid w:val="00A502DC"/>
    <w:rsid w:val="00A504A2"/>
    <w:rsid w:val="00A50642"/>
    <w:rsid w:val="00A50AD5"/>
    <w:rsid w:val="00A513E0"/>
    <w:rsid w:val="00A52312"/>
    <w:rsid w:val="00A526F0"/>
    <w:rsid w:val="00A52CE7"/>
    <w:rsid w:val="00A5328D"/>
    <w:rsid w:val="00A534FC"/>
    <w:rsid w:val="00A53691"/>
    <w:rsid w:val="00A5374D"/>
    <w:rsid w:val="00A53D37"/>
    <w:rsid w:val="00A54E9F"/>
    <w:rsid w:val="00A55DFA"/>
    <w:rsid w:val="00A55EF3"/>
    <w:rsid w:val="00A56D85"/>
    <w:rsid w:val="00A62283"/>
    <w:rsid w:val="00A62F61"/>
    <w:rsid w:val="00A6406A"/>
    <w:rsid w:val="00A64C85"/>
    <w:rsid w:val="00A6577D"/>
    <w:rsid w:val="00A65D43"/>
    <w:rsid w:val="00A65E3B"/>
    <w:rsid w:val="00A665FF"/>
    <w:rsid w:val="00A674FE"/>
    <w:rsid w:val="00A67676"/>
    <w:rsid w:val="00A707FA"/>
    <w:rsid w:val="00A70DDA"/>
    <w:rsid w:val="00A7116F"/>
    <w:rsid w:val="00A71194"/>
    <w:rsid w:val="00A711A9"/>
    <w:rsid w:val="00A717DF"/>
    <w:rsid w:val="00A72688"/>
    <w:rsid w:val="00A72E33"/>
    <w:rsid w:val="00A73EE2"/>
    <w:rsid w:val="00A741F5"/>
    <w:rsid w:val="00A744CA"/>
    <w:rsid w:val="00A74FAE"/>
    <w:rsid w:val="00A753FE"/>
    <w:rsid w:val="00A758EB"/>
    <w:rsid w:val="00A75917"/>
    <w:rsid w:val="00A766D4"/>
    <w:rsid w:val="00A76822"/>
    <w:rsid w:val="00A76BCF"/>
    <w:rsid w:val="00A77925"/>
    <w:rsid w:val="00A808CE"/>
    <w:rsid w:val="00A80949"/>
    <w:rsid w:val="00A8103D"/>
    <w:rsid w:val="00A81B4C"/>
    <w:rsid w:val="00A82958"/>
    <w:rsid w:val="00A8362B"/>
    <w:rsid w:val="00A83990"/>
    <w:rsid w:val="00A83C18"/>
    <w:rsid w:val="00A84084"/>
    <w:rsid w:val="00A8573C"/>
    <w:rsid w:val="00A85A69"/>
    <w:rsid w:val="00A879BC"/>
    <w:rsid w:val="00A87D48"/>
    <w:rsid w:val="00A916B0"/>
    <w:rsid w:val="00A91DA0"/>
    <w:rsid w:val="00A924E3"/>
    <w:rsid w:val="00A92C19"/>
    <w:rsid w:val="00A92E6C"/>
    <w:rsid w:val="00A94377"/>
    <w:rsid w:val="00A9562D"/>
    <w:rsid w:val="00A95CD2"/>
    <w:rsid w:val="00A9678F"/>
    <w:rsid w:val="00A96A78"/>
    <w:rsid w:val="00A97B5E"/>
    <w:rsid w:val="00AA1592"/>
    <w:rsid w:val="00AA22AE"/>
    <w:rsid w:val="00AA2B6E"/>
    <w:rsid w:val="00AA3A27"/>
    <w:rsid w:val="00AA5016"/>
    <w:rsid w:val="00AA5EDD"/>
    <w:rsid w:val="00AA6A64"/>
    <w:rsid w:val="00AA7C0D"/>
    <w:rsid w:val="00AB14A1"/>
    <w:rsid w:val="00AB2C28"/>
    <w:rsid w:val="00AB333F"/>
    <w:rsid w:val="00AB360C"/>
    <w:rsid w:val="00AB398A"/>
    <w:rsid w:val="00AB3F5E"/>
    <w:rsid w:val="00AB48C6"/>
    <w:rsid w:val="00AB529C"/>
    <w:rsid w:val="00AB5EF9"/>
    <w:rsid w:val="00AB6526"/>
    <w:rsid w:val="00AB7DD9"/>
    <w:rsid w:val="00AC06A5"/>
    <w:rsid w:val="00AC07A2"/>
    <w:rsid w:val="00AC15DC"/>
    <w:rsid w:val="00AC1976"/>
    <w:rsid w:val="00AC2411"/>
    <w:rsid w:val="00AC2ED7"/>
    <w:rsid w:val="00AC39D0"/>
    <w:rsid w:val="00AC4FC3"/>
    <w:rsid w:val="00AC751C"/>
    <w:rsid w:val="00AC7530"/>
    <w:rsid w:val="00AC7C51"/>
    <w:rsid w:val="00AC7F5C"/>
    <w:rsid w:val="00AD0BB9"/>
    <w:rsid w:val="00AD219B"/>
    <w:rsid w:val="00AD2F74"/>
    <w:rsid w:val="00AD30F8"/>
    <w:rsid w:val="00AD3879"/>
    <w:rsid w:val="00AD3F76"/>
    <w:rsid w:val="00AD4EAC"/>
    <w:rsid w:val="00AD4FEC"/>
    <w:rsid w:val="00AD52D6"/>
    <w:rsid w:val="00AD5FCF"/>
    <w:rsid w:val="00AD66CB"/>
    <w:rsid w:val="00AD672E"/>
    <w:rsid w:val="00AD69BD"/>
    <w:rsid w:val="00AD723E"/>
    <w:rsid w:val="00AD7969"/>
    <w:rsid w:val="00AE0C68"/>
    <w:rsid w:val="00AE0E3D"/>
    <w:rsid w:val="00AE0E9B"/>
    <w:rsid w:val="00AE0EC9"/>
    <w:rsid w:val="00AE1093"/>
    <w:rsid w:val="00AE1BEC"/>
    <w:rsid w:val="00AE1FC6"/>
    <w:rsid w:val="00AE2404"/>
    <w:rsid w:val="00AE2D2E"/>
    <w:rsid w:val="00AE3190"/>
    <w:rsid w:val="00AE49E8"/>
    <w:rsid w:val="00AE5EFC"/>
    <w:rsid w:val="00AE6780"/>
    <w:rsid w:val="00AE6EE8"/>
    <w:rsid w:val="00AE70B4"/>
    <w:rsid w:val="00AE71D4"/>
    <w:rsid w:val="00AE745A"/>
    <w:rsid w:val="00AE7587"/>
    <w:rsid w:val="00AF21E8"/>
    <w:rsid w:val="00AF2CF8"/>
    <w:rsid w:val="00AF367B"/>
    <w:rsid w:val="00AF3E47"/>
    <w:rsid w:val="00AF3E93"/>
    <w:rsid w:val="00AF4269"/>
    <w:rsid w:val="00AF5859"/>
    <w:rsid w:val="00AF5914"/>
    <w:rsid w:val="00AF59A3"/>
    <w:rsid w:val="00AF5E7F"/>
    <w:rsid w:val="00AF6F8A"/>
    <w:rsid w:val="00AF7056"/>
    <w:rsid w:val="00AF7165"/>
    <w:rsid w:val="00AF75FB"/>
    <w:rsid w:val="00B0102F"/>
    <w:rsid w:val="00B01101"/>
    <w:rsid w:val="00B0189F"/>
    <w:rsid w:val="00B02A09"/>
    <w:rsid w:val="00B033C1"/>
    <w:rsid w:val="00B03960"/>
    <w:rsid w:val="00B04C25"/>
    <w:rsid w:val="00B0518D"/>
    <w:rsid w:val="00B052B9"/>
    <w:rsid w:val="00B05977"/>
    <w:rsid w:val="00B05D21"/>
    <w:rsid w:val="00B05F5F"/>
    <w:rsid w:val="00B06898"/>
    <w:rsid w:val="00B07D61"/>
    <w:rsid w:val="00B07ECC"/>
    <w:rsid w:val="00B10014"/>
    <w:rsid w:val="00B10B33"/>
    <w:rsid w:val="00B11192"/>
    <w:rsid w:val="00B111A3"/>
    <w:rsid w:val="00B114B7"/>
    <w:rsid w:val="00B11946"/>
    <w:rsid w:val="00B11AAC"/>
    <w:rsid w:val="00B11FB5"/>
    <w:rsid w:val="00B12FE5"/>
    <w:rsid w:val="00B130E7"/>
    <w:rsid w:val="00B13D7E"/>
    <w:rsid w:val="00B14AD3"/>
    <w:rsid w:val="00B14C00"/>
    <w:rsid w:val="00B1686A"/>
    <w:rsid w:val="00B1696D"/>
    <w:rsid w:val="00B16F6B"/>
    <w:rsid w:val="00B171DF"/>
    <w:rsid w:val="00B21052"/>
    <w:rsid w:val="00B21D59"/>
    <w:rsid w:val="00B2236B"/>
    <w:rsid w:val="00B2295B"/>
    <w:rsid w:val="00B233A5"/>
    <w:rsid w:val="00B23647"/>
    <w:rsid w:val="00B23822"/>
    <w:rsid w:val="00B23C24"/>
    <w:rsid w:val="00B24735"/>
    <w:rsid w:val="00B249B0"/>
    <w:rsid w:val="00B2631D"/>
    <w:rsid w:val="00B27149"/>
    <w:rsid w:val="00B27178"/>
    <w:rsid w:val="00B2753F"/>
    <w:rsid w:val="00B27CA8"/>
    <w:rsid w:val="00B27E85"/>
    <w:rsid w:val="00B30109"/>
    <w:rsid w:val="00B32971"/>
    <w:rsid w:val="00B3374F"/>
    <w:rsid w:val="00B344DF"/>
    <w:rsid w:val="00B345DA"/>
    <w:rsid w:val="00B34B2D"/>
    <w:rsid w:val="00B35077"/>
    <w:rsid w:val="00B3581F"/>
    <w:rsid w:val="00B361A9"/>
    <w:rsid w:val="00B3662E"/>
    <w:rsid w:val="00B366A9"/>
    <w:rsid w:val="00B3739E"/>
    <w:rsid w:val="00B376C4"/>
    <w:rsid w:val="00B40994"/>
    <w:rsid w:val="00B4172A"/>
    <w:rsid w:val="00B419C9"/>
    <w:rsid w:val="00B41CB8"/>
    <w:rsid w:val="00B41DB4"/>
    <w:rsid w:val="00B42B0C"/>
    <w:rsid w:val="00B433F8"/>
    <w:rsid w:val="00B43F3D"/>
    <w:rsid w:val="00B449D5"/>
    <w:rsid w:val="00B44F9C"/>
    <w:rsid w:val="00B46261"/>
    <w:rsid w:val="00B46310"/>
    <w:rsid w:val="00B478B5"/>
    <w:rsid w:val="00B47F1D"/>
    <w:rsid w:val="00B51308"/>
    <w:rsid w:val="00B51626"/>
    <w:rsid w:val="00B51F95"/>
    <w:rsid w:val="00B5269D"/>
    <w:rsid w:val="00B526B5"/>
    <w:rsid w:val="00B534E6"/>
    <w:rsid w:val="00B54F93"/>
    <w:rsid w:val="00B550FD"/>
    <w:rsid w:val="00B56483"/>
    <w:rsid w:val="00B56A2F"/>
    <w:rsid w:val="00B5739A"/>
    <w:rsid w:val="00B57448"/>
    <w:rsid w:val="00B5790F"/>
    <w:rsid w:val="00B57DC8"/>
    <w:rsid w:val="00B57FC2"/>
    <w:rsid w:val="00B57FEA"/>
    <w:rsid w:val="00B606CB"/>
    <w:rsid w:val="00B620AB"/>
    <w:rsid w:val="00B6284E"/>
    <w:rsid w:val="00B62C69"/>
    <w:rsid w:val="00B63152"/>
    <w:rsid w:val="00B63803"/>
    <w:rsid w:val="00B639DF"/>
    <w:rsid w:val="00B655D9"/>
    <w:rsid w:val="00B65919"/>
    <w:rsid w:val="00B660E6"/>
    <w:rsid w:val="00B662F0"/>
    <w:rsid w:val="00B70078"/>
    <w:rsid w:val="00B70D4B"/>
    <w:rsid w:val="00B71815"/>
    <w:rsid w:val="00B71A7C"/>
    <w:rsid w:val="00B72178"/>
    <w:rsid w:val="00B72C8F"/>
    <w:rsid w:val="00B72D5F"/>
    <w:rsid w:val="00B733AA"/>
    <w:rsid w:val="00B736CB"/>
    <w:rsid w:val="00B73A61"/>
    <w:rsid w:val="00B75B1F"/>
    <w:rsid w:val="00B7606B"/>
    <w:rsid w:val="00B76942"/>
    <w:rsid w:val="00B77195"/>
    <w:rsid w:val="00B774DE"/>
    <w:rsid w:val="00B77BE0"/>
    <w:rsid w:val="00B77C53"/>
    <w:rsid w:val="00B80B6D"/>
    <w:rsid w:val="00B80CAF"/>
    <w:rsid w:val="00B810F5"/>
    <w:rsid w:val="00B815CF"/>
    <w:rsid w:val="00B82118"/>
    <w:rsid w:val="00B828E3"/>
    <w:rsid w:val="00B82E86"/>
    <w:rsid w:val="00B8337F"/>
    <w:rsid w:val="00B835CB"/>
    <w:rsid w:val="00B83A20"/>
    <w:rsid w:val="00B841F0"/>
    <w:rsid w:val="00B84890"/>
    <w:rsid w:val="00B84DC6"/>
    <w:rsid w:val="00B86514"/>
    <w:rsid w:val="00B86A43"/>
    <w:rsid w:val="00B86AA2"/>
    <w:rsid w:val="00B871F7"/>
    <w:rsid w:val="00B87621"/>
    <w:rsid w:val="00B9096B"/>
    <w:rsid w:val="00B91501"/>
    <w:rsid w:val="00B91B77"/>
    <w:rsid w:val="00B923C8"/>
    <w:rsid w:val="00B92728"/>
    <w:rsid w:val="00B92DB6"/>
    <w:rsid w:val="00B95672"/>
    <w:rsid w:val="00B958B3"/>
    <w:rsid w:val="00B95F68"/>
    <w:rsid w:val="00B96584"/>
    <w:rsid w:val="00B966EB"/>
    <w:rsid w:val="00B96C65"/>
    <w:rsid w:val="00B9754A"/>
    <w:rsid w:val="00B9761A"/>
    <w:rsid w:val="00BA1271"/>
    <w:rsid w:val="00BA13AB"/>
    <w:rsid w:val="00BA16E8"/>
    <w:rsid w:val="00BA1FB3"/>
    <w:rsid w:val="00BA2B6D"/>
    <w:rsid w:val="00BA2F40"/>
    <w:rsid w:val="00BA4682"/>
    <w:rsid w:val="00BA5EA4"/>
    <w:rsid w:val="00BA6440"/>
    <w:rsid w:val="00BA7592"/>
    <w:rsid w:val="00BA79D1"/>
    <w:rsid w:val="00BA7EF4"/>
    <w:rsid w:val="00BB13EA"/>
    <w:rsid w:val="00BB159F"/>
    <w:rsid w:val="00BB1ED3"/>
    <w:rsid w:val="00BB21A2"/>
    <w:rsid w:val="00BB25AA"/>
    <w:rsid w:val="00BB267C"/>
    <w:rsid w:val="00BB2C7D"/>
    <w:rsid w:val="00BB40C3"/>
    <w:rsid w:val="00BB497C"/>
    <w:rsid w:val="00BB4F40"/>
    <w:rsid w:val="00BB57D3"/>
    <w:rsid w:val="00BB62C1"/>
    <w:rsid w:val="00BB694A"/>
    <w:rsid w:val="00BB6995"/>
    <w:rsid w:val="00BB7215"/>
    <w:rsid w:val="00BB7F2C"/>
    <w:rsid w:val="00BC269B"/>
    <w:rsid w:val="00BC2DB3"/>
    <w:rsid w:val="00BC3C8F"/>
    <w:rsid w:val="00BC4EF2"/>
    <w:rsid w:val="00BC58AC"/>
    <w:rsid w:val="00BC6938"/>
    <w:rsid w:val="00BC706F"/>
    <w:rsid w:val="00BC74A8"/>
    <w:rsid w:val="00BC7D8D"/>
    <w:rsid w:val="00BD0755"/>
    <w:rsid w:val="00BD09E5"/>
    <w:rsid w:val="00BD185C"/>
    <w:rsid w:val="00BD1B46"/>
    <w:rsid w:val="00BD2535"/>
    <w:rsid w:val="00BD2A03"/>
    <w:rsid w:val="00BD339D"/>
    <w:rsid w:val="00BD474C"/>
    <w:rsid w:val="00BD485F"/>
    <w:rsid w:val="00BD49DF"/>
    <w:rsid w:val="00BD58C5"/>
    <w:rsid w:val="00BD5E70"/>
    <w:rsid w:val="00BD611C"/>
    <w:rsid w:val="00BD6184"/>
    <w:rsid w:val="00BD6A28"/>
    <w:rsid w:val="00BD6BD4"/>
    <w:rsid w:val="00BD763F"/>
    <w:rsid w:val="00BE02CD"/>
    <w:rsid w:val="00BE0395"/>
    <w:rsid w:val="00BE0595"/>
    <w:rsid w:val="00BE0999"/>
    <w:rsid w:val="00BE17F7"/>
    <w:rsid w:val="00BE2029"/>
    <w:rsid w:val="00BE2D7B"/>
    <w:rsid w:val="00BE3F09"/>
    <w:rsid w:val="00BE4515"/>
    <w:rsid w:val="00BE4C48"/>
    <w:rsid w:val="00BE4C60"/>
    <w:rsid w:val="00BE4D30"/>
    <w:rsid w:val="00BE6A3D"/>
    <w:rsid w:val="00BE6AF2"/>
    <w:rsid w:val="00BE6CD4"/>
    <w:rsid w:val="00BE711C"/>
    <w:rsid w:val="00BE71FA"/>
    <w:rsid w:val="00BE72F5"/>
    <w:rsid w:val="00BE7AF3"/>
    <w:rsid w:val="00BE7E52"/>
    <w:rsid w:val="00BF0F7D"/>
    <w:rsid w:val="00BF1582"/>
    <w:rsid w:val="00BF3440"/>
    <w:rsid w:val="00BF4C94"/>
    <w:rsid w:val="00BF4FD5"/>
    <w:rsid w:val="00BF5E40"/>
    <w:rsid w:val="00BF6D09"/>
    <w:rsid w:val="00BF7B45"/>
    <w:rsid w:val="00BF7EC8"/>
    <w:rsid w:val="00C003EB"/>
    <w:rsid w:val="00C00721"/>
    <w:rsid w:val="00C0140A"/>
    <w:rsid w:val="00C01724"/>
    <w:rsid w:val="00C01952"/>
    <w:rsid w:val="00C01CB6"/>
    <w:rsid w:val="00C02598"/>
    <w:rsid w:val="00C05546"/>
    <w:rsid w:val="00C05B17"/>
    <w:rsid w:val="00C0602A"/>
    <w:rsid w:val="00C06633"/>
    <w:rsid w:val="00C0676D"/>
    <w:rsid w:val="00C0699D"/>
    <w:rsid w:val="00C071C1"/>
    <w:rsid w:val="00C0783F"/>
    <w:rsid w:val="00C07D2B"/>
    <w:rsid w:val="00C07E88"/>
    <w:rsid w:val="00C103E7"/>
    <w:rsid w:val="00C10B9A"/>
    <w:rsid w:val="00C1105F"/>
    <w:rsid w:val="00C114C3"/>
    <w:rsid w:val="00C11797"/>
    <w:rsid w:val="00C117C2"/>
    <w:rsid w:val="00C120B8"/>
    <w:rsid w:val="00C12535"/>
    <w:rsid w:val="00C12C21"/>
    <w:rsid w:val="00C12F09"/>
    <w:rsid w:val="00C13047"/>
    <w:rsid w:val="00C13ADB"/>
    <w:rsid w:val="00C13B2A"/>
    <w:rsid w:val="00C13B65"/>
    <w:rsid w:val="00C1430C"/>
    <w:rsid w:val="00C15BD5"/>
    <w:rsid w:val="00C1641C"/>
    <w:rsid w:val="00C168EA"/>
    <w:rsid w:val="00C20299"/>
    <w:rsid w:val="00C20497"/>
    <w:rsid w:val="00C2112E"/>
    <w:rsid w:val="00C21F45"/>
    <w:rsid w:val="00C221DF"/>
    <w:rsid w:val="00C22619"/>
    <w:rsid w:val="00C22C31"/>
    <w:rsid w:val="00C22E24"/>
    <w:rsid w:val="00C23057"/>
    <w:rsid w:val="00C24C74"/>
    <w:rsid w:val="00C261E0"/>
    <w:rsid w:val="00C26864"/>
    <w:rsid w:val="00C276B3"/>
    <w:rsid w:val="00C307E2"/>
    <w:rsid w:val="00C30C58"/>
    <w:rsid w:val="00C30D4C"/>
    <w:rsid w:val="00C3145F"/>
    <w:rsid w:val="00C31DA5"/>
    <w:rsid w:val="00C32273"/>
    <w:rsid w:val="00C329E8"/>
    <w:rsid w:val="00C33B17"/>
    <w:rsid w:val="00C34932"/>
    <w:rsid w:val="00C355E6"/>
    <w:rsid w:val="00C35783"/>
    <w:rsid w:val="00C358F4"/>
    <w:rsid w:val="00C36CD4"/>
    <w:rsid w:val="00C36F6E"/>
    <w:rsid w:val="00C40068"/>
    <w:rsid w:val="00C40E38"/>
    <w:rsid w:val="00C40EC1"/>
    <w:rsid w:val="00C41168"/>
    <w:rsid w:val="00C42C69"/>
    <w:rsid w:val="00C43F08"/>
    <w:rsid w:val="00C441CB"/>
    <w:rsid w:val="00C44E01"/>
    <w:rsid w:val="00C44ECE"/>
    <w:rsid w:val="00C45660"/>
    <w:rsid w:val="00C45B62"/>
    <w:rsid w:val="00C468AD"/>
    <w:rsid w:val="00C46C93"/>
    <w:rsid w:val="00C46DCB"/>
    <w:rsid w:val="00C47963"/>
    <w:rsid w:val="00C50A69"/>
    <w:rsid w:val="00C51934"/>
    <w:rsid w:val="00C51B31"/>
    <w:rsid w:val="00C51D0E"/>
    <w:rsid w:val="00C527A1"/>
    <w:rsid w:val="00C52B0D"/>
    <w:rsid w:val="00C53869"/>
    <w:rsid w:val="00C545DC"/>
    <w:rsid w:val="00C547C8"/>
    <w:rsid w:val="00C54B3C"/>
    <w:rsid w:val="00C54D1F"/>
    <w:rsid w:val="00C555DE"/>
    <w:rsid w:val="00C560BF"/>
    <w:rsid w:val="00C567CA"/>
    <w:rsid w:val="00C56B22"/>
    <w:rsid w:val="00C56E66"/>
    <w:rsid w:val="00C5713D"/>
    <w:rsid w:val="00C57627"/>
    <w:rsid w:val="00C57AB9"/>
    <w:rsid w:val="00C6063B"/>
    <w:rsid w:val="00C60690"/>
    <w:rsid w:val="00C6077E"/>
    <w:rsid w:val="00C60A02"/>
    <w:rsid w:val="00C61B57"/>
    <w:rsid w:val="00C61C5C"/>
    <w:rsid w:val="00C61DF2"/>
    <w:rsid w:val="00C61F32"/>
    <w:rsid w:val="00C61FBE"/>
    <w:rsid w:val="00C62A51"/>
    <w:rsid w:val="00C62B5C"/>
    <w:rsid w:val="00C633D0"/>
    <w:rsid w:val="00C638EE"/>
    <w:rsid w:val="00C662C2"/>
    <w:rsid w:val="00C67049"/>
    <w:rsid w:val="00C67886"/>
    <w:rsid w:val="00C67C29"/>
    <w:rsid w:val="00C67C87"/>
    <w:rsid w:val="00C67CE8"/>
    <w:rsid w:val="00C70341"/>
    <w:rsid w:val="00C70468"/>
    <w:rsid w:val="00C70D6D"/>
    <w:rsid w:val="00C714C4"/>
    <w:rsid w:val="00C71FB1"/>
    <w:rsid w:val="00C72D06"/>
    <w:rsid w:val="00C7331A"/>
    <w:rsid w:val="00C73EC8"/>
    <w:rsid w:val="00C746B5"/>
    <w:rsid w:val="00C747A9"/>
    <w:rsid w:val="00C747C2"/>
    <w:rsid w:val="00C7506D"/>
    <w:rsid w:val="00C75E47"/>
    <w:rsid w:val="00C76151"/>
    <w:rsid w:val="00C76BE9"/>
    <w:rsid w:val="00C77AAA"/>
    <w:rsid w:val="00C77FBD"/>
    <w:rsid w:val="00C8048D"/>
    <w:rsid w:val="00C80E24"/>
    <w:rsid w:val="00C8171B"/>
    <w:rsid w:val="00C82503"/>
    <w:rsid w:val="00C82E9C"/>
    <w:rsid w:val="00C8352D"/>
    <w:rsid w:val="00C847BB"/>
    <w:rsid w:val="00C85119"/>
    <w:rsid w:val="00C85FD8"/>
    <w:rsid w:val="00C901DF"/>
    <w:rsid w:val="00C90BFB"/>
    <w:rsid w:val="00C91A6E"/>
    <w:rsid w:val="00C92032"/>
    <w:rsid w:val="00C92095"/>
    <w:rsid w:val="00C930CF"/>
    <w:rsid w:val="00C9342A"/>
    <w:rsid w:val="00C93CF0"/>
    <w:rsid w:val="00C93EDF"/>
    <w:rsid w:val="00C94878"/>
    <w:rsid w:val="00C948F5"/>
    <w:rsid w:val="00C95866"/>
    <w:rsid w:val="00C963D5"/>
    <w:rsid w:val="00C96FF8"/>
    <w:rsid w:val="00C973D4"/>
    <w:rsid w:val="00C97DDC"/>
    <w:rsid w:val="00CA08A0"/>
    <w:rsid w:val="00CA1029"/>
    <w:rsid w:val="00CA1C66"/>
    <w:rsid w:val="00CA2166"/>
    <w:rsid w:val="00CA4A15"/>
    <w:rsid w:val="00CA5CC7"/>
    <w:rsid w:val="00CA7557"/>
    <w:rsid w:val="00CA7837"/>
    <w:rsid w:val="00CB02C3"/>
    <w:rsid w:val="00CB0A80"/>
    <w:rsid w:val="00CB1EA2"/>
    <w:rsid w:val="00CB2BFA"/>
    <w:rsid w:val="00CB35DF"/>
    <w:rsid w:val="00CB38BD"/>
    <w:rsid w:val="00CB39BF"/>
    <w:rsid w:val="00CB419A"/>
    <w:rsid w:val="00CB4408"/>
    <w:rsid w:val="00CB576C"/>
    <w:rsid w:val="00CB5825"/>
    <w:rsid w:val="00CB6810"/>
    <w:rsid w:val="00CB6CDF"/>
    <w:rsid w:val="00CB6DDC"/>
    <w:rsid w:val="00CB7A7E"/>
    <w:rsid w:val="00CB7FFB"/>
    <w:rsid w:val="00CC02D8"/>
    <w:rsid w:val="00CC0D44"/>
    <w:rsid w:val="00CC176F"/>
    <w:rsid w:val="00CC2D68"/>
    <w:rsid w:val="00CC360A"/>
    <w:rsid w:val="00CC3738"/>
    <w:rsid w:val="00CC430E"/>
    <w:rsid w:val="00CC4351"/>
    <w:rsid w:val="00CC4BA9"/>
    <w:rsid w:val="00CC53FF"/>
    <w:rsid w:val="00CC5EB0"/>
    <w:rsid w:val="00CC5F6F"/>
    <w:rsid w:val="00CC6866"/>
    <w:rsid w:val="00CC6BD4"/>
    <w:rsid w:val="00CC78A7"/>
    <w:rsid w:val="00CD32CE"/>
    <w:rsid w:val="00CD3543"/>
    <w:rsid w:val="00CD457F"/>
    <w:rsid w:val="00CD4F0A"/>
    <w:rsid w:val="00CD56A2"/>
    <w:rsid w:val="00CD58F8"/>
    <w:rsid w:val="00CD712D"/>
    <w:rsid w:val="00CD7E9C"/>
    <w:rsid w:val="00CE015C"/>
    <w:rsid w:val="00CE0CC2"/>
    <w:rsid w:val="00CE0D84"/>
    <w:rsid w:val="00CE266A"/>
    <w:rsid w:val="00CE3553"/>
    <w:rsid w:val="00CE36C2"/>
    <w:rsid w:val="00CE3D23"/>
    <w:rsid w:val="00CE3DEA"/>
    <w:rsid w:val="00CE41C9"/>
    <w:rsid w:val="00CE43A4"/>
    <w:rsid w:val="00CE50E8"/>
    <w:rsid w:val="00CE5105"/>
    <w:rsid w:val="00CE5975"/>
    <w:rsid w:val="00CE69E7"/>
    <w:rsid w:val="00CE6DA1"/>
    <w:rsid w:val="00CE6FCE"/>
    <w:rsid w:val="00CE7343"/>
    <w:rsid w:val="00CE748E"/>
    <w:rsid w:val="00CE752A"/>
    <w:rsid w:val="00CE7B80"/>
    <w:rsid w:val="00CF035B"/>
    <w:rsid w:val="00CF0FC7"/>
    <w:rsid w:val="00CF2754"/>
    <w:rsid w:val="00CF2DAA"/>
    <w:rsid w:val="00CF32F0"/>
    <w:rsid w:val="00CF4522"/>
    <w:rsid w:val="00CF587C"/>
    <w:rsid w:val="00CF6F93"/>
    <w:rsid w:val="00D00189"/>
    <w:rsid w:val="00D004D6"/>
    <w:rsid w:val="00D0076C"/>
    <w:rsid w:val="00D00EAE"/>
    <w:rsid w:val="00D01BCE"/>
    <w:rsid w:val="00D025C1"/>
    <w:rsid w:val="00D027EC"/>
    <w:rsid w:val="00D02F03"/>
    <w:rsid w:val="00D047B7"/>
    <w:rsid w:val="00D047DC"/>
    <w:rsid w:val="00D04B97"/>
    <w:rsid w:val="00D04BDB"/>
    <w:rsid w:val="00D04CAB"/>
    <w:rsid w:val="00D0635E"/>
    <w:rsid w:val="00D0660F"/>
    <w:rsid w:val="00D06A96"/>
    <w:rsid w:val="00D106A8"/>
    <w:rsid w:val="00D11E87"/>
    <w:rsid w:val="00D12134"/>
    <w:rsid w:val="00D121E5"/>
    <w:rsid w:val="00D12C93"/>
    <w:rsid w:val="00D12D90"/>
    <w:rsid w:val="00D1321E"/>
    <w:rsid w:val="00D1326C"/>
    <w:rsid w:val="00D13541"/>
    <w:rsid w:val="00D13B1B"/>
    <w:rsid w:val="00D13BDF"/>
    <w:rsid w:val="00D14A44"/>
    <w:rsid w:val="00D157B7"/>
    <w:rsid w:val="00D15B73"/>
    <w:rsid w:val="00D20B71"/>
    <w:rsid w:val="00D20EFB"/>
    <w:rsid w:val="00D21330"/>
    <w:rsid w:val="00D21A35"/>
    <w:rsid w:val="00D21AE2"/>
    <w:rsid w:val="00D21D05"/>
    <w:rsid w:val="00D22115"/>
    <w:rsid w:val="00D22475"/>
    <w:rsid w:val="00D23242"/>
    <w:rsid w:val="00D23DAE"/>
    <w:rsid w:val="00D23F9A"/>
    <w:rsid w:val="00D25205"/>
    <w:rsid w:val="00D25883"/>
    <w:rsid w:val="00D25A04"/>
    <w:rsid w:val="00D25D96"/>
    <w:rsid w:val="00D26D6B"/>
    <w:rsid w:val="00D279AE"/>
    <w:rsid w:val="00D27B20"/>
    <w:rsid w:val="00D30EB5"/>
    <w:rsid w:val="00D31EE4"/>
    <w:rsid w:val="00D32266"/>
    <w:rsid w:val="00D32B5B"/>
    <w:rsid w:val="00D32D9E"/>
    <w:rsid w:val="00D33C8B"/>
    <w:rsid w:val="00D34A42"/>
    <w:rsid w:val="00D34BD5"/>
    <w:rsid w:val="00D34D29"/>
    <w:rsid w:val="00D357F7"/>
    <w:rsid w:val="00D3599E"/>
    <w:rsid w:val="00D35F81"/>
    <w:rsid w:val="00D362CE"/>
    <w:rsid w:val="00D36356"/>
    <w:rsid w:val="00D3727D"/>
    <w:rsid w:val="00D3754B"/>
    <w:rsid w:val="00D375E8"/>
    <w:rsid w:val="00D377C2"/>
    <w:rsid w:val="00D40088"/>
    <w:rsid w:val="00D40704"/>
    <w:rsid w:val="00D40E91"/>
    <w:rsid w:val="00D42BA3"/>
    <w:rsid w:val="00D43106"/>
    <w:rsid w:val="00D4324D"/>
    <w:rsid w:val="00D43541"/>
    <w:rsid w:val="00D4409A"/>
    <w:rsid w:val="00D44149"/>
    <w:rsid w:val="00D4455A"/>
    <w:rsid w:val="00D4527C"/>
    <w:rsid w:val="00D46748"/>
    <w:rsid w:val="00D46F15"/>
    <w:rsid w:val="00D47240"/>
    <w:rsid w:val="00D4735B"/>
    <w:rsid w:val="00D47BAB"/>
    <w:rsid w:val="00D47FE9"/>
    <w:rsid w:val="00D50860"/>
    <w:rsid w:val="00D50B57"/>
    <w:rsid w:val="00D51830"/>
    <w:rsid w:val="00D51D07"/>
    <w:rsid w:val="00D5200E"/>
    <w:rsid w:val="00D52094"/>
    <w:rsid w:val="00D5254E"/>
    <w:rsid w:val="00D526A9"/>
    <w:rsid w:val="00D53CBB"/>
    <w:rsid w:val="00D56167"/>
    <w:rsid w:val="00D5620F"/>
    <w:rsid w:val="00D5698B"/>
    <w:rsid w:val="00D57759"/>
    <w:rsid w:val="00D579C0"/>
    <w:rsid w:val="00D60359"/>
    <w:rsid w:val="00D60417"/>
    <w:rsid w:val="00D60691"/>
    <w:rsid w:val="00D613F3"/>
    <w:rsid w:val="00D634E5"/>
    <w:rsid w:val="00D6353A"/>
    <w:rsid w:val="00D63842"/>
    <w:rsid w:val="00D645E6"/>
    <w:rsid w:val="00D6498C"/>
    <w:rsid w:val="00D65417"/>
    <w:rsid w:val="00D659DF"/>
    <w:rsid w:val="00D65D30"/>
    <w:rsid w:val="00D660D2"/>
    <w:rsid w:val="00D66997"/>
    <w:rsid w:val="00D66EDF"/>
    <w:rsid w:val="00D671AD"/>
    <w:rsid w:val="00D6753B"/>
    <w:rsid w:val="00D70064"/>
    <w:rsid w:val="00D717A3"/>
    <w:rsid w:val="00D717CD"/>
    <w:rsid w:val="00D720CE"/>
    <w:rsid w:val="00D73177"/>
    <w:rsid w:val="00D73524"/>
    <w:rsid w:val="00D74BAB"/>
    <w:rsid w:val="00D75183"/>
    <w:rsid w:val="00D766A3"/>
    <w:rsid w:val="00D76BD3"/>
    <w:rsid w:val="00D76D1E"/>
    <w:rsid w:val="00D7743B"/>
    <w:rsid w:val="00D77581"/>
    <w:rsid w:val="00D77D97"/>
    <w:rsid w:val="00D80C2E"/>
    <w:rsid w:val="00D80E69"/>
    <w:rsid w:val="00D81032"/>
    <w:rsid w:val="00D81274"/>
    <w:rsid w:val="00D81A07"/>
    <w:rsid w:val="00D8368B"/>
    <w:rsid w:val="00D83B85"/>
    <w:rsid w:val="00D84A66"/>
    <w:rsid w:val="00D84B3B"/>
    <w:rsid w:val="00D85459"/>
    <w:rsid w:val="00D85BCC"/>
    <w:rsid w:val="00D864E8"/>
    <w:rsid w:val="00D8679B"/>
    <w:rsid w:val="00D86FFF"/>
    <w:rsid w:val="00D8726F"/>
    <w:rsid w:val="00D872D7"/>
    <w:rsid w:val="00D8748C"/>
    <w:rsid w:val="00D8749C"/>
    <w:rsid w:val="00D902A4"/>
    <w:rsid w:val="00D907D9"/>
    <w:rsid w:val="00D912DA"/>
    <w:rsid w:val="00D91532"/>
    <w:rsid w:val="00D916ED"/>
    <w:rsid w:val="00D919E0"/>
    <w:rsid w:val="00D91F02"/>
    <w:rsid w:val="00D92114"/>
    <w:rsid w:val="00D9240D"/>
    <w:rsid w:val="00D929DA"/>
    <w:rsid w:val="00D92B54"/>
    <w:rsid w:val="00D92D4F"/>
    <w:rsid w:val="00D93327"/>
    <w:rsid w:val="00D9351D"/>
    <w:rsid w:val="00D94A33"/>
    <w:rsid w:val="00DA01DC"/>
    <w:rsid w:val="00DA08B9"/>
    <w:rsid w:val="00DA1340"/>
    <w:rsid w:val="00DA1500"/>
    <w:rsid w:val="00DA1CF6"/>
    <w:rsid w:val="00DA1DBD"/>
    <w:rsid w:val="00DA2DC9"/>
    <w:rsid w:val="00DA5134"/>
    <w:rsid w:val="00DA52DE"/>
    <w:rsid w:val="00DA5362"/>
    <w:rsid w:val="00DA542D"/>
    <w:rsid w:val="00DA5613"/>
    <w:rsid w:val="00DA56C2"/>
    <w:rsid w:val="00DA56FF"/>
    <w:rsid w:val="00DA57D3"/>
    <w:rsid w:val="00DA59D5"/>
    <w:rsid w:val="00DA5A77"/>
    <w:rsid w:val="00DA6320"/>
    <w:rsid w:val="00DA7515"/>
    <w:rsid w:val="00DA7E3E"/>
    <w:rsid w:val="00DB0736"/>
    <w:rsid w:val="00DB1B6B"/>
    <w:rsid w:val="00DB1E24"/>
    <w:rsid w:val="00DB209B"/>
    <w:rsid w:val="00DB2663"/>
    <w:rsid w:val="00DB2770"/>
    <w:rsid w:val="00DB3401"/>
    <w:rsid w:val="00DB3502"/>
    <w:rsid w:val="00DB3A81"/>
    <w:rsid w:val="00DB3DF6"/>
    <w:rsid w:val="00DB47DE"/>
    <w:rsid w:val="00DB4E18"/>
    <w:rsid w:val="00DB5F58"/>
    <w:rsid w:val="00DB65A5"/>
    <w:rsid w:val="00DB6A19"/>
    <w:rsid w:val="00DB7794"/>
    <w:rsid w:val="00DC0DF3"/>
    <w:rsid w:val="00DC2036"/>
    <w:rsid w:val="00DC37B0"/>
    <w:rsid w:val="00DC3844"/>
    <w:rsid w:val="00DC4006"/>
    <w:rsid w:val="00DC431D"/>
    <w:rsid w:val="00DC4B40"/>
    <w:rsid w:val="00DC4EDD"/>
    <w:rsid w:val="00DC51EA"/>
    <w:rsid w:val="00DC5256"/>
    <w:rsid w:val="00DC5B41"/>
    <w:rsid w:val="00DC6AA1"/>
    <w:rsid w:val="00DC6BF7"/>
    <w:rsid w:val="00DD008F"/>
    <w:rsid w:val="00DD037C"/>
    <w:rsid w:val="00DD16AF"/>
    <w:rsid w:val="00DD1B6E"/>
    <w:rsid w:val="00DD1C11"/>
    <w:rsid w:val="00DD1D96"/>
    <w:rsid w:val="00DD203A"/>
    <w:rsid w:val="00DD2707"/>
    <w:rsid w:val="00DD28E4"/>
    <w:rsid w:val="00DD3665"/>
    <w:rsid w:val="00DD36A1"/>
    <w:rsid w:val="00DD374E"/>
    <w:rsid w:val="00DD44D3"/>
    <w:rsid w:val="00DD48CD"/>
    <w:rsid w:val="00DD6914"/>
    <w:rsid w:val="00DD7A5E"/>
    <w:rsid w:val="00DD7E9C"/>
    <w:rsid w:val="00DE0402"/>
    <w:rsid w:val="00DE08DC"/>
    <w:rsid w:val="00DE0C26"/>
    <w:rsid w:val="00DE15E0"/>
    <w:rsid w:val="00DE1EF3"/>
    <w:rsid w:val="00DE2995"/>
    <w:rsid w:val="00DE2C60"/>
    <w:rsid w:val="00DE30DA"/>
    <w:rsid w:val="00DE33BD"/>
    <w:rsid w:val="00DE3C40"/>
    <w:rsid w:val="00DE4FA1"/>
    <w:rsid w:val="00DE5216"/>
    <w:rsid w:val="00DE5B9B"/>
    <w:rsid w:val="00DE6029"/>
    <w:rsid w:val="00DE6068"/>
    <w:rsid w:val="00DE619E"/>
    <w:rsid w:val="00DE6328"/>
    <w:rsid w:val="00DE65C0"/>
    <w:rsid w:val="00DE6D55"/>
    <w:rsid w:val="00DE7BB8"/>
    <w:rsid w:val="00DE7C12"/>
    <w:rsid w:val="00DE7E9B"/>
    <w:rsid w:val="00DF0197"/>
    <w:rsid w:val="00DF059D"/>
    <w:rsid w:val="00DF12A5"/>
    <w:rsid w:val="00DF14E4"/>
    <w:rsid w:val="00DF1B1C"/>
    <w:rsid w:val="00DF2DEE"/>
    <w:rsid w:val="00DF37D2"/>
    <w:rsid w:val="00DF3F9D"/>
    <w:rsid w:val="00DF42A9"/>
    <w:rsid w:val="00DF5BE2"/>
    <w:rsid w:val="00DF67B8"/>
    <w:rsid w:val="00DF7045"/>
    <w:rsid w:val="00DF7533"/>
    <w:rsid w:val="00DF765B"/>
    <w:rsid w:val="00E000D1"/>
    <w:rsid w:val="00E00175"/>
    <w:rsid w:val="00E00C12"/>
    <w:rsid w:val="00E00F00"/>
    <w:rsid w:val="00E017C0"/>
    <w:rsid w:val="00E02118"/>
    <w:rsid w:val="00E02BAE"/>
    <w:rsid w:val="00E0413C"/>
    <w:rsid w:val="00E06530"/>
    <w:rsid w:val="00E06B43"/>
    <w:rsid w:val="00E06C29"/>
    <w:rsid w:val="00E07B25"/>
    <w:rsid w:val="00E1025C"/>
    <w:rsid w:val="00E10565"/>
    <w:rsid w:val="00E1068A"/>
    <w:rsid w:val="00E10E19"/>
    <w:rsid w:val="00E11198"/>
    <w:rsid w:val="00E11866"/>
    <w:rsid w:val="00E12386"/>
    <w:rsid w:val="00E1263D"/>
    <w:rsid w:val="00E1270F"/>
    <w:rsid w:val="00E12D5A"/>
    <w:rsid w:val="00E1318B"/>
    <w:rsid w:val="00E135CA"/>
    <w:rsid w:val="00E15393"/>
    <w:rsid w:val="00E16111"/>
    <w:rsid w:val="00E1648E"/>
    <w:rsid w:val="00E166E2"/>
    <w:rsid w:val="00E167FE"/>
    <w:rsid w:val="00E16CB0"/>
    <w:rsid w:val="00E17718"/>
    <w:rsid w:val="00E17872"/>
    <w:rsid w:val="00E20694"/>
    <w:rsid w:val="00E20841"/>
    <w:rsid w:val="00E21042"/>
    <w:rsid w:val="00E214DC"/>
    <w:rsid w:val="00E21672"/>
    <w:rsid w:val="00E22111"/>
    <w:rsid w:val="00E22427"/>
    <w:rsid w:val="00E227DE"/>
    <w:rsid w:val="00E22999"/>
    <w:rsid w:val="00E22AE4"/>
    <w:rsid w:val="00E235C9"/>
    <w:rsid w:val="00E235D2"/>
    <w:rsid w:val="00E23E80"/>
    <w:rsid w:val="00E23E9A"/>
    <w:rsid w:val="00E2406B"/>
    <w:rsid w:val="00E24548"/>
    <w:rsid w:val="00E2461C"/>
    <w:rsid w:val="00E25017"/>
    <w:rsid w:val="00E25A95"/>
    <w:rsid w:val="00E26128"/>
    <w:rsid w:val="00E265C2"/>
    <w:rsid w:val="00E26E1B"/>
    <w:rsid w:val="00E2711D"/>
    <w:rsid w:val="00E2728F"/>
    <w:rsid w:val="00E30147"/>
    <w:rsid w:val="00E302F6"/>
    <w:rsid w:val="00E30A1D"/>
    <w:rsid w:val="00E32849"/>
    <w:rsid w:val="00E3285A"/>
    <w:rsid w:val="00E331EC"/>
    <w:rsid w:val="00E3359E"/>
    <w:rsid w:val="00E336BA"/>
    <w:rsid w:val="00E351F3"/>
    <w:rsid w:val="00E36437"/>
    <w:rsid w:val="00E3794A"/>
    <w:rsid w:val="00E404D2"/>
    <w:rsid w:val="00E412EC"/>
    <w:rsid w:val="00E41D05"/>
    <w:rsid w:val="00E4241D"/>
    <w:rsid w:val="00E42B81"/>
    <w:rsid w:val="00E42C2B"/>
    <w:rsid w:val="00E43459"/>
    <w:rsid w:val="00E435FA"/>
    <w:rsid w:val="00E442E0"/>
    <w:rsid w:val="00E44E51"/>
    <w:rsid w:val="00E457B1"/>
    <w:rsid w:val="00E4660A"/>
    <w:rsid w:val="00E4668A"/>
    <w:rsid w:val="00E47609"/>
    <w:rsid w:val="00E47791"/>
    <w:rsid w:val="00E47BB0"/>
    <w:rsid w:val="00E50512"/>
    <w:rsid w:val="00E50634"/>
    <w:rsid w:val="00E506C4"/>
    <w:rsid w:val="00E519FE"/>
    <w:rsid w:val="00E51F73"/>
    <w:rsid w:val="00E52CE2"/>
    <w:rsid w:val="00E5366E"/>
    <w:rsid w:val="00E53BFF"/>
    <w:rsid w:val="00E53C73"/>
    <w:rsid w:val="00E53CDB"/>
    <w:rsid w:val="00E55002"/>
    <w:rsid w:val="00E55087"/>
    <w:rsid w:val="00E55A09"/>
    <w:rsid w:val="00E55A4E"/>
    <w:rsid w:val="00E55A6E"/>
    <w:rsid w:val="00E5635E"/>
    <w:rsid w:val="00E57132"/>
    <w:rsid w:val="00E57281"/>
    <w:rsid w:val="00E600F7"/>
    <w:rsid w:val="00E6016A"/>
    <w:rsid w:val="00E608D2"/>
    <w:rsid w:val="00E609D2"/>
    <w:rsid w:val="00E616C9"/>
    <w:rsid w:val="00E6234A"/>
    <w:rsid w:val="00E649E8"/>
    <w:rsid w:val="00E64C65"/>
    <w:rsid w:val="00E65AC0"/>
    <w:rsid w:val="00E668E2"/>
    <w:rsid w:val="00E671FD"/>
    <w:rsid w:val="00E7008F"/>
    <w:rsid w:val="00E701D9"/>
    <w:rsid w:val="00E70A4F"/>
    <w:rsid w:val="00E70D72"/>
    <w:rsid w:val="00E717DF"/>
    <w:rsid w:val="00E71B26"/>
    <w:rsid w:val="00E723C4"/>
    <w:rsid w:val="00E72934"/>
    <w:rsid w:val="00E72A61"/>
    <w:rsid w:val="00E73A37"/>
    <w:rsid w:val="00E73D9E"/>
    <w:rsid w:val="00E741FD"/>
    <w:rsid w:val="00E745B2"/>
    <w:rsid w:val="00E7495C"/>
    <w:rsid w:val="00E7496D"/>
    <w:rsid w:val="00E7627F"/>
    <w:rsid w:val="00E77CF5"/>
    <w:rsid w:val="00E80055"/>
    <w:rsid w:val="00E802FF"/>
    <w:rsid w:val="00E808EE"/>
    <w:rsid w:val="00E80964"/>
    <w:rsid w:val="00E809DB"/>
    <w:rsid w:val="00E80B82"/>
    <w:rsid w:val="00E81011"/>
    <w:rsid w:val="00E81085"/>
    <w:rsid w:val="00E81117"/>
    <w:rsid w:val="00E81216"/>
    <w:rsid w:val="00E81D40"/>
    <w:rsid w:val="00E81E61"/>
    <w:rsid w:val="00E82426"/>
    <w:rsid w:val="00E82487"/>
    <w:rsid w:val="00E82574"/>
    <w:rsid w:val="00E8282A"/>
    <w:rsid w:val="00E82F29"/>
    <w:rsid w:val="00E834CE"/>
    <w:rsid w:val="00E836DC"/>
    <w:rsid w:val="00E83739"/>
    <w:rsid w:val="00E83F4E"/>
    <w:rsid w:val="00E86940"/>
    <w:rsid w:val="00E86E2F"/>
    <w:rsid w:val="00E86E5D"/>
    <w:rsid w:val="00E87544"/>
    <w:rsid w:val="00E90224"/>
    <w:rsid w:val="00E907B2"/>
    <w:rsid w:val="00E92537"/>
    <w:rsid w:val="00E92A05"/>
    <w:rsid w:val="00E93191"/>
    <w:rsid w:val="00E931FA"/>
    <w:rsid w:val="00E9418F"/>
    <w:rsid w:val="00E941FF"/>
    <w:rsid w:val="00E943CC"/>
    <w:rsid w:val="00E9495D"/>
    <w:rsid w:val="00E96CEB"/>
    <w:rsid w:val="00E96F76"/>
    <w:rsid w:val="00EA06BE"/>
    <w:rsid w:val="00EA2324"/>
    <w:rsid w:val="00EA27D3"/>
    <w:rsid w:val="00EA2FFE"/>
    <w:rsid w:val="00EA395E"/>
    <w:rsid w:val="00EA3F0F"/>
    <w:rsid w:val="00EA4176"/>
    <w:rsid w:val="00EA6D01"/>
    <w:rsid w:val="00EA733C"/>
    <w:rsid w:val="00EB0302"/>
    <w:rsid w:val="00EB0975"/>
    <w:rsid w:val="00EB1804"/>
    <w:rsid w:val="00EB19B0"/>
    <w:rsid w:val="00EB4714"/>
    <w:rsid w:val="00EB4FF2"/>
    <w:rsid w:val="00EB5497"/>
    <w:rsid w:val="00EB67C5"/>
    <w:rsid w:val="00EB708F"/>
    <w:rsid w:val="00EB783C"/>
    <w:rsid w:val="00EB7F8E"/>
    <w:rsid w:val="00EC0176"/>
    <w:rsid w:val="00EC0F1C"/>
    <w:rsid w:val="00EC2DE2"/>
    <w:rsid w:val="00EC2EBA"/>
    <w:rsid w:val="00EC4A48"/>
    <w:rsid w:val="00EC4F7A"/>
    <w:rsid w:val="00EC584E"/>
    <w:rsid w:val="00EC5935"/>
    <w:rsid w:val="00EC64B7"/>
    <w:rsid w:val="00EC7506"/>
    <w:rsid w:val="00EC75D9"/>
    <w:rsid w:val="00ED00F5"/>
    <w:rsid w:val="00ED0A61"/>
    <w:rsid w:val="00ED0C67"/>
    <w:rsid w:val="00ED149F"/>
    <w:rsid w:val="00ED176D"/>
    <w:rsid w:val="00ED18AA"/>
    <w:rsid w:val="00ED1FFA"/>
    <w:rsid w:val="00ED2A78"/>
    <w:rsid w:val="00ED2EFA"/>
    <w:rsid w:val="00ED37C8"/>
    <w:rsid w:val="00ED3CC3"/>
    <w:rsid w:val="00ED4185"/>
    <w:rsid w:val="00ED4978"/>
    <w:rsid w:val="00ED4A57"/>
    <w:rsid w:val="00ED5636"/>
    <w:rsid w:val="00ED69A2"/>
    <w:rsid w:val="00ED69E7"/>
    <w:rsid w:val="00ED6D9C"/>
    <w:rsid w:val="00ED6DE5"/>
    <w:rsid w:val="00ED7630"/>
    <w:rsid w:val="00ED7DEF"/>
    <w:rsid w:val="00EE023E"/>
    <w:rsid w:val="00EE0BD1"/>
    <w:rsid w:val="00EE271D"/>
    <w:rsid w:val="00EE2E4C"/>
    <w:rsid w:val="00EE32AE"/>
    <w:rsid w:val="00EE3C01"/>
    <w:rsid w:val="00EE40D1"/>
    <w:rsid w:val="00EE4351"/>
    <w:rsid w:val="00EE4E34"/>
    <w:rsid w:val="00EE4EE1"/>
    <w:rsid w:val="00EE620D"/>
    <w:rsid w:val="00EE6671"/>
    <w:rsid w:val="00EE67C0"/>
    <w:rsid w:val="00EE726A"/>
    <w:rsid w:val="00EE73EF"/>
    <w:rsid w:val="00EF0523"/>
    <w:rsid w:val="00EF0575"/>
    <w:rsid w:val="00EF16AA"/>
    <w:rsid w:val="00EF27DA"/>
    <w:rsid w:val="00EF3619"/>
    <w:rsid w:val="00EF3C0D"/>
    <w:rsid w:val="00EF5804"/>
    <w:rsid w:val="00EF6C85"/>
    <w:rsid w:val="00EF72CB"/>
    <w:rsid w:val="00EF7A04"/>
    <w:rsid w:val="00F02CDF"/>
    <w:rsid w:val="00F02FE6"/>
    <w:rsid w:val="00F03112"/>
    <w:rsid w:val="00F034CB"/>
    <w:rsid w:val="00F03574"/>
    <w:rsid w:val="00F046E0"/>
    <w:rsid w:val="00F0518E"/>
    <w:rsid w:val="00F05696"/>
    <w:rsid w:val="00F06C76"/>
    <w:rsid w:val="00F06EC1"/>
    <w:rsid w:val="00F0741A"/>
    <w:rsid w:val="00F10892"/>
    <w:rsid w:val="00F10DE2"/>
    <w:rsid w:val="00F114FC"/>
    <w:rsid w:val="00F11909"/>
    <w:rsid w:val="00F11E8B"/>
    <w:rsid w:val="00F11EF3"/>
    <w:rsid w:val="00F11F11"/>
    <w:rsid w:val="00F12123"/>
    <w:rsid w:val="00F1247A"/>
    <w:rsid w:val="00F1249D"/>
    <w:rsid w:val="00F128E5"/>
    <w:rsid w:val="00F12B1F"/>
    <w:rsid w:val="00F1312B"/>
    <w:rsid w:val="00F13C91"/>
    <w:rsid w:val="00F1411A"/>
    <w:rsid w:val="00F1431D"/>
    <w:rsid w:val="00F15292"/>
    <w:rsid w:val="00F15462"/>
    <w:rsid w:val="00F1572C"/>
    <w:rsid w:val="00F159CD"/>
    <w:rsid w:val="00F15FE2"/>
    <w:rsid w:val="00F1625F"/>
    <w:rsid w:val="00F16741"/>
    <w:rsid w:val="00F1734E"/>
    <w:rsid w:val="00F21509"/>
    <w:rsid w:val="00F21D6C"/>
    <w:rsid w:val="00F21F93"/>
    <w:rsid w:val="00F2312B"/>
    <w:rsid w:val="00F234ED"/>
    <w:rsid w:val="00F24A25"/>
    <w:rsid w:val="00F24E38"/>
    <w:rsid w:val="00F25365"/>
    <w:rsid w:val="00F2574C"/>
    <w:rsid w:val="00F27A0B"/>
    <w:rsid w:val="00F27DE1"/>
    <w:rsid w:val="00F302BD"/>
    <w:rsid w:val="00F30E78"/>
    <w:rsid w:val="00F30F34"/>
    <w:rsid w:val="00F311DC"/>
    <w:rsid w:val="00F31B9C"/>
    <w:rsid w:val="00F32C11"/>
    <w:rsid w:val="00F33E35"/>
    <w:rsid w:val="00F34933"/>
    <w:rsid w:val="00F35D60"/>
    <w:rsid w:val="00F35F1B"/>
    <w:rsid w:val="00F36277"/>
    <w:rsid w:val="00F3655E"/>
    <w:rsid w:val="00F374AB"/>
    <w:rsid w:val="00F3758A"/>
    <w:rsid w:val="00F3769B"/>
    <w:rsid w:val="00F37F59"/>
    <w:rsid w:val="00F40217"/>
    <w:rsid w:val="00F41042"/>
    <w:rsid w:val="00F417AF"/>
    <w:rsid w:val="00F42059"/>
    <w:rsid w:val="00F42918"/>
    <w:rsid w:val="00F42B10"/>
    <w:rsid w:val="00F43610"/>
    <w:rsid w:val="00F43989"/>
    <w:rsid w:val="00F44266"/>
    <w:rsid w:val="00F444B5"/>
    <w:rsid w:val="00F45073"/>
    <w:rsid w:val="00F46480"/>
    <w:rsid w:val="00F47308"/>
    <w:rsid w:val="00F47F7A"/>
    <w:rsid w:val="00F5016F"/>
    <w:rsid w:val="00F501C8"/>
    <w:rsid w:val="00F501EF"/>
    <w:rsid w:val="00F50B50"/>
    <w:rsid w:val="00F513D7"/>
    <w:rsid w:val="00F51B62"/>
    <w:rsid w:val="00F51C00"/>
    <w:rsid w:val="00F52923"/>
    <w:rsid w:val="00F52B16"/>
    <w:rsid w:val="00F53C7E"/>
    <w:rsid w:val="00F54201"/>
    <w:rsid w:val="00F54858"/>
    <w:rsid w:val="00F54F00"/>
    <w:rsid w:val="00F55820"/>
    <w:rsid w:val="00F55AD4"/>
    <w:rsid w:val="00F55E91"/>
    <w:rsid w:val="00F56B72"/>
    <w:rsid w:val="00F56C13"/>
    <w:rsid w:val="00F56F65"/>
    <w:rsid w:val="00F57B29"/>
    <w:rsid w:val="00F57F6D"/>
    <w:rsid w:val="00F6029A"/>
    <w:rsid w:val="00F607C5"/>
    <w:rsid w:val="00F61566"/>
    <w:rsid w:val="00F61CDB"/>
    <w:rsid w:val="00F62662"/>
    <w:rsid w:val="00F62ED7"/>
    <w:rsid w:val="00F63145"/>
    <w:rsid w:val="00F636A0"/>
    <w:rsid w:val="00F63F50"/>
    <w:rsid w:val="00F674D2"/>
    <w:rsid w:val="00F67A10"/>
    <w:rsid w:val="00F67AD1"/>
    <w:rsid w:val="00F70D2C"/>
    <w:rsid w:val="00F7139A"/>
    <w:rsid w:val="00F71DBE"/>
    <w:rsid w:val="00F72F2A"/>
    <w:rsid w:val="00F751EE"/>
    <w:rsid w:val="00F759BC"/>
    <w:rsid w:val="00F800BE"/>
    <w:rsid w:val="00F8028B"/>
    <w:rsid w:val="00F804DA"/>
    <w:rsid w:val="00F80DCD"/>
    <w:rsid w:val="00F80E8C"/>
    <w:rsid w:val="00F81C11"/>
    <w:rsid w:val="00F820B5"/>
    <w:rsid w:val="00F82A88"/>
    <w:rsid w:val="00F8338C"/>
    <w:rsid w:val="00F83D35"/>
    <w:rsid w:val="00F83FB3"/>
    <w:rsid w:val="00F8448C"/>
    <w:rsid w:val="00F8490E"/>
    <w:rsid w:val="00F8519A"/>
    <w:rsid w:val="00F85722"/>
    <w:rsid w:val="00F8627B"/>
    <w:rsid w:val="00F86C3A"/>
    <w:rsid w:val="00F86D46"/>
    <w:rsid w:val="00F8771F"/>
    <w:rsid w:val="00F90190"/>
    <w:rsid w:val="00F919C0"/>
    <w:rsid w:val="00F920DD"/>
    <w:rsid w:val="00F922EF"/>
    <w:rsid w:val="00F93270"/>
    <w:rsid w:val="00F935AC"/>
    <w:rsid w:val="00F93A22"/>
    <w:rsid w:val="00F946E3"/>
    <w:rsid w:val="00F95A89"/>
    <w:rsid w:val="00F95D1A"/>
    <w:rsid w:val="00F96395"/>
    <w:rsid w:val="00F96CE1"/>
    <w:rsid w:val="00F97229"/>
    <w:rsid w:val="00F978F3"/>
    <w:rsid w:val="00FA0E08"/>
    <w:rsid w:val="00FA0F74"/>
    <w:rsid w:val="00FA2158"/>
    <w:rsid w:val="00FA37DA"/>
    <w:rsid w:val="00FA5122"/>
    <w:rsid w:val="00FA5520"/>
    <w:rsid w:val="00FA6850"/>
    <w:rsid w:val="00FA6CE1"/>
    <w:rsid w:val="00FA7102"/>
    <w:rsid w:val="00FA764B"/>
    <w:rsid w:val="00FA7813"/>
    <w:rsid w:val="00FB01AE"/>
    <w:rsid w:val="00FB0A1F"/>
    <w:rsid w:val="00FB103F"/>
    <w:rsid w:val="00FB1BC3"/>
    <w:rsid w:val="00FB2045"/>
    <w:rsid w:val="00FB2691"/>
    <w:rsid w:val="00FB2AA7"/>
    <w:rsid w:val="00FB3002"/>
    <w:rsid w:val="00FB3E3A"/>
    <w:rsid w:val="00FB4569"/>
    <w:rsid w:val="00FB4FEE"/>
    <w:rsid w:val="00FB561A"/>
    <w:rsid w:val="00FB5E17"/>
    <w:rsid w:val="00FB65B4"/>
    <w:rsid w:val="00FB798D"/>
    <w:rsid w:val="00FC0634"/>
    <w:rsid w:val="00FC1F3B"/>
    <w:rsid w:val="00FC269C"/>
    <w:rsid w:val="00FC3230"/>
    <w:rsid w:val="00FC33D5"/>
    <w:rsid w:val="00FC48A2"/>
    <w:rsid w:val="00FC4975"/>
    <w:rsid w:val="00FC4E46"/>
    <w:rsid w:val="00FC62E6"/>
    <w:rsid w:val="00FC63C6"/>
    <w:rsid w:val="00FC69E0"/>
    <w:rsid w:val="00FC7328"/>
    <w:rsid w:val="00FC738F"/>
    <w:rsid w:val="00FD02A1"/>
    <w:rsid w:val="00FD0504"/>
    <w:rsid w:val="00FD0B93"/>
    <w:rsid w:val="00FD0BDE"/>
    <w:rsid w:val="00FD1474"/>
    <w:rsid w:val="00FD1AF0"/>
    <w:rsid w:val="00FD2A1C"/>
    <w:rsid w:val="00FD446B"/>
    <w:rsid w:val="00FD4636"/>
    <w:rsid w:val="00FD4E1A"/>
    <w:rsid w:val="00FD5541"/>
    <w:rsid w:val="00FD6A07"/>
    <w:rsid w:val="00FD6CEF"/>
    <w:rsid w:val="00FD6DDF"/>
    <w:rsid w:val="00FE03D4"/>
    <w:rsid w:val="00FE1498"/>
    <w:rsid w:val="00FE2328"/>
    <w:rsid w:val="00FE330A"/>
    <w:rsid w:val="00FE3422"/>
    <w:rsid w:val="00FE3AC1"/>
    <w:rsid w:val="00FE3CDB"/>
    <w:rsid w:val="00FE4D5B"/>
    <w:rsid w:val="00FE54E5"/>
    <w:rsid w:val="00FE74AD"/>
    <w:rsid w:val="00FE7714"/>
    <w:rsid w:val="00FF0305"/>
    <w:rsid w:val="00FF056A"/>
    <w:rsid w:val="00FF1550"/>
    <w:rsid w:val="00FF2070"/>
    <w:rsid w:val="00FF296C"/>
    <w:rsid w:val="00FF3007"/>
    <w:rsid w:val="00FF4746"/>
    <w:rsid w:val="00FF4D1F"/>
    <w:rsid w:val="00FF6E12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;mso-width-percent:60;mso-height-percent:1000" o:allowincell="f" fillcolor="none [1303]" strokecolor="none [1303]">
      <v:fill color="none [1303]" color2="fill lighten(165)" rotate="t" method="linear sigma" focus="100%" type="gradient"/>
      <v:stroke color="none [1303]" weight="1pt"/>
      <v:imagedata embosscolor="shadow add(51)"/>
      <v:shadow type="perspective" color="none [2408]" origin=",.5" offset="0,-123pt" offset2=",-246pt" matrix=",,,-1"/>
      <o:extrusion v:ext="view" backdepth="0" color="none [1343]" rotationangle="25,25" viewpoint="0,0" viewpointorigin="0,0" skewangle="0" skewamt="0" lightposition="-50000,-50000" lightposition2="50000"/>
      <v:textbox inset="0,1in,1in,1in"/>
    </o:shapedefaults>
    <o:shapelayout v:ext="edit">
      <o:idmap v:ext="edit" data="1"/>
    </o:shapelayout>
  </w:shapeDefaults>
  <w:decimalSymbol w:val="."/>
  <w:listSeparator w:val=","/>
  <w14:docId w14:val="2EB6B4F7"/>
  <w15:docId w15:val="{D5E4FBB0-CF3D-4EA3-87F9-E1F1D7555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iPriority="0" w:unhideWhenUsed="1"/>
    <w:lsdException w:name="Table List 4" w:semiHidden="1" w:unhideWhenUsed="1"/>
    <w:lsdException w:name="Table List 5" w:semiHidden="1" w:unhideWhenUsed="1"/>
    <w:lsdException w:name="Table List 6" w:semiHidden="1" w:uiPriority="0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FEE"/>
  </w:style>
  <w:style w:type="paragraph" w:styleId="Heading1">
    <w:name w:val="heading 1"/>
    <w:basedOn w:val="Normal"/>
    <w:next w:val="Normal"/>
    <w:link w:val="Heading1Char"/>
    <w:uiPriority w:val="1"/>
    <w:qFormat/>
    <w:rsid w:val="007D1FE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1FE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1FE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Heading4">
    <w:name w:val="heading 4"/>
    <w:aliases w:val="Sub-Minor,Oscar Faber 4,Te,Te1,Te2,Te3,Te4,Te5,Te6,Te7,Te8,Te9,Te10,Te11,Te91,Te12,Te21,Te31,Te41,Te51,Te61,Te71,Te81,Te92,Te101,Te111,Te911,Te13,Te22,Te32,Te42,Te52,Te62,Te72,Te82,Te93,Te102,Te112,Te912,Te14,Te23,Te33,Te43,Te53,Te63,Te73"/>
    <w:basedOn w:val="Normal"/>
    <w:next w:val="Normal"/>
    <w:link w:val="Heading4Char"/>
    <w:uiPriority w:val="9"/>
    <w:unhideWhenUsed/>
    <w:qFormat/>
    <w:rsid w:val="007D1FE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D1F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D1F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D1F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D1F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D1F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D1FEE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D1FEE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D1FEE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Heading4Char">
    <w:name w:val="Heading 4 Char"/>
    <w:aliases w:val="Sub-Minor Char,Oscar Faber 4 Char,Te Char,Te1 Char,Te2 Char,Te3 Char,Te4 Char,Te5 Char,Te6 Char,Te7 Char,Te8 Char,Te9 Char,Te10 Char,Te11 Char,Te91 Char,Te12 Char,Te21 Char,Te31 Char,Te41 Char,Te51 Char,Te61 Char,Te71 Char,Te81 Char"/>
    <w:basedOn w:val="DefaultParagraphFont"/>
    <w:link w:val="Heading4"/>
    <w:uiPriority w:val="9"/>
    <w:rsid w:val="007D1FEE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7D1FEE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7D1FEE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7Char">
    <w:name w:val="Heading 7 Char"/>
    <w:basedOn w:val="DefaultParagraphFont"/>
    <w:link w:val="Heading7"/>
    <w:uiPriority w:val="9"/>
    <w:rsid w:val="007D1FEE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Heading8Char">
    <w:name w:val="Heading 8 Char"/>
    <w:basedOn w:val="DefaultParagraphFont"/>
    <w:link w:val="Heading8"/>
    <w:uiPriority w:val="9"/>
    <w:rsid w:val="007D1FEE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D1FEE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Header">
    <w:name w:val="header"/>
    <w:basedOn w:val="Normal"/>
    <w:link w:val="HeaderChar"/>
    <w:uiPriority w:val="99"/>
    <w:rsid w:val="00234A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ABE"/>
    <w:rPr>
      <w:rFonts w:ascii="Arial" w:eastAsia="Times New Roman" w:hAnsi="Arial" w:cs="Times New Roman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234A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ABE"/>
    <w:rPr>
      <w:rFonts w:ascii="Arial" w:eastAsia="Times New Roman" w:hAnsi="Arial" w:cs="Times New Roman"/>
      <w:szCs w:val="20"/>
      <w:lang w:val="en-US"/>
    </w:rPr>
  </w:style>
  <w:style w:type="paragraph" w:styleId="ListParagraph">
    <w:name w:val="List Paragraph"/>
    <w:aliases w:val="F5 List Paragraph,List Paragraph2,MAIN CONTENT,List Paragraph12,Dot pt,List Paragraph1,Colorful List - Accent 11,List Paragraph Char Char Char,Indicator Text,Numbered Para 1,Bullet Points,Bullet 1,Normal numbered,OBC Bullet,L"/>
    <w:basedOn w:val="Normal"/>
    <w:link w:val="ListParagraphChar"/>
    <w:uiPriority w:val="34"/>
    <w:qFormat/>
    <w:rsid w:val="00234AB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34ABE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234ABE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234ABE"/>
    <w:pPr>
      <w:spacing w:after="100"/>
      <w:ind w:left="200"/>
    </w:pPr>
  </w:style>
  <w:style w:type="paragraph" w:styleId="Title">
    <w:name w:val="Title"/>
    <w:basedOn w:val="Normal"/>
    <w:next w:val="Normal"/>
    <w:link w:val="TitleChar"/>
    <w:uiPriority w:val="10"/>
    <w:qFormat/>
    <w:rsid w:val="007D1FE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7D1FE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1FE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D1FEE"/>
    <w:rPr>
      <w:rFonts w:asciiTheme="majorHAnsi" w:eastAsiaTheme="majorEastAsia" w:hAnsiTheme="majorHAnsi" w:cstheme="majorBidi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7D1FEE"/>
    <w:rPr>
      <w:i/>
      <w:iC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7D1FEE"/>
    <w:rPr>
      <w:b/>
      <w:bCs/>
      <w:caps w:val="0"/>
      <w:smallCaps/>
      <w:spacing w:val="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unhideWhenUsed/>
    <w:rsid w:val="00234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34ABE"/>
    <w:rPr>
      <w:rFonts w:ascii="Tahoma" w:eastAsia="Times New Roman" w:hAnsi="Tahoma" w:cs="Tahoma"/>
      <w:sz w:val="16"/>
      <w:szCs w:val="16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34ABE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7D1FEE"/>
    <w:rPr>
      <w:b/>
      <w:bCs/>
    </w:rPr>
  </w:style>
  <w:style w:type="paragraph" w:styleId="NoSpacing">
    <w:name w:val="No Spacing"/>
    <w:uiPriority w:val="1"/>
    <w:qFormat/>
    <w:rsid w:val="007D1FEE"/>
    <w:pPr>
      <w:spacing w:after="0" w:line="240" w:lineRule="auto"/>
    </w:pPr>
  </w:style>
  <w:style w:type="paragraph" w:customStyle="1" w:styleId="xl74">
    <w:name w:val="xl74"/>
    <w:basedOn w:val="Normal"/>
    <w:rsid w:val="00450A4B"/>
    <w:pP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75">
    <w:name w:val="xl75"/>
    <w:basedOn w:val="Normal"/>
    <w:rsid w:val="00450A4B"/>
    <w:pP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76">
    <w:name w:val="xl76"/>
    <w:basedOn w:val="Normal"/>
    <w:rsid w:val="00450A4B"/>
    <w:pP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77">
    <w:name w:val="xl77"/>
    <w:basedOn w:val="Normal"/>
    <w:rsid w:val="00450A4B"/>
    <w:pP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78">
    <w:name w:val="xl78"/>
    <w:basedOn w:val="Normal"/>
    <w:rsid w:val="00450A4B"/>
    <w:pP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79">
    <w:name w:val="xl79"/>
    <w:basedOn w:val="Normal"/>
    <w:rsid w:val="00450A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80">
    <w:name w:val="xl80"/>
    <w:basedOn w:val="Normal"/>
    <w:rsid w:val="00450A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1">
    <w:name w:val="xl81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2">
    <w:name w:val="xl82"/>
    <w:basedOn w:val="Normal"/>
    <w:rsid w:val="00450A4B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3">
    <w:name w:val="xl83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4">
    <w:name w:val="xl84"/>
    <w:basedOn w:val="Normal"/>
    <w:rsid w:val="00450A4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5">
    <w:name w:val="xl85"/>
    <w:basedOn w:val="Normal"/>
    <w:rsid w:val="00450A4B"/>
    <w:pPr>
      <w:pBdr>
        <w:lef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86">
    <w:name w:val="xl86"/>
    <w:basedOn w:val="Normal"/>
    <w:rsid w:val="00450A4B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7">
    <w:name w:val="xl87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8">
    <w:name w:val="xl88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9">
    <w:name w:val="xl89"/>
    <w:basedOn w:val="Normal"/>
    <w:rsid w:val="00450A4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0">
    <w:name w:val="xl90"/>
    <w:basedOn w:val="Normal"/>
    <w:rsid w:val="00450A4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91">
    <w:name w:val="xl91"/>
    <w:basedOn w:val="Normal"/>
    <w:rsid w:val="00450A4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2">
    <w:name w:val="xl92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3">
    <w:name w:val="xl93"/>
    <w:basedOn w:val="Normal"/>
    <w:rsid w:val="00450A4B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4">
    <w:name w:val="xl94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5">
    <w:name w:val="xl95"/>
    <w:basedOn w:val="Normal"/>
    <w:rsid w:val="00450A4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6">
    <w:name w:val="xl96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97">
    <w:name w:val="xl97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98">
    <w:name w:val="xl98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99">
    <w:name w:val="xl99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u w:val="single"/>
      <w:lang w:eastAsia="en-GB"/>
    </w:rPr>
  </w:style>
  <w:style w:type="paragraph" w:customStyle="1" w:styleId="xl100">
    <w:name w:val="xl100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01">
    <w:name w:val="xl101"/>
    <w:basedOn w:val="Normal"/>
    <w:rsid w:val="00450A4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02">
    <w:name w:val="xl102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3">
    <w:name w:val="xl103"/>
    <w:basedOn w:val="Normal"/>
    <w:rsid w:val="00450A4B"/>
    <w:pP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4">
    <w:name w:val="xl104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5">
    <w:name w:val="xl105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6">
    <w:name w:val="xl106"/>
    <w:basedOn w:val="Normal"/>
    <w:rsid w:val="00450A4B"/>
    <w:pPr>
      <w:pBdr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7">
    <w:name w:val="xl107"/>
    <w:basedOn w:val="Normal"/>
    <w:rsid w:val="00450A4B"/>
    <w:pPr>
      <w:pBdr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8">
    <w:name w:val="xl108"/>
    <w:basedOn w:val="Normal"/>
    <w:rsid w:val="00450A4B"/>
    <w:pPr>
      <w:pBdr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u w:val="single"/>
      <w:lang w:eastAsia="en-GB"/>
    </w:rPr>
  </w:style>
  <w:style w:type="paragraph" w:customStyle="1" w:styleId="xl109">
    <w:name w:val="xl109"/>
    <w:basedOn w:val="Normal"/>
    <w:rsid w:val="00450A4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10">
    <w:name w:val="xl110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11">
    <w:name w:val="xl111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12">
    <w:name w:val="xl112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13">
    <w:name w:val="xl113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15">
    <w:name w:val="xl115"/>
    <w:basedOn w:val="Normal"/>
    <w:rsid w:val="00450A4B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16">
    <w:name w:val="xl116"/>
    <w:basedOn w:val="Normal"/>
    <w:rsid w:val="00450A4B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17">
    <w:name w:val="xl117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18">
    <w:name w:val="xl118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u w:val="single"/>
      <w:lang w:eastAsia="en-GB"/>
    </w:rPr>
  </w:style>
  <w:style w:type="paragraph" w:customStyle="1" w:styleId="xl119">
    <w:name w:val="xl119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u w:val="single"/>
      <w:lang w:eastAsia="en-GB"/>
    </w:rPr>
  </w:style>
  <w:style w:type="paragraph" w:customStyle="1" w:styleId="xl120">
    <w:name w:val="xl120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21">
    <w:name w:val="xl121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22">
    <w:name w:val="xl122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23">
    <w:name w:val="xl123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24">
    <w:name w:val="xl124"/>
    <w:basedOn w:val="Normal"/>
    <w:rsid w:val="00450A4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25">
    <w:name w:val="xl125"/>
    <w:basedOn w:val="Normal"/>
    <w:rsid w:val="00450A4B"/>
    <w:pP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26">
    <w:name w:val="xl126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27">
    <w:name w:val="xl127"/>
    <w:basedOn w:val="Normal"/>
    <w:rsid w:val="00450A4B"/>
    <w:pPr>
      <w:pBdr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28">
    <w:name w:val="xl128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29">
    <w:name w:val="xl129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30">
    <w:name w:val="xl130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31">
    <w:name w:val="xl131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32">
    <w:name w:val="xl132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33">
    <w:name w:val="xl133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34">
    <w:name w:val="xl134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35">
    <w:name w:val="xl135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36">
    <w:name w:val="xl136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u w:val="single"/>
      <w:lang w:eastAsia="en-GB"/>
    </w:rPr>
  </w:style>
  <w:style w:type="paragraph" w:customStyle="1" w:styleId="xl137">
    <w:name w:val="xl137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38">
    <w:name w:val="xl138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39">
    <w:name w:val="xl139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40">
    <w:name w:val="xl140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41">
    <w:name w:val="xl141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42">
    <w:name w:val="xl142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43">
    <w:name w:val="xl143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44">
    <w:name w:val="xl144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45">
    <w:name w:val="xl145"/>
    <w:basedOn w:val="Normal"/>
    <w:rsid w:val="00450A4B"/>
    <w:pP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46">
    <w:name w:val="xl146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47">
    <w:name w:val="xl147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48">
    <w:name w:val="xl148"/>
    <w:basedOn w:val="Normal"/>
    <w:rsid w:val="00450A4B"/>
    <w:pPr>
      <w:shd w:val="clear" w:color="000000" w:fill="FFFF00"/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49">
    <w:name w:val="xl149"/>
    <w:basedOn w:val="Normal"/>
    <w:rsid w:val="00450A4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Default">
    <w:name w:val="Default"/>
    <w:link w:val="DefaultChar"/>
    <w:rsid w:val="006830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22417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4170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24170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24170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7D1FEE"/>
    <w:pPr>
      <w:spacing w:line="240" w:lineRule="auto"/>
    </w:pPr>
    <w:rPr>
      <w:b/>
      <w:bCs/>
      <w:smallCaps/>
      <w:color w:val="595959" w:themeColor="text1" w:themeTint="A6"/>
    </w:rPr>
  </w:style>
  <w:style w:type="table" w:styleId="TableGrid">
    <w:name w:val="Table Grid"/>
    <w:basedOn w:val="TableNormal"/>
    <w:uiPriority w:val="39"/>
    <w:rsid w:val="000960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7E1F4F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28613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customStyle="1" w:styleId="NoSpacing1">
    <w:name w:val="No Spacing1"/>
    <w:link w:val="NoSpacingChar"/>
    <w:uiPriority w:val="1"/>
    <w:rsid w:val="00024F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1"/>
    <w:uiPriority w:val="1"/>
    <w:rsid w:val="00024F25"/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F5 List Paragraph Char,List Paragraph2 Char,MAIN CONTENT Char,List Paragraph12 Char,Dot pt Char,List Paragraph1 Char,Colorful List - Accent 11 Char,List Paragraph Char Char Char Char,Indicator Text Char,Numbered Para 1 Char,L Char"/>
    <w:link w:val="ListParagraph"/>
    <w:uiPriority w:val="99"/>
    <w:qFormat/>
    <w:locked/>
    <w:rsid w:val="009206B3"/>
  </w:style>
  <w:style w:type="paragraph" w:styleId="BodyTextIndent2">
    <w:name w:val="Body Text Indent 2"/>
    <w:basedOn w:val="Normal"/>
    <w:link w:val="BodyTextIndent2Char"/>
    <w:uiPriority w:val="99"/>
    <w:rsid w:val="00242DC2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42DC2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4070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40704"/>
    <w:rPr>
      <w:rFonts w:ascii="Arial" w:eastAsia="Times New Roman" w:hAnsi="Arial" w:cs="Times New Roman"/>
      <w:szCs w:val="20"/>
    </w:rPr>
  </w:style>
  <w:style w:type="character" w:styleId="PageNumber">
    <w:name w:val="page number"/>
    <w:basedOn w:val="DefaultParagraphFont"/>
    <w:uiPriority w:val="99"/>
    <w:rsid w:val="00D40704"/>
  </w:style>
  <w:style w:type="paragraph" w:styleId="DocumentMap">
    <w:name w:val="Document Map"/>
    <w:basedOn w:val="Normal"/>
    <w:link w:val="DocumentMapChar"/>
    <w:uiPriority w:val="99"/>
    <w:semiHidden/>
    <w:rsid w:val="00D40704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0704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odyTextIndent3">
    <w:name w:val="Body Text Indent 3"/>
    <w:basedOn w:val="Normal"/>
    <w:link w:val="BodyTextIndent3Char"/>
    <w:uiPriority w:val="99"/>
    <w:rsid w:val="00D40704"/>
    <w:pPr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4070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40704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40704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D40704"/>
    <w:pPr>
      <w:jc w:val="center"/>
    </w:pPr>
    <w:rPr>
      <w:rFonts w:cs="Arial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D40704"/>
    <w:rPr>
      <w:rFonts w:ascii="Arial" w:eastAsia="Times New Roman" w:hAnsi="Arial" w:cs="Arial"/>
      <w:b/>
      <w:bCs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D40704"/>
    <w:pPr>
      <w:autoSpaceDE w:val="0"/>
      <w:autoSpaceDN w:val="0"/>
      <w:adjustRightInd w:val="0"/>
      <w:spacing w:after="220" w:line="201" w:lineRule="atLeast"/>
    </w:pPr>
    <w:rPr>
      <w:rFonts w:ascii="Univers" w:hAnsi="Univers"/>
      <w:sz w:val="24"/>
      <w:szCs w:val="24"/>
      <w:lang w:val="en-US"/>
    </w:rPr>
  </w:style>
  <w:style w:type="character" w:customStyle="1" w:styleId="CharChar4">
    <w:name w:val="Char Char4"/>
    <w:basedOn w:val="DefaultParagraphFont"/>
    <w:uiPriority w:val="99"/>
    <w:locked/>
    <w:rsid w:val="00D40704"/>
    <w:rPr>
      <w:rFonts w:cs="Times New Roman"/>
      <w:iCs/>
      <w:sz w:val="24"/>
      <w:szCs w:val="24"/>
      <w:lang w:eastAsia="en-US"/>
    </w:rPr>
  </w:style>
  <w:style w:type="character" w:customStyle="1" w:styleId="CharChar6">
    <w:name w:val="Char Char6"/>
    <w:basedOn w:val="DefaultParagraphFont"/>
    <w:uiPriority w:val="99"/>
    <w:locked/>
    <w:rsid w:val="00D40704"/>
    <w:rPr>
      <w:rFonts w:cs="Times New Roman"/>
      <w:iCs/>
      <w:sz w:val="24"/>
      <w:szCs w:val="24"/>
      <w:lang w:eastAsia="en-US"/>
    </w:rPr>
  </w:style>
  <w:style w:type="paragraph" w:customStyle="1" w:styleId="TableBullet2">
    <w:name w:val="Table Bullet 2"/>
    <w:basedOn w:val="Normal"/>
    <w:rsid w:val="00D40704"/>
    <w:pPr>
      <w:numPr>
        <w:numId w:val="2"/>
      </w:numPr>
    </w:pPr>
    <w:rPr>
      <w:sz w:val="18"/>
      <w:szCs w:val="18"/>
    </w:rPr>
  </w:style>
  <w:style w:type="table" w:customStyle="1" w:styleId="TableStyle1">
    <w:name w:val="Table Style1"/>
    <w:basedOn w:val="TableNormal"/>
    <w:rsid w:val="00F07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/>
  </w:style>
  <w:style w:type="table" w:styleId="TableList3">
    <w:name w:val="Table List 3"/>
    <w:basedOn w:val="TableNormal"/>
    <w:rsid w:val="00F07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F07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F07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Style2">
    <w:name w:val="Table Style2"/>
    <w:basedOn w:val="TableGrid"/>
    <w:rsid w:val="00F0741A"/>
    <w:tblPr/>
  </w:style>
  <w:style w:type="character" w:customStyle="1" w:styleId="y0nh2b">
    <w:name w:val="y0nh2b"/>
    <w:basedOn w:val="DefaultParagraphFont"/>
    <w:rsid w:val="00936AB9"/>
  </w:style>
  <w:style w:type="paragraph" w:customStyle="1" w:styleId="BodyText1">
    <w:name w:val="Body Text1"/>
    <w:basedOn w:val="Normal"/>
    <w:rsid w:val="00632915"/>
    <w:rPr>
      <w:sz w:val="24"/>
      <w:lang w:eastAsia="en-GB"/>
    </w:rPr>
  </w:style>
  <w:style w:type="paragraph" w:customStyle="1" w:styleId="BodyText11">
    <w:name w:val="Body Text11"/>
    <w:basedOn w:val="Normal"/>
    <w:rsid w:val="00632915"/>
    <w:rPr>
      <w:sz w:val="24"/>
      <w:lang w:eastAsia="en-GB"/>
    </w:rPr>
  </w:style>
  <w:style w:type="paragraph" w:customStyle="1" w:styleId="BodyText20">
    <w:name w:val="Body Text2"/>
    <w:basedOn w:val="Normal"/>
    <w:rsid w:val="00830ED8"/>
    <w:rPr>
      <w:sz w:val="24"/>
      <w:lang w:eastAsia="en-GB"/>
    </w:rPr>
  </w:style>
  <w:style w:type="paragraph" w:styleId="Revision">
    <w:name w:val="Revision"/>
    <w:hidden/>
    <w:uiPriority w:val="99"/>
    <w:semiHidden/>
    <w:rsid w:val="002A4EB1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styleId="FollowedHyperlink">
    <w:name w:val="FollowedHyperlink"/>
    <w:basedOn w:val="DefaultParagraphFont"/>
    <w:uiPriority w:val="99"/>
    <w:rsid w:val="00DE65C0"/>
    <w:rPr>
      <w:rFonts w:cs="Times New Roman"/>
      <w:color w:val="606420"/>
      <w:u w:val="single"/>
    </w:rPr>
  </w:style>
  <w:style w:type="character" w:customStyle="1" w:styleId="header3">
    <w:name w:val="header3"/>
    <w:basedOn w:val="DefaultParagraphFont"/>
    <w:uiPriority w:val="99"/>
    <w:rsid w:val="00DE65C0"/>
    <w:rPr>
      <w:rFonts w:cs="Times New Roman"/>
      <w:b/>
      <w:bCs/>
      <w:color w:val="05265C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DE65C0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sz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65C0"/>
    <w:rPr>
      <w:rFonts w:ascii="Arial" w:eastAsia="Times New Roman" w:hAnsi="Arial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DE65C0"/>
    <w:rPr>
      <w:rFonts w:cs="Times New Roman"/>
      <w:vertAlign w:val="superscript"/>
    </w:rPr>
  </w:style>
  <w:style w:type="table" w:customStyle="1" w:styleId="TableGrid1">
    <w:name w:val="Table Grid1"/>
    <w:uiPriority w:val="99"/>
    <w:rsid w:val="00DE65C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uiPriority w:val="99"/>
    <w:rsid w:val="00DE65C0"/>
    <w:pPr>
      <w:ind w:left="720"/>
    </w:pPr>
    <w:rPr>
      <w:rFonts w:ascii="Calibri" w:hAnsi="Calibri"/>
      <w:szCs w:val="22"/>
      <w:lang w:eastAsia="en-GB"/>
    </w:rPr>
  </w:style>
  <w:style w:type="character" w:styleId="HTMLCite">
    <w:name w:val="HTML Cite"/>
    <w:basedOn w:val="DefaultParagraphFont"/>
    <w:uiPriority w:val="99"/>
    <w:semiHidden/>
    <w:rsid w:val="00DE65C0"/>
    <w:rPr>
      <w:rFonts w:cs="Times New Roman"/>
      <w:i/>
      <w:iCs/>
    </w:rPr>
  </w:style>
  <w:style w:type="character" w:customStyle="1" w:styleId="DefaultChar">
    <w:name w:val="Default Char"/>
    <w:basedOn w:val="DefaultParagraphFont"/>
    <w:link w:val="Default"/>
    <w:locked/>
    <w:rsid w:val="00DE65C0"/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customStyle="1" w:styleId="EmailStyle42">
    <w:name w:val="EmailStyle42"/>
    <w:basedOn w:val="DefaultParagraphFont"/>
    <w:uiPriority w:val="99"/>
    <w:semiHidden/>
    <w:rsid w:val="00DE65C0"/>
    <w:rPr>
      <w:rFonts w:ascii="Arial" w:hAnsi="Arial" w:cs="Arial"/>
      <w:color w:val="000080"/>
      <w:sz w:val="20"/>
      <w:szCs w:val="20"/>
    </w:rPr>
  </w:style>
  <w:style w:type="character" w:customStyle="1" w:styleId="A3">
    <w:name w:val="A3"/>
    <w:uiPriority w:val="99"/>
    <w:rsid w:val="00DE65C0"/>
    <w:rPr>
      <w:color w:val="000000"/>
      <w:sz w:val="22"/>
    </w:rPr>
  </w:style>
  <w:style w:type="table" w:customStyle="1" w:styleId="TableGrid2">
    <w:name w:val="Table Grid2"/>
    <w:basedOn w:val="TableNormal"/>
    <w:next w:val="TableGrid"/>
    <w:uiPriority w:val="59"/>
    <w:rsid w:val="00FA0F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7D1FE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7D1FEE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1FE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1FEE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D1FEE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D1FE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D1FEE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7D1FEE"/>
    <w:rPr>
      <w:b/>
      <w:bCs/>
      <w:smallCaps/>
      <w:color w:val="F79646" w:themeColor="accent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1FEE"/>
    <w:pPr>
      <w:outlineLvl w:val="9"/>
    </w:pPr>
  </w:style>
  <w:style w:type="table" w:customStyle="1" w:styleId="TableGrid3">
    <w:name w:val="Table Grid3"/>
    <w:basedOn w:val="TableNormal"/>
    <w:next w:val="TableGrid"/>
    <w:uiPriority w:val="59"/>
    <w:rsid w:val="004F6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F6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D35F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D35F81"/>
    <w:pPr>
      <w:spacing w:after="0" w:line="240" w:lineRule="auto"/>
    </w:pPr>
    <w:rPr>
      <w:sz w:val="22"/>
      <w:szCs w:val="22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8E52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8E52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99"/>
    <w:rsid w:val="00610EA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99"/>
    <w:rsid w:val="00610EA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13C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B92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92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99"/>
    <w:rsid w:val="00FD0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99"/>
    <w:rsid w:val="00FD0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99"/>
    <w:rsid w:val="00BB6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xmsonormal">
    <w:name w:val="x_xxmsonormal"/>
    <w:basedOn w:val="Normal"/>
    <w:rsid w:val="00603B5F"/>
    <w:pPr>
      <w:spacing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xxmsobodytext">
    <w:name w:val="x_xxmsobodytext"/>
    <w:basedOn w:val="Normal"/>
    <w:rsid w:val="00603B5F"/>
    <w:pPr>
      <w:autoSpaceDE w:val="0"/>
      <w:autoSpaceDN w:val="0"/>
      <w:spacing w:after="0" w:line="240" w:lineRule="auto"/>
    </w:pPr>
    <w:rPr>
      <w:rFonts w:ascii="Georgia" w:eastAsiaTheme="minorHAnsi" w:hAnsi="Georgia" w:cs="Times New Roman"/>
      <w:sz w:val="20"/>
      <w:szCs w:val="20"/>
      <w:lang w:eastAsia="en-GB"/>
    </w:rPr>
  </w:style>
  <w:style w:type="paragraph" w:customStyle="1" w:styleId="xxxmsobodytextindent3">
    <w:name w:val="x_xxmsobodytextindent3"/>
    <w:basedOn w:val="Normal"/>
    <w:rsid w:val="00603B5F"/>
    <w:pPr>
      <w:autoSpaceDE w:val="0"/>
      <w:autoSpaceDN w:val="0"/>
      <w:spacing w:after="120" w:line="240" w:lineRule="auto"/>
      <w:ind w:left="283"/>
    </w:pPr>
    <w:rPr>
      <w:rFonts w:ascii="Georgia" w:eastAsiaTheme="minorHAnsi" w:hAnsi="Georgia" w:cs="Times New Roman"/>
      <w:sz w:val="16"/>
      <w:szCs w:val="16"/>
      <w:lang w:eastAsia="en-GB"/>
    </w:rPr>
  </w:style>
  <w:style w:type="paragraph" w:customStyle="1" w:styleId="paragraph">
    <w:name w:val="paragraph"/>
    <w:basedOn w:val="Normal"/>
    <w:rsid w:val="00E7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77CF5"/>
  </w:style>
  <w:style w:type="table" w:customStyle="1" w:styleId="TableGrid16">
    <w:name w:val="Table Grid16"/>
    <w:basedOn w:val="TableNormal"/>
    <w:next w:val="TableGrid"/>
    <w:uiPriority w:val="39"/>
    <w:rsid w:val="00DB6A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B14A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4E62D3-A7B9-4C71-809E-9EECD0DEE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2162</Words>
  <Characters>12326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FIFE</Company>
  <LinksUpToDate>false</LinksUpToDate>
  <CharactersWithSpaces>14460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cummingsl</dc:creator>
  <cp:lastModifiedBy>Shannon Simpson (NHS GOLDEN JUBILEE)</cp:lastModifiedBy>
  <cp:revision>3</cp:revision>
  <cp:lastPrinted>2023-01-16T17:16:00Z</cp:lastPrinted>
  <dcterms:created xsi:type="dcterms:W3CDTF">2024-05-24T12:11:00Z</dcterms:created>
  <dcterms:modified xsi:type="dcterms:W3CDTF">2024-05-24T15:06:00Z</dcterms:modified>
</cp:coreProperties>
</file>