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FD5A48" w:rsidRDefault="0023473B" w:rsidP="00C97BAD">
      <w:pPr>
        <w:pStyle w:val="Heading3"/>
        <w:spacing w:line="360" w:lineRule="auto"/>
        <w:ind w:left="4536" w:hanging="4536"/>
      </w:pPr>
      <w:r w:rsidRPr="00FD5A48">
        <w:rPr>
          <w:rStyle w:val="Heading3Char"/>
          <w:b/>
        </w:rPr>
        <w:t>Meeting:</w:t>
      </w:r>
      <w:r w:rsidR="00B77902" w:rsidRPr="00FD5A48">
        <w:rPr>
          <w:rStyle w:val="Heading3Char"/>
          <w:b/>
        </w:rPr>
        <w:tab/>
      </w:r>
      <w:r w:rsidR="00BF0CBD">
        <w:rPr>
          <w:rStyle w:val="Heading3Char"/>
          <w:b/>
        </w:rPr>
        <w:t>NHS Golden Jubilee Board</w:t>
      </w:r>
    </w:p>
    <w:p w:rsidR="00430C09" w:rsidRPr="00FD5A48" w:rsidRDefault="00430C09" w:rsidP="00C97BAD">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B8122A">
        <w:rPr>
          <w:rStyle w:val="Heading3Char"/>
          <w:b/>
        </w:rPr>
        <w:t>2</w:t>
      </w:r>
      <w:r w:rsidR="00BF0CBD">
        <w:rPr>
          <w:rStyle w:val="Heading3Char"/>
          <w:b/>
        </w:rPr>
        <w:t>8</w:t>
      </w:r>
      <w:r w:rsidR="00B8122A">
        <w:rPr>
          <w:rStyle w:val="Heading3Char"/>
          <w:b/>
        </w:rPr>
        <w:t xml:space="preserve"> March</w:t>
      </w:r>
      <w:r w:rsidR="00022C05">
        <w:rPr>
          <w:rStyle w:val="Heading3Char"/>
          <w:b/>
        </w:rPr>
        <w:t xml:space="preserve"> 2023</w:t>
      </w:r>
    </w:p>
    <w:p w:rsidR="00B77902" w:rsidRPr="00FD5A48" w:rsidRDefault="00430C09" w:rsidP="00C97BAD">
      <w:pPr>
        <w:pStyle w:val="Heading3"/>
        <w:spacing w:before="0" w:after="40"/>
        <w:ind w:left="4536" w:hanging="4536"/>
      </w:pPr>
      <w:r w:rsidRPr="00FD5A48">
        <w:rPr>
          <w:rStyle w:val="Heading3Char"/>
          <w:b/>
        </w:rPr>
        <w:t>Title</w:t>
      </w:r>
      <w:r w:rsidR="00AA77F7" w:rsidRPr="00FD5A48">
        <w:rPr>
          <w:rStyle w:val="Heading3Char"/>
          <w:b/>
        </w:rPr>
        <w:t>:</w:t>
      </w:r>
      <w:r w:rsidR="00B77902" w:rsidRPr="00FD5A48">
        <w:rPr>
          <w:rStyle w:val="Heading3Char"/>
          <w:b/>
        </w:rPr>
        <w:tab/>
      </w:r>
      <w:r w:rsidR="00496B29">
        <w:rPr>
          <w:rStyle w:val="Heading3Char"/>
          <w:b/>
        </w:rPr>
        <w:t xml:space="preserve">NHS GJ Board </w:t>
      </w:r>
      <w:r w:rsidR="007E0450">
        <w:rPr>
          <w:rStyle w:val="Heading3Char"/>
          <w:b/>
        </w:rPr>
        <w:t xml:space="preserve">Corporate Governance </w:t>
      </w:r>
      <w:r w:rsidR="00B8122A">
        <w:rPr>
          <w:rStyle w:val="Heading3Char"/>
          <w:b/>
        </w:rPr>
        <w:t>Update – Quarter 3</w:t>
      </w:r>
    </w:p>
    <w:p w:rsidR="00D52F96" w:rsidRDefault="0003098A" w:rsidP="00D52F96">
      <w:pPr>
        <w:pStyle w:val="Heading3"/>
        <w:spacing w:before="120" w:after="40"/>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7E586D">
        <w:rPr>
          <w:rStyle w:val="Heading3Char"/>
          <w:b/>
        </w:rPr>
        <w:t>Gordon James, Chief Executive</w:t>
      </w:r>
    </w:p>
    <w:p w:rsidR="00430C09" w:rsidRDefault="00430C09" w:rsidP="00D52F96">
      <w:pPr>
        <w:pStyle w:val="Heading3"/>
        <w:spacing w:before="120" w:after="40"/>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rsidR="00B77902" w:rsidRPr="00B77902" w:rsidRDefault="00B77902" w:rsidP="00B77902"/>
    <w:p w:rsidR="00430C09" w:rsidRPr="00912CBC" w:rsidRDefault="00BF3AF0" w:rsidP="00C96E92">
      <w:pPr>
        <w:pStyle w:val="Heading2"/>
        <w:spacing w:before="0" w:line="276" w:lineRule="auto"/>
      </w:pPr>
      <w:r w:rsidRPr="00912CBC">
        <w:t>1</w:t>
      </w:r>
      <w:r w:rsidRPr="00912CBC">
        <w:tab/>
      </w:r>
      <w:r w:rsidR="00430C09" w:rsidRPr="00912CBC">
        <w:t>Purpose</w:t>
      </w:r>
    </w:p>
    <w:p w:rsidR="009807B4" w:rsidRPr="00912CBC" w:rsidRDefault="00430C09" w:rsidP="00C96E92">
      <w:pPr>
        <w:pStyle w:val="Heading3"/>
        <w:spacing w:before="0" w:line="276" w:lineRule="auto"/>
        <w:ind w:left="720"/>
        <w:rPr>
          <w:lang w:eastAsia="en-GB"/>
        </w:rPr>
      </w:pPr>
      <w:r w:rsidRPr="00912CBC">
        <w:rPr>
          <w:lang w:eastAsia="en-GB"/>
        </w:rPr>
        <w:t>This</w:t>
      </w:r>
      <w:r w:rsidR="00F3256A">
        <w:rPr>
          <w:lang w:eastAsia="en-GB"/>
        </w:rPr>
        <w:t xml:space="preserve"> is presented to </w:t>
      </w:r>
      <w:r w:rsidR="003C5DEF">
        <w:t>Executive Leadership Team</w:t>
      </w:r>
      <w:r w:rsidR="002E0D1A">
        <w:rPr>
          <w:rFonts w:cs="Arial"/>
          <w:color w:val="000000"/>
        </w:rPr>
        <w:t xml:space="preserve"> </w:t>
      </w:r>
      <w:r w:rsidR="00446219" w:rsidRPr="00912CBC">
        <w:rPr>
          <w:lang w:eastAsia="en-GB"/>
        </w:rPr>
        <w:t xml:space="preserve">for: </w:t>
      </w:r>
    </w:p>
    <w:p w:rsidR="007E586D" w:rsidRDefault="007E586D" w:rsidP="00C96E92">
      <w:pPr>
        <w:pStyle w:val="Heading3"/>
        <w:numPr>
          <w:ilvl w:val="0"/>
          <w:numId w:val="9"/>
        </w:numPr>
        <w:spacing w:before="0" w:line="276" w:lineRule="auto"/>
        <w:ind w:left="1080"/>
        <w:rPr>
          <w:b w:val="0"/>
          <w:lang w:eastAsia="en-GB"/>
        </w:rPr>
      </w:pPr>
      <w:r>
        <w:rPr>
          <w:b w:val="0"/>
          <w:lang w:eastAsia="en-GB"/>
        </w:rPr>
        <w:t>Awareness</w:t>
      </w:r>
    </w:p>
    <w:p w:rsidR="007E586D" w:rsidRDefault="007E586D" w:rsidP="00C96E92">
      <w:pPr>
        <w:pStyle w:val="Heading3"/>
        <w:numPr>
          <w:ilvl w:val="0"/>
          <w:numId w:val="9"/>
        </w:numPr>
        <w:spacing w:before="0" w:line="276" w:lineRule="auto"/>
        <w:ind w:left="1080"/>
        <w:rPr>
          <w:b w:val="0"/>
          <w:lang w:eastAsia="en-GB"/>
        </w:rPr>
      </w:pPr>
      <w:r>
        <w:rPr>
          <w:b w:val="0"/>
          <w:lang w:eastAsia="en-GB"/>
        </w:rPr>
        <w:t>Discussion</w:t>
      </w:r>
    </w:p>
    <w:p w:rsidR="007E586D" w:rsidRPr="007E586D" w:rsidRDefault="007E586D" w:rsidP="00C96E92">
      <w:pPr>
        <w:rPr>
          <w:lang w:eastAsia="en-GB"/>
        </w:rPr>
      </w:pPr>
    </w:p>
    <w:p w:rsidR="00430C09" w:rsidRPr="00912CBC" w:rsidRDefault="00430C09" w:rsidP="00C96E92">
      <w:pPr>
        <w:pStyle w:val="Heading3"/>
        <w:spacing w:before="0"/>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rsidR="009807B4" w:rsidRDefault="009807B4" w:rsidP="00C96E92">
      <w:pPr>
        <w:pStyle w:val="ListParagraph"/>
        <w:numPr>
          <w:ilvl w:val="0"/>
          <w:numId w:val="7"/>
        </w:numPr>
        <w:autoSpaceDE w:val="0"/>
        <w:autoSpaceDN w:val="0"/>
        <w:adjustRightInd w:val="0"/>
        <w:spacing w:line="276" w:lineRule="auto"/>
        <w:ind w:left="1080"/>
        <w:rPr>
          <w:rFonts w:ascii="Arial" w:hAnsi="Arial" w:cs="Arial"/>
          <w:color w:val="000000"/>
          <w:sz w:val="24"/>
          <w:szCs w:val="24"/>
        </w:rPr>
      </w:pPr>
      <w:r w:rsidRPr="00912CBC">
        <w:rPr>
          <w:rFonts w:ascii="Arial" w:hAnsi="Arial" w:cs="Arial"/>
          <w:color w:val="000000"/>
          <w:sz w:val="24"/>
          <w:szCs w:val="24"/>
        </w:rPr>
        <w:t>Government policy/directive</w:t>
      </w:r>
    </w:p>
    <w:p w:rsidR="00BD4F63" w:rsidRPr="00912CBC" w:rsidRDefault="00BD4F63" w:rsidP="00C96E92">
      <w:pPr>
        <w:pStyle w:val="ListParagraph"/>
        <w:numPr>
          <w:ilvl w:val="0"/>
          <w:numId w:val="7"/>
        </w:numPr>
        <w:autoSpaceDE w:val="0"/>
        <w:autoSpaceDN w:val="0"/>
        <w:adjustRightInd w:val="0"/>
        <w:spacing w:line="276" w:lineRule="auto"/>
        <w:ind w:left="1080"/>
        <w:rPr>
          <w:rFonts w:ascii="Arial" w:hAnsi="Arial" w:cs="Arial"/>
          <w:color w:val="000000"/>
          <w:sz w:val="24"/>
          <w:szCs w:val="24"/>
        </w:rPr>
      </w:pPr>
      <w:r>
        <w:rPr>
          <w:rFonts w:ascii="Arial" w:hAnsi="Arial" w:cs="Arial"/>
          <w:color w:val="000000"/>
          <w:sz w:val="24"/>
          <w:szCs w:val="24"/>
        </w:rPr>
        <w:t>Local Policy</w:t>
      </w:r>
    </w:p>
    <w:p w:rsidR="00430C09" w:rsidRPr="00912CBC" w:rsidRDefault="00430C09" w:rsidP="00C96E92">
      <w:pPr>
        <w:autoSpaceDE w:val="0"/>
        <w:autoSpaceDN w:val="0"/>
        <w:adjustRightInd w:val="0"/>
        <w:spacing w:line="276" w:lineRule="auto"/>
        <w:ind w:left="720"/>
        <w:rPr>
          <w:rFonts w:cs="Arial"/>
          <w:color w:val="000000"/>
          <w:szCs w:val="24"/>
          <w:lang w:eastAsia="en-GB"/>
        </w:rPr>
      </w:pPr>
    </w:p>
    <w:p w:rsidR="00430C09" w:rsidRDefault="00430C09" w:rsidP="00C96E92">
      <w:pPr>
        <w:pStyle w:val="Heading3"/>
        <w:spacing w:before="0"/>
        <w:ind w:left="720"/>
        <w:rPr>
          <w:lang w:eastAsia="en-GB"/>
        </w:rPr>
      </w:pPr>
      <w:r w:rsidRPr="00912CBC">
        <w:rPr>
          <w:lang w:eastAsia="en-GB"/>
        </w:rPr>
        <w:t>This aligns to the following</w:t>
      </w:r>
      <w:r w:rsidR="00047714" w:rsidRPr="00912CBC">
        <w:rPr>
          <w:lang w:eastAsia="en-GB"/>
        </w:rPr>
        <w:t xml:space="preserve"> NHS</w:t>
      </w:r>
      <w:r w:rsidR="00100DA6">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rsidR="00C01B6B" w:rsidRDefault="00C01B6B" w:rsidP="00C96E92">
      <w:pPr>
        <w:pStyle w:val="ListParagraph"/>
        <w:numPr>
          <w:ilvl w:val="0"/>
          <w:numId w:val="8"/>
        </w:numPr>
        <w:autoSpaceDE w:val="0"/>
        <w:autoSpaceDN w:val="0"/>
        <w:adjustRightInd w:val="0"/>
        <w:spacing w:line="276" w:lineRule="auto"/>
        <w:ind w:left="1080"/>
        <w:rPr>
          <w:rFonts w:ascii="Arial" w:hAnsi="Arial" w:cs="Arial"/>
          <w:color w:val="000000"/>
          <w:sz w:val="24"/>
          <w:szCs w:val="24"/>
        </w:rPr>
      </w:pPr>
      <w:r>
        <w:rPr>
          <w:rFonts w:ascii="Arial" w:hAnsi="Arial" w:cs="Arial"/>
          <w:color w:val="000000"/>
          <w:sz w:val="24"/>
          <w:szCs w:val="24"/>
        </w:rPr>
        <w:t>Safe</w:t>
      </w:r>
    </w:p>
    <w:p w:rsidR="009807B4" w:rsidRDefault="00912CBC" w:rsidP="00C96E92">
      <w:pPr>
        <w:pStyle w:val="ListParagraph"/>
        <w:numPr>
          <w:ilvl w:val="0"/>
          <w:numId w:val="8"/>
        </w:numPr>
        <w:autoSpaceDE w:val="0"/>
        <w:autoSpaceDN w:val="0"/>
        <w:adjustRightInd w:val="0"/>
        <w:spacing w:line="276" w:lineRule="auto"/>
        <w:ind w:left="1080"/>
        <w:rPr>
          <w:rFonts w:ascii="Arial" w:hAnsi="Arial" w:cs="Arial"/>
          <w:color w:val="000000"/>
          <w:sz w:val="24"/>
          <w:szCs w:val="24"/>
        </w:rPr>
      </w:pPr>
      <w:r w:rsidRPr="003C3FE6">
        <w:rPr>
          <w:rFonts w:ascii="Arial" w:hAnsi="Arial" w:cs="Arial"/>
          <w:color w:val="000000"/>
          <w:sz w:val="24"/>
          <w:szCs w:val="24"/>
        </w:rPr>
        <w:t>Effective</w:t>
      </w:r>
    </w:p>
    <w:p w:rsidR="00C01B6B" w:rsidRPr="003C3FE6" w:rsidRDefault="00C01B6B" w:rsidP="00C96E92">
      <w:pPr>
        <w:pStyle w:val="ListParagraph"/>
        <w:numPr>
          <w:ilvl w:val="0"/>
          <w:numId w:val="8"/>
        </w:numPr>
        <w:autoSpaceDE w:val="0"/>
        <w:autoSpaceDN w:val="0"/>
        <w:adjustRightInd w:val="0"/>
        <w:spacing w:line="276" w:lineRule="auto"/>
        <w:ind w:left="1080"/>
        <w:rPr>
          <w:rFonts w:ascii="Arial" w:hAnsi="Arial" w:cs="Arial"/>
          <w:color w:val="000000"/>
          <w:sz w:val="24"/>
          <w:szCs w:val="24"/>
        </w:rPr>
      </w:pPr>
      <w:r>
        <w:rPr>
          <w:rFonts w:ascii="Arial" w:hAnsi="Arial" w:cs="Arial"/>
          <w:color w:val="000000"/>
          <w:sz w:val="24"/>
          <w:szCs w:val="24"/>
        </w:rPr>
        <w:t>Person Centred</w:t>
      </w:r>
    </w:p>
    <w:p w:rsidR="00430C09" w:rsidRDefault="00430C09" w:rsidP="00C96E92">
      <w:pPr>
        <w:spacing w:line="276" w:lineRule="auto"/>
      </w:pPr>
    </w:p>
    <w:p w:rsidR="00430C09" w:rsidRDefault="00C94BF7" w:rsidP="00C96E92">
      <w:pPr>
        <w:pStyle w:val="Heading2"/>
        <w:spacing w:before="0" w:line="276" w:lineRule="auto"/>
      </w:pPr>
      <w:r>
        <w:t>2</w:t>
      </w:r>
      <w:r w:rsidR="00BF3AF0">
        <w:tab/>
      </w:r>
      <w:r w:rsidR="00430C09">
        <w:t>Report summary</w:t>
      </w:r>
      <w:r w:rsidR="00430C09">
        <w:tab/>
      </w:r>
    </w:p>
    <w:p w:rsidR="0003098A" w:rsidRDefault="0003098A" w:rsidP="00C96E92">
      <w:pPr>
        <w:pStyle w:val="Heading3"/>
        <w:spacing w:before="0" w:line="276" w:lineRule="auto"/>
      </w:pPr>
    </w:p>
    <w:p w:rsidR="00430C09" w:rsidRDefault="00C94BF7" w:rsidP="00C96E92">
      <w:pPr>
        <w:pStyle w:val="Heading2"/>
        <w:spacing w:before="0"/>
      </w:pPr>
      <w:r>
        <w:t>2</w:t>
      </w:r>
      <w:r w:rsidR="00BF3AF0">
        <w:t>.1</w:t>
      </w:r>
      <w:r w:rsidR="00BF3AF0">
        <w:tab/>
      </w:r>
      <w:r w:rsidR="00430C09" w:rsidRPr="00DA354A">
        <w:t>Situation</w:t>
      </w:r>
    </w:p>
    <w:p w:rsidR="00D52F96" w:rsidRDefault="00D52F96" w:rsidP="00C96E92">
      <w:pPr>
        <w:spacing w:line="276" w:lineRule="auto"/>
        <w:ind w:left="720"/>
        <w:rPr>
          <w:rFonts w:cs="Arial"/>
          <w:color w:val="000000"/>
          <w:szCs w:val="24"/>
        </w:rPr>
      </w:pPr>
    </w:p>
    <w:p w:rsidR="00430C09" w:rsidRDefault="007E586D" w:rsidP="00C96E92">
      <w:pPr>
        <w:spacing w:line="276" w:lineRule="auto"/>
        <w:ind w:left="720"/>
        <w:rPr>
          <w:rFonts w:cs="Arial"/>
          <w:color w:val="000000"/>
          <w:szCs w:val="24"/>
        </w:rPr>
      </w:pPr>
      <w:r>
        <w:rPr>
          <w:rFonts w:cs="Arial"/>
          <w:color w:val="000000"/>
          <w:szCs w:val="24"/>
        </w:rPr>
        <w:t xml:space="preserve">The purpose of this paper is to provide an update on the </w:t>
      </w:r>
      <w:r w:rsidR="00C96E92">
        <w:rPr>
          <w:rFonts w:cs="Arial"/>
          <w:color w:val="000000"/>
          <w:szCs w:val="24"/>
        </w:rPr>
        <w:t xml:space="preserve">governance </w:t>
      </w:r>
      <w:r>
        <w:rPr>
          <w:rFonts w:cs="Arial"/>
          <w:color w:val="000000"/>
          <w:szCs w:val="24"/>
        </w:rPr>
        <w:t>work which h</w:t>
      </w:r>
      <w:r w:rsidR="003C5DEF">
        <w:rPr>
          <w:rFonts w:cs="Arial"/>
          <w:color w:val="000000"/>
          <w:szCs w:val="24"/>
        </w:rPr>
        <w:t xml:space="preserve">as been ongoing </w:t>
      </w:r>
      <w:r w:rsidR="00B8122A">
        <w:rPr>
          <w:rFonts w:cs="Arial"/>
          <w:color w:val="000000"/>
          <w:szCs w:val="24"/>
        </w:rPr>
        <w:t>during Quarter 3</w:t>
      </w:r>
      <w:r>
        <w:rPr>
          <w:rFonts w:cs="Arial"/>
          <w:color w:val="000000"/>
          <w:szCs w:val="24"/>
        </w:rPr>
        <w:t xml:space="preserve">.  </w:t>
      </w:r>
      <w:r w:rsidR="006B3CCC">
        <w:rPr>
          <w:rFonts w:cs="Arial"/>
          <w:color w:val="000000"/>
          <w:szCs w:val="24"/>
        </w:rPr>
        <w:t xml:space="preserve">  </w:t>
      </w:r>
      <w:r w:rsidR="00C06047">
        <w:rPr>
          <w:rFonts w:cs="Arial"/>
          <w:color w:val="000000"/>
          <w:szCs w:val="24"/>
        </w:rPr>
        <w:t xml:space="preserve">  </w:t>
      </w:r>
    </w:p>
    <w:p w:rsidR="00430C09" w:rsidRDefault="00430C09" w:rsidP="00C96E92">
      <w:pPr>
        <w:spacing w:line="276" w:lineRule="auto"/>
        <w:rPr>
          <w:rFonts w:cs="Arial"/>
          <w:color w:val="000000"/>
          <w:szCs w:val="24"/>
        </w:rPr>
      </w:pPr>
    </w:p>
    <w:p w:rsidR="00430C09" w:rsidRDefault="00430C09" w:rsidP="00C96E92">
      <w:pPr>
        <w:pStyle w:val="Heading2"/>
        <w:numPr>
          <w:ilvl w:val="1"/>
          <w:numId w:val="24"/>
        </w:numPr>
        <w:spacing w:before="0"/>
        <w:ind w:left="709" w:hanging="709"/>
      </w:pPr>
      <w:r>
        <w:t>Background</w:t>
      </w:r>
    </w:p>
    <w:p w:rsidR="00D52F96" w:rsidRDefault="00D52F96" w:rsidP="00C96E92">
      <w:pPr>
        <w:spacing w:line="259" w:lineRule="auto"/>
        <w:ind w:left="709"/>
        <w:contextualSpacing/>
        <w:rPr>
          <w:rFonts w:cs="Arial"/>
          <w:bCs/>
          <w:szCs w:val="24"/>
        </w:rPr>
      </w:pPr>
    </w:p>
    <w:p w:rsidR="004D5880" w:rsidRPr="004D5880" w:rsidRDefault="004D5880" w:rsidP="00C96E92">
      <w:pPr>
        <w:spacing w:line="259" w:lineRule="auto"/>
        <w:ind w:left="709"/>
        <w:contextualSpacing/>
        <w:rPr>
          <w:rFonts w:cs="Arial"/>
          <w:b/>
          <w:szCs w:val="24"/>
        </w:rPr>
      </w:pPr>
      <w:r w:rsidRPr="004D5880">
        <w:rPr>
          <w:rFonts w:cs="Arial"/>
          <w:bCs/>
          <w:szCs w:val="24"/>
        </w:rPr>
        <w:t xml:space="preserve">The Blueprint for Good Governance – Second Edition (DL (2022)38) (the Blueprint) was published in November 2022 and </w:t>
      </w:r>
      <w:r w:rsidRPr="004D5880">
        <w:rPr>
          <w:rFonts w:cs="Arial"/>
          <w:szCs w:val="24"/>
        </w:rPr>
        <w:t>emphasised the importance of good corporate governance to maintain high standards of clinical, staff and financial governance.  The Blueprint supports a consistent, effective and transparent governance approach across NHS Scotland.</w:t>
      </w:r>
    </w:p>
    <w:p w:rsidR="004D5880" w:rsidRPr="002558AA" w:rsidRDefault="004D5880" w:rsidP="00C96E92">
      <w:pPr>
        <w:pStyle w:val="ListParagraph"/>
        <w:ind w:left="709" w:hanging="709"/>
        <w:rPr>
          <w:rFonts w:ascii="Arial" w:hAnsi="Arial" w:cs="Arial"/>
          <w:b/>
          <w:sz w:val="24"/>
          <w:szCs w:val="24"/>
        </w:rPr>
      </w:pPr>
    </w:p>
    <w:p w:rsidR="004D5880" w:rsidRPr="004D5880" w:rsidRDefault="004D5880" w:rsidP="00C96E92">
      <w:pPr>
        <w:spacing w:line="259" w:lineRule="auto"/>
        <w:ind w:left="709"/>
        <w:contextualSpacing/>
        <w:rPr>
          <w:rFonts w:cs="Arial"/>
          <w:b/>
          <w:szCs w:val="24"/>
        </w:rPr>
      </w:pPr>
      <w:r w:rsidRPr="004D5880">
        <w:rPr>
          <w:rFonts w:cs="Arial"/>
          <w:szCs w:val="24"/>
        </w:rPr>
        <w:t xml:space="preserve">NHS Golden Jubilee (NHS GJ) has implemented a number of developments to its governance framework to ensure good corporate governance principles are embedded </w:t>
      </w:r>
      <w:r w:rsidRPr="004D5880">
        <w:rPr>
          <w:rFonts w:cs="Arial"/>
          <w:szCs w:val="24"/>
        </w:rPr>
        <w:lastRenderedPageBreak/>
        <w:t>throughout the organisation and undertakes continuous review and improvement of the system.</w:t>
      </w:r>
    </w:p>
    <w:p w:rsidR="004D5880" w:rsidRDefault="004D5880" w:rsidP="00C96E92">
      <w:pPr>
        <w:spacing w:line="259" w:lineRule="auto"/>
        <w:ind w:left="709" w:hanging="709"/>
        <w:contextualSpacing/>
        <w:rPr>
          <w:rFonts w:eastAsia="Calibri" w:cs="Arial"/>
          <w:b/>
          <w:spacing w:val="0"/>
          <w:szCs w:val="24"/>
          <w:lang w:eastAsia="en-GB"/>
        </w:rPr>
      </w:pPr>
    </w:p>
    <w:p w:rsidR="004D5880" w:rsidRDefault="004D5880" w:rsidP="00C96E92">
      <w:pPr>
        <w:spacing w:line="259" w:lineRule="auto"/>
        <w:ind w:left="709"/>
        <w:contextualSpacing/>
        <w:rPr>
          <w:rFonts w:cs="Arial"/>
          <w:szCs w:val="24"/>
        </w:rPr>
      </w:pPr>
      <w:r w:rsidRPr="004D5880">
        <w:rPr>
          <w:rFonts w:cs="Arial"/>
          <w:szCs w:val="24"/>
        </w:rPr>
        <w:t xml:space="preserve">This report outlines </w:t>
      </w:r>
      <w:r w:rsidR="008859A8">
        <w:rPr>
          <w:rFonts w:cs="Arial"/>
          <w:szCs w:val="24"/>
        </w:rPr>
        <w:t xml:space="preserve">the </w:t>
      </w:r>
      <w:r w:rsidRPr="004D5880">
        <w:rPr>
          <w:rFonts w:cs="Arial"/>
          <w:szCs w:val="24"/>
        </w:rPr>
        <w:t>work conducted through</w:t>
      </w:r>
      <w:r w:rsidR="003C5DEF">
        <w:rPr>
          <w:rFonts w:cs="Arial"/>
          <w:szCs w:val="24"/>
        </w:rPr>
        <w:t xml:space="preserve"> Quarter 2</w:t>
      </w:r>
      <w:r>
        <w:rPr>
          <w:rFonts w:cs="Arial"/>
          <w:szCs w:val="24"/>
        </w:rPr>
        <w:t xml:space="preserve"> </w:t>
      </w:r>
      <w:r w:rsidRPr="004D5880">
        <w:rPr>
          <w:rFonts w:cs="Arial"/>
          <w:szCs w:val="24"/>
        </w:rPr>
        <w:t>to augment and develop the corporate governance arrangements across NHS GJ.</w:t>
      </w:r>
    </w:p>
    <w:p w:rsidR="0079685E" w:rsidRDefault="0079685E" w:rsidP="00C96E92">
      <w:pPr>
        <w:pStyle w:val="Default"/>
        <w:ind w:left="709"/>
      </w:pPr>
    </w:p>
    <w:p w:rsidR="00F3337D" w:rsidRDefault="00C87B62" w:rsidP="00C96E92">
      <w:pPr>
        <w:pStyle w:val="Heading2"/>
        <w:spacing w:before="0"/>
      </w:pPr>
      <w:r>
        <w:t>2</w:t>
      </w:r>
      <w:r w:rsidR="00BF3AF0">
        <w:t>.3</w:t>
      </w:r>
      <w:r w:rsidR="00BF3AF0">
        <w:tab/>
      </w:r>
      <w:r w:rsidR="00F3337D">
        <w:t>Assessment</w:t>
      </w:r>
    </w:p>
    <w:p w:rsidR="008859A8" w:rsidRPr="008859A8" w:rsidRDefault="008859A8" w:rsidP="008859A8"/>
    <w:p w:rsidR="004D5880" w:rsidRDefault="001C0974" w:rsidP="008859A8">
      <w:pPr>
        <w:spacing w:line="276" w:lineRule="auto"/>
        <w:ind w:left="851" w:hanging="142"/>
        <w:rPr>
          <w:b/>
        </w:rPr>
      </w:pPr>
      <w:r>
        <w:rPr>
          <w:b/>
        </w:rPr>
        <w:t>1.0</w:t>
      </w:r>
      <w:r w:rsidR="008859A8">
        <w:rPr>
          <w:b/>
        </w:rPr>
        <w:tab/>
      </w:r>
      <w:r w:rsidR="004D5880">
        <w:rPr>
          <w:b/>
        </w:rPr>
        <w:t>Governance</w:t>
      </w:r>
    </w:p>
    <w:p w:rsidR="00D52F96" w:rsidRDefault="00D52F96" w:rsidP="00C96E92">
      <w:pPr>
        <w:spacing w:line="276" w:lineRule="auto"/>
        <w:ind w:left="720"/>
      </w:pPr>
    </w:p>
    <w:p w:rsidR="00A12F83" w:rsidRDefault="0072170F" w:rsidP="00C96E92">
      <w:pPr>
        <w:spacing w:line="276" w:lineRule="auto"/>
        <w:ind w:left="720"/>
      </w:pPr>
      <w:r>
        <w:t>The</w:t>
      </w:r>
      <w:r w:rsidR="004D5880">
        <w:t xml:space="preserve"> Board continued to meet regularly within a hybrid model.  </w:t>
      </w:r>
    </w:p>
    <w:p w:rsidR="00B8122A" w:rsidRDefault="00B8122A" w:rsidP="00C96E92">
      <w:pPr>
        <w:spacing w:line="276" w:lineRule="auto"/>
        <w:ind w:left="720"/>
      </w:pPr>
    </w:p>
    <w:p w:rsidR="003C5DEF" w:rsidRDefault="00E46CD6" w:rsidP="00C96E92">
      <w:pPr>
        <w:spacing w:line="276" w:lineRule="auto"/>
        <w:ind w:left="720"/>
      </w:pPr>
      <w:r>
        <w:t xml:space="preserve">The Board approved the Integrated Performance Report, the Whistleblowing Quarter 2 Report, the Financial Report as at Month 4, the Procurement Annual Report 2022/23, the Annual Delivery Plan Update 2023/24, the Strategic Risk Register for November 2023 and </w:t>
      </w:r>
      <w:r w:rsidR="00BF0CBD">
        <w:t>agreed the Corporate Governance meeting dates for 2024/25.</w:t>
      </w:r>
    </w:p>
    <w:p w:rsidR="00B8122A" w:rsidRDefault="00B8122A" w:rsidP="00C96E92">
      <w:pPr>
        <w:spacing w:line="276" w:lineRule="auto"/>
        <w:ind w:left="720"/>
      </w:pPr>
    </w:p>
    <w:p w:rsidR="00215FBB" w:rsidRDefault="00BF0CBD" w:rsidP="00C96E92">
      <w:pPr>
        <w:spacing w:line="276" w:lineRule="auto"/>
        <w:ind w:left="720"/>
      </w:pPr>
      <w:r>
        <w:t>Some of the i</w:t>
      </w:r>
      <w:r w:rsidR="00BE4F71">
        <w:t>te</w:t>
      </w:r>
      <w:r w:rsidR="00311A57">
        <w:t>ms d</w:t>
      </w:r>
      <w:r w:rsidR="002E24EC">
        <w:t>iscussed in private included</w:t>
      </w:r>
      <w:r w:rsidR="0056755D">
        <w:t xml:space="preserve"> </w:t>
      </w:r>
      <w:r>
        <w:t>a Business Case for</w:t>
      </w:r>
      <w:r w:rsidR="00B8122A">
        <w:t xml:space="preserve"> the Scottish National Advanced Heart Failure Service</w:t>
      </w:r>
      <w:r>
        <w:t>, approval of the CfSD Assurance Statement and approval of the Annual Redress Report 2022/23</w:t>
      </w:r>
      <w:r w:rsidR="00B8122A">
        <w:t xml:space="preserve">. </w:t>
      </w:r>
    </w:p>
    <w:p w:rsidR="00215FBB" w:rsidRDefault="00215FBB" w:rsidP="00C96E92">
      <w:pPr>
        <w:spacing w:line="276" w:lineRule="auto"/>
        <w:ind w:left="720"/>
      </w:pPr>
    </w:p>
    <w:p w:rsidR="002D28B4" w:rsidRDefault="00BF0CBD" w:rsidP="00C96E92">
      <w:pPr>
        <w:spacing w:line="276" w:lineRule="auto"/>
        <w:ind w:left="720"/>
      </w:pPr>
      <w:r>
        <w:t>Th</w:t>
      </w:r>
      <w:r w:rsidR="00B8122A">
        <w:t xml:space="preserve">e Board </w:t>
      </w:r>
      <w:r w:rsidR="00E46CD6">
        <w:t>were delighted that</w:t>
      </w:r>
      <w:r>
        <w:t xml:space="preserve"> 1</w:t>
      </w:r>
      <w:r w:rsidR="00E46CD6">
        <w:t>0</w:t>
      </w:r>
      <w:r>
        <w:t xml:space="preserve"> volunteer</w:t>
      </w:r>
      <w:r w:rsidR="00E46CD6">
        <w:t xml:space="preserve">s were able to </w:t>
      </w:r>
      <w:r>
        <w:t>join them for</w:t>
      </w:r>
      <w:r w:rsidR="002D28B4">
        <w:t xml:space="preserve"> </w:t>
      </w:r>
      <w:r w:rsidR="00E46CD6">
        <w:t>lu</w:t>
      </w:r>
      <w:r w:rsidR="004C3A6F">
        <w:t>nch</w:t>
      </w:r>
      <w:r>
        <w:t xml:space="preserve"> </w:t>
      </w:r>
      <w:r w:rsidR="00E46CD6">
        <w:t xml:space="preserve">in recognition of all the </w:t>
      </w:r>
      <w:r w:rsidR="00736182">
        <w:t>voluntary</w:t>
      </w:r>
      <w:r w:rsidR="00E46CD6">
        <w:t xml:space="preserve"> work they </w:t>
      </w:r>
      <w:r w:rsidR="00736182">
        <w:t>provided in and around the Hospital.</w:t>
      </w:r>
    </w:p>
    <w:p w:rsidR="00B8122A" w:rsidRDefault="00B8122A" w:rsidP="00C96E92">
      <w:pPr>
        <w:spacing w:line="276" w:lineRule="auto"/>
        <w:ind w:left="720"/>
      </w:pPr>
    </w:p>
    <w:p w:rsidR="0079685E" w:rsidRDefault="00C96E92" w:rsidP="00C96E92">
      <w:pPr>
        <w:spacing w:line="276" w:lineRule="auto"/>
        <w:ind w:left="720"/>
        <w:rPr>
          <w:b/>
        </w:rPr>
      </w:pPr>
      <w:r>
        <w:rPr>
          <w:b/>
        </w:rPr>
        <w:t>2</w:t>
      </w:r>
      <w:r w:rsidR="001C0974">
        <w:rPr>
          <w:b/>
        </w:rPr>
        <w:t>.0</w:t>
      </w:r>
      <w:r w:rsidR="008859A8">
        <w:rPr>
          <w:b/>
        </w:rPr>
        <w:tab/>
      </w:r>
      <w:r w:rsidR="00C13F1B">
        <w:rPr>
          <w:b/>
        </w:rPr>
        <w:t>Non-Executive</w:t>
      </w:r>
      <w:r w:rsidR="00631726">
        <w:rPr>
          <w:b/>
        </w:rPr>
        <w:t xml:space="preserve"> Directors</w:t>
      </w:r>
    </w:p>
    <w:p w:rsidR="00D52F96" w:rsidRDefault="00D52F96" w:rsidP="00C96E92">
      <w:pPr>
        <w:spacing w:line="276" w:lineRule="auto"/>
        <w:ind w:left="720"/>
      </w:pPr>
    </w:p>
    <w:p w:rsidR="00256109" w:rsidRDefault="00256109" w:rsidP="00C96E92">
      <w:pPr>
        <w:spacing w:line="276" w:lineRule="auto"/>
        <w:ind w:left="720"/>
      </w:pPr>
      <w:r>
        <w:t xml:space="preserve">The Board Chair attended the Board Chairs Group in </w:t>
      </w:r>
      <w:r w:rsidR="005C2BE9">
        <w:t>October</w:t>
      </w:r>
      <w:r w:rsidR="00E46CD6">
        <w:t xml:space="preserve">, </w:t>
      </w:r>
      <w:r w:rsidR="005C2BE9">
        <w:t>November</w:t>
      </w:r>
      <w:r w:rsidR="00E46CD6">
        <w:t xml:space="preserve"> and December.</w:t>
      </w:r>
    </w:p>
    <w:p w:rsidR="005C2BE9" w:rsidRDefault="005C2BE9" w:rsidP="00C96E92">
      <w:pPr>
        <w:spacing w:line="276" w:lineRule="auto"/>
        <w:ind w:left="720"/>
      </w:pPr>
    </w:p>
    <w:p w:rsidR="00982B81" w:rsidRDefault="00C9008D" w:rsidP="003C5DEF">
      <w:pPr>
        <w:ind w:left="720"/>
      </w:pPr>
      <w:r>
        <w:t>The Board Chair joined the Chief Executive and colleagues</w:t>
      </w:r>
      <w:r w:rsidR="008B1B1F">
        <w:t xml:space="preserve"> </w:t>
      </w:r>
      <w:r w:rsidR="005C2BE9">
        <w:t xml:space="preserve">at a CME Day on 15 </w:t>
      </w:r>
      <w:r w:rsidR="00E46CD6">
        <w:t>November</w:t>
      </w:r>
      <w:r w:rsidR="00696201">
        <w:t xml:space="preserve"> 2023.  On 1 December the Chair, along with the Chief Executive,</w:t>
      </w:r>
      <w:r w:rsidR="00203B06">
        <w:t xml:space="preserve"> </w:t>
      </w:r>
      <w:r w:rsidR="005C2BE9">
        <w:t>met with</w:t>
      </w:r>
      <w:r w:rsidR="00696201">
        <w:t xml:space="preserve"> the new Clinical Director for Cardiac that included a visit of the Cardiac Department.  In the same afternoon, both met with </w:t>
      </w:r>
      <w:r w:rsidR="005C2BE9">
        <w:t xml:space="preserve">Martin Docherty-Hughes MP and Marie McNair </w:t>
      </w:r>
      <w:r w:rsidR="00203B06">
        <w:t>MSP</w:t>
      </w:r>
      <w:r w:rsidR="00696201">
        <w:t>.</w:t>
      </w:r>
    </w:p>
    <w:p w:rsidR="001E4436" w:rsidRDefault="001E4436" w:rsidP="00C96E92">
      <w:pPr>
        <w:spacing w:line="276" w:lineRule="auto"/>
        <w:ind w:left="720"/>
      </w:pPr>
    </w:p>
    <w:p w:rsidR="00696201" w:rsidRDefault="00F42301" w:rsidP="00215FBB">
      <w:pPr>
        <w:ind w:left="720"/>
      </w:pPr>
      <w:r>
        <w:t>The Board Chair held four appraisal meetings during this quarter and met</w:t>
      </w:r>
      <w:r w:rsidR="00215FBB">
        <w:t xml:space="preserve"> with a range of Non-Executives</w:t>
      </w:r>
      <w:r w:rsidR="00203B06">
        <w:t xml:space="preserve"> and Executives over the period</w:t>
      </w:r>
      <w:r w:rsidR="00696201">
        <w:t xml:space="preserve">. </w:t>
      </w:r>
      <w:r>
        <w:t xml:space="preserve"> </w:t>
      </w:r>
      <w:r w:rsidR="00696201">
        <w:t xml:space="preserve"> </w:t>
      </w:r>
    </w:p>
    <w:p w:rsidR="00696201" w:rsidRDefault="00696201" w:rsidP="00215FBB">
      <w:pPr>
        <w:ind w:left="720"/>
      </w:pPr>
    </w:p>
    <w:p w:rsidR="00C34769" w:rsidRPr="00215FBB" w:rsidRDefault="00696201" w:rsidP="00C34769">
      <w:pPr>
        <w:spacing w:line="276" w:lineRule="auto"/>
        <w:ind w:left="720"/>
      </w:pPr>
      <w:r>
        <w:t>The Chair, along with the Public Appointments Team, held interviews for two new Non-Executive Directors to recruit to a skills gap for capital and a new Chair for the Audit and Risk Committee.</w:t>
      </w:r>
      <w:r w:rsidR="00C34769">
        <w:t xml:space="preserve">  The Chair w</w:t>
      </w:r>
      <w:r w:rsidR="00C34769" w:rsidRPr="00C34769">
        <w:t>as delighted that Rebecca Maxwell and Lindsay Macdonald were successful in being appointed and that they would take up post in January 2024.</w:t>
      </w:r>
    </w:p>
    <w:p w:rsidR="00215FBB" w:rsidRDefault="00215FBB" w:rsidP="00215FBB">
      <w:pPr>
        <w:ind w:left="720"/>
      </w:pPr>
    </w:p>
    <w:p w:rsidR="00F42301" w:rsidRDefault="00F42301" w:rsidP="00F42301">
      <w:pPr>
        <w:ind w:left="720"/>
        <w:rPr>
          <w:rFonts w:cs="Arial"/>
          <w:szCs w:val="24"/>
        </w:rPr>
      </w:pPr>
      <w:r>
        <w:rPr>
          <w:rFonts w:cs="Arial"/>
          <w:szCs w:val="24"/>
        </w:rPr>
        <w:t>The Board Development Team ran two sessions as part of the overall induction for new Non-Executive Board Members on Orientation, Policy and Governance and Quality, Culture and Values.</w:t>
      </w:r>
    </w:p>
    <w:p w:rsidR="00F42301" w:rsidRDefault="00F42301" w:rsidP="00F42301">
      <w:pPr>
        <w:ind w:left="720"/>
        <w:rPr>
          <w:rFonts w:cs="Arial"/>
          <w:szCs w:val="24"/>
        </w:rPr>
      </w:pPr>
    </w:p>
    <w:p w:rsidR="00736182" w:rsidRPr="00B00970" w:rsidRDefault="00C13F1B" w:rsidP="00736182">
      <w:pPr>
        <w:spacing w:line="256" w:lineRule="auto"/>
        <w:ind w:left="720"/>
      </w:pPr>
      <w:r w:rsidRPr="00B00970">
        <w:t xml:space="preserve">The Chair of Staff Governance Person Centred Committee </w:t>
      </w:r>
      <w:r w:rsidR="0043507A" w:rsidRPr="00B00970">
        <w:t xml:space="preserve">welcomed </w:t>
      </w:r>
      <w:r w:rsidR="00736182" w:rsidRPr="00B00970">
        <w:t xml:space="preserve">a Mid-Year Report on Health and Wellbeing, a Staff Turnover update and the draft Succession Planning Framework.  The Chair also acknowledged the outstanding Golden Jubilee team effort on the work undertaken to recruit staff in general and in preparation for the opening of the </w:t>
      </w:r>
      <w:r w:rsidR="00736182" w:rsidRPr="00B00970">
        <w:lastRenderedPageBreak/>
        <w:t xml:space="preserve">hospital expansion across multidisciplinary teams ensuring continued safe staffing levels. The Chair commended the work by Mark MacGregor and John Luck on the improvement processes for Medical Appraisals.  </w:t>
      </w:r>
    </w:p>
    <w:p w:rsidR="00736182" w:rsidRPr="00B00970" w:rsidRDefault="00736182" w:rsidP="00C96E92">
      <w:pPr>
        <w:spacing w:line="276" w:lineRule="auto"/>
        <w:ind w:left="720"/>
      </w:pPr>
    </w:p>
    <w:p w:rsidR="00045131" w:rsidRPr="00B00970" w:rsidRDefault="002F62FC" w:rsidP="00C96E92">
      <w:pPr>
        <w:spacing w:line="276" w:lineRule="auto"/>
        <w:ind w:left="720"/>
      </w:pPr>
      <w:r w:rsidRPr="00B00970">
        <w:t xml:space="preserve">The Chair of Finance and Performance Committee </w:t>
      </w:r>
      <w:r w:rsidR="00B00970" w:rsidRPr="00B00970">
        <w:t>welcomed</w:t>
      </w:r>
      <w:r w:rsidR="00736182" w:rsidRPr="00B00970">
        <w:t xml:space="preserve"> the continuous forecast to breakeven at the end of the financial year</w:t>
      </w:r>
      <w:r w:rsidR="00B00970" w:rsidRPr="00B00970">
        <w:t xml:space="preserve"> and received reports on Phase 2, Research </w:t>
      </w:r>
      <w:r w:rsidR="00D52F96" w:rsidRPr="00B00970">
        <w:t>Institute</w:t>
      </w:r>
      <w:r w:rsidR="00B00970" w:rsidRPr="00B00970">
        <w:t xml:space="preserve"> and Climate Emergency and Sustainable Development.  On the sustainable developments the Chair welcomed was in reduction of the requirement to sterilise battery packs in Orthopaedic joint surgery.</w:t>
      </w:r>
    </w:p>
    <w:p w:rsidR="00AF700B" w:rsidRPr="00696201" w:rsidRDefault="00AF700B" w:rsidP="00C96E92">
      <w:pPr>
        <w:spacing w:line="276" w:lineRule="auto"/>
        <w:ind w:left="720"/>
        <w:rPr>
          <w:i/>
          <w:highlight w:val="yellow"/>
        </w:rPr>
      </w:pPr>
    </w:p>
    <w:p w:rsidR="00045131" w:rsidRPr="00B00970" w:rsidRDefault="00045131" w:rsidP="00C96E92">
      <w:pPr>
        <w:spacing w:line="276" w:lineRule="auto"/>
        <w:ind w:left="720"/>
      </w:pPr>
      <w:r w:rsidRPr="00B00970">
        <w:t xml:space="preserve">The Chair of Strategic Portfolio Governance Committee commended the work on all the workstreams that </w:t>
      </w:r>
      <w:r w:rsidR="00945CA9" w:rsidRPr="00B00970">
        <w:t xml:space="preserve">had been </w:t>
      </w:r>
      <w:r w:rsidRPr="00B00970">
        <w:t>presented to th</w:t>
      </w:r>
      <w:r w:rsidR="008859A8" w:rsidRPr="00B00970">
        <w:t>e</w:t>
      </w:r>
      <w:r w:rsidRPr="00B00970">
        <w:t xml:space="preserve"> Committee</w:t>
      </w:r>
      <w:r w:rsidR="00B00970" w:rsidRPr="00B00970">
        <w:t>, especially in relation to the Draft Anchor Strategic Plan and the significant amount of work that had been undertaken to date</w:t>
      </w:r>
      <w:r w:rsidRPr="00B00970">
        <w:t>.</w:t>
      </w:r>
    </w:p>
    <w:p w:rsidR="00045131" w:rsidRPr="00696201" w:rsidRDefault="00045131" w:rsidP="00C96E92">
      <w:pPr>
        <w:spacing w:line="276" w:lineRule="auto"/>
        <w:ind w:left="720"/>
        <w:rPr>
          <w:highlight w:val="yellow"/>
        </w:rPr>
      </w:pPr>
    </w:p>
    <w:p w:rsidR="00B00970" w:rsidRDefault="00045131" w:rsidP="00807A12">
      <w:pPr>
        <w:ind w:left="720"/>
      </w:pPr>
      <w:r w:rsidRPr="00B00970">
        <w:t xml:space="preserve">The Chair of Clinical Governance Committee </w:t>
      </w:r>
      <w:r w:rsidR="00A27231" w:rsidRPr="00B00970">
        <w:t xml:space="preserve">noted the </w:t>
      </w:r>
      <w:r w:rsidR="00B00970" w:rsidRPr="00B00970">
        <w:t>continued</w:t>
      </w:r>
      <w:r w:rsidR="00A27231" w:rsidRPr="00B00970">
        <w:t xml:space="preserve"> focused work to resolve Significant Adverse Events and recognised the </w:t>
      </w:r>
      <w:r w:rsidR="00B00970" w:rsidRPr="00B00970">
        <w:t>progress achieved to date</w:t>
      </w:r>
      <w:r w:rsidR="00B00970">
        <w:t xml:space="preserve"> with</w:t>
      </w:r>
      <w:r w:rsidR="00B00970" w:rsidRPr="00B00970">
        <w:t xml:space="preserve"> staff commitment at a time of limited resources</w:t>
      </w:r>
      <w:r w:rsidR="00B00970">
        <w:t>.  The Chair welcomed the understanding of a patient’s journey that highlighted the challenges presented when receiving surgery away from home and the wonderful support that NHS GJ staff had in supporting a positive and successful</w:t>
      </w:r>
      <w:r w:rsidR="00C34769">
        <w:t xml:space="preserve"> outcome</w:t>
      </w:r>
      <w:r w:rsidR="00B00970">
        <w:t xml:space="preserve">.  </w:t>
      </w:r>
    </w:p>
    <w:p w:rsidR="00C34769" w:rsidRDefault="00C34769" w:rsidP="00B00970">
      <w:pPr>
        <w:pStyle w:val="ListParagraph"/>
        <w:rPr>
          <w:rFonts w:ascii="Arial" w:hAnsi="Arial" w:cs="Arial"/>
          <w:sz w:val="24"/>
          <w:szCs w:val="24"/>
        </w:rPr>
      </w:pPr>
    </w:p>
    <w:p w:rsidR="00C34769" w:rsidRDefault="00C34769" w:rsidP="00807A12">
      <w:pPr>
        <w:ind w:left="720"/>
      </w:pPr>
      <w:r>
        <w:t>The Chair of Audit and Risk Committee received various Audit Progress reports and commended the progress on all actions and looked forward to receiving further progress reports at future meetings.</w:t>
      </w:r>
    </w:p>
    <w:p w:rsidR="006F31BD" w:rsidRDefault="006F31BD" w:rsidP="00807A12">
      <w:pPr>
        <w:ind w:left="720"/>
      </w:pPr>
    </w:p>
    <w:p w:rsidR="006F31BD" w:rsidRDefault="006F31BD" w:rsidP="00807A12">
      <w:pPr>
        <w:ind w:left="720"/>
      </w:pPr>
      <w:r>
        <w:t>The Expansion Programme Board (EPB) took a decision to move the meetings to monthly given the proximity to opening.  EPB has continued to meet monthly to provide security and assurance of the project under the leadership of the Board Chair, Chief Executive, Non Executives and Executive Directors.  Focus of the meetings has been on transition planning and ongoing commissioning works relating to water.</w:t>
      </w:r>
    </w:p>
    <w:p w:rsidR="006F31BD" w:rsidRDefault="006F31BD" w:rsidP="00807A12">
      <w:pPr>
        <w:ind w:left="720"/>
      </w:pPr>
    </w:p>
    <w:p w:rsidR="006F31BD" w:rsidRDefault="006F31BD" w:rsidP="00807A12">
      <w:pPr>
        <w:ind w:left="720"/>
      </w:pPr>
      <w:r>
        <w:t>The Endowment Sub Committee and Board of Trustees met during the month of October 2023.  Matters considered were a review of the programmes that related to both the general and innovation funds, the future investment strategy for the funds, the appointment of audits and the Charity Risk Register.</w:t>
      </w:r>
    </w:p>
    <w:p w:rsidR="006F31BD" w:rsidRDefault="006F31BD" w:rsidP="00807A12">
      <w:pPr>
        <w:ind w:left="720"/>
      </w:pPr>
    </w:p>
    <w:p w:rsidR="00B00970" w:rsidRPr="00B00970" w:rsidRDefault="00B00970" w:rsidP="00B00970">
      <w:pPr>
        <w:pStyle w:val="ListParagraph"/>
        <w:rPr>
          <w:rFonts w:ascii="Arial" w:hAnsi="Arial" w:cs="Arial"/>
          <w:sz w:val="24"/>
          <w:szCs w:val="24"/>
        </w:rPr>
      </w:pPr>
    </w:p>
    <w:p w:rsidR="001C0974" w:rsidRDefault="00C96E92" w:rsidP="00C96E92">
      <w:pPr>
        <w:spacing w:line="276" w:lineRule="auto"/>
        <w:ind w:left="720"/>
        <w:rPr>
          <w:b/>
        </w:rPr>
      </w:pPr>
      <w:r>
        <w:rPr>
          <w:b/>
        </w:rPr>
        <w:t>3</w:t>
      </w:r>
      <w:r w:rsidR="008859A8">
        <w:rPr>
          <w:b/>
        </w:rPr>
        <w:t>.0</w:t>
      </w:r>
      <w:r w:rsidR="008859A8">
        <w:rPr>
          <w:b/>
        </w:rPr>
        <w:tab/>
      </w:r>
      <w:r w:rsidR="001C0974">
        <w:rPr>
          <w:b/>
        </w:rPr>
        <w:t>Board Development</w:t>
      </w:r>
    </w:p>
    <w:p w:rsidR="00D52F96" w:rsidRDefault="00D52F96" w:rsidP="00807A12">
      <w:pPr>
        <w:ind w:left="720"/>
      </w:pPr>
    </w:p>
    <w:p w:rsidR="001C0974" w:rsidRPr="00C34769" w:rsidRDefault="001C0974" w:rsidP="00807A12">
      <w:pPr>
        <w:ind w:left="720"/>
      </w:pPr>
      <w:r w:rsidRPr="00C34769">
        <w:t xml:space="preserve">Board </w:t>
      </w:r>
      <w:r w:rsidR="00C34769" w:rsidRPr="00C34769">
        <w:t>d</w:t>
      </w:r>
      <w:r w:rsidRPr="00C34769">
        <w:t>evelopment is a key</w:t>
      </w:r>
      <w:r w:rsidR="00B62D15" w:rsidRPr="00C34769">
        <w:t xml:space="preserve"> priority and to support this</w:t>
      </w:r>
      <w:r w:rsidRPr="00C34769">
        <w:t xml:space="preserve"> </w:t>
      </w:r>
      <w:r w:rsidR="00B62D15" w:rsidRPr="00C34769">
        <w:t xml:space="preserve">a </w:t>
      </w:r>
      <w:r w:rsidRPr="00C34769">
        <w:t>Board Seminar took place</w:t>
      </w:r>
      <w:r w:rsidR="00B62D15" w:rsidRPr="00C34769">
        <w:t xml:space="preserve"> </w:t>
      </w:r>
      <w:r w:rsidR="00C34769" w:rsidRPr="00C34769">
        <w:t>on 26</w:t>
      </w:r>
      <w:r w:rsidR="00B62D15" w:rsidRPr="00C34769">
        <w:t xml:space="preserve"> October</w:t>
      </w:r>
      <w:r w:rsidR="00C34769" w:rsidRPr="00C34769">
        <w:t xml:space="preserve"> 2023</w:t>
      </w:r>
      <w:r w:rsidRPr="00C34769">
        <w:t>.  Th</w:t>
      </w:r>
      <w:r w:rsidR="00C34769" w:rsidRPr="00C34769">
        <w:t>is</w:t>
      </w:r>
      <w:r w:rsidRPr="00C34769">
        <w:t xml:space="preserve"> interactive session focus</w:t>
      </w:r>
      <w:r w:rsidR="00C34769" w:rsidRPr="00C34769">
        <w:t>sed</w:t>
      </w:r>
      <w:r w:rsidRPr="00C34769">
        <w:t xml:space="preserve"> on developing ele</w:t>
      </w:r>
      <w:r w:rsidR="00C34769" w:rsidRPr="00C34769">
        <w:t xml:space="preserve">ments of the Board Strategy and received an update on iMatter.  The Seminar also welcomed the Independent National Whistleblowing Officer, Rosemary Agnew and Head of Investigations, Elaine Cameron, to the session to reflect on any emerging Whistleblowing concerns and trends. </w:t>
      </w:r>
      <w:r w:rsidRPr="00C34769">
        <w:t xml:space="preserve"> </w:t>
      </w:r>
    </w:p>
    <w:p w:rsidR="00696201" w:rsidRPr="00C34769" w:rsidRDefault="00696201" w:rsidP="00807A12"/>
    <w:p w:rsidR="00696201" w:rsidRPr="00C34769" w:rsidRDefault="00696201" w:rsidP="00807A12">
      <w:pPr>
        <w:ind w:left="720"/>
      </w:pPr>
      <w:r w:rsidRPr="00C34769">
        <w:t>The Board welcomed nursing colleagues to a virtual walkround session on the Nursing Contribution to the Patient Pathway.</w:t>
      </w:r>
    </w:p>
    <w:p w:rsidR="001C0974" w:rsidRPr="00C34769" w:rsidRDefault="001C0974" w:rsidP="00807A12">
      <w:pPr>
        <w:rPr>
          <w:b/>
        </w:rPr>
      </w:pPr>
    </w:p>
    <w:p w:rsidR="00B62D15" w:rsidRDefault="00C34769" w:rsidP="00807A12">
      <w:pPr>
        <w:ind w:left="720"/>
      </w:pPr>
      <w:r>
        <w:lastRenderedPageBreak/>
        <w:t>Non-Executive Director</w:t>
      </w:r>
      <w:r w:rsidR="006F31BD">
        <w:t xml:space="preserve"> development</w:t>
      </w:r>
      <w:r w:rsidRPr="00C34769">
        <w:t xml:space="preserve"> is continually embedded throughout the Board calendar.  </w:t>
      </w:r>
    </w:p>
    <w:p w:rsidR="00C34769" w:rsidRDefault="00C34769" w:rsidP="00C96E92">
      <w:pPr>
        <w:spacing w:line="276" w:lineRule="auto"/>
        <w:ind w:left="720"/>
      </w:pPr>
    </w:p>
    <w:p w:rsidR="00E353DE" w:rsidRDefault="00C96E92" w:rsidP="00C96E92">
      <w:pPr>
        <w:spacing w:line="276" w:lineRule="auto"/>
        <w:ind w:left="720"/>
        <w:rPr>
          <w:b/>
        </w:rPr>
      </w:pPr>
      <w:r>
        <w:rPr>
          <w:b/>
        </w:rPr>
        <w:t>4</w:t>
      </w:r>
      <w:r w:rsidR="008859A8">
        <w:rPr>
          <w:b/>
        </w:rPr>
        <w:t>.0</w:t>
      </w:r>
      <w:r w:rsidR="008859A8">
        <w:rPr>
          <w:b/>
        </w:rPr>
        <w:tab/>
      </w:r>
      <w:r w:rsidR="00E353DE">
        <w:rPr>
          <w:b/>
        </w:rPr>
        <w:t>Executive Directors</w:t>
      </w:r>
    </w:p>
    <w:p w:rsidR="00215FBB" w:rsidRDefault="00215FBB" w:rsidP="00C96E92">
      <w:pPr>
        <w:spacing w:line="276" w:lineRule="auto"/>
        <w:ind w:left="720"/>
      </w:pPr>
    </w:p>
    <w:p w:rsidR="00807A12" w:rsidRDefault="00215FBB" w:rsidP="00807A12">
      <w:pPr>
        <w:spacing w:line="276" w:lineRule="auto"/>
        <w:ind w:left="720"/>
      </w:pPr>
      <w:r w:rsidRPr="00807A12">
        <w:t xml:space="preserve">The Board welcomed </w:t>
      </w:r>
      <w:r w:rsidR="00B62D15" w:rsidRPr="00807A12">
        <w:t xml:space="preserve">the news that Laura Smith had been </w:t>
      </w:r>
      <w:r w:rsidR="00807A12" w:rsidRPr="00807A12">
        <w:t xml:space="preserve">successfully </w:t>
      </w:r>
      <w:r w:rsidR="00B62D15" w:rsidRPr="00807A12">
        <w:t>appointed as</w:t>
      </w:r>
      <w:r w:rsidR="00807A12" w:rsidRPr="00807A12">
        <w:t xml:space="preserve"> the new</w:t>
      </w:r>
      <w:r w:rsidR="00B62D15" w:rsidRPr="00807A12">
        <w:t xml:space="preserve"> Director of People and Culture and wou</w:t>
      </w:r>
      <w:r w:rsidR="00807A12" w:rsidRPr="00807A12">
        <w:t>ld take up post in January 2024.</w:t>
      </w:r>
    </w:p>
    <w:p w:rsidR="006F31BD" w:rsidRDefault="006F31BD" w:rsidP="00807A12">
      <w:pPr>
        <w:spacing w:line="276" w:lineRule="auto"/>
        <w:ind w:left="720"/>
      </w:pPr>
    </w:p>
    <w:p w:rsidR="006F31BD" w:rsidRDefault="006F31BD" w:rsidP="006F31BD">
      <w:pPr>
        <w:ind w:left="720"/>
        <w:rPr>
          <w:spacing w:val="0"/>
        </w:rPr>
      </w:pPr>
      <w:r>
        <w:t>The Remuneration Committee met in November and considered the mid-year reviews for the Executive Directors</w:t>
      </w:r>
      <w:r>
        <w:t xml:space="preserve"> which link to the good governance element within the Blueprint.</w:t>
      </w:r>
    </w:p>
    <w:p w:rsidR="006F31BD" w:rsidRPr="00807A12" w:rsidRDefault="006F31BD" w:rsidP="00807A12">
      <w:pPr>
        <w:spacing w:line="276" w:lineRule="auto"/>
        <w:ind w:left="720"/>
      </w:pPr>
    </w:p>
    <w:p w:rsidR="001C0974" w:rsidRDefault="00C96E92" w:rsidP="00C96E92">
      <w:pPr>
        <w:spacing w:line="276" w:lineRule="auto"/>
        <w:ind w:left="720"/>
        <w:rPr>
          <w:b/>
        </w:rPr>
      </w:pPr>
      <w:r>
        <w:rPr>
          <w:b/>
        </w:rPr>
        <w:t>5</w:t>
      </w:r>
      <w:r w:rsidR="008859A8">
        <w:rPr>
          <w:b/>
        </w:rPr>
        <w:t>.0</w:t>
      </w:r>
      <w:r w:rsidR="008859A8">
        <w:rPr>
          <w:b/>
        </w:rPr>
        <w:tab/>
      </w:r>
      <w:r w:rsidR="001C0974">
        <w:rPr>
          <w:b/>
        </w:rPr>
        <w:t xml:space="preserve">Corporate Administration </w:t>
      </w:r>
      <w:bookmarkStart w:id="0" w:name="_GoBack"/>
      <w:bookmarkEnd w:id="0"/>
    </w:p>
    <w:p w:rsidR="00D52F96" w:rsidRDefault="00D52F96" w:rsidP="00C96E92">
      <w:pPr>
        <w:spacing w:line="276" w:lineRule="auto"/>
        <w:ind w:left="720"/>
        <w:rPr>
          <w:b/>
        </w:rPr>
      </w:pPr>
    </w:p>
    <w:p w:rsidR="00045131" w:rsidRDefault="008E0D64" w:rsidP="00C96E92">
      <w:pPr>
        <w:spacing w:line="276" w:lineRule="auto"/>
        <w:ind w:left="720"/>
      </w:pPr>
      <w:r w:rsidRPr="00807A12">
        <w:t>The Board approved</w:t>
      </w:r>
      <w:r w:rsidR="00B62D15" w:rsidRPr="00807A12">
        <w:t xml:space="preserve"> t</w:t>
      </w:r>
      <w:r w:rsidRPr="00807A12">
        <w:t xml:space="preserve">he </w:t>
      </w:r>
      <w:r w:rsidR="00807A12" w:rsidRPr="00807A12">
        <w:t xml:space="preserve">Corporate Governance </w:t>
      </w:r>
      <w:r w:rsidRPr="00807A12">
        <w:t>meeting s</w:t>
      </w:r>
      <w:r w:rsidR="00C26551" w:rsidRPr="00807A12">
        <w:t>chedule for 2024</w:t>
      </w:r>
      <w:r w:rsidR="001A2D24" w:rsidRPr="00807A12">
        <w:t>/</w:t>
      </w:r>
      <w:r w:rsidR="00C26551" w:rsidRPr="00807A12">
        <w:t>2025</w:t>
      </w:r>
      <w:r w:rsidR="00807A12" w:rsidRPr="00807A12">
        <w:t xml:space="preserve"> on 14 December 2023</w:t>
      </w:r>
      <w:r w:rsidR="00C26551" w:rsidRPr="00807A12">
        <w:t>.</w:t>
      </w:r>
    </w:p>
    <w:p w:rsidR="006F31BD" w:rsidRDefault="006F31BD" w:rsidP="00C96E92">
      <w:pPr>
        <w:spacing w:line="276" w:lineRule="auto"/>
        <w:ind w:left="720"/>
      </w:pPr>
    </w:p>
    <w:p w:rsidR="00C96E92" w:rsidRPr="003310DC" w:rsidRDefault="00C96E92" w:rsidP="00C96E92">
      <w:pPr>
        <w:spacing w:line="276" w:lineRule="auto"/>
        <w:ind w:left="720"/>
        <w:rPr>
          <w:b/>
        </w:rPr>
      </w:pPr>
      <w:r>
        <w:rPr>
          <w:b/>
        </w:rPr>
        <w:t>6</w:t>
      </w:r>
      <w:r w:rsidR="00A13CC8">
        <w:rPr>
          <w:b/>
        </w:rPr>
        <w:t>.0</w:t>
      </w:r>
      <w:r w:rsidR="00A13CC8">
        <w:rPr>
          <w:b/>
        </w:rPr>
        <w:tab/>
      </w:r>
      <w:r>
        <w:rPr>
          <w:b/>
        </w:rPr>
        <w:t>Blueprint for Good Governance – Second Edition</w:t>
      </w:r>
    </w:p>
    <w:p w:rsidR="00D52F96" w:rsidRDefault="00D52F96" w:rsidP="00D52F96">
      <w:pPr>
        <w:ind w:left="720"/>
      </w:pPr>
    </w:p>
    <w:p w:rsidR="00311235" w:rsidRPr="00D52F96" w:rsidRDefault="00311235" w:rsidP="00D52F96">
      <w:pPr>
        <w:ind w:left="720"/>
      </w:pPr>
      <w:r w:rsidRPr="00D52F96">
        <w:t>The Blueprint for Good Governance – Second Edition (“the Blueprint”) sets an expectation that each Board’s governance arrangements will be subject to a systematic evaluation annually via a self-assessment exercise and once every three years by som</w:t>
      </w:r>
      <w:r w:rsidR="00807A12" w:rsidRPr="00D52F96">
        <w:t xml:space="preserve">eone external to the Board. </w:t>
      </w:r>
    </w:p>
    <w:p w:rsidR="00C96E92" w:rsidRPr="00D52F96" w:rsidRDefault="00C96E92" w:rsidP="00C96E92">
      <w:pPr>
        <w:spacing w:line="276" w:lineRule="auto"/>
        <w:ind w:left="720"/>
      </w:pPr>
    </w:p>
    <w:p w:rsidR="00807A12" w:rsidRPr="00C34769" w:rsidRDefault="005A0E7D" w:rsidP="00807A12">
      <w:pPr>
        <w:ind w:left="720"/>
      </w:pPr>
      <w:r w:rsidRPr="00D52F96">
        <w:t>The Blueprint for Good Governan</w:t>
      </w:r>
      <w:r w:rsidR="00807A12" w:rsidRPr="00D52F96">
        <w:t>ce Self-Assessment commenced during November</w:t>
      </w:r>
      <w:r w:rsidRPr="00D52F96">
        <w:t xml:space="preserve"> 202</w:t>
      </w:r>
      <w:r w:rsidR="00807A12" w:rsidRPr="00D52F96">
        <w:t xml:space="preserve">3 and closed on 8 December 2023.  </w:t>
      </w:r>
      <w:r w:rsidR="00D52F96" w:rsidRPr="00D52F96">
        <w:t>A</w:t>
      </w:r>
      <w:r w:rsidR="00807A12" w:rsidRPr="00D52F96">
        <w:t>n Extraordinary Board Seminar</w:t>
      </w:r>
      <w:r w:rsidR="00D52F96" w:rsidRPr="00D52F96">
        <w:t xml:space="preserve"> had been</w:t>
      </w:r>
      <w:r w:rsidR="00807A12" w:rsidRPr="00D52F96">
        <w:t xml:space="preserve"> set up for the 9 January</w:t>
      </w:r>
      <w:r w:rsidR="00D52F96" w:rsidRPr="00D52F96">
        <w:t xml:space="preserve"> 2024</w:t>
      </w:r>
      <w:r w:rsidR="00807A12" w:rsidRPr="00D52F96">
        <w:t xml:space="preserve"> to discuss the survey results</w:t>
      </w:r>
      <w:r w:rsidR="00D52F96" w:rsidRPr="00D52F96">
        <w:t xml:space="preserve"> and look at </w:t>
      </w:r>
      <w:r w:rsidR="00D52F96">
        <w:t xml:space="preserve">the </w:t>
      </w:r>
      <w:r w:rsidR="00D52F96" w:rsidRPr="00D52F96">
        <w:t>development of an Improvement Plan</w:t>
      </w:r>
      <w:r w:rsidR="00807A12" w:rsidRPr="00D52F96">
        <w:t>.</w:t>
      </w:r>
    </w:p>
    <w:p w:rsidR="005A0E7D" w:rsidRDefault="005A0E7D" w:rsidP="00C96E92">
      <w:pPr>
        <w:spacing w:line="276" w:lineRule="auto"/>
        <w:ind w:left="720"/>
      </w:pPr>
    </w:p>
    <w:p w:rsidR="00D52F96" w:rsidRPr="00045131" w:rsidRDefault="00D52F96" w:rsidP="00C96E92">
      <w:pPr>
        <w:spacing w:line="276" w:lineRule="auto"/>
        <w:ind w:left="720"/>
      </w:pPr>
    </w:p>
    <w:p w:rsidR="00F3337D" w:rsidRDefault="00C87B62" w:rsidP="00C96E92">
      <w:pPr>
        <w:pStyle w:val="Heading3"/>
        <w:spacing w:before="0" w:line="276" w:lineRule="auto"/>
      </w:pPr>
      <w:r>
        <w:t>2</w:t>
      </w:r>
      <w:r w:rsidR="00BF3AF0">
        <w:t>.3.1</w:t>
      </w:r>
      <w:r w:rsidR="00BF3AF0">
        <w:tab/>
      </w:r>
      <w:r w:rsidR="00F3337D">
        <w:t>Quality/ Patient Care</w:t>
      </w:r>
    </w:p>
    <w:p w:rsidR="00F3337D" w:rsidRDefault="003A7F53" w:rsidP="00C96E92">
      <w:pPr>
        <w:ind w:left="709"/>
        <w:rPr>
          <w:rFonts w:cs="Arial"/>
          <w:color w:val="000000"/>
          <w:szCs w:val="24"/>
        </w:rPr>
      </w:pPr>
      <w:r>
        <w:rPr>
          <w:rFonts w:cs="Arial"/>
          <w:color w:val="000000"/>
          <w:szCs w:val="24"/>
        </w:rPr>
        <w:t>To ensure that</w:t>
      </w:r>
      <w:r w:rsidR="00EC76CB">
        <w:rPr>
          <w:rFonts w:cs="Arial"/>
          <w:color w:val="000000"/>
          <w:szCs w:val="24"/>
        </w:rPr>
        <w:t xml:space="preserve"> good governance supports the effective delivery of quality, patient-centred services</w:t>
      </w:r>
      <w:r w:rsidR="00A40076">
        <w:rPr>
          <w:rFonts w:cs="Arial"/>
          <w:color w:val="000000"/>
          <w:szCs w:val="24"/>
        </w:rPr>
        <w:t>.</w:t>
      </w:r>
    </w:p>
    <w:p w:rsidR="00A40076" w:rsidRPr="00A40076" w:rsidRDefault="00A40076" w:rsidP="00C96E92">
      <w:pPr>
        <w:ind w:left="709"/>
        <w:rPr>
          <w:rFonts w:cs="Arial"/>
          <w:color w:val="000000"/>
          <w:szCs w:val="24"/>
        </w:rPr>
      </w:pPr>
    </w:p>
    <w:p w:rsidR="00AA77F7" w:rsidRDefault="00C87B62" w:rsidP="00C96E92">
      <w:pPr>
        <w:pStyle w:val="Heading3"/>
        <w:spacing w:before="0" w:line="276" w:lineRule="auto"/>
      </w:pPr>
      <w:r>
        <w:t>2</w:t>
      </w:r>
      <w:r w:rsidR="00BF3AF0">
        <w:t>.3.2</w:t>
      </w:r>
      <w:r w:rsidR="00BF3AF0">
        <w:tab/>
      </w:r>
      <w:r w:rsidR="00AA77F7">
        <w:t>Workforce</w:t>
      </w:r>
    </w:p>
    <w:p w:rsidR="00AA77F7" w:rsidRDefault="00A40076" w:rsidP="00C96E92">
      <w:pPr>
        <w:spacing w:line="276" w:lineRule="auto"/>
        <w:ind w:left="720"/>
        <w:rPr>
          <w:rFonts w:cs="Arial"/>
          <w:color w:val="000000"/>
          <w:szCs w:val="24"/>
        </w:rPr>
      </w:pPr>
      <w:r>
        <w:rPr>
          <w:rFonts w:cs="Arial"/>
          <w:color w:val="000000"/>
          <w:szCs w:val="24"/>
        </w:rPr>
        <w:t>There are no workforce implications</w:t>
      </w:r>
      <w:r w:rsidR="00E66152">
        <w:rPr>
          <w:rFonts w:cs="Arial"/>
          <w:color w:val="000000"/>
          <w:szCs w:val="24"/>
        </w:rPr>
        <w:t xml:space="preserve"> arising from this paper</w:t>
      </w:r>
      <w:r>
        <w:rPr>
          <w:rFonts w:cs="Arial"/>
          <w:color w:val="000000"/>
          <w:szCs w:val="24"/>
        </w:rPr>
        <w:t>.</w:t>
      </w:r>
    </w:p>
    <w:p w:rsidR="00F3337D" w:rsidRPr="00AA77F7" w:rsidRDefault="00F3337D" w:rsidP="00C96E92">
      <w:pPr>
        <w:rPr>
          <w:rFonts w:cs="Arial"/>
          <w:color w:val="000000"/>
          <w:szCs w:val="24"/>
        </w:rPr>
      </w:pPr>
    </w:p>
    <w:p w:rsidR="00F3337D" w:rsidRDefault="00C87B62" w:rsidP="00C96E92">
      <w:pPr>
        <w:pStyle w:val="Heading3"/>
        <w:spacing w:before="0" w:line="276" w:lineRule="auto"/>
      </w:pPr>
      <w:r>
        <w:t>2</w:t>
      </w:r>
      <w:r w:rsidR="00BF3AF0">
        <w:t>.3.3</w:t>
      </w:r>
      <w:r w:rsidR="00BF3AF0">
        <w:tab/>
      </w:r>
      <w:r w:rsidR="00F3337D">
        <w:t>Financial</w:t>
      </w:r>
    </w:p>
    <w:p w:rsidR="00E66152" w:rsidRPr="00022C05" w:rsidRDefault="00E66152" w:rsidP="00C96E92">
      <w:pPr>
        <w:pStyle w:val="ListParagraph"/>
        <w:spacing w:line="276" w:lineRule="auto"/>
        <w:ind w:firstLine="4"/>
        <w:rPr>
          <w:rFonts w:ascii="Arial" w:eastAsia="Times New Roman" w:hAnsi="Arial" w:cs="Arial"/>
          <w:color w:val="000000"/>
          <w:spacing w:val="-3"/>
          <w:sz w:val="24"/>
          <w:szCs w:val="24"/>
          <w:lang w:eastAsia="en-US"/>
        </w:rPr>
      </w:pPr>
      <w:r w:rsidRPr="00022C05">
        <w:rPr>
          <w:rFonts w:ascii="Arial" w:eastAsia="Times New Roman" w:hAnsi="Arial" w:cs="Arial"/>
          <w:color w:val="000000"/>
          <w:spacing w:val="-3"/>
          <w:sz w:val="24"/>
          <w:szCs w:val="24"/>
          <w:lang w:eastAsia="en-US"/>
        </w:rPr>
        <w:t>There are no financial implications arising from this paper.</w:t>
      </w:r>
    </w:p>
    <w:p w:rsidR="00DA409D" w:rsidRDefault="00DA409D" w:rsidP="00C96E92">
      <w:pPr>
        <w:pStyle w:val="ListParagraph"/>
        <w:spacing w:line="276" w:lineRule="auto"/>
        <w:ind w:left="394"/>
        <w:rPr>
          <w:rFonts w:ascii="Arial" w:hAnsi="Arial" w:cs="Arial"/>
          <w:color w:val="000000"/>
          <w:sz w:val="24"/>
          <w:szCs w:val="24"/>
        </w:rPr>
      </w:pPr>
    </w:p>
    <w:p w:rsidR="00F3337D" w:rsidRDefault="00C87B62" w:rsidP="00C96E92">
      <w:pPr>
        <w:pStyle w:val="Heading3"/>
        <w:spacing w:before="0" w:line="276" w:lineRule="auto"/>
      </w:pPr>
      <w:r>
        <w:t>2</w:t>
      </w:r>
      <w:r w:rsidR="00BF3AF0">
        <w:t>.3.4</w:t>
      </w:r>
      <w:r w:rsidR="00BF3AF0">
        <w:tab/>
      </w:r>
      <w:r w:rsidR="00F3337D">
        <w:t>Risk Assessment</w:t>
      </w:r>
      <w:r w:rsidR="00BF3AF0">
        <w:t>/</w:t>
      </w:r>
      <w:r w:rsidR="00F3337D">
        <w:t>Management</w:t>
      </w:r>
    </w:p>
    <w:p w:rsidR="00DA409D" w:rsidRPr="00A13CC8" w:rsidRDefault="0072170F" w:rsidP="00C96E92">
      <w:pPr>
        <w:spacing w:line="276" w:lineRule="auto"/>
        <w:ind w:left="709"/>
        <w:jc w:val="both"/>
      </w:pPr>
      <w:r w:rsidRPr="00A13CC8">
        <w:t xml:space="preserve">Reviewing and aligning practice (where appropriate) to the revised Blueprint will provide further assurance that NHS </w:t>
      </w:r>
      <w:r w:rsidR="00A13CC8">
        <w:t>GJ</w:t>
      </w:r>
      <w:r w:rsidRPr="00A13CC8">
        <w:t xml:space="preserve"> has robust corporate governance practices in place that support the delivery of </w:t>
      </w:r>
      <w:r w:rsidR="00A13CC8">
        <w:t xml:space="preserve">the </w:t>
      </w:r>
      <w:r w:rsidRPr="00A13CC8">
        <w:t>Corporate Objectives.</w:t>
      </w:r>
    </w:p>
    <w:p w:rsidR="0072170F" w:rsidRPr="00BF3AF0" w:rsidRDefault="0072170F" w:rsidP="00C96E92">
      <w:pPr>
        <w:spacing w:line="276" w:lineRule="auto"/>
        <w:ind w:left="709"/>
        <w:jc w:val="both"/>
        <w:rPr>
          <w:rFonts w:cs="Arial"/>
          <w:color w:val="000000"/>
          <w:szCs w:val="24"/>
        </w:rPr>
      </w:pPr>
    </w:p>
    <w:p w:rsidR="00F3337D" w:rsidRDefault="00C87B62" w:rsidP="00C96E92">
      <w:pPr>
        <w:pStyle w:val="Heading3"/>
        <w:spacing w:before="0" w:line="276" w:lineRule="auto"/>
      </w:pPr>
      <w:r>
        <w:t>2</w:t>
      </w:r>
      <w:r w:rsidR="00BF3AF0">
        <w:t>.3.5</w:t>
      </w:r>
      <w:r w:rsidR="00BF3AF0">
        <w:tab/>
      </w:r>
      <w:r w:rsidR="00F3337D">
        <w:t>Equality and Diversity, including health inequalities</w:t>
      </w:r>
    </w:p>
    <w:p w:rsidR="00F3337D" w:rsidRPr="00A40076" w:rsidRDefault="00A40076" w:rsidP="00C96E92">
      <w:pPr>
        <w:spacing w:line="276" w:lineRule="auto"/>
        <w:ind w:left="720"/>
        <w:rPr>
          <w:rFonts w:cs="Arial"/>
          <w:color w:val="000000"/>
          <w:szCs w:val="24"/>
        </w:rPr>
      </w:pPr>
      <w:r w:rsidRPr="00A40076">
        <w:rPr>
          <w:rFonts w:cs="Arial"/>
          <w:color w:val="000000"/>
          <w:szCs w:val="24"/>
        </w:rPr>
        <w:t>An impact assessment has not been completed as there is no impact in relation to inequalities or protected characteristics</w:t>
      </w:r>
      <w:r w:rsidR="00792FA9">
        <w:rPr>
          <w:rFonts w:cs="Arial"/>
          <w:color w:val="000000"/>
          <w:szCs w:val="24"/>
        </w:rPr>
        <w:t xml:space="preserve"> within this paper</w:t>
      </w:r>
      <w:r w:rsidRPr="00A40076">
        <w:rPr>
          <w:rFonts w:cs="Arial"/>
          <w:color w:val="000000"/>
          <w:szCs w:val="24"/>
        </w:rPr>
        <w:t>.</w:t>
      </w:r>
    </w:p>
    <w:p w:rsidR="00BF3AF0" w:rsidRPr="00BF3AF0" w:rsidRDefault="00BF3AF0" w:rsidP="00C96E92">
      <w:pPr>
        <w:spacing w:line="276" w:lineRule="auto"/>
        <w:ind w:left="720"/>
        <w:rPr>
          <w:rFonts w:cs="Arial"/>
          <w:color w:val="000000"/>
          <w:szCs w:val="24"/>
          <w:highlight w:val="lightGray"/>
        </w:rPr>
      </w:pPr>
    </w:p>
    <w:p w:rsidR="00446219" w:rsidRPr="00DA354A" w:rsidRDefault="00C87B62" w:rsidP="00C96E92">
      <w:pPr>
        <w:pStyle w:val="Heading3"/>
        <w:spacing w:before="0"/>
      </w:pPr>
      <w:r>
        <w:lastRenderedPageBreak/>
        <w:t>2</w:t>
      </w:r>
      <w:r w:rsidR="00BF3AF0">
        <w:t>.3.6</w:t>
      </w:r>
      <w:r w:rsidR="00BF3AF0">
        <w:tab/>
      </w:r>
      <w:r w:rsidR="00446219" w:rsidRPr="00DA354A">
        <w:t>Other</w:t>
      </w:r>
      <w:r w:rsidR="00BF3AF0">
        <w:t xml:space="preserve"> impacts</w:t>
      </w:r>
    </w:p>
    <w:p w:rsidR="00DA409D" w:rsidRPr="006659EB" w:rsidRDefault="00DA409D" w:rsidP="00C96E92">
      <w:pPr>
        <w:autoSpaceDE w:val="0"/>
        <w:autoSpaceDN w:val="0"/>
        <w:adjustRightInd w:val="0"/>
        <w:ind w:firstLine="720"/>
        <w:rPr>
          <w:rFonts w:eastAsiaTheme="minorHAnsi" w:cs="Arial"/>
          <w:color w:val="000000"/>
          <w:spacing w:val="0"/>
          <w:szCs w:val="23"/>
        </w:rPr>
      </w:pPr>
      <w:r w:rsidRPr="006659EB">
        <w:rPr>
          <w:rFonts w:eastAsiaTheme="minorHAnsi" w:cs="Arial"/>
          <w:b/>
          <w:bCs/>
          <w:color w:val="000000"/>
          <w:spacing w:val="0"/>
          <w:szCs w:val="23"/>
        </w:rPr>
        <w:t xml:space="preserve">Climate Emergency and Sustainability </w:t>
      </w:r>
    </w:p>
    <w:p w:rsidR="00AA77F7" w:rsidRDefault="00DA409D" w:rsidP="00C96E92">
      <w:pPr>
        <w:pStyle w:val="ListParagraph"/>
        <w:rPr>
          <w:rFonts w:ascii="Arial" w:eastAsiaTheme="minorHAnsi" w:hAnsi="Arial" w:cs="Arial"/>
          <w:color w:val="000000"/>
          <w:sz w:val="23"/>
          <w:szCs w:val="23"/>
          <w:lang w:eastAsia="en-US"/>
        </w:rPr>
      </w:pPr>
      <w:r w:rsidRPr="00100DA6">
        <w:rPr>
          <w:rFonts w:ascii="Arial" w:eastAsiaTheme="minorHAnsi" w:hAnsi="Arial" w:cs="Arial"/>
          <w:color w:val="000000"/>
          <w:sz w:val="24"/>
          <w:szCs w:val="23"/>
          <w:lang w:eastAsia="en-US"/>
        </w:rPr>
        <w:t>No impacts were identified in relation to climate emergency and sustainability when preparing this paper</w:t>
      </w:r>
      <w:r w:rsidRPr="00DA409D">
        <w:rPr>
          <w:rFonts w:ascii="Arial" w:eastAsiaTheme="minorHAnsi" w:hAnsi="Arial" w:cs="Arial"/>
          <w:color w:val="000000"/>
          <w:sz w:val="23"/>
          <w:szCs w:val="23"/>
          <w:lang w:eastAsia="en-US"/>
        </w:rPr>
        <w:t xml:space="preserve">. </w:t>
      </w:r>
    </w:p>
    <w:p w:rsidR="00DA409D" w:rsidRPr="00F3337D" w:rsidRDefault="00DA409D" w:rsidP="00C96E92">
      <w:pPr>
        <w:pStyle w:val="ListParagraph"/>
        <w:rPr>
          <w:rFonts w:ascii="Arial" w:hAnsi="Arial" w:cs="Arial"/>
          <w:color w:val="000000"/>
          <w:sz w:val="24"/>
          <w:szCs w:val="24"/>
        </w:rPr>
      </w:pPr>
    </w:p>
    <w:p w:rsidR="00446219" w:rsidRDefault="00446219" w:rsidP="00C96E92">
      <w:pPr>
        <w:pStyle w:val="Heading3"/>
        <w:numPr>
          <w:ilvl w:val="2"/>
          <w:numId w:val="16"/>
        </w:numPr>
        <w:spacing w:before="0"/>
        <w:rPr>
          <w:rFonts w:eastAsia="Times New Roman"/>
        </w:rPr>
      </w:pPr>
      <w:r>
        <w:rPr>
          <w:rFonts w:eastAsia="Times New Roman"/>
        </w:rPr>
        <w:t>Communication, involvement, engagement and consultation</w:t>
      </w:r>
    </w:p>
    <w:p w:rsidR="00DA409D" w:rsidRDefault="00C031EF" w:rsidP="00C96E92">
      <w:pPr>
        <w:pStyle w:val="ListParagraph"/>
        <w:spacing w:line="276" w:lineRule="auto"/>
        <w:ind w:left="709"/>
        <w:rPr>
          <w:rFonts w:ascii="Arial" w:hAnsi="Arial" w:cs="Arial"/>
          <w:sz w:val="24"/>
          <w:szCs w:val="24"/>
        </w:rPr>
      </w:pPr>
      <w:r w:rsidRPr="00C031EF">
        <w:rPr>
          <w:rFonts w:ascii="Arial" w:hAnsi="Arial" w:cs="Arial"/>
          <w:sz w:val="24"/>
          <w:szCs w:val="24"/>
        </w:rPr>
        <w:t xml:space="preserve">Other than the consideration given to the Annual Report by the </w:t>
      </w:r>
      <w:r w:rsidR="009F4E13">
        <w:rPr>
          <w:rFonts w:ascii="Arial" w:hAnsi="Arial" w:cs="Arial"/>
          <w:sz w:val="24"/>
          <w:szCs w:val="24"/>
        </w:rPr>
        <w:t>Board</w:t>
      </w:r>
      <w:r w:rsidRPr="00C031EF">
        <w:rPr>
          <w:rFonts w:ascii="Arial" w:hAnsi="Arial" w:cs="Arial"/>
          <w:sz w:val="24"/>
          <w:szCs w:val="24"/>
        </w:rPr>
        <w:t xml:space="preserve">, consultation and engagement is not relevant to this item. </w:t>
      </w:r>
      <w:r>
        <w:rPr>
          <w:rFonts w:ascii="Arial" w:hAnsi="Arial" w:cs="Arial"/>
          <w:sz w:val="24"/>
          <w:szCs w:val="24"/>
        </w:rPr>
        <w:t xml:space="preserve"> </w:t>
      </w:r>
    </w:p>
    <w:p w:rsidR="00A13CC8" w:rsidRPr="00DA409D" w:rsidRDefault="00A13CC8" w:rsidP="00C96E92">
      <w:pPr>
        <w:pStyle w:val="ListParagraph"/>
        <w:spacing w:line="276" w:lineRule="auto"/>
        <w:ind w:left="709"/>
        <w:rPr>
          <w:rFonts w:ascii="Arial" w:hAnsi="Arial" w:cs="Arial"/>
          <w:sz w:val="24"/>
          <w:szCs w:val="24"/>
          <w:highlight w:val="lightGray"/>
        </w:rPr>
      </w:pPr>
    </w:p>
    <w:p w:rsidR="00446219" w:rsidRDefault="00446219" w:rsidP="00C96E92">
      <w:pPr>
        <w:pStyle w:val="Heading3"/>
        <w:numPr>
          <w:ilvl w:val="2"/>
          <w:numId w:val="16"/>
        </w:numPr>
        <w:spacing w:before="0"/>
      </w:pPr>
      <w:r>
        <w:t>Route to the Meeting</w:t>
      </w:r>
    </w:p>
    <w:p w:rsidR="00CB5AE7" w:rsidRDefault="007D75CF" w:rsidP="00C96E92">
      <w:pPr>
        <w:pStyle w:val="ListParagraph"/>
        <w:autoSpaceDE w:val="0"/>
        <w:autoSpaceDN w:val="0"/>
        <w:adjustRightInd w:val="0"/>
        <w:ind w:left="709"/>
        <w:rPr>
          <w:rFonts w:ascii="Arial" w:eastAsiaTheme="minorHAnsi" w:hAnsi="Arial" w:cs="Arial"/>
          <w:color w:val="000000"/>
          <w:sz w:val="24"/>
          <w:szCs w:val="24"/>
        </w:rPr>
      </w:pPr>
      <w:r w:rsidRPr="00D913E0">
        <w:rPr>
          <w:rFonts w:ascii="Arial" w:eastAsiaTheme="minorHAnsi" w:hAnsi="Arial" w:cs="Arial"/>
          <w:color w:val="000000"/>
          <w:sz w:val="24"/>
          <w:szCs w:val="24"/>
        </w:rPr>
        <w:t>Th</w:t>
      </w:r>
      <w:r w:rsidR="009F4E13">
        <w:rPr>
          <w:rFonts w:ascii="Arial" w:eastAsiaTheme="minorHAnsi" w:hAnsi="Arial" w:cs="Arial"/>
          <w:color w:val="000000"/>
          <w:sz w:val="24"/>
          <w:szCs w:val="24"/>
        </w:rPr>
        <w:t xml:space="preserve">is paper has not been through any other route.  </w:t>
      </w:r>
    </w:p>
    <w:p w:rsidR="00430C09" w:rsidRPr="00DB4216" w:rsidRDefault="00430C09" w:rsidP="00C96E92">
      <w:pPr>
        <w:pStyle w:val="ListParagraph"/>
        <w:spacing w:line="276" w:lineRule="auto"/>
        <w:ind w:left="394"/>
        <w:rPr>
          <w:rFonts w:ascii="Arial" w:hAnsi="Arial" w:cs="Arial"/>
          <w:color w:val="000000"/>
          <w:sz w:val="24"/>
          <w:szCs w:val="24"/>
        </w:rPr>
      </w:pPr>
    </w:p>
    <w:p w:rsidR="00BF3AF0" w:rsidRDefault="00BF3AF0" w:rsidP="00207804">
      <w:pPr>
        <w:pStyle w:val="Heading2"/>
        <w:numPr>
          <w:ilvl w:val="1"/>
          <w:numId w:val="16"/>
        </w:numPr>
        <w:spacing w:before="0"/>
      </w:pPr>
      <w:r>
        <w:t>Recommendation</w:t>
      </w:r>
    </w:p>
    <w:p w:rsidR="00207804" w:rsidRPr="00207804" w:rsidRDefault="00207804" w:rsidP="00207804">
      <w:pPr>
        <w:pStyle w:val="ListParagraph"/>
        <w:ind w:left="525"/>
      </w:pPr>
    </w:p>
    <w:p w:rsidR="00F944D9" w:rsidRPr="00022C05" w:rsidRDefault="007D75CF" w:rsidP="00C96E92">
      <w:pPr>
        <w:spacing w:line="276" w:lineRule="auto"/>
        <w:ind w:left="2160" w:hanging="1451"/>
        <w:rPr>
          <w:rFonts w:cs="Arial"/>
          <w:color w:val="000000" w:themeColor="text1"/>
          <w:szCs w:val="24"/>
        </w:rPr>
      </w:pPr>
      <w:r>
        <w:rPr>
          <w:b/>
        </w:rPr>
        <w:t>Decision:</w:t>
      </w:r>
      <w:r>
        <w:rPr>
          <w:b/>
        </w:rPr>
        <w:tab/>
      </w:r>
      <w:r w:rsidR="008E0D64">
        <w:t>NHS Golden Jubilee Executive Leadership Team</w:t>
      </w:r>
      <w:r w:rsidR="00EE451D">
        <w:t xml:space="preserve"> are</w:t>
      </w:r>
      <w:r w:rsidR="00C031EF">
        <w:t xml:space="preserve"> asked </w:t>
      </w:r>
      <w:r>
        <w:t>to r</w:t>
      </w:r>
      <w:r w:rsidR="00C031EF" w:rsidRPr="00792FA9">
        <w:rPr>
          <w:rFonts w:cs="Arial"/>
          <w:color w:val="000000" w:themeColor="text1"/>
          <w:szCs w:val="24"/>
        </w:rPr>
        <w:t>eceive</w:t>
      </w:r>
      <w:r w:rsidR="00A13CC8">
        <w:rPr>
          <w:rFonts w:cs="Arial"/>
          <w:color w:val="000000" w:themeColor="text1"/>
          <w:szCs w:val="24"/>
        </w:rPr>
        <w:t xml:space="preserve"> and</w:t>
      </w:r>
      <w:r>
        <w:rPr>
          <w:rFonts w:cs="Arial"/>
          <w:color w:val="000000" w:themeColor="text1"/>
          <w:szCs w:val="24"/>
        </w:rPr>
        <w:t xml:space="preserve"> </w:t>
      </w:r>
      <w:r w:rsidR="00D913E0">
        <w:rPr>
          <w:rFonts w:cs="Arial"/>
          <w:color w:val="000000" w:themeColor="text1"/>
          <w:szCs w:val="24"/>
        </w:rPr>
        <w:t>discuss</w:t>
      </w:r>
      <w:r>
        <w:rPr>
          <w:rFonts w:cs="Arial"/>
          <w:color w:val="000000" w:themeColor="text1"/>
          <w:szCs w:val="24"/>
        </w:rPr>
        <w:t xml:space="preserve"> </w:t>
      </w:r>
      <w:r w:rsidR="00A13CC8">
        <w:rPr>
          <w:rFonts w:cs="Arial"/>
          <w:color w:val="000000" w:themeColor="text1"/>
          <w:szCs w:val="24"/>
        </w:rPr>
        <w:t xml:space="preserve">NHS GJ </w:t>
      </w:r>
      <w:r w:rsidR="007E0450">
        <w:rPr>
          <w:rFonts w:cs="Arial"/>
          <w:color w:val="000000" w:themeColor="text1"/>
          <w:szCs w:val="24"/>
        </w:rPr>
        <w:t xml:space="preserve">Corporate Governance </w:t>
      </w:r>
      <w:r w:rsidR="005A0E7D">
        <w:rPr>
          <w:rFonts w:cs="Arial"/>
          <w:color w:val="000000" w:themeColor="text1"/>
          <w:szCs w:val="24"/>
        </w:rPr>
        <w:t>Update – Quarter 3</w:t>
      </w:r>
      <w:r w:rsidR="00792FA9" w:rsidRPr="00022C05">
        <w:rPr>
          <w:rFonts w:cs="Arial"/>
          <w:color w:val="000000" w:themeColor="text1"/>
          <w:szCs w:val="24"/>
        </w:rPr>
        <w:t>.</w:t>
      </w:r>
    </w:p>
    <w:p w:rsidR="00F152FB" w:rsidRPr="00F05C63" w:rsidRDefault="00F152FB" w:rsidP="00C96E92">
      <w:pPr>
        <w:spacing w:line="276" w:lineRule="auto"/>
        <w:ind w:left="720"/>
        <w:rPr>
          <w:rFonts w:cs="Arial"/>
          <w:color w:val="000000"/>
          <w:szCs w:val="24"/>
          <w:highlight w:val="lightGray"/>
        </w:rPr>
      </w:pPr>
    </w:p>
    <w:p w:rsidR="00C87B62" w:rsidRDefault="00C87B62" w:rsidP="00C96E92">
      <w:pPr>
        <w:pStyle w:val="Heading2"/>
        <w:numPr>
          <w:ilvl w:val="0"/>
          <w:numId w:val="16"/>
        </w:numPr>
        <w:spacing w:before="0" w:line="276" w:lineRule="auto"/>
      </w:pPr>
      <w:r>
        <w:t>List of appendices</w:t>
      </w:r>
    </w:p>
    <w:p w:rsidR="00C87B62" w:rsidRDefault="00C87B62" w:rsidP="00C96E92">
      <w:pPr>
        <w:spacing w:line="276" w:lineRule="auto"/>
        <w:rPr>
          <w:rFonts w:cs="Arial"/>
          <w:color w:val="000000" w:themeColor="text1"/>
          <w:szCs w:val="24"/>
        </w:rPr>
      </w:pPr>
    </w:p>
    <w:p w:rsidR="00837891" w:rsidRDefault="00C87B62" w:rsidP="00A13CC8">
      <w:pPr>
        <w:spacing w:line="276" w:lineRule="auto"/>
        <w:ind w:firstLine="525"/>
        <w:rPr>
          <w:rFonts w:cs="Arial"/>
          <w:color w:val="000000"/>
          <w:szCs w:val="24"/>
          <w:highlight w:val="lightGray"/>
        </w:rPr>
      </w:pPr>
      <w:r w:rsidRPr="00BF3AF0">
        <w:rPr>
          <w:rFonts w:cs="Arial"/>
          <w:color w:val="000000" w:themeColor="text1"/>
          <w:szCs w:val="24"/>
        </w:rPr>
        <w:t>The</w:t>
      </w:r>
      <w:r w:rsidR="00A13CC8">
        <w:rPr>
          <w:rFonts w:cs="Arial"/>
          <w:color w:val="000000" w:themeColor="text1"/>
          <w:szCs w:val="24"/>
        </w:rPr>
        <w:t>re are no</w:t>
      </w:r>
      <w:r w:rsidRPr="00BF3AF0">
        <w:rPr>
          <w:rFonts w:cs="Arial"/>
          <w:color w:val="000000" w:themeColor="text1"/>
          <w:szCs w:val="24"/>
        </w:rPr>
        <w:t xml:space="preserve"> appendi</w:t>
      </w:r>
      <w:r w:rsidR="00A13CC8">
        <w:rPr>
          <w:rFonts w:cs="Arial"/>
          <w:color w:val="000000" w:themeColor="text1"/>
          <w:szCs w:val="24"/>
        </w:rPr>
        <w:t>ces</w:t>
      </w:r>
      <w:r w:rsidRPr="00BF3AF0">
        <w:rPr>
          <w:rFonts w:cs="Arial"/>
          <w:color w:val="000000" w:themeColor="text1"/>
          <w:szCs w:val="24"/>
        </w:rPr>
        <w:t xml:space="preserve"> included with this </w:t>
      </w:r>
      <w:r w:rsidR="00610728">
        <w:rPr>
          <w:rFonts w:cs="Arial"/>
          <w:color w:val="000000" w:themeColor="text1"/>
          <w:szCs w:val="24"/>
        </w:rPr>
        <w:t>report</w:t>
      </w:r>
      <w:r w:rsidR="00A13CC8">
        <w:rPr>
          <w:rFonts w:cs="Arial"/>
          <w:color w:val="000000" w:themeColor="text1"/>
          <w:szCs w:val="24"/>
        </w:rPr>
        <w:t>.</w:t>
      </w:r>
    </w:p>
    <w:p w:rsidR="00837891" w:rsidRDefault="00837891" w:rsidP="00C96E92">
      <w:pPr>
        <w:spacing w:line="276" w:lineRule="auto"/>
        <w:rPr>
          <w:rFonts w:cs="Arial"/>
          <w:color w:val="000000"/>
          <w:szCs w:val="24"/>
          <w:highlight w:val="lightGray"/>
        </w:rPr>
      </w:pPr>
    </w:p>
    <w:p w:rsidR="00837891" w:rsidRDefault="00837891" w:rsidP="00C96E92">
      <w:pPr>
        <w:spacing w:line="276" w:lineRule="auto"/>
        <w:rPr>
          <w:rFonts w:cs="Arial"/>
          <w:color w:val="000000"/>
          <w:szCs w:val="24"/>
          <w:highlight w:val="lightGray"/>
        </w:rPr>
      </w:pPr>
    </w:p>
    <w:p w:rsidR="00837891" w:rsidRDefault="00837891" w:rsidP="00C96E92">
      <w:pPr>
        <w:spacing w:line="276" w:lineRule="auto"/>
        <w:rPr>
          <w:rFonts w:cs="Arial"/>
          <w:color w:val="000000"/>
          <w:szCs w:val="24"/>
          <w:highlight w:val="lightGray"/>
        </w:rPr>
      </w:pPr>
    </w:p>
    <w:p w:rsidR="00837891" w:rsidRDefault="00837891" w:rsidP="00C96E92">
      <w:pPr>
        <w:spacing w:line="276" w:lineRule="auto"/>
        <w:rPr>
          <w:rFonts w:cs="Arial"/>
          <w:color w:val="000000"/>
          <w:szCs w:val="24"/>
          <w:highlight w:val="lightGray"/>
        </w:rPr>
      </w:pPr>
    </w:p>
    <w:p w:rsidR="00837891" w:rsidRDefault="00837891" w:rsidP="00C96E92">
      <w:pPr>
        <w:spacing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sectPr w:rsidR="00837891"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777" w:rsidRDefault="00227777">
      <w:r>
        <w:separator/>
      </w:r>
    </w:p>
  </w:endnote>
  <w:endnote w:type="continuationSeparator" w:id="0">
    <w:p w:rsidR="00227777" w:rsidRDefault="0022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CB6A58">
      <w:rPr>
        <w:rFonts w:cs="Arial"/>
        <w:noProof/>
        <w:sz w:val="16"/>
        <w:szCs w:val="16"/>
      </w:rPr>
      <w:t>5</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CB6A58">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777" w:rsidRDefault="00227777">
      <w:r>
        <w:separator/>
      </w:r>
    </w:p>
  </w:footnote>
  <w:footnote w:type="continuationSeparator" w:id="0">
    <w:p w:rsidR="00227777" w:rsidRDefault="0022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C97BAD"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Item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334C1D"/>
    <w:multiLevelType w:val="hybridMultilevel"/>
    <w:tmpl w:val="0C685206"/>
    <w:lvl w:ilvl="0" w:tplc="A92EF8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A5523A"/>
    <w:multiLevelType w:val="hybridMultilevel"/>
    <w:tmpl w:val="68503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0B0334B"/>
    <w:multiLevelType w:val="multilevel"/>
    <w:tmpl w:val="23EEA65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840146"/>
    <w:multiLevelType w:val="hybridMultilevel"/>
    <w:tmpl w:val="0D4E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35723"/>
    <w:multiLevelType w:val="multilevel"/>
    <w:tmpl w:val="5B82FDE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9"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2" w15:restartNumberingAfterBreak="0">
    <w:nsid w:val="6EAD3958"/>
    <w:multiLevelType w:val="hybridMultilevel"/>
    <w:tmpl w:val="4948A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F416E63"/>
    <w:multiLevelType w:val="hybridMultilevel"/>
    <w:tmpl w:val="327AF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14"/>
  </w:num>
  <w:num w:numId="4">
    <w:abstractNumId w:val="23"/>
  </w:num>
  <w:num w:numId="5">
    <w:abstractNumId w:val="12"/>
  </w:num>
  <w:num w:numId="6">
    <w:abstractNumId w:val="8"/>
  </w:num>
  <w:num w:numId="7">
    <w:abstractNumId w:val="17"/>
  </w:num>
  <w:num w:numId="8">
    <w:abstractNumId w:val="7"/>
  </w:num>
  <w:num w:numId="9">
    <w:abstractNumId w:val="19"/>
  </w:num>
  <w:num w:numId="10">
    <w:abstractNumId w:val="4"/>
  </w:num>
  <w:num w:numId="11">
    <w:abstractNumId w:val="20"/>
  </w:num>
  <w:num w:numId="12">
    <w:abstractNumId w:val="2"/>
  </w:num>
  <w:num w:numId="13">
    <w:abstractNumId w:val="6"/>
  </w:num>
  <w:num w:numId="14">
    <w:abstractNumId w:val="10"/>
  </w:num>
  <w:num w:numId="15">
    <w:abstractNumId w:val="13"/>
  </w:num>
  <w:num w:numId="16">
    <w:abstractNumId w:val="11"/>
  </w:num>
  <w:num w:numId="17">
    <w:abstractNumId w:val="18"/>
  </w:num>
  <w:num w:numId="18">
    <w:abstractNumId w:val="9"/>
  </w:num>
  <w:num w:numId="19">
    <w:abstractNumId w:val="1"/>
  </w:num>
  <w:num w:numId="20">
    <w:abstractNumId w:val="22"/>
  </w:num>
  <w:num w:numId="21">
    <w:abstractNumId w:val="3"/>
  </w:num>
  <w:num w:numId="22">
    <w:abstractNumId w:val="15"/>
  </w:num>
  <w:num w:numId="23">
    <w:abstractNumId w:val="5"/>
  </w:num>
  <w:num w:numId="24">
    <w:abstractNumId w:val="16"/>
  </w:num>
  <w:num w:numId="25">
    <w:abstractNumId w:val="2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2C05"/>
    <w:rsid w:val="0003098A"/>
    <w:rsid w:val="00045131"/>
    <w:rsid w:val="00047714"/>
    <w:rsid w:val="00073441"/>
    <w:rsid w:val="00091974"/>
    <w:rsid w:val="000945DB"/>
    <w:rsid w:val="000F7706"/>
    <w:rsid w:val="00100DA6"/>
    <w:rsid w:val="00125A9E"/>
    <w:rsid w:val="00140DB3"/>
    <w:rsid w:val="001A2D24"/>
    <w:rsid w:val="001C0974"/>
    <w:rsid w:val="001E4436"/>
    <w:rsid w:val="00203B06"/>
    <w:rsid w:val="00207804"/>
    <w:rsid w:val="00215FBB"/>
    <w:rsid w:val="00227777"/>
    <w:rsid w:val="0023473B"/>
    <w:rsid w:val="00256109"/>
    <w:rsid w:val="0026587E"/>
    <w:rsid w:val="00266503"/>
    <w:rsid w:val="0027517F"/>
    <w:rsid w:val="002D28B4"/>
    <w:rsid w:val="002E0D1A"/>
    <w:rsid w:val="002E24EC"/>
    <w:rsid w:val="002E55F4"/>
    <w:rsid w:val="002F62FC"/>
    <w:rsid w:val="0030193D"/>
    <w:rsid w:val="00311235"/>
    <w:rsid w:val="00311A57"/>
    <w:rsid w:val="003310DC"/>
    <w:rsid w:val="0033790B"/>
    <w:rsid w:val="00357348"/>
    <w:rsid w:val="003A7F53"/>
    <w:rsid w:val="003C3FE6"/>
    <w:rsid w:val="003C5DEF"/>
    <w:rsid w:val="003F7F61"/>
    <w:rsid w:val="004170C7"/>
    <w:rsid w:val="00430C09"/>
    <w:rsid w:val="0043507A"/>
    <w:rsid w:val="00446219"/>
    <w:rsid w:val="00486989"/>
    <w:rsid w:val="00495B36"/>
    <w:rsid w:val="00496769"/>
    <w:rsid w:val="00496B29"/>
    <w:rsid w:val="004A39D0"/>
    <w:rsid w:val="004B5BB8"/>
    <w:rsid w:val="004C24DE"/>
    <w:rsid w:val="004C3A6F"/>
    <w:rsid w:val="004D5880"/>
    <w:rsid w:val="004E6B99"/>
    <w:rsid w:val="00526FB4"/>
    <w:rsid w:val="0056755D"/>
    <w:rsid w:val="00591C18"/>
    <w:rsid w:val="005A0E7D"/>
    <w:rsid w:val="005C2BE9"/>
    <w:rsid w:val="00610728"/>
    <w:rsid w:val="006173A9"/>
    <w:rsid w:val="00630CF1"/>
    <w:rsid w:val="00631726"/>
    <w:rsid w:val="006659EB"/>
    <w:rsid w:val="00696201"/>
    <w:rsid w:val="006B3CCC"/>
    <w:rsid w:val="006D1343"/>
    <w:rsid w:val="006F31BD"/>
    <w:rsid w:val="0072170F"/>
    <w:rsid w:val="00736182"/>
    <w:rsid w:val="00792FA9"/>
    <w:rsid w:val="0079685E"/>
    <w:rsid w:val="00797822"/>
    <w:rsid w:val="007D75CF"/>
    <w:rsid w:val="007E0450"/>
    <w:rsid w:val="007E586D"/>
    <w:rsid w:val="007F32CF"/>
    <w:rsid w:val="00807A12"/>
    <w:rsid w:val="00811002"/>
    <w:rsid w:val="00816E22"/>
    <w:rsid w:val="00837891"/>
    <w:rsid w:val="00876447"/>
    <w:rsid w:val="008802AC"/>
    <w:rsid w:val="00883828"/>
    <w:rsid w:val="008859A8"/>
    <w:rsid w:val="00886D18"/>
    <w:rsid w:val="008B1B1F"/>
    <w:rsid w:val="008E0D64"/>
    <w:rsid w:val="00912CBC"/>
    <w:rsid w:val="00927C6C"/>
    <w:rsid w:val="00945CA9"/>
    <w:rsid w:val="009747ED"/>
    <w:rsid w:val="0098047C"/>
    <w:rsid w:val="009807B4"/>
    <w:rsid w:val="00982B81"/>
    <w:rsid w:val="009A59AE"/>
    <w:rsid w:val="009D1859"/>
    <w:rsid w:val="009F2E44"/>
    <w:rsid w:val="009F4E13"/>
    <w:rsid w:val="00A12F83"/>
    <w:rsid w:val="00A13C6D"/>
    <w:rsid w:val="00A13CC8"/>
    <w:rsid w:val="00A2680C"/>
    <w:rsid w:val="00A27231"/>
    <w:rsid w:val="00A40076"/>
    <w:rsid w:val="00A40F5A"/>
    <w:rsid w:val="00A57E56"/>
    <w:rsid w:val="00A62B58"/>
    <w:rsid w:val="00A84C97"/>
    <w:rsid w:val="00A854FD"/>
    <w:rsid w:val="00AA1016"/>
    <w:rsid w:val="00AA77F7"/>
    <w:rsid w:val="00AB3906"/>
    <w:rsid w:val="00AC5742"/>
    <w:rsid w:val="00AE522B"/>
    <w:rsid w:val="00AE7869"/>
    <w:rsid w:val="00AF0530"/>
    <w:rsid w:val="00AF356A"/>
    <w:rsid w:val="00AF700B"/>
    <w:rsid w:val="00AF790B"/>
    <w:rsid w:val="00B00970"/>
    <w:rsid w:val="00B178D4"/>
    <w:rsid w:val="00B347E2"/>
    <w:rsid w:val="00B4605A"/>
    <w:rsid w:val="00B546C8"/>
    <w:rsid w:val="00B562FA"/>
    <w:rsid w:val="00B62D15"/>
    <w:rsid w:val="00B7445F"/>
    <w:rsid w:val="00B77902"/>
    <w:rsid w:val="00B8122A"/>
    <w:rsid w:val="00B851FC"/>
    <w:rsid w:val="00BA30B1"/>
    <w:rsid w:val="00BD4F63"/>
    <w:rsid w:val="00BE4F71"/>
    <w:rsid w:val="00BF0CBD"/>
    <w:rsid w:val="00BF3AF0"/>
    <w:rsid w:val="00BF4341"/>
    <w:rsid w:val="00C01B6B"/>
    <w:rsid w:val="00C029BD"/>
    <w:rsid w:val="00C031EF"/>
    <w:rsid w:val="00C06047"/>
    <w:rsid w:val="00C13F1B"/>
    <w:rsid w:val="00C20ED7"/>
    <w:rsid w:val="00C26551"/>
    <w:rsid w:val="00C34769"/>
    <w:rsid w:val="00C768E7"/>
    <w:rsid w:val="00C87B62"/>
    <w:rsid w:val="00C9008D"/>
    <w:rsid w:val="00C94BF7"/>
    <w:rsid w:val="00C96E92"/>
    <w:rsid w:val="00C97BAD"/>
    <w:rsid w:val="00CA0C3A"/>
    <w:rsid w:val="00CB1B60"/>
    <w:rsid w:val="00CB4BE9"/>
    <w:rsid w:val="00CB5AE7"/>
    <w:rsid w:val="00CB6A58"/>
    <w:rsid w:val="00CC6308"/>
    <w:rsid w:val="00CE1F80"/>
    <w:rsid w:val="00CF7A21"/>
    <w:rsid w:val="00D37BB7"/>
    <w:rsid w:val="00D52F96"/>
    <w:rsid w:val="00D913E0"/>
    <w:rsid w:val="00DA317B"/>
    <w:rsid w:val="00DA409D"/>
    <w:rsid w:val="00DC2591"/>
    <w:rsid w:val="00DD2D3D"/>
    <w:rsid w:val="00DD6252"/>
    <w:rsid w:val="00DF1BE0"/>
    <w:rsid w:val="00DF6470"/>
    <w:rsid w:val="00E16D19"/>
    <w:rsid w:val="00E353DE"/>
    <w:rsid w:val="00E46CD6"/>
    <w:rsid w:val="00E616EB"/>
    <w:rsid w:val="00E64C12"/>
    <w:rsid w:val="00E66152"/>
    <w:rsid w:val="00E71596"/>
    <w:rsid w:val="00E71CD2"/>
    <w:rsid w:val="00EC76CB"/>
    <w:rsid w:val="00EE451D"/>
    <w:rsid w:val="00F13B10"/>
    <w:rsid w:val="00F152FB"/>
    <w:rsid w:val="00F2602E"/>
    <w:rsid w:val="00F3256A"/>
    <w:rsid w:val="00F3337D"/>
    <w:rsid w:val="00F42301"/>
    <w:rsid w:val="00F701BA"/>
    <w:rsid w:val="00F802D3"/>
    <w:rsid w:val="00F944D9"/>
    <w:rsid w:val="00FD5A48"/>
    <w:rsid w:val="00FF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3817AD"/>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qFormat/>
    <w:locked/>
    <w:rsid w:val="00F13B10"/>
    <w:rPr>
      <w:rFonts w:ascii="Calibri" w:eastAsia="Calibri" w:hAnsi="Calibri" w:cs="Times New Roman"/>
      <w:sz w:val="22"/>
      <w:szCs w:val="22"/>
      <w:lang w:eastAsia="en-GB"/>
    </w:rPr>
  </w:style>
  <w:style w:type="paragraph" w:styleId="BodyText3">
    <w:name w:val="Body Text 3"/>
    <w:basedOn w:val="Normal"/>
    <w:link w:val="BodyText3Char"/>
    <w:uiPriority w:val="99"/>
    <w:semiHidden/>
    <w:unhideWhenUsed/>
    <w:rsid w:val="009747ED"/>
    <w:pPr>
      <w:widowControl w:val="0"/>
      <w:jc w:val="both"/>
    </w:pPr>
    <w:rPr>
      <w:rFonts w:ascii="Times New Roman" w:hAnsi="Times New Roman"/>
      <w:spacing w:val="0"/>
      <w:sz w:val="28"/>
    </w:rPr>
  </w:style>
  <w:style w:type="character" w:customStyle="1" w:styleId="BodyText3Char">
    <w:name w:val="Body Text 3 Char"/>
    <w:basedOn w:val="DefaultParagraphFont"/>
    <w:link w:val="BodyText3"/>
    <w:uiPriority w:val="99"/>
    <w:semiHidden/>
    <w:rsid w:val="009747ED"/>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94443">
      <w:bodyDiv w:val="1"/>
      <w:marLeft w:val="0"/>
      <w:marRight w:val="0"/>
      <w:marTop w:val="0"/>
      <w:marBottom w:val="0"/>
      <w:divBdr>
        <w:top w:val="none" w:sz="0" w:space="0" w:color="auto"/>
        <w:left w:val="none" w:sz="0" w:space="0" w:color="auto"/>
        <w:bottom w:val="none" w:sz="0" w:space="0" w:color="auto"/>
        <w:right w:val="none" w:sz="0" w:space="0" w:color="auto"/>
      </w:divBdr>
    </w:div>
    <w:div w:id="486484818">
      <w:bodyDiv w:val="1"/>
      <w:marLeft w:val="0"/>
      <w:marRight w:val="0"/>
      <w:marTop w:val="0"/>
      <w:marBottom w:val="0"/>
      <w:divBdr>
        <w:top w:val="none" w:sz="0" w:space="0" w:color="auto"/>
        <w:left w:val="none" w:sz="0" w:space="0" w:color="auto"/>
        <w:bottom w:val="none" w:sz="0" w:space="0" w:color="auto"/>
        <w:right w:val="none" w:sz="0" w:space="0" w:color="auto"/>
      </w:divBdr>
    </w:div>
    <w:div w:id="797647180">
      <w:bodyDiv w:val="1"/>
      <w:marLeft w:val="0"/>
      <w:marRight w:val="0"/>
      <w:marTop w:val="0"/>
      <w:marBottom w:val="0"/>
      <w:divBdr>
        <w:top w:val="none" w:sz="0" w:space="0" w:color="auto"/>
        <w:left w:val="none" w:sz="0" w:space="0" w:color="auto"/>
        <w:bottom w:val="none" w:sz="0" w:space="0" w:color="auto"/>
        <w:right w:val="none" w:sz="0" w:space="0" w:color="auto"/>
      </w:divBdr>
    </w:div>
    <w:div w:id="846477246">
      <w:bodyDiv w:val="1"/>
      <w:marLeft w:val="0"/>
      <w:marRight w:val="0"/>
      <w:marTop w:val="0"/>
      <w:marBottom w:val="0"/>
      <w:divBdr>
        <w:top w:val="none" w:sz="0" w:space="0" w:color="auto"/>
        <w:left w:val="none" w:sz="0" w:space="0" w:color="auto"/>
        <w:bottom w:val="none" w:sz="0" w:space="0" w:color="auto"/>
        <w:right w:val="none" w:sz="0" w:space="0" w:color="auto"/>
      </w:divBdr>
    </w:div>
    <w:div w:id="18151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4C2F-E6ED-47DE-8CF3-E97CA945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2</cp:revision>
  <cp:lastPrinted>2019-10-07T12:25:00Z</cp:lastPrinted>
  <dcterms:created xsi:type="dcterms:W3CDTF">2024-03-25T09:00:00Z</dcterms:created>
  <dcterms:modified xsi:type="dcterms:W3CDTF">2024-03-25T09:00:00Z</dcterms:modified>
</cp:coreProperties>
</file>