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00056BA4" w:rsidR="009807B4" w:rsidRPr="00177153" w:rsidRDefault="0023473B" w:rsidP="00B77902">
      <w:pPr>
        <w:pStyle w:val="Heading3"/>
        <w:spacing w:line="360" w:lineRule="auto"/>
        <w:ind w:left="4536" w:hanging="4536"/>
      </w:pPr>
      <w:r w:rsidRPr="00AA77F7">
        <w:rPr>
          <w:rStyle w:val="Heading3Char"/>
          <w:b/>
        </w:rPr>
        <w:t>Meeting:</w:t>
      </w:r>
      <w:r w:rsidR="00B77902">
        <w:rPr>
          <w:rStyle w:val="Heading3Char"/>
          <w:b/>
        </w:rPr>
        <w:tab/>
      </w:r>
      <w:r w:rsidR="00B230D4">
        <w:rPr>
          <w:rStyle w:val="Heading3Char"/>
          <w:b/>
        </w:rPr>
        <w:t xml:space="preserve">NHS Golden Jubilee Board </w:t>
      </w:r>
    </w:p>
    <w:p w14:paraId="4C58DF73" w14:textId="7F06CB79" w:rsidR="00430C09" w:rsidRPr="00177153" w:rsidRDefault="00430C09" w:rsidP="00B77902">
      <w:pPr>
        <w:pStyle w:val="Heading3"/>
        <w:spacing w:line="360" w:lineRule="auto"/>
        <w:ind w:left="4536" w:hanging="4536"/>
      </w:pPr>
      <w:r w:rsidRPr="00177153">
        <w:rPr>
          <w:rStyle w:val="Heading3Char"/>
          <w:b/>
        </w:rPr>
        <w:t>Meeting dat</w:t>
      </w:r>
      <w:r w:rsidR="0023473B" w:rsidRPr="00177153">
        <w:rPr>
          <w:rStyle w:val="Heading3Char"/>
          <w:b/>
        </w:rPr>
        <w:t>e:</w:t>
      </w:r>
      <w:r w:rsidR="00B77902" w:rsidRPr="00177153">
        <w:rPr>
          <w:rStyle w:val="Heading3Char"/>
          <w:b/>
        </w:rPr>
        <w:tab/>
      </w:r>
      <w:r w:rsidR="00B032B5">
        <w:rPr>
          <w:rStyle w:val="Heading3Char"/>
          <w:b/>
        </w:rPr>
        <w:t>25</w:t>
      </w:r>
      <w:r w:rsidR="002E35FA">
        <w:rPr>
          <w:rStyle w:val="Heading3Char"/>
          <w:b/>
        </w:rPr>
        <w:t xml:space="preserve"> July</w:t>
      </w:r>
      <w:r w:rsidR="00177153" w:rsidRPr="00177153">
        <w:rPr>
          <w:rStyle w:val="Heading3Char"/>
          <w:b/>
        </w:rPr>
        <w:t xml:space="preserve"> 2024</w:t>
      </w:r>
    </w:p>
    <w:p w14:paraId="08812E0D" w14:textId="009DF7D9"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177153">
        <w:rPr>
          <w:rStyle w:val="Heading3Char"/>
          <w:b/>
        </w:rPr>
        <w:t>Procurement Strategy 2024-2027</w:t>
      </w:r>
    </w:p>
    <w:p w14:paraId="5ED05215" w14:textId="1BA2E297"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177153">
        <w:rPr>
          <w:rStyle w:val="Heading3Char"/>
          <w:b/>
        </w:rPr>
        <w:t>Graham Stewart</w:t>
      </w:r>
      <w:r w:rsidR="00793E14">
        <w:rPr>
          <w:rStyle w:val="Heading3Char"/>
          <w:b/>
        </w:rPr>
        <w:t>, Interim Director of Finance</w:t>
      </w:r>
    </w:p>
    <w:p w14:paraId="78E9D3A8" w14:textId="0DF063BF"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177153">
        <w:rPr>
          <w:rStyle w:val="Heading3Char"/>
          <w:b/>
        </w:rPr>
        <w:t>Iain Skene, Head of Procurement</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BF3AF0">
      <w:pPr>
        <w:autoSpaceDE w:val="0"/>
        <w:autoSpaceDN w:val="0"/>
        <w:adjustRightInd w:val="0"/>
        <w:spacing w:before="40" w:after="40" w:line="276" w:lineRule="auto"/>
        <w:ind w:left="720"/>
        <w:rPr>
          <w:rFonts w:cs="Arial"/>
          <w:color w:val="000000"/>
          <w:szCs w:val="24"/>
          <w:lang w:eastAsia="en-GB"/>
        </w:rPr>
      </w:pPr>
    </w:p>
    <w:p w14:paraId="623BC4C7" w14:textId="1214C66A"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w:t>
      </w:r>
      <w:r w:rsidR="00B230D4">
        <w:rPr>
          <w:lang w:eastAsia="en-GB"/>
        </w:rPr>
        <w:t>NHS Golden Jubilee</w:t>
      </w:r>
      <w:r w:rsidR="00446219" w:rsidRPr="009807B4">
        <w:rPr>
          <w:lang w:eastAsia="en-GB"/>
        </w:rPr>
        <w:t xml:space="preserve"> </w:t>
      </w:r>
      <w:r w:rsidR="00B230D4">
        <w:rPr>
          <w:lang w:eastAsia="en-GB"/>
        </w:rPr>
        <w:t xml:space="preserve">Board </w:t>
      </w:r>
      <w:r w:rsidR="00446219" w:rsidRPr="009807B4">
        <w:rPr>
          <w:lang w:eastAsia="en-GB"/>
        </w:rPr>
        <w:t xml:space="preserve">for: </w:t>
      </w:r>
    </w:p>
    <w:p w14:paraId="4F6A1F9B" w14:textId="2F13B4F4" w:rsidR="009807B4" w:rsidRPr="00177153" w:rsidRDefault="00B577C7" w:rsidP="00BF3AF0">
      <w:pPr>
        <w:pStyle w:val="Heading3"/>
        <w:numPr>
          <w:ilvl w:val="0"/>
          <w:numId w:val="9"/>
        </w:numPr>
        <w:spacing w:line="276" w:lineRule="auto"/>
        <w:ind w:left="1080"/>
        <w:rPr>
          <w:b w:val="0"/>
          <w:lang w:eastAsia="en-GB"/>
        </w:rPr>
      </w:pPr>
      <w:r>
        <w:rPr>
          <w:b w:val="0"/>
          <w:lang w:eastAsia="en-GB"/>
        </w:rPr>
        <w:t>Approval</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Pr="00177153" w:rsidRDefault="00430C09" w:rsidP="00BF3AF0">
      <w:pPr>
        <w:pStyle w:val="Heading3"/>
        <w:ind w:left="720"/>
        <w:rPr>
          <w:lang w:eastAsia="en-GB"/>
        </w:rPr>
      </w:pPr>
      <w:r w:rsidRPr="00177153">
        <w:rPr>
          <w:lang w:eastAsia="en-GB"/>
        </w:rPr>
        <w:t>This report relates to</w:t>
      </w:r>
      <w:r w:rsidR="00AA77F7" w:rsidRPr="00177153">
        <w:rPr>
          <w:lang w:eastAsia="en-GB"/>
        </w:rPr>
        <w:t xml:space="preserve"> a</w:t>
      </w:r>
      <w:r w:rsidRPr="00177153">
        <w:rPr>
          <w:lang w:eastAsia="en-GB"/>
        </w:rPr>
        <w:t>:</w:t>
      </w:r>
    </w:p>
    <w:p w14:paraId="1184D780" w14:textId="77777777" w:rsidR="009807B4" w:rsidRPr="00177153"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177153">
        <w:rPr>
          <w:rFonts w:ascii="Arial" w:hAnsi="Arial" w:cs="Arial"/>
          <w:color w:val="000000"/>
          <w:sz w:val="24"/>
          <w:szCs w:val="24"/>
        </w:rPr>
        <w:t>Legal requirement</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66B1B823" w14:textId="77777777" w:rsidR="009807B4" w:rsidRPr="00177153"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177153">
        <w:rPr>
          <w:rFonts w:ascii="Arial" w:hAnsi="Arial" w:cs="Arial"/>
          <w:color w:val="000000"/>
          <w:sz w:val="24"/>
          <w:szCs w:val="24"/>
        </w:rPr>
        <w:t>Effective</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7C018468" w14:textId="09FCC12B" w:rsidR="00177153" w:rsidRPr="00B546C8" w:rsidRDefault="00177153" w:rsidP="00B546C8">
      <w:pPr>
        <w:autoSpaceDE w:val="0"/>
        <w:autoSpaceDN w:val="0"/>
        <w:adjustRightInd w:val="0"/>
        <w:spacing w:before="40" w:after="40" w:line="276" w:lineRule="auto"/>
        <w:ind w:left="720"/>
        <w:rPr>
          <w:rFonts w:cs="Arial"/>
          <w:color w:val="000000"/>
          <w:szCs w:val="24"/>
          <w:highlight w:val="lightGray"/>
        </w:rPr>
      </w:pPr>
      <w:r w:rsidRPr="00177153">
        <w:rPr>
          <w:rFonts w:cs="Arial"/>
          <w:color w:val="000000"/>
          <w:szCs w:val="24"/>
        </w:rPr>
        <w:t>Maximise effective use of Board resources and assets</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1B27CF0C" w14:textId="02307FDB" w:rsidR="00430C09" w:rsidRDefault="00177153" w:rsidP="00177153">
      <w:pPr>
        <w:spacing w:before="40" w:after="40" w:line="276" w:lineRule="auto"/>
        <w:ind w:left="686"/>
        <w:rPr>
          <w:rFonts w:cs="Arial"/>
          <w:color w:val="000000"/>
          <w:szCs w:val="24"/>
        </w:rPr>
      </w:pPr>
      <w:r w:rsidRPr="00177153">
        <w:rPr>
          <w:rFonts w:cs="Arial"/>
          <w:color w:val="000000"/>
          <w:szCs w:val="24"/>
        </w:rPr>
        <w:t>Under The Procurement Reform (Scotland) Act 2014, the Golden Jubilee has an obligation to publish a procurement strategy which details our plans for the next 3 years. We then also have an obligation to update this strategy annually and to publish an annual procurement report detailing progress against the strategy. Our current strategy expired 31/3/24. We therefore have an obligation to publish a new strategy as soon as we can.</w:t>
      </w:r>
    </w:p>
    <w:p w14:paraId="19A59E72" w14:textId="77777777" w:rsidR="00B230D4" w:rsidRDefault="00B230D4" w:rsidP="00177153">
      <w:pPr>
        <w:spacing w:before="40" w:after="40" w:line="276" w:lineRule="auto"/>
        <w:ind w:left="686"/>
        <w:rPr>
          <w:rFonts w:cs="Arial"/>
          <w:color w:val="000000"/>
          <w:szCs w:val="24"/>
        </w:rPr>
      </w:pPr>
    </w:p>
    <w:p w14:paraId="613EBBD3" w14:textId="77777777" w:rsidR="00430C09" w:rsidRDefault="00C87B62" w:rsidP="00BF3AF0">
      <w:pPr>
        <w:pStyle w:val="Heading2"/>
        <w:ind w:left="686" w:hanging="686"/>
      </w:pPr>
      <w:r>
        <w:t>2</w:t>
      </w:r>
      <w:r w:rsidR="00BF3AF0">
        <w:t>.2</w:t>
      </w:r>
      <w:r w:rsidR="00BF3AF0">
        <w:tab/>
      </w:r>
      <w:r w:rsidR="00430C09">
        <w:t>Background</w:t>
      </w:r>
    </w:p>
    <w:p w14:paraId="40F85695" w14:textId="77777777" w:rsidR="00177153" w:rsidRPr="00177153" w:rsidRDefault="00177153" w:rsidP="00177153">
      <w:pPr>
        <w:spacing w:before="40" w:after="40" w:line="276" w:lineRule="auto"/>
        <w:ind w:left="686"/>
        <w:rPr>
          <w:rFonts w:cs="Arial"/>
          <w:color w:val="000000"/>
          <w:szCs w:val="24"/>
        </w:rPr>
      </w:pPr>
      <w:r w:rsidRPr="00177153">
        <w:rPr>
          <w:rFonts w:cs="Arial"/>
          <w:color w:val="000000"/>
          <w:szCs w:val="24"/>
        </w:rPr>
        <w:t>The procurement strategy has an important role in setting out how an organisation runs its procurement function. The procurement strategy allows an organisation to provide a strategic focus for its procurement activities, including contract and supplier management, and an overview on how its approach to procurement supports its broader aims and objectives. Documenting a procurement strategy and establishing a review process will:</w:t>
      </w:r>
    </w:p>
    <w:p w14:paraId="121E7410" w14:textId="77777777" w:rsidR="00177153" w:rsidRPr="00177153" w:rsidRDefault="00177153" w:rsidP="00177153">
      <w:pPr>
        <w:spacing w:before="40" w:after="40" w:line="276" w:lineRule="auto"/>
        <w:ind w:left="686"/>
        <w:rPr>
          <w:rFonts w:cs="Arial"/>
          <w:color w:val="000000"/>
          <w:szCs w:val="24"/>
        </w:rPr>
      </w:pPr>
    </w:p>
    <w:p w14:paraId="35574CCD" w14:textId="77777777" w:rsidR="00177153" w:rsidRPr="00177153" w:rsidRDefault="00177153" w:rsidP="00177153">
      <w:pPr>
        <w:pStyle w:val="ListParagraph"/>
        <w:numPr>
          <w:ilvl w:val="2"/>
          <w:numId w:val="8"/>
        </w:numPr>
        <w:spacing w:before="40" w:after="40" w:line="276" w:lineRule="auto"/>
        <w:rPr>
          <w:rFonts w:ascii="Arial" w:hAnsi="Arial" w:cs="Arial"/>
          <w:color w:val="000000"/>
          <w:sz w:val="24"/>
          <w:szCs w:val="24"/>
        </w:rPr>
      </w:pPr>
      <w:r w:rsidRPr="00177153">
        <w:rPr>
          <w:rFonts w:ascii="Arial" w:hAnsi="Arial" w:cs="Arial"/>
          <w:color w:val="000000"/>
          <w:sz w:val="24"/>
          <w:szCs w:val="24"/>
        </w:rPr>
        <w:t>help with strategic planning;</w:t>
      </w:r>
    </w:p>
    <w:p w14:paraId="712A16C8" w14:textId="77777777" w:rsidR="00177153" w:rsidRPr="00177153" w:rsidRDefault="00177153" w:rsidP="00177153">
      <w:pPr>
        <w:pStyle w:val="ListParagraph"/>
        <w:numPr>
          <w:ilvl w:val="2"/>
          <w:numId w:val="8"/>
        </w:numPr>
        <w:spacing w:before="40" w:after="40" w:line="276" w:lineRule="auto"/>
        <w:rPr>
          <w:rFonts w:ascii="Arial" w:hAnsi="Arial" w:cs="Arial"/>
          <w:color w:val="000000"/>
          <w:sz w:val="24"/>
          <w:szCs w:val="24"/>
        </w:rPr>
      </w:pPr>
      <w:r w:rsidRPr="00177153">
        <w:rPr>
          <w:rFonts w:ascii="Arial" w:hAnsi="Arial" w:cs="Arial"/>
          <w:color w:val="000000"/>
          <w:sz w:val="24"/>
          <w:szCs w:val="24"/>
        </w:rPr>
        <w:t>increase transparency and visibility;</w:t>
      </w:r>
    </w:p>
    <w:p w14:paraId="76B8ED57" w14:textId="77777777" w:rsidR="00177153" w:rsidRPr="00177153" w:rsidRDefault="00177153" w:rsidP="00177153">
      <w:pPr>
        <w:pStyle w:val="ListParagraph"/>
        <w:numPr>
          <w:ilvl w:val="2"/>
          <w:numId w:val="8"/>
        </w:numPr>
        <w:spacing w:before="40" w:after="40" w:line="276" w:lineRule="auto"/>
        <w:rPr>
          <w:rFonts w:ascii="Arial" w:hAnsi="Arial" w:cs="Arial"/>
          <w:color w:val="000000"/>
          <w:sz w:val="24"/>
          <w:szCs w:val="24"/>
        </w:rPr>
      </w:pPr>
      <w:proofErr w:type="gramStart"/>
      <w:r w:rsidRPr="00177153">
        <w:rPr>
          <w:rFonts w:ascii="Arial" w:hAnsi="Arial" w:cs="Arial"/>
          <w:color w:val="000000"/>
          <w:sz w:val="24"/>
          <w:szCs w:val="24"/>
        </w:rPr>
        <w:t>provide</w:t>
      </w:r>
      <w:proofErr w:type="gramEnd"/>
      <w:r w:rsidRPr="00177153">
        <w:rPr>
          <w:rFonts w:ascii="Arial" w:hAnsi="Arial" w:cs="Arial"/>
          <w:color w:val="000000"/>
          <w:sz w:val="24"/>
          <w:szCs w:val="24"/>
        </w:rPr>
        <w:t xml:space="preserve"> a better basis for engagement and remove unnecessary inconsistencies.</w:t>
      </w:r>
    </w:p>
    <w:p w14:paraId="3EB87DE5" w14:textId="7496F093" w:rsidR="00430C09" w:rsidRDefault="00177153" w:rsidP="00177153">
      <w:pPr>
        <w:spacing w:before="40" w:after="40" w:line="276" w:lineRule="auto"/>
        <w:ind w:left="686"/>
        <w:rPr>
          <w:rFonts w:cs="Arial"/>
          <w:color w:val="000000"/>
          <w:szCs w:val="24"/>
        </w:rPr>
      </w:pPr>
      <w:r w:rsidRPr="00177153">
        <w:rPr>
          <w:rFonts w:cs="Arial"/>
          <w:color w:val="000000"/>
          <w:szCs w:val="24"/>
        </w:rPr>
        <w:t>In general terms, the procurement strategy should demonstrate how the organisation's approach to procurement supports delivery of its broader aims and objectives. An important part of the procurement strategy preparation process for and organisation will be assessing its aims and objectives with the resources available to it. Inevitably priorities will have to be established and it is expected that these will be consistent with, and support, the organisation's overarching ambitions.</w:t>
      </w:r>
    </w:p>
    <w:p w14:paraId="5D9821CD" w14:textId="6E589F1A" w:rsidR="00D25F6B" w:rsidRDefault="00D25F6B" w:rsidP="00177153">
      <w:pPr>
        <w:spacing w:before="40" w:after="40" w:line="276" w:lineRule="auto"/>
        <w:ind w:left="686"/>
        <w:rPr>
          <w:rFonts w:cs="Arial"/>
          <w:color w:val="000000"/>
          <w:szCs w:val="24"/>
        </w:rPr>
      </w:pPr>
    </w:p>
    <w:p w14:paraId="58DC9551" w14:textId="5DE6C19B" w:rsidR="00D25F6B" w:rsidRDefault="00D25F6B" w:rsidP="00177153">
      <w:pPr>
        <w:spacing w:before="40" w:after="40" w:line="276" w:lineRule="auto"/>
        <w:ind w:left="686"/>
        <w:rPr>
          <w:rFonts w:cs="Arial"/>
          <w:color w:val="000000"/>
          <w:szCs w:val="24"/>
        </w:rPr>
      </w:pPr>
      <w:r>
        <w:rPr>
          <w:rFonts w:cs="Arial"/>
          <w:color w:val="000000"/>
          <w:szCs w:val="24"/>
        </w:rPr>
        <w:t>As such the procurement strategy includes the following as key priorities:</w:t>
      </w:r>
    </w:p>
    <w:p w14:paraId="789E4C1E" w14:textId="5D48A23F" w:rsidR="00D25F6B" w:rsidRPr="00D25F6B" w:rsidRDefault="00D25F6B" w:rsidP="00D25F6B">
      <w:pPr>
        <w:pStyle w:val="ListParagraph"/>
        <w:numPr>
          <w:ilvl w:val="2"/>
          <w:numId w:val="8"/>
        </w:numPr>
        <w:spacing w:before="40" w:after="40" w:line="276" w:lineRule="auto"/>
        <w:rPr>
          <w:rFonts w:ascii="Arial" w:hAnsi="Arial" w:cs="Arial"/>
          <w:color w:val="000000"/>
          <w:sz w:val="24"/>
          <w:szCs w:val="24"/>
        </w:rPr>
      </w:pPr>
      <w:r w:rsidRPr="00D25F6B">
        <w:rPr>
          <w:rFonts w:ascii="Arial" w:hAnsi="Arial" w:cs="Arial"/>
          <w:color w:val="000000"/>
          <w:sz w:val="24"/>
          <w:szCs w:val="24"/>
        </w:rPr>
        <w:t>Continuing the quest for best value</w:t>
      </w:r>
    </w:p>
    <w:p w14:paraId="4685324A" w14:textId="1213348E" w:rsidR="00D25F6B" w:rsidRPr="00D25F6B" w:rsidRDefault="00D25F6B" w:rsidP="00D25F6B">
      <w:pPr>
        <w:pStyle w:val="ListParagraph"/>
        <w:numPr>
          <w:ilvl w:val="2"/>
          <w:numId w:val="8"/>
        </w:numPr>
        <w:spacing w:before="40" w:after="40" w:line="276" w:lineRule="auto"/>
        <w:rPr>
          <w:rFonts w:ascii="Arial" w:hAnsi="Arial" w:cs="Arial"/>
          <w:color w:val="000000"/>
          <w:sz w:val="24"/>
          <w:szCs w:val="24"/>
        </w:rPr>
      </w:pPr>
      <w:r w:rsidRPr="00D25F6B">
        <w:rPr>
          <w:rFonts w:ascii="Arial" w:hAnsi="Arial" w:cs="Arial"/>
          <w:color w:val="000000"/>
          <w:sz w:val="24"/>
          <w:szCs w:val="24"/>
        </w:rPr>
        <w:t>Sustainable Procurement</w:t>
      </w:r>
    </w:p>
    <w:p w14:paraId="05D3E117" w14:textId="36EB4669" w:rsidR="00D25F6B" w:rsidRPr="00D25F6B" w:rsidRDefault="00D25F6B" w:rsidP="00D25F6B">
      <w:pPr>
        <w:pStyle w:val="ListParagraph"/>
        <w:numPr>
          <w:ilvl w:val="2"/>
          <w:numId w:val="8"/>
        </w:numPr>
        <w:spacing w:before="40" w:after="40" w:line="276" w:lineRule="auto"/>
        <w:rPr>
          <w:rFonts w:ascii="Arial" w:hAnsi="Arial" w:cs="Arial"/>
          <w:color w:val="000000"/>
          <w:sz w:val="24"/>
          <w:szCs w:val="24"/>
        </w:rPr>
      </w:pPr>
      <w:r w:rsidRPr="00D25F6B">
        <w:rPr>
          <w:rFonts w:ascii="Arial" w:hAnsi="Arial" w:cs="Arial"/>
          <w:color w:val="000000"/>
          <w:sz w:val="24"/>
          <w:szCs w:val="24"/>
        </w:rPr>
        <w:t>Promoting Equality and Tackling inequalities</w:t>
      </w:r>
    </w:p>
    <w:p w14:paraId="7AF8ECC1" w14:textId="36D68BD9" w:rsidR="00D25F6B" w:rsidRPr="00D25F6B" w:rsidRDefault="00D25F6B" w:rsidP="00D25F6B">
      <w:pPr>
        <w:pStyle w:val="ListParagraph"/>
        <w:numPr>
          <w:ilvl w:val="2"/>
          <w:numId w:val="8"/>
        </w:numPr>
        <w:spacing w:before="40" w:after="40" w:line="276" w:lineRule="auto"/>
        <w:rPr>
          <w:rFonts w:ascii="Arial" w:hAnsi="Arial" w:cs="Arial"/>
          <w:color w:val="000000"/>
          <w:sz w:val="24"/>
          <w:szCs w:val="24"/>
        </w:rPr>
      </w:pPr>
      <w:r w:rsidRPr="00D25F6B">
        <w:rPr>
          <w:rFonts w:ascii="Arial" w:hAnsi="Arial" w:cs="Arial"/>
          <w:color w:val="000000"/>
          <w:sz w:val="24"/>
          <w:szCs w:val="24"/>
        </w:rPr>
        <w:t>Collaborative working</w:t>
      </w:r>
    </w:p>
    <w:p w14:paraId="5FBFD26E" w14:textId="5251A101" w:rsidR="00D25F6B" w:rsidRPr="00D25F6B" w:rsidRDefault="00D25F6B" w:rsidP="00D25F6B">
      <w:pPr>
        <w:pStyle w:val="ListParagraph"/>
        <w:numPr>
          <w:ilvl w:val="2"/>
          <w:numId w:val="8"/>
        </w:numPr>
        <w:spacing w:before="40" w:after="40" w:line="276" w:lineRule="auto"/>
        <w:rPr>
          <w:rFonts w:ascii="Arial" w:hAnsi="Arial" w:cs="Arial"/>
          <w:color w:val="000000"/>
          <w:sz w:val="24"/>
          <w:szCs w:val="24"/>
        </w:rPr>
      </w:pPr>
      <w:r w:rsidRPr="00D25F6B">
        <w:rPr>
          <w:rFonts w:ascii="Arial" w:hAnsi="Arial" w:cs="Arial"/>
          <w:color w:val="000000"/>
          <w:sz w:val="24"/>
          <w:szCs w:val="24"/>
        </w:rPr>
        <w:t>Team development</w:t>
      </w:r>
    </w:p>
    <w:p w14:paraId="209A93D5" w14:textId="2AABEEC6" w:rsidR="00D25F6B" w:rsidRPr="00D25F6B" w:rsidRDefault="00D25F6B" w:rsidP="00D25F6B">
      <w:pPr>
        <w:pStyle w:val="ListParagraph"/>
        <w:numPr>
          <w:ilvl w:val="2"/>
          <w:numId w:val="8"/>
        </w:numPr>
        <w:spacing w:before="40" w:after="40" w:line="276" w:lineRule="auto"/>
        <w:rPr>
          <w:rFonts w:ascii="Arial" w:hAnsi="Arial" w:cs="Arial"/>
          <w:color w:val="000000"/>
          <w:sz w:val="24"/>
          <w:szCs w:val="24"/>
        </w:rPr>
      </w:pPr>
      <w:r w:rsidRPr="00D25F6B">
        <w:rPr>
          <w:rFonts w:ascii="Arial" w:hAnsi="Arial" w:cs="Arial"/>
          <w:color w:val="000000"/>
          <w:sz w:val="24"/>
          <w:szCs w:val="24"/>
        </w:rPr>
        <w:t>Systems and Reporting Improvements</w:t>
      </w:r>
    </w:p>
    <w:p w14:paraId="20F3EAD6" w14:textId="0C5DB82B" w:rsidR="00D25F6B" w:rsidRPr="00D25F6B" w:rsidRDefault="00D25F6B" w:rsidP="00D25F6B">
      <w:pPr>
        <w:pStyle w:val="ListParagraph"/>
        <w:numPr>
          <w:ilvl w:val="2"/>
          <w:numId w:val="8"/>
        </w:numPr>
        <w:spacing w:before="40" w:after="40" w:line="276" w:lineRule="auto"/>
        <w:rPr>
          <w:rFonts w:ascii="Arial" w:hAnsi="Arial" w:cs="Arial"/>
          <w:color w:val="000000"/>
          <w:sz w:val="24"/>
          <w:szCs w:val="24"/>
        </w:rPr>
      </w:pPr>
      <w:r w:rsidRPr="00D25F6B">
        <w:rPr>
          <w:rFonts w:ascii="Arial" w:hAnsi="Arial" w:cs="Arial"/>
          <w:color w:val="000000"/>
          <w:sz w:val="24"/>
          <w:szCs w:val="24"/>
        </w:rPr>
        <w:t>Links with the Anchor Programme</w:t>
      </w: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432009E5" w14:textId="77777777" w:rsidR="00F3337D" w:rsidRPr="00BF3AF0" w:rsidRDefault="00F3337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796AD2F4" w:rsidR="00F3337D" w:rsidRDefault="00D25F6B" w:rsidP="00BF3AF0">
      <w:pPr>
        <w:spacing w:before="40" w:after="40" w:line="276" w:lineRule="auto"/>
        <w:ind w:left="720"/>
        <w:rPr>
          <w:rFonts w:cs="Arial"/>
          <w:color w:val="000000"/>
          <w:szCs w:val="24"/>
        </w:rPr>
      </w:pPr>
      <w:r>
        <w:rPr>
          <w:rFonts w:cs="Arial"/>
          <w:color w:val="000000"/>
          <w:szCs w:val="24"/>
        </w:rPr>
        <w:t xml:space="preserve">The strategy details our overarching key priorities which include best value for goods and services provided to patients. </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4C3D7F7F" w14:textId="65417E1C" w:rsidR="00AA77F7" w:rsidRDefault="00D25F6B" w:rsidP="00BF3AF0">
      <w:pPr>
        <w:spacing w:before="40" w:after="40" w:line="276" w:lineRule="auto"/>
        <w:ind w:left="720"/>
        <w:rPr>
          <w:rFonts w:cs="Arial"/>
          <w:color w:val="000000"/>
          <w:szCs w:val="24"/>
        </w:rPr>
      </w:pPr>
      <w:r>
        <w:rPr>
          <w:rFonts w:cs="Arial"/>
          <w:color w:val="000000"/>
          <w:szCs w:val="24"/>
        </w:rPr>
        <w:t xml:space="preserve">The strategy provides a description of how procurement will operate during this period. The annual procurement report which then details progress against this strategy will provide a better indication as to the level of work completed. </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48C552DA" w14:textId="5A07607B" w:rsidR="00F3337D" w:rsidRPr="00611AA4" w:rsidRDefault="00D25F6B" w:rsidP="00BF3AF0">
      <w:pPr>
        <w:spacing w:before="40" w:after="40" w:line="276" w:lineRule="auto"/>
        <w:ind w:left="720"/>
        <w:rPr>
          <w:rFonts w:cs="Arial"/>
          <w:color w:val="000000"/>
          <w:szCs w:val="24"/>
        </w:rPr>
      </w:pPr>
      <w:r>
        <w:rPr>
          <w:rFonts w:cs="Arial"/>
          <w:color w:val="000000"/>
          <w:szCs w:val="24"/>
        </w:rPr>
        <w:t xml:space="preserve">These aims are against procurements BAU budget. </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B304CC4" w14:textId="682EC73F" w:rsidR="00F3337D" w:rsidRDefault="00D25F6B" w:rsidP="0099637C">
      <w:pPr>
        <w:spacing w:before="40" w:after="40" w:line="276" w:lineRule="auto"/>
        <w:ind w:left="720"/>
        <w:rPr>
          <w:rFonts w:cs="Arial"/>
          <w:color w:val="000000"/>
          <w:szCs w:val="24"/>
        </w:rPr>
      </w:pPr>
      <w:r>
        <w:rPr>
          <w:rFonts w:cs="Arial"/>
          <w:color w:val="000000"/>
          <w:szCs w:val="24"/>
        </w:rPr>
        <w:t xml:space="preserve">The procurement strategy will be freely available publically on the Golden Jubilee external website. It is therefore important that </w:t>
      </w:r>
      <w:r w:rsidR="0099637C">
        <w:rPr>
          <w:rFonts w:cs="Arial"/>
          <w:color w:val="000000"/>
          <w:szCs w:val="24"/>
        </w:rPr>
        <w:t>the aims expressed in the document are genuine, as further information may be requested. Procurement are confident that the strategy is an accurate reflection of our aims.</w:t>
      </w:r>
    </w:p>
    <w:p w14:paraId="46FDCAB4" w14:textId="77777777"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lastRenderedPageBreak/>
        <w:t>2</w:t>
      </w:r>
      <w:r w:rsidR="00BF3AF0">
        <w:t>.3.5</w:t>
      </w:r>
      <w:r w:rsidR="00BF3AF0">
        <w:tab/>
      </w:r>
      <w:r w:rsidR="00F3337D">
        <w:t>Equality and Diversity, including health inequalities</w:t>
      </w:r>
    </w:p>
    <w:p w14:paraId="527290C2" w14:textId="01D19EB6" w:rsidR="00F3337D" w:rsidRPr="0099637C" w:rsidRDefault="0099637C" w:rsidP="00BF3AF0">
      <w:pPr>
        <w:spacing w:before="40" w:after="40" w:line="276" w:lineRule="auto"/>
        <w:ind w:left="720"/>
        <w:rPr>
          <w:rFonts w:cs="Arial"/>
          <w:color w:val="000000"/>
          <w:szCs w:val="24"/>
        </w:rPr>
      </w:pPr>
      <w:r w:rsidRPr="0099637C">
        <w:rPr>
          <w:rFonts w:cs="Arial"/>
          <w:color w:val="000000"/>
          <w:szCs w:val="24"/>
        </w:rPr>
        <w:t xml:space="preserve">The strategy includes a section on equality and diversity and has been reviewed and approved by the equality and inclusion lead. </w:t>
      </w:r>
    </w:p>
    <w:p w14:paraId="1028331A" w14:textId="77777777" w:rsidR="00BF3AF0" w:rsidRPr="00BF3AF0" w:rsidRDefault="00BF3AF0" w:rsidP="00BF3AF0">
      <w:pPr>
        <w:spacing w:before="40" w:after="40" w:line="276" w:lineRule="auto"/>
        <w:ind w:left="720"/>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1C2FD174" w14:textId="77777777" w:rsidR="006C5C9F" w:rsidRPr="00C31C8F" w:rsidRDefault="006C5C9F" w:rsidP="006C5C9F">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14:paraId="1CD0692F" w14:textId="1667096F" w:rsidR="00446219" w:rsidRDefault="0099637C" w:rsidP="0099637C">
      <w:pPr>
        <w:spacing w:before="40" w:after="40" w:line="276" w:lineRule="auto"/>
        <w:ind w:left="720"/>
        <w:rPr>
          <w:rFonts w:cs="Arial"/>
          <w:color w:val="000000"/>
          <w:szCs w:val="24"/>
        </w:rPr>
      </w:pPr>
      <w:r>
        <w:rPr>
          <w:rFonts w:cs="Arial"/>
          <w:color w:val="000000"/>
          <w:szCs w:val="24"/>
        </w:rPr>
        <w:t xml:space="preserve">The strategy includes our aims within sustainable procurement and procurement input into the Anchor Programme. The strategy has also been to the Climate Change and Sustainability Steering Group for review.  </w:t>
      </w:r>
    </w:p>
    <w:p w14:paraId="025FF64A" w14:textId="77777777" w:rsidR="00AA77F7" w:rsidRPr="00F3337D" w:rsidRDefault="00AA77F7" w:rsidP="00F3337D">
      <w:pPr>
        <w:pStyle w:val="ListParagraph"/>
        <w:rPr>
          <w:rFonts w:ascii="Arial" w:hAnsi="Arial" w:cs="Arial"/>
          <w:color w:val="000000"/>
          <w:sz w:val="24"/>
          <w:szCs w:val="24"/>
        </w:rPr>
      </w:pPr>
    </w:p>
    <w:p w14:paraId="3986308C" w14:textId="2094923F" w:rsidR="00F3337D" w:rsidRPr="00B230D4" w:rsidRDefault="00446219" w:rsidP="00F3337D">
      <w:pPr>
        <w:pStyle w:val="Heading3"/>
        <w:numPr>
          <w:ilvl w:val="2"/>
          <w:numId w:val="16"/>
        </w:numPr>
        <w:rPr>
          <w:rFonts w:eastAsia="Times New Roman"/>
        </w:rPr>
      </w:pPr>
      <w:r>
        <w:rPr>
          <w:rFonts w:eastAsia="Times New Roman"/>
        </w:rPr>
        <w:t>Communication, involvement, engagement and consultation</w:t>
      </w:r>
    </w:p>
    <w:p w14:paraId="6C013B7B" w14:textId="2567828D" w:rsidR="00F3337D" w:rsidRPr="00BF3AF0" w:rsidRDefault="00446219" w:rsidP="00AF0530">
      <w:pPr>
        <w:spacing w:before="40" w:after="40" w:line="276" w:lineRule="auto"/>
        <w:ind w:left="720"/>
        <w:rPr>
          <w:rFonts w:cs="Arial"/>
          <w:color w:val="000000"/>
          <w:szCs w:val="24"/>
        </w:rPr>
      </w:pPr>
      <w:r w:rsidRPr="00BF3AF0">
        <w:rPr>
          <w:rFonts w:cs="Arial"/>
          <w:color w:val="000000"/>
          <w:szCs w:val="24"/>
        </w:rPr>
        <w:t xml:space="preserve">The Board has carried out its duties to involve and engage </w:t>
      </w:r>
      <w:r w:rsidR="00AF0530">
        <w:rPr>
          <w:rFonts w:cs="Arial"/>
          <w:color w:val="000000"/>
          <w:szCs w:val="24"/>
        </w:rPr>
        <w:t xml:space="preserve">external </w:t>
      </w:r>
      <w:r w:rsidRPr="00BF3AF0">
        <w:rPr>
          <w:rFonts w:cs="Arial"/>
          <w:color w:val="000000"/>
          <w:szCs w:val="24"/>
        </w:rPr>
        <w:t>stakeholders</w:t>
      </w:r>
      <w:r w:rsidR="00AF0530">
        <w:rPr>
          <w:rFonts w:cs="Arial"/>
          <w:color w:val="000000"/>
          <w:szCs w:val="24"/>
        </w:rPr>
        <w:t xml:space="preserve"> where appropriate</w:t>
      </w:r>
      <w:r w:rsidRPr="00BF3AF0">
        <w:rPr>
          <w:rFonts w:cs="Arial"/>
          <w:color w:val="000000"/>
          <w:szCs w:val="24"/>
        </w:rPr>
        <w:t>:</w:t>
      </w:r>
    </w:p>
    <w:p w14:paraId="0653C89C" w14:textId="66466B07" w:rsidR="00F3337D" w:rsidRDefault="00F3337D" w:rsidP="00F3337D">
      <w:pPr>
        <w:pStyle w:val="ListParagraph"/>
        <w:rPr>
          <w:rFonts w:ascii="Arial" w:hAnsi="Arial" w:cs="Arial"/>
          <w:color w:val="000000"/>
          <w:sz w:val="24"/>
          <w:szCs w:val="24"/>
        </w:rPr>
      </w:pPr>
    </w:p>
    <w:p w14:paraId="3684D68B" w14:textId="401B1046" w:rsidR="00AF0530" w:rsidRDefault="00AF0530" w:rsidP="00F3337D">
      <w:pPr>
        <w:pStyle w:val="ListParagraph"/>
        <w:rPr>
          <w:rFonts w:ascii="Arial" w:hAnsi="Arial" w:cs="Arial"/>
          <w:color w:val="000000"/>
          <w:sz w:val="24"/>
          <w:szCs w:val="24"/>
        </w:rPr>
      </w:pPr>
      <w:r>
        <w:rPr>
          <w:rFonts w:ascii="Arial" w:hAnsi="Arial" w:cs="Arial"/>
          <w:color w:val="000000"/>
          <w:sz w:val="24"/>
          <w:szCs w:val="24"/>
        </w:rPr>
        <w:t>State how his has been carried out and note any meetings that have taken place.</w:t>
      </w:r>
    </w:p>
    <w:p w14:paraId="694C1A74" w14:textId="77777777" w:rsidR="00AF0530" w:rsidRDefault="00AF0530" w:rsidP="00F3337D">
      <w:pPr>
        <w:pStyle w:val="ListParagraph"/>
        <w:rPr>
          <w:rFonts w:ascii="Arial" w:hAnsi="Arial" w:cs="Arial"/>
          <w:color w:val="000000"/>
          <w:sz w:val="24"/>
          <w:szCs w:val="24"/>
        </w:rPr>
      </w:pPr>
    </w:p>
    <w:p w14:paraId="5743C3F0" w14:textId="27D8FAAB" w:rsidR="00446219" w:rsidRPr="001F4081" w:rsidRDefault="0099637C" w:rsidP="00446219">
      <w:pPr>
        <w:pStyle w:val="ListParagraph"/>
        <w:numPr>
          <w:ilvl w:val="0"/>
          <w:numId w:val="4"/>
        </w:numPr>
        <w:spacing w:before="40" w:after="40" w:line="276" w:lineRule="auto"/>
        <w:rPr>
          <w:rFonts w:ascii="Arial" w:hAnsi="Arial" w:cs="Arial"/>
          <w:sz w:val="24"/>
          <w:szCs w:val="24"/>
        </w:rPr>
      </w:pPr>
      <w:r w:rsidRPr="001F4081">
        <w:rPr>
          <w:rFonts w:ascii="Arial" w:hAnsi="Arial" w:cs="Arial"/>
          <w:sz w:val="24"/>
          <w:szCs w:val="24"/>
        </w:rPr>
        <w:t xml:space="preserve">Issued to relevant stakeholders on 8 May </w:t>
      </w:r>
      <w:r w:rsidR="001F4081" w:rsidRPr="001F4081">
        <w:rPr>
          <w:rFonts w:ascii="Arial" w:hAnsi="Arial" w:cs="Arial"/>
          <w:sz w:val="24"/>
          <w:szCs w:val="24"/>
        </w:rPr>
        <w:t xml:space="preserve">2024 </w:t>
      </w:r>
      <w:r w:rsidRPr="001F4081">
        <w:rPr>
          <w:rFonts w:ascii="Arial" w:hAnsi="Arial" w:cs="Arial"/>
          <w:sz w:val="24"/>
          <w:szCs w:val="24"/>
        </w:rPr>
        <w:t>for review:</w:t>
      </w:r>
    </w:p>
    <w:p w14:paraId="7FD6D18D" w14:textId="422C7B2D" w:rsidR="0099637C" w:rsidRPr="001F4081" w:rsidRDefault="0099637C" w:rsidP="0099637C">
      <w:pPr>
        <w:pStyle w:val="ListParagraph"/>
        <w:numPr>
          <w:ilvl w:val="1"/>
          <w:numId w:val="4"/>
        </w:numPr>
        <w:spacing w:before="40" w:after="40" w:line="276" w:lineRule="auto"/>
        <w:rPr>
          <w:rFonts w:ascii="Arial" w:hAnsi="Arial" w:cs="Arial"/>
          <w:sz w:val="24"/>
          <w:szCs w:val="24"/>
        </w:rPr>
      </w:pPr>
      <w:r w:rsidRPr="001F4081">
        <w:rPr>
          <w:rFonts w:ascii="Arial" w:hAnsi="Arial" w:cs="Arial"/>
          <w:sz w:val="24"/>
          <w:szCs w:val="24"/>
        </w:rPr>
        <w:t>Director of Finance (also Assistant Director of Finance)</w:t>
      </w:r>
    </w:p>
    <w:p w14:paraId="4BF1D324" w14:textId="7867EAB5" w:rsidR="0099637C" w:rsidRPr="001F4081" w:rsidRDefault="0099637C" w:rsidP="0099637C">
      <w:pPr>
        <w:pStyle w:val="ListParagraph"/>
        <w:numPr>
          <w:ilvl w:val="1"/>
          <w:numId w:val="4"/>
        </w:numPr>
        <w:spacing w:before="40" w:after="40" w:line="276" w:lineRule="auto"/>
        <w:rPr>
          <w:rFonts w:ascii="Arial" w:hAnsi="Arial" w:cs="Arial"/>
          <w:sz w:val="24"/>
          <w:szCs w:val="24"/>
        </w:rPr>
      </w:pPr>
      <w:r w:rsidRPr="001F4081">
        <w:rPr>
          <w:rFonts w:ascii="Arial" w:hAnsi="Arial" w:cs="Arial"/>
          <w:sz w:val="24"/>
          <w:szCs w:val="24"/>
        </w:rPr>
        <w:t>Director of Transformation, Strategy, Planning and Performance, Executive (</w:t>
      </w:r>
      <w:r w:rsidR="001F4081" w:rsidRPr="001F4081">
        <w:rPr>
          <w:rFonts w:ascii="Arial" w:hAnsi="Arial" w:cs="Arial"/>
          <w:sz w:val="24"/>
          <w:szCs w:val="24"/>
        </w:rPr>
        <w:t>a</w:t>
      </w:r>
      <w:r w:rsidRPr="001F4081">
        <w:rPr>
          <w:rFonts w:ascii="Arial" w:hAnsi="Arial" w:cs="Arial"/>
          <w:sz w:val="24"/>
          <w:szCs w:val="24"/>
        </w:rPr>
        <w:t xml:space="preserve">lso Equality and Inclusion Lead, Head of Programme </w:t>
      </w:r>
      <w:proofErr w:type="spellStart"/>
      <w:r w:rsidRPr="001F4081">
        <w:rPr>
          <w:rFonts w:ascii="Arial" w:hAnsi="Arial" w:cs="Arial"/>
          <w:sz w:val="24"/>
          <w:szCs w:val="24"/>
        </w:rPr>
        <w:t>Mgt</w:t>
      </w:r>
      <w:proofErr w:type="spellEnd"/>
      <w:r w:rsidRPr="001F4081">
        <w:rPr>
          <w:rFonts w:ascii="Arial" w:hAnsi="Arial" w:cs="Arial"/>
          <w:sz w:val="24"/>
          <w:szCs w:val="24"/>
        </w:rPr>
        <w:t xml:space="preserve"> (link to Anchor Programme), </w:t>
      </w:r>
    </w:p>
    <w:p w14:paraId="4A7A864F" w14:textId="77777777" w:rsidR="001F4081" w:rsidRPr="001F4081" w:rsidRDefault="0099637C" w:rsidP="0099637C">
      <w:pPr>
        <w:pStyle w:val="ListParagraph"/>
        <w:numPr>
          <w:ilvl w:val="1"/>
          <w:numId w:val="4"/>
        </w:numPr>
        <w:spacing w:before="40" w:after="40" w:line="276" w:lineRule="auto"/>
        <w:rPr>
          <w:rFonts w:ascii="Arial" w:hAnsi="Arial" w:cs="Arial"/>
          <w:sz w:val="24"/>
          <w:szCs w:val="24"/>
        </w:rPr>
      </w:pPr>
      <w:r w:rsidRPr="001F4081">
        <w:rPr>
          <w:rFonts w:ascii="Arial" w:hAnsi="Arial" w:cs="Arial"/>
          <w:sz w:val="24"/>
          <w:szCs w:val="24"/>
        </w:rPr>
        <w:t>Deputy Director of Estates (</w:t>
      </w:r>
      <w:r w:rsidR="001F4081" w:rsidRPr="001F4081">
        <w:rPr>
          <w:rFonts w:ascii="Arial" w:hAnsi="Arial" w:cs="Arial"/>
          <w:sz w:val="24"/>
          <w:szCs w:val="24"/>
        </w:rPr>
        <w:t>also Sustainability Manager)</w:t>
      </w:r>
    </w:p>
    <w:p w14:paraId="3792E705" w14:textId="73CA593A" w:rsidR="0099637C" w:rsidRPr="001F4081" w:rsidRDefault="001F4081" w:rsidP="0099637C">
      <w:pPr>
        <w:pStyle w:val="ListParagraph"/>
        <w:numPr>
          <w:ilvl w:val="1"/>
          <w:numId w:val="4"/>
        </w:numPr>
        <w:spacing w:before="40" w:after="40" w:line="276" w:lineRule="auto"/>
        <w:rPr>
          <w:rFonts w:ascii="Arial" w:hAnsi="Arial" w:cs="Arial"/>
          <w:sz w:val="24"/>
          <w:szCs w:val="24"/>
        </w:rPr>
      </w:pPr>
      <w:r w:rsidRPr="001F4081">
        <w:rPr>
          <w:rFonts w:ascii="Arial" w:hAnsi="Arial" w:cs="Arial"/>
          <w:sz w:val="24"/>
          <w:szCs w:val="24"/>
        </w:rPr>
        <w:t>Comms Team</w:t>
      </w:r>
      <w:r w:rsidR="0099637C" w:rsidRPr="001F4081">
        <w:rPr>
          <w:rFonts w:ascii="Arial" w:hAnsi="Arial" w:cs="Arial"/>
          <w:sz w:val="24"/>
          <w:szCs w:val="24"/>
        </w:rPr>
        <w:t xml:space="preserve"> </w:t>
      </w:r>
    </w:p>
    <w:p w14:paraId="46E05957" w14:textId="77777777" w:rsidR="00B851FC" w:rsidRPr="00446219" w:rsidRDefault="00B851FC" w:rsidP="00B851FC">
      <w:pPr>
        <w:pStyle w:val="ListParagraph"/>
        <w:spacing w:before="40" w:after="40" w:line="276" w:lineRule="auto"/>
        <w:ind w:left="1080"/>
        <w:rPr>
          <w:rFonts w:ascii="Arial" w:hAnsi="Arial" w:cs="Arial"/>
          <w:sz w:val="24"/>
          <w:szCs w:val="24"/>
          <w:highlight w:val="lightGray"/>
        </w:rPr>
      </w:pPr>
    </w:p>
    <w:p w14:paraId="786BB218" w14:textId="5B2CBBFB" w:rsidR="00446219" w:rsidRPr="00446219" w:rsidRDefault="00446219" w:rsidP="00446219">
      <w:pPr>
        <w:pStyle w:val="Heading3"/>
        <w:numPr>
          <w:ilvl w:val="2"/>
          <w:numId w:val="16"/>
        </w:numPr>
      </w:pPr>
      <w:r>
        <w:t>Route to the Meeting</w:t>
      </w:r>
    </w:p>
    <w:p w14:paraId="569C3A74" w14:textId="77777777" w:rsidR="00446219" w:rsidRPr="00BF3AF0" w:rsidRDefault="00446219" w:rsidP="00BF3AF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427B582C" w14:textId="77777777" w:rsidR="00430C09" w:rsidRPr="00DB4216" w:rsidRDefault="00430C09" w:rsidP="00446219">
      <w:pPr>
        <w:pStyle w:val="ListParagraph"/>
        <w:spacing w:before="40" w:after="40" w:line="276" w:lineRule="auto"/>
        <w:ind w:left="394"/>
        <w:rPr>
          <w:rFonts w:ascii="Arial" w:hAnsi="Arial" w:cs="Arial"/>
          <w:color w:val="000000"/>
          <w:sz w:val="24"/>
          <w:szCs w:val="24"/>
        </w:rPr>
      </w:pPr>
    </w:p>
    <w:p w14:paraId="7B6B70B6" w14:textId="77777777" w:rsidR="001F4081" w:rsidRPr="001F4081" w:rsidRDefault="001F4081" w:rsidP="001F4081">
      <w:pPr>
        <w:pStyle w:val="ListParagraph"/>
        <w:numPr>
          <w:ilvl w:val="0"/>
          <w:numId w:val="5"/>
        </w:numPr>
        <w:spacing w:before="40" w:after="40" w:line="276" w:lineRule="auto"/>
        <w:rPr>
          <w:rFonts w:ascii="Arial" w:hAnsi="Arial" w:cs="Arial"/>
          <w:sz w:val="24"/>
          <w:szCs w:val="24"/>
        </w:rPr>
      </w:pPr>
      <w:r w:rsidRPr="001F4081">
        <w:rPr>
          <w:rFonts w:ascii="Arial" w:hAnsi="Arial" w:cs="Arial"/>
          <w:sz w:val="24"/>
          <w:szCs w:val="24"/>
        </w:rPr>
        <w:t>Climate Change and Sustainability Steering Group 17 June 2024</w:t>
      </w:r>
    </w:p>
    <w:p w14:paraId="41ED7514" w14:textId="77777777"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6BF1E589" w14:textId="40D340D0" w:rsidR="00BF3AF0" w:rsidRPr="001F4081" w:rsidRDefault="00BF3AF0" w:rsidP="001F4081">
      <w:pPr>
        <w:spacing w:before="40" w:after="40" w:line="276" w:lineRule="auto"/>
        <w:rPr>
          <w:rFonts w:cs="Arial"/>
          <w:color w:val="000000"/>
          <w:szCs w:val="24"/>
        </w:rPr>
      </w:pPr>
    </w:p>
    <w:p w14:paraId="39FFABC9" w14:textId="66BF65B3" w:rsidR="00BF3AF0" w:rsidRPr="001F4081" w:rsidRDefault="00A854DD" w:rsidP="00BF3AF0">
      <w:pPr>
        <w:numPr>
          <w:ilvl w:val="0"/>
          <w:numId w:val="1"/>
        </w:numPr>
        <w:spacing w:before="40" w:after="40" w:line="276" w:lineRule="auto"/>
        <w:ind w:hanging="252"/>
        <w:rPr>
          <w:rFonts w:cs="Arial"/>
          <w:color w:val="000000"/>
          <w:szCs w:val="24"/>
        </w:rPr>
      </w:pPr>
      <w:r>
        <w:rPr>
          <w:rFonts w:cs="Arial"/>
          <w:b/>
          <w:color w:val="000000"/>
          <w:szCs w:val="24"/>
        </w:rPr>
        <w:t xml:space="preserve">Approval </w:t>
      </w:r>
      <w:r w:rsidR="00BF3AF0" w:rsidRPr="001F4081">
        <w:rPr>
          <w:rFonts w:cs="Arial"/>
          <w:color w:val="000000"/>
          <w:szCs w:val="24"/>
        </w:rPr>
        <w:t>–</w:t>
      </w:r>
      <w:r w:rsidR="001F4081" w:rsidRPr="001F4081">
        <w:rPr>
          <w:rFonts w:cs="Arial"/>
          <w:color w:val="000000"/>
          <w:szCs w:val="24"/>
        </w:rPr>
        <w:t>to progress to the following groups, prior to publication on the GJ external website:</w:t>
      </w:r>
    </w:p>
    <w:p w14:paraId="40D1CEE9" w14:textId="77777777" w:rsidR="001F4081" w:rsidRPr="001F4081" w:rsidRDefault="001F4081" w:rsidP="001F4081">
      <w:pPr>
        <w:pStyle w:val="ListParagraph"/>
        <w:numPr>
          <w:ilvl w:val="1"/>
          <w:numId w:val="1"/>
        </w:numPr>
        <w:spacing w:before="40" w:after="40" w:line="276" w:lineRule="auto"/>
        <w:rPr>
          <w:rFonts w:ascii="Arial" w:hAnsi="Arial" w:cs="Arial"/>
          <w:sz w:val="24"/>
          <w:szCs w:val="24"/>
        </w:rPr>
      </w:pPr>
      <w:r w:rsidRPr="001F4081">
        <w:rPr>
          <w:rFonts w:ascii="Arial" w:hAnsi="Arial" w:cs="Arial"/>
          <w:sz w:val="24"/>
          <w:szCs w:val="24"/>
        </w:rPr>
        <w:t>ARC                16 July 2024</w:t>
      </w:r>
    </w:p>
    <w:p w14:paraId="4BFB984F" w14:textId="786E05B3" w:rsidR="001F4081" w:rsidRDefault="001F4081" w:rsidP="001F4081">
      <w:pPr>
        <w:pStyle w:val="ListParagraph"/>
        <w:numPr>
          <w:ilvl w:val="1"/>
          <w:numId w:val="1"/>
        </w:numPr>
        <w:spacing w:before="40" w:after="40" w:line="276" w:lineRule="auto"/>
        <w:rPr>
          <w:rFonts w:ascii="Arial" w:hAnsi="Arial" w:cs="Arial"/>
          <w:sz w:val="24"/>
          <w:szCs w:val="24"/>
        </w:rPr>
      </w:pPr>
      <w:r w:rsidRPr="001F4081">
        <w:rPr>
          <w:rFonts w:ascii="Arial" w:hAnsi="Arial" w:cs="Arial"/>
          <w:sz w:val="24"/>
          <w:szCs w:val="24"/>
        </w:rPr>
        <w:t>Board              25 July 2024</w:t>
      </w:r>
    </w:p>
    <w:p w14:paraId="2FDDA953" w14:textId="3F270AE6" w:rsidR="00B032B5" w:rsidRDefault="00B032B5" w:rsidP="00793E14">
      <w:pPr>
        <w:pStyle w:val="ListParagraph"/>
        <w:numPr>
          <w:ilvl w:val="1"/>
          <w:numId w:val="1"/>
        </w:numPr>
        <w:tabs>
          <w:tab w:val="left" w:pos="3261"/>
        </w:tabs>
        <w:spacing w:before="40" w:after="40" w:line="276" w:lineRule="auto"/>
        <w:rPr>
          <w:rFonts w:ascii="Arial" w:hAnsi="Arial" w:cs="Arial"/>
          <w:sz w:val="24"/>
          <w:szCs w:val="24"/>
        </w:rPr>
      </w:pPr>
      <w:r>
        <w:rPr>
          <w:rFonts w:ascii="Arial" w:hAnsi="Arial" w:cs="Arial"/>
          <w:sz w:val="24"/>
          <w:szCs w:val="24"/>
        </w:rPr>
        <w:t>FPC</w:t>
      </w:r>
      <w:r>
        <w:rPr>
          <w:rFonts w:ascii="Arial" w:hAnsi="Arial" w:cs="Arial"/>
          <w:sz w:val="24"/>
          <w:szCs w:val="24"/>
        </w:rPr>
        <w:tab/>
      </w:r>
      <w:r w:rsidR="00793E14">
        <w:rPr>
          <w:rFonts w:ascii="Arial" w:hAnsi="Arial" w:cs="Arial"/>
          <w:sz w:val="24"/>
          <w:szCs w:val="24"/>
        </w:rPr>
        <w:t>11 July 2024</w:t>
      </w:r>
      <w:r>
        <w:rPr>
          <w:rFonts w:ascii="Arial" w:hAnsi="Arial" w:cs="Arial"/>
          <w:sz w:val="24"/>
          <w:szCs w:val="24"/>
        </w:rPr>
        <w:tab/>
      </w:r>
    </w:p>
    <w:p w14:paraId="33F4FC6D" w14:textId="77777777" w:rsidR="002E35FA" w:rsidRPr="001F4081" w:rsidRDefault="002E35FA" w:rsidP="002E35FA">
      <w:pPr>
        <w:pStyle w:val="ListParagraph"/>
        <w:spacing w:before="40" w:after="40" w:line="276" w:lineRule="auto"/>
        <w:ind w:left="1692"/>
        <w:rPr>
          <w:rFonts w:ascii="Arial" w:hAnsi="Arial" w:cs="Arial"/>
          <w:sz w:val="24"/>
          <w:szCs w:val="24"/>
        </w:rPr>
      </w:pPr>
    </w:p>
    <w:p w14:paraId="41D54961" w14:textId="430A05B5" w:rsidR="001F4081" w:rsidRDefault="002E35FA" w:rsidP="002E35FA">
      <w:pPr>
        <w:spacing w:before="40" w:after="40" w:line="276" w:lineRule="auto"/>
        <w:ind w:left="525"/>
        <w:rPr>
          <w:rFonts w:cs="Arial"/>
          <w:color w:val="000000"/>
          <w:szCs w:val="24"/>
        </w:rPr>
      </w:pPr>
      <w:r w:rsidRPr="002E35FA">
        <w:rPr>
          <w:rFonts w:cs="Arial"/>
          <w:color w:val="000000"/>
          <w:szCs w:val="24"/>
        </w:rPr>
        <w:t>It should be noted that the paper was approved at ELT on 25</w:t>
      </w:r>
      <w:r w:rsidRPr="002E35FA">
        <w:rPr>
          <w:rFonts w:cs="Arial"/>
          <w:color w:val="000000"/>
          <w:szCs w:val="24"/>
          <w:vertAlign w:val="superscript"/>
        </w:rPr>
        <w:t>th</w:t>
      </w:r>
      <w:r w:rsidRPr="002E35FA">
        <w:rPr>
          <w:rFonts w:cs="Arial"/>
          <w:color w:val="000000"/>
          <w:szCs w:val="24"/>
        </w:rPr>
        <w:t xml:space="preserve"> June</w:t>
      </w:r>
      <w:r w:rsidR="00B032B5">
        <w:rPr>
          <w:rFonts w:cs="Arial"/>
          <w:color w:val="000000"/>
          <w:szCs w:val="24"/>
        </w:rPr>
        <w:t>, ARC on 16</w:t>
      </w:r>
      <w:r w:rsidR="00B032B5" w:rsidRPr="00B032B5">
        <w:rPr>
          <w:rFonts w:cs="Arial"/>
          <w:color w:val="000000"/>
          <w:szCs w:val="24"/>
          <w:vertAlign w:val="superscript"/>
        </w:rPr>
        <w:t>th</w:t>
      </w:r>
      <w:r w:rsidR="00B032B5">
        <w:rPr>
          <w:rFonts w:cs="Arial"/>
          <w:color w:val="000000"/>
          <w:szCs w:val="24"/>
        </w:rPr>
        <w:t xml:space="preserve"> July, and FPC on 11</w:t>
      </w:r>
      <w:r w:rsidR="00B032B5" w:rsidRPr="00B032B5">
        <w:rPr>
          <w:rFonts w:cs="Arial"/>
          <w:color w:val="000000"/>
          <w:szCs w:val="24"/>
          <w:vertAlign w:val="superscript"/>
        </w:rPr>
        <w:t>th</w:t>
      </w:r>
      <w:r w:rsidR="00B032B5">
        <w:rPr>
          <w:rFonts w:cs="Arial"/>
          <w:color w:val="000000"/>
          <w:szCs w:val="24"/>
        </w:rPr>
        <w:t xml:space="preserve"> July</w:t>
      </w:r>
      <w:r w:rsidRPr="002E35FA">
        <w:rPr>
          <w:rFonts w:cs="Arial"/>
          <w:color w:val="000000"/>
          <w:szCs w:val="24"/>
        </w:rPr>
        <w:t xml:space="preserve"> – a couple of amendments have been made (see version control in the strategy) these were:</w:t>
      </w:r>
    </w:p>
    <w:p w14:paraId="7289DA66" w14:textId="77777777" w:rsidR="00793E14" w:rsidRPr="002E35FA" w:rsidRDefault="00793E14" w:rsidP="002E35FA">
      <w:pPr>
        <w:spacing w:before="40" w:after="40" w:line="276" w:lineRule="auto"/>
        <w:ind w:left="525"/>
        <w:rPr>
          <w:rFonts w:cs="Arial"/>
          <w:color w:val="000000"/>
          <w:szCs w:val="24"/>
        </w:rPr>
      </w:pPr>
    </w:p>
    <w:p w14:paraId="70ADFB25" w14:textId="77777777" w:rsidR="002E35FA" w:rsidRPr="002E35FA" w:rsidRDefault="002E35FA" w:rsidP="002E35FA">
      <w:pPr>
        <w:pStyle w:val="ListParagraph"/>
        <w:numPr>
          <w:ilvl w:val="0"/>
          <w:numId w:val="1"/>
        </w:numPr>
        <w:spacing w:before="40" w:after="40" w:line="276" w:lineRule="auto"/>
        <w:rPr>
          <w:rFonts w:ascii="Arial" w:hAnsi="Arial" w:cs="Arial"/>
          <w:color w:val="000000"/>
          <w:sz w:val="24"/>
          <w:szCs w:val="24"/>
        </w:rPr>
      </w:pPr>
      <w:r w:rsidRPr="002E35FA">
        <w:rPr>
          <w:rFonts w:ascii="Arial" w:hAnsi="Arial" w:cs="Arial"/>
          <w:color w:val="000000"/>
          <w:sz w:val="24"/>
          <w:szCs w:val="24"/>
        </w:rPr>
        <w:t>Add NHS Scotland Academy to the introduction section</w:t>
      </w:r>
    </w:p>
    <w:p w14:paraId="76146753" w14:textId="77777777" w:rsidR="002E35FA" w:rsidRPr="002E35FA" w:rsidRDefault="002E35FA" w:rsidP="002E35FA">
      <w:pPr>
        <w:pStyle w:val="ListParagraph"/>
        <w:numPr>
          <w:ilvl w:val="0"/>
          <w:numId w:val="1"/>
        </w:numPr>
        <w:spacing w:before="40" w:after="40" w:line="276" w:lineRule="auto"/>
        <w:rPr>
          <w:rFonts w:ascii="Arial" w:hAnsi="Arial" w:cs="Arial"/>
          <w:color w:val="000000"/>
          <w:sz w:val="24"/>
          <w:szCs w:val="24"/>
        </w:rPr>
      </w:pPr>
      <w:r w:rsidRPr="002E35FA">
        <w:rPr>
          <w:rFonts w:ascii="Arial" w:hAnsi="Arial" w:cs="Arial"/>
          <w:color w:val="000000"/>
          <w:sz w:val="24"/>
          <w:szCs w:val="24"/>
        </w:rPr>
        <w:lastRenderedPageBreak/>
        <w:t>Add GAP reports to the monitoring and reporting section</w:t>
      </w:r>
    </w:p>
    <w:p w14:paraId="206E10F8" w14:textId="51E585FC" w:rsidR="00446219" w:rsidRPr="00B230D4" w:rsidRDefault="002E35FA" w:rsidP="00B230D4">
      <w:pPr>
        <w:pStyle w:val="ListParagraph"/>
        <w:numPr>
          <w:ilvl w:val="0"/>
          <w:numId w:val="1"/>
        </w:numPr>
        <w:spacing w:before="40" w:after="40" w:line="276" w:lineRule="auto"/>
        <w:rPr>
          <w:rFonts w:ascii="Arial" w:hAnsi="Arial" w:cs="Arial"/>
          <w:color w:val="000000"/>
          <w:sz w:val="24"/>
          <w:szCs w:val="24"/>
        </w:rPr>
      </w:pPr>
      <w:r w:rsidRPr="002E35FA">
        <w:rPr>
          <w:rFonts w:ascii="Arial" w:hAnsi="Arial" w:cs="Arial"/>
          <w:color w:val="000000"/>
          <w:sz w:val="24"/>
          <w:szCs w:val="24"/>
        </w:rPr>
        <w:t xml:space="preserve">Complete a EQIA (now complete and approved) </w:t>
      </w:r>
    </w:p>
    <w:p w14:paraId="398DB07E" w14:textId="77777777" w:rsidR="00C87B62" w:rsidRDefault="00C87B62"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45DEC03E" w14:textId="77777777" w:rsidR="00C87B62" w:rsidRDefault="00C87B62" w:rsidP="00C87B62">
      <w:pPr>
        <w:spacing w:before="40" w:after="40" w:line="276" w:lineRule="auto"/>
        <w:rPr>
          <w:rFonts w:cs="Arial"/>
          <w:color w:val="000000" w:themeColor="text1"/>
          <w:szCs w:val="24"/>
        </w:rPr>
      </w:pPr>
    </w:p>
    <w:p w14:paraId="0D81E75D" w14:textId="406BE939"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4B959049" w14:textId="77777777" w:rsidR="00C87B62" w:rsidRDefault="00C87B62" w:rsidP="00C87B62">
      <w:pPr>
        <w:pStyle w:val="ListParagraph"/>
        <w:spacing w:before="40" w:after="40" w:line="276" w:lineRule="auto"/>
        <w:ind w:left="1253"/>
        <w:rPr>
          <w:rFonts w:ascii="Arial" w:hAnsi="Arial" w:cs="Arial"/>
          <w:color w:val="000000" w:themeColor="text1"/>
          <w:sz w:val="24"/>
          <w:szCs w:val="24"/>
        </w:rPr>
      </w:pPr>
    </w:p>
    <w:p w14:paraId="66811F5C" w14:textId="0039EEE4" w:rsidR="00C87B62" w:rsidRPr="00B032B5" w:rsidRDefault="00C87B62" w:rsidP="001F4081">
      <w:pPr>
        <w:pStyle w:val="ListParagraph"/>
        <w:numPr>
          <w:ilvl w:val="0"/>
          <w:numId w:val="17"/>
        </w:numPr>
        <w:spacing w:before="40" w:after="40" w:line="276" w:lineRule="auto"/>
        <w:rPr>
          <w:rFonts w:cs="Arial"/>
          <w:color w:val="000000"/>
          <w:szCs w:val="24"/>
        </w:rPr>
      </w:pPr>
      <w:r w:rsidRPr="001F4081">
        <w:rPr>
          <w:rFonts w:ascii="Arial" w:hAnsi="Arial" w:cs="Arial"/>
          <w:color w:val="000000"/>
          <w:sz w:val="24"/>
          <w:szCs w:val="24"/>
        </w:rPr>
        <w:t>Appendix No</w:t>
      </w:r>
      <w:r w:rsidR="001F4081" w:rsidRPr="001F4081">
        <w:rPr>
          <w:rFonts w:ascii="Arial" w:hAnsi="Arial" w:cs="Arial"/>
          <w:color w:val="000000"/>
          <w:sz w:val="24"/>
          <w:szCs w:val="24"/>
        </w:rPr>
        <w:t xml:space="preserve"> 1</w:t>
      </w:r>
      <w:r w:rsidRPr="001F4081">
        <w:rPr>
          <w:rFonts w:ascii="Arial" w:hAnsi="Arial" w:cs="Arial"/>
          <w:color w:val="000000"/>
          <w:sz w:val="24"/>
          <w:szCs w:val="24"/>
        </w:rPr>
        <w:t xml:space="preserve">, </w:t>
      </w:r>
      <w:r w:rsidR="001F4081" w:rsidRPr="001F4081">
        <w:rPr>
          <w:rFonts w:ascii="Arial" w:hAnsi="Arial" w:cs="Arial"/>
          <w:color w:val="000000"/>
          <w:sz w:val="24"/>
          <w:szCs w:val="24"/>
        </w:rPr>
        <w:t>Procurement Strategy NHS GJ 2024-2027 Draft v1.0</w:t>
      </w:r>
    </w:p>
    <w:p w14:paraId="498E58B0" w14:textId="5181406B" w:rsidR="00B032B5" w:rsidRPr="001F4081" w:rsidRDefault="00B032B5" w:rsidP="001F4081">
      <w:pPr>
        <w:pStyle w:val="ListParagraph"/>
        <w:numPr>
          <w:ilvl w:val="0"/>
          <w:numId w:val="17"/>
        </w:numPr>
        <w:spacing w:before="40" w:after="40" w:line="276" w:lineRule="auto"/>
        <w:rPr>
          <w:rFonts w:cs="Arial"/>
          <w:color w:val="000000"/>
          <w:szCs w:val="24"/>
        </w:rPr>
      </w:pPr>
      <w:r>
        <w:rPr>
          <w:rFonts w:ascii="Arial" w:hAnsi="Arial" w:cs="Arial"/>
          <w:color w:val="000000"/>
          <w:sz w:val="24"/>
          <w:szCs w:val="24"/>
        </w:rPr>
        <w:t>Appendix No 2, EQIA</w:t>
      </w:r>
      <w:bookmarkStart w:id="0" w:name="_GoBack"/>
      <w:bookmarkEnd w:id="0"/>
    </w:p>
    <w:sectPr w:rsidR="00B032B5" w:rsidRPr="001F4081"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4A1A87CC"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793E14">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793E14">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0C3945B9" w:rsidR="00610728" w:rsidRPr="00125A9E" w:rsidRDefault="00B230D4"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6.5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69647F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8A56810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0"/>
  </w:num>
  <w:num w:numId="4">
    <w:abstractNumId w:val="16"/>
  </w:num>
  <w:num w:numId="5">
    <w:abstractNumId w:val="8"/>
  </w:num>
  <w:num w:numId="6">
    <w:abstractNumId w:val="5"/>
  </w:num>
  <w:num w:numId="7">
    <w:abstractNumId w:val="11"/>
  </w:num>
  <w:num w:numId="8">
    <w:abstractNumId w:val="4"/>
  </w:num>
  <w:num w:numId="9">
    <w:abstractNumId w:val="13"/>
  </w:num>
  <w:num w:numId="10">
    <w:abstractNumId w:val="2"/>
  </w:num>
  <w:num w:numId="11">
    <w:abstractNumId w:val="14"/>
  </w:num>
  <w:num w:numId="12">
    <w:abstractNumId w:val="1"/>
  </w:num>
  <w:num w:numId="13">
    <w:abstractNumId w:val="3"/>
  </w:num>
  <w:num w:numId="14">
    <w:abstractNumId w:val="6"/>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77153"/>
    <w:rsid w:val="001F4081"/>
    <w:rsid w:val="0023473B"/>
    <w:rsid w:val="002E35FA"/>
    <w:rsid w:val="0033790B"/>
    <w:rsid w:val="003F7F61"/>
    <w:rsid w:val="00430C09"/>
    <w:rsid w:val="00446219"/>
    <w:rsid w:val="00495B36"/>
    <w:rsid w:val="004A39D0"/>
    <w:rsid w:val="004C24DE"/>
    <w:rsid w:val="00591C18"/>
    <w:rsid w:val="00610728"/>
    <w:rsid w:val="006173A9"/>
    <w:rsid w:val="006C5C9F"/>
    <w:rsid w:val="006D1343"/>
    <w:rsid w:val="00793E14"/>
    <w:rsid w:val="007F32CF"/>
    <w:rsid w:val="00816E22"/>
    <w:rsid w:val="00927C6C"/>
    <w:rsid w:val="009807B4"/>
    <w:rsid w:val="0099637C"/>
    <w:rsid w:val="00A2680C"/>
    <w:rsid w:val="00A62B58"/>
    <w:rsid w:val="00A84C97"/>
    <w:rsid w:val="00A854DD"/>
    <w:rsid w:val="00AA77F7"/>
    <w:rsid w:val="00AE522B"/>
    <w:rsid w:val="00AF0530"/>
    <w:rsid w:val="00AF356A"/>
    <w:rsid w:val="00B032B5"/>
    <w:rsid w:val="00B178D4"/>
    <w:rsid w:val="00B230D4"/>
    <w:rsid w:val="00B546C8"/>
    <w:rsid w:val="00B562FA"/>
    <w:rsid w:val="00B577C7"/>
    <w:rsid w:val="00B7445F"/>
    <w:rsid w:val="00B77902"/>
    <w:rsid w:val="00B851FC"/>
    <w:rsid w:val="00BF3AF0"/>
    <w:rsid w:val="00C87B62"/>
    <w:rsid w:val="00C94BF7"/>
    <w:rsid w:val="00D25F6B"/>
    <w:rsid w:val="00DD2D3D"/>
    <w:rsid w:val="00DD6252"/>
    <w:rsid w:val="00DF1BE0"/>
    <w:rsid w:val="00E71CD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86854">
      <w:bodyDiv w:val="1"/>
      <w:marLeft w:val="0"/>
      <w:marRight w:val="0"/>
      <w:marTop w:val="0"/>
      <w:marBottom w:val="0"/>
      <w:divBdr>
        <w:top w:val="none" w:sz="0" w:space="0" w:color="auto"/>
        <w:left w:val="none" w:sz="0" w:space="0" w:color="auto"/>
        <w:bottom w:val="none" w:sz="0" w:space="0" w:color="auto"/>
        <w:right w:val="none" w:sz="0" w:space="0" w:color="auto"/>
      </w:divBdr>
    </w:div>
    <w:div w:id="21295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8</cp:revision>
  <cp:lastPrinted>2019-10-07T12:25:00Z</cp:lastPrinted>
  <dcterms:created xsi:type="dcterms:W3CDTF">2024-05-21T12:41:00Z</dcterms:created>
  <dcterms:modified xsi:type="dcterms:W3CDTF">2024-07-19T14:04:00Z</dcterms:modified>
</cp:coreProperties>
</file>