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091A2DC5" w:rsidR="00430C09" w:rsidRPr="00140DB3" w:rsidRDefault="00000694" w:rsidP="00DD6252">
      <w:pPr>
        <w:pStyle w:val="Heading1"/>
        <w:spacing w:line="276" w:lineRule="auto"/>
        <w:ind w:right="-286"/>
        <w:rPr>
          <w:color w:val="002060"/>
        </w:rPr>
      </w:pPr>
      <w:r>
        <w:rPr>
          <w:noProof/>
          <w:lang w:eastAsia="en-GB"/>
        </w:rPr>
        <w:drawing>
          <wp:inline distT="0" distB="0" distL="0" distR="0" wp14:anchorId="4C5A9F61" wp14:editId="4BA12AA6">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bookmarkStart w:id="0" w:name="_GoBack"/>
      <w:bookmarkEnd w:id="0"/>
    </w:p>
    <w:p w14:paraId="7089BDC3" w14:textId="77777777" w:rsidR="00446219" w:rsidRDefault="00446219" w:rsidP="0003098A">
      <w:pPr>
        <w:pStyle w:val="Heading2"/>
        <w:rPr>
          <w:rStyle w:val="Heading3Char"/>
          <w:b/>
          <w:highlight w:val="lightGray"/>
        </w:rPr>
      </w:pPr>
    </w:p>
    <w:p w14:paraId="649837FD" w14:textId="2E11E416" w:rsidR="00000694" w:rsidRPr="00353184" w:rsidRDefault="00000694" w:rsidP="00000694">
      <w:pPr>
        <w:pStyle w:val="Heading3"/>
        <w:spacing w:line="360" w:lineRule="auto"/>
        <w:ind w:left="4536" w:hanging="4536"/>
        <w:rPr>
          <w:b w:val="0"/>
        </w:rPr>
      </w:pPr>
      <w:r w:rsidRPr="00741079">
        <w:rPr>
          <w:rStyle w:val="Heading3Char"/>
        </w:rPr>
        <w:t>Meeting:</w:t>
      </w:r>
      <w:r w:rsidRPr="00353184">
        <w:rPr>
          <w:rStyle w:val="Heading3Char"/>
        </w:rPr>
        <w:tab/>
      </w:r>
      <w:r w:rsidR="00C13B16">
        <w:rPr>
          <w:rStyle w:val="Heading3Char"/>
        </w:rPr>
        <w:t>NHS Golden Jubilee Board</w:t>
      </w:r>
    </w:p>
    <w:p w14:paraId="3EA8D022" w14:textId="60274725" w:rsidR="00000694" w:rsidRDefault="00000694" w:rsidP="00000694">
      <w:pPr>
        <w:pStyle w:val="Heading3"/>
        <w:spacing w:line="360" w:lineRule="auto"/>
        <w:ind w:left="4536" w:hanging="4536"/>
        <w:rPr>
          <w:rStyle w:val="Heading3Char"/>
          <w:b/>
        </w:rPr>
      </w:pPr>
      <w:r w:rsidRPr="00741079">
        <w:rPr>
          <w:rStyle w:val="Heading3Char"/>
        </w:rPr>
        <w:t>Meeting date:</w:t>
      </w:r>
      <w:r>
        <w:rPr>
          <w:rStyle w:val="Heading3Char"/>
        </w:rPr>
        <w:tab/>
      </w:r>
      <w:r w:rsidR="001956D2">
        <w:rPr>
          <w:rStyle w:val="Heading3Char"/>
        </w:rPr>
        <w:t>19</w:t>
      </w:r>
      <w:r w:rsidR="0064722E">
        <w:rPr>
          <w:rStyle w:val="Heading3Char"/>
        </w:rPr>
        <w:t xml:space="preserve"> November</w:t>
      </w:r>
      <w:r w:rsidR="00AD28C4">
        <w:rPr>
          <w:rStyle w:val="Heading3Char"/>
        </w:rPr>
        <w:t xml:space="preserve"> 2024</w:t>
      </w:r>
    </w:p>
    <w:p w14:paraId="6D457F6A" w14:textId="094AC923" w:rsidR="00000694" w:rsidRPr="00353184" w:rsidRDefault="00000694" w:rsidP="00000694">
      <w:pPr>
        <w:pStyle w:val="Heading3"/>
        <w:spacing w:line="360" w:lineRule="auto"/>
        <w:ind w:left="4536" w:hanging="4536"/>
        <w:rPr>
          <w:b w:val="0"/>
        </w:rPr>
      </w:pPr>
      <w:r w:rsidRPr="00741079">
        <w:rPr>
          <w:rStyle w:val="Heading3Char"/>
        </w:rPr>
        <w:t>Title:</w:t>
      </w:r>
      <w:r w:rsidRPr="00353184">
        <w:rPr>
          <w:rStyle w:val="Heading3Char"/>
        </w:rPr>
        <w:tab/>
      </w:r>
      <w:r>
        <w:rPr>
          <w:rStyle w:val="Heading3Char"/>
        </w:rPr>
        <w:t xml:space="preserve">Health </w:t>
      </w:r>
      <w:r w:rsidR="00C13B16">
        <w:rPr>
          <w:rStyle w:val="Heading3Char"/>
        </w:rPr>
        <w:t>and</w:t>
      </w:r>
      <w:r>
        <w:rPr>
          <w:rStyle w:val="Heading3Char"/>
        </w:rPr>
        <w:t xml:space="preserve"> Safety </w:t>
      </w:r>
      <w:r w:rsidR="00C13B16">
        <w:rPr>
          <w:rStyle w:val="Heading3Char"/>
        </w:rPr>
        <w:t>Quarter 2 Report 2024/25</w:t>
      </w:r>
    </w:p>
    <w:p w14:paraId="1E360843" w14:textId="6539B391" w:rsidR="00000694" w:rsidRPr="00353184" w:rsidRDefault="00000694" w:rsidP="00000694">
      <w:pPr>
        <w:pStyle w:val="Heading3"/>
        <w:spacing w:line="360" w:lineRule="auto"/>
        <w:ind w:left="4536" w:hanging="4536"/>
        <w:rPr>
          <w:rStyle w:val="Heading3Char"/>
          <w:b/>
        </w:rPr>
      </w:pPr>
      <w:r w:rsidRPr="00741079">
        <w:rPr>
          <w:rStyle w:val="Heading3Char"/>
        </w:rPr>
        <w:t>Responsible Executive/Non-Executive:</w:t>
      </w:r>
      <w:r w:rsidR="00373C97">
        <w:rPr>
          <w:rStyle w:val="Heading3Char"/>
        </w:rPr>
        <w:t xml:space="preserve"> </w:t>
      </w:r>
      <w:r w:rsidR="00373C97">
        <w:rPr>
          <w:rStyle w:val="Heading3Char"/>
        </w:rPr>
        <w:tab/>
      </w:r>
      <w:r w:rsidR="000D3169">
        <w:rPr>
          <w:rStyle w:val="Heading3Char"/>
        </w:rPr>
        <w:t>Jonny Gamble</w:t>
      </w:r>
      <w:r w:rsidR="00C13B16">
        <w:rPr>
          <w:rStyle w:val="Heading3Char"/>
        </w:rPr>
        <w:t xml:space="preserve">, </w:t>
      </w:r>
      <w:r w:rsidR="000D3169">
        <w:rPr>
          <w:rStyle w:val="Heading3Char"/>
        </w:rPr>
        <w:t>Director of Finance</w:t>
      </w:r>
    </w:p>
    <w:p w14:paraId="19E7A478" w14:textId="1A196648" w:rsidR="00000694" w:rsidRPr="00353184" w:rsidRDefault="00000694" w:rsidP="00000694">
      <w:pPr>
        <w:pStyle w:val="Heading3"/>
        <w:spacing w:line="360" w:lineRule="auto"/>
        <w:ind w:left="4536" w:hanging="4536"/>
        <w:rPr>
          <w:rStyle w:val="Heading3Char"/>
          <w:b/>
        </w:rPr>
      </w:pPr>
      <w:r w:rsidRPr="00741079">
        <w:rPr>
          <w:rStyle w:val="Heading3Char"/>
        </w:rPr>
        <w:t>Report Author:</w:t>
      </w:r>
      <w:r w:rsidRPr="00353184">
        <w:rPr>
          <w:rStyle w:val="Heading3Char"/>
        </w:rPr>
        <w:tab/>
      </w:r>
      <w:r>
        <w:rPr>
          <w:rStyle w:val="Heading3Char"/>
        </w:rPr>
        <w:t>David Wilson</w:t>
      </w:r>
      <w:r w:rsidR="00C13B16">
        <w:rPr>
          <w:rStyle w:val="Heading3Char"/>
        </w:rPr>
        <w:t xml:space="preserve">, </w:t>
      </w:r>
      <w:r w:rsidR="000D3169">
        <w:rPr>
          <w:rStyle w:val="Heading3Char"/>
        </w:rPr>
        <w:t>Head of Health and Safety</w:t>
      </w:r>
    </w:p>
    <w:p w14:paraId="226731E6" w14:textId="77777777" w:rsidR="00A00AF6" w:rsidRDefault="00A00AF6" w:rsidP="00A00AF6">
      <w:pPr>
        <w:pStyle w:val="Heading2"/>
        <w:spacing w:line="276" w:lineRule="auto"/>
      </w:pPr>
    </w:p>
    <w:p w14:paraId="1D119560" w14:textId="39794FB1" w:rsidR="00430C09" w:rsidRDefault="00430C09" w:rsidP="008A5B73">
      <w:pPr>
        <w:pStyle w:val="Heading2"/>
        <w:numPr>
          <w:ilvl w:val="0"/>
          <w:numId w:val="11"/>
        </w:numPr>
        <w:spacing w:line="276" w:lineRule="auto"/>
      </w:pPr>
      <w:r w:rsidRPr="00F05C63">
        <w:t>Purpose</w:t>
      </w:r>
    </w:p>
    <w:p w14:paraId="455B89ED" w14:textId="77777777" w:rsidR="00000694" w:rsidRPr="00000694" w:rsidRDefault="00000694" w:rsidP="00000694">
      <w:pPr>
        <w:rPr>
          <w:rFonts w:cs="Arial"/>
          <w:bCs/>
          <w:spacing w:val="0"/>
          <w:szCs w:val="24"/>
          <w:lang w:eastAsia="en-GB"/>
        </w:rPr>
      </w:pPr>
    </w:p>
    <w:p w14:paraId="2C01C004" w14:textId="4F5CE479" w:rsidR="00000694" w:rsidRDefault="00C13B16" w:rsidP="00000694">
      <w:pPr>
        <w:pStyle w:val="Heading3"/>
        <w:spacing w:line="276" w:lineRule="auto"/>
        <w:ind w:left="720"/>
        <w:rPr>
          <w:rFonts w:eastAsia="Times New Roman" w:cs="Arial"/>
          <w:bCs/>
          <w:color w:val="auto"/>
          <w:spacing w:val="0"/>
          <w:lang w:eastAsia="en-GB"/>
        </w:rPr>
      </w:pPr>
      <w:r>
        <w:rPr>
          <w:rFonts w:eastAsia="Times New Roman" w:cs="Arial"/>
          <w:bCs/>
          <w:color w:val="auto"/>
          <w:spacing w:val="0"/>
          <w:lang w:eastAsia="en-GB"/>
        </w:rPr>
        <w:t xml:space="preserve">This is presented to NHS GJ Board </w:t>
      </w:r>
      <w:r w:rsidR="00000694" w:rsidRPr="00000694">
        <w:rPr>
          <w:rFonts w:eastAsia="Times New Roman" w:cs="Arial"/>
          <w:bCs/>
          <w:color w:val="auto"/>
          <w:spacing w:val="0"/>
          <w:lang w:eastAsia="en-GB"/>
        </w:rPr>
        <w:t xml:space="preserve">for: </w:t>
      </w:r>
    </w:p>
    <w:p w14:paraId="602B5C49" w14:textId="0DFA6F25" w:rsidR="00D44E43" w:rsidRPr="00000694" w:rsidRDefault="00D44E43" w:rsidP="008A5B73">
      <w:pPr>
        <w:pStyle w:val="ListParagraph"/>
        <w:numPr>
          <w:ilvl w:val="0"/>
          <w:numId w:val="2"/>
        </w:numPr>
        <w:autoSpaceDE w:val="0"/>
        <w:autoSpaceDN w:val="0"/>
        <w:adjustRightInd w:val="0"/>
        <w:spacing w:before="40" w:after="40" w:line="276" w:lineRule="auto"/>
        <w:ind w:left="1080"/>
        <w:rPr>
          <w:rFonts w:ascii="Arial" w:eastAsia="Times New Roman" w:hAnsi="Arial" w:cs="Arial"/>
          <w:bCs/>
          <w:sz w:val="24"/>
          <w:szCs w:val="24"/>
        </w:rPr>
      </w:pPr>
      <w:r>
        <w:rPr>
          <w:rFonts w:ascii="Arial" w:eastAsia="Times New Roman" w:hAnsi="Arial" w:cs="Arial"/>
          <w:bCs/>
          <w:sz w:val="24"/>
          <w:szCs w:val="24"/>
        </w:rPr>
        <w:t>Awareness</w:t>
      </w:r>
    </w:p>
    <w:p w14:paraId="70DC2D0C" w14:textId="0B664F02" w:rsidR="00000694" w:rsidRPr="00000694" w:rsidRDefault="00000694" w:rsidP="00000694">
      <w:pPr>
        <w:rPr>
          <w:lang w:eastAsia="en-GB"/>
        </w:rPr>
      </w:pPr>
    </w:p>
    <w:p w14:paraId="041BADB8" w14:textId="77777777" w:rsidR="00000694" w:rsidRPr="00000694" w:rsidRDefault="00000694" w:rsidP="00000694">
      <w:pPr>
        <w:pStyle w:val="Heading3"/>
        <w:ind w:left="720"/>
        <w:rPr>
          <w:rFonts w:eastAsia="Times New Roman" w:cs="Arial"/>
          <w:bCs/>
          <w:color w:val="auto"/>
          <w:spacing w:val="0"/>
          <w:lang w:eastAsia="en-GB"/>
        </w:rPr>
      </w:pPr>
      <w:r w:rsidRPr="00000694">
        <w:rPr>
          <w:rFonts w:eastAsia="Times New Roman" w:cs="Arial"/>
          <w:bCs/>
          <w:color w:val="auto"/>
          <w:spacing w:val="0"/>
          <w:lang w:eastAsia="en-GB"/>
        </w:rPr>
        <w:t>This report relates to a:</w:t>
      </w:r>
    </w:p>
    <w:p w14:paraId="34E415E1" w14:textId="77777777" w:rsidR="00000694" w:rsidRPr="00000694" w:rsidRDefault="00000694" w:rsidP="008A5B73">
      <w:pPr>
        <w:pStyle w:val="ListParagraph"/>
        <w:numPr>
          <w:ilvl w:val="0"/>
          <w:numId w:val="1"/>
        </w:numPr>
        <w:autoSpaceDE w:val="0"/>
        <w:autoSpaceDN w:val="0"/>
        <w:adjustRightInd w:val="0"/>
        <w:spacing w:before="40" w:after="40" w:line="276" w:lineRule="auto"/>
        <w:ind w:left="1080"/>
        <w:rPr>
          <w:rFonts w:ascii="Arial" w:eastAsia="Times New Roman" w:hAnsi="Arial" w:cs="Arial"/>
          <w:bCs/>
          <w:sz w:val="24"/>
          <w:szCs w:val="24"/>
        </w:rPr>
      </w:pPr>
      <w:r w:rsidRPr="00000694">
        <w:rPr>
          <w:rFonts w:ascii="Arial" w:eastAsia="Times New Roman" w:hAnsi="Arial" w:cs="Arial"/>
          <w:bCs/>
          <w:sz w:val="24"/>
          <w:szCs w:val="24"/>
        </w:rPr>
        <w:t>Legal Requirement</w:t>
      </w:r>
    </w:p>
    <w:p w14:paraId="2D282EC2" w14:textId="69798376" w:rsidR="00000694" w:rsidRDefault="00000694" w:rsidP="008A5B73">
      <w:pPr>
        <w:pStyle w:val="ListParagraph"/>
        <w:numPr>
          <w:ilvl w:val="0"/>
          <w:numId w:val="1"/>
        </w:numPr>
        <w:autoSpaceDE w:val="0"/>
        <w:autoSpaceDN w:val="0"/>
        <w:adjustRightInd w:val="0"/>
        <w:spacing w:before="40" w:after="40" w:line="276" w:lineRule="auto"/>
        <w:ind w:left="1080"/>
        <w:rPr>
          <w:rFonts w:ascii="Arial" w:eastAsia="Times New Roman" w:hAnsi="Arial" w:cs="Arial"/>
          <w:bCs/>
          <w:sz w:val="24"/>
          <w:szCs w:val="24"/>
        </w:rPr>
      </w:pPr>
      <w:r w:rsidRPr="00000694">
        <w:rPr>
          <w:rFonts w:ascii="Arial" w:eastAsia="Times New Roman" w:hAnsi="Arial" w:cs="Arial"/>
          <w:bCs/>
          <w:sz w:val="24"/>
          <w:szCs w:val="24"/>
        </w:rPr>
        <w:t>Local Policy</w:t>
      </w:r>
    </w:p>
    <w:p w14:paraId="75B5228D" w14:textId="77777777" w:rsidR="00000694" w:rsidRPr="00000694" w:rsidRDefault="00000694" w:rsidP="00000694">
      <w:pPr>
        <w:pStyle w:val="ListParagraph"/>
        <w:autoSpaceDE w:val="0"/>
        <w:autoSpaceDN w:val="0"/>
        <w:adjustRightInd w:val="0"/>
        <w:spacing w:before="40" w:after="40" w:line="276" w:lineRule="auto"/>
        <w:ind w:left="1080"/>
        <w:rPr>
          <w:rFonts w:ascii="Arial" w:eastAsia="Times New Roman" w:hAnsi="Arial" w:cs="Arial"/>
          <w:b/>
          <w:bCs/>
          <w:sz w:val="24"/>
          <w:szCs w:val="24"/>
        </w:rPr>
      </w:pPr>
    </w:p>
    <w:p w14:paraId="79969008" w14:textId="77777777" w:rsidR="00000694" w:rsidRPr="00000694" w:rsidRDefault="00000694" w:rsidP="00000694">
      <w:pPr>
        <w:pStyle w:val="Heading3"/>
        <w:ind w:left="720"/>
        <w:rPr>
          <w:rFonts w:eastAsia="Times New Roman" w:cs="Arial"/>
          <w:bCs/>
          <w:color w:val="auto"/>
          <w:spacing w:val="0"/>
          <w:lang w:eastAsia="en-GB"/>
        </w:rPr>
      </w:pPr>
      <w:r w:rsidRPr="00000694">
        <w:rPr>
          <w:rFonts w:eastAsia="Times New Roman" w:cs="Arial"/>
          <w:bCs/>
          <w:color w:val="auto"/>
          <w:spacing w:val="0"/>
          <w:lang w:eastAsia="en-GB"/>
        </w:rPr>
        <w:t>This aligns to the following NHS Scotland quality ambition(s):</w:t>
      </w:r>
    </w:p>
    <w:p w14:paraId="20206EA8" w14:textId="77777777" w:rsidR="00000694" w:rsidRPr="00000694" w:rsidRDefault="00000694" w:rsidP="008A5B73">
      <w:pPr>
        <w:pStyle w:val="ListParagraph"/>
        <w:numPr>
          <w:ilvl w:val="0"/>
          <w:numId w:val="2"/>
        </w:numPr>
        <w:autoSpaceDE w:val="0"/>
        <w:autoSpaceDN w:val="0"/>
        <w:adjustRightInd w:val="0"/>
        <w:spacing w:before="40" w:after="40" w:line="276" w:lineRule="auto"/>
        <w:ind w:left="1080"/>
        <w:rPr>
          <w:rFonts w:ascii="Arial" w:eastAsia="Times New Roman" w:hAnsi="Arial" w:cs="Arial"/>
          <w:bCs/>
          <w:sz w:val="24"/>
          <w:szCs w:val="24"/>
        </w:rPr>
      </w:pPr>
      <w:r w:rsidRPr="00000694">
        <w:rPr>
          <w:rFonts w:ascii="Arial" w:eastAsia="Times New Roman" w:hAnsi="Arial" w:cs="Arial"/>
          <w:bCs/>
          <w:sz w:val="24"/>
          <w:szCs w:val="24"/>
        </w:rPr>
        <w:t>Safe</w:t>
      </w:r>
    </w:p>
    <w:p w14:paraId="1741DE4D" w14:textId="77777777" w:rsidR="00000694" w:rsidRPr="00000694" w:rsidRDefault="00000694" w:rsidP="008A5B73">
      <w:pPr>
        <w:pStyle w:val="ListParagraph"/>
        <w:numPr>
          <w:ilvl w:val="0"/>
          <w:numId w:val="2"/>
        </w:numPr>
        <w:autoSpaceDE w:val="0"/>
        <w:autoSpaceDN w:val="0"/>
        <w:adjustRightInd w:val="0"/>
        <w:spacing w:before="40" w:after="40" w:line="276" w:lineRule="auto"/>
        <w:ind w:left="1080"/>
        <w:rPr>
          <w:rFonts w:ascii="Arial" w:eastAsia="Times New Roman" w:hAnsi="Arial" w:cs="Arial"/>
          <w:bCs/>
          <w:sz w:val="24"/>
          <w:szCs w:val="24"/>
        </w:rPr>
      </w:pPr>
      <w:r w:rsidRPr="00000694">
        <w:rPr>
          <w:rFonts w:ascii="Arial" w:eastAsia="Times New Roman" w:hAnsi="Arial" w:cs="Arial"/>
          <w:bCs/>
          <w:sz w:val="24"/>
          <w:szCs w:val="24"/>
        </w:rPr>
        <w:t>Effective</w:t>
      </w:r>
    </w:p>
    <w:p w14:paraId="54F9FD73" w14:textId="77777777" w:rsidR="00000694" w:rsidRPr="00000694" w:rsidRDefault="00000694" w:rsidP="008A5B73">
      <w:pPr>
        <w:pStyle w:val="ListParagraph"/>
        <w:numPr>
          <w:ilvl w:val="0"/>
          <w:numId w:val="2"/>
        </w:numPr>
        <w:autoSpaceDE w:val="0"/>
        <w:autoSpaceDN w:val="0"/>
        <w:adjustRightInd w:val="0"/>
        <w:spacing w:before="40" w:after="40" w:line="276" w:lineRule="auto"/>
        <w:ind w:left="1080"/>
        <w:rPr>
          <w:rFonts w:ascii="Arial" w:eastAsia="Times New Roman" w:hAnsi="Arial" w:cs="Arial"/>
          <w:bCs/>
          <w:sz w:val="24"/>
          <w:szCs w:val="24"/>
        </w:rPr>
      </w:pPr>
      <w:r w:rsidRPr="00000694">
        <w:rPr>
          <w:rFonts w:ascii="Arial" w:eastAsia="Times New Roman" w:hAnsi="Arial" w:cs="Arial"/>
          <w:bCs/>
          <w:sz w:val="24"/>
          <w:szCs w:val="24"/>
        </w:rPr>
        <w:t>Person Centred</w:t>
      </w:r>
    </w:p>
    <w:p w14:paraId="157CF793" w14:textId="77777777" w:rsidR="00000694" w:rsidRPr="00000694" w:rsidRDefault="00000694" w:rsidP="00000694">
      <w:pPr>
        <w:autoSpaceDE w:val="0"/>
        <w:autoSpaceDN w:val="0"/>
        <w:adjustRightInd w:val="0"/>
        <w:spacing w:before="40" w:after="40" w:line="276" w:lineRule="auto"/>
        <w:ind w:left="720"/>
        <w:rPr>
          <w:rFonts w:cs="Arial"/>
          <w:b/>
          <w:bCs/>
          <w:spacing w:val="0"/>
          <w:szCs w:val="24"/>
          <w:lang w:eastAsia="en-GB"/>
        </w:rPr>
      </w:pPr>
    </w:p>
    <w:p w14:paraId="76329139" w14:textId="77777777" w:rsidR="00000694" w:rsidRPr="00000694" w:rsidRDefault="00000694" w:rsidP="00000694">
      <w:pPr>
        <w:autoSpaceDE w:val="0"/>
        <w:autoSpaceDN w:val="0"/>
        <w:adjustRightInd w:val="0"/>
        <w:spacing w:before="40" w:after="40" w:line="276" w:lineRule="auto"/>
        <w:ind w:left="720"/>
        <w:rPr>
          <w:rFonts w:cs="Arial"/>
          <w:b/>
          <w:bCs/>
          <w:spacing w:val="0"/>
          <w:szCs w:val="24"/>
          <w:lang w:eastAsia="en-GB"/>
        </w:rPr>
      </w:pPr>
      <w:r w:rsidRPr="00000694">
        <w:rPr>
          <w:rFonts w:cs="Arial"/>
          <w:b/>
          <w:bCs/>
          <w:spacing w:val="0"/>
          <w:szCs w:val="24"/>
          <w:lang w:eastAsia="en-GB"/>
        </w:rPr>
        <w:t>This aligns to the following NHSGJ Corporate Objectives:</w:t>
      </w:r>
    </w:p>
    <w:p w14:paraId="0CFA3B36" w14:textId="71AFC24E" w:rsidR="00000694" w:rsidRPr="00000694" w:rsidRDefault="00000694" w:rsidP="008A5B73">
      <w:pPr>
        <w:pStyle w:val="ListParagraph"/>
        <w:numPr>
          <w:ilvl w:val="0"/>
          <w:numId w:val="2"/>
        </w:numPr>
        <w:autoSpaceDE w:val="0"/>
        <w:autoSpaceDN w:val="0"/>
        <w:adjustRightInd w:val="0"/>
        <w:spacing w:before="40" w:after="40" w:line="276" w:lineRule="auto"/>
        <w:ind w:left="1080"/>
        <w:rPr>
          <w:rFonts w:ascii="Arial" w:eastAsia="Times New Roman" w:hAnsi="Arial" w:cs="Arial"/>
          <w:bCs/>
          <w:sz w:val="24"/>
          <w:szCs w:val="24"/>
        </w:rPr>
      </w:pPr>
      <w:r w:rsidRPr="00000694">
        <w:rPr>
          <w:rFonts w:ascii="Arial" w:eastAsia="Times New Roman" w:hAnsi="Arial" w:cs="Arial"/>
          <w:bCs/>
          <w:sz w:val="24"/>
          <w:szCs w:val="24"/>
        </w:rPr>
        <w:t xml:space="preserve">Leadership, Strategy </w:t>
      </w:r>
      <w:r w:rsidR="00C13B16">
        <w:rPr>
          <w:rFonts w:ascii="Arial" w:eastAsia="Times New Roman" w:hAnsi="Arial" w:cs="Arial"/>
          <w:bCs/>
          <w:sz w:val="24"/>
          <w:szCs w:val="24"/>
        </w:rPr>
        <w:t>and</w:t>
      </w:r>
      <w:r w:rsidRPr="00000694">
        <w:rPr>
          <w:rFonts w:ascii="Arial" w:eastAsia="Times New Roman" w:hAnsi="Arial" w:cs="Arial"/>
          <w:bCs/>
          <w:sz w:val="24"/>
          <w:szCs w:val="24"/>
        </w:rPr>
        <w:t xml:space="preserve"> Risk</w:t>
      </w:r>
    </w:p>
    <w:p w14:paraId="5F8990A9" w14:textId="0DDBC399" w:rsidR="00F6679F" w:rsidRPr="00000694" w:rsidRDefault="00000694" w:rsidP="008A5B73">
      <w:pPr>
        <w:pStyle w:val="ListParagraph"/>
        <w:numPr>
          <w:ilvl w:val="0"/>
          <w:numId w:val="2"/>
        </w:numPr>
        <w:autoSpaceDE w:val="0"/>
        <w:autoSpaceDN w:val="0"/>
        <w:adjustRightInd w:val="0"/>
        <w:spacing w:before="40" w:after="40" w:line="276" w:lineRule="auto"/>
        <w:ind w:left="1080"/>
        <w:rPr>
          <w:rFonts w:ascii="Arial" w:eastAsia="Times New Roman" w:hAnsi="Arial" w:cs="Arial"/>
          <w:bCs/>
          <w:sz w:val="24"/>
          <w:szCs w:val="24"/>
        </w:rPr>
      </w:pPr>
      <w:r w:rsidRPr="00000694">
        <w:rPr>
          <w:rFonts w:ascii="Arial" w:eastAsia="Times New Roman" w:hAnsi="Arial" w:cs="Arial"/>
          <w:bCs/>
          <w:sz w:val="24"/>
          <w:szCs w:val="24"/>
        </w:rPr>
        <w:t xml:space="preserve">Facilities Expansion </w:t>
      </w:r>
      <w:r w:rsidR="00C13B16">
        <w:rPr>
          <w:rFonts w:ascii="Arial" w:eastAsia="Times New Roman" w:hAnsi="Arial" w:cs="Arial"/>
          <w:bCs/>
          <w:sz w:val="24"/>
          <w:szCs w:val="24"/>
        </w:rPr>
        <w:t>and</w:t>
      </w:r>
      <w:r w:rsidRPr="00000694">
        <w:rPr>
          <w:rFonts w:ascii="Arial" w:eastAsia="Times New Roman" w:hAnsi="Arial" w:cs="Arial"/>
          <w:bCs/>
          <w:sz w:val="24"/>
          <w:szCs w:val="24"/>
        </w:rPr>
        <w:t xml:space="preserve"> Use</w:t>
      </w:r>
    </w:p>
    <w:p w14:paraId="41A006FD" w14:textId="77777777" w:rsidR="00430C09" w:rsidRDefault="00430C09" w:rsidP="009807B4">
      <w:pPr>
        <w:spacing w:line="276" w:lineRule="auto"/>
      </w:pPr>
    </w:p>
    <w:p w14:paraId="3338DF65" w14:textId="77777777" w:rsidR="00430C09" w:rsidRDefault="00C94BF7" w:rsidP="00430C09">
      <w:pPr>
        <w:pStyle w:val="Heading2"/>
        <w:spacing w:line="276" w:lineRule="auto"/>
      </w:pPr>
      <w:r>
        <w:t>2</w:t>
      </w:r>
      <w:r w:rsidR="00BF3AF0">
        <w:tab/>
      </w:r>
      <w:r w:rsidR="00430C09">
        <w:t>Report summary</w:t>
      </w:r>
      <w:r w:rsidR="00430C09">
        <w:tab/>
      </w:r>
    </w:p>
    <w:p w14:paraId="2CE1C56A" w14:textId="77777777" w:rsidR="00430C09" w:rsidRDefault="00C94BF7" w:rsidP="00BF3AF0">
      <w:pPr>
        <w:pStyle w:val="Heading2"/>
      </w:pPr>
      <w:r>
        <w:t>2</w:t>
      </w:r>
      <w:r w:rsidR="00BF3AF0">
        <w:t>.1</w:t>
      </w:r>
      <w:r w:rsidR="00BF3AF0">
        <w:tab/>
      </w:r>
      <w:r w:rsidR="00430C09" w:rsidRPr="00DA354A">
        <w:t>Situation</w:t>
      </w:r>
    </w:p>
    <w:p w14:paraId="1B27CF0C" w14:textId="4B819D0D" w:rsidR="00430C09" w:rsidRDefault="00430C09" w:rsidP="00F6679F">
      <w:pPr>
        <w:spacing w:before="40" w:after="40" w:line="276" w:lineRule="auto"/>
        <w:ind w:firstLine="720"/>
        <w:rPr>
          <w:rFonts w:cs="Arial"/>
          <w:color w:val="000000"/>
          <w:szCs w:val="24"/>
        </w:rPr>
      </w:pPr>
    </w:p>
    <w:p w14:paraId="6349912A" w14:textId="61E482DF" w:rsidR="00F6679F" w:rsidRDefault="00F6679F" w:rsidP="001956D2">
      <w:pPr>
        <w:ind w:left="66"/>
        <w:rPr>
          <w:rFonts w:cs="Arial"/>
          <w:bCs/>
          <w:szCs w:val="24"/>
          <w:lang w:eastAsia="en-GB"/>
        </w:rPr>
      </w:pPr>
      <w:r>
        <w:rPr>
          <w:rFonts w:cs="Arial"/>
          <w:bCs/>
          <w:szCs w:val="24"/>
          <w:lang w:eastAsia="en-GB"/>
        </w:rPr>
        <w:tab/>
      </w:r>
      <w:r w:rsidR="00C13B16">
        <w:rPr>
          <w:rFonts w:cs="Arial"/>
          <w:bCs/>
          <w:szCs w:val="24"/>
          <w:lang w:eastAsia="en-GB"/>
        </w:rPr>
        <w:t xml:space="preserve">NHS GJ Board </w:t>
      </w:r>
      <w:r w:rsidRPr="004A478C">
        <w:rPr>
          <w:rFonts w:cs="Arial"/>
          <w:bCs/>
          <w:szCs w:val="24"/>
          <w:lang w:eastAsia="en-GB"/>
        </w:rPr>
        <w:t>is asked to note the following key points:</w:t>
      </w:r>
    </w:p>
    <w:p w14:paraId="167D91BC" w14:textId="77777777" w:rsidR="00C13B16" w:rsidRDefault="00C13B16" w:rsidP="001956D2">
      <w:pPr>
        <w:ind w:left="66"/>
        <w:rPr>
          <w:rFonts w:cs="Arial"/>
          <w:bCs/>
          <w:szCs w:val="24"/>
          <w:lang w:eastAsia="en-GB"/>
        </w:rPr>
      </w:pPr>
    </w:p>
    <w:p w14:paraId="5E01BF24" w14:textId="20B4967E" w:rsidR="00CB465B" w:rsidRPr="00C25630" w:rsidRDefault="00C13B16" w:rsidP="00C13B16">
      <w:pPr>
        <w:pStyle w:val="ListParagraph"/>
        <w:numPr>
          <w:ilvl w:val="0"/>
          <w:numId w:val="17"/>
        </w:numPr>
        <w:rPr>
          <w:rFonts w:ascii="Arial" w:eastAsia="Times New Roman" w:hAnsi="Arial" w:cs="Arial"/>
          <w:bCs/>
          <w:spacing w:val="-3"/>
          <w:sz w:val="24"/>
          <w:szCs w:val="24"/>
        </w:rPr>
      </w:pPr>
      <w:r>
        <w:rPr>
          <w:rFonts w:ascii="Arial" w:eastAsia="Times New Roman" w:hAnsi="Arial" w:cs="Arial"/>
          <w:bCs/>
          <w:spacing w:val="-3"/>
          <w:sz w:val="24"/>
          <w:szCs w:val="24"/>
        </w:rPr>
        <w:t xml:space="preserve">The </w:t>
      </w:r>
      <w:r w:rsidR="00336C89" w:rsidRPr="00C25630">
        <w:rPr>
          <w:rFonts w:ascii="Arial" w:eastAsia="Times New Roman" w:hAnsi="Arial" w:cs="Arial"/>
          <w:bCs/>
          <w:spacing w:val="-3"/>
          <w:sz w:val="24"/>
          <w:szCs w:val="24"/>
        </w:rPr>
        <w:t xml:space="preserve">Risk Register has been reviewed to enable current risk entries to transition onto new risk register platform which will be hosted within </w:t>
      </w:r>
      <w:r>
        <w:rPr>
          <w:rFonts w:ascii="Arial" w:eastAsia="Times New Roman" w:hAnsi="Arial" w:cs="Arial"/>
          <w:bCs/>
          <w:spacing w:val="-3"/>
          <w:sz w:val="24"/>
          <w:szCs w:val="24"/>
        </w:rPr>
        <w:t>D</w:t>
      </w:r>
      <w:r w:rsidR="00336C89" w:rsidRPr="00C25630">
        <w:rPr>
          <w:rFonts w:ascii="Arial" w:eastAsia="Times New Roman" w:hAnsi="Arial" w:cs="Arial"/>
          <w:bCs/>
          <w:spacing w:val="-3"/>
          <w:sz w:val="24"/>
          <w:szCs w:val="24"/>
        </w:rPr>
        <w:t xml:space="preserve">atix. Reasonably foreseeable risks are listed and scored individually with consideration of additional control measures and actions identified. This leads to an impact score which allows focused actions based on highest area of risk. </w:t>
      </w:r>
      <w:r w:rsidR="00F15B7D" w:rsidRPr="00C25630">
        <w:rPr>
          <w:rFonts w:ascii="Arial" w:eastAsia="Times New Roman" w:hAnsi="Arial" w:cs="Arial"/>
          <w:bCs/>
          <w:spacing w:val="-3"/>
          <w:sz w:val="24"/>
          <w:szCs w:val="24"/>
        </w:rPr>
        <w:t xml:space="preserve">The number of risks from the previous reporting period has therefore </w:t>
      </w:r>
      <w:r w:rsidR="000D3169">
        <w:rPr>
          <w:rFonts w:ascii="Arial" w:eastAsia="Times New Roman" w:hAnsi="Arial" w:cs="Arial"/>
          <w:bCs/>
          <w:spacing w:val="-3"/>
          <w:sz w:val="24"/>
          <w:szCs w:val="24"/>
        </w:rPr>
        <w:t>condensed</w:t>
      </w:r>
      <w:r w:rsidR="00F15B7D" w:rsidRPr="00C25630">
        <w:rPr>
          <w:rFonts w:ascii="Arial" w:eastAsia="Times New Roman" w:hAnsi="Arial" w:cs="Arial"/>
          <w:bCs/>
          <w:spacing w:val="-3"/>
          <w:sz w:val="24"/>
          <w:szCs w:val="24"/>
        </w:rPr>
        <w:t xml:space="preserve"> from 21 to 10.</w:t>
      </w:r>
      <w:r w:rsidR="000D3169">
        <w:rPr>
          <w:rFonts w:ascii="Arial" w:eastAsia="Times New Roman" w:hAnsi="Arial" w:cs="Arial"/>
          <w:bCs/>
          <w:spacing w:val="-3"/>
          <w:sz w:val="24"/>
          <w:szCs w:val="24"/>
        </w:rPr>
        <w:t xml:space="preserve"> </w:t>
      </w:r>
    </w:p>
    <w:p w14:paraId="47BA9BD9" w14:textId="2C624E3C" w:rsidR="000D3169" w:rsidRPr="000D3169" w:rsidRDefault="000D3169" w:rsidP="00C13B16">
      <w:pPr>
        <w:pStyle w:val="ListParagraph"/>
        <w:numPr>
          <w:ilvl w:val="0"/>
          <w:numId w:val="17"/>
        </w:numPr>
        <w:rPr>
          <w:rFonts w:cs="Arial"/>
          <w:bCs/>
          <w:szCs w:val="24"/>
        </w:rPr>
      </w:pPr>
      <w:r>
        <w:rPr>
          <w:rFonts w:ascii="Arial" w:eastAsia="Times New Roman" w:hAnsi="Arial" w:cs="Arial"/>
          <w:bCs/>
          <w:sz w:val="24"/>
          <w:szCs w:val="24"/>
        </w:rPr>
        <w:t xml:space="preserve">No </w:t>
      </w:r>
      <w:r w:rsidR="00B15C9F">
        <w:rPr>
          <w:rFonts w:ascii="Arial" w:eastAsia="Times New Roman" w:hAnsi="Arial" w:cs="Arial"/>
          <w:bCs/>
          <w:sz w:val="24"/>
          <w:szCs w:val="24"/>
        </w:rPr>
        <w:t>reportable incidents to HSE in this period.</w:t>
      </w:r>
    </w:p>
    <w:p w14:paraId="024078CF" w14:textId="0601F9EB" w:rsidR="00F6679F" w:rsidRPr="00A670CB" w:rsidRDefault="00F6679F" w:rsidP="00C13B16">
      <w:pPr>
        <w:pStyle w:val="ListParagraph"/>
        <w:numPr>
          <w:ilvl w:val="0"/>
          <w:numId w:val="17"/>
        </w:numPr>
        <w:rPr>
          <w:rFonts w:cs="Arial"/>
          <w:bCs/>
          <w:szCs w:val="24"/>
        </w:rPr>
      </w:pPr>
      <w:r w:rsidRPr="00F6679F">
        <w:rPr>
          <w:rFonts w:ascii="Arial" w:eastAsia="Times New Roman" w:hAnsi="Arial" w:cs="Arial"/>
          <w:bCs/>
          <w:sz w:val="24"/>
          <w:szCs w:val="24"/>
        </w:rPr>
        <w:lastRenderedPageBreak/>
        <w:t>Health and Safety related adverse incidents remain low with no significant trends</w:t>
      </w:r>
      <w:r w:rsidR="009B3CAD">
        <w:rPr>
          <w:rFonts w:ascii="Arial" w:eastAsia="Times New Roman" w:hAnsi="Arial" w:cs="Arial"/>
          <w:bCs/>
          <w:sz w:val="24"/>
          <w:szCs w:val="24"/>
        </w:rPr>
        <w:t xml:space="preserve"> </w:t>
      </w:r>
    </w:p>
    <w:p w14:paraId="3BA12383" w14:textId="5D216937" w:rsidR="00A670CB" w:rsidRPr="002B3687" w:rsidRDefault="009B3CAD" w:rsidP="00C13B16">
      <w:pPr>
        <w:pStyle w:val="ListParagraph"/>
        <w:numPr>
          <w:ilvl w:val="0"/>
          <w:numId w:val="17"/>
        </w:numPr>
        <w:rPr>
          <w:rFonts w:cs="Arial"/>
          <w:bCs/>
          <w:szCs w:val="24"/>
        </w:rPr>
      </w:pPr>
      <w:r>
        <w:rPr>
          <w:rFonts w:ascii="Arial" w:eastAsia="Times New Roman" w:hAnsi="Arial" w:cs="Arial"/>
          <w:bCs/>
          <w:sz w:val="24"/>
          <w:szCs w:val="24"/>
        </w:rPr>
        <w:t>There have been</w:t>
      </w:r>
      <w:r w:rsidR="00D51704">
        <w:rPr>
          <w:rFonts w:ascii="Arial" w:eastAsia="Times New Roman" w:hAnsi="Arial" w:cs="Arial"/>
          <w:bCs/>
          <w:sz w:val="24"/>
          <w:szCs w:val="24"/>
        </w:rPr>
        <w:t xml:space="preserve"> </w:t>
      </w:r>
      <w:r w:rsidR="009A0EA4">
        <w:rPr>
          <w:rFonts w:ascii="Arial" w:eastAsia="Times New Roman" w:hAnsi="Arial" w:cs="Arial"/>
          <w:bCs/>
          <w:sz w:val="24"/>
          <w:szCs w:val="24"/>
        </w:rPr>
        <w:t>no high risk rated events in this time period.</w:t>
      </w:r>
      <w:r>
        <w:rPr>
          <w:rFonts w:ascii="Arial" w:eastAsia="Times New Roman" w:hAnsi="Arial" w:cs="Arial"/>
          <w:bCs/>
          <w:sz w:val="24"/>
          <w:szCs w:val="24"/>
        </w:rPr>
        <w:t xml:space="preserve"> </w:t>
      </w:r>
      <w:r w:rsidR="00A670CB">
        <w:rPr>
          <w:rFonts w:ascii="Arial" w:eastAsia="Times New Roman" w:hAnsi="Arial" w:cs="Arial"/>
          <w:bCs/>
          <w:sz w:val="24"/>
          <w:szCs w:val="24"/>
        </w:rPr>
        <w:t xml:space="preserve"> </w:t>
      </w:r>
    </w:p>
    <w:p w14:paraId="36E4CD11" w14:textId="4B6283A7" w:rsidR="00A82C33" w:rsidRDefault="00C34EE7" w:rsidP="00C13B16">
      <w:pPr>
        <w:pStyle w:val="ListParagraph"/>
        <w:numPr>
          <w:ilvl w:val="0"/>
          <w:numId w:val="17"/>
        </w:numPr>
        <w:contextualSpacing/>
        <w:rPr>
          <w:rFonts w:ascii="Arial" w:eastAsia="Times New Roman" w:hAnsi="Arial" w:cs="Arial"/>
          <w:bCs/>
          <w:sz w:val="24"/>
          <w:szCs w:val="24"/>
        </w:rPr>
      </w:pPr>
      <w:r w:rsidRPr="00C34EE7">
        <w:rPr>
          <w:rFonts w:ascii="Arial" w:eastAsia="Times New Roman" w:hAnsi="Arial" w:cs="Arial"/>
          <w:bCs/>
          <w:sz w:val="24"/>
          <w:szCs w:val="24"/>
        </w:rPr>
        <w:t>There has been no regulatory enforcement action in this time period</w:t>
      </w:r>
      <w:r w:rsidR="00A670CB">
        <w:rPr>
          <w:rFonts w:ascii="Arial" w:eastAsia="Times New Roman" w:hAnsi="Arial" w:cs="Arial"/>
          <w:bCs/>
          <w:sz w:val="24"/>
          <w:szCs w:val="24"/>
        </w:rPr>
        <w:t>.</w:t>
      </w:r>
    </w:p>
    <w:p w14:paraId="1D617E8D" w14:textId="37BEBB08" w:rsidR="00E2168C" w:rsidRDefault="00E2168C" w:rsidP="00C13B16">
      <w:pPr>
        <w:pStyle w:val="ListParagraph"/>
        <w:numPr>
          <w:ilvl w:val="0"/>
          <w:numId w:val="17"/>
        </w:numPr>
        <w:contextualSpacing/>
        <w:rPr>
          <w:rFonts w:ascii="Arial" w:eastAsia="Times New Roman" w:hAnsi="Arial" w:cs="Arial"/>
          <w:bCs/>
          <w:sz w:val="24"/>
          <w:szCs w:val="24"/>
        </w:rPr>
      </w:pPr>
      <w:r w:rsidRPr="00C25630">
        <w:rPr>
          <w:rFonts w:ascii="Arial" w:eastAsia="Times New Roman" w:hAnsi="Arial" w:cs="Arial"/>
          <w:bCs/>
          <w:sz w:val="24"/>
          <w:szCs w:val="24"/>
        </w:rPr>
        <w:t>Scottish Fire and Rescue Service (SFRS) attended the Hotel site to undertake annual Fire Safety Audit and Inspection.</w:t>
      </w:r>
    </w:p>
    <w:p w14:paraId="2B19F1B5" w14:textId="3680FA2F" w:rsidR="004970BE" w:rsidRPr="00C25630" w:rsidRDefault="004970BE" w:rsidP="00C13B16">
      <w:pPr>
        <w:pStyle w:val="ListParagraph"/>
        <w:numPr>
          <w:ilvl w:val="0"/>
          <w:numId w:val="17"/>
        </w:numPr>
        <w:contextualSpacing/>
        <w:rPr>
          <w:rFonts w:ascii="Arial" w:eastAsia="Times New Roman" w:hAnsi="Arial" w:cs="Arial"/>
          <w:bCs/>
          <w:sz w:val="24"/>
          <w:szCs w:val="24"/>
        </w:rPr>
      </w:pPr>
      <w:r>
        <w:rPr>
          <w:rFonts w:ascii="Arial" w:eastAsia="Times New Roman" w:hAnsi="Arial" w:cs="Arial"/>
          <w:bCs/>
          <w:sz w:val="24"/>
          <w:szCs w:val="24"/>
        </w:rPr>
        <w:t>Safety Action notice (helipad operations)</w:t>
      </w:r>
    </w:p>
    <w:p w14:paraId="3CEA3CFE" w14:textId="3E90A335" w:rsidR="00000694" w:rsidRDefault="00000694" w:rsidP="002B3687">
      <w:pPr>
        <w:pStyle w:val="ListParagraph"/>
        <w:spacing w:line="360" w:lineRule="auto"/>
        <w:ind w:left="1076"/>
        <w:contextualSpacing/>
        <w:rPr>
          <w:rFonts w:ascii="Arial" w:eastAsia="Times New Roman" w:hAnsi="Arial" w:cs="Arial"/>
          <w:bCs/>
          <w:sz w:val="24"/>
          <w:szCs w:val="24"/>
        </w:rPr>
      </w:pPr>
    </w:p>
    <w:p w14:paraId="264ED60A" w14:textId="17A3CE21" w:rsidR="00000694" w:rsidRDefault="00CF4E6A" w:rsidP="008A5B73">
      <w:pPr>
        <w:pStyle w:val="Heading2"/>
        <w:numPr>
          <w:ilvl w:val="1"/>
          <w:numId w:val="6"/>
        </w:numPr>
      </w:pPr>
      <w:r>
        <w:tab/>
      </w:r>
      <w:r w:rsidR="00430C09">
        <w:t>Background</w:t>
      </w:r>
    </w:p>
    <w:p w14:paraId="0227994A" w14:textId="3D98B297" w:rsidR="00000694" w:rsidRDefault="00000694" w:rsidP="00000694"/>
    <w:p w14:paraId="775DB214" w14:textId="3F484458" w:rsidR="00000694" w:rsidRDefault="00000694" w:rsidP="00C13B16">
      <w:pPr>
        <w:ind w:left="720"/>
        <w:rPr>
          <w:rFonts w:cs="Arial"/>
          <w:color w:val="000000"/>
        </w:rPr>
      </w:pPr>
      <w:r w:rsidRPr="00A47A15">
        <w:rPr>
          <w:rFonts w:cs="Arial"/>
          <w:color w:val="000000"/>
        </w:rPr>
        <w:t>The Health and Safety at Work etc. Act 1974 is the primary legislation covering</w:t>
      </w:r>
      <w:r w:rsidR="00C13B16">
        <w:rPr>
          <w:rFonts w:cs="Arial"/>
          <w:color w:val="000000"/>
        </w:rPr>
        <w:t xml:space="preserve"> </w:t>
      </w:r>
      <w:r w:rsidRPr="00A47A15">
        <w:rPr>
          <w:rFonts w:cs="Arial"/>
          <w:color w:val="000000"/>
        </w:rPr>
        <w:t>health and safety in the UK. Sections 2 (6) and 2 (7) of this Act requires</w:t>
      </w:r>
      <w:r w:rsidR="00C13B16">
        <w:rPr>
          <w:rFonts w:cs="Arial"/>
          <w:color w:val="000000"/>
        </w:rPr>
        <w:t xml:space="preserve"> </w:t>
      </w:r>
      <w:r w:rsidRPr="00A47A15">
        <w:rPr>
          <w:rFonts w:cs="Arial"/>
          <w:color w:val="000000"/>
        </w:rPr>
        <w:t>employers to formally consult their employees on matters that affect their health</w:t>
      </w:r>
      <w:r w:rsidR="00C13B16">
        <w:rPr>
          <w:rFonts w:cs="Arial"/>
          <w:color w:val="000000"/>
        </w:rPr>
        <w:t xml:space="preserve"> </w:t>
      </w:r>
      <w:r w:rsidRPr="00A47A15">
        <w:rPr>
          <w:rFonts w:cs="Arial"/>
          <w:color w:val="000000"/>
        </w:rPr>
        <w:t>and safety.</w:t>
      </w:r>
      <w:r>
        <w:rPr>
          <w:rFonts w:cs="Arial"/>
          <w:color w:val="000000"/>
        </w:rPr>
        <w:t xml:space="preserve"> NHS Golden Jubilee</w:t>
      </w:r>
      <w:r w:rsidRPr="00A47A15">
        <w:rPr>
          <w:rFonts w:cs="Arial"/>
          <w:color w:val="000000"/>
        </w:rPr>
        <w:t xml:space="preserve"> has decided that the most effective way to</w:t>
      </w:r>
      <w:r w:rsidR="00C13B16">
        <w:rPr>
          <w:rFonts w:cs="Arial"/>
          <w:color w:val="000000"/>
        </w:rPr>
        <w:t xml:space="preserve"> </w:t>
      </w:r>
      <w:r w:rsidRPr="00A47A15">
        <w:rPr>
          <w:rFonts w:cs="Arial"/>
          <w:color w:val="000000"/>
        </w:rPr>
        <w:t xml:space="preserve">discharge these requirements will be through the formation of </w:t>
      </w:r>
      <w:r w:rsidR="00C13B16">
        <w:rPr>
          <w:rFonts w:cs="Arial"/>
          <w:color w:val="000000"/>
        </w:rPr>
        <w:t>Divisional Health and</w:t>
      </w:r>
      <w:r>
        <w:rPr>
          <w:rFonts w:cs="Arial"/>
          <w:color w:val="000000"/>
        </w:rPr>
        <w:t xml:space="preserve"> Safety Forums and H</w:t>
      </w:r>
      <w:r w:rsidRPr="00A47A15">
        <w:rPr>
          <w:rFonts w:cs="Arial"/>
          <w:color w:val="000000"/>
        </w:rPr>
        <w:t xml:space="preserve">ealth </w:t>
      </w:r>
      <w:r w:rsidR="00C13B16">
        <w:rPr>
          <w:rFonts w:cs="Arial"/>
          <w:color w:val="000000"/>
        </w:rPr>
        <w:t>and</w:t>
      </w:r>
      <w:r>
        <w:rPr>
          <w:rFonts w:cs="Arial"/>
          <w:color w:val="000000"/>
        </w:rPr>
        <w:t xml:space="preserve"> Safety C</w:t>
      </w:r>
      <w:r w:rsidRPr="00A47A15">
        <w:rPr>
          <w:rFonts w:cs="Arial"/>
          <w:color w:val="000000"/>
        </w:rPr>
        <w:t>ommittee.</w:t>
      </w:r>
    </w:p>
    <w:p w14:paraId="5272C8E5" w14:textId="77777777" w:rsidR="00C13B16" w:rsidRPr="00A47A15" w:rsidRDefault="00C13B16" w:rsidP="00C13B16">
      <w:pPr>
        <w:ind w:left="720"/>
        <w:rPr>
          <w:rFonts w:cs="Arial"/>
          <w:color w:val="000000"/>
        </w:rPr>
      </w:pPr>
    </w:p>
    <w:p w14:paraId="6085989B" w14:textId="38330E63" w:rsidR="00000694" w:rsidRPr="00A47A15" w:rsidRDefault="00000694" w:rsidP="00C13B16">
      <w:pPr>
        <w:tabs>
          <w:tab w:val="left" w:pos="-720"/>
        </w:tabs>
        <w:suppressAutoHyphens/>
        <w:ind w:left="720"/>
        <w:rPr>
          <w:rFonts w:cs="Arial"/>
          <w:color w:val="000000"/>
        </w:rPr>
      </w:pPr>
      <w:r w:rsidRPr="00A47A15">
        <w:rPr>
          <w:rFonts w:cs="Arial"/>
          <w:color w:val="000000"/>
        </w:rPr>
        <w:t>The main purpose of the committee is to foster a culture whereby the promotion</w:t>
      </w:r>
      <w:r w:rsidR="00C13B16">
        <w:rPr>
          <w:rFonts w:cs="Arial"/>
          <w:color w:val="000000"/>
        </w:rPr>
        <w:t xml:space="preserve"> </w:t>
      </w:r>
      <w:r>
        <w:rPr>
          <w:rFonts w:cs="Arial"/>
          <w:color w:val="000000"/>
        </w:rPr>
        <w:t xml:space="preserve">of the health </w:t>
      </w:r>
      <w:r w:rsidRPr="00A47A15">
        <w:rPr>
          <w:rFonts w:cs="Arial"/>
          <w:color w:val="000000"/>
        </w:rPr>
        <w:t>and safety of employees, patients, visitors</w:t>
      </w:r>
      <w:r w:rsidR="00446589">
        <w:rPr>
          <w:rFonts w:cs="Arial"/>
          <w:color w:val="000000"/>
        </w:rPr>
        <w:t>,</w:t>
      </w:r>
      <w:r w:rsidR="00A00AF6">
        <w:rPr>
          <w:rFonts w:cs="Arial"/>
          <w:color w:val="000000"/>
        </w:rPr>
        <w:t xml:space="preserve"> </w:t>
      </w:r>
      <w:r w:rsidRPr="00A47A15">
        <w:rPr>
          <w:rFonts w:cs="Arial"/>
          <w:color w:val="000000"/>
        </w:rPr>
        <w:t xml:space="preserve">contractors </w:t>
      </w:r>
      <w:r w:rsidR="00446589">
        <w:rPr>
          <w:rFonts w:cs="Arial"/>
          <w:color w:val="000000"/>
        </w:rPr>
        <w:t>and</w:t>
      </w:r>
      <w:r w:rsidR="00C13B16">
        <w:rPr>
          <w:rFonts w:cs="Arial"/>
          <w:color w:val="000000"/>
        </w:rPr>
        <w:t xml:space="preserve"> </w:t>
      </w:r>
      <w:r w:rsidR="00446589">
        <w:rPr>
          <w:rFonts w:cs="Arial"/>
          <w:color w:val="000000"/>
        </w:rPr>
        <w:t>suppliers</w:t>
      </w:r>
      <w:r w:rsidR="00A00AF6">
        <w:rPr>
          <w:rFonts w:cs="Arial"/>
          <w:color w:val="000000"/>
        </w:rPr>
        <w:t xml:space="preserve"> </w:t>
      </w:r>
      <w:r w:rsidRPr="00A47A15">
        <w:rPr>
          <w:rFonts w:cs="Arial"/>
          <w:color w:val="000000"/>
        </w:rPr>
        <w:t>becomes an integral part of our organisation’s activities.</w:t>
      </w:r>
    </w:p>
    <w:p w14:paraId="003C6F85" w14:textId="77777777" w:rsidR="00000694" w:rsidRPr="00A47A15" w:rsidRDefault="00000694" w:rsidP="00000694">
      <w:pPr>
        <w:tabs>
          <w:tab w:val="left" w:pos="-720"/>
        </w:tabs>
        <w:suppressAutoHyphens/>
        <w:jc w:val="both"/>
        <w:rPr>
          <w:rFonts w:cs="Arial"/>
          <w:color w:val="000000"/>
        </w:rPr>
      </w:pPr>
    </w:p>
    <w:p w14:paraId="298EE270" w14:textId="59BD9702" w:rsidR="00000694" w:rsidRDefault="00000694" w:rsidP="00C13B16">
      <w:pPr>
        <w:spacing w:after="120"/>
        <w:ind w:left="720"/>
        <w:rPr>
          <w:rFonts w:cs="Arial"/>
          <w:color w:val="000000"/>
        </w:rPr>
      </w:pPr>
      <w:r w:rsidRPr="00A47A15">
        <w:rPr>
          <w:rFonts w:cs="Arial"/>
          <w:color w:val="000000"/>
        </w:rPr>
        <w:t xml:space="preserve">The </w:t>
      </w:r>
      <w:r w:rsidR="00C13B16">
        <w:rPr>
          <w:rFonts w:cs="Arial"/>
          <w:color w:val="000000"/>
        </w:rPr>
        <w:t>Health and Safety C</w:t>
      </w:r>
      <w:r w:rsidRPr="00A47A15">
        <w:rPr>
          <w:rFonts w:cs="Arial"/>
          <w:color w:val="000000"/>
        </w:rPr>
        <w:t xml:space="preserve">ommittee </w:t>
      </w:r>
      <w:r w:rsidR="00C13B16">
        <w:rPr>
          <w:rFonts w:cs="Arial"/>
          <w:color w:val="000000"/>
        </w:rPr>
        <w:t>T</w:t>
      </w:r>
      <w:r w:rsidR="00446589">
        <w:rPr>
          <w:rFonts w:cs="Arial"/>
          <w:color w:val="000000"/>
        </w:rPr>
        <w:t xml:space="preserve">erms of </w:t>
      </w:r>
      <w:r w:rsidR="00C13B16">
        <w:rPr>
          <w:rFonts w:cs="Arial"/>
          <w:color w:val="000000"/>
        </w:rPr>
        <w:t>R</w:t>
      </w:r>
      <w:r w:rsidR="00446589">
        <w:rPr>
          <w:rFonts w:cs="Arial"/>
          <w:color w:val="000000"/>
        </w:rPr>
        <w:t>eference</w:t>
      </w:r>
      <w:r w:rsidRPr="00A47A15">
        <w:rPr>
          <w:rFonts w:cs="Arial"/>
          <w:color w:val="000000"/>
        </w:rPr>
        <w:t xml:space="preserve"> set out a number of aims and these are summarised below:</w:t>
      </w:r>
    </w:p>
    <w:p w14:paraId="6991A11A" w14:textId="77777777" w:rsidR="00000694" w:rsidRDefault="00000694" w:rsidP="008A5B73">
      <w:pPr>
        <w:pStyle w:val="ListParagraph"/>
        <w:numPr>
          <w:ilvl w:val="0"/>
          <w:numId w:val="2"/>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To</w:t>
      </w:r>
      <w:r w:rsidRPr="00A47A15">
        <w:rPr>
          <w:rFonts w:ascii="Arial" w:hAnsi="Arial" w:cs="Arial"/>
          <w:color w:val="000000"/>
          <w:sz w:val="24"/>
          <w:szCs w:val="24"/>
        </w:rPr>
        <w:t xml:space="preserve"> encourage safe working practices and safeguards for all staff and others in line with health and safety legislation.</w:t>
      </w:r>
    </w:p>
    <w:p w14:paraId="12DE5670" w14:textId="77777777" w:rsidR="00000694" w:rsidRPr="00A47A15" w:rsidRDefault="00000694" w:rsidP="008A5B73">
      <w:pPr>
        <w:pStyle w:val="ListParagraph"/>
        <w:numPr>
          <w:ilvl w:val="0"/>
          <w:numId w:val="2"/>
        </w:numPr>
        <w:autoSpaceDE w:val="0"/>
        <w:autoSpaceDN w:val="0"/>
        <w:adjustRightInd w:val="0"/>
        <w:spacing w:before="40" w:after="120" w:line="276" w:lineRule="auto"/>
        <w:ind w:left="1080"/>
        <w:rPr>
          <w:rFonts w:ascii="Arial" w:hAnsi="Arial" w:cs="Arial"/>
          <w:color w:val="000000"/>
        </w:rPr>
      </w:pPr>
      <w:r>
        <w:rPr>
          <w:rFonts w:ascii="Arial" w:hAnsi="Arial" w:cs="Arial"/>
          <w:color w:val="000000"/>
          <w:sz w:val="24"/>
          <w:szCs w:val="24"/>
        </w:rPr>
        <w:t>To</w:t>
      </w:r>
      <w:r w:rsidRPr="00A47A15">
        <w:rPr>
          <w:rFonts w:ascii="Arial" w:hAnsi="Arial" w:cs="Arial"/>
          <w:color w:val="000000"/>
          <w:sz w:val="24"/>
          <w:szCs w:val="24"/>
        </w:rPr>
        <w:t xml:space="preserve"> promote safety consciousness within staff at every level in order to effect a reduction in the level of accidents</w:t>
      </w:r>
      <w:r>
        <w:rPr>
          <w:rFonts w:ascii="Arial" w:hAnsi="Arial" w:cs="Arial"/>
          <w:color w:val="000000"/>
          <w:sz w:val="24"/>
          <w:szCs w:val="24"/>
        </w:rPr>
        <w:t>.</w:t>
      </w:r>
    </w:p>
    <w:p w14:paraId="76A6C10E" w14:textId="77777777" w:rsidR="00000694" w:rsidRPr="00A47A15" w:rsidRDefault="00000694" w:rsidP="008A5B73">
      <w:pPr>
        <w:pStyle w:val="ListParagraph"/>
        <w:numPr>
          <w:ilvl w:val="0"/>
          <w:numId w:val="2"/>
        </w:numPr>
        <w:autoSpaceDE w:val="0"/>
        <w:autoSpaceDN w:val="0"/>
        <w:adjustRightInd w:val="0"/>
        <w:spacing w:before="40" w:after="120" w:line="276" w:lineRule="auto"/>
        <w:ind w:left="1080"/>
        <w:rPr>
          <w:rFonts w:ascii="Arial" w:hAnsi="Arial" w:cs="Arial"/>
          <w:color w:val="000000"/>
        </w:rPr>
      </w:pPr>
      <w:r>
        <w:rPr>
          <w:rFonts w:ascii="Arial" w:hAnsi="Arial" w:cs="Arial"/>
          <w:color w:val="000000"/>
          <w:sz w:val="24"/>
          <w:szCs w:val="24"/>
        </w:rPr>
        <w:t>To</w:t>
      </w:r>
      <w:r w:rsidRPr="00A47A15">
        <w:rPr>
          <w:rFonts w:ascii="Arial" w:hAnsi="Arial" w:cs="Arial"/>
          <w:color w:val="000000"/>
          <w:sz w:val="24"/>
          <w:szCs w:val="24"/>
        </w:rPr>
        <w:t xml:space="preserve"> promote appropriate courses of training in health and safety for all staff</w:t>
      </w:r>
      <w:r>
        <w:rPr>
          <w:rFonts w:ascii="Arial" w:hAnsi="Arial" w:cs="Arial"/>
          <w:color w:val="000000"/>
          <w:sz w:val="24"/>
          <w:szCs w:val="24"/>
        </w:rPr>
        <w:t>.</w:t>
      </w:r>
    </w:p>
    <w:p w14:paraId="76492307" w14:textId="77777777" w:rsidR="00000694" w:rsidRPr="00A47A15" w:rsidRDefault="00000694" w:rsidP="008A5B73">
      <w:pPr>
        <w:pStyle w:val="ListParagraph"/>
        <w:numPr>
          <w:ilvl w:val="0"/>
          <w:numId w:val="2"/>
        </w:numPr>
        <w:autoSpaceDE w:val="0"/>
        <w:autoSpaceDN w:val="0"/>
        <w:adjustRightInd w:val="0"/>
        <w:spacing w:before="40" w:after="120" w:line="276" w:lineRule="auto"/>
        <w:ind w:left="1080"/>
        <w:rPr>
          <w:rFonts w:ascii="Arial" w:hAnsi="Arial" w:cs="Arial"/>
          <w:color w:val="000000"/>
        </w:rPr>
      </w:pPr>
      <w:r>
        <w:rPr>
          <w:rFonts w:ascii="Arial" w:hAnsi="Arial" w:cs="Arial"/>
          <w:color w:val="000000"/>
          <w:sz w:val="24"/>
          <w:szCs w:val="24"/>
        </w:rPr>
        <w:t>To</w:t>
      </w:r>
      <w:r w:rsidRPr="00A47A15">
        <w:rPr>
          <w:rFonts w:ascii="Arial" w:hAnsi="Arial" w:cs="Arial"/>
          <w:color w:val="000000"/>
          <w:sz w:val="24"/>
          <w:szCs w:val="24"/>
        </w:rPr>
        <w:t xml:space="preserve"> consider concerns expressed by management and staff in relation to health and safety matters</w:t>
      </w:r>
      <w:r>
        <w:rPr>
          <w:rFonts w:ascii="Arial" w:hAnsi="Arial" w:cs="Arial"/>
          <w:color w:val="000000"/>
          <w:sz w:val="24"/>
          <w:szCs w:val="24"/>
        </w:rPr>
        <w:t>.</w:t>
      </w:r>
    </w:p>
    <w:p w14:paraId="6ED1C7F0" w14:textId="7F975639" w:rsidR="00000694" w:rsidRPr="00A47A15" w:rsidRDefault="00000694" w:rsidP="008A5B73">
      <w:pPr>
        <w:pStyle w:val="ListParagraph"/>
        <w:numPr>
          <w:ilvl w:val="0"/>
          <w:numId w:val="2"/>
        </w:numPr>
        <w:autoSpaceDE w:val="0"/>
        <w:autoSpaceDN w:val="0"/>
        <w:adjustRightInd w:val="0"/>
        <w:spacing w:before="40" w:after="120" w:line="276" w:lineRule="auto"/>
        <w:ind w:left="1080"/>
        <w:rPr>
          <w:rFonts w:ascii="Arial" w:hAnsi="Arial" w:cs="Arial"/>
          <w:color w:val="000000"/>
        </w:rPr>
      </w:pPr>
      <w:r>
        <w:rPr>
          <w:rFonts w:ascii="Arial" w:hAnsi="Arial" w:cs="Arial"/>
          <w:color w:val="000000"/>
          <w:sz w:val="24"/>
          <w:szCs w:val="24"/>
        </w:rPr>
        <w:t>To</w:t>
      </w:r>
      <w:r w:rsidRPr="00A47A15">
        <w:rPr>
          <w:rFonts w:ascii="Arial" w:hAnsi="Arial" w:cs="Arial"/>
          <w:color w:val="000000"/>
          <w:sz w:val="24"/>
          <w:szCs w:val="24"/>
        </w:rPr>
        <w:t xml:space="preserve"> agree a program of workplace inspections, receive reports and make recommendations on action required</w:t>
      </w:r>
      <w:r w:rsidR="00373C97">
        <w:rPr>
          <w:rFonts w:ascii="Arial" w:hAnsi="Arial" w:cs="Arial"/>
          <w:color w:val="000000"/>
          <w:sz w:val="24"/>
          <w:szCs w:val="24"/>
        </w:rPr>
        <w:t>.</w:t>
      </w:r>
    </w:p>
    <w:p w14:paraId="4DE51B62" w14:textId="2A6E171C" w:rsidR="00C13B16" w:rsidRDefault="00000694" w:rsidP="008A5B73">
      <w:pPr>
        <w:pStyle w:val="ListParagraph"/>
        <w:numPr>
          <w:ilvl w:val="0"/>
          <w:numId w:val="2"/>
        </w:numPr>
        <w:autoSpaceDE w:val="0"/>
        <w:autoSpaceDN w:val="0"/>
        <w:adjustRightInd w:val="0"/>
        <w:spacing w:before="40" w:after="120" w:line="276" w:lineRule="auto"/>
        <w:ind w:left="1080"/>
        <w:rPr>
          <w:rFonts w:ascii="Arial" w:hAnsi="Arial" w:cs="Arial"/>
          <w:color w:val="000000"/>
        </w:rPr>
      </w:pPr>
      <w:r>
        <w:rPr>
          <w:rFonts w:ascii="Arial" w:hAnsi="Arial" w:cs="Arial"/>
          <w:color w:val="000000"/>
          <w:sz w:val="24"/>
          <w:szCs w:val="24"/>
        </w:rPr>
        <w:t>To</w:t>
      </w:r>
      <w:r w:rsidRPr="00A47A15">
        <w:rPr>
          <w:rFonts w:ascii="Arial" w:hAnsi="Arial" w:cs="Arial"/>
          <w:color w:val="000000"/>
          <w:sz w:val="24"/>
          <w:szCs w:val="24"/>
        </w:rPr>
        <w:t xml:space="preserve"> monitor progress against health and safety action plan</w:t>
      </w:r>
      <w:r w:rsidR="00A82C33">
        <w:rPr>
          <w:rFonts w:ascii="Arial" w:hAnsi="Arial" w:cs="Arial"/>
          <w:color w:val="000000"/>
          <w:sz w:val="24"/>
          <w:szCs w:val="24"/>
        </w:rPr>
        <w:t>.</w:t>
      </w:r>
    </w:p>
    <w:p w14:paraId="0C225831" w14:textId="77777777" w:rsidR="00C13B16" w:rsidRPr="00C13B16" w:rsidRDefault="00C13B16" w:rsidP="00C13B16">
      <w:pPr>
        <w:rPr>
          <w:lang w:eastAsia="en-GB"/>
        </w:rPr>
      </w:pPr>
    </w:p>
    <w:p w14:paraId="3245821D" w14:textId="7E1F1903" w:rsidR="00F3337D" w:rsidRDefault="00C87B62" w:rsidP="00BF3AF0">
      <w:pPr>
        <w:pStyle w:val="Heading2"/>
      </w:pPr>
      <w:r>
        <w:t>2</w:t>
      </w:r>
      <w:r w:rsidR="00BF3AF0">
        <w:t>.3</w:t>
      </w:r>
      <w:r w:rsidR="00BF3AF0">
        <w:tab/>
      </w:r>
      <w:r w:rsidR="00F3337D">
        <w:t>Assessment</w:t>
      </w:r>
    </w:p>
    <w:p w14:paraId="149EFE6A" w14:textId="37A171F2" w:rsidR="000B4423" w:rsidRPr="00353184" w:rsidRDefault="000B4423" w:rsidP="000B4423">
      <w:pPr>
        <w:ind w:left="720"/>
        <w:rPr>
          <w:rFonts w:cs="Arial"/>
          <w:b/>
          <w:bCs/>
          <w:color w:val="FF0000"/>
        </w:rPr>
      </w:pPr>
      <w:r w:rsidRPr="00353184">
        <w:rPr>
          <w:rFonts w:cs="Arial"/>
        </w:rPr>
        <w:t xml:space="preserve">Appendix 1 </w:t>
      </w:r>
      <w:r>
        <w:rPr>
          <w:rFonts w:cs="Arial"/>
        </w:rPr>
        <w:t xml:space="preserve">contains </w:t>
      </w:r>
      <w:r w:rsidR="00C13B16">
        <w:rPr>
          <w:rFonts w:cs="Arial"/>
        </w:rPr>
        <w:t xml:space="preserve">the </w:t>
      </w:r>
      <w:r>
        <w:rPr>
          <w:rFonts w:cs="Arial"/>
        </w:rPr>
        <w:t xml:space="preserve">Health </w:t>
      </w:r>
      <w:r w:rsidR="00C13B16">
        <w:rPr>
          <w:rFonts w:cs="Arial"/>
        </w:rPr>
        <w:t>and</w:t>
      </w:r>
      <w:r>
        <w:rPr>
          <w:rFonts w:cs="Arial"/>
        </w:rPr>
        <w:t xml:space="preserve"> Safety</w:t>
      </w:r>
      <w:r w:rsidR="00493CFC">
        <w:rPr>
          <w:rFonts w:cs="Arial"/>
        </w:rPr>
        <w:t xml:space="preserve"> </w:t>
      </w:r>
      <w:r w:rsidR="0096075E">
        <w:rPr>
          <w:rFonts w:cs="Arial"/>
        </w:rPr>
        <w:t>Quarter</w:t>
      </w:r>
      <w:r w:rsidR="00C13B16">
        <w:rPr>
          <w:rFonts w:cs="Arial"/>
        </w:rPr>
        <w:t xml:space="preserve"> 2</w:t>
      </w:r>
      <w:r>
        <w:rPr>
          <w:rFonts w:cs="Arial"/>
        </w:rPr>
        <w:t xml:space="preserve"> Report for </w:t>
      </w:r>
      <w:r w:rsidR="00C13B16">
        <w:rPr>
          <w:rFonts w:cs="Arial"/>
        </w:rPr>
        <w:t>20</w:t>
      </w:r>
      <w:r w:rsidR="003F5E80">
        <w:rPr>
          <w:rFonts w:cs="Arial"/>
        </w:rPr>
        <w:t>24/</w:t>
      </w:r>
      <w:r w:rsidR="00C13B16">
        <w:rPr>
          <w:rFonts w:cs="Arial"/>
        </w:rPr>
        <w:t>20</w:t>
      </w:r>
      <w:r w:rsidR="003F5E80">
        <w:rPr>
          <w:rFonts w:cs="Arial"/>
        </w:rPr>
        <w:t>25</w:t>
      </w:r>
    </w:p>
    <w:p w14:paraId="432009E5" w14:textId="13260AA0" w:rsidR="00F3337D" w:rsidRPr="00BF3AF0" w:rsidRDefault="00F3337D" w:rsidP="00BF3AF0">
      <w:pPr>
        <w:spacing w:before="40" w:after="40" w:line="276" w:lineRule="auto"/>
        <w:rPr>
          <w:rFonts w:cs="Arial"/>
          <w:color w:val="000000"/>
          <w:szCs w:val="24"/>
        </w:rPr>
      </w:pPr>
    </w:p>
    <w:p w14:paraId="3F2871AE" w14:textId="77777777" w:rsidR="00F3337D" w:rsidRDefault="00C87B62" w:rsidP="00F3337D">
      <w:pPr>
        <w:pStyle w:val="Heading3"/>
        <w:spacing w:line="276" w:lineRule="auto"/>
      </w:pPr>
      <w:r>
        <w:t>2</w:t>
      </w:r>
      <w:r w:rsidR="00BF3AF0">
        <w:t>.3.1</w:t>
      </w:r>
      <w:r w:rsidR="00BF3AF0">
        <w:tab/>
      </w:r>
      <w:r w:rsidR="00F3337D">
        <w:t>Quality/ Patient Care</w:t>
      </w:r>
    </w:p>
    <w:p w14:paraId="7655551C" w14:textId="0DC61D7B" w:rsidR="00716E7D" w:rsidRDefault="00716E7D" w:rsidP="00716E7D">
      <w:pPr>
        <w:spacing w:before="40" w:after="40" w:line="276" w:lineRule="auto"/>
        <w:ind w:left="720"/>
        <w:rPr>
          <w:rFonts w:cs="Arial"/>
          <w:color w:val="000000"/>
          <w:szCs w:val="24"/>
        </w:rPr>
      </w:pPr>
      <w:r>
        <w:rPr>
          <w:rFonts w:cs="Arial"/>
          <w:color w:val="000000"/>
          <w:szCs w:val="24"/>
        </w:rPr>
        <w:t>Ensuring we deliver safe patient care</w:t>
      </w:r>
      <w:r w:rsidR="00373C97">
        <w:rPr>
          <w:rFonts w:cs="Arial"/>
          <w:color w:val="000000"/>
          <w:szCs w:val="24"/>
        </w:rPr>
        <w:t>.</w:t>
      </w:r>
    </w:p>
    <w:p w14:paraId="7F4F84BF" w14:textId="77777777" w:rsidR="00F3337D" w:rsidRPr="00F3337D" w:rsidRDefault="00F3337D" w:rsidP="00BF3AF0">
      <w:pPr>
        <w:pStyle w:val="ListParagraph"/>
        <w:ind w:left="1440"/>
        <w:rPr>
          <w:rFonts w:ascii="Arial" w:hAnsi="Arial" w:cs="Arial"/>
          <w:color w:val="000000"/>
          <w:sz w:val="24"/>
          <w:szCs w:val="24"/>
        </w:rPr>
      </w:pPr>
    </w:p>
    <w:p w14:paraId="28A49038" w14:textId="77777777" w:rsidR="00AA77F7" w:rsidRDefault="00C87B62" w:rsidP="00AA77F7">
      <w:pPr>
        <w:pStyle w:val="Heading3"/>
        <w:spacing w:line="276" w:lineRule="auto"/>
      </w:pPr>
      <w:r>
        <w:t>2</w:t>
      </w:r>
      <w:r w:rsidR="00BF3AF0">
        <w:t>.3.2</w:t>
      </w:r>
      <w:r w:rsidR="00BF3AF0">
        <w:tab/>
      </w:r>
      <w:r w:rsidR="00AA77F7">
        <w:t>Workforce</w:t>
      </w:r>
    </w:p>
    <w:p w14:paraId="6E510C17" w14:textId="45703770" w:rsidR="00F3337D" w:rsidRDefault="00716E7D" w:rsidP="00AA77F7">
      <w:r>
        <w:rPr>
          <w:rFonts w:cs="Arial"/>
          <w:color w:val="000000"/>
          <w:szCs w:val="24"/>
        </w:rPr>
        <w:tab/>
      </w:r>
      <w:r>
        <w:t xml:space="preserve">Ensures we provide staff a safe working environment in accordance with NHS Staff </w:t>
      </w:r>
      <w:r>
        <w:tab/>
        <w:t>Governance Standards.</w:t>
      </w:r>
    </w:p>
    <w:p w14:paraId="7D0B9C66" w14:textId="77777777" w:rsidR="00716E7D" w:rsidRPr="00AA77F7" w:rsidRDefault="00716E7D" w:rsidP="00AA77F7">
      <w:pPr>
        <w:rPr>
          <w:rFonts w:cs="Arial"/>
          <w:color w:val="000000"/>
          <w:szCs w:val="24"/>
        </w:rPr>
      </w:pPr>
    </w:p>
    <w:p w14:paraId="3649D035" w14:textId="77777777" w:rsidR="00F3337D" w:rsidRDefault="00C87B62" w:rsidP="00F3337D">
      <w:pPr>
        <w:pStyle w:val="Heading3"/>
        <w:spacing w:line="276" w:lineRule="auto"/>
      </w:pPr>
      <w:r>
        <w:t>2</w:t>
      </w:r>
      <w:r w:rsidR="00BF3AF0">
        <w:t>.3.3</w:t>
      </w:r>
      <w:r w:rsidR="00BF3AF0">
        <w:tab/>
      </w:r>
      <w:r w:rsidR="00F3337D">
        <w:t>Financial</w:t>
      </w:r>
    </w:p>
    <w:p w14:paraId="32AA3C72" w14:textId="4D373D7F" w:rsidR="00716E7D" w:rsidRPr="00611AA4" w:rsidRDefault="00716E7D" w:rsidP="00716E7D">
      <w:pPr>
        <w:spacing w:before="40" w:after="40" w:line="276" w:lineRule="auto"/>
        <w:ind w:left="720"/>
        <w:rPr>
          <w:rFonts w:cs="Arial"/>
          <w:color w:val="000000"/>
          <w:szCs w:val="24"/>
        </w:rPr>
      </w:pPr>
      <w:r>
        <w:rPr>
          <w:rFonts w:cs="Arial"/>
          <w:color w:val="000000"/>
          <w:szCs w:val="24"/>
        </w:rPr>
        <w:t>In accordance with SFIs and existing resources.</w:t>
      </w:r>
    </w:p>
    <w:p w14:paraId="5508479E" w14:textId="672589B5" w:rsidR="00F3337D" w:rsidRDefault="00F3337D" w:rsidP="00BF3AF0">
      <w:pPr>
        <w:pStyle w:val="ListParagraph"/>
        <w:spacing w:before="40" w:after="40" w:line="276" w:lineRule="auto"/>
        <w:ind w:left="394"/>
        <w:rPr>
          <w:rFonts w:ascii="Arial" w:hAnsi="Arial" w:cs="Arial"/>
          <w:color w:val="000000"/>
          <w:sz w:val="24"/>
          <w:szCs w:val="24"/>
        </w:rPr>
      </w:pPr>
    </w:p>
    <w:p w14:paraId="39B04ABF" w14:textId="77777777" w:rsidR="00F3337D" w:rsidRDefault="00C87B62" w:rsidP="00F3337D">
      <w:pPr>
        <w:pStyle w:val="Heading3"/>
        <w:spacing w:line="276" w:lineRule="auto"/>
      </w:pPr>
      <w:r>
        <w:lastRenderedPageBreak/>
        <w:t>2</w:t>
      </w:r>
      <w:r w:rsidR="00BF3AF0">
        <w:t>.3.4</w:t>
      </w:r>
      <w:r w:rsidR="00BF3AF0">
        <w:tab/>
      </w:r>
      <w:r w:rsidR="00F3337D">
        <w:t>Risk Assessment</w:t>
      </w:r>
      <w:r w:rsidR="00BF3AF0">
        <w:t>/</w:t>
      </w:r>
      <w:r w:rsidR="00F3337D">
        <w:t>Management</w:t>
      </w:r>
    </w:p>
    <w:p w14:paraId="4C1EC623" w14:textId="77777777" w:rsidR="009F4B70" w:rsidRDefault="009F4B70" w:rsidP="00BF3AF0">
      <w:pPr>
        <w:spacing w:before="40" w:after="40" w:line="276" w:lineRule="auto"/>
        <w:rPr>
          <w:rFonts w:cs="Arial"/>
          <w:color w:val="000000"/>
          <w:szCs w:val="24"/>
        </w:rPr>
      </w:pPr>
      <w:r>
        <w:rPr>
          <w:rFonts w:cs="Arial"/>
          <w:color w:val="000000"/>
          <w:szCs w:val="24"/>
        </w:rPr>
        <w:tab/>
        <w:t>Key risks highlighted within Appendix 1.</w:t>
      </w:r>
    </w:p>
    <w:p w14:paraId="46FDCAB4" w14:textId="7E81942F" w:rsidR="00F3337D" w:rsidRPr="00BF3AF0" w:rsidRDefault="009F4B70" w:rsidP="00BF3AF0">
      <w:pPr>
        <w:spacing w:before="40" w:after="40" w:line="276" w:lineRule="auto"/>
        <w:rPr>
          <w:rFonts w:cs="Arial"/>
          <w:color w:val="000000"/>
          <w:szCs w:val="24"/>
        </w:rPr>
      </w:pPr>
      <w:r>
        <w:rPr>
          <w:rFonts w:cs="Arial"/>
          <w:color w:val="000000"/>
          <w:szCs w:val="24"/>
        </w:rPr>
        <w:t xml:space="preserve"> </w:t>
      </w:r>
    </w:p>
    <w:p w14:paraId="11562A85" w14:textId="2D4B3743" w:rsidR="00F3337D" w:rsidRDefault="00C87B62" w:rsidP="00F3337D">
      <w:pPr>
        <w:pStyle w:val="Heading3"/>
        <w:spacing w:line="276" w:lineRule="auto"/>
      </w:pPr>
      <w:r>
        <w:t>2</w:t>
      </w:r>
      <w:r w:rsidR="00BF3AF0">
        <w:t>.3.5</w:t>
      </w:r>
      <w:r w:rsidR="00BF3AF0">
        <w:tab/>
      </w:r>
      <w:r w:rsidR="00F3337D">
        <w:t>Equality and Diversity, including health inequalities</w:t>
      </w:r>
    </w:p>
    <w:p w14:paraId="53C92CC6" w14:textId="0D026C67" w:rsidR="00A00AF6" w:rsidRPr="00A00AF6" w:rsidRDefault="004902DB" w:rsidP="00A00AF6">
      <w:r>
        <w:tab/>
      </w:r>
      <w:r w:rsidR="00A00AF6">
        <w:t>Not applicable (N/A)</w:t>
      </w:r>
      <w:r w:rsidR="00373C97">
        <w:t>.</w:t>
      </w:r>
    </w:p>
    <w:p w14:paraId="6BBF90C2" w14:textId="77777777" w:rsidR="0073796E" w:rsidRDefault="0073796E" w:rsidP="00F012CE">
      <w:pPr>
        <w:spacing w:before="40" w:after="40" w:line="276" w:lineRule="auto"/>
        <w:ind w:left="720"/>
        <w:rPr>
          <w:rFonts w:cs="Arial"/>
          <w:color w:val="000000"/>
          <w:szCs w:val="24"/>
          <w:highlight w:val="lightGray"/>
        </w:rPr>
      </w:pPr>
    </w:p>
    <w:p w14:paraId="032E2865" w14:textId="77777777" w:rsidR="00446219" w:rsidRPr="00DA354A" w:rsidRDefault="00C87B62" w:rsidP="00446219">
      <w:pPr>
        <w:pStyle w:val="Heading3"/>
      </w:pPr>
      <w:r>
        <w:t>2</w:t>
      </w:r>
      <w:r w:rsidR="00BF3AF0">
        <w:t>.3.6</w:t>
      </w:r>
      <w:r w:rsidR="00BF3AF0">
        <w:tab/>
      </w:r>
      <w:r w:rsidR="00446219" w:rsidRPr="00DA354A">
        <w:t>Other</w:t>
      </w:r>
      <w:r w:rsidR="00BF3AF0">
        <w:t xml:space="preserve"> impacts</w:t>
      </w:r>
    </w:p>
    <w:p w14:paraId="09D34C56" w14:textId="7B76C803" w:rsidR="00A00AF6" w:rsidRPr="004902DB" w:rsidRDefault="004902DB" w:rsidP="004902DB">
      <w:pPr>
        <w:rPr>
          <w:rFonts w:cs="Arial"/>
          <w:color w:val="000000"/>
          <w:szCs w:val="24"/>
        </w:rPr>
      </w:pPr>
      <w:r>
        <w:rPr>
          <w:rFonts w:eastAsia="Calibri" w:cs="Arial"/>
          <w:color w:val="000000"/>
          <w:spacing w:val="0"/>
          <w:szCs w:val="24"/>
          <w:lang w:eastAsia="en-GB"/>
        </w:rPr>
        <w:tab/>
      </w:r>
      <w:r w:rsidR="00A00AF6" w:rsidRPr="004902DB">
        <w:rPr>
          <w:rFonts w:cs="Arial"/>
          <w:color w:val="000000"/>
          <w:szCs w:val="24"/>
        </w:rPr>
        <w:t>N/A</w:t>
      </w:r>
      <w:r w:rsidR="00373C97">
        <w:rPr>
          <w:rFonts w:cs="Arial"/>
          <w:color w:val="000000"/>
          <w:szCs w:val="24"/>
        </w:rPr>
        <w:t>.</w:t>
      </w:r>
    </w:p>
    <w:p w14:paraId="4FFA192E" w14:textId="77777777" w:rsidR="00A00AF6" w:rsidRPr="00F3337D" w:rsidRDefault="00A00AF6" w:rsidP="00F3337D">
      <w:pPr>
        <w:pStyle w:val="ListParagraph"/>
        <w:rPr>
          <w:rFonts w:ascii="Arial" w:hAnsi="Arial" w:cs="Arial"/>
          <w:color w:val="000000"/>
          <w:sz w:val="24"/>
          <w:szCs w:val="24"/>
        </w:rPr>
      </w:pPr>
    </w:p>
    <w:p w14:paraId="36782091" w14:textId="77777777" w:rsidR="00446219" w:rsidRDefault="00446219" w:rsidP="008A5B73">
      <w:pPr>
        <w:pStyle w:val="Heading3"/>
        <w:numPr>
          <w:ilvl w:val="2"/>
          <w:numId w:val="3"/>
        </w:numPr>
        <w:rPr>
          <w:rFonts w:eastAsia="Times New Roman"/>
        </w:rPr>
      </w:pPr>
      <w:r>
        <w:rPr>
          <w:rFonts w:eastAsia="Times New Roman"/>
        </w:rPr>
        <w:t>Communication, involvement, engagement and consultation</w:t>
      </w:r>
    </w:p>
    <w:p w14:paraId="6E42B0D8" w14:textId="6D710726" w:rsidR="00493CFC" w:rsidRDefault="004902DB" w:rsidP="00AC4BEB">
      <w:pPr>
        <w:spacing w:before="40" w:after="40" w:line="276" w:lineRule="auto"/>
        <w:rPr>
          <w:rFonts w:cs="Arial"/>
          <w:color w:val="000000"/>
          <w:szCs w:val="24"/>
        </w:rPr>
      </w:pPr>
      <w:r>
        <w:rPr>
          <w:rFonts w:eastAsia="Calibri" w:cs="Arial"/>
          <w:color w:val="000000"/>
          <w:spacing w:val="0"/>
          <w:szCs w:val="24"/>
          <w:lang w:eastAsia="en-GB"/>
        </w:rPr>
        <w:tab/>
      </w:r>
      <w:r w:rsidR="00446219" w:rsidRPr="00BF3AF0">
        <w:rPr>
          <w:rFonts w:cs="Arial"/>
          <w:color w:val="000000"/>
          <w:szCs w:val="24"/>
        </w:rPr>
        <w:t xml:space="preserve">The Board has carried out its duties to involve and engage </w:t>
      </w:r>
      <w:r w:rsidR="00AF0530">
        <w:rPr>
          <w:rFonts w:cs="Arial"/>
          <w:color w:val="000000"/>
          <w:szCs w:val="24"/>
        </w:rPr>
        <w:t xml:space="preserve">external </w:t>
      </w:r>
      <w:r w:rsidR="00446219" w:rsidRPr="00BF3AF0">
        <w:rPr>
          <w:rFonts w:cs="Arial"/>
          <w:color w:val="000000"/>
          <w:szCs w:val="24"/>
        </w:rPr>
        <w:t>stakeholders</w:t>
      </w:r>
      <w:r w:rsidR="00AF0530">
        <w:rPr>
          <w:rFonts w:cs="Arial"/>
          <w:color w:val="000000"/>
          <w:szCs w:val="24"/>
        </w:rPr>
        <w:t xml:space="preserve"> where </w:t>
      </w:r>
      <w:r>
        <w:rPr>
          <w:rFonts w:cs="Arial"/>
          <w:color w:val="000000"/>
          <w:szCs w:val="24"/>
        </w:rPr>
        <w:tab/>
      </w:r>
      <w:r w:rsidR="00AF0530">
        <w:rPr>
          <w:rFonts w:cs="Arial"/>
          <w:color w:val="000000"/>
          <w:szCs w:val="24"/>
        </w:rPr>
        <w:t>appropriate</w:t>
      </w:r>
      <w:r w:rsidR="00AC4BEB">
        <w:rPr>
          <w:rFonts w:cs="Arial"/>
          <w:color w:val="000000"/>
          <w:szCs w:val="24"/>
        </w:rPr>
        <w:t xml:space="preserve">. </w:t>
      </w:r>
      <w:r w:rsidR="00493CFC">
        <w:rPr>
          <w:rFonts w:cs="Arial"/>
          <w:color w:val="000000"/>
          <w:szCs w:val="24"/>
        </w:rPr>
        <w:t>The purpose of this report is a means for communication</w:t>
      </w:r>
      <w:r w:rsidR="00AC4BEB">
        <w:rPr>
          <w:rFonts w:cs="Arial"/>
          <w:color w:val="000000"/>
          <w:szCs w:val="24"/>
        </w:rPr>
        <w:t xml:space="preserve">, engagement and </w:t>
      </w:r>
      <w:r w:rsidR="00AC4BEB">
        <w:rPr>
          <w:rFonts w:cs="Arial"/>
          <w:color w:val="000000"/>
          <w:szCs w:val="24"/>
        </w:rPr>
        <w:tab/>
        <w:t xml:space="preserve">consultation. </w:t>
      </w:r>
      <w:r w:rsidR="00493CFC">
        <w:rPr>
          <w:rFonts w:cs="Arial"/>
          <w:color w:val="000000"/>
          <w:szCs w:val="24"/>
        </w:rPr>
        <w:t xml:space="preserve"> </w:t>
      </w:r>
    </w:p>
    <w:p w14:paraId="6FD42804" w14:textId="77777777" w:rsidR="00493CFC" w:rsidRPr="00716E7D" w:rsidRDefault="00493CFC" w:rsidP="00716E7D">
      <w:pPr>
        <w:spacing w:before="40" w:after="40" w:line="276" w:lineRule="auto"/>
        <w:ind w:firstLine="720"/>
        <w:rPr>
          <w:rFonts w:cs="Arial"/>
          <w:szCs w:val="24"/>
          <w:highlight w:val="lightGray"/>
        </w:rPr>
      </w:pPr>
    </w:p>
    <w:p w14:paraId="27D02D6F" w14:textId="77777777" w:rsidR="00446219" w:rsidRDefault="00446219" w:rsidP="008A5B73">
      <w:pPr>
        <w:pStyle w:val="Heading3"/>
        <w:numPr>
          <w:ilvl w:val="2"/>
          <w:numId w:val="3"/>
        </w:numPr>
      </w:pPr>
      <w:r>
        <w:t>Route to the Meeting</w:t>
      </w:r>
    </w:p>
    <w:p w14:paraId="389B0C38" w14:textId="11178FA3" w:rsidR="00716E7D" w:rsidRDefault="00C13B16" w:rsidP="00C13B16">
      <w:pPr>
        <w:spacing w:before="40" w:after="40" w:line="276" w:lineRule="auto"/>
        <w:ind w:left="720"/>
        <w:rPr>
          <w:rFonts w:cs="Arial"/>
          <w:szCs w:val="24"/>
        </w:rPr>
      </w:pPr>
      <w:r>
        <w:rPr>
          <w:rFonts w:cs="Arial"/>
          <w:szCs w:val="24"/>
        </w:rPr>
        <w:t>A</w:t>
      </w:r>
      <w:r w:rsidR="00514A18">
        <w:rPr>
          <w:rFonts w:cs="Arial"/>
          <w:szCs w:val="24"/>
        </w:rPr>
        <w:t>s above (2.3.7) this update is for information sharing and provides a platform for</w:t>
      </w:r>
      <w:r>
        <w:rPr>
          <w:rFonts w:cs="Arial"/>
          <w:szCs w:val="24"/>
        </w:rPr>
        <w:t xml:space="preserve"> </w:t>
      </w:r>
      <w:r w:rsidR="00514A18">
        <w:rPr>
          <w:rFonts w:cs="Arial"/>
          <w:szCs w:val="24"/>
        </w:rPr>
        <w:t>further discussion at the Forum</w:t>
      </w:r>
      <w:r w:rsidR="005C3425">
        <w:rPr>
          <w:rFonts w:cs="Arial"/>
          <w:szCs w:val="24"/>
        </w:rPr>
        <w:t xml:space="preserve"> and Committee</w:t>
      </w:r>
      <w:r w:rsidR="00514A18">
        <w:rPr>
          <w:rFonts w:cs="Arial"/>
          <w:szCs w:val="24"/>
        </w:rPr>
        <w:t xml:space="preserve"> meetings.</w:t>
      </w:r>
    </w:p>
    <w:p w14:paraId="73B2F63F" w14:textId="5D354211" w:rsidR="00514A18" w:rsidRDefault="00514A18" w:rsidP="000B4423">
      <w:pPr>
        <w:spacing w:before="40" w:after="40" w:line="276" w:lineRule="auto"/>
        <w:rPr>
          <w:rFonts w:cs="Arial"/>
          <w:color w:val="000000"/>
          <w:szCs w:val="24"/>
        </w:rPr>
      </w:pPr>
    </w:p>
    <w:p w14:paraId="5F34736B" w14:textId="77777777" w:rsidR="00C13B16" w:rsidRPr="00716E7D" w:rsidRDefault="00C13B16" w:rsidP="000B4423">
      <w:pPr>
        <w:spacing w:before="40" w:after="40" w:line="276" w:lineRule="auto"/>
        <w:rPr>
          <w:rFonts w:cs="Arial"/>
          <w:color w:val="000000"/>
          <w:szCs w:val="24"/>
        </w:rPr>
      </w:pPr>
    </w:p>
    <w:p w14:paraId="4DB15FCC" w14:textId="77777777" w:rsidR="00BF3AF0" w:rsidRDefault="00C87B62" w:rsidP="00BF3AF0">
      <w:pPr>
        <w:pStyle w:val="Heading2"/>
      </w:pPr>
      <w:r>
        <w:t>2.</w:t>
      </w:r>
      <w:r w:rsidR="00BF3AF0">
        <w:t>4</w:t>
      </w:r>
      <w:r w:rsidR="00BF3AF0">
        <w:tab/>
        <w:t>Recommendation</w:t>
      </w:r>
    </w:p>
    <w:p w14:paraId="398DB07E" w14:textId="0BFCECC1" w:rsidR="00C87B62" w:rsidRDefault="00C87B62" w:rsidP="00C87B62">
      <w:pPr>
        <w:spacing w:before="40" w:after="40" w:line="276" w:lineRule="auto"/>
      </w:pPr>
    </w:p>
    <w:p w14:paraId="56125154" w14:textId="4AD6C2F9" w:rsidR="00A82C33" w:rsidRPr="00263876" w:rsidRDefault="00716E7D" w:rsidP="008A5B73">
      <w:pPr>
        <w:pStyle w:val="ListParagraph"/>
        <w:numPr>
          <w:ilvl w:val="0"/>
          <w:numId w:val="7"/>
        </w:numPr>
        <w:spacing w:before="40" w:after="40" w:line="276" w:lineRule="auto"/>
        <w:rPr>
          <w:rFonts w:ascii="Arial" w:eastAsia="Times New Roman" w:hAnsi="Arial" w:cs="Arial"/>
          <w:color w:val="000000"/>
          <w:spacing w:val="-3"/>
          <w:sz w:val="24"/>
          <w:szCs w:val="24"/>
          <w:lang w:eastAsia="en-US"/>
        </w:rPr>
      </w:pPr>
      <w:r w:rsidRPr="00716E7D">
        <w:rPr>
          <w:rFonts w:ascii="Arial" w:eastAsia="Times New Roman" w:hAnsi="Arial" w:cs="Arial"/>
          <w:b/>
          <w:color w:val="000000"/>
          <w:spacing w:val="-3"/>
          <w:sz w:val="24"/>
          <w:szCs w:val="24"/>
          <w:lang w:eastAsia="en-US"/>
        </w:rPr>
        <w:t>Awareness</w:t>
      </w:r>
      <w:r w:rsidRPr="00716E7D">
        <w:rPr>
          <w:rFonts w:ascii="Arial" w:eastAsia="Times New Roman" w:hAnsi="Arial" w:cs="Arial"/>
          <w:color w:val="000000"/>
          <w:spacing w:val="-3"/>
          <w:sz w:val="24"/>
          <w:szCs w:val="24"/>
          <w:lang w:eastAsia="en-US"/>
        </w:rPr>
        <w:t xml:space="preserve"> – For Members’ information only</w:t>
      </w:r>
      <w:r w:rsidR="00373C97">
        <w:rPr>
          <w:rFonts w:ascii="Arial" w:eastAsia="Times New Roman" w:hAnsi="Arial" w:cs="Arial"/>
          <w:color w:val="000000"/>
          <w:spacing w:val="-3"/>
          <w:sz w:val="24"/>
          <w:szCs w:val="24"/>
          <w:lang w:eastAsia="en-US"/>
        </w:rPr>
        <w:t>.</w:t>
      </w:r>
    </w:p>
    <w:p w14:paraId="011368C8" w14:textId="1B7C7358" w:rsidR="00716E7D" w:rsidRDefault="00716E7D" w:rsidP="00C87B62">
      <w:pPr>
        <w:spacing w:before="40" w:after="40" w:line="276" w:lineRule="auto"/>
        <w:rPr>
          <w:rFonts w:cs="Arial"/>
          <w:szCs w:val="24"/>
        </w:rPr>
      </w:pPr>
    </w:p>
    <w:p w14:paraId="1061C5F2" w14:textId="77777777" w:rsidR="00C13B16" w:rsidRDefault="00C13B16" w:rsidP="00C87B62">
      <w:pPr>
        <w:spacing w:before="40" w:after="40" w:line="276" w:lineRule="auto"/>
        <w:rPr>
          <w:rFonts w:cs="Arial"/>
          <w:szCs w:val="24"/>
        </w:rPr>
      </w:pPr>
    </w:p>
    <w:p w14:paraId="0BB8A6AC" w14:textId="77777777" w:rsidR="00C87B62" w:rsidRDefault="00C87B62" w:rsidP="008A5B73">
      <w:pPr>
        <w:pStyle w:val="Heading2"/>
        <w:numPr>
          <w:ilvl w:val="0"/>
          <w:numId w:val="3"/>
        </w:numPr>
        <w:spacing w:line="276" w:lineRule="auto"/>
      </w:pPr>
      <w:r>
        <w:t>List of appendices</w:t>
      </w:r>
    </w:p>
    <w:p w14:paraId="0D81E75D" w14:textId="79672445" w:rsidR="00C87B62" w:rsidRPr="00BF3AF0" w:rsidRDefault="004902DB" w:rsidP="004902DB">
      <w:pPr>
        <w:spacing w:before="40" w:after="40" w:line="276" w:lineRule="auto"/>
        <w:rPr>
          <w:rFonts w:cs="Arial"/>
          <w:color w:val="000000"/>
          <w:szCs w:val="24"/>
        </w:rPr>
      </w:pPr>
      <w:r>
        <w:rPr>
          <w:rFonts w:cs="Arial"/>
          <w:color w:val="000000" w:themeColor="text1"/>
          <w:szCs w:val="24"/>
        </w:rPr>
        <w:tab/>
      </w:r>
      <w:r w:rsidR="00C87B62"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00C87B62" w:rsidRPr="00BF3AF0">
        <w:rPr>
          <w:rFonts w:cs="Arial"/>
          <w:color w:val="000000" w:themeColor="text1"/>
          <w:szCs w:val="24"/>
        </w:rPr>
        <w:t>:</w:t>
      </w:r>
    </w:p>
    <w:p w14:paraId="398C4FD9" w14:textId="3F92FDDF" w:rsidR="000B4423" w:rsidRDefault="000B4423" w:rsidP="008A5B73">
      <w:pPr>
        <w:pStyle w:val="ListParagraph"/>
        <w:numPr>
          <w:ilvl w:val="0"/>
          <w:numId w:val="4"/>
        </w:numPr>
        <w:spacing w:before="40" w:after="40" w:line="276" w:lineRule="auto"/>
        <w:ind w:left="993" w:hanging="284"/>
        <w:rPr>
          <w:rFonts w:ascii="Arial" w:hAnsi="Arial" w:cs="Arial"/>
          <w:sz w:val="24"/>
          <w:szCs w:val="24"/>
        </w:rPr>
      </w:pPr>
      <w:r w:rsidRPr="00DF59F6">
        <w:rPr>
          <w:rFonts w:ascii="Arial" w:hAnsi="Arial" w:cs="Arial"/>
          <w:sz w:val="24"/>
          <w:szCs w:val="24"/>
        </w:rPr>
        <w:t xml:space="preserve">Appendix No 1, </w:t>
      </w:r>
      <w:r>
        <w:rPr>
          <w:rFonts w:ascii="Arial" w:hAnsi="Arial" w:cs="Arial"/>
          <w:sz w:val="24"/>
          <w:szCs w:val="24"/>
        </w:rPr>
        <w:t>Health and Safety</w:t>
      </w:r>
      <w:r w:rsidR="00493CFC">
        <w:rPr>
          <w:rFonts w:ascii="Arial" w:hAnsi="Arial" w:cs="Arial"/>
          <w:sz w:val="24"/>
          <w:szCs w:val="24"/>
        </w:rPr>
        <w:t xml:space="preserve"> </w:t>
      </w:r>
      <w:r w:rsidR="00C13B16">
        <w:rPr>
          <w:rFonts w:ascii="Arial" w:hAnsi="Arial" w:cs="Arial"/>
          <w:sz w:val="24"/>
          <w:szCs w:val="24"/>
        </w:rPr>
        <w:t>Quarter 2</w:t>
      </w:r>
      <w:r w:rsidR="00493CFC">
        <w:rPr>
          <w:rFonts w:ascii="Arial" w:hAnsi="Arial" w:cs="Arial"/>
          <w:sz w:val="24"/>
          <w:szCs w:val="24"/>
        </w:rPr>
        <w:t xml:space="preserve"> Report </w:t>
      </w:r>
      <w:r w:rsidR="00C13B16">
        <w:rPr>
          <w:rFonts w:ascii="Arial" w:hAnsi="Arial" w:cs="Arial"/>
          <w:sz w:val="24"/>
          <w:szCs w:val="24"/>
        </w:rPr>
        <w:t>20</w:t>
      </w:r>
      <w:r w:rsidR="002E0836">
        <w:rPr>
          <w:rFonts w:ascii="Arial" w:hAnsi="Arial" w:cs="Arial"/>
          <w:sz w:val="24"/>
          <w:szCs w:val="24"/>
        </w:rPr>
        <w:t>24</w:t>
      </w:r>
      <w:r w:rsidR="00A020AD">
        <w:rPr>
          <w:rFonts w:ascii="Arial" w:hAnsi="Arial" w:cs="Arial"/>
          <w:sz w:val="24"/>
          <w:szCs w:val="24"/>
        </w:rPr>
        <w:t>/</w:t>
      </w:r>
      <w:r w:rsidR="00C13B16">
        <w:rPr>
          <w:rFonts w:ascii="Arial" w:hAnsi="Arial" w:cs="Arial"/>
          <w:sz w:val="24"/>
          <w:szCs w:val="24"/>
        </w:rPr>
        <w:t>20</w:t>
      </w:r>
      <w:r w:rsidR="002E0836">
        <w:rPr>
          <w:rFonts w:ascii="Arial" w:hAnsi="Arial" w:cs="Arial"/>
          <w:sz w:val="24"/>
          <w:szCs w:val="24"/>
        </w:rPr>
        <w:t>25</w:t>
      </w:r>
      <w:r w:rsidR="00493CFC">
        <w:rPr>
          <w:rFonts w:ascii="Arial" w:hAnsi="Arial" w:cs="Arial"/>
          <w:sz w:val="24"/>
          <w:szCs w:val="24"/>
        </w:rPr>
        <w:t>.</w:t>
      </w:r>
    </w:p>
    <w:p w14:paraId="00C2F983" w14:textId="49DA9FF4" w:rsidR="000B4423" w:rsidRDefault="000B4423" w:rsidP="00AC4BEB">
      <w:pPr>
        <w:spacing w:after="160" w:line="259" w:lineRule="auto"/>
        <w:rPr>
          <w:rFonts w:eastAsia="Calibri" w:cs="Arial"/>
          <w:spacing w:val="0"/>
          <w:szCs w:val="24"/>
          <w:lang w:eastAsia="en-GB"/>
        </w:rPr>
      </w:pPr>
    </w:p>
    <w:p w14:paraId="63371DE5" w14:textId="2C03AD51" w:rsidR="00C13B16" w:rsidRDefault="00C13B16" w:rsidP="00AC4BEB">
      <w:pPr>
        <w:spacing w:after="160" w:line="259" w:lineRule="auto"/>
        <w:rPr>
          <w:rFonts w:eastAsia="Calibri" w:cs="Arial"/>
          <w:spacing w:val="0"/>
          <w:szCs w:val="24"/>
          <w:lang w:eastAsia="en-GB"/>
        </w:rPr>
      </w:pPr>
    </w:p>
    <w:p w14:paraId="241CD059" w14:textId="0C773E84" w:rsidR="00C13B16" w:rsidRDefault="00C13B16" w:rsidP="00AC4BEB">
      <w:pPr>
        <w:spacing w:after="160" w:line="259" w:lineRule="auto"/>
        <w:rPr>
          <w:rFonts w:eastAsia="Calibri" w:cs="Arial"/>
          <w:spacing w:val="0"/>
          <w:szCs w:val="24"/>
          <w:lang w:eastAsia="en-GB"/>
        </w:rPr>
      </w:pPr>
    </w:p>
    <w:p w14:paraId="55A5F57A" w14:textId="13E4614B" w:rsidR="00C13B16" w:rsidRDefault="00C13B16" w:rsidP="00AC4BEB">
      <w:pPr>
        <w:spacing w:after="160" w:line="259" w:lineRule="auto"/>
        <w:rPr>
          <w:rFonts w:eastAsia="Calibri" w:cs="Arial"/>
          <w:spacing w:val="0"/>
          <w:szCs w:val="24"/>
          <w:lang w:eastAsia="en-GB"/>
        </w:rPr>
      </w:pPr>
    </w:p>
    <w:p w14:paraId="3B753F8E" w14:textId="78D49C1B" w:rsidR="00C13B16" w:rsidRDefault="00C13B16" w:rsidP="00AC4BEB">
      <w:pPr>
        <w:spacing w:after="160" w:line="259" w:lineRule="auto"/>
        <w:rPr>
          <w:rFonts w:eastAsia="Calibri" w:cs="Arial"/>
          <w:spacing w:val="0"/>
          <w:szCs w:val="24"/>
          <w:lang w:eastAsia="en-GB"/>
        </w:rPr>
      </w:pPr>
    </w:p>
    <w:p w14:paraId="0F75AF9F" w14:textId="6A886500" w:rsidR="00C13B16" w:rsidRDefault="00C13B16" w:rsidP="00AC4BEB">
      <w:pPr>
        <w:spacing w:after="160" w:line="259" w:lineRule="auto"/>
        <w:rPr>
          <w:rFonts w:eastAsia="Calibri" w:cs="Arial"/>
          <w:spacing w:val="0"/>
          <w:szCs w:val="24"/>
          <w:lang w:eastAsia="en-GB"/>
        </w:rPr>
      </w:pPr>
    </w:p>
    <w:p w14:paraId="0D97ACB6" w14:textId="57DD16D2" w:rsidR="00C13B16" w:rsidRDefault="00C13B16" w:rsidP="00AC4BEB">
      <w:pPr>
        <w:spacing w:after="160" w:line="259" w:lineRule="auto"/>
        <w:rPr>
          <w:rFonts w:eastAsia="Calibri" w:cs="Arial"/>
          <w:spacing w:val="0"/>
          <w:szCs w:val="24"/>
          <w:lang w:eastAsia="en-GB"/>
        </w:rPr>
      </w:pPr>
    </w:p>
    <w:p w14:paraId="57C1676E" w14:textId="13D53B25" w:rsidR="00C13B16" w:rsidRDefault="00C13B16" w:rsidP="00AC4BEB">
      <w:pPr>
        <w:spacing w:after="160" w:line="259" w:lineRule="auto"/>
        <w:rPr>
          <w:rFonts w:eastAsia="Calibri" w:cs="Arial"/>
          <w:spacing w:val="0"/>
          <w:szCs w:val="24"/>
          <w:lang w:eastAsia="en-GB"/>
        </w:rPr>
      </w:pPr>
    </w:p>
    <w:p w14:paraId="764ABAFE" w14:textId="5FB52C03" w:rsidR="00C13B16" w:rsidRDefault="00C13B16" w:rsidP="00AC4BEB">
      <w:pPr>
        <w:spacing w:after="160" w:line="259" w:lineRule="auto"/>
        <w:rPr>
          <w:rFonts w:eastAsia="Calibri" w:cs="Arial"/>
          <w:spacing w:val="0"/>
          <w:szCs w:val="24"/>
          <w:lang w:eastAsia="en-GB"/>
        </w:rPr>
      </w:pPr>
    </w:p>
    <w:p w14:paraId="44664ED9" w14:textId="77777777" w:rsidR="00C13B16" w:rsidRPr="00AC4BEB" w:rsidRDefault="00C13B16" w:rsidP="00AC4BEB">
      <w:pPr>
        <w:spacing w:after="160" w:line="259" w:lineRule="auto"/>
        <w:rPr>
          <w:rFonts w:eastAsia="Calibri" w:cs="Arial"/>
          <w:spacing w:val="0"/>
          <w:szCs w:val="24"/>
          <w:lang w:eastAsia="en-GB"/>
        </w:rPr>
      </w:pPr>
    </w:p>
    <w:p w14:paraId="35C6CD9D" w14:textId="2B4780B8" w:rsidR="00514A18" w:rsidRDefault="00514A18" w:rsidP="000B4423">
      <w:pPr>
        <w:spacing w:before="100" w:beforeAutospacing="1" w:after="100" w:afterAutospacing="1"/>
        <w:rPr>
          <w:rFonts w:eastAsia="Calibri" w:cs="Arial"/>
          <w:b/>
          <w:spacing w:val="0"/>
          <w:szCs w:val="24"/>
          <w:lang w:eastAsia="en-GB"/>
        </w:rPr>
      </w:pPr>
    </w:p>
    <w:p w14:paraId="5AD65438" w14:textId="4C30BB97" w:rsidR="00514A18" w:rsidRDefault="00514A18" w:rsidP="000B4423">
      <w:pPr>
        <w:spacing w:before="100" w:beforeAutospacing="1" w:after="100" w:afterAutospacing="1"/>
        <w:rPr>
          <w:rFonts w:eastAsia="Calibri" w:cs="Arial"/>
          <w:b/>
          <w:spacing w:val="0"/>
          <w:szCs w:val="24"/>
          <w:lang w:eastAsia="en-GB"/>
        </w:rPr>
      </w:pPr>
    </w:p>
    <w:p w14:paraId="5FC51637" w14:textId="29E21839" w:rsidR="00446589" w:rsidRPr="00C967D6" w:rsidRDefault="00191B18" w:rsidP="000B4423">
      <w:pPr>
        <w:spacing w:before="100" w:beforeAutospacing="1" w:after="100" w:afterAutospacing="1"/>
        <w:rPr>
          <w:rFonts w:eastAsia="Calibri" w:cs="Arial"/>
          <w:b/>
          <w:spacing w:val="0"/>
          <w:szCs w:val="24"/>
          <w:lang w:eastAsia="en-GB"/>
        </w:rPr>
      </w:pPr>
      <w:r>
        <w:rPr>
          <w:noProof/>
          <w:lang w:eastAsia="en-GB"/>
        </w:rPr>
        <w:lastRenderedPageBreak/>
        <w:drawing>
          <wp:anchor distT="0" distB="0" distL="114300" distR="114300" simplePos="0" relativeHeight="251659264" behindDoc="0" locked="0" layoutInCell="1" allowOverlap="1" wp14:anchorId="68083B9C" wp14:editId="23E5F9DC">
            <wp:simplePos x="0" y="0"/>
            <wp:positionH relativeFrom="column">
              <wp:posOffset>5586489</wp:posOffset>
            </wp:positionH>
            <wp:positionV relativeFrom="paragraph">
              <wp:posOffset>-397167</wp:posOffset>
            </wp:positionV>
            <wp:extent cx="979806" cy="676066"/>
            <wp:effectExtent l="0" t="0" r="0" b="0"/>
            <wp:wrapNone/>
            <wp:docPr id="2" name="Picture 2" descr="New NHS G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NHS GJ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9806" cy="676066"/>
                    </a:xfrm>
                    <a:prstGeom prst="rect">
                      <a:avLst/>
                    </a:prstGeom>
                    <a:noFill/>
                    <a:ln>
                      <a:noFill/>
                    </a:ln>
                  </pic:spPr>
                </pic:pic>
              </a:graphicData>
            </a:graphic>
            <wp14:sizeRelH relativeFrom="page">
              <wp14:pctWidth>0</wp14:pctWidth>
            </wp14:sizeRelH>
            <wp14:sizeRelV relativeFrom="page">
              <wp14:pctHeight>0</wp14:pctHeight>
            </wp14:sizeRelV>
          </wp:anchor>
        </w:drawing>
      </w:r>
      <w:r w:rsidR="00446589" w:rsidRPr="00C967D6">
        <w:rPr>
          <w:rFonts w:eastAsia="Calibri" w:cs="Arial"/>
          <w:b/>
          <w:spacing w:val="0"/>
          <w:szCs w:val="24"/>
          <w:lang w:eastAsia="en-GB"/>
        </w:rPr>
        <w:t>APPENDIX 1</w:t>
      </w:r>
    </w:p>
    <w:p w14:paraId="21987712" w14:textId="34FE4561" w:rsidR="000B4423" w:rsidRPr="00C967D6" w:rsidRDefault="009F7FB2" w:rsidP="00C13B16">
      <w:pPr>
        <w:spacing w:before="100" w:beforeAutospacing="1" w:after="100" w:afterAutospacing="1"/>
        <w:rPr>
          <w:rFonts w:eastAsia="Calibri" w:cs="Arial"/>
          <w:b/>
          <w:spacing w:val="0"/>
          <w:szCs w:val="24"/>
          <w:lang w:eastAsia="en-GB"/>
        </w:rPr>
      </w:pPr>
      <w:r w:rsidRPr="00C967D6">
        <w:rPr>
          <w:rFonts w:eastAsia="Calibri" w:cs="Arial"/>
          <w:b/>
          <w:spacing w:val="0"/>
          <w:szCs w:val="24"/>
          <w:lang w:eastAsia="en-GB"/>
        </w:rPr>
        <w:t xml:space="preserve">HEALTH </w:t>
      </w:r>
      <w:r w:rsidR="00C13B16">
        <w:rPr>
          <w:rFonts w:eastAsia="Calibri" w:cs="Arial"/>
          <w:b/>
          <w:spacing w:val="0"/>
          <w:szCs w:val="24"/>
          <w:lang w:eastAsia="en-GB"/>
        </w:rPr>
        <w:t>AND</w:t>
      </w:r>
      <w:r w:rsidR="000B4423" w:rsidRPr="00C967D6">
        <w:rPr>
          <w:rFonts w:eastAsia="Calibri" w:cs="Arial"/>
          <w:b/>
          <w:spacing w:val="0"/>
          <w:szCs w:val="24"/>
          <w:lang w:eastAsia="en-GB"/>
        </w:rPr>
        <w:t xml:space="preserve"> SAFETY</w:t>
      </w:r>
      <w:r w:rsidR="009F4B70" w:rsidRPr="00C967D6">
        <w:rPr>
          <w:rFonts w:eastAsia="Calibri" w:cs="Arial"/>
          <w:b/>
          <w:spacing w:val="0"/>
          <w:szCs w:val="24"/>
          <w:lang w:eastAsia="en-GB"/>
        </w:rPr>
        <w:t xml:space="preserve"> </w:t>
      </w:r>
      <w:r w:rsidR="00373C97" w:rsidRPr="00C967D6">
        <w:rPr>
          <w:rFonts w:eastAsia="Calibri" w:cs="Arial"/>
          <w:b/>
          <w:spacing w:val="0"/>
          <w:szCs w:val="24"/>
          <w:lang w:eastAsia="en-GB"/>
        </w:rPr>
        <w:t>COMMITEE</w:t>
      </w:r>
      <w:r w:rsidR="00D51704" w:rsidRPr="00C967D6">
        <w:rPr>
          <w:rFonts w:eastAsia="Calibri" w:cs="Arial"/>
          <w:b/>
          <w:spacing w:val="0"/>
          <w:szCs w:val="24"/>
          <w:lang w:eastAsia="en-GB"/>
        </w:rPr>
        <w:t xml:space="preserve"> </w:t>
      </w:r>
      <w:r w:rsidR="0096075E" w:rsidRPr="00C967D6">
        <w:rPr>
          <w:rFonts w:eastAsia="Calibri" w:cs="Arial"/>
          <w:b/>
          <w:spacing w:val="0"/>
          <w:szCs w:val="24"/>
          <w:lang w:eastAsia="en-GB"/>
        </w:rPr>
        <w:t>Q</w:t>
      </w:r>
      <w:r w:rsidR="00514A18">
        <w:rPr>
          <w:rFonts w:eastAsia="Calibri" w:cs="Arial"/>
          <w:b/>
          <w:spacing w:val="0"/>
          <w:szCs w:val="24"/>
          <w:lang w:eastAsia="en-GB"/>
        </w:rPr>
        <w:t>UARTER</w:t>
      </w:r>
      <w:r w:rsidR="00C13B16">
        <w:rPr>
          <w:rFonts w:eastAsia="Calibri" w:cs="Arial"/>
          <w:b/>
          <w:spacing w:val="0"/>
          <w:szCs w:val="24"/>
          <w:lang w:eastAsia="en-GB"/>
        </w:rPr>
        <w:t xml:space="preserve"> 2</w:t>
      </w:r>
      <w:r w:rsidR="000B4423" w:rsidRPr="00C967D6">
        <w:rPr>
          <w:rFonts w:eastAsia="Calibri" w:cs="Arial"/>
          <w:b/>
          <w:spacing w:val="0"/>
          <w:szCs w:val="24"/>
          <w:lang w:eastAsia="en-GB"/>
        </w:rPr>
        <w:t xml:space="preserve"> REPORT</w:t>
      </w:r>
      <w:r w:rsidR="00C13B16">
        <w:rPr>
          <w:rFonts w:eastAsia="Calibri" w:cs="Arial"/>
          <w:b/>
          <w:spacing w:val="0"/>
          <w:szCs w:val="24"/>
          <w:lang w:eastAsia="en-GB"/>
        </w:rPr>
        <w:t xml:space="preserve"> </w:t>
      </w:r>
      <w:r w:rsidR="00514A18">
        <w:rPr>
          <w:rFonts w:eastAsia="Calibri" w:cs="Arial"/>
          <w:b/>
          <w:spacing w:val="0"/>
          <w:szCs w:val="24"/>
          <w:lang w:eastAsia="en-GB"/>
        </w:rPr>
        <w:t>2024/25</w:t>
      </w:r>
      <w:r w:rsidR="002E0836">
        <w:rPr>
          <w:rFonts w:eastAsia="Calibri" w:cs="Arial"/>
          <w:b/>
          <w:spacing w:val="0"/>
          <w:szCs w:val="24"/>
          <w:lang w:eastAsia="en-GB"/>
        </w:rPr>
        <w:t xml:space="preserve"> (1</w:t>
      </w:r>
      <w:r w:rsidR="00C13B16">
        <w:rPr>
          <w:rFonts w:eastAsia="Calibri" w:cs="Arial"/>
          <w:b/>
          <w:spacing w:val="0"/>
          <w:szCs w:val="24"/>
          <w:lang w:eastAsia="en-GB"/>
        </w:rPr>
        <w:t xml:space="preserve"> </w:t>
      </w:r>
      <w:r w:rsidR="00F15B7D">
        <w:rPr>
          <w:rFonts w:eastAsia="Calibri" w:cs="Arial"/>
          <w:b/>
          <w:spacing w:val="0"/>
          <w:szCs w:val="24"/>
          <w:lang w:eastAsia="en-GB"/>
        </w:rPr>
        <w:t>July</w:t>
      </w:r>
      <w:r w:rsidR="002E0836">
        <w:rPr>
          <w:rFonts w:eastAsia="Calibri" w:cs="Arial"/>
          <w:b/>
          <w:spacing w:val="0"/>
          <w:szCs w:val="24"/>
          <w:lang w:eastAsia="en-GB"/>
        </w:rPr>
        <w:t xml:space="preserve"> – 30 </w:t>
      </w:r>
      <w:r w:rsidR="00F15B7D">
        <w:rPr>
          <w:rFonts w:eastAsia="Calibri" w:cs="Arial"/>
          <w:b/>
          <w:spacing w:val="0"/>
          <w:szCs w:val="24"/>
          <w:lang w:eastAsia="en-GB"/>
        </w:rPr>
        <w:t>September</w:t>
      </w:r>
      <w:r w:rsidR="002E0836">
        <w:rPr>
          <w:rFonts w:eastAsia="Calibri" w:cs="Arial"/>
          <w:b/>
          <w:spacing w:val="0"/>
          <w:szCs w:val="24"/>
          <w:lang w:eastAsia="en-GB"/>
        </w:rPr>
        <w:t xml:space="preserve"> 2024)</w:t>
      </w:r>
    </w:p>
    <w:p w14:paraId="081FDDD8" w14:textId="782EF22F" w:rsidR="00B72B0B" w:rsidRPr="00B72B0B" w:rsidRDefault="000B4423" w:rsidP="00B72B0B">
      <w:pPr>
        <w:pStyle w:val="ListParagraph"/>
        <w:numPr>
          <w:ilvl w:val="0"/>
          <w:numId w:val="12"/>
        </w:numPr>
        <w:spacing w:before="100" w:beforeAutospacing="1" w:after="100" w:afterAutospacing="1"/>
        <w:rPr>
          <w:rFonts w:ascii="Arial" w:hAnsi="Arial" w:cs="Arial"/>
          <w:b/>
          <w:sz w:val="24"/>
          <w:szCs w:val="24"/>
        </w:rPr>
      </w:pPr>
      <w:r w:rsidRPr="00C967D6">
        <w:rPr>
          <w:rFonts w:ascii="Arial" w:hAnsi="Arial" w:cs="Arial"/>
          <w:b/>
          <w:sz w:val="24"/>
          <w:szCs w:val="24"/>
        </w:rPr>
        <w:t>KEY HIGHLIGHTS</w:t>
      </w:r>
    </w:p>
    <w:p w14:paraId="0450350D" w14:textId="53F5B30C" w:rsidR="00C967D6" w:rsidRDefault="002E0836" w:rsidP="008A5B73">
      <w:pPr>
        <w:pStyle w:val="ListParagraph"/>
        <w:numPr>
          <w:ilvl w:val="1"/>
          <w:numId w:val="12"/>
        </w:numPr>
        <w:spacing w:before="100" w:beforeAutospacing="1" w:after="100" w:afterAutospacing="1"/>
        <w:rPr>
          <w:rFonts w:ascii="Arial" w:hAnsi="Arial" w:cs="Arial"/>
          <w:sz w:val="24"/>
          <w:szCs w:val="24"/>
        </w:rPr>
      </w:pPr>
      <w:r>
        <w:rPr>
          <w:rFonts w:ascii="Arial" w:hAnsi="Arial" w:cs="Arial"/>
          <w:sz w:val="24"/>
          <w:szCs w:val="24"/>
        </w:rPr>
        <w:t xml:space="preserve">Health and Safety Audit </w:t>
      </w:r>
      <w:r w:rsidR="00C13B16">
        <w:rPr>
          <w:rFonts w:ascii="Arial" w:hAnsi="Arial" w:cs="Arial"/>
          <w:sz w:val="24"/>
          <w:szCs w:val="24"/>
        </w:rPr>
        <w:t>and</w:t>
      </w:r>
      <w:r>
        <w:rPr>
          <w:rFonts w:ascii="Arial" w:hAnsi="Arial" w:cs="Arial"/>
          <w:sz w:val="24"/>
          <w:szCs w:val="24"/>
        </w:rPr>
        <w:t xml:space="preserve"> Inspection </w:t>
      </w:r>
    </w:p>
    <w:p w14:paraId="7B1231E2" w14:textId="2D2640F7" w:rsidR="002E0836" w:rsidRDefault="003F5E80" w:rsidP="002E0836">
      <w:pPr>
        <w:pStyle w:val="ListParagraph"/>
        <w:numPr>
          <w:ilvl w:val="0"/>
          <w:numId w:val="4"/>
        </w:numPr>
        <w:spacing w:before="100" w:beforeAutospacing="1" w:after="100" w:afterAutospacing="1"/>
        <w:rPr>
          <w:rFonts w:ascii="Arial" w:hAnsi="Arial" w:cs="Arial"/>
          <w:sz w:val="24"/>
          <w:szCs w:val="24"/>
        </w:rPr>
      </w:pPr>
      <w:r>
        <w:rPr>
          <w:rFonts w:ascii="Arial" w:hAnsi="Arial" w:cs="Arial"/>
          <w:sz w:val="24"/>
          <w:szCs w:val="24"/>
        </w:rPr>
        <w:t>System Live 26 June 2024</w:t>
      </w:r>
    </w:p>
    <w:p w14:paraId="452F9F3D" w14:textId="0D84AAFF" w:rsidR="00E55905" w:rsidRDefault="00E55905" w:rsidP="002E0836">
      <w:pPr>
        <w:pStyle w:val="ListParagraph"/>
        <w:numPr>
          <w:ilvl w:val="0"/>
          <w:numId w:val="4"/>
        </w:numPr>
        <w:spacing w:before="100" w:beforeAutospacing="1" w:after="100" w:afterAutospacing="1"/>
        <w:rPr>
          <w:rFonts w:ascii="Arial" w:hAnsi="Arial" w:cs="Arial"/>
          <w:sz w:val="24"/>
          <w:szCs w:val="24"/>
        </w:rPr>
      </w:pPr>
      <w:r>
        <w:rPr>
          <w:rFonts w:ascii="Arial" w:hAnsi="Arial" w:cs="Arial"/>
          <w:sz w:val="24"/>
          <w:szCs w:val="24"/>
        </w:rPr>
        <w:t>Communications sent as part of launch (emails, Managers Hub, e-Digest)</w:t>
      </w:r>
    </w:p>
    <w:p w14:paraId="35A0B69A" w14:textId="1C17806A" w:rsidR="00E55905" w:rsidRDefault="00E55905" w:rsidP="002E0836">
      <w:pPr>
        <w:pStyle w:val="ListParagraph"/>
        <w:numPr>
          <w:ilvl w:val="0"/>
          <w:numId w:val="4"/>
        </w:numPr>
        <w:spacing w:before="100" w:beforeAutospacing="1" w:after="100" w:afterAutospacing="1"/>
        <w:rPr>
          <w:rFonts w:ascii="Arial" w:hAnsi="Arial" w:cs="Arial"/>
          <w:sz w:val="24"/>
          <w:szCs w:val="24"/>
        </w:rPr>
      </w:pPr>
      <w:r>
        <w:rPr>
          <w:rFonts w:ascii="Arial" w:hAnsi="Arial" w:cs="Arial"/>
          <w:sz w:val="24"/>
          <w:szCs w:val="24"/>
        </w:rPr>
        <w:t>User guide issued</w:t>
      </w:r>
    </w:p>
    <w:p w14:paraId="2E9D7F2A" w14:textId="2EE8A9A5" w:rsidR="00E770CB" w:rsidRPr="00E770CB" w:rsidRDefault="00E770CB" w:rsidP="00E770CB">
      <w:pPr>
        <w:pStyle w:val="ListParagraph"/>
        <w:numPr>
          <w:ilvl w:val="0"/>
          <w:numId w:val="4"/>
        </w:numPr>
        <w:spacing w:before="100" w:beforeAutospacing="1" w:after="100" w:afterAutospacing="1"/>
        <w:rPr>
          <w:rFonts w:ascii="Arial" w:hAnsi="Arial" w:cs="Arial"/>
          <w:sz w:val="24"/>
          <w:szCs w:val="24"/>
        </w:rPr>
      </w:pPr>
      <w:r>
        <w:rPr>
          <w:rFonts w:ascii="Arial" w:hAnsi="Arial" w:cs="Arial"/>
          <w:sz w:val="24"/>
          <w:szCs w:val="24"/>
        </w:rPr>
        <w:t>Multiple training sessions delivered</w:t>
      </w:r>
    </w:p>
    <w:p w14:paraId="3FDFF81E" w14:textId="4B560CCC" w:rsidR="003F5E80" w:rsidRDefault="003F5E80" w:rsidP="002E0836">
      <w:pPr>
        <w:pStyle w:val="ListParagraph"/>
        <w:numPr>
          <w:ilvl w:val="0"/>
          <w:numId w:val="4"/>
        </w:numPr>
        <w:spacing w:before="100" w:beforeAutospacing="1" w:after="100" w:afterAutospacing="1"/>
        <w:rPr>
          <w:rFonts w:ascii="Arial" w:hAnsi="Arial" w:cs="Arial"/>
          <w:sz w:val="24"/>
          <w:szCs w:val="24"/>
        </w:rPr>
      </w:pPr>
      <w:r>
        <w:rPr>
          <w:rFonts w:ascii="Arial" w:hAnsi="Arial" w:cs="Arial"/>
          <w:sz w:val="24"/>
          <w:szCs w:val="24"/>
        </w:rPr>
        <w:t>92 users assigned to monthly Health and Safety Inspections</w:t>
      </w:r>
    </w:p>
    <w:p w14:paraId="3F35BA50" w14:textId="42597FFD" w:rsidR="00E770CB" w:rsidRDefault="00E770CB" w:rsidP="00E770CB">
      <w:pPr>
        <w:pStyle w:val="ListParagraph"/>
        <w:numPr>
          <w:ilvl w:val="0"/>
          <w:numId w:val="4"/>
        </w:numPr>
        <w:rPr>
          <w:rFonts w:ascii="Arial" w:hAnsi="Arial" w:cs="Arial"/>
          <w:sz w:val="24"/>
          <w:szCs w:val="24"/>
        </w:rPr>
      </w:pPr>
      <w:r w:rsidRPr="00E770CB">
        <w:rPr>
          <w:rFonts w:ascii="Arial" w:hAnsi="Arial" w:cs="Arial"/>
          <w:sz w:val="24"/>
          <w:szCs w:val="24"/>
        </w:rPr>
        <w:t xml:space="preserve">69 Audits due each month, 5 teams 100% compliant, </w:t>
      </w:r>
      <w:proofErr w:type="gramStart"/>
      <w:r w:rsidRPr="00E770CB">
        <w:rPr>
          <w:rFonts w:ascii="Arial" w:hAnsi="Arial" w:cs="Arial"/>
          <w:sz w:val="24"/>
          <w:szCs w:val="24"/>
        </w:rPr>
        <w:t>36</w:t>
      </w:r>
      <w:proofErr w:type="gramEnd"/>
      <w:r w:rsidRPr="00E770CB">
        <w:rPr>
          <w:rFonts w:ascii="Arial" w:hAnsi="Arial" w:cs="Arial"/>
          <w:sz w:val="24"/>
          <w:szCs w:val="24"/>
        </w:rPr>
        <w:t xml:space="preserve"> teams submitted 0%.</w:t>
      </w:r>
    </w:p>
    <w:p w14:paraId="1F6C9A80" w14:textId="200A95AA" w:rsidR="00E770CB" w:rsidRPr="0055120A" w:rsidRDefault="00914B4E" w:rsidP="0055120A">
      <w:pPr>
        <w:pStyle w:val="ListParagraph"/>
        <w:numPr>
          <w:ilvl w:val="0"/>
          <w:numId w:val="4"/>
        </w:numPr>
        <w:rPr>
          <w:rFonts w:ascii="Arial" w:hAnsi="Arial" w:cs="Arial"/>
          <w:sz w:val="24"/>
          <w:szCs w:val="24"/>
        </w:rPr>
      </w:pPr>
      <w:r>
        <w:rPr>
          <w:rFonts w:ascii="Arial" w:hAnsi="Arial" w:cs="Arial"/>
          <w:sz w:val="24"/>
          <w:szCs w:val="24"/>
        </w:rPr>
        <w:t>Breakdown of these departments will be presented at Divisional Health and Safety Forums where members will be encouraged to engage with the agreed inspection process.</w:t>
      </w:r>
      <w:r w:rsidR="0055120A">
        <w:rPr>
          <w:rFonts w:ascii="Arial" w:hAnsi="Arial" w:cs="Arial"/>
          <w:sz w:val="24"/>
          <w:szCs w:val="24"/>
        </w:rPr>
        <w:t xml:space="preserve"> We will continuously review the system and take actions to appropriately reduce the risk. </w:t>
      </w:r>
    </w:p>
    <w:p w14:paraId="16086E94" w14:textId="412F6611" w:rsidR="002E0836" w:rsidRDefault="002E0836" w:rsidP="008A5B73">
      <w:pPr>
        <w:pStyle w:val="ListParagraph"/>
        <w:numPr>
          <w:ilvl w:val="1"/>
          <w:numId w:val="12"/>
        </w:numPr>
        <w:spacing w:before="100" w:beforeAutospacing="1" w:after="100" w:afterAutospacing="1"/>
        <w:rPr>
          <w:rFonts w:ascii="Arial" w:hAnsi="Arial" w:cs="Arial"/>
          <w:sz w:val="24"/>
          <w:szCs w:val="24"/>
        </w:rPr>
      </w:pPr>
      <w:r>
        <w:rPr>
          <w:rFonts w:ascii="Arial" w:hAnsi="Arial" w:cs="Arial"/>
          <w:sz w:val="24"/>
          <w:szCs w:val="24"/>
        </w:rPr>
        <w:t>Fire Safety</w:t>
      </w:r>
    </w:p>
    <w:p w14:paraId="526B6B3F" w14:textId="503397A4" w:rsidR="001D4870" w:rsidRPr="00C25630" w:rsidRDefault="001D4870" w:rsidP="001D4870">
      <w:pPr>
        <w:pStyle w:val="ListParagraph"/>
        <w:spacing w:before="100" w:beforeAutospacing="1" w:after="100" w:afterAutospacing="1"/>
        <w:ind w:left="760"/>
        <w:rPr>
          <w:rFonts w:ascii="Arial" w:hAnsi="Arial" w:cs="Arial"/>
          <w:sz w:val="24"/>
          <w:szCs w:val="24"/>
        </w:rPr>
      </w:pPr>
      <w:r w:rsidRPr="00C25630">
        <w:rPr>
          <w:rFonts w:ascii="Arial" w:hAnsi="Arial" w:cs="Arial"/>
          <w:sz w:val="24"/>
          <w:szCs w:val="24"/>
        </w:rPr>
        <w:t>Fire Safety Group</w:t>
      </w:r>
    </w:p>
    <w:p w14:paraId="6DBBC9EC" w14:textId="4D921DB8" w:rsidR="001D4870" w:rsidRPr="00C25630" w:rsidRDefault="00B72B0B" w:rsidP="00F15B7D">
      <w:pPr>
        <w:spacing w:before="100" w:beforeAutospacing="1" w:after="100" w:afterAutospacing="1"/>
        <w:ind w:left="760"/>
        <w:rPr>
          <w:rFonts w:eastAsia="Calibri" w:cs="Arial"/>
          <w:spacing w:val="0"/>
          <w:szCs w:val="24"/>
          <w:lang w:eastAsia="en-GB"/>
        </w:rPr>
      </w:pPr>
      <w:r w:rsidRPr="00C25630">
        <w:rPr>
          <w:rFonts w:eastAsia="Calibri" w:cs="Arial"/>
          <w:spacing w:val="0"/>
          <w:szCs w:val="24"/>
          <w:lang w:eastAsia="en-GB"/>
        </w:rPr>
        <w:t xml:space="preserve">At the September round of Health and Safety Forum meetings, there was agreement to form a Fire Safety Group to support the management of fire safety. Like other </w:t>
      </w:r>
      <w:r w:rsidR="0055120A">
        <w:rPr>
          <w:rFonts w:eastAsia="Calibri" w:cs="Arial"/>
          <w:spacing w:val="0"/>
          <w:szCs w:val="24"/>
          <w:lang w:eastAsia="en-GB"/>
        </w:rPr>
        <w:t>specialist</w:t>
      </w:r>
      <w:r w:rsidRPr="00C25630">
        <w:rPr>
          <w:rFonts w:eastAsia="Calibri" w:cs="Arial"/>
          <w:spacing w:val="0"/>
          <w:szCs w:val="24"/>
          <w:lang w:eastAsia="en-GB"/>
        </w:rPr>
        <w:t xml:space="preserve"> safety groups (e.g. Electrical Safety, Medical Gas Safety, </w:t>
      </w:r>
      <w:r w:rsidR="001D4870" w:rsidRPr="00C25630">
        <w:rPr>
          <w:rFonts w:eastAsia="Calibri" w:cs="Arial"/>
          <w:spacing w:val="0"/>
          <w:szCs w:val="24"/>
          <w:lang w:eastAsia="en-GB"/>
        </w:rPr>
        <w:t xml:space="preserve">Ventilation etc.) this group will report through the Health and Safety Forums and onto Health and Safety Committee. Part of the intended remit of the group will be to agree risk and support implementation of appropriate actions to mitigate those risks and to action reports from enforcing authorities. The first meeting for this group </w:t>
      </w:r>
      <w:r w:rsidR="005C3425">
        <w:rPr>
          <w:rFonts w:eastAsia="Calibri" w:cs="Arial"/>
          <w:spacing w:val="0"/>
          <w:szCs w:val="24"/>
          <w:lang w:eastAsia="en-GB"/>
        </w:rPr>
        <w:t>will be</w:t>
      </w:r>
      <w:r w:rsidR="001D4870" w:rsidRPr="00C25630">
        <w:rPr>
          <w:rFonts w:eastAsia="Calibri" w:cs="Arial"/>
          <w:spacing w:val="0"/>
          <w:szCs w:val="24"/>
          <w:lang w:eastAsia="en-GB"/>
        </w:rPr>
        <w:t xml:space="preserve"> scheduled for </w:t>
      </w:r>
      <w:r w:rsidR="00C25630">
        <w:rPr>
          <w:rFonts w:eastAsia="Calibri" w:cs="Arial"/>
          <w:spacing w:val="0"/>
          <w:szCs w:val="24"/>
          <w:lang w:eastAsia="en-GB"/>
        </w:rPr>
        <w:t>November 2024</w:t>
      </w:r>
    </w:p>
    <w:p w14:paraId="71B4B7AD" w14:textId="39744EAF" w:rsidR="001D4870" w:rsidRPr="00C25630" w:rsidRDefault="001D4870" w:rsidP="00F15B7D">
      <w:pPr>
        <w:spacing w:before="100" w:beforeAutospacing="1" w:after="100" w:afterAutospacing="1"/>
        <w:ind w:left="760"/>
        <w:rPr>
          <w:rFonts w:eastAsia="Calibri" w:cs="Arial"/>
          <w:spacing w:val="0"/>
          <w:szCs w:val="24"/>
          <w:lang w:eastAsia="en-GB"/>
        </w:rPr>
      </w:pPr>
      <w:r w:rsidRPr="00C25630">
        <w:rPr>
          <w:rFonts w:eastAsia="Calibri" w:cs="Arial"/>
          <w:spacing w:val="0"/>
          <w:szCs w:val="24"/>
          <w:lang w:eastAsia="en-GB"/>
        </w:rPr>
        <w:t>Fire Risk Assessment</w:t>
      </w:r>
    </w:p>
    <w:p w14:paraId="136D57C0" w14:textId="74F81B4D" w:rsidR="00EA614A" w:rsidRPr="00C25630" w:rsidRDefault="00B15C9F" w:rsidP="00F15B7D">
      <w:pPr>
        <w:spacing w:before="100" w:beforeAutospacing="1" w:after="100" w:afterAutospacing="1"/>
        <w:ind w:left="760"/>
        <w:rPr>
          <w:rFonts w:eastAsia="Calibri" w:cs="Arial"/>
          <w:spacing w:val="0"/>
          <w:szCs w:val="24"/>
          <w:lang w:eastAsia="en-GB"/>
        </w:rPr>
      </w:pPr>
      <w:r>
        <w:rPr>
          <w:rFonts w:eastAsia="Calibri" w:cs="Arial"/>
          <w:spacing w:val="0"/>
          <w:szCs w:val="24"/>
          <w:lang w:eastAsia="en-GB"/>
        </w:rPr>
        <w:t>Internal fire risk assessments have been carried using the NHS Scotland agreed Fire Safety Management</w:t>
      </w:r>
      <w:r w:rsidR="00A43090">
        <w:rPr>
          <w:rFonts w:eastAsia="Calibri" w:cs="Arial"/>
          <w:spacing w:val="0"/>
          <w:szCs w:val="24"/>
          <w:lang w:eastAsia="en-GB"/>
        </w:rPr>
        <w:t xml:space="preserve"> system</w:t>
      </w:r>
      <w:r>
        <w:rPr>
          <w:rFonts w:eastAsia="Calibri" w:cs="Arial"/>
          <w:spacing w:val="0"/>
          <w:szCs w:val="24"/>
          <w:lang w:eastAsia="en-GB"/>
        </w:rPr>
        <w:t xml:space="preserve"> template</w:t>
      </w:r>
      <w:r w:rsidR="00C8635D">
        <w:rPr>
          <w:rFonts w:eastAsia="Calibri" w:cs="Arial"/>
          <w:spacing w:val="0"/>
          <w:szCs w:val="24"/>
          <w:lang w:eastAsia="en-GB"/>
        </w:rPr>
        <w:t xml:space="preserve">. </w:t>
      </w:r>
      <w:r w:rsidR="005C3425">
        <w:rPr>
          <w:rFonts w:eastAsia="Calibri" w:cs="Arial"/>
          <w:spacing w:val="0"/>
          <w:szCs w:val="24"/>
          <w:lang w:eastAsia="en-GB"/>
        </w:rPr>
        <w:t>A s</w:t>
      </w:r>
      <w:r w:rsidR="00C8635D">
        <w:rPr>
          <w:rFonts w:eastAsia="Calibri" w:cs="Arial"/>
          <w:spacing w:val="0"/>
          <w:szCs w:val="24"/>
          <w:lang w:eastAsia="en-GB"/>
        </w:rPr>
        <w:t>mall number of improvements</w:t>
      </w:r>
      <w:r w:rsidR="00112DFB">
        <w:rPr>
          <w:rFonts w:eastAsia="Calibri" w:cs="Arial"/>
          <w:spacing w:val="0"/>
          <w:szCs w:val="24"/>
          <w:lang w:eastAsia="en-GB"/>
        </w:rPr>
        <w:t xml:space="preserve"> have been identified which will be presented for discussion and action at the Fire Safety group.</w:t>
      </w:r>
      <w:r w:rsidR="00B72B0B" w:rsidRPr="00C25630">
        <w:rPr>
          <w:rFonts w:eastAsia="Calibri" w:cs="Arial"/>
          <w:spacing w:val="0"/>
          <w:szCs w:val="24"/>
          <w:lang w:eastAsia="en-GB"/>
        </w:rPr>
        <w:t xml:space="preserve"> </w:t>
      </w:r>
    </w:p>
    <w:p w14:paraId="71B6E264" w14:textId="6B8C9124" w:rsidR="001D4870" w:rsidRPr="00C25630" w:rsidRDefault="001D4870" w:rsidP="001D4870">
      <w:pPr>
        <w:spacing w:before="100" w:beforeAutospacing="1" w:after="100" w:afterAutospacing="1"/>
        <w:ind w:left="760"/>
        <w:rPr>
          <w:rFonts w:eastAsia="Calibri" w:cs="Arial"/>
          <w:spacing w:val="0"/>
          <w:szCs w:val="24"/>
          <w:lang w:eastAsia="en-GB"/>
        </w:rPr>
      </w:pPr>
      <w:r w:rsidRPr="00C25630">
        <w:rPr>
          <w:rFonts w:eastAsia="Calibri" w:cs="Arial"/>
          <w:spacing w:val="0"/>
          <w:szCs w:val="24"/>
          <w:lang w:eastAsia="en-GB"/>
        </w:rPr>
        <w:t>Fire Safety Audit and Inspection</w:t>
      </w:r>
    </w:p>
    <w:p w14:paraId="5A10127A" w14:textId="2CEEF97F" w:rsidR="0048179C" w:rsidRPr="00C25630" w:rsidRDefault="0048179C" w:rsidP="0048179C">
      <w:pPr>
        <w:rPr>
          <w:rFonts w:cs="Arial"/>
          <w:szCs w:val="24"/>
        </w:rPr>
      </w:pPr>
      <w:r>
        <w:rPr>
          <w:b/>
          <w:bCs/>
          <w:color w:val="1F497D"/>
        </w:rPr>
        <w:tab/>
      </w:r>
      <w:r w:rsidR="00C25630" w:rsidRPr="00C25630">
        <w:rPr>
          <w:rFonts w:cs="Arial"/>
          <w:szCs w:val="24"/>
        </w:rPr>
        <w:t xml:space="preserve">The </w:t>
      </w:r>
      <w:r w:rsidRPr="00C25630">
        <w:rPr>
          <w:rFonts w:cs="Arial"/>
          <w:szCs w:val="24"/>
        </w:rPr>
        <w:t xml:space="preserve">Scottish Fire and Rescue Service carried out an audit and inspection of the Hotel on </w:t>
      </w:r>
      <w:r w:rsidRPr="00C25630">
        <w:rPr>
          <w:rFonts w:cs="Arial"/>
          <w:szCs w:val="24"/>
        </w:rPr>
        <w:tab/>
        <w:t>01.08.24</w:t>
      </w:r>
    </w:p>
    <w:p w14:paraId="35A1AA49" w14:textId="77777777" w:rsidR="0048179C" w:rsidRPr="00C25630" w:rsidRDefault="0048179C" w:rsidP="0048179C">
      <w:pPr>
        <w:rPr>
          <w:rFonts w:cs="Arial"/>
          <w:szCs w:val="24"/>
        </w:rPr>
      </w:pPr>
    </w:p>
    <w:p w14:paraId="7125F20E" w14:textId="77777777" w:rsidR="00C25630" w:rsidRDefault="0048179C" w:rsidP="0048179C">
      <w:pPr>
        <w:rPr>
          <w:rFonts w:cs="Arial"/>
          <w:szCs w:val="24"/>
        </w:rPr>
      </w:pPr>
      <w:r w:rsidRPr="00C25630">
        <w:rPr>
          <w:rFonts w:cs="Arial"/>
          <w:szCs w:val="24"/>
        </w:rPr>
        <w:tab/>
      </w:r>
      <w:r w:rsidR="00C25630">
        <w:rPr>
          <w:rFonts w:cs="Arial"/>
          <w:szCs w:val="24"/>
        </w:rPr>
        <w:t>From a positive perspective,</w:t>
      </w:r>
      <w:r w:rsidRPr="00C25630">
        <w:rPr>
          <w:rFonts w:cs="Arial"/>
          <w:szCs w:val="24"/>
        </w:rPr>
        <w:t xml:space="preserve"> </w:t>
      </w:r>
      <w:r w:rsidR="00C25630">
        <w:rPr>
          <w:rFonts w:cs="Arial"/>
          <w:szCs w:val="24"/>
        </w:rPr>
        <w:t>unwanted fire alarm signal</w:t>
      </w:r>
      <w:r w:rsidRPr="00C25630">
        <w:rPr>
          <w:rFonts w:cs="Arial"/>
          <w:szCs w:val="24"/>
        </w:rPr>
        <w:t xml:space="preserve"> reporting and investigation in Datix </w:t>
      </w:r>
      <w:r w:rsidR="00C25630">
        <w:rPr>
          <w:rFonts w:cs="Arial"/>
          <w:szCs w:val="24"/>
        </w:rPr>
        <w:tab/>
      </w:r>
      <w:r w:rsidRPr="00C25630">
        <w:rPr>
          <w:rFonts w:cs="Arial"/>
          <w:szCs w:val="24"/>
        </w:rPr>
        <w:t>was comme</w:t>
      </w:r>
      <w:r w:rsidR="00C25630">
        <w:rPr>
          <w:rFonts w:cs="Arial"/>
          <w:szCs w:val="24"/>
        </w:rPr>
        <w:t xml:space="preserve">nded as it demonstrates </w:t>
      </w:r>
      <w:r w:rsidRPr="00C25630">
        <w:rPr>
          <w:rFonts w:cs="Arial"/>
          <w:szCs w:val="24"/>
        </w:rPr>
        <w:t>commitment to learn from incidents.</w:t>
      </w:r>
      <w:r w:rsidR="00C25630">
        <w:rPr>
          <w:rFonts w:cs="Arial"/>
          <w:szCs w:val="24"/>
        </w:rPr>
        <w:t xml:space="preserve"> </w:t>
      </w:r>
      <w:r w:rsidRPr="00C25630">
        <w:rPr>
          <w:rFonts w:cs="Arial"/>
          <w:szCs w:val="24"/>
        </w:rPr>
        <w:t xml:space="preserve">Monthly </w:t>
      </w:r>
      <w:r w:rsidR="00C25630">
        <w:rPr>
          <w:rFonts w:cs="Arial"/>
          <w:szCs w:val="24"/>
        </w:rPr>
        <w:tab/>
        <w:t>i</w:t>
      </w:r>
      <w:r w:rsidRPr="00C25630">
        <w:rPr>
          <w:rFonts w:cs="Arial"/>
          <w:szCs w:val="24"/>
        </w:rPr>
        <w:t xml:space="preserve">nspections were </w:t>
      </w:r>
      <w:r w:rsidR="00C25630">
        <w:rPr>
          <w:rFonts w:cs="Arial"/>
          <w:szCs w:val="24"/>
        </w:rPr>
        <w:t xml:space="preserve">also </w:t>
      </w:r>
      <w:r w:rsidRPr="00C25630">
        <w:rPr>
          <w:rFonts w:cs="Arial"/>
          <w:szCs w:val="24"/>
        </w:rPr>
        <w:t>seen as good practice as</w:t>
      </w:r>
      <w:r w:rsidR="00C25630">
        <w:rPr>
          <w:rFonts w:cs="Arial"/>
          <w:szCs w:val="24"/>
        </w:rPr>
        <w:t xml:space="preserve"> it places responsibility at a </w:t>
      </w:r>
      <w:r w:rsidRPr="00C25630">
        <w:rPr>
          <w:rFonts w:cs="Arial"/>
          <w:szCs w:val="24"/>
        </w:rPr>
        <w:t>local level. </w:t>
      </w:r>
    </w:p>
    <w:p w14:paraId="4895A6CC" w14:textId="7BA12C1B" w:rsidR="0048179C" w:rsidRPr="00C25630" w:rsidRDefault="0048179C" w:rsidP="0048179C">
      <w:pPr>
        <w:rPr>
          <w:rFonts w:cs="Arial"/>
          <w:szCs w:val="24"/>
        </w:rPr>
      </w:pPr>
      <w:r w:rsidRPr="00C25630">
        <w:rPr>
          <w:rFonts w:cs="Arial"/>
          <w:szCs w:val="24"/>
        </w:rPr>
        <w:t xml:space="preserve"> </w:t>
      </w:r>
    </w:p>
    <w:p w14:paraId="502C223C" w14:textId="4482D298" w:rsidR="00C8635D" w:rsidRDefault="0048179C" w:rsidP="0048179C">
      <w:pPr>
        <w:rPr>
          <w:rFonts w:cs="Arial"/>
          <w:szCs w:val="24"/>
        </w:rPr>
      </w:pPr>
      <w:r w:rsidRPr="00C25630">
        <w:rPr>
          <w:rFonts w:cs="Arial"/>
          <w:szCs w:val="24"/>
        </w:rPr>
        <w:tab/>
      </w:r>
      <w:r w:rsidR="00C25630">
        <w:rPr>
          <w:rFonts w:cs="Arial"/>
          <w:szCs w:val="24"/>
        </w:rPr>
        <w:t xml:space="preserve">There were </w:t>
      </w:r>
      <w:r w:rsidRPr="00C25630">
        <w:rPr>
          <w:rFonts w:cs="Arial"/>
          <w:szCs w:val="24"/>
        </w:rPr>
        <w:t xml:space="preserve">12 </w:t>
      </w:r>
      <w:r w:rsidR="00C25630">
        <w:rPr>
          <w:rFonts w:cs="Arial"/>
          <w:szCs w:val="24"/>
        </w:rPr>
        <w:t xml:space="preserve">recommendations </w:t>
      </w:r>
      <w:r w:rsidRPr="00C25630">
        <w:rPr>
          <w:rFonts w:cs="Arial"/>
          <w:szCs w:val="24"/>
        </w:rPr>
        <w:t>in total</w:t>
      </w:r>
      <w:r w:rsidR="00944362">
        <w:rPr>
          <w:rFonts w:cs="Arial"/>
          <w:szCs w:val="24"/>
        </w:rPr>
        <w:t>:</w:t>
      </w:r>
    </w:p>
    <w:p w14:paraId="69D5E570" w14:textId="673F2822" w:rsidR="00944362" w:rsidRDefault="00944362" w:rsidP="00944362">
      <w:pPr>
        <w:pStyle w:val="ListParagraph"/>
        <w:numPr>
          <w:ilvl w:val="0"/>
          <w:numId w:val="16"/>
        </w:numPr>
        <w:rPr>
          <w:rFonts w:ascii="Arial" w:eastAsia="Times New Roman" w:hAnsi="Arial" w:cs="Arial"/>
          <w:spacing w:val="-3"/>
          <w:sz w:val="24"/>
          <w:szCs w:val="24"/>
          <w:lang w:eastAsia="en-US"/>
        </w:rPr>
      </w:pPr>
      <w:r w:rsidRPr="00944362">
        <w:rPr>
          <w:rFonts w:ascii="Arial" w:eastAsia="Times New Roman" w:hAnsi="Arial" w:cs="Arial"/>
          <w:spacing w:val="-3"/>
          <w:sz w:val="24"/>
          <w:szCs w:val="24"/>
          <w:lang w:eastAsia="en-US"/>
        </w:rPr>
        <w:t>Consideration of evacuation</w:t>
      </w:r>
      <w:r>
        <w:rPr>
          <w:rFonts w:ascii="Arial" w:eastAsia="Times New Roman" w:hAnsi="Arial" w:cs="Arial"/>
          <w:spacing w:val="-3"/>
          <w:sz w:val="24"/>
          <w:szCs w:val="24"/>
          <w:lang w:eastAsia="en-US"/>
        </w:rPr>
        <w:t>/training</w:t>
      </w:r>
      <w:r w:rsidRPr="00944362">
        <w:rPr>
          <w:rFonts w:ascii="Arial" w:eastAsia="Times New Roman" w:hAnsi="Arial" w:cs="Arial"/>
          <w:spacing w:val="-3"/>
          <w:sz w:val="24"/>
          <w:szCs w:val="24"/>
          <w:lang w:eastAsia="en-US"/>
        </w:rPr>
        <w:t xml:space="preserve"> drills</w:t>
      </w:r>
    </w:p>
    <w:p w14:paraId="7CF38042" w14:textId="479851A0" w:rsidR="00944362" w:rsidRDefault="00944362" w:rsidP="00944362">
      <w:pPr>
        <w:pStyle w:val="ListParagraph"/>
        <w:numPr>
          <w:ilvl w:val="0"/>
          <w:numId w:val="16"/>
        </w:numPr>
        <w:rPr>
          <w:rFonts w:ascii="Arial" w:eastAsia="Times New Roman" w:hAnsi="Arial" w:cs="Arial"/>
          <w:spacing w:val="-3"/>
          <w:sz w:val="24"/>
          <w:szCs w:val="24"/>
          <w:lang w:eastAsia="en-US"/>
        </w:rPr>
      </w:pPr>
      <w:r>
        <w:rPr>
          <w:rFonts w:ascii="Arial" w:eastAsia="Times New Roman" w:hAnsi="Arial" w:cs="Arial"/>
          <w:spacing w:val="-3"/>
          <w:sz w:val="24"/>
          <w:szCs w:val="24"/>
          <w:lang w:eastAsia="en-US"/>
        </w:rPr>
        <w:t>Confirmation of damper test/inspection records</w:t>
      </w:r>
    </w:p>
    <w:p w14:paraId="398032E1" w14:textId="28E63AF7" w:rsidR="00944362" w:rsidRDefault="00944362" w:rsidP="00944362">
      <w:pPr>
        <w:pStyle w:val="ListParagraph"/>
        <w:numPr>
          <w:ilvl w:val="0"/>
          <w:numId w:val="16"/>
        </w:numPr>
        <w:rPr>
          <w:rFonts w:ascii="Arial" w:eastAsia="Times New Roman" w:hAnsi="Arial" w:cs="Arial"/>
          <w:spacing w:val="-3"/>
          <w:sz w:val="24"/>
          <w:szCs w:val="24"/>
          <w:lang w:eastAsia="en-US"/>
        </w:rPr>
      </w:pPr>
      <w:r>
        <w:rPr>
          <w:rFonts w:ascii="Arial" w:eastAsia="Times New Roman" w:hAnsi="Arial" w:cs="Arial"/>
          <w:spacing w:val="-3"/>
          <w:sz w:val="24"/>
          <w:szCs w:val="24"/>
          <w:lang w:eastAsia="en-US"/>
        </w:rPr>
        <w:t>Ceiling tiles missing</w:t>
      </w:r>
    </w:p>
    <w:p w14:paraId="2370D62C" w14:textId="03F32BBB" w:rsidR="00944362" w:rsidRDefault="00944362" w:rsidP="00944362">
      <w:pPr>
        <w:pStyle w:val="ListParagraph"/>
        <w:numPr>
          <w:ilvl w:val="0"/>
          <w:numId w:val="16"/>
        </w:numPr>
        <w:rPr>
          <w:rFonts w:ascii="Arial" w:eastAsia="Times New Roman" w:hAnsi="Arial" w:cs="Arial"/>
          <w:spacing w:val="-3"/>
          <w:sz w:val="24"/>
          <w:szCs w:val="24"/>
          <w:lang w:eastAsia="en-US"/>
        </w:rPr>
      </w:pPr>
      <w:r>
        <w:rPr>
          <w:rFonts w:ascii="Arial" w:eastAsia="Times New Roman" w:hAnsi="Arial" w:cs="Arial"/>
          <w:spacing w:val="-3"/>
          <w:sz w:val="24"/>
          <w:szCs w:val="24"/>
          <w:lang w:eastAsia="en-US"/>
        </w:rPr>
        <w:t>Blocked exit (auditorium)</w:t>
      </w:r>
    </w:p>
    <w:p w14:paraId="22E1483A" w14:textId="18D127D8" w:rsidR="00944362" w:rsidRDefault="00944362" w:rsidP="00944362">
      <w:pPr>
        <w:pStyle w:val="ListParagraph"/>
        <w:numPr>
          <w:ilvl w:val="0"/>
          <w:numId w:val="16"/>
        </w:numPr>
        <w:rPr>
          <w:rFonts w:ascii="Arial" w:eastAsia="Times New Roman" w:hAnsi="Arial" w:cs="Arial"/>
          <w:spacing w:val="-3"/>
          <w:sz w:val="24"/>
          <w:szCs w:val="24"/>
          <w:lang w:eastAsia="en-US"/>
        </w:rPr>
      </w:pPr>
      <w:r>
        <w:rPr>
          <w:rFonts w:ascii="Arial" w:eastAsia="Times New Roman" w:hAnsi="Arial" w:cs="Arial"/>
          <w:spacing w:val="-3"/>
          <w:sz w:val="24"/>
          <w:szCs w:val="24"/>
          <w:lang w:eastAsia="en-US"/>
        </w:rPr>
        <w:t>‘Keep clear’ signage missing from auditorium exit.</w:t>
      </w:r>
    </w:p>
    <w:p w14:paraId="2AF24736" w14:textId="1AC1E8EE" w:rsidR="00944362" w:rsidRDefault="00944362" w:rsidP="00944362">
      <w:pPr>
        <w:pStyle w:val="ListParagraph"/>
        <w:numPr>
          <w:ilvl w:val="0"/>
          <w:numId w:val="16"/>
        </w:numPr>
        <w:rPr>
          <w:rFonts w:ascii="Arial" w:eastAsia="Times New Roman" w:hAnsi="Arial" w:cs="Arial"/>
          <w:spacing w:val="-3"/>
          <w:sz w:val="24"/>
          <w:szCs w:val="24"/>
          <w:lang w:eastAsia="en-US"/>
        </w:rPr>
      </w:pPr>
      <w:r>
        <w:rPr>
          <w:rFonts w:ascii="Arial" w:eastAsia="Times New Roman" w:hAnsi="Arial" w:cs="Arial"/>
          <w:spacing w:val="-3"/>
          <w:sz w:val="24"/>
          <w:szCs w:val="24"/>
          <w:lang w:eastAsia="en-US"/>
        </w:rPr>
        <w:t>Various fire doors not closing fully/excessive gap at top/middle of doors</w:t>
      </w:r>
    </w:p>
    <w:p w14:paraId="1C11C03D" w14:textId="2561805B" w:rsidR="00944362" w:rsidRDefault="00944362" w:rsidP="00944362">
      <w:pPr>
        <w:pStyle w:val="ListParagraph"/>
        <w:numPr>
          <w:ilvl w:val="0"/>
          <w:numId w:val="16"/>
        </w:numPr>
        <w:rPr>
          <w:rFonts w:ascii="Arial" w:eastAsia="Times New Roman" w:hAnsi="Arial" w:cs="Arial"/>
          <w:spacing w:val="-3"/>
          <w:sz w:val="24"/>
          <w:szCs w:val="24"/>
          <w:lang w:eastAsia="en-US"/>
        </w:rPr>
      </w:pPr>
      <w:r>
        <w:rPr>
          <w:rFonts w:ascii="Arial" w:eastAsia="Times New Roman" w:hAnsi="Arial" w:cs="Arial"/>
          <w:spacing w:val="-3"/>
          <w:sz w:val="24"/>
          <w:szCs w:val="24"/>
          <w:lang w:eastAsia="en-US"/>
        </w:rPr>
        <w:lastRenderedPageBreak/>
        <w:t>Emergency lighting not operating correctly</w:t>
      </w:r>
    </w:p>
    <w:p w14:paraId="1A8B39A7" w14:textId="5284212B" w:rsidR="00944362" w:rsidRDefault="00944362" w:rsidP="00944362">
      <w:pPr>
        <w:pStyle w:val="ListParagraph"/>
        <w:numPr>
          <w:ilvl w:val="0"/>
          <w:numId w:val="16"/>
        </w:numPr>
        <w:rPr>
          <w:rFonts w:ascii="Arial" w:eastAsia="Times New Roman" w:hAnsi="Arial" w:cs="Arial"/>
          <w:spacing w:val="-3"/>
          <w:sz w:val="24"/>
          <w:szCs w:val="24"/>
          <w:lang w:eastAsia="en-US"/>
        </w:rPr>
      </w:pPr>
      <w:r>
        <w:rPr>
          <w:rFonts w:ascii="Arial" w:eastAsia="Times New Roman" w:hAnsi="Arial" w:cs="Arial"/>
          <w:spacing w:val="-3"/>
          <w:sz w:val="24"/>
          <w:szCs w:val="24"/>
          <w:lang w:eastAsia="en-US"/>
        </w:rPr>
        <w:t>Consider additional directional signage at ground floor studio.</w:t>
      </w:r>
    </w:p>
    <w:p w14:paraId="4749D428" w14:textId="18ABF23A" w:rsidR="00944362" w:rsidRDefault="00944362" w:rsidP="00944362">
      <w:pPr>
        <w:pStyle w:val="ListParagraph"/>
        <w:numPr>
          <w:ilvl w:val="0"/>
          <w:numId w:val="16"/>
        </w:numPr>
        <w:rPr>
          <w:rFonts w:ascii="Arial" w:eastAsia="Times New Roman" w:hAnsi="Arial" w:cs="Arial"/>
          <w:spacing w:val="-3"/>
          <w:sz w:val="24"/>
          <w:szCs w:val="24"/>
          <w:lang w:eastAsia="en-US"/>
        </w:rPr>
      </w:pPr>
      <w:r>
        <w:rPr>
          <w:rFonts w:ascii="Arial" w:eastAsia="Times New Roman" w:hAnsi="Arial" w:cs="Arial"/>
          <w:spacing w:val="-3"/>
          <w:sz w:val="24"/>
          <w:szCs w:val="24"/>
          <w:lang w:eastAsia="en-US"/>
        </w:rPr>
        <w:t>Clear fibres from tumble dryer in housekeeping store</w:t>
      </w:r>
    </w:p>
    <w:p w14:paraId="17784DA6" w14:textId="6CACA7F6" w:rsidR="00944362" w:rsidRDefault="00944362" w:rsidP="00944362">
      <w:pPr>
        <w:pStyle w:val="ListParagraph"/>
        <w:numPr>
          <w:ilvl w:val="0"/>
          <w:numId w:val="16"/>
        </w:numPr>
        <w:rPr>
          <w:rFonts w:ascii="Arial" w:eastAsia="Times New Roman" w:hAnsi="Arial" w:cs="Arial"/>
          <w:spacing w:val="-3"/>
          <w:sz w:val="24"/>
          <w:szCs w:val="24"/>
          <w:lang w:eastAsia="en-US"/>
        </w:rPr>
      </w:pPr>
      <w:r>
        <w:rPr>
          <w:rFonts w:ascii="Arial" w:eastAsia="Times New Roman" w:hAnsi="Arial" w:cs="Arial"/>
          <w:spacing w:val="-3"/>
          <w:sz w:val="24"/>
          <w:szCs w:val="24"/>
          <w:lang w:eastAsia="en-US"/>
        </w:rPr>
        <w:t xml:space="preserve">Clear </w:t>
      </w:r>
      <w:proofErr w:type="spellStart"/>
      <w:r>
        <w:rPr>
          <w:rFonts w:ascii="Arial" w:eastAsia="Times New Roman" w:hAnsi="Arial" w:cs="Arial"/>
          <w:spacing w:val="-3"/>
          <w:sz w:val="24"/>
          <w:szCs w:val="24"/>
          <w:lang w:eastAsia="en-US"/>
        </w:rPr>
        <w:t>build up</w:t>
      </w:r>
      <w:proofErr w:type="spellEnd"/>
      <w:r>
        <w:rPr>
          <w:rFonts w:ascii="Arial" w:eastAsia="Times New Roman" w:hAnsi="Arial" w:cs="Arial"/>
          <w:spacing w:val="-3"/>
          <w:sz w:val="24"/>
          <w:szCs w:val="24"/>
          <w:lang w:eastAsia="en-US"/>
        </w:rPr>
        <w:t xml:space="preserve"> of fibres from extract grill at Level 4 lift foyer</w:t>
      </w:r>
    </w:p>
    <w:p w14:paraId="36B47D7B" w14:textId="57B0B205" w:rsidR="00944362" w:rsidRDefault="00944362" w:rsidP="00944362">
      <w:pPr>
        <w:pStyle w:val="ListParagraph"/>
        <w:numPr>
          <w:ilvl w:val="0"/>
          <w:numId w:val="16"/>
        </w:numPr>
        <w:rPr>
          <w:rFonts w:ascii="Arial" w:eastAsia="Times New Roman" w:hAnsi="Arial" w:cs="Arial"/>
          <w:spacing w:val="-3"/>
          <w:sz w:val="24"/>
          <w:szCs w:val="24"/>
          <w:lang w:eastAsia="en-US"/>
        </w:rPr>
      </w:pPr>
      <w:r>
        <w:rPr>
          <w:rFonts w:ascii="Arial" w:eastAsia="Times New Roman" w:hAnsi="Arial" w:cs="Arial"/>
          <w:spacing w:val="-3"/>
          <w:sz w:val="24"/>
          <w:szCs w:val="24"/>
          <w:lang w:eastAsia="en-US"/>
        </w:rPr>
        <w:t>Adjust loose smoke detector head at level 4 linen room</w:t>
      </w:r>
    </w:p>
    <w:p w14:paraId="30AA57AA" w14:textId="1A0868D9" w:rsidR="00280A75" w:rsidRDefault="00280A75" w:rsidP="00944362">
      <w:pPr>
        <w:pStyle w:val="ListParagraph"/>
        <w:numPr>
          <w:ilvl w:val="0"/>
          <w:numId w:val="16"/>
        </w:numPr>
        <w:rPr>
          <w:rFonts w:ascii="Arial" w:eastAsia="Times New Roman" w:hAnsi="Arial" w:cs="Arial"/>
          <w:spacing w:val="-3"/>
          <w:sz w:val="24"/>
          <w:szCs w:val="24"/>
          <w:lang w:eastAsia="en-US"/>
        </w:rPr>
      </w:pPr>
      <w:r>
        <w:rPr>
          <w:rFonts w:ascii="Arial" w:eastAsia="Times New Roman" w:hAnsi="Arial" w:cs="Arial"/>
          <w:spacing w:val="-3"/>
          <w:sz w:val="24"/>
          <w:szCs w:val="24"/>
          <w:lang w:eastAsia="en-US"/>
        </w:rPr>
        <w:t xml:space="preserve">Consideration of securing doors to staff areas at bedroom corridors to prevent unauthorised access. </w:t>
      </w:r>
    </w:p>
    <w:p w14:paraId="2B7FA3CA" w14:textId="77777777" w:rsidR="00280A75" w:rsidRDefault="00280A75" w:rsidP="00280A75">
      <w:pPr>
        <w:ind w:left="1080"/>
        <w:rPr>
          <w:rFonts w:cs="Arial"/>
          <w:szCs w:val="24"/>
        </w:rPr>
      </w:pPr>
    </w:p>
    <w:p w14:paraId="0AA912E2" w14:textId="2D788250" w:rsidR="0048179C" w:rsidRPr="00C25630" w:rsidRDefault="00280A75" w:rsidP="00066D88">
      <w:pPr>
        <w:ind w:left="1080"/>
        <w:rPr>
          <w:rFonts w:cs="Arial"/>
          <w:szCs w:val="24"/>
        </w:rPr>
      </w:pPr>
      <w:r>
        <w:rPr>
          <w:rFonts w:cs="Arial"/>
          <w:szCs w:val="24"/>
        </w:rPr>
        <w:t xml:space="preserve">Reactive job lines have been raised </w:t>
      </w:r>
      <w:r w:rsidR="00066D88">
        <w:rPr>
          <w:rFonts w:cs="Arial"/>
          <w:szCs w:val="24"/>
        </w:rPr>
        <w:t>and being actioned via Estates. Progress with all actions will be monitored via the Fire Safety Group.</w:t>
      </w:r>
    </w:p>
    <w:p w14:paraId="04BB5BB6" w14:textId="68B3A970" w:rsidR="00DF1D58" w:rsidRPr="00B46C71" w:rsidRDefault="00DF1D58" w:rsidP="008A5B73">
      <w:pPr>
        <w:pStyle w:val="ListParagraph"/>
        <w:numPr>
          <w:ilvl w:val="1"/>
          <w:numId w:val="12"/>
        </w:numPr>
        <w:spacing w:before="100" w:beforeAutospacing="1" w:after="100" w:afterAutospacing="1"/>
        <w:rPr>
          <w:rFonts w:ascii="Arial" w:eastAsia="Times New Roman" w:hAnsi="Arial" w:cs="Arial"/>
          <w:sz w:val="24"/>
          <w:szCs w:val="24"/>
        </w:rPr>
      </w:pPr>
      <w:r w:rsidRPr="00B46C71">
        <w:rPr>
          <w:rFonts w:ascii="Arial" w:eastAsia="Times New Roman" w:hAnsi="Arial" w:cs="Arial"/>
          <w:sz w:val="24"/>
          <w:szCs w:val="24"/>
        </w:rPr>
        <w:t>Policy Approval</w:t>
      </w:r>
    </w:p>
    <w:p w14:paraId="36EA5202" w14:textId="55940B57" w:rsidR="000E63F8" w:rsidRPr="00F15B7D" w:rsidRDefault="00F15B7D" w:rsidP="00F15B7D">
      <w:pPr>
        <w:spacing w:before="100" w:beforeAutospacing="1" w:after="100" w:afterAutospacing="1"/>
        <w:rPr>
          <w:rFonts w:cs="Arial"/>
          <w:szCs w:val="24"/>
        </w:rPr>
      </w:pPr>
      <w:r>
        <w:rPr>
          <w:rFonts w:cs="Arial"/>
          <w:szCs w:val="24"/>
        </w:rPr>
        <w:tab/>
      </w:r>
      <w:r w:rsidR="00DF1D58" w:rsidRPr="00F15B7D">
        <w:rPr>
          <w:rFonts w:cs="Arial"/>
          <w:szCs w:val="24"/>
        </w:rPr>
        <w:t xml:space="preserve">The following documents have been </w:t>
      </w:r>
      <w:r w:rsidR="00E925F8" w:rsidRPr="00F15B7D">
        <w:rPr>
          <w:rFonts w:cs="Arial"/>
          <w:szCs w:val="24"/>
        </w:rPr>
        <w:t>approved</w:t>
      </w:r>
      <w:r w:rsidR="000E63F8" w:rsidRPr="00F15B7D">
        <w:rPr>
          <w:rFonts w:cs="Arial"/>
          <w:szCs w:val="24"/>
        </w:rPr>
        <w:t xml:space="preserve"> </w:t>
      </w:r>
      <w:r w:rsidR="00E925F8" w:rsidRPr="00F15B7D">
        <w:rPr>
          <w:rFonts w:cs="Arial"/>
          <w:szCs w:val="24"/>
        </w:rPr>
        <w:t>at last</w:t>
      </w:r>
      <w:r w:rsidR="000E63F8" w:rsidRPr="00F15B7D">
        <w:rPr>
          <w:rFonts w:cs="Arial"/>
          <w:szCs w:val="24"/>
        </w:rPr>
        <w:t xml:space="preserve"> Health and Safety Committee:</w:t>
      </w:r>
    </w:p>
    <w:p w14:paraId="4AE5F653" w14:textId="5C0313CA" w:rsidR="00F15B7D" w:rsidRPr="00C25630" w:rsidRDefault="00F15B7D" w:rsidP="00F15B7D">
      <w:pPr>
        <w:pStyle w:val="ListParagraph"/>
        <w:numPr>
          <w:ilvl w:val="0"/>
          <w:numId w:val="14"/>
        </w:numPr>
        <w:spacing w:before="100" w:beforeAutospacing="1" w:after="100" w:afterAutospacing="1"/>
        <w:rPr>
          <w:rFonts w:cs="Arial"/>
          <w:szCs w:val="24"/>
        </w:rPr>
      </w:pPr>
      <w:r w:rsidRPr="00C25630">
        <w:rPr>
          <w:rFonts w:ascii="Arial" w:eastAsia="Times New Roman" w:hAnsi="Arial" w:cs="Arial"/>
          <w:sz w:val="24"/>
          <w:szCs w:val="24"/>
        </w:rPr>
        <w:t xml:space="preserve">Bomb Threat Policy </w:t>
      </w:r>
      <w:r w:rsidR="00066D88">
        <w:rPr>
          <w:rFonts w:ascii="Arial" w:eastAsia="Times New Roman" w:hAnsi="Arial" w:cs="Arial"/>
          <w:sz w:val="24"/>
          <w:szCs w:val="24"/>
        </w:rPr>
        <w:t xml:space="preserve">(virtual approval </w:t>
      </w:r>
      <w:r w:rsidR="004E1677">
        <w:rPr>
          <w:rFonts w:ascii="Arial" w:eastAsia="Times New Roman" w:hAnsi="Arial" w:cs="Arial"/>
          <w:sz w:val="24"/>
          <w:szCs w:val="24"/>
        </w:rPr>
        <w:t xml:space="preserve">subject to minor </w:t>
      </w:r>
      <w:r w:rsidR="00066D88">
        <w:rPr>
          <w:rFonts w:ascii="Arial" w:eastAsia="Times New Roman" w:hAnsi="Arial" w:cs="Arial"/>
          <w:sz w:val="24"/>
          <w:szCs w:val="24"/>
        </w:rPr>
        <w:t xml:space="preserve">amendment on front cover sheet) – virtual approval date 10/10/24 </w:t>
      </w:r>
    </w:p>
    <w:p w14:paraId="348F4693" w14:textId="32CDFD65" w:rsidR="00F15B7D" w:rsidRPr="00C25630" w:rsidRDefault="00F15B7D" w:rsidP="00F15B7D">
      <w:pPr>
        <w:pStyle w:val="ListParagraph"/>
        <w:numPr>
          <w:ilvl w:val="0"/>
          <w:numId w:val="14"/>
        </w:numPr>
        <w:spacing w:before="100" w:beforeAutospacing="1" w:after="100" w:afterAutospacing="1"/>
        <w:rPr>
          <w:rFonts w:cs="Arial"/>
          <w:szCs w:val="24"/>
        </w:rPr>
      </w:pPr>
      <w:r w:rsidRPr="00C25630">
        <w:rPr>
          <w:rFonts w:ascii="Arial" w:eastAsia="Times New Roman" w:hAnsi="Arial" w:cs="Arial"/>
          <w:sz w:val="24"/>
          <w:szCs w:val="24"/>
        </w:rPr>
        <w:t>Respiratory Protection Equipment (RPE) Policy</w:t>
      </w:r>
    </w:p>
    <w:p w14:paraId="55F91BBD" w14:textId="27306B5B" w:rsidR="00E925F8" w:rsidRPr="00C25630" w:rsidRDefault="00F15B7D" w:rsidP="000E63F8">
      <w:pPr>
        <w:pStyle w:val="ListParagraph"/>
        <w:spacing w:before="100" w:beforeAutospacing="1" w:after="100" w:afterAutospacing="1"/>
        <w:ind w:left="1440"/>
        <w:rPr>
          <w:rFonts w:ascii="Arial" w:eastAsia="Times New Roman" w:hAnsi="Arial" w:cs="Arial"/>
          <w:sz w:val="24"/>
          <w:szCs w:val="24"/>
        </w:rPr>
      </w:pPr>
      <w:r w:rsidRPr="00C25630">
        <w:rPr>
          <w:rFonts w:ascii="Arial" w:eastAsia="Times New Roman" w:hAnsi="Arial" w:cs="Arial"/>
          <w:sz w:val="24"/>
          <w:szCs w:val="24"/>
        </w:rPr>
        <w:t>The RPE will be sent to Partnership Forum 11</w:t>
      </w:r>
      <w:r w:rsidRPr="00C25630">
        <w:rPr>
          <w:rFonts w:ascii="Arial" w:eastAsia="Times New Roman" w:hAnsi="Arial" w:cs="Arial"/>
          <w:sz w:val="24"/>
          <w:szCs w:val="24"/>
          <w:vertAlign w:val="superscript"/>
        </w:rPr>
        <w:t>th</w:t>
      </w:r>
      <w:r w:rsidRPr="00C25630">
        <w:rPr>
          <w:rFonts w:ascii="Arial" w:eastAsia="Times New Roman" w:hAnsi="Arial" w:cs="Arial"/>
          <w:sz w:val="24"/>
          <w:szCs w:val="24"/>
        </w:rPr>
        <w:t xml:space="preserve"> November </w:t>
      </w:r>
      <w:r w:rsidR="004E1677">
        <w:rPr>
          <w:rFonts w:ascii="Arial" w:eastAsia="Times New Roman" w:hAnsi="Arial" w:cs="Arial"/>
          <w:sz w:val="24"/>
          <w:szCs w:val="24"/>
        </w:rPr>
        <w:t>for</w:t>
      </w:r>
      <w:r w:rsidRPr="00C25630">
        <w:rPr>
          <w:rFonts w:ascii="Arial" w:eastAsia="Times New Roman" w:hAnsi="Arial" w:cs="Arial"/>
          <w:sz w:val="24"/>
          <w:szCs w:val="24"/>
        </w:rPr>
        <w:t xml:space="preserve"> final approval and then subsequent upload to share point.</w:t>
      </w:r>
    </w:p>
    <w:p w14:paraId="2961AAA6" w14:textId="02508027" w:rsidR="00E925F8" w:rsidRPr="00F15B7D" w:rsidRDefault="00F15B7D" w:rsidP="00F15B7D">
      <w:pPr>
        <w:spacing w:before="100" w:beforeAutospacing="1" w:after="100" w:afterAutospacing="1"/>
        <w:rPr>
          <w:rFonts w:cs="Arial"/>
          <w:szCs w:val="24"/>
        </w:rPr>
      </w:pPr>
      <w:r>
        <w:rPr>
          <w:rFonts w:cs="Arial"/>
          <w:szCs w:val="24"/>
        </w:rPr>
        <w:tab/>
      </w:r>
      <w:r w:rsidR="00E925F8" w:rsidRPr="00F15B7D">
        <w:rPr>
          <w:rFonts w:cs="Arial"/>
          <w:szCs w:val="24"/>
        </w:rPr>
        <w:t xml:space="preserve">The following documents </w:t>
      </w:r>
      <w:r w:rsidRPr="00F15B7D">
        <w:rPr>
          <w:rFonts w:cs="Arial"/>
          <w:szCs w:val="24"/>
        </w:rPr>
        <w:t>were</w:t>
      </w:r>
      <w:r w:rsidR="00E925F8" w:rsidRPr="00F15B7D">
        <w:rPr>
          <w:rFonts w:cs="Arial"/>
          <w:szCs w:val="24"/>
        </w:rPr>
        <w:t xml:space="preserve"> </w:t>
      </w:r>
      <w:r w:rsidR="00431D14">
        <w:rPr>
          <w:rFonts w:cs="Arial"/>
          <w:szCs w:val="24"/>
        </w:rPr>
        <w:t>shared with</w:t>
      </w:r>
      <w:r w:rsidR="00E925F8" w:rsidRPr="00F15B7D">
        <w:rPr>
          <w:rFonts w:cs="Arial"/>
          <w:szCs w:val="24"/>
        </w:rPr>
        <w:t xml:space="preserve"> the Health and Safety Divisional Forums for</w:t>
      </w:r>
      <w:r w:rsidR="00431D14">
        <w:rPr>
          <w:rFonts w:cs="Arial"/>
          <w:szCs w:val="24"/>
        </w:rPr>
        <w:t xml:space="preserve"> </w:t>
      </w:r>
      <w:r w:rsidR="00431D14">
        <w:rPr>
          <w:rFonts w:cs="Arial"/>
          <w:szCs w:val="24"/>
        </w:rPr>
        <w:tab/>
        <w:t>review and</w:t>
      </w:r>
      <w:r w:rsidR="00E925F8" w:rsidRPr="00F15B7D">
        <w:rPr>
          <w:rFonts w:cs="Arial"/>
          <w:szCs w:val="24"/>
        </w:rPr>
        <w:t xml:space="preserve"> approval </w:t>
      </w:r>
      <w:r w:rsidRPr="00F15B7D">
        <w:rPr>
          <w:rFonts w:cs="Arial"/>
          <w:szCs w:val="24"/>
        </w:rPr>
        <w:t>September</w:t>
      </w:r>
      <w:r w:rsidR="00E925F8" w:rsidRPr="00F15B7D">
        <w:rPr>
          <w:rFonts w:cs="Arial"/>
          <w:szCs w:val="24"/>
        </w:rPr>
        <w:t xml:space="preserve"> 2024:</w:t>
      </w:r>
    </w:p>
    <w:p w14:paraId="60ED09DA" w14:textId="54AF8618" w:rsidR="00F15B7D" w:rsidRDefault="00431D14" w:rsidP="00E925F8">
      <w:pPr>
        <w:pStyle w:val="ListParagraph"/>
        <w:numPr>
          <w:ilvl w:val="0"/>
          <w:numId w:val="14"/>
        </w:num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Security Policy</w:t>
      </w:r>
    </w:p>
    <w:p w14:paraId="6CB8341D" w14:textId="032E26E1" w:rsidR="00431D14" w:rsidRDefault="00431D14" w:rsidP="00E925F8">
      <w:pPr>
        <w:pStyle w:val="ListParagraph"/>
        <w:numPr>
          <w:ilvl w:val="0"/>
          <w:numId w:val="14"/>
        </w:num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Control of Contractors Policy</w:t>
      </w:r>
    </w:p>
    <w:p w14:paraId="0163BF99" w14:textId="257695A4" w:rsidR="00E925F8" w:rsidRPr="00431D14" w:rsidRDefault="00431D14" w:rsidP="00431D14">
      <w:pPr>
        <w:spacing w:before="100" w:beforeAutospacing="1" w:after="100" w:afterAutospacing="1"/>
        <w:rPr>
          <w:rFonts w:cs="Arial"/>
          <w:szCs w:val="24"/>
        </w:rPr>
      </w:pPr>
      <w:r>
        <w:rPr>
          <w:rFonts w:cs="Arial"/>
          <w:szCs w:val="24"/>
        </w:rPr>
        <w:tab/>
        <w:t xml:space="preserve">Both of these policies are shared with the Health and Safety Committee for approval </w:t>
      </w:r>
      <w:r>
        <w:rPr>
          <w:rFonts w:cs="Arial"/>
          <w:szCs w:val="24"/>
        </w:rPr>
        <w:tab/>
        <w:t>October 2024</w:t>
      </w:r>
      <w:r w:rsidR="00E925F8" w:rsidRPr="00431D14">
        <w:rPr>
          <w:rFonts w:cs="Arial"/>
          <w:szCs w:val="24"/>
        </w:rPr>
        <w:t>.</w:t>
      </w:r>
    </w:p>
    <w:p w14:paraId="46B9984C" w14:textId="0D1DA95E" w:rsidR="00E75AD6" w:rsidRDefault="00C967D6" w:rsidP="00E75AD6">
      <w:pPr>
        <w:spacing w:before="100" w:beforeAutospacing="1" w:after="100" w:afterAutospacing="1"/>
        <w:ind w:left="142"/>
        <w:rPr>
          <w:rFonts w:eastAsia="Calibri" w:cs="Arial"/>
          <w:b/>
          <w:spacing w:val="0"/>
          <w:szCs w:val="24"/>
          <w:lang w:eastAsia="en-GB"/>
        </w:rPr>
      </w:pPr>
      <w:r w:rsidRPr="009D41D6">
        <w:rPr>
          <w:rFonts w:eastAsia="Calibri" w:cs="Arial"/>
          <w:b/>
          <w:spacing w:val="0"/>
          <w:szCs w:val="24"/>
          <w:lang w:eastAsia="en-GB"/>
        </w:rPr>
        <w:t xml:space="preserve">2. </w:t>
      </w:r>
      <w:r w:rsidR="000B4423" w:rsidRPr="009D41D6">
        <w:rPr>
          <w:rFonts w:eastAsia="Calibri" w:cs="Arial"/>
          <w:b/>
          <w:spacing w:val="0"/>
          <w:szCs w:val="24"/>
          <w:lang w:eastAsia="en-GB"/>
        </w:rPr>
        <w:t>ONGOING OR EMERGING RISKS</w:t>
      </w:r>
    </w:p>
    <w:p w14:paraId="00C55E1C" w14:textId="6A72C0D6" w:rsidR="001D4870" w:rsidRPr="003C2A86" w:rsidRDefault="001D4870" w:rsidP="001956D2">
      <w:pPr>
        <w:rPr>
          <w:rFonts w:cs="Arial"/>
          <w:bCs/>
          <w:szCs w:val="24"/>
        </w:rPr>
      </w:pPr>
      <w:r w:rsidRPr="003C2A86">
        <w:rPr>
          <w:rFonts w:cs="Arial"/>
          <w:bCs/>
          <w:szCs w:val="24"/>
        </w:rPr>
        <w:t xml:space="preserve">The Risk Register has been reviewed to enable </w:t>
      </w:r>
      <w:r w:rsidR="005E0F21" w:rsidRPr="003C2A86">
        <w:rPr>
          <w:rFonts w:cs="Arial"/>
          <w:bCs/>
          <w:szCs w:val="24"/>
        </w:rPr>
        <w:t xml:space="preserve">the </w:t>
      </w:r>
      <w:r w:rsidRPr="003C2A86">
        <w:rPr>
          <w:rFonts w:cs="Arial"/>
          <w:bCs/>
          <w:szCs w:val="24"/>
        </w:rPr>
        <w:t xml:space="preserve">current risk register entries to transition onto </w:t>
      </w:r>
      <w:r w:rsidR="005E0F21" w:rsidRPr="003C2A86">
        <w:rPr>
          <w:rFonts w:cs="Arial"/>
          <w:bCs/>
          <w:szCs w:val="24"/>
        </w:rPr>
        <w:t xml:space="preserve">the </w:t>
      </w:r>
      <w:r w:rsidRPr="003C2A86">
        <w:rPr>
          <w:rFonts w:cs="Arial"/>
          <w:bCs/>
          <w:szCs w:val="24"/>
        </w:rPr>
        <w:t xml:space="preserve">new risk register platform which will be hosted within </w:t>
      </w:r>
      <w:proofErr w:type="spellStart"/>
      <w:r w:rsidRPr="003C2A86">
        <w:rPr>
          <w:rFonts w:cs="Arial"/>
          <w:bCs/>
          <w:szCs w:val="24"/>
        </w:rPr>
        <w:t>datix</w:t>
      </w:r>
      <w:proofErr w:type="spellEnd"/>
      <w:r w:rsidRPr="003C2A86">
        <w:rPr>
          <w:rFonts w:cs="Arial"/>
          <w:bCs/>
          <w:szCs w:val="24"/>
        </w:rPr>
        <w:t xml:space="preserve">. Reasonably foreseeable risks </w:t>
      </w:r>
      <w:r w:rsidR="005E0F21" w:rsidRPr="003C2A86">
        <w:rPr>
          <w:rFonts w:cs="Arial"/>
          <w:bCs/>
          <w:szCs w:val="24"/>
        </w:rPr>
        <w:t>have been</w:t>
      </w:r>
      <w:r w:rsidRPr="003C2A86">
        <w:rPr>
          <w:rFonts w:cs="Arial"/>
          <w:bCs/>
          <w:szCs w:val="24"/>
        </w:rPr>
        <w:t xml:space="preserve"> listed and scored individually with consideration of additional control measures and actions identified. This</w:t>
      </w:r>
      <w:r w:rsidR="005E0F21" w:rsidRPr="003C2A86">
        <w:rPr>
          <w:rFonts w:cs="Arial"/>
          <w:bCs/>
          <w:szCs w:val="24"/>
        </w:rPr>
        <w:t xml:space="preserve"> has led</w:t>
      </w:r>
      <w:r w:rsidRPr="003C2A86">
        <w:rPr>
          <w:rFonts w:cs="Arial"/>
          <w:bCs/>
          <w:szCs w:val="24"/>
        </w:rPr>
        <w:t xml:space="preserve"> to an impact score which </w:t>
      </w:r>
      <w:r w:rsidR="005E0F21" w:rsidRPr="003C2A86">
        <w:rPr>
          <w:rFonts w:cs="Arial"/>
          <w:bCs/>
          <w:szCs w:val="24"/>
        </w:rPr>
        <w:t>will allow</w:t>
      </w:r>
      <w:r w:rsidRPr="003C2A86">
        <w:rPr>
          <w:rFonts w:cs="Arial"/>
          <w:bCs/>
          <w:szCs w:val="24"/>
        </w:rPr>
        <w:t xml:space="preserve"> focused actions based on</w:t>
      </w:r>
      <w:r w:rsidR="005E0F21" w:rsidRPr="003C2A86">
        <w:rPr>
          <w:rFonts w:cs="Arial"/>
          <w:bCs/>
          <w:szCs w:val="24"/>
        </w:rPr>
        <w:t xml:space="preserve"> the</w:t>
      </w:r>
      <w:r w:rsidRPr="003C2A86">
        <w:rPr>
          <w:rFonts w:cs="Arial"/>
          <w:bCs/>
          <w:szCs w:val="24"/>
        </w:rPr>
        <w:t xml:space="preserve"> highest area of risk. The number of risks from the previous reporting period has therefore </w:t>
      </w:r>
      <w:r w:rsidR="00DF7AC6">
        <w:rPr>
          <w:rFonts w:cs="Arial"/>
          <w:bCs/>
          <w:szCs w:val="24"/>
        </w:rPr>
        <w:t>condensed</w:t>
      </w:r>
      <w:r w:rsidRPr="003C2A86">
        <w:rPr>
          <w:rFonts w:cs="Arial"/>
          <w:bCs/>
          <w:szCs w:val="24"/>
        </w:rPr>
        <w:t xml:space="preserve"> from 21 to 10.</w:t>
      </w:r>
      <w:r w:rsidR="00E770CB" w:rsidRPr="003C2A86">
        <w:rPr>
          <w:rFonts w:cs="Arial"/>
          <w:bCs/>
          <w:szCs w:val="24"/>
        </w:rPr>
        <w:t xml:space="preserve"> The current 10 are listed below.</w:t>
      </w:r>
    </w:p>
    <w:p w14:paraId="7D0E0DB2" w14:textId="77777777" w:rsidR="0048179C" w:rsidRDefault="0048179C" w:rsidP="001D4870">
      <w:pPr>
        <w:spacing w:line="360" w:lineRule="auto"/>
        <w:rPr>
          <w:rFonts w:cs="Arial"/>
          <w:bCs/>
          <w:color w:val="FF0000"/>
          <w:szCs w:val="24"/>
        </w:rPr>
      </w:pPr>
    </w:p>
    <w:tbl>
      <w:tblPr>
        <w:tblStyle w:val="TableGrid"/>
        <w:tblW w:w="0" w:type="auto"/>
        <w:tblLook w:val="04A0" w:firstRow="1" w:lastRow="0" w:firstColumn="1" w:lastColumn="0" w:noHBand="0" w:noVBand="1"/>
      </w:tblPr>
      <w:tblGrid>
        <w:gridCol w:w="1271"/>
        <w:gridCol w:w="7371"/>
      </w:tblGrid>
      <w:tr w:rsidR="00E770CB" w14:paraId="096F5746" w14:textId="77777777" w:rsidTr="0048179C">
        <w:tc>
          <w:tcPr>
            <w:tcW w:w="1271" w:type="dxa"/>
          </w:tcPr>
          <w:p w14:paraId="18AA558D" w14:textId="0980FDAF" w:rsidR="00E770CB" w:rsidRDefault="00E770CB" w:rsidP="001D4870">
            <w:pPr>
              <w:spacing w:line="360" w:lineRule="auto"/>
              <w:rPr>
                <w:rFonts w:cs="Arial"/>
                <w:bCs/>
                <w:szCs w:val="24"/>
              </w:rPr>
            </w:pPr>
            <w:r>
              <w:rPr>
                <w:rFonts w:cs="Arial"/>
                <w:bCs/>
                <w:szCs w:val="24"/>
              </w:rPr>
              <w:t>Risk ID</w:t>
            </w:r>
          </w:p>
        </w:tc>
        <w:tc>
          <w:tcPr>
            <w:tcW w:w="7371" w:type="dxa"/>
          </w:tcPr>
          <w:p w14:paraId="59A0D099" w14:textId="7A9F058E" w:rsidR="00E770CB" w:rsidRDefault="00E770CB" w:rsidP="001D4870">
            <w:pPr>
              <w:spacing w:line="360" w:lineRule="auto"/>
              <w:rPr>
                <w:rFonts w:cs="Arial"/>
                <w:bCs/>
                <w:szCs w:val="24"/>
              </w:rPr>
            </w:pPr>
            <w:r>
              <w:rPr>
                <w:rFonts w:cs="Arial"/>
                <w:bCs/>
                <w:szCs w:val="24"/>
              </w:rPr>
              <w:t>Risk Title</w:t>
            </w:r>
          </w:p>
        </w:tc>
      </w:tr>
      <w:tr w:rsidR="00E770CB" w14:paraId="1911B04F" w14:textId="77777777" w:rsidTr="0048179C">
        <w:tc>
          <w:tcPr>
            <w:tcW w:w="1271" w:type="dxa"/>
          </w:tcPr>
          <w:p w14:paraId="0F73DC2B" w14:textId="22DE4DF7" w:rsidR="00E770CB" w:rsidRDefault="00E770CB" w:rsidP="001D4870">
            <w:pPr>
              <w:spacing w:line="360" w:lineRule="auto"/>
              <w:rPr>
                <w:rFonts w:cs="Arial"/>
                <w:bCs/>
                <w:szCs w:val="24"/>
              </w:rPr>
            </w:pPr>
            <w:r>
              <w:rPr>
                <w:rFonts w:cs="Arial"/>
                <w:bCs/>
                <w:szCs w:val="24"/>
              </w:rPr>
              <w:t>HS1</w:t>
            </w:r>
          </w:p>
        </w:tc>
        <w:tc>
          <w:tcPr>
            <w:tcW w:w="7371" w:type="dxa"/>
          </w:tcPr>
          <w:p w14:paraId="6AD218E3" w14:textId="76D623E3" w:rsidR="00E770CB" w:rsidRDefault="00E770CB" w:rsidP="001D4870">
            <w:pPr>
              <w:spacing w:line="360" w:lineRule="auto"/>
              <w:rPr>
                <w:rFonts w:cs="Arial"/>
                <w:bCs/>
                <w:szCs w:val="24"/>
              </w:rPr>
            </w:pPr>
            <w:r>
              <w:rPr>
                <w:rFonts w:cs="Arial"/>
                <w:bCs/>
                <w:szCs w:val="24"/>
              </w:rPr>
              <w:t>Violence and Aggression</w:t>
            </w:r>
          </w:p>
        </w:tc>
      </w:tr>
      <w:tr w:rsidR="00E770CB" w14:paraId="7039A543" w14:textId="77777777" w:rsidTr="0048179C">
        <w:tc>
          <w:tcPr>
            <w:tcW w:w="1271" w:type="dxa"/>
          </w:tcPr>
          <w:p w14:paraId="56A57348" w14:textId="589B6F4E" w:rsidR="00E770CB" w:rsidRDefault="00E770CB" w:rsidP="001D4870">
            <w:pPr>
              <w:spacing w:line="360" w:lineRule="auto"/>
              <w:rPr>
                <w:rFonts w:cs="Arial"/>
                <w:bCs/>
                <w:szCs w:val="24"/>
              </w:rPr>
            </w:pPr>
            <w:r>
              <w:rPr>
                <w:rFonts w:cs="Arial"/>
                <w:bCs/>
                <w:szCs w:val="24"/>
              </w:rPr>
              <w:t>HS2</w:t>
            </w:r>
          </w:p>
        </w:tc>
        <w:tc>
          <w:tcPr>
            <w:tcW w:w="7371" w:type="dxa"/>
          </w:tcPr>
          <w:p w14:paraId="24446DEB" w14:textId="1F8791F7" w:rsidR="00E770CB" w:rsidRDefault="00E770CB" w:rsidP="001D4870">
            <w:pPr>
              <w:spacing w:line="360" w:lineRule="auto"/>
              <w:rPr>
                <w:rFonts w:cs="Arial"/>
                <w:bCs/>
                <w:szCs w:val="24"/>
              </w:rPr>
            </w:pPr>
            <w:r>
              <w:rPr>
                <w:rFonts w:cs="Arial"/>
                <w:bCs/>
                <w:szCs w:val="24"/>
              </w:rPr>
              <w:t>Fire Safety</w:t>
            </w:r>
          </w:p>
        </w:tc>
      </w:tr>
      <w:tr w:rsidR="00E770CB" w14:paraId="0D1D115A" w14:textId="77777777" w:rsidTr="0048179C">
        <w:tc>
          <w:tcPr>
            <w:tcW w:w="1271" w:type="dxa"/>
          </w:tcPr>
          <w:p w14:paraId="6E85F3D2" w14:textId="7C57B468" w:rsidR="00E770CB" w:rsidRDefault="00E770CB" w:rsidP="001D4870">
            <w:pPr>
              <w:spacing w:line="360" w:lineRule="auto"/>
              <w:rPr>
                <w:rFonts w:cs="Arial"/>
                <w:bCs/>
                <w:szCs w:val="24"/>
              </w:rPr>
            </w:pPr>
            <w:r>
              <w:rPr>
                <w:rFonts w:cs="Arial"/>
                <w:bCs/>
                <w:szCs w:val="24"/>
              </w:rPr>
              <w:t>HS3</w:t>
            </w:r>
          </w:p>
        </w:tc>
        <w:tc>
          <w:tcPr>
            <w:tcW w:w="7371" w:type="dxa"/>
          </w:tcPr>
          <w:p w14:paraId="23E7C27E" w14:textId="2262A40D" w:rsidR="00E770CB" w:rsidRDefault="00E770CB" w:rsidP="001D4870">
            <w:pPr>
              <w:spacing w:line="360" w:lineRule="auto"/>
              <w:rPr>
                <w:rFonts w:cs="Arial"/>
                <w:bCs/>
                <w:szCs w:val="24"/>
              </w:rPr>
            </w:pPr>
            <w:r>
              <w:rPr>
                <w:rFonts w:cs="Arial"/>
                <w:bCs/>
                <w:szCs w:val="24"/>
              </w:rPr>
              <w:t>Lift Entrapment</w:t>
            </w:r>
          </w:p>
        </w:tc>
      </w:tr>
      <w:tr w:rsidR="00E770CB" w14:paraId="39C14D87" w14:textId="77777777" w:rsidTr="0048179C">
        <w:tc>
          <w:tcPr>
            <w:tcW w:w="1271" w:type="dxa"/>
          </w:tcPr>
          <w:p w14:paraId="2F2F584D" w14:textId="03D68DFF" w:rsidR="00E770CB" w:rsidRDefault="00E770CB" w:rsidP="001D4870">
            <w:pPr>
              <w:spacing w:line="360" w:lineRule="auto"/>
              <w:rPr>
                <w:rFonts w:cs="Arial"/>
                <w:bCs/>
                <w:szCs w:val="24"/>
              </w:rPr>
            </w:pPr>
            <w:r>
              <w:rPr>
                <w:rFonts w:cs="Arial"/>
                <w:bCs/>
                <w:szCs w:val="24"/>
              </w:rPr>
              <w:t>HS4</w:t>
            </w:r>
          </w:p>
        </w:tc>
        <w:tc>
          <w:tcPr>
            <w:tcW w:w="7371" w:type="dxa"/>
          </w:tcPr>
          <w:p w14:paraId="465B5B10" w14:textId="335F1F85" w:rsidR="00E770CB" w:rsidRDefault="00E770CB" w:rsidP="00E770CB">
            <w:pPr>
              <w:spacing w:line="360" w:lineRule="auto"/>
              <w:rPr>
                <w:rFonts w:cs="Arial"/>
                <w:bCs/>
                <w:szCs w:val="24"/>
              </w:rPr>
            </w:pPr>
            <w:r>
              <w:rPr>
                <w:rFonts w:cs="Arial"/>
                <w:bCs/>
                <w:szCs w:val="24"/>
              </w:rPr>
              <w:t>Infrastructure of Site</w:t>
            </w:r>
          </w:p>
        </w:tc>
      </w:tr>
      <w:tr w:rsidR="00E770CB" w14:paraId="729289D1" w14:textId="77777777" w:rsidTr="0048179C">
        <w:tc>
          <w:tcPr>
            <w:tcW w:w="1271" w:type="dxa"/>
          </w:tcPr>
          <w:p w14:paraId="47C81048" w14:textId="269C3246" w:rsidR="00E770CB" w:rsidRDefault="00E770CB" w:rsidP="001D4870">
            <w:pPr>
              <w:spacing w:line="360" w:lineRule="auto"/>
              <w:rPr>
                <w:rFonts w:cs="Arial"/>
                <w:bCs/>
                <w:szCs w:val="24"/>
              </w:rPr>
            </w:pPr>
            <w:r>
              <w:rPr>
                <w:rFonts w:cs="Arial"/>
                <w:bCs/>
                <w:szCs w:val="24"/>
              </w:rPr>
              <w:t>HS5</w:t>
            </w:r>
          </w:p>
        </w:tc>
        <w:tc>
          <w:tcPr>
            <w:tcW w:w="7371" w:type="dxa"/>
          </w:tcPr>
          <w:p w14:paraId="612564A2" w14:textId="5B077CB7" w:rsidR="00E770CB" w:rsidRDefault="00E770CB" w:rsidP="001D4870">
            <w:pPr>
              <w:spacing w:line="360" w:lineRule="auto"/>
              <w:rPr>
                <w:rFonts w:cs="Arial"/>
                <w:bCs/>
                <w:szCs w:val="24"/>
              </w:rPr>
            </w:pPr>
            <w:r>
              <w:rPr>
                <w:rFonts w:cs="Arial"/>
                <w:bCs/>
                <w:szCs w:val="24"/>
              </w:rPr>
              <w:t>Out of Hours Resilience</w:t>
            </w:r>
          </w:p>
        </w:tc>
      </w:tr>
      <w:tr w:rsidR="00E770CB" w14:paraId="1A272451" w14:textId="77777777" w:rsidTr="0048179C">
        <w:tc>
          <w:tcPr>
            <w:tcW w:w="1271" w:type="dxa"/>
          </w:tcPr>
          <w:p w14:paraId="7ABE1780" w14:textId="47989F3C" w:rsidR="00E770CB" w:rsidRDefault="00E770CB" w:rsidP="001D4870">
            <w:pPr>
              <w:spacing w:line="360" w:lineRule="auto"/>
              <w:rPr>
                <w:rFonts w:cs="Arial"/>
                <w:bCs/>
                <w:szCs w:val="24"/>
              </w:rPr>
            </w:pPr>
            <w:r>
              <w:rPr>
                <w:rFonts w:cs="Arial"/>
                <w:bCs/>
                <w:szCs w:val="24"/>
              </w:rPr>
              <w:t>HS6</w:t>
            </w:r>
          </w:p>
        </w:tc>
        <w:tc>
          <w:tcPr>
            <w:tcW w:w="7371" w:type="dxa"/>
          </w:tcPr>
          <w:p w14:paraId="69987E03" w14:textId="542391FE" w:rsidR="00E770CB" w:rsidRDefault="00E770CB" w:rsidP="001D4870">
            <w:pPr>
              <w:spacing w:line="360" w:lineRule="auto"/>
              <w:rPr>
                <w:rFonts w:cs="Arial"/>
                <w:bCs/>
                <w:szCs w:val="24"/>
              </w:rPr>
            </w:pPr>
            <w:r>
              <w:rPr>
                <w:rFonts w:cs="Arial"/>
                <w:bCs/>
                <w:szCs w:val="24"/>
              </w:rPr>
              <w:t>On site Traffic Management  - Emergency Vehicles</w:t>
            </w:r>
          </w:p>
        </w:tc>
      </w:tr>
      <w:tr w:rsidR="00E770CB" w14:paraId="1F0D394B" w14:textId="77777777" w:rsidTr="0048179C">
        <w:tc>
          <w:tcPr>
            <w:tcW w:w="1271" w:type="dxa"/>
          </w:tcPr>
          <w:p w14:paraId="6AA8E820" w14:textId="6E4F228B" w:rsidR="00E770CB" w:rsidRDefault="00E770CB" w:rsidP="001D4870">
            <w:pPr>
              <w:spacing w:line="360" w:lineRule="auto"/>
              <w:rPr>
                <w:rFonts w:cs="Arial"/>
                <w:bCs/>
                <w:szCs w:val="24"/>
              </w:rPr>
            </w:pPr>
            <w:r>
              <w:rPr>
                <w:rFonts w:cs="Arial"/>
                <w:bCs/>
                <w:szCs w:val="24"/>
              </w:rPr>
              <w:t>HS7</w:t>
            </w:r>
          </w:p>
        </w:tc>
        <w:tc>
          <w:tcPr>
            <w:tcW w:w="7371" w:type="dxa"/>
          </w:tcPr>
          <w:p w14:paraId="6CDE165F" w14:textId="7341C052" w:rsidR="00E770CB" w:rsidRDefault="00E770CB" w:rsidP="001D4870">
            <w:pPr>
              <w:spacing w:line="360" w:lineRule="auto"/>
              <w:rPr>
                <w:rFonts w:cs="Arial"/>
                <w:bCs/>
                <w:szCs w:val="24"/>
              </w:rPr>
            </w:pPr>
            <w:r>
              <w:rPr>
                <w:rFonts w:cs="Arial"/>
                <w:bCs/>
                <w:szCs w:val="24"/>
              </w:rPr>
              <w:t>On site Traffic Management – Slips, trips, falls</w:t>
            </w:r>
          </w:p>
        </w:tc>
      </w:tr>
      <w:tr w:rsidR="00E770CB" w14:paraId="01796553" w14:textId="77777777" w:rsidTr="0048179C">
        <w:tc>
          <w:tcPr>
            <w:tcW w:w="1271" w:type="dxa"/>
          </w:tcPr>
          <w:p w14:paraId="595BB29C" w14:textId="2D3B1D45" w:rsidR="00E770CB" w:rsidRDefault="00E770CB" w:rsidP="001D4870">
            <w:pPr>
              <w:spacing w:line="360" w:lineRule="auto"/>
              <w:rPr>
                <w:rFonts w:cs="Arial"/>
                <w:bCs/>
                <w:szCs w:val="24"/>
              </w:rPr>
            </w:pPr>
            <w:r>
              <w:rPr>
                <w:rFonts w:cs="Arial"/>
                <w:bCs/>
                <w:szCs w:val="24"/>
              </w:rPr>
              <w:lastRenderedPageBreak/>
              <w:t>HS8</w:t>
            </w:r>
          </w:p>
        </w:tc>
        <w:tc>
          <w:tcPr>
            <w:tcW w:w="7371" w:type="dxa"/>
          </w:tcPr>
          <w:p w14:paraId="2DDFE5A3" w14:textId="12962A98" w:rsidR="00E770CB" w:rsidRDefault="00E770CB" w:rsidP="001D4870">
            <w:pPr>
              <w:spacing w:line="360" w:lineRule="auto"/>
              <w:rPr>
                <w:rFonts w:cs="Arial"/>
                <w:bCs/>
                <w:szCs w:val="24"/>
              </w:rPr>
            </w:pPr>
            <w:r>
              <w:rPr>
                <w:rFonts w:cs="Arial"/>
                <w:bCs/>
                <w:szCs w:val="24"/>
              </w:rPr>
              <w:t>Building Fabric – engineering failures</w:t>
            </w:r>
          </w:p>
        </w:tc>
      </w:tr>
      <w:tr w:rsidR="00E770CB" w14:paraId="265B3CAF" w14:textId="77777777" w:rsidTr="0048179C">
        <w:tc>
          <w:tcPr>
            <w:tcW w:w="1271" w:type="dxa"/>
          </w:tcPr>
          <w:p w14:paraId="2930E317" w14:textId="4487415B" w:rsidR="00E770CB" w:rsidRDefault="00E770CB" w:rsidP="001D4870">
            <w:pPr>
              <w:spacing w:line="360" w:lineRule="auto"/>
              <w:rPr>
                <w:rFonts w:cs="Arial"/>
                <w:bCs/>
                <w:szCs w:val="24"/>
              </w:rPr>
            </w:pPr>
            <w:r>
              <w:rPr>
                <w:rFonts w:cs="Arial"/>
                <w:bCs/>
                <w:szCs w:val="24"/>
              </w:rPr>
              <w:t>HS9</w:t>
            </w:r>
          </w:p>
        </w:tc>
        <w:tc>
          <w:tcPr>
            <w:tcW w:w="7371" w:type="dxa"/>
          </w:tcPr>
          <w:p w14:paraId="5384BD33" w14:textId="61F3214C" w:rsidR="00E770CB" w:rsidRDefault="00E770CB" w:rsidP="001D4870">
            <w:pPr>
              <w:spacing w:line="360" w:lineRule="auto"/>
              <w:rPr>
                <w:rFonts w:cs="Arial"/>
                <w:bCs/>
                <w:szCs w:val="24"/>
              </w:rPr>
            </w:pPr>
            <w:r>
              <w:rPr>
                <w:rFonts w:cs="Arial"/>
                <w:bCs/>
                <w:szCs w:val="24"/>
              </w:rPr>
              <w:t>Ability to respond to issues</w:t>
            </w:r>
          </w:p>
        </w:tc>
      </w:tr>
      <w:tr w:rsidR="00E770CB" w14:paraId="5A5C5D2D" w14:textId="77777777" w:rsidTr="0048179C">
        <w:tc>
          <w:tcPr>
            <w:tcW w:w="1271" w:type="dxa"/>
          </w:tcPr>
          <w:p w14:paraId="1533DDFE" w14:textId="4E44732D" w:rsidR="00E770CB" w:rsidRDefault="00E770CB" w:rsidP="001D4870">
            <w:pPr>
              <w:spacing w:line="360" w:lineRule="auto"/>
              <w:rPr>
                <w:rFonts w:cs="Arial"/>
                <w:bCs/>
                <w:szCs w:val="24"/>
              </w:rPr>
            </w:pPr>
            <w:r>
              <w:rPr>
                <w:rFonts w:cs="Arial"/>
                <w:bCs/>
                <w:szCs w:val="24"/>
              </w:rPr>
              <w:t>HS10</w:t>
            </w:r>
          </w:p>
        </w:tc>
        <w:tc>
          <w:tcPr>
            <w:tcW w:w="7371" w:type="dxa"/>
          </w:tcPr>
          <w:p w14:paraId="01D819A4" w14:textId="7AF38956" w:rsidR="00E770CB" w:rsidRDefault="00E770CB" w:rsidP="001D4870">
            <w:pPr>
              <w:spacing w:line="360" w:lineRule="auto"/>
              <w:rPr>
                <w:rFonts w:cs="Arial"/>
                <w:bCs/>
                <w:szCs w:val="24"/>
              </w:rPr>
            </w:pPr>
            <w:r>
              <w:rPr>
                <w:rFonts w:cs="Arial"/>
                <w:bCs/>
                <w:szCs w:val="24"/>
              </w:rPr>
              <w:t>Limited Manual Handling Service Provision</w:t>
            </w:r>
          </w:p>
        </w:tc>
      </w:tr>
    </w:tbl>
    <w:p w14:paraId="75B65A8E" w14:textId="5E7DA3DE" w:rsidR="005E0F21" w:rsidRDefault="005E0F21" w:rsidP="001D4870">
      <w:pPr>
        <w:spacing w:line="360" w:lineRule="auto"/>
        <w:rPr>
          <w:rFonts w:cs="Arial"/>
          <w:bCs/>
          <w:szCs w:val="24"/>
        </w:rPr>
      </w:pPr>
    </w:p>
    <w:p w14:paraId="150475EF" w14:textId="78A2D19D" w:rsidR="003C2A86" w:rsidRPr="001D4870" w:rsidRDefault="003C2A86" w:rsidP="001D4870">
      <w:pPr>
        <w:spacing w:line="360" w:lineRule="auto"/>
        <w:rPr>
          <w:rFonts w:cs="Arial"/>
          <w:bCs/>
          <w:szCs w:val="24"/>
        </w:rPr>
      </w:pPr>
      <w:r>
        <w:rPr>
          <w:rFonts w:cs="Arial"/>
          <w:bCs/>
          <w:szCs w:val="24"/>
        </w:rPr>
        <w:t>Risk grading tool:</w:t>
      </w:r>
    </w:p>
    <w:p w14:paraId="2AAE905F" w14:textId="3F022418" w:rsidR="003C2A86" w:rsidRPr="003C2A86" w:rsidRDefault="003C2A86" w:rsidP="003C2A86">
      <w:pPr>
        <w:spacing w:before="100" w:beforeAutospacing="1" w:after="100" w:afterAutospacing="1"/>
        <w:ind w:left="142"/>
        <w:rPr>
          <w:rFonts w:eastAsia="Calibri" w:cs="Arial"/>
          <w:b/>
          <w:spacing w:val="0"/>
          <w:szCs w:val="24"/>
          <w:lang w:eastAsia="en-GB"/>
        </w:rPr>
      </w:pPr>
      <w:r>
        <w:rPr>
          <w:noProof/>
          <w:lang w:eastAsia="en-GB"/>
        </w:rPr>
        <w:drawing>
          <wp:inline distT="0" distB="0" distL="0" distR="0" wp14:anchorId="09D2BCB3" wp14:editId="7A6E8758">
            <wp:extent cx="6390640" cy="31362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90640" cy="3136265"/>
                    </a:xfrm>
                    <a:prstGeom prst="rect">
                      <a:avLst/>
                    </a:prstGeom>
                  </pic:spPr>
                </pic:pic>
              </a:graphicData>
            </a:graphic>
          </wp:inline>
        </w:drawing>
      </w:r>
    </w:p>
    <w:p w14:paraId="7D288A9F" w14:textId="72ED377C" w:rsidR="003C2A86" w:rsidRDefault="003C2A86" w:rsidP="00E2168C">
      <w:pPr>
        <w:spacing w:before="100" w:beforeAutospacing="1" w:after="100" w:afterAutospacing="1"/>
        <w:rPr>
          <w:rFonts w:cs="Arial"/>
          <w:szCs w:val="24"/>
        </w:rPr>
      </w:pPr>
      <w:r w:rsidRPr="003C2A86">
        <w:rPr>
          <w:rFonts w:cs="Arial"/>
          <w:szCs w:val="24"/>
        </w:rPr>
        <w:t xml:space="preserve">The above 10 risks will be housed within new </w:t>
      </w:r>
      <w:proofErr w:type="spellStart"/>
      <w:r w:rsidRPr="003C2A86">
        <w:rPr>
          <w:rFonts w:cs="Arial"/>
          <w:szCs w:val="24"/>
        </w:rPr>
        <w:t>datix</w:t>
      </w:r>
      <w:proofErr w:type="spellEnd"/>
      <w:r w:rsidRPr="003C2A86">
        <w:rPr>
          <w:rFonts w:cs="Arial"/>
          <w:szCs w:val="24"/>
        </w:rPr>
        <w:t xml:space="preserve"> system and </w:t>
      </w:r>
      <w:r w:rsidR="00DF7AC6">
        <w:rPr>
          <w:rFonts w:cs="Arial"/>
          <w:szCs w:val="24"/>
        </w:rPr>
        <w:t xml:space="preserve">anticipate that this </w:t>
      </w:r>
      <w:r w:rsidRPr="003C2A86">
        <w:rPr>
          <w:rFonts w:cs="Arial"/>
          <w:szCs w:val="24"/>
        </w:rPr>
        <w:t>will be presented at next Health and Safety Committee February 2025.</w:t>
      </w:r>
    </w:p>
    <w:p w14:paraId="117696EC" w14:textId="2E42EA2F" w:rsidR="004970BE" w:rsidRPr="004970BE" w:rsidRDefault="004970BE" w:rsidP="00E2168C">
      <w:pPr>
        <w:spacing w:before="100" w:beforeAutospacing="1" w:after="100" w:afterAutospacing="1"/>
        <w:rPr>
          <w:rFonts w:cs="Arial"/>
          <w:b/>
          <w:szCs w:val="24"/>
        </w:rPr>
      </w:pPr>
      <w:r w:rsidRPr="004970BE">
        <w:rPr>
          <w:rFonts w:cs="Arial"/>
          <w:b/>
          <w:szCs w:val="24"/>
        </w:rPr>
        <w:t>2.1 SAFETY ACTION NOTICE</w:t>
      </w:r>
    </w:p>
    <w:p w14:paraId="7AC998B6" w14:textId="77777777" w:rsidR="004970BE" w:rsidRPr="004970BE" w:rsidRDefault="004970BE" w:rsidP="004970BE">
      <w:pPr>
        <w:rPr>
          <w:rFonts w:cs="Arial"/>
          <w:szCs w:val="24"/>
        </w:rPr>
      </w:pPr>
      <w:r w:rsidRPr="004970BE">
        <w:rPr>
          <w:rFonts w:cs="Arial"/>
          <w:szCs w:val="24"/>
        </w:rPr>
        <w:t>The Board has received Safety Action Notice (SAN) 2404 from NHSS Assure (issued 13 September 2024).  The SAN explains that Bristow UK SAR (Search and Rescue) air operator has withdrawn services/operations at NHS Golden Jubilee HHLS (and 22 other HHLS sites across the UK) as they are not currently assured that appropriate safeguarding is in place and in compliance with CAP1264 (latest version issued by the UK Civil Aviation Authority (CAA) April 2024).</w:t>
      </w:r>
    </w:p>
    <w:p w14:paraId="22F46825" w14:textId="77777777" w:rsidR="004970BE" w:rsidRPr="004970BE" w:rsidRDefault="004970BE" w:rsidP="004970BE">
      <w:pPr>
        <w:rPr>
          <w:rFonts w:cs="Arial"/>
          <w:szCs w:val="24"/>
        </w:rPr>
      </w:pPr>
    </w:p>
    <w:p w14:paraId="581ED408" w14:textId="003D5911" w:rsidR="004970BE" w:rsidRDefault="004970BE" w:rsidP="004970BE">
      <w:pPr>
        <w:rPr>
          <w:rFonts w:cs="Arial"/>
          <w:szCs w:val="24"/>
        </w:rPr>
      </w:pPr>
      <w:r w:rsidRPr="004970BE">
        <w:rPr>
          <w:rFonts w:cs="Arial"/>
          <w:szCs w:val="24"/>
        </w:rPr>
        <w:t>As such, an overhaul of existing NHS GJ helipad management procedures is needed to satisfy the requirements of the updated guidance and requires endorsement by the Chief Executive to allow the HHLS at NHS GJ to be reopened for UK SAR.</w:t>
      </w:r>
    </w:p>
    <w:p w14:paraId="4C8E8B6F" w14:textId="37DD8906" w:rsidR="004970BE" w:rsidRDefault="004970BE" w:rsidP="004970BE">
      <w:pPr>
        <w:rPr>
          <w:rFonts w:cs="Arial"/>
          <w:szCs w:val="24"/>
        </w:rPr>
      </w:pPr>
    </w:p>
    <w:p w14:paraId="48DE7E93" w14:textId="6E1B0545" w:rsidR="004970BE" w:rsidRPr="003C2A86" w:rsidRDefault="004970BE" w:rsidP="004970BE">
      <w:pPr>
        <w:rPr>
          <w:rFonts w:cs="Arial"/>
          <w:szCs w:val="24"/>
        </w:rPr>
      </w:pPr>
      <w:r>
        <w:rPr>
          <w:rFonts w:cs="Arial"/>
          <w:szCs w:val="24"/>
        </w:rPr>
        <w:t>An SBAR is being developed for presentation via the appropriate governance routes in order to identify short and long term proposals to meet the requirements of the SAN.</w:t>
      </w:r>
    </w:p>
    <w:p w14:paraId="0B6E59C5" w14:textId="4428FDAF" w:rsidR="000B4423" w:rsidRPr="00C86A75" w:rsidRDefault="003C2A86" w:rsidP="00E2168C">
      <w:pPr>
        <w:spacing w:before="100" w:beforeAutospacing="1" w:after="100" w:afterAutospacing="1"/>
        <w:rPr>
          <w:rFonts w:cs="Arial"/>
          <w:b/>
          <w:szCs w:val="24"/>
        </w:rPr>
      </w:pPr>
      <w:r>
        <w:rPr>
          <w:rFonts w:cs="Arial"/>
          <w:b/>
          <w:szCs w:val="24"/>
        </w:rPr>
        <w:t xml:space="preserve">3. </w:t>
      </w:r>
      <w:r w:rsidR="000B4423" w:rsidRPr="00C86A75">
        <w:rPr>
          <w:rFonts w:cs="Arial"/>
          <w:b/>
          <w:szCs w:val="24"/>
        </w:rPr>
        <w:t>ADVERSE EVENT REPORTING</w:t>
      </w:r>
    </w:p>
    <w:p w14:paraId="6E2D3D7F" w14:textId="76F0AE9C" w:rsidR="00C86A75" w:rsidRPr="00B5130B" w:rsidRDefault="00B5130B" w:rsidP="00B5130B">
      <w:pPr>
        <w:spacing w:line="360" w:lineRule="auto"/>
        <w:contextualSpacing/>
        <w:rPr>
          <w:rFonts w:cs="Arial"/>
          <w:szCs w:val="24"/>
        </w:rPr>
      </w:pPr>
      <w:r>
        <w:rPr>
          <w:rFonts w:cs="Arial"/>
          <w:szCs w:val="24"/>
        </w:rPr>
        <w:t>3.1</w:t>
      </w:r>
      <w:r w:rsidR="00C25630">
        <w:rPr>
          <w:rFonts w:cs="Arial"/>
          <w:szCs w:val="24"/>
        </w:rPr>
        <w:t xml:space="preserve"> </w:t>
      </w:r>
      <w:r w:rsidR="00373C97">
        <w:rPr>
          <w:rFonts w:cs="Arial"/>
          <w:szCs w:val="24"/>
        </w:rPr>
        <w:t>RIDDOR</w:t>
      </w:r>
    </w:p>
    <w:p w14:paraId="23A8B696" w14:textId="2DF53175" w:rsidR="00981126" w:rsidRPr="001C1ABD" w:rsidRDefault="00C86A75" w:rsidP="001956D2">
      <w:pPr>
        <w:contextualSpacing/>
        <w:rPr>
          <w:rFonts w:cs="Arial"/>
          <w:szCs w:val="24"/>
        </w:rPr>
      </w:pPr>
      <w:r w:rsidRPr="001C1ABD">
        <w:rPr>
          <w:rFonts w:cs="Arial"/>
          <w:szCs w:val="24"/>
        </w:rPr>
        <w:t xml:space="preserve">The Reporting of Injuries, Diseases and Dangerous Occurrences Regulations (RIDDOR) require the reporting of specified work related accidents, diseases and dangerous occurrences to the </w:t>
      </w:r>
      <w:r w:rsidRPr="001C1ABD">
        <w:rPr>
          <w:rFonts w:cs="Arial"/>
          <w:szCs w:val="24"/>
        </w:rPr>
        <w:lastRenderedPageBreak/>
        <w:t>Health and Safety Executive (HSE).</w:t>
      </w:r>
      <w:r w:rsidR="00C25630">
        <w:rPr>
          <w:rFonts w:cs="Arial"/>
          <w:szCs w:val="24"/>
        </w:rPr>
        <w:t xml:space="preserve"> </w:t>
      </w:r>
      <w:r w:rsidRPr="001C1ABD">
        <w:rPr>
          <w:rFonts w:cs="Arial"/>
          <w:szCs w:val="24"/>
        </w:rPr>
        <w:t xml:space="preserve">In </w:t>
      </w:r>
      <w:r w:rsidR="00DD51CF" w:rsidRPr="001C1ABD">
        <w:rPr>
          <w:rFonts w:cs="Arial"/>
          <w:szCs w:val="24"/>
        </w:rPr>
        <w:t>this reporting period there has been</w:t>
      </w:r>
      <w:r w:rsidRPr="001C1ABD">
        <w:rPr>
          <w:rFonts w:cs="Arial"/>
          <w:szCs w:val="24"/>
        </w:rPr>
        <w:t xml:space="preserve"> </w:t>
      </w:r>
      <w:r w:rsidR="00653169">
        <w:rPr>
          <w:rFonts w:cs="Arial"/>
          <w:szCs w:val="24"/>
        </w:rPr>
        <w:t>no</w:t>
      </w:r>
      <w:r w:rsidR="00DD51CF" w:rsidRPr="001C1ABD">
        <w:rPr>
          <w:rFonts w:cs="Arial"/>
          <w:szCs w:val="24"/>
        </w:rPr>
        <w:t xml:space="preserve"> reportable incident</w:t>
      </w:r>
      <w:r w:rsidR="00653169">
        <w:rPr>
          <w:rFonts w:cs="Arial"/>
          <w:szCs w:val="24"/>
        </w:rPr>
        <w:t>s</w:t>
      </w:r>
      <w:r w:rsidRPr="001C1ABD">
        <w:rPr>
          <w:rFonts w:cs="Arial"/>
          <w:szCs w:val="24"/>
        </w:rPr>
        <w:t xml:space="preserve"> to HSE</w:t>
      </w:r>
      <w:r w:rsidR="00653169">
        <w:rPr>
          <w:rFonts w:cs="Arial"/>
          <w:szCs w:val="24"/>
        </w:rPr>
        <w:t>.</w:t>
      </w:r>
    </w:p>
    <w:p w14:paraId="79E268DC" w14:textId="77777777" w:rsidR="00C86A75" w:rsidRPr="00C86A75" w:rsidRDefault="00C86A75" w:rsidP="001956D2">
      <w:pPr>
        <w:pStyle w:val="ListParagraph"/>
        <w:ind w:left="360"/>
        <w:rPr>
          <w:rFonts w:ascii="Arial" w:eastAsia="Times New Roman" w:hAnsi="Arial" w:cs="Arial"/>
          <w:sz w:val="24"/>
          <w:szCs w:val="24"/>
        </w:rPr>
      </w:pPr>
    </w:p>
    <w:p w14:paraId="54FE8213" w14:textId="1CB2A521" w:rsidR="00981126" w:rsidRPr="00B5130B" w:rsidRDefault="00B5130B" w:rsidP="001956D2">
      <w:pPr>
        <w:contextualSpacing/>
        <w:rPr>
          <w:rFonts w:cs="Arial"/>
          <w:szCs w:val="24"/>
        </w:rPr>
      </w:pPr>
      <w:r>
        <w:rPr>
          <w:rFonts w:cs="Arial"/>
          <w:szCs w:val="24"/>
        </w:rPr>
        <w:t xml:space="preserve">3.2 </w:t>
      </w:r>
      <w:r w:rsidR="00C86A75" w:rsidRPr="00B5130B">
        <w:rPr>
          <w:rFonts w:cs="Arial"/>
          <w:szCs w:val="24"/>
        </w:rPr>
        <w:t>ADVERSE INCIDENTS</w:t>
      </w:r>
    </w:p>
    <w:p w14:paraId="1B25148E" w14:textId="638B7234" w:rsidR="00981126" w:rsidRDefault="00981126" w:rsidP="001956D2">
      <w:pPr>
        <w:pStyle w:val="Default"/>
        <w:rPr>
          <w:rFonts w:eastAsia="Times New Roman"/>
          <w:color w:val="auto"/>
          <w:lang w:eastAsia="en-GB"/>
        </w:rPr>
      </w:pPr>
      <w:r w:rsidRPr="00981126">
        <w:rPr>
          <w:rFonts w:eastAsia="Times New Roman"/>
          <w:color w:val="auto"/>
          <w:lang w:eastAsia="en-GB"/>
        </w:rPr>
        <w:t>Staff are</w:t>
      </w:r>
      <w:r w:rsidR="00373C97">
        <w:rPr>
          <w:rFonts w:eastAsia="Times New Roman"/>
          <w:color w:val="auto"/>
          <w:lang w:eastAsia="en-GB"/>
        </w:rPr>
        <w:t xml:space="preserve"> encouraged to ensure that all Health and Safety related incidents </w:t>
      </w:r>
      <w:r w:rsidRPr="00981126">
        <w:rPr>
          <w:rFonts w:eastAsia="Times New Roman"/>
          <w:color w:val="auto"/>
          <w:lang w:eastAsia="en-GB"/>
        </w:rPr>
        <w:t xml:space="preserve">(employees, patients, contractors, and visitors) </w:t>
      </w:r>
      <w:r w:rsidR="005D3255">
        <w:rPr>
          <w:rFonts w:eastAsia="Times New Roman"/>
          <w:color w:val="auto"/>
          <w:lang w:eastAsia="en-GB"/>
        </w:rPr>
        <w:t>are reported via Datix. The</w:t>
      </w:r>
      <w:r w:rsidRPr="00981126">
        <w:rPr>
          <w:rFonts w:eastAsia="Times New Roman"/>
          <w:color w:val="auto"/>
          <w:lang w:eastAsia="en-GB"/>
        </w:rPr>
        <w:t xml:space="preserve"> </w:t>
      </w:r>
      <w:r w:rsidR="005D3255">
        <w:rPr>
          <w:rFonts w:eastAsia="Times New Roman"/>
          <w:color w:val="auto"/>
          <w:lang w:eastAsia="en-GB"/>
        </w:rPr>
        <w:t xml:space="preserve">top </w:t>
      </w:r>
      <w:r w:rsidR="0013596B">
        <w:rPr>
          <w:rFonts w:eastAsia="Times New Roman"/>
          <w:color w:val="auto"/>
          <w:lang w:eastAsia="en-GB"/>
        </w:rPr>
        <w:t>5</w:t>
      </w:r>
      <w:r w:rsidR="003746F5">
        <w:rPr>
          <w:rFonts w:eastAsia="Times New Roman"/>
          <w:color w:val="auto"/>
          <w:lang w:eastAsia="en-GB"/>
        </w:rPr>
        <w:t xml:space="preserve"> sub categories for </w:t>
      </w:r>
      <w:r w:rsidR="005D3255">
        <w:rPr>
          <w:rFonts w:eastAsia="Times New Roman"/>
          <w:color w:val="auto"/>
          <w:lang w:eastAsia="en-GB"/>
        </w:rPr>
        <w:t>this reporting period</w:t>
      </w:r>
      <w:r w:rsidRPr="00981126">
        <w:rPr>
          <w:rFonts w:eastAsia="Times New Roman"/>
          <w:color w:val="auto"/>
          <w:lang w:eastAsia="en-GB"/>
        </w:rPr>
        <w:t xml:space="preserve"> </w:t>
      </w:r>
      <w:r w:rsidR="005D3255">
        <w:rPr>
          <w:rFonts w:eastAsia="Times New Roman"/>
          <w:color w:val="auto"/>
          <w:lang w:eastAsia="en-GB"/>
        </w:rPr>
        <w:t>(</w:t>
      </w:r>
      <w:r w:rsidR="002414A4">
        <w:rPr>
          <w:rFonts w:eastAsia="Times New Roman"/>
          <w:color w:val="auto"/>
          <w:lang w:eastAsia="en-GB"/>
        </w:rPr>
        <w:t>1</w:t>
      </w:r>
      <w:r w:rsidR="002414A4" w:rsidRPr="002414A4">
        <w:rPr>
          <w:rFonts w:eastAsia="Times New Roman"/>
          <w:color w:val="auto"/>
          <w:vertAlign w:val="superscript"/>
          <w:lang w:eastAsia="en-GB"/>
        </w:rPr>
        <w:t>st</w:t>
      </w:r>
      <w:r w:rsidR="002414A4">
        <w:rPr>
          <w:rFonts w:eastAsia="Times New Roman"/>
          <w:color w:val="auto"/>
          <w:lang w:eastAsia="en-GB"/>
        </w:rPr>
        <w:t xml:space="preserve"> </w:t>
      </w:r>
      <w:r w:rsidR="00612F04">
        <w:rPr>
          <w:rFonts w:eastAsia="Times New Roman"/>
          <w:color w:val="auto"/>
          <w:lang w:eastAsia="en-GB"/>
        </w:rPr>
        <w:t xml:space="preserve">July </w:t>
      </w:r>
      <w:r w:rsidR="00407689">
        <w:rPr>
          <w:rFonts w:eastAsia="Times New Roman"/>
          <w:color w:val="auto"/>
          <w:lang w:eastAsia="en-GB"/>
        </w:rPr>
        <w:t>2024</w:t>
      </w:r>
      <w:r w:rsidR="00AA0B7C">
        <w:rPr>
          <w:rFonts w:eastAsia="Times New Roman"/>
          <w:color w:val="auto"/>
          <w:lang w:eastAsia="en-GB"/>
        </w:rPr>
        <w:t xml:space="preserve"> – </w:t>
      </w:r>
      <w:r w:rsidR="00782471">
        <w:rPr>
          <w:rFonts w:eastAsia="Times New Roman"/>
          <w:color w:val="auto"/>
          <w:lang w:eastAsia="en-GB"/>
        </w:rPr>
        <w:t>30</w:t>
      </w:r>
      <w:r w:rsidR="002414A4" w:rsidRPr="002414A4">
        <w:rPr>
          <w:rFonts w:eastAsia="Times New Roman"/>
          <w:color w:val="auto"/>
          <w:vertAlign w:val="superscript"/>
          <w:lang w:eastAsia="en-GB"/>
        </w:rPr>
        <w:t>th</w:t>
      </w:r>
      <w:r w:rsidR="002414A4">
        <w:rPr>
          <w:rFonts w:eastAsia="Times New Roman"/>
          <w:color w:val="auto"/>
          <w:lang w:eastAsia="en-GB"/>
        </w:rPr>
        <w:t xml:space="preserve"> </w:t>
      </w:r>
      <w:r w:rsidR="00612F04">
        <w:rPr>
          <w:rFonts w:eastAsia="Times New Roman"/>
          <w:color w:val="auto"/>
          <w:lang w:eastAsia="en-GB"/>
        </w:rPr>
        <w:t>September</w:t>
      </w:r>
      <w:r w:rsidR="002414A4">
        <w:rPr>
          <w:rFonts w:eastAsia="Times New Roman"/>
          <w:color w:val="auto"/>
          <w:lang w:eastAsia="en-GB"/>
        </w:rPr>
        <w:t xml:space="preserve"> 2024</w:t>
      </w:r>
      <w:r w:rsidRPr="00981126">
        <w:rPr>
          <w:rFonts w:eastAsia="Times New Roman"/>
          <w:color w:val="auto"/>
          <w:lang w:eastAsia="en-GB"/>
        </w:rPr>
        <w:t xml:space="preserve">) are included in </w:t>
      </w:r>
      <w:r w:rsidR="005D3255">
        <w:rPr>
          <w:rFonts w:eastAsia="Times New Roman"/>
          <w:color w:val="auto"/>
          <w:lang w:eastAsia="en-GB"/>
        </w:rPr>
        <w:t>table below:</w:t>
      </w:r>
    </w:p>
    <w:p w14:paraId="4A19AEF2" w14:textId="40CA08C3" w:rsidR="005D3255" w:rsidRDefault="005D3255" w:rsidP="00981126">
      <w:pPr>
        <w:pStyle w:val="Default"/>
        <w:spacing w:line="360" w:lineRule="auto"/>
        <w:rPr>
          <w:rFonts w:eastAsia="Times New Roman"/>
          <w:color w:val="auto"/>
          <w:lang w:eastAsia="en-GB"/>
        </w:rPr>
      </w:pPr>
    </w:p>
    <w:tbl>
      <w:tblPr>
        <w:tblW w:w="8689" w:type="dxa"/>
        <w:tblLook w:val="04A0" w:firstRow="1" w:lastRow="0" w:firstColumn="1" w:lastColumn="0" w:noHBand="0" w:noVBand="1"/>
      </w:tblPr>
      <w:tblGrid>
        <w:gridCol w:w="9336"/>
        <w:gridCol w:w="649"/>
      </w:tblGrid>
      <w:tr w:rsidR="003B3952" w:rsidRPr="0013596B" w14:paraId="4C35D2C4" w14:textId="77777777" w:rsidTr="003B3952">
        <w:trPr>
          <w:trHeight w:val="290"/>
        </w:trPr>
        <w:tc>
          <w:tcPr>
            <w:tcW w:w="8040" w:type="dxa"/>
            <w:tcBorders>
              <w:top w:val="nil"/>
              <w:left w:val="nil"/>
              <w:bottom w:val="nil"/>
              <w:right w:val="nil"/>
            </w:tcBorders>
            <w:shd w:val="clear" w:color="auto" w:fill="auto"/>
            <w:noWrap/>
            <w:hideMark/>
          </w:tcPr>
          <w:p w14:paraId="090FC46F" w14:textId="4DD453D4" w:rsidR="003B3952" w:rsidRPr="0013596B" w:rsidRDefault="003B3952" w:rsidP="003B3952">
            <w:pPr>
              <w:rPr>
                <w:rFonts w:ascii="Calibri" w:hAnsi="Calibri" w:cs="Calibri"/>
                <w:b/>
                <w:bCs/>
                <w:color w:val="000000"/>
                <w:spacing w:val="0"/>
                <w:sz w:val="22"/>
                <w:szCs w:val="22"/>
                <w:lang w:eastAsia="en-GB"/>
              </w:rPr>
            </w:pPr>
            <w:r>
              <w:rPr>
                <w:noProof/>
                <w:lang w:eastAsia="en-GB"/>
              </w:rPr>
              <w:drawing>
                <wp:inline distT="0" distB="0" distL="0" distR="0" wp14:anchorId="65A0C328" wp14:editId="5E0FC9F0">
                  <wp:extent cx="5778500" cy="2381250"/>
                  <wp:effectExtent l="0" t="0" r="127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649" w:type="dxa"/>
            <w:tcBorders>
              <w:top w:val="nil"/>
              <w:left w:val="nil"/>
              <w:bottom w:val="nil"/>
              <w:right w:val="nil"/>
            </w:tcBorders>
            <w:shd w:val="clear" w:color="auto" w:fill="auto"/>
            <w:noWrap/>
            <w:vAlign w:val="bottom"/>
            <w:hideMark/>
          </w:tcPr>
          <w:p w14:paraId="3CEF87B4" w14:textId="2D92E876" w:rsidR="003B3952" w:rsidRPr="0013596B" w:rsidRDefault="003B3952" w:rsidP="003B3952">
            <w:pPr>
              <w:rPr>
                <w:rFonts w:ascii="Calibri" w:hAnsi="Calibri" w:cs="Calibri"/>
                <w:b/>
                <w:bCs/>
                <w:color w:val="000000"/>
                <w:spacing w:val="0"/>
                <w:sz w:val="22"/>
                <w:szCs w:val="22"/>
                <w:lang w:eastAsia="en-GB"/>
              </w:rPr>
            </w:pPr>
          </w:p>
        </w:tc>
      </w:tr>
      <w:tr w:rsidR="003B3952" w:rsidRPr="0013596B" w14:paraId="4B37AA4F" w14:textId="77777777" w:rsidTr="003644AF">
        <w:trPr>
          <w:trHeight w:val="290"/>
        </w:trPr>
        <w:tc>
          <w:tcPr>
            <w:tcW w:w="8040" w:type="dxa"/>
            <w:tcBorders>
              <w:top w:val="nil"/>
              <w:left w:val="nil"/>
              <w:bottom w:val="nil"/>
              <w:right w:val="nil"/>
            </w:tcBorders>
            <w:shd w:val="clear" w:color="auto" w:fill="auto"/>
            <w:noWrap/>
            <w:hideMark/>
          </w:tcPr>
          <w:p w14:paraId="284F1A5A" w14:textId="5EDEC878" w:rsidR="003B3952" w:rsidRPr="0013596B" w:rsidRDefault="003B3952" w:rsidP="003B3952">
            <w:pPr>
              <w:rPr>
                <w:rFonts w:ascii="Calibri" w:hAnsi="Calibri" w:cs="Calibri"/>
                <w:color w:val="000000"/>
                <w:spacing w:val="0"/>
                <w:sz w:val="22"/>
                <w:szCs w:val="22"/>
                <w:lang w:eastAsia="en-GB"/>
              </w:rPr>
            </w:pPr>
          </w:p>
        </w:tc>
        <w:tc>
          <w:tcPr>
            <w:tcW w:w="649" w:type="dxa"/>
            <w:tcBorders>
              <w:top w:val="nil"/>
              <w:left w:val="nil"/>
              <w:bottom w:val="nil"/>
              <w:right w:val="nil"/>
            </w:tcBorders>
            <w:shd w:val="clear" w:color="auto" w:fill="auto"/>
            <w:noWrap/>
            <w:vAlign w:val="bottom"/>
            <w:hideMark/>
          </w:tcPr>
          <w:p w14:paraId="7DB2B0DB" w14:textId="77777777" w:rsidR="003B3952" w:rsidRPr="0013596B" w:rsidRDefault="003B3952" w:rsidP="003B3952">
            <w:pPr>
              <w:rPr>
                <w:rFonts w:ascii="Times New Roman" w:hAnsi="Times New Roman"/>
                <w:spacing w:val="0"/>
                <w:sz w:val="20"/>
                <w:lang w:eastAsia="en-GB"/>
              </w:rPr>
            </w:pPr>
          </w:p>
        </w:tc>
      </w:tr>
      <w:tr w:rsidR="003B3952" w:rsidRPr="0013596B" w14:paraId="099C20BA" w14:textId="77777777" w:rsidTr="003644AF">
        <w:trPr>
          <w:trHeight w:val="290"/>
        </w:trPr>
        <w:tc>
          <w:tcPr>
            <w:tcW w:w="8040" w:type="dxa"/>
            <w:tcBorders>
              <w:top w:val="nil"/>
              <w:left w:val="nil"/>
              <w:bottom w:val="nil"/>
              <w:right w:val="nil"/>
            </w:tcBorders>
            <w:shd w:val="clear" w:color="auto" w:fill="auto"/>
            <w:noWrap/>
            <w:hideMark/>
          </w:tcPr>
          <w:p w14:paraId="318D7024" w14:textId="40DD30BF" w:rsidR="003B3952" w:rsidRPr="0013596B" w:rsidRDefault="003B3952" w:rsidP="003B3952">
            <w:pPr>
              <w:rPr>
                <w:rFonts w:ascii="Times New Roman" w:hAnsi="Times New Roman"/>
                <w:spacing w:val="0"/>
                <w:sz w:val="20"/>
                <w:lang w:eastAsia="en-GB"/>
              </w:rPr>
            </w:pPr>
          </w:p>
        </w:tc>
        <w:tc>
          <w:tcPr>
            <w:tcW w:w="649" w:type="dxa"/>
            <w:tcBorders>
              <w:top w:val="nil"/>
              <w:left w:val="nil"/>
              <w:bottom w:val="nil"/>
              <w:right w:val="nil"/>
            </w:tcBorders>
            <w:shd w:val="clear" w:color="auto" w:fill="auto"/>
            <w:noWrap/>
            <w:vAlign w:val="bottom"/>
            <w:hideMark/>
          </w:tcPr>
          <w:p w14:paraId="1A13EDF2" w14:textId="77777777" w:rsidR="003B3952" w:rsidRPr="0013596B" w:rsidRDefault="003B3952" w:rsidP="003B3952">
            <w:pPr>
              <w:rPr>
                <w:rFonts w:ascii="Times New Roman" w:hAnsi="Times New Roman"/>
                <w:spacing w:val="0"/>
                <w:sz w:val="20"/>
                <w:lang w:eastAsia="en-GB"/>
              </w:rPr>
            </w:pPr>
          </w:p>
        </w:tc>
      </w:tr>
    </w:tbl>
    <w:p w14:paraId="33BF4CB2" w14:textId="32733EED" w:rsidR="003B3952" w:rsidRDefault="003B3952" w:rsidP="001956D2">
      <w:pPr>
        <w:autoSpaceDE w:val="0"/>
        <w:autoSpaceDN w:val="0"/>
        <w:adjustRightInd w:val="0"/>
        <w:rPr>
          <w:rFonts w:cs="Arial"/>
          <w:color w:val="000000"/>
          <w:szCs w:val="24"/>
        </w:rPr>
      </w:pPr>
      <w:r>
        <w:rPr>
          <w:rFonts w:cs="Arial"/>
          <w:color w:val="000000"/>
          <w:szCs w:val="24"/>
        </w:rPr>
        <w:t>The highest sub category accounting for 9 events relates to contact/collision incidents.</w:t>
      </w:r>
      <w:r w:rsidRPr="003B3952">
        <w:rPr>
          <w:rFonts w:cs="Arial"/>
          <w:color w:val="000000"/>
          <w:szCs w:val="24"/>
        </w:rPr>
        <w:t xml:space="preserve"> </w:t>
      </w:r>
      <w:r>
        <w:rPr>
          <w:rFonts w:cs="Arial"/>
          <w:color w:val="000000"/>
          <w:szCs w:val="24"/>
        </w:rPr>
        <w:t xml:space="preserve">There are no trends relating to location of events or nature of the incidents (for example, a range of various bumps/bruises from collision with door, bumping head against equipment, etc.). No trends in the location (department) for these incidents (catering x1, outpatients x1, hotel x1, Theatres x2, surgical admissions x1, </w:t>
      </w:r>
      <w:r w:rsidR="00653169">
        <w:rPr>
          <w:rFonts w:cs="Arial"/>
          <w:color w:val="000000"/>
          <w:szCs w:val="24"/>
        </w:rPr>
        <w:t>vanguard</w:t>
      </w:r>
      <w:r>
        <w:rPr>
          <w:rFonts w:cs="Arial"/>
          <w:color w:val="000000"/>
          <w:szCs w:val="24"/>
        </w:rPr>
        <w:t xml:space="preserve"> x1, </w:t>
      </w:r>
      <w:r w:rsidR="00653169">
        <w:rPr>
          <w:rFonts w:cs="Arial"/>
          <w:color w:val="000000"/>
          <w:szCs w:val="24"/>
        </w:rPr>
        <w:t>engineering x2</w:t>
      </w:r>
      <w:r>
        <w:rPr>
          <w:rFonts w:cs="Arial"/>
          <w:color w:val="000000"/>
          <w:szCs w:val="24"/>
        </w:rPr>
        <w:t>).</w:t>
      </w:r>
      <w:r w:rsidR="00653169">
        <w:rPr>
          <w:rFonts w:cs="Arial"/>
          <w:color w:val="000000"/>
          <w:szCs w:val="24"/>
        </w:rPr>
        <w:t xml:space="preserve"> All were risk rated as ‘minor’, except one rated as ‘moderate’. The moderate event refers to contractor finger laceration whilst working on lifts.</w:t>
      </w:r>
    </w:p>
    <w:p w14:paraId="18C16C45" w14:textId="126E0B3D" w:rsidR="00653169" w:rsidRDefault="00653169" w:rsidP="001956D2">
      <w:pPr>
        <w:autoSpaceDE w:val="0"/>
        <w:autoSpaceDN w:val="0"/>
        <w:adjustRightInd w:val="0"/>
        <w:rPr>
          <w:rFonts w:cs="Arial"/>
          <w:color w:val="000000"/>
          <w:szCs w:val="24"/>
        </w:rPr>
      </w:pPr>
    </w:p>
    <w:p w14:paraId="22B1D909" w14:textId="41009E97" w:rsidR="00653169" w:rsidRDefault="00653169" w:rsidP="001956D2">
      <w:pPr>
        <w:autoSpaceDE w:val="0"/>
        <w:autoSpaceDN w:val="0"/>
        <w:adjustRightInd w:val="0"/>
        <w:rPr>
          <w:rFonts w:cs="Arial"/>
          <w:color w:val="000000"/>
          <w:szCs w:val="24"/>
        </w:rPr>
      </w:pPr>
      <w:r>
        <w:rPr>
          <w:rFonts w:cs="Arial"/>
          <w:color w:val="000000"/>
          <w:szCs w:val="24"/>
        </w:rPr>
        <w:t xml:space="preserve">The </w:t>
      </w:r>
      <w:r w:rsidR="00014FA3">
        <w:rPr>
          <w:rFonts w:cs="Arial"/>
          <w:color w:val="000000"/>
          <w:szCs w:val="24"/>
        </w:rPr>
        <w:t>joint</w:t>
      </w:r>
      <w:r>
        <w:rPr>
          <w:rFonts w:cs="Arial"/>
          <w:color w:val="000000"/>
          <w:szCs w:val="24"/>
        </w:rPr>
        <w:t xml:space="preserve"> highest sub category also with 9 events is ‘slips, trips and falls’. There are no trends in terms of location (housekeeping x1, pharmacy x1, hospital external groundsx1, Labs x1, hotel x1, critical care x1, theatres x 2, and surgical admissions x1). All minor risk rated, excluding one incident that was ‘moderate’ rated</w:t>
      </w:r>
      <w:r w:rsidR="00DF7AC6">
        <w:rPr>
          <w:rFonts w:cs="Arial"/>
          <w:color w:val="000000"/>
          <w:szCs w:val="24"/>
        </w:rPr>
        <w:t xml:space="preserve"> relating to staff member</w:t>
      </w:r>
      <w:r w:rsidR="00214F15">
        <w:rPr>
          <w:rFonts w:cs="Arial"/>
          <w:color w:val="000000"/>
          <w:szCs w:val="24"/>
        </w:rPr>
        <w:t xml:space="preserve"> slipping on </w:t>
      </w:r>
      <w:proofErr w:type="spellStart"/>
      <w:r w:rsidR="00214F15">
        <w:rPr>
          <w:rFonts w:cs="Arial"/>
          <w:color w:val="000000"/>
          <w:szCs w:val="24"/>
        </w:rPr>
        <w:t>actichlor</w:t>
      </w:r>
      <w:proofErr w:type="spellEnd"/>
      <w:r w:rsidR="00214F15">
        <w:rPr>
          <w:rFonts w:cs="Arial"/>
          <w:color w:val="000000"/>
          <w:szCs w:val="24"/>
        </w:rPr>
        <w:t xml:space="preserve"> within theatres</w:t>
      </w:r>
      <w:r>
        <w:rPr>
          <w:rFonts w:cs="Arial"/>
          <w:color w:val="000000"/>
          <w:szCs w:val="24"/>
        </w:rPr>
        <w:t xml:space="preserve">. </w:t>
      </w:r>
      <w:r w:rsidR="00214F15">
        <w:rPr>
          <w:rFonts w:cs="Arial"/>
          <w:color w:val="000000"/>
          <w:szCs w:val="24"/>
        </w:rPr>
        <w:t>N</w:t>
      </w:r>
      <w:r>
        <w:rPr>
          <w:rFonts w:cs="Arial"/>
          <w:color w:val="000000"/>
          <w:szCs w:val="24"/>
        </w:rPr>
        <w:t>o obvious</w:t>
      </w:r>
      <w:r w:rsidR="00214F15">
        <w:rPr>
          <w:rFonts w:cs="Arial"/>
          <w:color w:val="000000"/>
          <w:szCs w:val="24"/>
        </w:rPr>
        <w:t xml:space="preserve"> patterns/trends evident within this sub category.</w:t>
      </w:r>
    </w:p>
    <w:p w14:paraId="55A74071" w14:textId="77777777" w:rsidR="003B3952" w:rsidRDefault="003B3952" w:rsidP="001956D2">
      <w:pPr>
        <w:autoSpaceDE w:val="0"/>
        <w:autoSpaceDN w:val="0"/>
        <w:adjustRightInd w:val="0"/>
        <w:rPr>
          <w:rFonts w:cs="Arial"/>
          <w:color w:val="000000"/>
          <w:szCs w:val="24"/>
        </w:rPr>
      </w:pPr>
    </w:p>
    <w:p w14:paraId="7F07254D" w14:textId="2E65A824" w:rsidR="00782471" w:rsidRDefault="003746F5" w:rsidP="001956D2">
      <w:pPr>
        <w:autoSpaceDE w:val="0"/>
        <w:autoSpaceDN w:val="0"/>
        <w:adjustRightInd w:val="0"/>
        <w:rPr>
          <w:rFonts w:cs="Arial"/>
          <w:color w:val="000000"/>
          <w:szCs w:val="24"/>
        </w:rPr>
      </w:pPr>
      <w:r>
        <w:rPr>
          <w:rFonts w:cs="Arial"/>
          <w:color w:val="000000"/>
          <w:szCs w:val="24"/>
        </w:rPr>
        <w:t xml:space="preserve">The </w:t>
      </w:r>
      <w:r w:rsidR="00014FA3">
        <w:rPr>
          <w:rFonts w:cs="Arial"/>
          <w:color w:val="000000"/>
          <w:szCs w:val="24"/>
        </w:rPr>
        <w:t>second</w:t>
      </w:r>
      <w:r w:rsidR="00A41595">
        <w:rPr>
          <w:rFonts w:cs="Arial"/>
          <w:color w:val="000000"/>
          <w:szCs w:val="24"/>
        </w:rPr>
        <w:t xml:space="preserve"> </w:t>
      </w:r>
      <w:r>
        <w:rPr>
          <w:rFonts w:cs="Arial"/>
          <w:color w:val="000000"/>
          <w:szCs w:val="24"/>
        </w:rPr>
        <w:t xml:space="preserve">highest sub category </w:t>
      </w:r>
      <w:r w:rsidR="008C7A05">
        <w:rPr>
          <w:rFonts w:cs="Arial"/>
          <w:color w:val="000000"/>
          <w:szCs w:val="24"/>
        </w:rPr>
        <w:t>accounting for</w:t>
      </w:r>
      <w:r w:rsidR="00A41595">
        <w:rPr>
          <w:rFonts w:cs="Arial"/>
          <w:color w:val="000000"/>
          <w:szCs w:val="24"/>
        </w:rPr>
        <w:t xml:space="preserve"> 8 events relates to ‘contact with sharps’. All minor risk rated. The locations of these incidents ranged (1x critical care, 1x 3west, 1x CCU, 1x medical physic</w:t>
      </w:r>
      <w:r w:rsidR="00534536">
        <w:rPr>
          <w:rFonts w:cs="Arial"/>
          <w:color w:val="000000"/>
          <w:szCs w:val="24"/>
        </w:rPr>
        <w:t xml:space="preserve">s, 1x 4 east, 1x housekeeping, </w:t>
      </w:r>
      <w:proofErr w:type="gramStart"/>
      <w:r w:rsidR="00534536">
        <w:rPr>
          <w:rFonts w:cs="Arial"/>
          <w:color w:val="000000"/>
          <w:szCs w:val="24"/>
        </w:rPr>
        <w:t>2</w:t>
      </w:r>
      <w:proofErr w:type="gramEnd"/>
      <w:r w:rsidR="00C25630">
        <w:rPr>
          <w:rFonts w:cs="Arial"/>
          <w:color w:val="000000"/>
          <w:szCs w:val="24"/>
        </w:rPr>
        <w:t xml:space="preserve"> </w:t>
      </w:r>
      <w:r w:rsidR="00A41595">
        <w:rPr>
          <w:rFonts w:cs="Arial"/>
          <w:color w:val="000000"/>
          <w:szCs w:val="24"/>
        </w:rPr>
        <w:t xml:space="preserve">x theatres). </w:t>
      </w:r>
      <w:r w:rsidR="00FC7096">
        <w:rPr>
          <w:rFonts w:cs="Arial"/>
          <w:color w:val="000000"/>
          <w:szCs w:val="24"/>
        </w:rPr>
        <w:t xml:space="preserve">The review of the sharps investigation question set on </w:t>
      </w:r>
      <w:proofErr w:type="spellStart"/>
      <w:r w:rsidR="00FC7096">
        <w:rPr>
          <w:rFonts w:cs="Arial"/>
          <w:color w:val="000000"/>
          <w:szCs w:val="24"/>
        </w:rPr>
        <w:t>datix</w:t>
      </w:r>
      <w:proofErr w:type="spellEnd"/>
      <w:r w:rsidR="00FC7096">
        <w:rPr>
          <w:rFonts w:cs="Arial"/>
          <w:color w:val="000000"/>
          <w:szCs w:val="24"/>
        </w:rPr>
        <w:t xml:space="preserve"> requires to be reviewed and will be addressed in line with new </w:t>
      </w:r>
      <w:proofErr w:type="spellStart"/>
      <w:r w:rsidR="00FC7096">
        <w:rPr>
          <w:rFonts w:cs="Arial"/>
          <w:color w:val="000000"/>
          <w:szCs w:val="24"/>
        </w:rPr>
        <w:t>datix</w:t>
      </w:r>
      <w:proofErr w:type="spellEnd"/>
      <w:r w:rsidR="00FC7096">
        <w:rPr>
          <w:rFonts w:cs="Arial"/>
          <w:color w:val="000000"/>
          <w:szCs w:val="24"/>
        </w:rPr>
        <w:t xml:space="preserve"> software. </w:t>
      </w:r>
    </w:p>
    <w:p w14:paraId="11F38188" w14:textId="5CFDC19C" w:rsidR="0084552B" w:rsidRDefault="0084552B" w:rsidP="001956D2">
      <w:pPr>
        <w:autoSpaceDE w:val="0"/>
        <w:autoSpaceDN w:val="0"/>
        <w:adjustRightInd w:val="0"/>
        <w:rPr>
          <w:rFonts w:cs="Arial"/>
          <w:color w:val="000000"/>
          <w:szCs w:val="24"/>
        </w:rPr>
      </w:pPr>
    </w:p>
    <w:p w14:paraId="010E5DA6" w14:textId="120B8371" w:rsidR="0084552B" w:rsidRDefault="0084552B" w:rsidP="001956D2">
      <w:pPr>
        <w:autoSpaceDE w:val="0"/>
        <w:autoSpaceDN w:val="0"/>
        <w:adjustRightInd w:val="0"/>
        <w:rPr>
          <w:rFonts w:cs="Arial"/>
          <w:color w:val="000000"/>
          <w:szCs w:val="24"/>
        </w:rPr>
      </w:pPr>
      <w:r>
        <w:rPr>
          <w:rFonts w:cs="Arial"/>
          <w:color w:val="000000"/>
          <w:szCs w:val="24"/>
        </w:rPr>
        <w:t xml:space="preserve">The </w:t>
      </w:r>
      <w:r w:rsidR="00014FA3">
        <w:rPr>
          <w:rFonts w:cs="Arial"/>
          <w:color w:val="000000"/>
          <w:szCs w:val="24"/>
        </w:rPr>
        <w:t>third</w:t>
      </w:r>
      <w:r>
        <w:rPr>
          <w:rFonts w:cs="Arial"/>
          <w:color w:val="000000"/>
          <w:szCs w:val="24"/>
        </w:rPr>
        <w:t xml:space="preserve"> highest sub category</w:t>
      </w:r>
      <w:r w:rsidR="00266889">
        <w:rPr>
          <w:rFonts w:cs="Arial"/>
          <w:color w:val="000000"/>
          <w:szCs w:val="24"/>
        </w:rPr>
        <w:t xml:space="preserve"> with </w:t>
      </w:r>
      <w:r w:rsidR="00A41595">
        <w:rPr>
          <w:rFonts w:cs="Arial"/>
          <w:color w:val="000000"/>
          <w:szCs w:val="24"/>
        </w:rPr>
        <w:t>7</w:t>
      </w:r>
      <w:r w:rsidR="00266889">
        <w:rPr>
          <w:rFonts w:cs="Arial"/>
          <w:color w:val="000000"/>
          <w:szCs w:val="24"/>
        </w:rPr>
        <w:t xml:space="preserve"> incidents</w:t>
      </w:r>
      <w:r>
        <w:rPr>
          <w:rFonts w:cs="Arial"/>
          <w:color w:val="000000"/>
          <w:szCs w:val="24"/>
        </w:rPr>
        <w:t xml:space="preserve"> relates to exposure to unsafe environmental conditions. </w:t>
      </w:r>
      <w:r w:rsidR="00A41595">
        <w:rPr>
          <w:rFonts w:cs="Arial"/>
          <w:color w:val="000000"/>
          <w:szCs w:val="24"/>
        </w:rPr>
        <w:t>In terms of location</w:t>
      </w:r>
      <w:r>
        <w:rPr>
          <w:rFonts w:cs="Arial"/>
          <w:color w:val="000000"/>
          <w:szCs w:val="24"/>
        </w:rPr>
        <w:t xml:space="preserve"> (</w:t>
      </w:r>
      <w:r w:rsidR="00A41595">
        <w:rPr>
          <w:rFonts w:cs="Arial"/>
          <w:color w:val="000000"/>
          <w:szCs w:val="24"/>
        </w:rPr>
        <w:t>catering x 1, Theatres x4</w:t>
      </w:r>
      <w:r w:rsidR="00266889">
        <w:rPr>
          <w:rFonts w:cs="Arial"/>
          <w:color w:val="000000"/>
          <w:szCs w:val="24"/>
        </w:rPr>
        <w:t xml:space="preserve">, </w:t>
      </w:r>
      <w:r w:rsidR="00A41595">
        <w:rPr>
          <w:rFonts w:cs="Arial"/>
          <w:color w:val="000000"/>
          <w:szCs w:val="24"/>
        </w:rPr>
        <w:t>critical care</w:t>
      </w:r>
      <w:r w:rsidR="00266889">
        <w:rPr>
          <w:rFonts w:cs="Arial"/>
          <w:color w:val="000000"/>
          <w:szCs w:val="24"/>
        </w:rPr>
        <w:t xml:space="preserve"> x1, </w:t>
      </w:r>
      <w:r w:rsidR="00A41595">
        <w:rPr>
          <w:rFonts w:cs="Arial"/>
          <w:color w:val="000000"/>
          <w:szCs w:val="24"/>
        </w:rPr>
        <w:t>research</w:t>
      </w:r>
      <w:r w:rsidR="00266889">
        <w:rPr>
          <w:rFonts w:cs="Arial"/>
          <w:color w:val="000000"/>
          <w:szCs w:val="24"/>
        </w:rPr>
        <w:t xml:space="preserve"> x1</w:t>
      </w:r>
      <w:r w:rsidR="00A41595">
        <w:rPr>
          <w:rFonts w:cs="Arial"/>
          <w:color w:val="000000"/>
          <w:szCs w:val="24"/>
        </w:rPr>
        <w:t xml:space="preserve">). </w:t>
      </w:r>
      <w:r w:rsidR="002561CA">
        <w:rPr>
          <w:rFonts w:cs="Arial"/>
          <w:color w:val="000000"/>
          <w:szCs w:val="24"/>
        </w:rPr>
        <w:t xml:space="preserve">There was a mix of types of incidents within this sub category, i.e. </w:t>
      </w:r>
      <w:r w:rsidR="00A41595">
        <w:rPr>
          <w:rFonts w:cs="Arial"/>
          <w:color w:val="000000"/>
          <w:szCs w:val="24"/>
        </w:rPr>
        <w:t xml:space="preserve">contractor failing to follow HAI </w:t>
      </w:r>
      <w:r w:rsidR="00534536">
        <w:rPr>
          <w:rFonts w:cs="Arial"/>
          <w:color w:val="000000"/>
          <w:szCs w:val="24"/>
        </w:rPr>
        <w:t>scribe, laptop being used in operating theatre. One moderate risk rated event</w:t>
      </w:r>
      <w:r w:rsidR="00014FA3">
        <w:rPr>
          <w:rFonts w:cs="Arial"/>
          <w:color w:val="000000"/>
          <w:szCs w:val="24"/>
        </w:rPr>
        <w:t xml:space="preserve"> linked to build up of heat in room that houses UPS batteries. Estates fully involved in the investigation as evidenced via </w:t>
      </w:r>
      <w:proofErr w:type="spellStart"/>
      <w:r w:rsidR="00014FA3">
        <w:rPr>
          <w:rFonts w:cs="Arial"/>
          <w:color w:val="000000"/>
          <w:szCs w:val="24"/>
        </w:rPr>
        <w:t>datix</w:t>
      </w:r>
      <w:proofErr w:type="spellEnd"/>
      <w:r w:rsidR="00014FA3">
        <w:rPr>
          <w:rFonts w:cs="Arial"/>
          <w:color w:val="000000"/>
          <w:szCs w:val="24"/>
        </w:rPr>
        <w:t>.</w:t>
      </w:r>
    </w:p>
    <w:p w14:paraId="6C5E10C5" w14:textId="2647BC4D" w:rsidR="0071508E" w:rsidRDefault="0071508E" w:rsidP="001956D2">
      <w:pPr>
        <w:autoSpaceDE w:val="0"/>
        <w:autoSpaceDN w:val="0"/>
        <w:adjustRightInd w:val="0"/>
        <w:rPr>
          <w:rFonts w:cs="Arial"/>
          <w:color w:val="000000"/>
          <w:szCs w:val="24"/>
        </w:rPr>
      </w:pPr>
    </w:p>
    <w:p w14:paraId="7CBEC4A5" w14:textId="2287CDD2" w:rsidR="0084552B" w:rsidRDefault="0084552B" w:rsidP="001956D2">
      <w:pPr>
        <w:autoSpaceDE w:val="0"/>
        <w:autoSpaceDN w:val="0"/>
        <w:adjustRightInd w:val="0"/>
        <w:rPr>
          <w:rFonts w:cs="Arial"/>
          <w:color w:val="000000"/>
          <w:szCs w:val="24"/>
        </w:rPr>
      </w:pPr>
      <w:r>
        <w:rPr>
          <w:rFonts w:cs="Arial"/>
          <w:color w:val="000000"/>
          <w:szCs w:val="24"/>
        </w:rPr>
        <w:t xml:space="preserve">The </w:t>
      </w:r>
      <w:r w:rsidR="00014FA3">
        <w:rPr>
          <w:rFonts w:cs="Arial"/>
          <w:color w:val="000000"/>
          <w:szCs w:val="24"/>
        </w:rPr>
        <w:t>joint third</w:t>
      </w:r>
      <w:r>
        <w:rPr>
          <w:rFonts w:cs="Arial"/>
          <w:color w:val="000000"/>
          <w:szCs w:val="24"/>
        </w:rPr>
        <w:t xml:space="preserve"> highest sub category </w:t>
      </w:r>
      <w:r w:rsidR="00014FA3">
        <w:rPr>
          <w:rFonts w:cs="Arial"/>
          <w:color w:val="000000"/>
          <w:szCs w:val="24"/>
        </w:rPr>
        <w:t xml:space="preserve">with 7 events is ‘exposure to hazardous substances’. In terms of location (3x theatres, 1x </w:t>
      </w:r>
      <w:proofErr w:type="spellStart"/>
      <w:r w:rsidR="00014FA3">
        <w:rPr>
          <w:rFonts w:cs="Arial"/>
          <w:color w:val="000000"/>
          <w:szCs w:val="24"/>
        </w:rPr>
        <w:t>cath</w:t>
      </w:r>
      <w:proofErr w:type="spellEnd"/>
      <w:r w:rsidR="00014FA3">
        <w:rPr>
          <w:rFonts w:cs="Arial"/>
          <w:color w:val="000000"/>
          <w:szCs w:val="24"/>
        </w:rPr>
        <w:t xml:space="preserve"> lab, 1x critical care, 2x labs).</w:t>
      </w:r>
      <w:r w:rsidR="00266889">
        <w:rPr>
          <w:rFonts w:cs="Arial"/>
          <w:color w:val="000000"/>
          <w:szCs w:val="24"/>
        </w:rPr>
        <w:t xml:space="preserve"> </w:t>
      </w:r>
      <w:r w:rsidR="00014FA3">
        <w:rPr>
          <w:rFonts w:cs="Arial"/>
          <w:color w:val="000000"/>
          <w:szCs w:val="24"/>
        </w:rPr>
        <w:t xml:space="preserve">The 3 in theatres were all blood </w:t>
      </w:r>
      <w:r w:rsidR="00014FA3">
        <w:rPr>
          <w:rFonts w:cs="Arial"/>
          <w:color w:val="000000"/>
          <w:szCs w:val="24"/>
        </w:rPr>
        <w:lastRenderedPageBreak/>
        <w:t xml:space="preserve">splash related, whilst the 2 in labs relate to outer containers of samples contaminated with blood. </w:t>
      </w:r>
      <w:r>
        <w:rPr>
          <w:rFonts w:cs="Arial"/>
          <w:color w:val="000000"/>
          <w:szCs w:val="24"/>
        </w:rPr>
        <w:t>All minor risk rated.</w:t>
      </w:r>
      <w:r w:rsidR="00266889">
        <w:rPr>
          <w:rFonts w:cs="Arial"/>
          <w:color w:val="000000"/>
          <w:szCs w:val="24"/>
        </w:rPr>
        <w:t xml:space="preserve"> </w:t>
      </w:r>
    </w:p>
    <w:p w14:paraId="172BECCE" w14:textId="4E596233" w:rsidR="00256E68" w:rsidRDefault="00256E68" w:rsidP="00413632">
      <w:pPr>
        <w:spacing w:after="160" w:line="259" w:lineRule="auto"/>
        <w:rPr>
          <w:rFonts w:cs="Arial"/>
          <w:spacing w:val="0"/>
          <w:szCs w:val="24"/>
          <w:lang w:eastAsia="en-GB"/>
        </w:rPr>
      </w:pPr>
    </w:p>
    <w:p w14:paraId="79FB0400" w14:textId="48BFD1FF" w:rsidR="000B4423" w:rsidRPr="00AB497E" w:rsidRDefault="00AE19DC" w:rsidP="008A5B73">
      <w:pPr>
        <w:pStyle w:val="ListParagraph"/>
        <w:numPr>
          <w:ilvl w:val="0"/>
          <w:numId w:val="12"/>
        </w:numPr>
        <w:spacing w:before="100" w:beforeAutospacing="1" w:after="100" w:afterAutospacing="1"/>
        <w:rPr>
          <w:rFonts w:ascii="Arial" w:hAnsi="Arial" w:cs="Arial"/>
          <w:b/>
          <w:sz w:val="24"/>
          <w:szCs w:val="24"/>
        </w:rPr>
      </w:pPr>
      <w:r>
        <w:rPr>
          <w:rFonts w:ascii="Arial" w:hAnsi="Arial" w:cs="Arial"/>
          <w:b/>
          <w:sz w:val="24"/>
          <w:szCs w:val="24"/>
        </w:rPr>
        <w:t xml:space="preserve">PROJECTIONS FOR </w:t>
      </w:r>
      <w:r w:rsidR="004C14EC">
        <w:rPr>
          <w:rFonts w:ascii="Arial" w:hAnsi="Arial" w:cs="Arial"/>
          <w:b/>
          <w:sz w:val="24"/>
          <w:szCs w:val="24"/>
        </w:rPr>
        <w:t>NEXT QUARTER</w:t>
      </w:r>
      <w:r w:rsidR="000B4423" w:rsidRPr="00AB497E">
        <w:rPr>
          <w:rFonts w:ascii="Arial" w:hAnsi="Arial" w:cs="Arial"/>
          <w:b/>
          <w:sz w:val="24"/>
          <w:szCs w:val="24"/>
        </w:rPr>
        <w:t>:</w:t>
      </w:r>
    </w:p>
    <w:p w14:paraId="2DD57960" w14:textId="77777777" w:rsidR="000B4423" w:rsidRPr="000B4423" w:rsidRDefault="000B4423" w:rsidP="000B4423">
      <w:pPr>
        <w:spacing w:before="100" w:beforeAutospacing="1" w:after="100" w:afterAutospacing="1"/>
        <w:rPr>
          <w:rFonts w:cs="Arial"/>
          <w:spacing w:val="0"/>
          <w:szCs w:val="24"/>
          <w:lang w:eastAsia="en-GB"/>
        </w:rPr>
      </w:pPr>
      <w:r w:rsidRPr="000B4423">
        <w:rPr>
          <w:rFonts w:cs="Arial"/>
          <w:spacing w:val="0"/>
          <w:szCs w:val="24"/>
          <w:lang w:eastAsia="en-GB"/>
        </w:rPr>
        <w:t>FUTURE INITIATIVES</w:t>
      </w:r>
    </w:p>
    <w:p w14:paraId="7565E4DC" w14:textId="34A9EBCF" w:rsidR="00407689" w:rsidRDefault="001C1ABD" w:rsidP="000B4423">
      <w:pPr>
        <w:spacing w:before="100" w:beforeAutospacing="1" w:after="100" w:afterAutospacing="1"/>
        <w:rPr>
          <w:rFonts w:cs="Arial"/>
          <w:spacing w:val="0"/>
          <w:szCs w:val="24"/>
          <w:lang w:eastAsia="en-GB"/>
        </w:rPr>
      </w:pPr>
      <w:r>
        <w:rPr>
          <w:rFonts w:cs="Arial"/>
          <w:spacing w:val="0"/>
          <w:szCs w:val="24"/>
          <w:lang w:eastAsia="en-GB"/>
        </w:rPr>
        <w:t>4.1</w:t>
      </w:r>
      <w:r w:rsidR="00810D96">
        <w:rPr>
          <w:rFonts w:cs="Arial"/>
          <w:spacing w:val="0"/>
          <w:szCs w:val="24"/>
          <w:lang w:eastAsia="en-GB"/>
        </w:rPr>
        <w:t xml:space="preserve"> </w:t>
      </w:r>
      <w:r w:rsidR="0048179C">
        <w:rPr>
          <w:rFonts w:cs="Arial"/>
          <w:spacing w:val="0"/>
          <w:szCs w:val="24"/>
          <w:lang w:eastAsia="en-GB"/>
        </w:rPr>
        <w:t>Initiation</w:t>
      </w:r>
      <w:r w:rsidR="00DF464D">
        <w:rPr>
          <w:rFonts w:cs="Arial"/>
          <w:spacing w:val="0"/>
          <w:szCs w:val="24"/>
          <w:lang w:eastAsia="en-GB"/>
        </w:rPr>
        <w:t xml:space="preserve"> of Fire Safety Group</w:t>
      </w:r>
    </w:p>
    <w:p w14:paraId="303CD012" w14:textId="540870F6" w:rsidR="000C2D67" w:rsidRDefault="000C2D67" w:rsidP="000B4423">
      <w:pPr>
        <w:spacing w:before="100" w:beforeAutospacing="1" w:after="100" w:afterAutospacing="1"/>
        <w:rPr>
          <w:rFonts w:cs="Arial"/>
          <w:spacing w:val="0"/>
          <w:szCs w:val="24"/>
          <w:lang w:eastAsia="en-GB"/>
        </w:rPr>
      </w:pPr>
      <w:r>
        <w:rPr>
          <w:rFonts w:cs="Arial"/>
          <w:spacing w:val="0"/>
          <w:szCs w:val="24"/>
          <w:lang w:eastAsia="en-GB"/>
        </w:rPr>
        <w:t>4.2 Fire Safety Policy</w:t>
      </w:r>
      <w:r w:rsidR="00DF464D">
        <w:rPr>
          <w:rFonts w:cs="Arial"/>
          <w:spacing w:val="0"/>
          <w:szCs w:val="24"/>
          <w:lang w:eastAsia="en-GB"/>
        </w:rPr>
        <w:t xml:space="preserve"> Review</w:t>
      </w:r>
    </w:p>
    <w:p w14:paraId="7CECF273" w14:textId="6C6BB379" w:rsidR="00810D96" w:rsidRDefault="00FE0AE7" w:rsidP="000B4423">
      <w:pPr>
        <w:spacing w:before="100" w:beforeAutospacing="1" w:after="100" w:afterAutospacing="1"/>
        <w:rPr>
          <w:rFonts w:cs="Arial"/>
          <w:spacing w:val="0"/>
          <w:szCs w:val="24"/>
          <w:lang w:eastAsia="en-GB"/>
        </w:rPr>
      </w:pPr>
      <w:r>
        <w:rPr>
          <w:rFonts w:cs="Arial"/>
          <w:spacing w:val="0"/>
          <w:szCs w:val="24"/>
          <w:lang w:eastAsia="en-GB"/>
        </w:rPr>
        <w:t>4.</w:t>
      </w:r>
      <w:r w:rsidR="000C2D67">
        <w:rPr>
          <w:rFonts w:cs="Arial"/>
          <w:spacing w:val="0"/>
          <w:szCs w:val="24"/>
          <w:lang w:eastAsia="en-GB"/>
        </w:rPr>
        <w:t>4</w:t>
      </w:r>
      <w:r>
        <w:rPr>
          <w:rFonts w:cs="Arial"/>
          <w:spacing w:val="0"/>
          <w:szCs w:val="24"/>
          <w:lang w:eastAsia="en-GB"/>
        </w:rPr>
        <w:t xml:space="preserve"> Review </w:t>
      </w:r>
      <w:r w:rsidR="00810D96">
        <w:rPr>
          <w:rFonts w:cs="Arial"/>
          <w:spacing w:val="0"/>
          <w:szCs w:val="24"/>
          <w:lang w:eastAsia="en-GB"/>
        </w:rPr>
        <w:t>Helipad Policy</w:t>
      </w:r>
    </w:p>
    <w:p w14:paraId="52DBFD0D" w14:textId="445497FF" w:rsidR="003F7B53" w:rsidRDefault="000C2D67" w:rsidP="000B4423">
      <w:pPr>
        <w:spacing w:before="100" w:beforeAutospacing="1" w:after="100" w:afterAutospacing="1"/>
        <w:rPr>
          <w:rFonts w:cs="Arial"/>
          <w:spacing w:val="0"/>
          <w:szCs w:val="24"/>
          <w:lang w:eastAsia="en-GB"/>
        </w:rPr>
      </w:pPr>
      <w:r>
        <w:rPr>
          <w:rFonts w:cs="Arial"/>
          <w:spacing w:val="0"/>
          <w:szCs w:val="24"/>
          <w:lang w:eastAsia="en-GB"/>
        </w:rPr>
        <w:t>4.5</w:t>
      </w:r>
      <w:r w:rsidR="001C1ABD">
        <w:rPr>
          <w:rFonts w:cs="Arial"/>
          <w:spacing w:val="0"/>
          <w:szCs w:val="24"/>
          <w:lang w:eastAsia="en-GB"/>
        </w:rPr>
        <w:t xml:space="preserve"> </w:t>
      </w:r>
      <w:r w:rsidR="00BE29B3">
        <w:rPr>
          <w:rFonts w:cs="Arial"/>
          <w:spacing w:val="0"/>
          <w:szCs w:val="24"/>
          <w:lang w:eastAsia="en-GB"/>
        </w:rPr>
        <w:t>Continued support to the roll out of the Health and Safety Audit and Inspection programme</w:t>
      </w:r>
      <w:r w:rsidR="00E55905">
        <w:rPr>
          <w:rFonts w:cs="Arial"/>
          <w:spacing w:val="0"/>
          <w:szCs w:val="24"/>
          <w:lang w:eastAsia="en-GB"/>
        </w:rPr>
        <w:t xml:space="preserve"> (additional virtual training sessions to be rolled out).</w:t>
      </w:r>
    </w:p>
    <w:p w14:paraId="7C57DDB0" w14:textId="24BA1E88" w:rsidR="00C25630" w:rsidRDefault="00C25630" w:rsidP="000B4423">
      <w:pPr>
        <w:spacing w:before="100" w:beforeAutospacing="1" w:after="100" w:afterAutospacing="1"/>
        <w:rPr>
          <w:rFonts w:cs="Arial"/>
          <w:spacing w:val="0"/>
          <w:szCs w:val="24"/>
          <w:lang w:eastAsia="en-GB"/>
        </w:rPr>
      </w:pPr>
      <w:r>
        <w:rPr>
          <w:rFonts w:cs="Arial"/>
          <w:spacing w:val="0"/>
          <w:szCs w:val="24"/>
          <w:lang w:eastAsia="en-GB"/>
        </w:rPr>
        <w:t>4.6 Renewed focus on Respiratory Protective Equipment (mask fit testing)</w:t>
      </w:r>
    </w:p>
    <w:p w14:paraId="5D26EFA9" w14:textId="33754B25" w:rsidR="00AD28C4" w:rsidRPr="00191B18" w:rsidRDefault="00545A57" w:rsidP="00191B18">
      <w:pPr>
        <w:spacing w:before="100" w:beforeAutospacing="1" w:after="100" w:afterAutospacing="1"/>
        <w:rPr>
          <w:rFonts w:cs="Arial"/>
          <w:spacing w:val="0"/>
          <w:szCs w:val="24"/>
          <w:lang w:eastAsia="en-GB"/>
        </w:rPr>
      </w:pPr>
      <w:r>
        <w:rPr>
          <w:rFonts w:cs="Arial"/>
          <w:spacing w:val="0"/>
          <w:szCs w:val="24"/>
          <w:lang w:eastAsia="en-GB"/>
        </w:rPr>
        <w:t>4.</w:t>
      </w:r>
      <w:r w:rsidR="00C25630">
        <w:rPr>
          <w:rFonts w:cs="Arial"/>
          <w:spacing w:val="0"/>
          <w:szCs w:val="24"/>
          <w:lang w:eastAsia="en-GB"/>
        </w:rPr>
        <w:t>7</w:t>
      </w:r>
      <w:r>
        <w:rPr>
          <w:rFonts w:cs="Arial"/>
          <w:spacing w:val="0"/>
          <w:szCs w:val="24"/>
          <w:lang w:eastAsia="en-GB"/>
        </w:rPr>
        <w:t xml:space="preserve"> Monthly Matter</w:t>
      </w:r>
      <w:r w:rsidR="00FE0AE7">
        <w:rPr>
          <w:rFonts w:cs="Arial"/>
          <w:spacing w:val="0"/>
          <w:szCs w:val="24"/>
          <w:lang w:eastAsia="en-GB"/>
        </w:rPr>
        <w:t xml:space="preserve">s focus </w:t>
      </w:r>
      <w:r w:rsidR="003F7C4B">
        <w:rPr>
          <w:rFonts w:cs="Arial"/>
          <w:spacing w:val="0"/>
          <w:szCs w:val="24"/>
          <w:lang w:eastAsia="en-GB"/>
        </w:rPr>
        <w:t xml:space="preserve">for </w:t>
      </w:r>
      <w:r w:rsidR="00711592">
        <w:rPr>
          <w:rFonts w:cs="Arial"/>
          <w:spacing w:val="0"/>
          <w:szCs w:val="24"/>
          <w:lang w:eastAsia="en-GB"/>
        </w:rPr>
        <w:t>next reporting period</w:t>
      </w:r>
      <w:r w:rsidR="00810D96">
        <w:rPr>
          <w:rFonts w:cs="Arial"/>
          <w:spacing w:val="0"/>
          <w:szCs w:val="24"/>
          <w:lang w:eastAsia="en-GB"/>
        </w:rPr>
        <w:t xml:space="preserve">. </w:t>
      </w:r>
      <w:r w:rsidR="003C2A86">
        <w:rPr>
          <w:rFonts w:cs="Arial"/>
          <w:spacing w:val="0"/>
          <w:szCs w:val="24"/>
          <w:lang w:eastAsia="en-GB"/>
        </w:rPr>
        <w:t>Respiratory Protective Equipment; Helipad Operations; Site Security including Access/Egress.</w:t>
      </w:r>
    </w:p>
    <w:p w14:paraId="49BADFB3" w14:textId="202427CD" w:rsidR="00AD28C4" w:rsidRPr="00AD28C4" w:rsidRDefault="00AD28C4" w:rsidP="00AD28C4">
      <w:pPr>
        <w:rPr>
          <w:rFonts w:cs="Arial"/>
          <w:szCs w:val="24"/>
          <w:lang w:eastAsia="en-GB"/>
        </w:rPr>
      </w:pPr>
    </w:p>
    <w:p w14:paraId="161CF91A" w14:textId="77777777" w:rsidR="00AD28C4" w:rsidRPr="00AD28C4" w:rsidRDefault="00AD28C4" w:rsidP="00AD28C4">
      <w:pPr>
        <w:rPr>
          <w:rFonts w:cs="Arial"/>
          <w:szCs w:val="24"/>
          <w:lang w:eastAsia="en-GB"/>
        </w:rPr>
      </w:pPr>
    </w:p>
    <w:p w14:paraId="2EBF1C07" w14:textId="75867F5B" w:rsidR="00AD28C4" w:rsidRDefault="00AD28C4" w:rsidP="00AD28C4">
      <w:pPr>
        <w:rPr>
          <w:rFonts w:cs="Arial"/>
          <w:szCs w:val="24"/>
          <w:lang w:eastAsia="en-GB"/>
        </w:rPr>
      </w:pPr>
    </w:p>
    <w:p w14:paraId="43D0B1BB" w14:textId="115CCBB1" w:rsidR="00AD28C4" w:rsidRDefault="00AD28C4" w:rsidP="00AD28C4">
      <w:pPr>
        <w:tabs>
          <w:tab w:val="left" w:pos="1460"/>
        </w:tabs>
        <w:rPr>
          <w:rFonts w:cs="Arial"/>
          <w:szCs w:val="24"/>
          <w:lang w:eastAsia="en-GB"/>
        </w:rPr>
      </w:pPr>
      <w:r>
        <w:rPr>
          <w:rFonts w:cs="Arial"/>
          <w:szCs w:val="24"/>
          <w:lang w:eastAsia="en-GB"/>
        </w:rPr>
        <w:tab/>
      </w:r>
    </w:p>
    <w:p w14:paraId="2DC00363" w14:textId="2E536656" w:rsidR="00AD28C4" w:rsidRPr="00AD28C4" w:rsidRDefault="00AD28C4" w:rsidP="00191B18">
      <w:pPr>
        <w:spacing w:after="160" w:line="259" w:lineRule="auto"/>
        <w:rPr>
          <w:rFonts w:cs="Arial"/>
          <w:szCs w:val="24"/>
          <w:lang w:eastAsia="en-GB"/>
        </w:rPr>
      </w:pPr>
    </w:p>
    <w:sectPr w:rsidR="00AD28C4" w:rsidRPr="00AD28C4" w:rsidSect="003F7F61">
      <w:headerReference w:type="default" r:id="rId12"/>
      <w:footerReference w:type="default" r:id="rId13"/>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F75F7" w14:textId="77777777" w:rsidR="00856B8C" w:rsidRDefault="00856B8C">
      <w:r>
        <w:separator/>
      </w:r>
    </w:p>
  </w:endnote>
  <w:endnote w:type="continuationSeparator" w:id="0">
    <w:p w14:paraId="39D8E83B" w14:textId="77777777" w:rsidR="00856B8C" w:rsidRDefault="0085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C812CB" w:rsidRDefault="00C812CB" w:rsidP="003F7F61">
    <w:pPr>
      <w:pStyle w:val="Footer"/>
      <w:jc w:val="center"/>
      <w:rPr>
        <w:rFonts w:cs="Arial"/>
        <w:sz w:val="16"/>
        <w:szCs w:val="16"/>
      </w:rPr>
    </w:pPr>
  </w:p>
  <w:p w14:paraId="10749F22" w14:textId="37771A74" w:rsidR="00C812CB" w:rsidRPr="00C35168" w:rsidRDefault="00C812CB"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B27B40">
      <w:rPr>
        <w:rFonts w:cs="Arial"/>
        <w:noProof/>
        <w:sz w:val="16"/>
        <w:szCs w:val="16"/>
      </w:rPr>
      <w:t>8</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B27B40">
      <w:rPr>
        <w:rFonts w:cs="Arial"/>
        <w:noProof/>
        <w:sz w:val="16"/>
        <w:szCs w:val="16"/>
      </w:rPr>
      <w:t>8</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BF3D3" w14:textId="77777777" w:rsidR="00856B8C" w:rsidRDefault="00856B8C">
      <w:r>
        <w:separator/>
      </w:r>
    </w:p>
  </w:footnote>
  <w:footnote w:type="continuationSeparator" w:id="0">
    <w:p w14:paraId="4D4BB709" w14:textId="77777777" w:rsidR="00856B8C" w:rsidRDefault="00856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04484DED" w:rsidR="00C812CB" w:rsidRPr="00125A9E" w:rsidRDefault="00B27B40"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5.3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21CA6"/>
    <w:multiLevelType w:val="multilevel"/>
    <w:tmpl w:val="40F448DA"/>
    <w:lvl w:ilvl="0">
      <w:start w:val="1"/>
      <w:numFmt w:val="decimal"/>
      <w:lvlText w:val="%1."/>
      <w:lvlJc w:val="left"/>
      <w:pPr>
        <w:ind w:left="720" w:hanging="360"/>
      </w:pPr>
      <w:rPr>
        <w:rFonts w:hint="default"/>
      </w:rPr>
    </w:lvl>
    <w:lvl w:ilvl="1">
      <w:start w:val="1"/>
      <w:numFmt w:val="decimal"/>
      <w:isLgl/>
      <w:lvlText w:val="%1.%2"/>
      <w:lvlJc w:val="left"/>
      <w:pPr>
        <w:ind w:left="760" w:hanging="360"/>
      </w:pPr>
      <w:rPr>
        <w:rFonts w:ascii="Calibri" w:hAnsi="Calibri" w:hint="default"/>
        <w:b/>
        <w:sz w:val="22"/>
      </w:rPr>
    </w:lvl>
    <w:lvl w:ilvl="2">
      <w:start w:val="1"/>
      <w:numFmt w:val="decimal"/>
      <w:isLgl/>
      <w:lvlText w:val="%1.%2.%3"/>
      <w:lvlJc w:val="left"/>
      <w:pPr>
        <w:ind w:left="1160" w:hanging="720"/>
      </w:pPr>
      <w:rPr>
        <w:rFonts w:ascii="Calibri" w:hAnsi="Calibri" w:hint="default"/>
        <w:b/>
        <w:sz w:val="22"/>
      </w:rPr>
    </w:lvl>
    <w:lvl w:ilvl="3">
      <w:start w:val="1"/>
      <w:numFmt w:val="decimal"/>
      <w:isLgl/>
      <w:lvlText w:val="%1.%2.%3.%4"/>
      <w:lvlJc w:val="left"/>
      <w:pPr>
        <w:ind w:left="1560" w:hanging="1080"/>
      </w:pPr>
      <w:rPr>
        <w:rFonts w:ascii="Calibri" w:hAnsi="Calibri" w:hint="default"/>
        <w:b/>
        <w:sz w:val="22"/>
      </w:rPr>
    </w:lvl>
    <w:lvl w:ilvl="4">
      <w:start w:val="1"/>
      <w:numFmt w:val="decimal"/>
      <w:isLgl/>
      <w:lvlText w:val="%1.%2.%3.%4.%5"/>
      <w:lvlJc w:val="left"/>
      <w:pPr>
        <w:ind w:left="1600" w:hanging="1080"/>
      </w:pPr>
      <w:rPr>
        <w:rFonts w:ascii="Calibri" w:hAnsi="Calibri" w:hint="default"/>
        <w:b/>
        <w:sz w:val="22"/>
      </w:rPr>
    </w:lvl>
    <w:lvl w:ilvl="5">
      <w:start w:val="1"/>
      <w:numFmt w:val="decimal"/>
      <w:isLgl/>
      <w:lvlText w:val="%1.%2.%3.%4.%5.%6"/>
      <w:lvlJc w:val="left"/>
      <w:pPr>
        <w:ind w:left="2000" w:hanging="1440"/>
      </w:pPr>
      <w:rPr>
        <w:rFonts w:ascii="Calibri" w:hAnsi="Calibri" w:hint="default"/>
        <w:b/>
        <w:sz w:val="22"/>
      </w:rPr>
    </w:lvl>
    <w:lvl w:ilvl="6">
      <w:start w:val="1"/>
      <w:numFmt w:val="decimal"/>
      <w:isLgl/>
      <w:lvlText w:val="%1.%2.%3.%4.%5.%6.%7"/>
      <w:lvlJc w:val="left"/>
      <w:pPr>
        <w:ind w:left="2040" w:hanging="1440"/>
      </w:pPr>
      <w:rPr>
        <w:rFonts w:ascii="Calibri" w:hAnsi="Calibri" w:hint="default"/>
        <w:b/>
        <w:sz w:val="22"/>
      </w:rPr>
    </w:lvl>
    <w:lvl w:ilvl="7">
      <w:start w:val="1"/>
      <w:numFmt w:val="decimal"/>
      <w:isLgl/>
      <w:lvlText w:val="%1.%2.%3.%4.%5.%6.%7.%8"/>
      <w:lvlJc w:val="left"/>
      <w:pPr>
        <w:ind w:left="2440" w:hanging="1800"/>
      </w:pPr>
      <w:rPr>
        <w:rFonts w:ascii="Calibri" w:hAnsi="Calibri" w:hint="default"/>
        <w:b/>
        <w:sz w:val="22"/>
      </w:rPr>
    </w:lvl>
    <w:lvl w:ilvl="8">
      <w:start w:val="1"/>
      <w:numFmt w:val="decimal"/>
      <w:isLgl/>
      <w:lvlText w:val="%1.%2.%3.%4.%5.%6.%7.%8.%9"/>
      <w:lvlJc w:val="left"/>
      <w:pPr>
        <w:ind w:left="2480" w:hanging="1800"/>
      </w:pPr>
      <w:rPr>
        <w:rFonts w:ascii="Calibri" w:hAnsi="Calibri" w:hint="default"/>
        <w:b/>
        <w:sz w:val="22"/>
      </w:rPr>
    </w:lvl>
  </w:abstractNum>
  <w:abstractNum w:abstractNumId="1" w15:restartNumberingAfterBreak="0">
    <w:nsid w:val="14AE175B"/>
    <w:multiLevelType w:val="hybridMultilevel"/>
    <w:tmpl w:val="8392DCA4"/>
    <w:lvl w:ilvl="0" w:tplc="08090001">
      <w:start w:val="1"/>
      <w:numFmt w:val="bullet"/>
      <w:lvlText w:val=""/>
      <w:lvlJc w:val="left"/>
      <w:pPr>
        <w:ind w:left="1076" w:hanging="360"/>
      </w:pPr>
      <w:rPr>
        <w:rFonts w:ascii="Symbol" w:hAnsi="Symbol" w:hint="default"/>
      </w:rPr>
    </w:lvl>
    <w:lvl w:ilvl="1" w:tplc="08090003" w:tentative="1">
      <w:start w:val="1"/>
      <w:numFmt w:val="bullet"/>
      <w:lvlText w:val="o"/>
      <w:lvlJc w:val="left"/>
      <w:pPr>
        <w:ind w:left="1796" w:hanging="360"/>
      </w:pPr>
      <w:rPr>
        <w:rFonts w:ascii="Courier New" w:hAnsi="Courier New" w:cs="Courier New" w:hint="default"/>
      </w:rPr>
    </w:lvl>
    <w:lvl w:ilvl="2" w:tplc="08090005" w:tentative="1">
      <w:start w:val="1"/>
      <w:numFmt w:val="bullet"/>
      <w:lvlText w:val=""/>
      <w:lvlJc w:val="left"/>
      <w:pPr>
        <w:ind w:left="2516" w:hanging="360"/>
      </w:pPr>
      <w:rPr>
        <w:rFonts w:ascii="Wingdings" w:hAnsi="Wingdings" w:hint="default"/>
      </w:rPr>
    </w:lvl>
    <w:lvl w:ilvl="3" w:tplc="08090001" w:tentative="1">
      <w:start w:val="1"/>
      <w:numFmt w:val="bullet"/>
      <w:lvlText w:val=""/>
      <w:lvlJc w:val="left"/>
      <w:pPr>
        <w:ind w:left="3236" w:hanging="360"/>
      </w:pPr>
      <w:rPr>
        <w:rFonts w:ascii="Symbol" w:hAnsi="Symbol" w:hint="default"/>
      </w:rPr>
    </w:lvl>
    <w:lvl w:ilvl="4" w:tplc="08090003" w:tentative="1">
      <w:start w:val="1"/>
      <w:numFmt w:val="bullet"/>
      <w:lvlText w:val="o"/>
      <w:lvlJc w:val="left"/>
      <w:pPr>
        <w:ind w:left="3956" w:hanging="360"/>
      </w:pPr>
      <w:rPr>
        <w:rFonts w:ascii="Courier New" w:hAnsi="Courier New" w:cs="Courier New" w:hint="default"/>
      </w:rPr>
    </w:lvl>
    <w:lvl w:ilvl="5" w:tplc="08090005" w:tentative="1">
      <w:start w:val="1"/>
      <w:numFmt w:val="bullet"/>
      <w:lvlText w:val=""/>
      <w:lvlJc w:val="left"/>
      <w:pPr>
        <w:ind w:left="4676" w:hanging="360"/>
      </w:pPr>
      <w:rPr>
        <w:rFonts w:ascii="Wingdings" w:hAnsi="Wingdings" w:hint="default"/>
      </w:rPr>
    </w:lvl>
    <w:lvl w:ilvl="6" w:tplc="08090001" w:tentative="1">
      <w:start w:val="1"/>
      <w:numFmt w:val="bullet"/>
      <w:lvlText w:val=""/>
      <w:lvlJc w:val="left"/>
      <w:pPr>
        <w:ind w:left="5396" w:hanging="360"/>
      </w:pPr>
      <w:rPr>
        <w:rFonts w:ascii="Symbol" w:hAnsi="Symbol" w:hint="default"/>
      </w:rPr>
    </w:lvl>
    <w:lvl w:ilvl="7" w:tplc="08090003" w:tentative="1">
      <w:start w:val="1"/>
      <w:numFmt w:val="bullet"/>
      <w:lvlText w:val="o"/>
      <w:lvlJc w:val="left"/>
      <w:pPr>
        <w:ind w:left="6116" w:hanging="360"/>
      </w:pPr>
      <w:rPr>
        <w:rFonts w:ascii="Courier New" w:hAnsi="Courier New" w:cs="Courier New" w:hint="default"/>
      </w:rPr>
    </w:lvl>
    <w:lvl w:ilvl="8" w:tplc="08090005" w:tentative="1">
      <w:start w:val="1"/>
      <w:numFmt w:val="bullet"/>
      <w:lvlText w:val=""/>
      <w:lvlJc w:val="left"/>
      <w:pPr>
        <w:ind w:left="6836" w:hanging="360"/>
      </w:pPr>
      <w:rPr>
        <w:rFonts w:ascii="Wingdings" w:hAnsi="Wingdings" w:hint="default"/>
      </w:rPr>
    </w:lvl>
  </w:abstractNum>
  <w:abstractNum w:abstractNumId="2" w15:restartNumberingAfterBreak="0">
    <w:nsid w:val="18DA0964"/>
    <w:multiLevelType w:val="hybridMultilevel"/>
    <w:tmpl w:val="33CC6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70FA1"/>
    <w:multiLevelType w:val="hybridMultilevel"/>
    <w:tmpl w:val="A6B2A0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6E563F"/>
    <w:multiLevelType w:val="hybridMultilevel"/>
    <w:tmpl w:val="563CD2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EB1704"/>
    <w:multiLevelType w:val="hybridMultilevel"/>
    <w:tmpl w:val="648CA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751419"/>
    <w:multiLevelType w:val="hybridMultilevel"/>
    <w:tmpl w:val="FDA8BF1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992415"/>
    <w:multiLevelType w:val="multilevel"/>
    <w:tmpl w:val="EAF2E6C2"/>
    <w:lvl w:ilvl="0">
      <w:start w:val="2"/>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F73BCF"/>
    <w:multiLevelType w:val="hybridMultilevel"/>
    <w:tmpl w:val="4D9CC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604587"/>
    <w:multiLevelType w:val="hybridMultilevel"/>
    <w:tmpl w:val="DB444044"/>
    <w:lvl w:ilvl="0" w:tplc="5BBA5E2A">
      <w:start w:val="2"/>
      <w:numFmt w:val="bullet"/>
      <w:lvlText w:val="-"/>
      <w:lvlJc w:val="left"/>
      <w:pPr>
        <w:ind w:left="1076" w:hanging="360"/>
      </w:pPr>
      <w:rPr>
        <w:rFonts w:ascii="Arial" w:eastAsia="Times New Roman" w:hAnsi="Arial" w:cs="Arial" w:hint="default"/>
      </w:rPr>
    </w:lvl>
    <w:lvl w:ilvl="1" w:tplc="08090003" w:tentative="1">
      <w:start w:val="1"/>
      <w:numFmt w:val="bullet"/>
      <w:lvlText w:val="o"/>
      <w:lvlJc w:val="left"/>
      <w:pPr>
        <w:ind w:left="1796" w:hanging="360"/>
      </w:pPr>
      <w:rPr>
        <w:rFonts w:ascii="Courier New" w:hAnsi="Courier New" w:cs="Courier New" w:hint="default"/>
      </w:rPr>
    </w:lvl>
    <w:lvl w:ilvl="2" w:tplc="08090005" w:tentative="1">
      <w:start w:val="1"/>
      <w:numFmt w:val="bullet"/>
      <w:lvlText w:val=""/>
      <w:lvlJc w:val="left"/>
      <w:pPr>
        <w:ind w:left="2516" w:hanging="360"/>
      </w:pPr>
      <w:rPr>
        <w:rFonts w:ascii="Wingdings" w:hAnsi="Wingdings" w:hint="default"/>
      </w:rPr>
    </w:lvl>
    <w:lvl w:ilvl="3" w:tplc="08090001" w:tentative="1">
      <w:start w:val="1"/>
      <w:numFmt w:val="bullet"/>
      <w:lvlText w:val=""/>
      <w:lvlJc w:val="left"/>
      <w:pPr>
        <w:ind w:left="3236" w:hanging="360"/>
      </w:pPr>
      <w:rPr>
        <w:rFonts w:ascii="Symbol" w:hAnsi="Symbol" w:hint="default"/>
      </w:rPr>
    </w:lvl>
    <w:lvl w:ilvl="4" w:tplc="08090003" w:tentative="1">
      <w:start w:val="1"/>
      <w:numFmt w:val="bullet"/>
      <w:lvlText w:val="o"/>
      <w:lvlJc w:val="left"/>
      <w:pPr>
        <w:ind w:left="3956" w:hanging="360"/>
      </w:pPr>
      <w:rPr>
        <w:rFonts w:ascii="Courier New" w:hAnsi="Courier New" w:cs="Courier New" w:hint="default"/>
      </w:rPr>
    </w:lvl>
    <w:lvl w:ilvl="5" w:tplc="08090005" w:tentative="1">
      <w:start w:val="1"/>
      <w:numFmt w:val="bullet"/>
      <w:lvlText w:val=""/>
      <w:lvlJc w:val="left"/>
      <w:pPr>
        <w:ind w:left="4676" w:hanging="360"/>
      </w:pPr>
      <w:rPr>
        <w:rFonts w:ascii="Wingdings" w:hAnsi="Wingdings" w:hint="default"/>
      </w:rPr>
    </w:lvl>
    <w:lvl w:ilvl="6" w:tplc="08090001" w:tentative="1">
      <w:start w:val="1"/>
      <w:numFmt w:val="bullet"/>
      <w:lvlText w:val=""/>
      <w:lvlJc w:val="left"/>
      <w:pPr>
        <w:ind w:left="5396" w:hanging="360"/>
      </w:pPr>
      <w:rPr>
        <w:rFonts w:ascii="Symbol" w:hAnsi="Symbol" w:hint="default"/>
      </w:rPr>
    </w:lvl>
    <w:lvl w:ilvl="7" w:tplc="08090003" w:tentative="1">
      <w:start w:val="1"/>
      <w:numFmt w:val="bullet"/>
      <w:lvlText w:val="o"/>
      <w:lvlJc w:val="left"/>
      <w:pPr>
        <w:ind w:left="6116" w:hanging="360"/>
      </w:pPr>
      <w:rPr>
        <w:rFonts w:ascii="Courier New" w:hAnsi="Courier New" w:cs="Courier New" w:hint="default"/>
      </w:rPr>
    </w:lvl>
    <w:lvl w:ilvl="8" w:tplc="08090005" w:tentative="1">
      <w:start w:val="1"/>
      <w:numFmt w:val="bullet"/>
      <w:lvlText w:val=""/>
      <w:lvlJc w:val="left"/>
      <w:pPr>
        <w:ind w:left="6836" w:hanging="360"/>
      </w:pPr>
      <w:rPr>
        <w:rFonts w:ascii="Wingdings" w:hAnsi="Wingdings" w:hint="default"/>
      </w:rPr>
    </w:lvl>
  </w:abstractNum>
  <w:abstractNum w:abstractNumId="11"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101FA3"/>
    <w:multiLevelType w:val="hybridMultilevel"/>
    <w:tmpl w:val="7DAE1C6E"/>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3" w15:restartNumberingAfterBreak="0">
    <w:nsid w:val="54E2278E"/>
    <w:multiLevelType w:val="hybridMultilevel"/>
    <w:tmpl w:val="6B2AB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E66433"/>
    <w:multiLevelType w:val="hybridMultilevel"/>
    <w:tmpl w:val="6C3499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DF271E9"/>
    <w:multiLevelType w:val="multilevel"/>
    <w:tmpl w:val="8CA038F4"/>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5"/>
  </w:num>
  <w:num w:numId="3">
    <w:abstractNumId w:val="7"/>
  </w:num>
  <w:num w:numId="4">
    <w:abstractNumId w:val="12"/>
  </w:num>
  <w:num w:numId="5">
    <w:abstractNumId w:val="10"/>
  </w:num>
  <w:num w:numId="6">
    <w:abstractNumId w:val="8"/>
  </w:num>
  <w:num w:numId="7">
    <w:abstractNumId w:val="4"/>
  </w:num>
  <w:num w:numId="8">
    <w:abstractNumId w:val="2"/>
  </w:num>
  <w:num w:numId="9">
    <w:abstractNumId w:val="13"/>
  </w:num>
  <w:num w:numId="10">
    <w:abstractNumId w:val="9"/>
  </w:num>
  <w:num w:numId="11">
    <w:abstractNumId w:val="15"/>
  </w:num>
  <w:num w:numId="12">
    <w:abstractNumId w:val="0"/>
  </w:num>
  <w:num w:numId="13">
    <w:abstractNumId w:val="14"/>
  </w:num>
  <w:num w:numId="14">
    <w:abstractNumId w:val="6"/>
  </w:num>
  <w:num w:numId="15">
    <w:abstractNumId w:val="4"/>
  </w:num>
  <w:num w:numId="16">
    <w:abstractNumId w:val="3"/>
  </w:num>
  <w:num w:numId="1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00694"/>
    <w:rsid w:val="000007F9"/>
    <w:rsid w:val="00002A60"/>
    <w:rsid w:val="00010DA6"/>
    <w:rsid w:val="00014FA3"/>
    <w:rsid w:val="00022E72"/>
    <w:rsid w:val="000236D4"/>
    <w:rsid w:val="0002419D"/>
    <w:rsid w:val="0003098A"/>
    <w:rsid w:val="000320AB"/>
    <w:rsid w:val="00046BEC"/>
    <w:rsid w:val="00047714"/>
    <w:rsid w:val="00066D88"/>
    <w:rsid w:val="00075D29"/>
    <w:rsid w:val="00085864"/>
    <w:rsid w:val="00091974"/>
    <w:rsid w:val="000945DB"/>
    <w:rsid w:val="000A0538"/>
    <w:rsid w:val="000B053E"/>
    <w:rsid w:val="000B0878"/>
    <w:rsid w:val="000B4423"/>
    <w:rsid w:val="000C2D67"/>
    <w:rsid w:val="000C4DE8"/>
    <w:rsid w:val="000D0793"/>
    <w:rsid w:val="000D2AD7"/>
    <w:rsid w:val="000D3169"/>
    <w:rsid w:val="000D3B7B"/>
    <w:rsid w:val="000E63F8"/>
    <w:rsid w:val="000F7706"/>
    <w:rsid w:val="00111BB4"/>
    <w:rsid w:val="00112DFB"/>
    <w:rsid w:val="00122126"/>
    <w:rsid w:val="00125A9E"/>
    <w:rsid w:val="00127DF9"/>
    <w:rsid w:val="00131002"/>
    <w:rsid w:val="00135566"/>
    <w:rsid w:val="0013596B"/>
    <w:rsid w:val="001376E7"/>
    <w:rsid w:val="0014041C"/>
    <w:rsid w:val="00140DB3"/>
    <w:rsid w:val="00165342"/>
    <w:rsid w:val="00165AC2"/>
    <w:rsid w:val="00191294"/>
    <w:rsid w:val="00191B18"/>
    <w:rsid w:val="001956D2"/>
    <w:rsid w:val="001971EF"/>
    <w:rsid w:val="001A5F11"/>
    <w:rsid w:val="001C12CA"/>
    <w:rsid w:val="001C1ABD"/>
    <w:rsid w:val="001C5704"/>
    <w:rsid w:val="001D110F"/>
    <w:rsid w:val="001D4870"/>
    <w:rsid w:val="001D4ADD"/>
    <w:rsid w:val="001E099D"/>
    <w:rsid w:val="001E12C4"/>
    <w:rsid w:val="001E1CAA"/>
    <w:rsid w:val="001F4261"/>
    <w:rsid w:val="002009A4"/>
    <w:rsid w:val="00206063"/>
    <w:rsid w:val="00206765"/>
    <w:rsid w:val="00210BF4"/>
    <w:rsid w:val="00214F15"/>
    <w:rsid w:val="00226DEB"/>
    <w:rsid w:val="0023473B"/>
    <w:rsid w:val="002414A4"/>
    <w:rsid w:val="00242A41"/>
    <w:rsid w:val="00253F78"/>
    <w:rsid w:val="002561CA"/>
    <w:rsid w:val="00256E68"/>
    <w:rsid w:val="00263876"/>
    <w:rsid w:val="002658DA"/>
    <w:rsid w:val="00266889"/>
    <w:rsid w:val="00270E57"/>
    <w:rsid w:val="00280A75"/>
    <w:rsid w:val="00286319"/>
    <w:rsid w:val="002903E4"/>
    <w:rsid w:val="0029113E"/>
    <w:rsid w:val="00295382"/>
    <w:rsid w:val="002B0EE5"/>
    <w:rsid w:val="002B3687"/>
    <w:rsid w:val="002B4CA3"/>
    <w:rsid w:val="002C3139"/>
    <w:rsid w:val="002C3A36"/>
    <w:rsid w:val="002D6AB2"/>
    <w:rsid w:val="002E015D"/>
    <w:rsid w:val="002E0836"/>
    <w:rsid w:val="002E395A"/>
    <w:rsid w:val="002F013E"/>
    <w:rsid w:val="00306867"/>
    <w:rsid w:val="003315A9"/>
    <w:rsid w:val="00331629"/>
    <w:rsid w:val="00332623"/>
    <w:rsid w:val="0033653B"/>
    <w:rsid w:val="00336C89"/>
    <w:rsid w:val="0033790B"/>
    <w:rsid w:val="003404CC"/>
    <w:rsid w:val="00343D03"/>
    <w:rsid w:val="00373C97"/>
    <w:rsid w:val="003746F5"/>
    <w:rsid w:val="00393185"/>
    <w:rsid w:val="00396882"/>
    <w:rsid w:val="003A197D"/>
    <w:rsid w:val="003A7E12"/>
    <w:rsid w:val="003B00E8"/>
    <w:rsid w:val="003B3952"/>
    <w:rsid w:val="003C2A86"/>
    <w:rsid w:val="003C6952"/>
    <w:rsid w:val="003F0B19"/>
    <w:rsid w:val="003F5E80"/>
    <w:rsid w:val="003F7B53"/>
    <w:rsid w:val="003F7C4B"/>
    <w:rsid w:val="003F7F61"/>
    <w:rsid w:val="00403527"/>
    <w:rsid w:val="00407689"/>
    <w:rsid w:val="00413347"/>
    <w:rsid w:val="00413632"/>
    <w:rsid w:val="00415917"/>
    <w:rsid w:val="00430C09"/>
    <w:rsid w:val="0043119A"/>
    <w:rsid w:val="00431D14"/>
    <w:rsid w:val="00435A5E"/>
    <w:rsid w:val="00446219"/>
    <w:rsid w:val="00446589"/>
    <w:rsid w:val="00447ED2"/>
    <w:rsid w:val="00456BD6"/>
    <w:rsid w:val="00467142"/>
    <w:rsid w:val="00467E06"/>
    <w:rsid w:val="0047433E"/>
    <w:rsid w:val="0048179C"/>
    <w:rsid w:val="004877BC"/>
    <w:rsid w:val="004902DB"/>
    <w:rsid w:val="004907A8"/>
    <w:rsid w:val="004909C8"/>
    <w:rsid w:val="0049117C"/>
    <w:rsid w:val="00493CFC"/>
    <w:rsid w:val="00495B36"/>
    <w:rsid w:val="004970BE"/>
    <w:rsid w:val="004A1153"/>
    <w:rsid w:val="004A642E"/>
    <w:rsid w:val="004C01B2"/>
    <w:rsid w:val="004C14EC"/>
    <w:rsid w:val="004C24DE"/>
    <w:rsid w:val="004C3E0F"/>
    <w:rsid w:val="004C43CF"/>
    <w:rsid w:val="004D49AA"/>
    <w:rsid w:val="004D7317"/>
    <w:rsid w:val="004E1677"/>
    <w:rsid w:val="004E32E6"/>
    <w:rsid w:val="004E7CAA"/>
    <w:rsid w:val="004F3292"/>
    <w:rsid w:val="00512F45"/>
    <w:rsid w:val="00514A18"/>
    <w:rsid w:val="00523BD1"/>
    <w:rsid w:val="00531083"/>
    <w:rsid w:val="00534536"/>
    <w:rsid w:val="0053665A"/>
    <w:rsid w:val="00542498"/>
    <w:rsid w:val="00545A57"/>
    <w:rsid w:val="0055120A"/>
    <w:rsid w:val="00552A7F"/>
    <w:rsid w:val="0055666A"/>
    <w:rsid w:val="005757C3"/>
    <w:rsid w:val="00582C3E"/>
    <w:rsid w:val="0058668E"/>
    <w:rsid w:val="00591C18"/>
    <w:rsid w:val="005A3216"/>
    <w:rsid w:val="005A430D"/>
    <w:rsid w:val="005A7D30"/>
    <w:rsid w:val="005C2404"/>
    <w:rsid w:val="005C306C"/>
    <w:rsid w:val="005C3425"/>
    <w:rsid w:val="005C7483"/>
    <w:rsid w:val="005D3255"/>
    <w:rsid w:val="005E0F21"/>
    <w:rsid w:val="005E2FCE"/>
    <w:rsid w:val="005E4962"/>
    <w:rsid w:val="005F747B"/>
    <w:rsid w:val="006003FA"/>
    <w:rsid w:val="00601C54"/>
    <w:rsid w:val="00610728"/>
    <w:rsid w:val="00612F04"/>
    <w:rsid w:val="0061505B"/>
    <w:rsid w:val="006173A9"/>
    <w:rsid w:val="00622260"/>
    <w:rsid w:val="00626BF0"/>
    <w:rsid w:val="0063329E"/>
    <w:rsid w:val="006332A3"/>
    <w:rsid w:val="00643459"/>
    <w:rsid w:val="006454BC"/>
    <w:rsid w:val="006456D0"/>
    <w:rsid w:val="0064722E"/>
    <w:rsid w:val="0064794D"/>
    <w:rsid w:val="00653169"/>
    <w:rsid w:val="0066436C"/>
    <w:rsid w:val="006643F7"/>
    <w:rsid w:val="00667A65"/>
    <w:rsid w:val="0067320B"/>
    <w:rsid w:val="006765DF"/>
    <w:rsid w:val="006805EB"/>
    <w:rsid w:val="00684E30"/>
    <w:rsid w:val="006865DD"/>
    <w:rsid w:val="00692E59"/>
    <w:rsid w:val="00694368"/>
    <w:rsid w:val="00697343"/>
    <w:rsid w:val="006D0D6A"/>
    <w:rsid w:val="006D1343"/>
    <w:rsid w:val="006E1AAC"/>
    <w:rsid w:val="006F5761"/>
    <w:rsid w:val="006F7273"/>
    <w:rsid w:val="00700004"/>
    <w:rsid w:val="00703A97"/>
    <w:rsid w:val="00711592"/>
    <w:rsid w:val="0071508E"/>
    <w:rsid w:val="00716E7D"/>
    <w:rsid w:val="007341D0"/>
    <w:rsid w:val="00734B62"/>
    <w:rsid w:val="0073796E"/>
    <w:rsid w:val="00743FAD"/>
    <w:rsid w:val="00752FE5"/>
    <w:rsid w:val="00755C3A"/>
    <w:rsid w:val="0076228A"/>
    <w:rsid w:val="0076338E"/>
    <w:rsid w:val="007660E0"/>
    <w:rsid w:val="00767913"/>
    <w:rsid w:val="00782471"/>
    <w:rsid w:val="007869EC"/>
    <w:rsid w:val="007A0A69"/>
    <w:rsid w:val="007B26E8"/>
    <w:rsid w:val="007B7D8A"/>
    <w:rsid w:val="007D3C47"/>
    <w:rsid w:val="007E1058"/>
    <w:rsid w:val="007E197F"/>
    <w:rsid w:val="007E3992"/>
    <w:rsid w:val="007E5AC3"/>
    <w:rsid w:val="007F0741"/>
    <w:rsid w:val="007F0FC3"/>
    <w:rsid w:val="007F2F43"/>
    <w:rsid w:val="007F32CF"/>
    <w:rsid w:val="007F75AA"/>
    <w:rsid w:val="00806BE7"/>
    <w:rsid w:val="00810D96"/>
    <w:rsid w:val="00810E9C"/>
    <w:rsid w:val="00816E22"/>
    <w:rsid w:val="00822B20"/>
    <w:rsid w:val="00824DE5"/>
    <w:rsid w:val="00830999"/>
    <w:rsid w:val="00835A56"/>
    <w:rsid w:val="00840E0A"/>
    <w:rsid w:val="0084552B"/>
    <w:rsid w:val="00853DBA"/>
    <w:rsid w:val="00856B8C"/>
    <w:rsid w:val="00864521"/>
    <w:rsid w:val="00870D89"/>
    <w:rsid w:val="008712F9"/>
    <w:rsid w:val="008A3B48"/>
    <w:rsid w:val="008A5B73"/>
    <w:rsid w:val="008C7A05"/>
    <w:rsid w:val="008D2C76"/>
    <w:rsid w:val="008D6F9D"/>
    <w:rsid w:val="008E1D2F"/>
    <w:rsid w:val="008E2933"/>
    <w:rsid w:val="008F7C1C"/>
    <w:rsid w:val="009024E9"/>
    <w:rsid w:val="00904D2D"/>
    <w:rsid w:val="00914B4E"/>
    <w:rsid w:val="00916BA0"/>
    <w:rsid w:val="009260E6"/>
    <w:rsid w:val="00927C6C"/>
    <w:rsid w:val="00944362"/>
    <w:rsid w:val="00946B03"/>
    <w:rsid w:val="00955F34"/>
    <w:rsid w:val="00957256"/>
    <w:rsid w:val="0096075E"/>
    <w:rsid w:val="00960CC1"/>
    <w:rsid w:val="00965CFE"/>
    <w:rsid w:val="00972BED"/>
    <w:rsid w:val="00973DC4"/>
    <w:rsid w:val="0097589B"/>
    <w:rsid w:val="009807B4"/>
    <w:rsid w:val="00981126"/>
    <w:rsid w:val="00981776"/>
    <w:rsid w:val="009829C1"/>
    <w:rsid w:val="00987B16"/>
    <w:rsid w:val="009910F7"/>
    <w:rsid w:val="00993E70"/>
    <w:rsid w:val="009A0EA4"/>
    <w:rsid w:val="009A1557"/>
    <w:rsid w:val="009A2F5E"/>
    <w:rsid w:val="009B3CAD"/>
    <w:rsid w:val="009C2E17"/>
    <w:rsid w:val="009C46CE"/>
    <w:rsid w:val="009C5F2E"/>
    <w:rsid w:val="009D255F"/>
    <w:rsid w:val="009D41D6"/>
    <w:rsid w:val="009E1102"/>
    <w:rsid w:val="009E43CC"/>
    <w:rsid w:val="009F3286"/>
    <w:rsid w:val="009F4B70"/>
    <w:rsid w:val="009F7FB2"/>
    <w:rsid w:val="00A00AF6"/>
    <w:rsid w:val="00A020AD"/>
    <w:rsid w:val="00A07406"/>
    <w:rsid w:val="00A12E49"/>
    <w:rsid w:val="00A2680C"/>
    <w:rsid w:val="00A3200A"/>
    <w:rsid w:val="00A41595"/>
    <w:rsid w:val="00A4276D"/>
    <w:rsid w:val="00A42C30"/>
    <w:rsid w:val="00A43090"/>
    <w:rsid w:val="00A454E5"/>
    <w:rsid w:val="00A54B81"/>
    <w:rsid w:val="00A57F88"/>
    <w:rsid w:val="00A62B58"/>
    <w:rsid w:val="00A670CB"/>
    <w:rsid w:val="00A7318C"/>
    <w:rsid w:val="00A754B5"/>
    <w:rsid w:val="00A82C33"/>
    <w:rsid w:val="00A84C97"/>
    <w:rsid w:val="00A87EDE"/>
    <w:rsid w:val="00A90539"/>
    <w:rsid w:val="00AA0B7C"/>
    <w:rsid w:val="00AA5FE0"/>
    <w:rsid w:val="00AA76DA"/>
    <w:rsid w:val="00AA77F7"/>
    <w:rsid w:val="00AB0306"/>
    <w:rsid w:val="00AB497E"/>
    <w:rsid w:val="00AB5EFB"/>
    <w:rsid w:val="00AC4BEB"/>
    <w:rsid w:val="00AD1270"/>
    <w:rsid w:val="00AD28C4"/>
    <w:rsid w:val="00AD29F4"/>
    <w:rsid w:val="00AD62B6"/>
    <w:rsid w:val="00AE19DC"/>
    <w:rsid w:val="00AE32A4"/>
    <w:rsid w:val="00AE522B"/>
    <w:rsid w:val="00AF0530"/>
    <w:rsid w:val="00AF356A"/>
    <w:rsid w:val="00AF791C"/>
    <w:rsid w:val="00B01FAA"/>
    <w:rsid w:val="00B15C9F"/>
    <w:rsid w:val="00B178D4"/>
    <w:rsid w:val="00B27B40"/>
    <w:rsid w:val="00B43605"/>
    <w:rsid w:val="00B43DF1"/>
    <w:rsid w:val="00B46C71"/>
    <w:rsid w:val="00B5130B"/>
    <w:rsid w:val="00B52C65"/>
    <w:rsid w:val="00B546C8"/>
    <w:rsid w:val="00B560F7"/>
    <w:rsid w:val="00B562FA"/>
    <w:rsid w:val="00B6182F"/>
    <w:rsid w:val="00B62E37"/>
    <w:rsid w:val="00B67B63"/>
    <w:rsid w:val="00B72B0B"/>
    <w:rsid w:val="00B7445F"/>
    <w:rsid w:val="00B75A9F"/>
    <w:rsid w:val="00B77902"/>
    <w:rsid w:val="00B815B1"/>
    <w:rsid w:val="00B82A28"/>
    <w:rsid w:val="00B851FC"/>
    <w:rsid w:val="00B85C76"/>
    <w:rsid w:val="00B91E34"/>
    <w:rsid w:val="00B9246A"/>
    <w:rsid w:val="00BA1BBF"/>
    <w:rsid w:val="00BA6180"/>
    <w:rsid w:val="00BA6C68"/>
    <w:rsid w:val="00BB155D"/>
    <w:rsid w:val="00BC077A"/>
    <w:rsid w:val="00BC68C3"/>
    <w:rsid w:val="00BE0309"/>
    <w:rsid w:val="00BE270B"/>
    <w:rsid w:val="00BE29B3"/>
    <w:rsid w:val="00BE3134"/>
    <w:rsid w:val="00BF3AF0"/>
    <w:rsid w:val="00BF4201"/>
    <w:rsid w:val="00BF6C27"/>
    <w:rsid w:val="00C057A4"/>
    <w:rsid w:val="00C07A4C"/>
    <w:rsid w:val="00C13B16"/>
    <w:rsid w:val="00C20E44"/>
    <w:rsid w:val="00C25630"/>
    <w:rsid w:val="00C33881"/>
    <w:rsid w:val="00C34EE7"/>
    <w:rsid w:val="00C45147"/>
    <w:rsid w:val="00C50AAE"/>
    <w:rsid w:val="00C75F35"/>
    <w:rsid w:val="00C77B47"/>
    <w:rsid w:val="00C8128B"/>
    <w:rsid w:val="00C812CB"/>
    <w:rsid w:val="00C81BBC"/>
    <w:rsid w:val="00C85868"/>
    <w:rsid w:val="00C8635D"/>
    <w:rsid w:val="00C86A75"/>
    <w:rsid w:val="00C87B62"/>
    <w:rsid w:val="00C94BF7"/>
    <w:rsid w:val="00C967D6"/>
    <w:rsid w:val="00CA46E0"/>
    <w:rsid w:val="00CB465B"/>
    <w:rsid w:val="00CB54DA"/>
    <w:rsid w:val="00CB604F"/>
    <w:rsid w:val="00CD0040"/>
    <w:rsid w:val="00CF4E6A"/>
    <w:rsid w:val="00CF6240"/>
    <w:rsid w:val="00D151F6"/>
    <w:rsid w:val="00D24DE1"/>
    <w:rsid w:val="00D268E0"/>
    <w:rsid w:val="00D345DA"/>
    <w:rsid w:val="00D36AB1"/>
    <w:rsid w:val="00D40E95"/>
    <w:rsid w:val="00D415A8"/>
    <w:rsid w:val="00D44AB6"/>
    <w:rsid w:val="00D44E43"/>
    <w:rsid w:val="00D510E4"/>
    <w:rsid w:val="00D51704"/>
    <w:rsid w:val="00D54D58"/>
    <w:rsid w:val="00D648DC"/>
    <w:rsid w:val="00D64D23"/>
    <w:rsid w:val="00D81CE2"/>
    <w:rsid w:val="00D96685"/>
    <w:rsid w:val="00DA1219"/>
    <w:rsid w:val="00DB319E"/>
    <w:rsid w:val="00DC5751"/>
    <w:rsid w:val="00DD2D3D"/>
    <w:rsid w:val="00DD51CF"/>
    <w:rsid w:val="00DD6252"/>
    <w:rsid w:val="00DF1BE0"/>
    <w:rsid w:val="00DF1D58"/>
    <w:rsid w:val="00DF464D"/>
    <w:rsid w:val="00DF7AC6"/>
    <w:rsid w:val="00E05BB3"/>
    <w:rsid w:val="00E142EB"/>
    <w:rsid w:val="00E209FB"/>
    <w:rsid w:val="00E2168C"/>
    <w:rsid w:val="00E43A93"/>
    <w:rsid w:val="00E44DE2"/>
    <w:rsid w:val="00E51EA5"/>
    <w:rsid w:val="00E55905"/>
    <w:rsid w:val="00E666DA"/>
    <w:rsid w:val="00E71CD2"/>
    <w:rsid w:val="00E74B8D"/>
    <w:rsid w:val="00E75AD6"/>
    <w:rsid w:val="00E770CB"/>
    <w:rsid w:val="00E80522"/>
    <w:rsid w:val="00E81827"/>
    <w:rsid w:val="00E84373"/>
    <w:rsid w:val="00E9234D"/>
    <w:rsid w:val="00E925F8"/>
    <w:rsid w:val="00E92654"/>
    <w:rsid w:val="00E9268C"/>
    <w:rsid w:val="00EA614A"/>
    <w:rsid w:val="00EB58CB"/>
    <w:rsid w:val="00EF45E1"/>
    <w:rsid w:val="00EF5D49"/>
    <w:rsid w:val="00EF684B"/>
    <w:rsid w:val="00EF7AAB"/>
    <w:rsid w:val="00F012CE"/>
    <w:rsid w:val="00F11368"/>
    <w:rsid w:val="00F11883"/>
    <w:rsid w:val="00F126B8"/>
    <w:rsid w:val="00F15B7D"/>
    <w:rsid w:val="00F16F22"/>
    <w:rsid w:val="00F208C6"/>
    <w:rsid w:val="00F263E1"/>
    <w:rsid w:val="00F3337D"/>
    <w:rsid w:val="00F536FE"/>
    <w:rsid w:val="00F6679F"/>
    <w:rsid w:val="00F67C79"/>
    <w:rsid w:val="00F80657"/>
    <w:rsid w:val="00F97A6C"/>
    <w:rsid w:val="00FB6BAE"/>
    <w:rsid w:val="00FC7096"/>
    <w:rsid w:val="00FC74CD"/>
    <w:rsid w:val="00FC74EA"/>
    <w:rsid w:val="00FD6699"/>
    <w:rsid w:val="00FD7F22"/>
    <w:rsid w:val="00FE0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rsid w:val="00430C09"/>
    <w:rPr>
      <w:rFonts w:eastAsiaTheme="majorEastAsia" w:cstheme="majorBidi"/>
      <w:b/>
      <w:color w:val="000000" w:themeColor="text1"/>
      <w:spacing w:val="-3"/>
    </w:rPr>
  </w:style>
  <w:style w:type="paragraph" w:styleId="Footer">
    <w:name w:val="footer"/>
    <w:basedOn w:val="Normal"/>
    <w:link w:val="FooterChar"/>
    <w:uiPriority w:val="99"/>
    <w:rsid w:val="00430C09"/>
    <w:pPr>
      <w:tabs>
        <w:tab w:val="center" w:pos="4153"/>
        <w:tab w:val="right" w:pos="8306"/>
      </w:tabs>
    </w:pPr>
  </w:style>
  <w:style w:type="character" w:customStyle="1" w:styleId="FooterChar">
    <w:name w:val="Footer Char"/>
    <w:basedOn w:val="DefaultParagraphFont"/>
    <w:link w:val="Footer"/>
    <w:uiPriority w:val="99"/>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customStyle="1" w:styleId="Default">
    <w:name w:val="Default"/>
    <w:rsid w:val="003315A9"/>
    <w:pPr>
      <w:autoSpaceDE w:val="0"/>
      <w:autoSpaceDN w:val="0"/>
      <w:adjustRightInd w:val="0"/>
      <w:spacing w:after="0" w:line="240" w:lineRule="auto"/>
    </w:pPr>
    <w:rPr>
      <w:color w:val="000000"/>
    </w:rPr>
  </w:style>
  <w:style w:type="character" w:styleId="Hyperlink">
    <w:name w:val="Hyperlink"/>
    <w:basedOn w:val="DefaultParagraphFont"/>
    <w:uiPriority w:val="99"/>
    <w:unhideWhenUsed/>
    <w:rsid w:val="00F16F22"/>
    <w:rPr>
      <w:color w:val="0563C1" w:themeColor="hyperlink"/>
      <w:u w:val="single"/>
    </w:rPr>
  </w:style>
  <w:style w:type="character" w:styleId="FollowedHyperlink">
    <w:name w:val="FollowedHyperlink"/>
    <w:basedOn w:val="DefaultParagraphFont"/>
    <w:uiPriority w:val="99"/>
    <w:semiHidden/>
    <w:unhideWhenUsed/>
    <w:rsid w:val="00F16F22"/>
    <w:rPr>
      <w:color w:val="954F72" w:themeColor="followedHyperlink"/>
      <w:u w:val="single"/>
    </w:rPr>
  </w:style>
  <w:style w:type="table" w:styleId="TableGrid">
    <w:name w:val="Table Grid"/>
    <w:basedOn w:val="TableNormal"/>
    <w:uiPriority w:val="39"/>
    <w:rsid w:val="00960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A0EA4"/>
    <w:rPr>
      <w:rFonts w:ascii="Calibri" w:eastAsia="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77992">
      <w:bodyDiv w:val="1"/>
      <w:marLeft w:val="0"/>
      <w:marRight w:val="0"/>
      <w:marTop w:val="0"/>
      <w:marBottom w:val="0"/>
      <w:divBdr>
        <w:top w:val="none" w:sz="0" w:space="0" w:color="auto"/>
        <w:left w:val="none" w:sz="0" w:space="0" w:color="auto"/>
        <w:bottom w:val="none" w:sz="0" w:space="0" w:color="auto"/>
        <w:right w:val="none" w:sz="0" w:space="0" w:color="auto"/>
      </w:divBdr>
    </w:div>
    <w:div w:id="90667979">
      <w:bodyDiv w:val="1"/>
      <w:marLeft w:val="0"/>
      <w:marRight w:val="0"/>
      <w:marTop w:val="0"/>
      <w:marBottom w:val="0"/>
      <w:divBdr>
        <w:top w:val="none" w:sz="0" w:space="0" w:color="auto"/>
        <w:left w:val="none" w:sz="0" w:space="0" w:color="auto"/>
        <w:bottom w:val="none" w:sz="0" w:space="0" w:color="auto"/>
        <w:right w:val="none" w:sz="0" w:space="0" w:color="auto"/>
      </w:divBdr>
    </w:div>
    <w:div w:id="147793364">
      <w:bodyDiv w:val="1"/>
      <w:marLeft w:val="0"/>
      <w:marRight w:val="0"/>
      <w:marTop w:val="0"/>
      <w:marBottom w:val="0"/>
      <w:divBdr>
        <w:top w:val="none" w:sz="0" w:space="0" w:color="auto"/>
        <w:left w:val="none" w:sz="0" w:space="0" w:color="auto"/>
        <w:bottom w:val="none" w:sz="0" w:space="0" w:color="auto"/>
        <w:right w:val="none" w:sz="0" w:space="0" w:color="auto"/>
      </w:divBdr>
    </w:div>
    <w:div w:id="216671186">
      <w:bodyDiv w:val="1"/>
      <w:marLeft w:val="0"/>
      <w:marRight w:val="0"/>
      <w:marTop w:val="0"/>
      <w:marBottom w:val="0"/>
      <w:divBdr>
        <w:top w:val="none" w:sz="0" w:space="0" w:color="auto"/>
        <w:left w:val="none" w:sz="0" w:space="0" w:color="auto"/>
        <w:bottom w:val="none" w:sz="0" w:space="0" w:color="auto"/>
        <w:right w:val="none" w:sz="0" w:space="0" w:color="auto"/>
      </w:divBdr>
    </w:div>
    <w:div w:id="273245702">
      <w:bodyDiv w:val="1"/>
      <w:marLeft w:val="0"/>
      <w:marRight w:val="0"/>
      <w:marTop w:val="0"/>
      <w:marBottom w:val="0"/>
      <w:divBdr>
        <w:top w:val="none" w:sz="0" w:space="0" w:color="auto"/>
        <w:left w:val="none" w:sz="0" w:space="0" w:color="auto"/>
        <w:bottom w:val="none" w:sz="0" w:space="0" w:color="auto"/>
        <w:right w:val="none" w:sz="0" w:space="0" w:color="auto"/>
      </w:divBdr>
    </w:div>
    <w:div w:id="345597565">
      <w:bodyDiv w:val="1"/>
      <w:marLeft w:val="0"/>
      <w:marRight w:val="0"/>
      <w:marTop w:val="0"/>
      <w:marBottom w:val="0"/>
      <w:divBdr>
        <w:top w:val="none" w:sz="0" w:space="0" w:color="auto"/>
        <w:left w:val="none" w:sz="0" w:space="0" w:color="auto"/>
        <w:bottom w:val="none" w:sz="0" w:space="0" w:color="auto"/>
        <w:right w:val="none" w:sz="0" w:space="0" w:color="auto"/>
      </w:divBdr>
    </w:div>
    <w:div w:id="362636028">
      <w:bodyDiv w:val="1"/>
      <w:marLeft w:val="0"/>
      <w:marRight w:val="0"/>
      <w:marTop w:val="0"/>
      <w:marBottom w:val="0"/>
      <w:divBdr>
        <w:top w:val="none" w:sz="0" w:space="0" w:color="auto"/>
        <w:left w:val="none" w:sz="0" w:space="0" w:color="auto"/>
        <w:bottom w:val="none" w:sz="0" w:space="0" w:color="auto"/>
        <w:right w:val="none" w:sz="0" w:space="0" w:color="auto"/>
      </w:divBdr>
    </w:div>
    <w:div w:id="629478530">
      <w:bodyDiv w:val="1"/>
      <w:marLeft w:val="0"/>
      <w:marRight w:val="0"/>
      <w:marTop w:val="0"/>
      <w:marBottom w:val="0"/>
      <w:divBdr>
        <w:top w:val="none" w:sz="0" w:space="0" w:color="auto"/>
        <w:left w:val="none" w:sz="0" w:space="0" w:color="auto"/>
        <w:bottom w:val="none" w:sz="0" w:space="0" w:color="auto"/>
        <w:right w:val="none" w:sz="0" w:space="0" w:color="auto"/>
      </w:divBdr>
    </w:div>
    <w:div w:id="697773900">
      <w:bodyDiv w:val="1"/>
      <w:marLeft w:val="0"/>
      <w:marRight w:val="0"/>
      <w:marTop w:val="0"/>
      <w:marBottom w:val="0"/>
      <w:divBdr>
        <w:top w:val="none" w:sz="0" w:space="0" w:color="auto"/>
        <w:left w:val="none" w:sz="0" w:space="0" w:color="auto"/>
        <w:bottom w:val="none" w:sz="0" w:space="0" w:color="auto"/>
        <w:right w:val="none" w:sz="0" w:space="0" w:color="auto"/>
      </w:divBdr>
    </w:div>
    <w:div w:id="702175077">
      <w:bodyDiv w:val="1"/>
      <w:marLeft w:val="0"/>
      <w:marRight w:val="0"/>
      <w:marTop w:val="0"/>
      <w:marBottom w:val="0"/>
      <w:divBdr>
        <w:top w:val="none" w:sz="0" w:space="0" w:color="auto"/>
        <w:left w:val="none" w:sz="0" w:space="0" w:color="auto"/>
        <w:bottom w:val="none" w:sz="0" w:space="0" w:color="auto"/>
        <w:right w:val="none" w:sz="0" w:space="0" w:color="auto"/>
      </w:divBdr>
    </w:div>
    <w:div w:id="709575489">
      <w:bodyDiv w:val="1"/>
      <w:marLeft w:val="0"/>
      <w:marRight w:val="0"/>
      <w:marTop w:val="0"/>
      <w:marBottom w:val="0"/>
      <w:divBdr>
        <w:top w:val="none" w:sz="0" w:space="0" w:color="auto"/>
        <w:left w:val="none" w:sz="0" w:space="0" w:color="auto"/>
        <w:bottom w:val="none" w:sz="0" w:space="0" w:color="auto"/>
        <w:right w:val="none" w:sz="0" w:space="0" w:color="auto"/>
      </w:divBdr>
    </w:div>
    <w:div w:id="801266621">
      <w:bodyDiv w:val="1"/>
      <w:marLeft w:val="0"/>
      <w:marRight w:val="0"/>
      <w:marTop w:val="0"/>
      <w:marBottom w:val="0"/>
      <w:divBdr>
        <w:top w:val="none" w:sz="0" w:space="0" w:color="auto"/>
        <w:left w:val="none" w:sz="0" w:space="0" w:color="auto"/>
        <w:bottom w:val="none" w:sz="0" w:space="0" w:color="auto"/>
        <w:right w:val="none" w:sz="0" w:space="0" w:color="auto"/>
      </w:divBdr>
    </w:div>
    <w:div w:id="854660010">
      <w:bodyDiv w:val="1"/>
      <w:marLeft w:val="0"/>
      <w:marRight w:val="0"/>
      <w:marTop w:val="0"/>
      <w:marBottom w:val="0"/>
      <w:divBdr>
        <w:top w:val="none" w:sz="0" w:space="0" w:color="auto"/>
        <w:left w:val="none" w:sz="0" w:space="0" w:color="auto"/>
        <w:bottom w:val="none" w:sz="0" w:space="0" w:color="auto"/>
        <w:right w:val="none" w:sz="0" w:space="0" w:color="auto"/>
      </w:divBdr>
    </w:div>
    <w:div w:id="960308846">
      <w:bodyDiv w:val="1"/>
      <w:marLeft w:val="0"/>
      <w:marRight w:val="0"/>
      <w:marTop w:val="0"/>
      <w:marBottom w:val="0"/>
      <w:divBdr>
        <w:top w:val="none" w:sz="0" w:space="0" w:color="auto"/>
        <w:left w:val="none" w:sz="0" w:space="0" w:color="auto"/>
        <w:bottom w:val="none" w:sz="0" w:space="0" w:color="auto"/>
        <w:right w:val="none" w:sz="0" w:space="0" w:color="auto"/>
      </w:divBdr>
    </w:div>
    <w:div w:id="1023507822">
      <w:bodyDiv w:val="1"/>
      <w:marLeft w:val="0"/>
      <w:marRight w:val="0"/>
      <w:marTop w:val="0"/>
      <w:marBottom w:val="0"/>
      <w:divBdr>
        <w:top w:val="none" w:sz="0" w:space="0" w:color="auto"/>
        <w:left w:val="none" w:sz="0" w:space="0" w:color="auto"/>
        <w:bottom w:val="none" w:sz="0" w:space="0" w:color="auto"/>
        <w:right w:val="none" w:sz="0" w:space="0" w:color="auto"/>
      </w:divBdr>
    </w:div>
    <w:div w:id="1052076876">
      <w:bodyDiv w:val="1"/>
      <w:marLeft w:val="0"/>
      <w:marRight w:val="0"/>
      <w:marTop w:val="0"/>
      <w:marBottom w:val="0"/>
      <w:divBdr>
        <w:top w:val="none" w:sz="0" w:space="0" w:color="auto"/>
        <w:left w:val="none" w:sz="0" w:space="0" w:color="auto"/>
        <w:bottom w:val="none" w:sz="0" w:space="0" w:color="auto"/>
        <w:right w:val="none" w:sz="0" w:space="0" w:color="auto"/>
      </w:divBdr>
    </w:div>
    <w:div w:id="1054156400">
      <w:bodyDiv w:val="1"/>
      <w:marLeft w:val="0"/>
      <w:marRight w:val="0"/>
      <w:marTop w:val="0"/>
      <w:marBottom w:val="0"/>
      <w:divBdr>
        <w:top w:val="none" w:sz="0" w:space="0" w:color="auto"/>
        <w:left w:val="none" w:sz="0" w:space="0" w:color="auto"/>
        <w:bottom w:val="none" w:sz="0" w:space="0" w:color="auto"/>
        <w:right w:val="none" w:sz="0" w:space="0" w:color="auto"/>
      </w:divBdr>
    </w:div>
    <w:div w:id="1057362666">
      <w:bodyDiv w:val="1"/>
      <w:marLeft w:val="0"/>
      <w:marRight w:val="0"/>
      <w:marTop w:val="0"/>
      <w:marBottom w:val="0"/>
      <w:divBdr>
        <w:top w:val="none" w:sz="0" w:space="0" w:color="auto"/>
        <w:left w:val="none" w:sz="0" w:space="0" w:color="auto"/>
        <w:bottom w:val="none" w:sz="0" w:space="0" w:color="auto"/>
        <w:right w:val="none" w:sz="0" w:space="0" w:color="auto"/>
      </w:divBdr>
    </w:div>
    <w:div w:id="1061169717">
      <w:bodyDiv w:val="1"/>
      <w:marLeft w:val="0"/>
      <w:marRight w:val="0"/>
      <w:marTop w:val="0"/>
      <w:marBottom w:val="0"/>
      <w:divBdr>
        <w:top w:val="none" w:sz="0" w:space="0" w:color="auto"/>
        <w:left w:val="none" w:sz="0" w:space="0" w:color="auto"/>
        <w:bottom w:val="none" w:sz="0" w:space="0" w:color="auto"/>
        <w:right w:val="none" w:sz="0" w:space="0" w:color="auto"/>
      </w:divBdr>
    </w:div>
    <w:div w:id="1190489227">
      <w:bodyDiv w:val="1"/>
      <w:marLeft w:val="0"/>
      <w:marRight w:val="0"/>
      <w:marTop w:val="0"/>
      <w:marBottom w:val="0"/>
      <w:divBdr>
        <w:top w:val="none" w:sz="0" w:space="0" w:color="auto"/>
        <w:left w:val="none" w:sz="0" w:space="0" w:color="auto"/>
        <w:bottom w:val="none" w:sz="0" w:space="0" w:color="auto"/>
        <w:right w:val="none" w:sz="0" w:space="0" w:color="auto"/>
      </w:divBdr>
    </w:div>
    <w:div w:id="1314094381">
      <w:bodyDiv w:val="1"/>
      <w:marLeft w:val="0"/>
      <w:marRight w:val="0"/>
      <w:marTop w:val="0"/>
      <w:marBottom w:val="0"/>
      <w:divBdr>
        <w:top w:val="none" w:sz="0" w:space="0" w:color="auto"/>
        <w:left w:val="none" w:sz="0" w:space="0" w:color="auto"/>
        <w:bottom w:val="none" w:sz="0" w:space="0" w:color="auto"/>
        <w:right w:val="none" w:sz="0" w:space="0" w:color="auto"/>
      </w:divBdr>
    </w:div>
    <w:div w:id="1559126519">
      <w:bodyDiv w:val="1"/>
      <w:marLeft w:val="0"/>
      <w:marRight w:val="0"/>
      <w:marTop w:val="0"/>
      <w:marBottom w:val="0"/>
      <w:divBdr>
        <w:top w:val="none" w:sz="0" w:space="0" w:color="auto"/>
        <w:left w:val="none" w:sz="0" w:space="0" w:color="auto"/>
        <w:bottom w:val="none" w:sz="0" w:space="0" w:color="auto"/>
        <w:right w:val="none" w:sz="0" w:space="0" w:color="auto"/>
      </w:divBdr>
    </w:div>
    <w:div w:id="1600943778">
      <w:bodyDiv w:val="1"/>
      <w:marLeft w:val="0"/>
      <w:marRight w:val="0"/>
      <w:marTop w:val="0"/>
      <w:marBottom w:val="0"/>
      <w:divBdr>
        <w:top w:val="none" w:sz="0" w:space="0" w:color="auto"/>
        <w:left w:val="none" w:sz="0" w:space="0" w:color="auto"/>
        <w:bottom w:val="none" w:sz="0" w:space="0" w:color="auto"/>
        <w:right w:val="none" w:sz="0" w:space="0" w:color="auto"/>
      </w:divBdr>
    </w:div>
    <w:div w:id="1641763019">
      <w:bodyDiv w:val="1"/>
      <w:marLeft w:val="0"/>
      <w:marRight w:val="0"/>
      <w:marTop w:val="0"/>
      <w:marBottom w:val="0"/>
      <w:divBdr>
        <w:top w:val="none" w:sz="0" w:space="0" w:color="auto"/>
        <w:left w:val="none" w:sz="0" w:space="0" w:color="auto"/>
        <w:bottom w:val="none" w:sz="0" w:space="0" w:color="auto"/>
        <w:right w:val="none" w:sz="0" w:space="0" w:color="auto"/>
      </w:divBdr>
    </w:div>
    <w:div w:id="1709179866">
      <w:bodyDiv w:val="1"/>
      <w:marLeft w:val="0"/>
      <w:marRight w:val="0"/>
      <w:marTop w:val="0"/>
      <w:marBottom w:val="0"/>
      <w:divBdr>
        <w:top w:val="none" w:sz="0" w:space="0" w:color="auto"/>
        <w:left w:val="none" w:sz="0" w:space="0" w:color="auto"/>
        <w:bottom w:val="none" w:sz="0" w:space="0" w:color="auto"/>
        <w:right w:val="none" w:sz="0" w:space="0" w:color="auto"/>
      </w:divBdr>
    </w:div>
    <w:div w:id="2026594525">
      <w:bodyDiv w:val="1"/>
      <w:marLeft w:val="0"/>
      <w:marRight w:val="0"/>
      <w:marTop w:val="0"/>
      <w:marBottom w:val="0"/>
      <w:divBdr>
        <w:top w:val="none" w:sz="0" w:space="0" w:color="auto"/>
        <w:left w:val="none" w:sz="0" w:space="0" w:color="auto"/>
        <w:bottom w:val="none" w:sz="0" w:space="0" w:color="auto"/>
        <w:right w:val="none" w:sz="0" w:space="0" w:color="auto"/>
      </w:divBdr>
    </w:div>
    <w:div w:id="2092963620">
      <w:bodyDiv w:val="1"/>
      <w:marLeft w:val="0"/>
      <w:marRight w:val="0"/>
      <w:marTop w:val="0"/>
      <w:marBottom w:val="0"/>
      <w:divBdr>
        <w:top w:val="none" w:sz="0" w:space="0" w:color="auto"/>
        <w:left w:val="none" w:sz="0" w:space="0" w:color="auto"/>
        <w:bottom w:val="none" w:sz="0" w:space="0" w:color="auto"/>
        <w:right w:val="none" w:sz="0" w:space="0" w:color="auto"/>
      </w:divBdr>
    </w:div>
    <w:div w:id="211629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b="0" i="0" u="none" strike="noStrike">
                <a:latin typeface="Calibri"/>
              </a:rPr>
              <a:t>Health &amp; Safety Report - Excluding Patient Falls</a:t>
            </a:r>
          </a:p>
        </c:rich>
      </c:tx>
      <c:layout/>
      <c:overlay val="0"/>
    </c:title>
    <c:autoTitleDeleted val="0"/>
    <c:plotArea>
      <c:layout/>
      <c:barChart>
        <c:barDir val="col"/>
        <c:grouping val="clustered"/>
        <c:varyColors val="0"/>
        <c:ser>
          <c:idx val="0"/>
          <c:order val="0"/>
          <c:tx>
            <c:strRef>
              <c:f>Data!$A$1</c:f>
              <c:strCache>
                <c:ptCount val="1"/>
                <c:pt idx="0">
                  <c:v>X-axis</c:v>
                </c:pt>
              </c:strCache>
            </c:strRef>
          </c:tx>
          <c:invertIfNegative val="0"/>
          <c:cat>
            <c:strRef>
              <c:f>Data!$A$2:$A$6</c:f>
              <c:strCache>
                <c:ptCount val="5"/>
                <c:pt idx="0">
                  <c:v>Exposure to Hazardous Substances</c:v>
                </c:pt>
                <c:pt idx="1">
                  <c:v>Contact/Collision with Objects</c:v>
                </c:pt>
                <c:pt idx="2">
                  <c:v>Slip/Trip or Fall </c:v>
                </c:pt>
                <c:pt idx="3">
                  <c:v>Exposure to Unsafe Environmental Conditions</c:v>
                </c:pt>
                <c:pt idx="4">
                  <c:v>Contact with Sharps</c:v>
                </c:pt>
              </c:strCache>
            </c:strRef>
          </c:cat>
          <c:val>
            <c:numRef>
              <c:f>Data!$B$2:$B$6</c:f>
              <c:numCache>
                <c:formatCode>General</c:formatCode>
                <c:ptCount val="5"/>
                <c:pt idx="0">
                  <c:v>7</c:v>
                </c:pt>
                <c:pt idx="1">
                  <c:v>9</c:v>
                </c:pt>
                <c:pt idx="2">
                  <c:v>9</c:v>
                </c:pt>
                <c:pt idx="3">
                  <c:v>7</c:v>
                </c:pt>
                <c:pt idx="4">
                  <c:v>8</c:v>
                </c:pt>
              </c:numCache>
            </c:numRef>
          </c:val>
          <c:extLst>
            <c:ext xmlns:c16="http://schemas.microsoft.com/office/drawing/2014/chart" uri="{C3380CC4-5D6E-409C-BE32-E72D297353CC}">
              <c16:uniqueId val="{00000000-109D-4505-B98D-A6257B0723F3}"/>
            </c:ext>
          </c:extLst>
        </c:ser>
        <c:dLbls>
          <c:showLegendKey val="0"/>
          <c:showVal val="0"/>
          <c:showCatName val="0"/>
          <c:showSerName val="0"/>
          <c:showPercent val="0"/>
          <c:showBubbleSize val="0"/>
        </c:dLbls>
        <c:gapWidth val="150"/>
        <c:axId val="75091328"/>
        <c:axId val="75089408"/>
      </c:barChart>
      <c:catAx>
        <c:axId val="75091328"/>
        <c:scaling>
          <c:orientation val="minMax"/>
        </c:scaling>
        <c:delete val="0"/>
        <c:axPos val="b"/>
        <c:numFmt formatCode="General" sourceLinked="1"/>
        <c:majorTickMark val="out"/>
        <c:minorTickMark val="none"/>
        <c:tickLblPos val="nextTo"/>
        <c:crossAx val="75089408"/>
        <c:crosses val="autoZero"/>
        <c:auto val="1"/>
        <c:lblAlgn val="ctr"/>
        <c:lblOffset val="100"/>
        <c:noMultiLvlLbl val="0"/>
      </c:catAx>
      <c:valAx>
        <c:axId val="75089408"/>
        <c:scaling>
          <c:orientation val="minMax"/>
        </c:scaling>
        <c:delete val="0"/>
        <c:axPos val="l"/>
        <c:majorGridlines/>
        <c:numFmt formatCode="General" sourceLinked="1"/>
        <c:majorTickMark val="out"/>
        <c:minorTickMark val="none"/>
        <c:tickLblPos val="nextTo"/>
        <c:crossAx val="75089408"/>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49102-E5FA-42E1-B131-0EE24C412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1936</Words>
  <Characters>11039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3</cp:revision>
  <cp:lastPrinted>2019-10-07T12:25:00Z</cp:lastPrinted>
  <dcterms:created xsi:type="dcterms:W3CDTF">2024-12-05T09:24:00Z</dcterms:created>
  <dcterms:modified xsi:type="dcterms:W3CDTF">2024-12-06T10:00:00Z</dcterms:modified>
</cp:coreProperties>
</file>