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bookmarkStart w:id="0" w:name="_GoBack"/>
      <w:bookmarkEnd w:id="0"/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C129E5">
        <w:rPr>
          <w:rStyle w:val="Heading3Char"/>
          <w:b/>
        </w:rPr>
        <w:t>2</w:t>
      </w:r>
      <w:r w:rsidR="00BB3FA5">
        <w:rPr>
          <w:rStyle w:val="Heading3Char"/>
          <w:b/>
        </w:rPr>
        <w:t>7 March 2025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BB3FA5">
        <w:rPr>
          <w:rStyle w:val="Heading3Char"/>
          <w:b/>
        </w:rPr>
        <w:t xml:space="preserve">Strategic Portfolio Governance Committee </w:t>
      </w:r>
      <w:r w:rsidR="00087DEE">
        <w:rPr>
          <w:rStyle w:val="Heading3Char"/>
          <w:b/>
        </w:rPr>
        <w:t>Board Update</w:t>
      </w:r>
    </w:p>
    <w:p w:rsidR="00087DEE" w:rsidRDefault="0003098A" w:rsidP="00395844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87DEE">
        <w:rPr>
          <w:rStyle w:val="Heading3Char"/>
          <w:b/>
        </w:rPr>
        <w:t>Carole Anderson, Director of Transformation, Strategy, Planning &amp; Performance</w:t>
      </w:r>
    </w:p>
    <w:p w:rsidR="00395844" w:rsidRDefault="00087DEE" w:rsidP="00087DEE">
      <w:pPr>
        <w:pStyle w:val="Heading3"/>
        <w:ind w:left="4536" w:hanging="216"/>
        <w:rPr>
          <w:rStyle w:val="Heading3Char"/>
          <w:b/>
        </w:rPr>
      </w:pPr>
      <w:r>
        <w:rPr>
          <w:rStyle w:val="Heading3Char"/>
          <w:b/>
        </w:rPr>
        <w:t xml:space="preserve"> </w:t>
      </w:r>
      <w:r>
        <w:rPr>
          <w:rStyle w:val="Heading3Char"/>
          <w:b/>
        </w:rPr>
        <w:tab/>
        <w:t>Linda Semple, Non-Executive Director</w:t>
      </w:r>
    </w:p>
    <w:p w:rsidR="00087DEE" w:rsidRPr="00087DEE" w:rsidRDefault="00087DEE" w:rsidP="00087DEE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9D2627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>The Strategic Portfolio Governance Committee</w:t>
      </w:r>
      <w:r w:rsidR="0061640C">
        <w:rPr>
          <w:rFonts w:cs="Arial"/>
          <w:bCs/>
        </w:rPr>
        <w:t xml:space="preserve"> Meeting</w:t>
      </w:r>
      <w:r w:rsidR="00050D76">
        <w:rPr>
          <w:rFonts w:cs="Arial"/>
          <w:bCs/>
        </w:rPr>
        <w:t xml:space="preserve"> was held on </w:t>
      </w:r>
      <w:r>
        <w:rPr>
          <w:rFonts w:cs="Arial"/>
          <w:bCs/>
        </w:rPr>
        <w:t>7 March 2025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"/>
        <w:gridCol w:w="7734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8856AC">
        <w:tc>
          <w:tcPr>
            <w:tcW w:w="1251" w:type="dxa"/>
            <w:gridSpan w:val="2"/>
          </w:tcPr>
          <w:p w:rsidR="00733D1F" w:rsidRDefault="00611FB9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NHS GJ Strategic Updates</w:t>
            </w:r>
          </w:p>
        </w:tc>
        <w:tc>
          <w:tcPr>
            <w:tcW w:w="7929" w:type="dxa"/>
            <w:shd w:val="clear" w:color="auto" w:fill="auto"/>
          </w:tcPr>
          <w:p w:rsidR="008856AC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 an update on the Digital Improvement Plan and expressed enthusiasm for the significant progress that had been made in this area.</w:t>
            </w:r>
          </w:p>
          <w:p w:rsidR="00ED637D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:rsidR="00ED637D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C129E5">
              <w:rPr>
                <w:rFonts w:cs="Arial"/>
                <w:szCs w:val="24"/>
              </w:rPr>
              <w:t>commended the</w:t>
            </w:r>
            <w:r>
              <w:rPr>
                <w:rFonts w:cs="Arial"/>
                <w:szCs w:val="24"/>
              </w:rPr>
              <w:t xml:space="preserve"> Anchor Program</w:t>
            </w:r>
            <w:r w:rsidR="008D478B">
              <w:rPr>
                <w:rFonts w:cs="Arial"/>
                <w:szCs w:val="24"/>
              </w:rPr>
              <w:t>me</w:t>
            </w:r>
            <w:r>
              <w:rPr>
                <w:rFonts w:cs="Arial"/>
                <w:szCs w:val="24"/>
              </w:rPr>
              <w:t xml:space="preserve"> </w:t>
            </w:r>
            <w:r w:rsidR="00AB099F">
              <w:rPr>
                <w:rFonts w:cs="Arial"/>
                <w:szCs w:val="24"/>
              </w:rPr>
              <w:t>developments and the Anchor Concept Programmes.</w:t>
            </w:r>
          </w:p>
          <w:p w:rsidR="00ED637D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:rsidR="00ED637D" w:rsidRDefault="00BD3447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The Committee noted</w:t>
            </w:r>
            <w:r w:rsidR="00ED637D">
              <w:rPr>
                <w:rFonts w:cs="Arial"/>
                <w:szCs w:val="24"/>
              </w:rPr>
              <w:t xml:space="preserve"> two aspects of the Annual Delivery Plan – the Quarter Three update and </w:t>
            </w:r>
            <w:r>
              <w:rPr>
                <w:rFonts w:cs="Arial"/>
                <w:szCs w:val="24"/>
              </w:rPr>
              <w:t xml:space="preserve">were </w:t>
            </w:r>
            <w:r w:rsidR="00C129E5">
              <w:rPr>
                <w:rFonts w:cs="Arial"/>
                <w:szCs w:val="24"/>
              </w:rPr>
              <w:t>assured by</w:t>
            </w:r>
            <w:r>
              <w:rPr>
                <w:rFonts w:cs="Arial"/>
                <w:szCs w:val="24"/>
              </w:rPr>
              <w:t xml:space="preserve"> the progression of </w:t>
            </w:r>
            <w:r w:rsidR="00ED637D">
              <w:rPr>
                <w:rFonts w:cs="Arial"/>
                <w:szCs w:val="24"/>
              </w:rPr>
              <w:t xml:space="preserve">the Annual Delivery Plan </w:t>
            </w:r>
            <w:r w:rsidR="00C129E5">
              <w:rPr>
                <w:rFonts w:cs="Arial"/>
                <w:szCs w:val="24"/>
              </w:rPr>
              <w:t>for 20</w:t>
            </w:r>
            <w:r w:rsidR="00ED637D">
              <w:rPr>
                <w:rFonts w:cs="Arial"/>
                <w:szCs w:val="24"/>
              </w:rPr>
              <w:t>25/26.</w:t>
            </w:r>
            <w:r>
              <w:rPr>
                <w:rFonts w:cs="Arial"/>
                <w:szCs w:val="24"/>
              </w:rPr>
              <w:t xml:space="preserve"> </w:t>
            </w:r>
            <w:r w:rsidR="00ED637D">
              <w:rPr>
                <w:rFonts w:cs="Arial"/>
                <w:szCs w:val="24"/>
              </w:rPr>
              <w:t xml:space="preserve"> </w:t>
            </w:r>
          </w:p>
          <w:p w:rsidR="00ED637D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:rsidR="00ED637D" w:rsidRDefault="00ED637D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commended the</w:t>
            </w:r>
            <w:r w:rsidR="00AB099F">
              <w:rPr>
                <w:rFonts w:cs="Arial"/>
                <w:szCs w:val="24"/>
              </w:rPr>
              <w:t xml:space="preserve"> ongoing</w:t>
            </w:r>
            <w:r>
              <w:rPr>
                <w:rFonts w:cs="Arial"/>
                <w:szCs w:val="24"/>
              </w:rPr>
              <w:t xml:space="preserve"> </w:t>
            </w:r>
            <w:r w:rsidR="00AB099F">
              <w:rPr>
                <w:rFonts w:cs="Arial"/>
                <w:szCs w:val="24"/>
              </w:rPr>
              <w:t>work around</w:t>
            </w:r>
            <w:r>
              <w:rPr>
                <w:rFonts w:cs="Arial"/>
                <w:szCs w:val="24"/>
              </w:rPr>
              <w:t xml:space="preserve"> Strategic Pa</w:t>
            </w:r>
            <w:r w:rsidR="00AB099F">
              <w:rPr>
                <w:rFonts w:cs="Arial"/>
                <w:szCs w:val="24"/>
              </w:rPr>
              <w:t xml:space="preserve">rtnerships. This </w:t>
            </w:r>
            <w:r>
              <w:rPr>
                <w:rFonts w:cs="Arial"/>
                <w:szCs w:val="24"/>
              </w:rPr>
              <w:t xml:space="preserve">included the Hospital being awarded University status by the University of Glasgow. </w:t>
            </w:r>
          </w:p>
          <w:p w:rsidR="00C129E5" w:rsidRPr="00611FB9" w:rsidRDefault="00C129E5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</w:tc>
      </w:tr>
      <w:tr w:rsidR="00611FB9" w:rsidRPr="00973522" w:rsidTr="008856AC">
        <w:tc>
          <w:tcPr>
            <w:tcW w:w="1251" w:type="dxa"/>
            <w:gridSpan w:val="2"/>
          </w:tcPr>
          <w:p w:rsidR="00611FB9" w:rsidRDefault="00611FB9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Centre for Sustainable Delivery and NHS Scotland Academy</w:t>
            </w:r>
          </w:p>
        </w:tc>
        <w:tc>
          <w:tcPr>
            <w:tcW w:w="7929" w:type="dxa"/>
            <w:shd w:val="clear" w:color="auto" w:fill="auto"/>
          </w:tcPr>
          <w:p w:rsidR="00611FB9" w:rsidRDefault="00AB099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</w:t>
            </w:r>
            <w:r w:rsidR="008E1C31">
              <w:rPr>
                <w:rFonts w:cs="Arial"/>
                <w:szCs w:val="24"/>
              </w:rPr>
              <w:t>mmittee noted</w:t>
            </w:r>
            <w:r>
              <w:rPr>
                <w:rFonts w:cs="Arial"/>
                <w:szCs w:val="24"/>
              </w:rPr>
              <w:t xml:space="preserve"> </w:t>
            </w:r>
            <w:r w:rsidR="008E1C31">
              <w:rPr>
                <w:rFonts w:cs="Arial"/>
                <w:szCs w:val="24"/>
              </w:rPr>
              <w:t xml:space="preserve">and were assured by the </w:t>
            </w:r>
            <w:r>
              <w:rPr>
                <w:rFonts w:cs="Arial"/>
                <w:szCs w:val="24"/>
              </w:rPr>
              <w:t>update</w:t>
            </w:r>
            <w:r w:rsidR="00C129E5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 xml:space="preserve"> </w:t>
            </w:r>
            <w:r w:rsidR="00C129E5">
              <w:rPr>
                <w:rFonts w:cs="Arial"/>
                <w:szCs w:val="24"/>
              </w:rPr>
              <w:t xml:space="preserve">received </w:t>
            </w:r>
            <w:r>
              <w:rPr>
                <w:rFonts w:cs="Arial"/>
                <w:szCs w:val="24"/>
              </w:rPr>
              <w:t>from the Centre for Sustainable Delivery (CfSD) and NHS Scotland Ac</w:t>
            </w:r>
            <w:r w:rsidR="00BD3447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demy.</w:t>
            </w:r>
            <w:r w:rsidR="008E1C31">
              <w:rPr>
                <w:rFonts w:cs="Arial"/>
                <w:szCs w:val="24"/>
              </w:rPr>
              <w:t xml:space="preserve"> </w:t>
            </w:r>
          </w:p>
          <w:p w:rsidR="00AB099F" w:rsidRDefault="00AB099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</w:p>
          <w:p w:rsidR="00C129E5" w:rsidRDefault="00AB099F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highlighted the wider recognition gained by both CfSD and NHS Scotland Academy</w:t>
            </w:r>
            <w:r w:rsidR="008E1C31">
              <w:rPr>
                <w:rFonts w:cs="Arial"/>
                <w:szCs w:val="24"/>
              </w:rPr>
              <w:t xml:space="preserve"> across the UK and internationally</w:t>
            </w:r>
            <w:r w:rsidR="00C129E5">
              <w:rPr>
                <w:rFonts w:cs="Arial"/>
                <w:szCs w:val="24"/>
              </w:rPr>
              <w:t>, suggesting a showcase of their successes</w:t>
            </w:r>
            <w:r w:rsidR="008E1C31">
              <w:rPr>
                <w:rFonts w:cs="Arial"/>
                <w:szCs w:val="24"/>
              </w:rPr>
              <w:t>.</w:t>
            </w:r>
          </w:p>
          <w:p w:rsidR="00AB099F" w:rsidRPr="00AB099F" w:rsidRDefault="008E1C31" w:rsidP="00395844">
            <w:pPr>
              <w:spacing w:line="259" w:lineRule="auto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</w:p>
        </w:tc>
      </w:tr>
    </w:tbl>
    <w:p w:rsidR="00156B76" w:rsidRDefault="00156B76" w:rsidP="00050D76"/>
    <w:p w:rsidR="00C129E5" w:rsidRDefault="00C129E5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9D2627" w:rsidRPr="009D2627">
        <w:rPr>
          <w:rFonts w:hAnsi="Arial" w:cs="Arial"/>
          <w:lang w:val="en-US"/>
        </w:rPr>
        <w:t xml:space="preserve">Strategic Portfolio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9D2627">
        <w:rPr>
          <w:rFonts w:hAnsi="Arial" w:cs="Arial"/>
          <w:lang w:val="en-US"/>
        </w:rPr>
        <w:t>01 May</w:t>
      </w:r>
      <w:r w:rsidR="00262D6A">
        <w:rPr>
          <w:rFonts w:hAnsi="Arial" w:cs="Arial"/>
          <w:lang w:val="en-US"/>
        </w:rPr>
        <w:t xml:space="preserve"> </w:t>
      </w:r>
      <w:r w:rsidR="009D2627">
        <w:rPr>
          <w:rFonts w:hAnsi="Arial" w:cs="Arial"/>
          <w:lang w:val="en-US"/>
        </w:rPr>
        <w:t>2025</w:t>
      </w:r>
      <w:r w:rsidR="00793A83">
        <w:rPr>
          <w:rFonts w:hAnsi="Arial" w:cs="Arial"/>
          <w:lang w:val="en-US"/>
        </w:rPr>
        <w:t>.</w:t>
      </w:r>
    </w:p>
    <w:p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C129E5" w:rsidRDefault="00C129E5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>Board are asked to note the</w:t>
      </w:r>
      <w:r w:rsidR="009D2627">
        <w:rPr>
          <w:rFonts w:cs="Arial"/>
        </w:rPr>
        <w:t xml:space="preserve"> </w:t>
      </w:r>
      <w:r w:rsidR="009D2627">
        <w:rPr>
          <w:rFonts w:cs="Arial"/>
          <w:bCs/>
        </w:rPr>
        <w:t>Strategic Portfolio Governance Committee</w:t>
      </w:r>
      <w:r w:rsidR="007E133D">
        <w:rPr>
          <w:rFonts w:cs="Arial"/>
        </w:rPr>
        <w:t xml:space="preserve"> </w:t>
      </w:r>
      <w:r w:rsidR="0061640C">
        <w:rPr>
          <w:rFonts w:cs="Arial"/>
        </w:rPr>
        <w:t xml:space="preserve">Meeting </w:t>
      </w:r>
      <w:r w:rsidR="007E133D">
        <w:rPr>
          <w:rFonts w:cs="Arial"/>
        </w:rPr>
        <w:t>Update.</w:t>
      </w: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D2627" w:rsidP="009D2627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Linda Semple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D2627" w:rsidRPr="009D2627">
        <w:rPr>
          <w:rFonts w:cs="Arial"/>
          <w:b/>
          <w:bCs/>
        </w:rPr>
        <w:t>Strategic Portfolio Governance Committee</w:t>
      </w:r>
    </w:p>
    <w:p w:rsidR="007E133D" w:rsidRPr="005F1768" w:rsidRDefault="009D2627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March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31" w:rsidRDefault="009C7931">
      <w:r>
        <w:separator/>
      </w:r>
    </w:p>
  </w:endnote>
  <w:endnote w:type="continuationSeparator" w:id="0">
    <w:p w:rsidR="009C7931" w:rsidRDefault="009C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D05FB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D05FB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31" w:rsidRDefault="009C7931">
      <w:r>
        <w:separator/>
      </w:r>
    </w:p>
  </w:footnote>
  <w:footnote w:type="continuationSeparator" w:id="0">
    <w:p w:rsidR="009C7931" w:rsidRDefault="009C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D05FBB">
      <w:rPr>
        <w:rFonts w:cs="Arial"/>
        <w:b/>
        <w:color w:val="2E74B5" w:themeColor="accent1" w:themeShade="BF"/>
        <w:sz w:val="20"/>
      </w:rPr>
      <w:t>4.1.5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3098A"/>
    <w:rsid w:val="0004246B"/>
    <w:rsid w:val="00047714"/>
    <w:rsid w:val="00050D76"/>
    <w:rsid w:val="0006530B"/>
    <w:rsid w:val="00072A23"/>
    <w:rsid w:val="00075289"/>
    <w:rsid w:val="00087DEE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9A7"/>
    <w:rsid w:val="00116EFD"/>
    <w:rsid w:val="00125A9E"/>
    <w:rsid w:val="00140DB3"/>
    <w:rsid w:val="00156B76"/>
    <w:rsid w:val="00162FD2"/>
    <w:rsid w:val="0018377D"/>
    <w:rsid w:val="00192A22"/>
    <w:rsid w:val="001D250F"/>
    <w:rsid w:val="001E6915"/>
    <w:rsid w:val="001F1F8D"/>
    <w:rsid w:val="001F7C44"/>
    <w:rsid w:val="00217C9B"/>
    <w:rsid w:val="00221CC2"/>
    <w:rsid w:val="002236A4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E28E4"/>
    <w:rsid w:val="0030362F"/>
    <w:rsid w:val="0030733C"/>
    <w:rsid w:val="00311DF5"/>
    <w:rsid w:val="003175D5"/>
    <w:rsid w:val="0033790B"/>
    <w:rsid w:val="00340810"/>
    <w:rsid w:val="00346269"/>
    <w:rsid w:val="00346655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7CD2"/>
    <w:rsid w:val="00603CAF"/>
    <w:rsid w:val="00610728"/>
    <w:rsid w:val="00611FB9"/>
    <w:rsid w:val="0061640C"/>
    <w:rsid w:val="006173A9"/>
    <w:rsid w:val="006553F6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5080D"/>
    <w:rsid w:val="00755EB8"/>
    <w:rsid w:val="00767BCA"/>
    <w:rsid w:val="00767C5F"/>
    <w:rsid w:val="00793A83"/>
    <w:rsid w:val="007B75D3"/>
    <w:rsid w:val="007E133D"/>
    <w:rsid w:val="007F031D"/>
    <w:rsid w:val="007F32CF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D478B"/>
    <w:rsid w:val="008E1C31"/>
    <w:rsid w:val="008E1DD5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C7931"/>
    <w:rsid w:val="009D2627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41666"/>
    <w:rsid w:val="00A43514"/>
    <w:rsid w:val="00A43898"/>
    <w:rsid w:val="00A4610C"/>
    <w:rsid w:val="00A62B58"/>
    <w:rsid w:val="00A84C97"/>
    <w:rsid w:val="00A93BD8"/>
    <w:rsid w:val="00AA77F7"/>
    <w:rsid w:val="00AB099F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B3FA5"/>
    <w:rsid w:val="00BD3447"/>
    <w:rsid w:val="00BD5F51"/>
    <w:rsid w:val="00BE793D"/>
    <w:rsid w:val="00BF3AF0"/>
    <w:rsid w:val="00C1128C"/>
    <w:rsid w:val="00C129E5"/>
    <w:rsid w:val="00C133F3"/>
    <w:rsid w:val="00C33F1F"/>
    <w:rsid w:val="00C408D4"/>
    <w:rsid w:val="00C4455B"/>
    <w:rsid w:val="00C45F03"/>
    <w:rsid w:val="00C5371C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05FBB"/>
    <w:rsid w:val="00D1022D"/>
    <w:rsid w:val="00D1108D"/>
    <w:rsid w:val="00D1415F"/>
    <w:rsid w:val="00D372DD"/>
    <w:rsid w:val="00D40B26"/>
    <w:rsid w:val="00D43DFF"/>
    <w:rsid w:val="00D65364"/>
    <w:rsid w:val="00D73876"/>
    <w:rsid w:val="00DB46A0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906A9"/>
    <w:rsid w:val="00E92930"/>
    <w:rsid w:val="00E979D1"/>
    <w:rsid w:val="00EB5480"/>
    <w:rsid w:val="00EC596E"/>
    <w:rsid w:val="00ED2CF9"/>
    <w:rsid w:val="00ED38F7"/>
    <w:rsid w:val="00ED637D"/>
    <w:rsid w:val="00EE2992"/>
    <w:rsid w:val="00EE712B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573B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2024-09-10T08:46:00Z</cp:lastPrinted>
  <dcterms:created xsi:type="dcterms:W3CDTF">2025-03-20T09:19:00Z</dcterms:created>
  <dcterms:modified xsi:type="dcterms:W3CDTF">2025-03-21T11:34:00Z</dcterms:modified>
</cp:coreProperties>
</file>