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0384C483" w:rsidR="00430C09" w:rsidRPr="004B5046" w:rsidRDefault="006F1D40" w:rsidP="00DD6252">
      <w:pPr>
        <w:pStyle w:val="Heading1"/>
        <w:spacing w:line="276" w:lineRule="auto"/>
        <w:ind w:right="-286"/>
        <w:rPr>
          <w:rFonts w:cs="Arial"/>
          <w:color w:val="002060"/>
          <w:sz w:val="24"/>
          <w:szCs w:val="24"/>
        </w:rPr>
      </w:pPr>
      <w:bookmarkStart w:id="0" w:name="_GoBack"/>
      <w:r w:rsidRPr="004B5046">
        <w:rPr>
          <w:rFonts w:cs="Arial"/>
          <w:noProof/>
          <w:sz w:val="24"/>
          <w:szCs w:val="24"/>
          <w:lang w:eastAsia="en-GB"/>
        </w:rPr>
        <w:drawing>
          <wp:anchor distT="0" distB="0" distL="114300" distR="114300" simplePos="0" relativeHeight="251660288" behindDoc="0" locked="0" layoutInCell="1" allowOverlap="1" wp14:anchorId="2CF5EBB4" wp14:editId="1441DB81">
            <wp:simplePos x="0" y="0"/>
            <wp:positionH relativeFrom="column">
              <wp:posOffset>5029200</wp:posOffset>
            </wp:positionH>
            <wp:positionV relativeFrom="paragraph">
              <wp:posOffset>0</wp:posOffset>
            </wp:positionV>
            <wp:extent cx="1152525" cy="8001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anchor>
        </w:drawing>
      </w:r>
      <w:bookmarkEnd w:id="0"/>
      <w:r w:rsidR="00DD6252" w:rsidRPr="004B5046">
        <w:rPr>
          <w:rFonts w:cs="Arial"/>
          <w:color w:val="002060"/>
          <w:sz w:val="24"/>
          <w:szCs w:val="24"/>
        </w:rPr>
        <w:tab/>
      </w:r>
      <w:r w:rsidR="00DD6252" w:rsidRPr="004B5046">
        <w:rPr>
          <w:rFonts w:cs="Arial"/>
          <w:color w:val="002060"/>
          <w:sz w:val="24"/>
          <w:szCs w:val="24"/>
        </w:rPr>
        <w:tab/>
      </w:r>
      <w:r w:rsidR="00DD6252" w:rsidRPr="004B5046">
        <w:rPr>
          <w:rFonts w:cs="Arial"/>
          <w:color w:val="002060"/>
          <w:sz w:val="24"/>
          <w:szCs w:val="24"/>
        </w:rPr>
        <w:tab/>
      </w:r>
      <w:r w:rsidR="00DD6252" w:rsidRPr="004B5046">
        <w:rPr>
          <w:rFonts w:cs="Arial"/>
          <w:color w:val="002060"/>
          <w:sz w:val="24"/>
          <w:szCs w:val="24"/>
        </w:rPr>
        <w:tab/>
      </w:r>
      <w:r w:rsidR="00DD6252" w:rsidRPr="004B5046">
        <w:rPr>
          <w:rFonts w:cs="Arial"/>
          <w:noProof/>
          <w:sz w:val="24"/>
          <w:szCs w:val="24"/>
          <w:lang w:eastAsia="en-GB"/>
        </w:rPr>
        <w:t xml:space="preserve"> </w:t>
      </w:r>
    </w:p>
    <w:p w14:paraId="7089BDC3" w14:textId="77777777" w:rsidR="00446219" w:rsidRPr="004B5046" w:rsidRDefault="00446219" w:rsidP="0003098A">
      <w:pPr>
        <w:pStyle w:val="Heading2"/>
        <w:rPr>
          <w:rStyle w:val="Heading3Char"/>
          <w:rFonts w:cs="Arial"/>
          <w:b/>
          <w:sz w:val="24"/>
          <w:szCs w:val="24"/>
          <w:highlight w:val="lightGray"/>
        </w:rPr>
      </w:pPr>
    </w:p>
    <w:p w14:paraId="649837FD" w14:textId="41BEC403" w:rsidR="00000694" w:rsidRPr="004B5046" w:rsidRDefault="004B5046" w:rsidP="00000694">
      <w:pPr>
        <w:pStyle w:val="Heading3"/>
        <w:spacing w:line="360" w:lineRule="auto"/>
        <w:ind w:left="4536" w:hanging="4536"/>
        <w:rPr>
          <w:rFonts w:cs="Arial"/>
          <w:b w:val="0"/>
        </w:rPr>
      </w:pPr>
      <w:r>
        <w:rPr>
          <w:rStyle w:val="Heading3Char"/>
          <w:rFonts w:cs="Arial"/>
          <w:b/>
        </w:rPr>
        <w:t xml:space="preserve">Meeting:                                        </w:t>
      </w:r>
      <w:r w:rsidR="001473AE">
        <w:rPr>
          <w:rStyle w:val="Heading3Char"/>
          <w:b/>
        </w:rPr>
        <w:t>NHS Golden Jubilee Board</w:t>
      </w:r>
    </w:p>
    <w:p w14:paraId="3EA8D022" w14:textId="407C1F51" w:rsidR="00000694" w:rsidRPr="004B5046" w:rsidRDefault="004B5046" w:rsidP="00000694">
      <w:pPr>
        <w:pStyle w:val="Heading3"/>
        <w:spacing w:line="360" w:lineRule="auto"/>
        <w:ind w:left="4536" w:hanging="4536"/>
        <w:rPr>
          <w:rStyle w:val="Heading3Char"/>
          <w:rFonts w:cs="Arial"/>
          <w:b/>
        </w:rPr>
      </w:pPr>
      <w:r>
        <w:rPr>
          <w:rStyle w:val="Heading3Char"/>
          <w:rFonts w:cs="Arial"/>
          <w:b/>
        </w:rPr>
        <w:t xml:space="preserve">Meeting date:                                </w:t>
      </w:r>
      <w:r w:rsidR="001473AE">
        <w:rPr>
          <w:rStyle w:val="Heading3Char"/>
          <w:rFonts w:cs="Arial"/>
          <w:b/>
        </w:rPr>
        <w:t>27</w:t>
      </w:r>
      <w:r w:rsidRPr="004B5046">
        <w:rPr>
          <w:rStyle w:val="Heading3Char"/>
          <w:rFonts w:cs="Arial"/>
          <w:b/>
        </w:rPr>
        <w:t xml:space="preserve"> March</w:t>
      </w:r>
      <w:r w:rsidR="00F94419" w:rsidRPr="004B5046">
        <w:rPr>
          <w:rStyle w:val="Heading3Char"/>
          <w:rFonts w:cs="Arial"/>
          <w:b/>
        </w:rPr>
        <w:t xml:space="preserve"> 2025</w:t>
      </w:r>
    </w:p>
    <w:p w14:paraId="6D457F6A" w14:textId="5C283CEC" w:rsidR="00000694" w:rsidRPr="004B5046" w:rsidRDefault="004B5046" w:rsidP="00000694">
      <w:pPr>
        <w:pStyle w:val="Heading3"/>
        <w:spacing w:line="360" w:lineRule="auto"/>
        <w:ind w:left="4536" w:hanging="4536"/>
        <w:rPr>
          <w:rFonts w:cs="Arial"/>
          <w:b w:val="0"/>
        </w:rPr>
      </w:pPr>
      <w:r>
        <w:rPr>
          <w:rStyle w:val="Heading3Char"/>
          <w:rFonts w:cs="Arial"/>
          <w:b/>
        </w:rPr>
        <w:t xml:space="preserve">Title:                                               </w:t>
      </w:r>
      <w:r w:rsidR="00000694" w:rsidRPr="004B5046">
        <w:rPr>
          <w:rStyle w:val="Heading3Char"/>
          <w:rFonts w:cs="Arial"/>
          <w:b/>
        </w:rPr>
        <w:t xml:space="preserve">Health &amp; Safety </w:t>
      </w:r>
      <w:r w:rsidR="00022E72" w:rsidRPr="004B5046">
        <w:rPr>
          <w:rStyle w:val="Heading3Char"/>
          <w:rFonts w:cs="Arial"/>
          <w:b/>
        </w:rPr>
        <w:t xml:space="preserve">Report - </w:t>
      </w:r>
      <w:r w:rsidR="00BE270B" w:rsidRPr="004B5046">
        <w:rPr>
          <w:rStyle w:val="Heading3Char"/>
          <w:rFonts w:cs="Arial"/>
          <w:b/>
        </w:rPr>
        <w:t>Quarter</w:t>
      </w:r>
      <w:r w:rsidR="00F94419" w:rsidRPr="004B5046">
        <w:rPr>
          <w:rStyle w:val="Heading3Char"/>
          <w:rFonts w:cs="Arial"/>
          <w:b/>
        </w:rPr>
        <w:t xml:space="preserve"> 3</w:t>
      </w:r>
      <w:r w:rsidR="00306867" w:rsidRPr="004B5046">
        <w:rPr>
          <w:rStyle w:val="Heading3Char"/>
          <w:rFonts w:cs="Arial"/>
          <w:b/>
        </w:rPr>
        <w:t xml:space="preserve"> (</w:t>
      </w:r>
      <w:r w:rsidR="00611E96">
        <w:rPr>
          <w:rStyle w:val="Heading3Char"/>
          <w:rFonts w:cs="Arial"/>
          <w:b/>
        </w:rPr>
        <w:t>20</w:t>
      </w:r>
      <w:r w:rsidR="00306867" w:rsidRPr="004B5046">
        <w:rPr>
          <w:rStyle w:val="Heading3Char"/>
          <w:rFonts w:cs="Arial"/>
          <w:b/>
        </w:rPr>
        <w:t>24/</w:t>
      </w:r>
      <w:r w:rsidR="00611E96">
        <w:rPr>
          <w:rStyle w:val="Heading3Char"/>
          <w:rFonts w:cs="Arial"/>
          <w:b/>
        </w:rPr>
        <w:t>20</w:t>
      </w:r>
      <w:r w:rsidR="00306867" w:rsidRPr="004B5046">
        <w:rPr>
          <w:rStyle w:val="Heading3Char"/>
          <w:rFonts w:cs="Arial"/>
          <w:b/>
        </w:rPr>
        <w:t>25)</w:t>
      </w:r>
    </w:p>
    <w:p w14:paraId="1E360843" w14:textId="66493E5E" w:rsidR="00000694" w:rsidRPr="004B5046" w:rsidRDefault="004B5046" w:rsidP="00000694">
      <w:pPr>
        <w:pStyle w:val="Heading3"/>
        <w:spacing w:line="360" w:lineRule="auto"/>
        <w:ind w:left="4536" w:hanging="4536"/>
        <w:rPr>
          <w:rStyle w:val="Heading3Char"/>
          <w:rFonts w:cs="Arial"/>
          <w:b/>
        </w:rPr>
      </w:pPr>
      <w:r>
        <w:rPr>
          <w:rStyle w:val="Heading3Char"/>
          <w:rFonts w:cs="Arial"/>
          <w:b/>
        </w:rPr>
        <w:t>Responsible Executive</w:t>
      </w:r>
      <w:r w:rsidR="00000694" w:rsidRPr="004B5046">
        <w:rPr>
          <w:rStyle w:val="Heading3Char"/>
          <w:rFonts w:cs="Arial"/>
          <w:b/>
        </w:rPr>
        <w:t>:</w:t>
      </w:r>
      <w:r>
        <w:rPr>
          <w:rStyle w:val="Heading3Char"/>
          <w:rFonts w:cs="Arial"/>
          <w:b/>
        </w:rPr>
        <w:t xml:space="preserve">              </w:t>
      </w:r>
      <w:r w:rsidR="00B1348B" w:rsidRPr="004B5046">
        <w:rPr>
          <w:rStyle w:val="Heading3Char"/>
          <w:rFonts w:cs="Arial"/>
          <w:b/>
        </w:rPr>
        <w:t>Jonny Gamble</w:t>
      </w:r>
      <w:r w:rsidR="00611E96">
        <w:rPr>
          <w:rStyle w:val="Heading3Char"/>
          <w:rFonts w:cs="Arial"/>
          <w:b/>
        </w:rPr>
        <w:t xml:space="preserve">, </w:t>
      </w:r>
      <w:r w:rsidR="000D3169" w:rsidRPr="004B5046">
        <w:rPr>
          <w:rStyle w:val="Heading3Char"/>
          <w:rFonts w:cs="Arial"/>
          <w:b/>
        </w:rPr>
        <w:t xml:space="preserve">Director of </w:t>
      </w:r>
      <w:r w:rsidR="00B1348B" w:rsidRPr="004B5046">
        <w:rPr>
          <w:rStyle w:val="Heading3Char"/>
          <w:rFonts w:cs="Arial"/>
          <w:b/>
        </w:rPr>
        <w:t>Finance</w:t>
      </w:r>
    </w:p>
    <w:p w14:paraId="19E7A478" w14:textId="626096F4" w:rsidR="00000694" w:rsidRPr="004B5046" w:rsidRDefault="004B5046" w:rsidP="00000694">
      <w:pPr>
        <w:pStyle w:val="Heading3"/>
        <w:spacing w:line="360" w:lineRule="auto"/>
        <w:ind w:left="4536" w:hanging="4536"/>
        <w:rPr>
          <w:rStyle w:val="Heading3Char"/>
          <w:rFonts w:cs="Arial"/>
          <w:b/>
        </w:rPr>
      </w:pPr>
      <w:r>
        <w:rPr>
          <w:rStyle w:val="Heading3Char"/>
          <w:rFonts w:cs="Arial"/>
          <w:b/>
        </w:rPr>
        <w:t xml:space="preserve">Report Author:                             </w:t>
      </w:r>
      <w:r w:rsidR="00000694" w:rsidRPr="004B5046">
        <w:rPr>
          <w:rStyle w:val="Heading3Char"/>
          <w:rFonts w:cs="Arial"/>
          <w:b/>
        </w:rPr>
        <w:t>David Wilson</w:t>
      </w:r>
      <w:r w:rsidR="00611E96">
        <w:rPr>
          <w:rStyle w:val="Heading3Char"/>
          <w:rFonts w:cs="Arial"/>
          <w:b/>
        </w:rPr>
        <w:t xml:space="preserve">, </w:t>
      </w:r>
      <w:r w:rsidR="000D3169" w:rsidRPr="004B5046">
        <w:rPr>
          <w:rStyle w:val="Heading3Char"/>
          <w:rFonts w:cs="Arial"/>
          <w:b/>
        </w:rPr>
        <w:t>Head of Health and Safety</w:t>
      </w:r>
    </w:p>
    <w:p w14:paraId="226731E6" w14:textId="77777777" w:rsidR="00A00AF6" w:rsidRPr="004B5046" w:rsidRDefault="00A00AF6" w:rsidP="00A00AF6">
      <w:pPr>
        <w:pStyle w:val="Heading2"/>
        <w:spacing w:line="276" w:lineRule="auto"/>
        <w:rPr>
          <w:rFonts w:cs="Arial"/>
          <w:sz w:val="24"/>
          <w:szCs w:val="24"/>
        </w:rPr>
      </w:pPr>
    </w:p>
    <w:p w14:paraId="1D119560" w14:textId="39794FB1" w:rsidR="00430C09" w:rsidRPr="004B5046" w:rsidRDefault="00430C09" w:rsidP="008A5B73">
      <w:pPr>
        <w:pStyle w:val="Heading2"/>
        <w:numPr>
          <w:ilvl w:val="0"/>
          <w:numId w:val="11"/>
        </w:numPr>
        <w:spacing w:line="276" w:lineRule="auto"/>
        <w:rPr>
          <w:rFonts w:cs="Arial"/>
          <w:sz w:val="24"/>
          <w:szCs w:val="24"/>
        </w:rPr>
      </w:pPr>
      <w:r w:rsidRPr="004B5046">
        <w:rPr>
          <w:rFonts w:cs="Arial"/>
          <w:sz w:val="24"/>
          <w:szCs w:val="24"/>
        </w:rPr>
        <w:t>Purpose</w:t>
      </w:r>
    </w:p>
    <w:p w14:paraId="455B89ED" w14:textId="77777777" w:rsidR="00000694" w:rsidRPr="004B5046" w:rsidRDefault="00000694" w:rsidP="00000694">
      <w:pPr>
        <w:rPr>
          <w:rFonts w:cs="Arial"/>
          <w:bCs/>
          <w:spacing w:val="0"/>
          <w:szCs w:val="24"/>
          <w:lang w:eastAsia="en-GB"/>
        </w:rPr>
      </w:pPr>
    </w:p>
    <w:p w14:paraId="2C01C004" w14:textId="08B8EACA" w:rsidR="00000694" w:rsidRPr="004B5046" w:rsidRDefault="00000694" w:rsidP="00000694">
      <w:pPr>
        <w:pStyle w:val="Heading3"/>
        <w:spacing w:line="276" w:lineRule="auto"/>
        <w:ind w:left="720"/>
        <w:rPr>
          <w:rFonts w:eastAsia="Times New Roman" w:cs="Arial"/>
          <w:bCs/>
          <w:color w:val="auto"/>
          <w:spacing w:val="0"/>
          <w:lang w:eastAsia="en-GB"/>
        </w:rPr>
      </w:pPr>
      <w:r w:rsidRPr="004B5046">
        <w:rPr>
          <w:rFonts w:eastAsia="Times New Roman" w:cs="Arial"/>
          <w:bCs/>
          <w:color w:val="auto"/>
          <w:spacing w:val="0"/>
          <w:lang w:eastAsia="en-GB"/>
        </w:rPr>
        <w:t xml:space="preserve">This is presented to </w:t>
      </w:r>
      <w:r w:rsidR="001473AE">
        <w:rPr>
          <w:rStyle w:val="Heading3Char"/>
          <w:b/>
        </w:rPr>
        <w:t xml:space="preserve">NHS Golden Jubilee Board </w:t>
      </w:r>
      <w:r w:rsidRPr="004B5046">
        <w:rPr>
          <w:rFonts w:eastAsia="Times New Roman" w:cs="Arial"/>
          <w:bCs/>
          <w:color w:val="auto"/>
          <w:spacing w:val="0"/>
          <w:lang w:eastAsia="en-GB"/>
        </w:rPr>
        <w:t xml:space="preserve">for: </w:t>
      </w:r>
    </w:p>
    <w:p w14:paraId="602B5C49" w14:textId="5CD420A0" w:rsidR="00D44E43" w:rsidRPr="004B5046" w:rsidRDefault="00611E96"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Pr>
          <w:rFonts w:ascii="Arial" w:eastAsia="Times New Roman" w:hAnsi="Arial" w:cs="Arial"/>
          <w:bCs/>
          <w:sz w:val="24"/>
          <w:szCs w:val="24"/>
        </w:rPr>
        <w:t>Decision</w:t>
      </w:r>
    </w:p>
    <w:p w14:paraId="70DC2D0C" w14:textId="0B664F02" w:rsidR="00000694" w:rsidRPr="004B5046" w:rsidRDefault="00000694" w:rsidP="00000694">
      <w:pPr>
        <w:rPr>
          <w:rFonts w:cs="Arial"/>
          <w:szCs w:val="24"/>
          <w:lang w:eastAsia="en-GB"/>
        </w:rPr>
      </w:pPr>
    </w:p>
    <w:p w14:paraId="041BADB8" w14:textId="77777777" w:rsidR="00000694" w:rsidRPr="004B5046" w:rsidRDefault="00000694" w:rsidP="00000694">
      <w:pPr>
        <w:pStyle w:val="Heading3"/>
        <w:ind w:left="720"/>
        <w:rPr>
          <w:rFonts w:eastAsia="Times New Roman" w:cs="Arial"/>
          <w:bCs/>
          <w:color w:val="auto"/>
          <w:spacing w:val="0"/>
          <w:lang w:eastAsia="en-GB"/>
        </w:rPr>
      </w:pPr>
      <w:r w:rsidRPr="004B5046">
        <w:rPr>
          <w:rFonts w:eastAsia="Times New Roman" w:cs="Arial"/>
          <w:bCs/>
          <w:color w:val="auto"/>
          <w:spacing w:val="0"/>
          <w:lang w:eastAsia="en-GB"/>
        </w:rPr>
        <w:t>This report relates to a:</w:t>
      </w:r>
    </w:p>
    <w:p w14:paraId="34E415E1" w14:textId="77777777" w:rsidR="00000694" w:rsidRPr="004B5046" w:rsidRDefault="00000694" w:rsidP="008A5B73">
      <w:pPr>
        <w:pStyle w:val="ListParagraph"/>
        <w:numPr>
          <w:ilvl w:val="0"/>
          <w:numId w:val="1"/>
        </w:numPr>
        <w:autoSpaceDE w:val="0"/>
        <w:autoSpaceDN w:val="0"/>
        <w:adjustRightInd w:val="0"/>
        <w:spacing w:before="40" w:after="40" w:line="276" w:lineRule="auto"/>
        <w:ind w:left="1080"/>
        <w:rPr>
          <w:rFonts w:ascii="Arial" w:eastAsia="Times New Roman" w:hAnsi="Arial" w:cs="Arial"/>
          <w:bCs/>
          <w:sz w:val="24"/>
          <w:szCs w:val="24"/>
        </w:rPr>
      </w:pPr>
      <w:r w:rsidRPr="004B5046">
        <w:rPr>
          <w:rFonts w:ascii="Arial" w:eastAsia="Times New Roman" w:hAnsi="Arial" w:cs="Arial"/>
          <w:bCs/>
          <w:sz w:val="24"/>
          <w:szCs w:val="24"/>
        </w:rPr>
        <w:t>Legal Requirement</w:t>
      </w:r>
    </w:p>
    <w:p w14:paraId="2D282EC2" w14:textId="69798376" w:rsidR="00000694" w:rsidRPr="004B5046" w:rsidRDefault="00000694" w:rsidP="008A5B73">
      <w:pPr>
        <w:pStyle w:val="ListParagraph"/>
        <w:numPr>
          <w:ilvl w:val="0"/>
          <w:numId w:val="1"/>
        </w:numPr>
        <w:autoSpaceDE w:val="0"/>
        <w:autoSpaceDN w:val="0"/>
        <w:adjustRightInd w:val="0"/>
        <w:spacing w:before="40" w:after="40" w:line="276" w:lineRule="auto"/>
        <w:ind w:left="1080"/>
        <w:rPr>
          <w:rFonts w:ascii="Arial" w:eastAsia="Times New Roman" w:hAnsi="Arial" w:cs="Arial"/>
          <w:bCs/>
          <w:sz w:val="24"/>
          <w:szCs w:val="24"/>
        </w:rPr>
      </w:pPr>
      <w:r w:rsidRPr="004B5046">
        <w:rPr>
          <w:rFonts w:ascii="Arial" w:eastAsia="Times New Roman" w:hAnsi="Arial" w:cs="Arial"/>
          <w:bCs/>
          <w:sz w:val="24"/>
          <w:szCs w:val="24"/>
        </w:rPr>
        <w:t>Local Policy</w:t>
      </w:r>
    </w:p>
    <w:p w14:paraId="75B5228D" w14:textId="77777777" w:rsidR="00000694" w:rsidRPr="004B5046" w:rsidRDefault="00000694" w:rsidP="00000694">
      <w:pPr>
        <w:pStyle w:val="ListParagraph"/>
        <w:autoSpaceDE w:val="0"/>
        <w:autoSpaceDN w:val="0"/>
        <w:adjustRightInd w:val="0"/>
        <w:spacing w:before="40" w:after="40" w:line="276" w:lineRule="auto"/>
        <w:ind w:left="1080"/>
        <w:rPr>
          <w:rFonts w:ascii="Arial" w:eastAsia="Times New Roman" w:hAnsi="Arial" w:cs="Arial"/>
          <w:b/>
          <w:bCs/>
          <w:sz w:val="24"/>
          <w:szCs w:val="24"/>
        </w:rPr>
      </w:pPr>
    </w:p>
    <w:p w14:paraId="79969008" w14:textId="77777777" w:rsidR="00000694" w:rsidRPr="004B5046" w:rsidRDefault="00000694" w:rsidP="00000694">
      <w:pPr>
        <w:pStyle w:val="Heading3"/>
        <w:ind w:left="720"/>
        <w:rPr>
          <w:rFonts w:eastAsia="Times New Roman" w:cs="Arial"/>
          <w:bCs/>
          <w:color w:val="auto"/>
          <w:spacing w:val="0"/>
          <w:lang w:eastAsia="en-GB"/>
        </w:rPr>
      </w:pPr>
      <w:r w:rsidRPr="004B5046">
        <w:rPr>
          <w:rFonts w:eastAsia="Times New Roman" w:cs="Arial"/>
          <w:bCs/>
          <w:color w:val="auto"/>
          <w:spacing w:val="0"/>
          <w:lang w:eastAsia="en-GB"/>
        </w:rPr>
        <w:t>This aligns to the following NHS Scotland quality ambition(s):</w:t>
      </w:r>
    </w:p>
    <w:p w14:paraId="20206EA8" w14:textId="77777777" w:rsidR="00000694" w:rsidRPr="004B5046"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4B5046">
        <w:rPr>
          <w:rFonts w:ascii="Arial" w:eastAsia="Times New Roman" w:hAnsi="Arial" w:cs="Arial"/>
          <w:bCs/>
          <w:sz w:val="24"/>
          <w:szCs w:val="24"/>
        </w:rPr>
        <w:t>Safe</w:t>
      </w:r>
    </w:p>
    <w:p w14:paraId="1741DE4D" w14:textId="77777777" w:rsidR="00000694" w:rsidRPr="004B5046"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4B5046">
        <w:rPr>
          <w:rFonts w:ascii="Arial" w:eastAsia="Times New Roman" w:hAnsi="Arial" w:cs="Arial"/>
          <w:bCs/>
          <w:sz w:val="24"/>
          <w:szCs w:val="24"/>
        </w:rPr>
        <w:t>Effective</w:t>
      </w:r>
    </w:p>
    <w:p w14:paraId="54F9FD73" w14:textId="77777777" w:rsidR="00000694" w:rsidRPr="004B5046"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4B5046">
        <w:rPr>
          <w:rFonts w:ascii="Arial" w:eastAsia="Times New Roman" w:hAnsi="Arial" w:cs="Arial"/>
          <w:bCs/>
          <w:sz w:val="24"/>
          <w:szCs w:val="24"/>
        </w:rPr>
        <w:t>Person Centred</w:t>
      </w:r>
    </w:p>
    <w:p w14:paraId="157CF793" w14:textId="77777777" w:rsidR="00000694" w:rsidRPr="004B5046" w:rsidRDefault="00000694" w:rsidP="00000694">
      <w:pPr>
        <w:autoSpaceDE w:val="0"/>
        <w:autoSpaceDN w:val="0"/>
        <w:adjustRightInd w:val="0"/>
        <w:spacing w:before="40" w:after="40" w:line="276" w:lineRule="auto"/>
        <w:ind w:left="720"/>
        <w:rPr>
          <w:rFonts w:cs="Arial"/>
          <w:b/>
          <w:bCs/>
          <w:spacing w:val="0"/>
          <w:szCs w:val="24"/>
          <w:lang w:eastAsia="en-GB"/>
        </w:rPr>
      </w:pPr>
    </w:p>
    <w:p w14:paraId="76329139" w14:textId="77777777" w:rsidR="00000694" w:rsidRPr="004B5046" w:rsidRDefault="00000694" w:rsidP="00000694">
      <w:pPr>
        <w:autoSpaceDE w:val="0"/>
        <w:autoSpaceDN w:val="0"/>
        <w:adjustRightInd w:val="0"/>
        <w:spacing w:before="40" w:after="40" w:line="276" w:lineRule="auto"/>
        <w:ind w:left="720"/>
        <w:rPr>
          <w:rFonts w:cs="Arial"/>
          <w:b/>
          <w:bCs/>
          <w:spacing w:val="0"/>
          <w:szCs w:val="24"/>
          <w:lang w:eastAsia="en-GB"/>
        </w:rPr>
      </w:pPr>
      <w:r w:rsidRPr="004B5046">
        <w:rPr>
          <w:rFonts w:cs="Arial"/>
          <w:b/>
          <w:bCs/>
          <w:spacing w:val="0"/>
          <w:szCs w:val="24"/>
          <w:lang w:eastAsia="en-GB"/>
        </w:rPr>
        <w:t>This aligns to the following NHSGJ Corporate Objectives:</w:t>
      </w:r>
    </w:p>
    <w:p w14:paraId="0CFA3B36" w14:textId="77777777" w:rsidR="00000694" w:rsidRPr="004B5046"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4B5046">
        <w:rPr>
          <w:rFonts w:ascii="Arial" w:eastAsia="Times New Roman" w:hAnsi="Arial" w:cs="Arial"/>
          <w:bCs/>
          <w:sz w:val="24"/>
          <w:szCs w:val="24"/>
        </w:rPr>
        <w:t>Leadership, Strategy &amp; Risk</w:t>
      </w:r>
    </w:p>
    <w:p w14:paraId="5F8990A9" w14:textId="6EDE668A" w:rsidR="00F6679F" w:rsidRPr="004B5046"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4B5046">
        <w:rPr>
          <w:rFonts w:ascii="Arial" w:eastAsia="Times New Roman" w:hAnsi="Arial" w:cs="Arial"/>
          <w:bCs/>
          <w:sz w:val="24"/>
          <w:szCs w:val="24"/>
        </w:rPr>
        <w:t>Facilities Expansion &amp; Use</w:t>
      </w:r>
    </w:p>
    <w:p w14:paraId="41A006FD" w14:textId="77777777" w:rsidR="00430C09" w:rsidRPr="004B5046" w:rsidRDefault="00430C09" w:rsidP="009807B4">
      <w:pPr>
        <w:spacing w:line="276" w:lineRule="auto"/>
        <w:rPr>
          <w:rFonts w:cs="Arial"/>
          <w:szCs w:val="24"/>
        </w:rPr>
      </w:pPr>
    </w:p>
    <w:p w14:paraId="3338DF65" w14:textId="7F3D220D" w:rsidR="00430C09" w:rsidRPr="004B5046" w:rsidRDefault="00C94BF7" w:rsidP="00430C09">
      <w:pPr>
        <w:pStyle w:val="Heading2"/>
        <w:spacing w:line="276" w:lineRule="auto"/>
        <w:rPr>
          <w:rFonts w:cs="Arial"/>
          <w:sz w:val="24"/>
          <w:szCs w:val="24"/>
        </w:rPr>
      </w:pPr>
      <w:r w:rsidRPr="004B5046">
        <w:rPr>
          <w:rFonts w:cs="Arial"/>
          <w:sz w:val="24"/>
          <w:szCs w:val="24"/>
        </w:rPr>
        <w:t>2</w:t>
      </w:r>
      <w:r w:rsidR="00BF3AF0" w:rsidRPr="004B5046">
        <w:rPr>
          <w:rFonts w:cs="Arial"/>
          <w:sz w:val="24"/>
          <w:szCs w:val="24"/>
        </w:rPr>
        <w:tab/>
      </w:r>
      <w:r w:rsidR="00430C09" w:rsidRPr="004B5046">
        <w:rPr>
          <w:rFonts w:cs="Arial"/>
          <w:sz w:val="24"/>
          <w:szCs w:val="24"/>
        </w:rPr>
        <w:t>Report summary</w:t>
      </w:r>
      <w:r w:rsidR="00430C09" w:rsidRPr="004B5046">
        <w:rPr>
          <w:rFonts w:cs="Arial"/>
          <w:sz w:val="24"/>
          <w:szCs w:val="24"/>
        </w:rPr>
        <w:tab/>
      </w:r>
    </w:p>
    <w:p w14:paraId="67504CD9" w14:textId="77777777" w:rsidR="00B349A1" w:rsidRPr="004B5046" w:rsidRDefault="00B349A1" w:rsidP="00B349A1">
      <w:pPr>
        <w:rPr>
          <w:rFonts w:cs="Arial"/>
          <w:szCs w:val="24"/>
        </w:rPr>
      </w:pPr>
    </w:p>
    <w:p w14:paraId="2CE1C56A" w14:textId="77777777" w:rsidR="00430C09" w:rsidRPr="004B5046" w:rsidRDefault="00C94BF7" w:rsidP="00BF3AF0">
      <w:pPr>
        <w:pStyle w:val="Heading2"/>
        <w:rPr>
          <w:rFonts w:cs="Arial"/>
          <w:sz w:val="24"/>
          <w:szCs w:val="24"/>
        </w:rPr>
      </w:pPr>
      <w:r w:rsidRPr="004B5046">
        <w:rPr>
          <w:rFonts w:cs="Arial"/>
          <w:sz w:val="24"/>
          <w:szCs w:val="24"/>
        </w:rPr>
        <w:t>2</w:t>
      </w:r>
      <w:r w:rsidR="00BF3AF0" w:rsidRPr="004B5046">
        <w:rPr>
          <w:rFonts w:cs="Arial"/>
          <w:sz w:val="24"/>
          <w:szCs w:val="24"/>
        </w:rPr>
        <w:t>.1</w:t>
      </w:r>
      <w:r w:rsidR="00BF3AF0" w:rsidRPr="004B5046">
        <w:rPr>
          <w:rFonts w:cs="Arial"/>
          <w:sz w:val="24"/>
          <w:szCs w:val="24"/>
        </w:rPr>
        <w:tab/>
      </w:r>
      <w:r w:rsidR="00430C09" w:rsidRPr="004B5046">
        <w:rPr>
          <w:rFonts w:cs="Arial"/>
          <w:sz w:val="24"/>
          <w:szCs w:val="24"/>
        </w:rPr>
        <w:t>Situation</w:t>
      </w:r>
    </w:p>
    <w:p w14:paraId="1B27CF0C" w14:textId="4B819D0D" w:rsidR="00430C09" w:rsidRPr="004B5046" w:rsidRDefault="00430C09" w:rsidP="00F6679F">
      <w:pPr>
        <w:spacing w:before="40" w:after="40" w:line="276" w:lineRule="auto"/>
        <w:ind w:firstLine="720"/>
        <w:rPr>
          <w:rFonts w:cs="Arial"/>
          <w:color w:val="000000"/>
          <w:szCs w:val="24"/>
        </w:rPr>
      </w:pPr>
    </w:p>
    <w:p w14:paraId="6349912A" w14:textId="653C5ECF" w:rsidR="00F6679F" w:rsidRPr="004B5046" w:rsidRDefault="00F6679F" w:rsidP="00F6679F">
      <w:pPr>
        <w:spacing w:line="360" w:lineRule="auto"/>
        <w:ind w:left="66"/>
        <w:rPr>
          <w:rFonts w:cs="Arial"/>
          <w:bCs/>
          <w:szCs w:val="24"/>
          <w:lang w:eastAsia="en-GB"/>
        </w:rPr>
      </w:pPr>
      <w:r w:rsidRPr="004B5046">
        <w:rPr>
          <w:rFonts w:cs="Arial"/>
          <w:bCs/>
          <w:szCs w:val="24"/>
          <w:lang w:eastAsia="en-GB"/>
        </w:rPr>
        <w:tab/>
        <w:t xml:space="preserve">The </w:t>
      </w:r>
      <w:r w:rsidR="00022E72" w:rsidRPr="004B5046">
        <w:rPr>
          <w:rFonts w:cs="Arial"/>
          <w:bCs/>
          <w:szCs w:val="24"/>
          <w:lang w:eastAsia="en-GB"/>
        </w:rPr>
        <w:t>Committee</w:t>
      </w:r>
      <w:r w:rsidRPr="004B5046">
        <w:rPr>
          <w:rFonts w:cs="Arial"/>
          <w:bCs/>
          <w:szCs w:val="24"/>
          <w:lang w:eastAsia="en-GB"/>
        </w:rPr>
        <w:t xml:space="preserve"> is asked to note the following key points:</w:t>
      </w:r>
    </w:p>
    <w:p w14:paraId="47BA9BD9" w14:textId="741E78F5" w:rsidR="000D3169" w:rsidRPr="004B5046" w:rsidRDefault="005725F6" w:rsidP="008A5B73">
      <w:pPr>
        <w:pStyle w:val="ListParagraph"/>
        <w:numPr>
          <w:ilvl w:val="0"/>
          <w:numId w:val="5"/>
        </w:numPr>
        <w:spacing w:line="360" w:lineRule="auto"/>
        <w:rPr>
          <w:rFonts w:ascii="Arial" w:hAnsi="Arial" w:cs="Arial"/>
          <w:bCs/>
          <w:sz w:val="24"/>
          <w:szCs w:val="24"/>
        </w:rPr>
      </w:pPr>
      <w:r w:rsidRPr="004B5046">
        <w:rPr>
          <w:rFonts w:ascii="Arial" w:eastAsia="Times New Roman" w:hAnsi="Arial" w:cs="Arial"/>
          <w:bCs/>
          <w:sz w:val="24"/>
          <w:szCs w:val="24"/>
        </w:rPr>
        <w:t>One</w:t>
      </w:r>
      <w:r w:rsidR="000D3169" w:rsidRPr="004B5046">
        <w:rPr>
          <w:rFonts w:ascii="Arial" w:eastAsia="Times New Roman" w:hAnsi="Arial" w:cs="Arial"/>
          <w:bCs/>
          <w:sz w:val="24"/>
          <w:szCs w:val="24"/>
        </w:rPr>
        <w:t xml:space="preserve"> </w:t>
      </w:r>
      <w:r w:rsidRPr="004B5046">
        <w:rPr>
          <w:rFonts w:ascii="Arial" w:eastAsia="Times New Roman" w:hAnsi="Arial" w:cs="Arial"/>
          <w:bCs/>
          <w:sz w:val="24"/>
          <w:szCs w:val="24"/>
        </w:rPr>
        <w:t>reportable incident</w:t>
      </w:r>
      <w:r w:rsidR="00B15C9F" w:rsidRPr="004B5046">
        <w:rPr>
          <w:rFonts w:ascii="Arial" w:eastAsia="Times New Roman" w:hAnsi="Arial" w:cs="Arial"/>
          <w:bCs/>
          <w:sz w:val="24"/>
          <w:szCs w:val="24"/>
        </w:rPr>
        <w:t xml:space="preserve"> to HSE in this period.</w:t>
      </w:r>
    </w:p>
    <w:p w14:paraId="024078CF" w14:textId="0601F9EB" w:rsidR="00F6679F" w:rsidRPr="004B5046" w:rsidRDefault="00F6679F" w:rsidP="008A5B73">
      <w:pPr>
        <w:pStyle w:val="ListParagraph"/>
        <w:numPr>
          <w:ilvl w:val="0"/>
          <w:numId w:val="5"/>
        </w:numPr>
        <w:spacing w:line="360" w:lineRule="auto"/>
        <w:rPr>
          <w:rFonts w:ascii="Arial" w:hAnsi="Arial" w:cs="Arial"/>
          <w:bCs/>
          <w:sz w:val="24"/>
          <w:szCs w:val="24"/>
        </w:rPr>
      </w:pPr>
      <w:r w:rsidRPr="004B5046">
        <w:rPr>
          <w:rFonts w:ascii="Arial" w:eastAsia="Times New Roman" w:hAnsi="Arial" w:cs="Arial"/>
          <w:bCs/>
          <w:sz w:val="24"/>
          <w:szCs w:val="24"/>
        </w:rPr>
        <w:t>Health and Safety related adverse incidents remain low with no significant trends</w:t>
      </w:r>
      <w:r w:rsidR="009B3CAD" w:rsidRPr="004B5046">
        <w:rPr>
          <w:rFonts w:ascii="Arial" w:eastAsia="Times New Roman" w:hAnsi="Arial" w:cs="Arial"/>
          <w:bCs/>
          <w:sz w:val="24"/>
          <w:szCs w:val="24"/>
        </w:rPr>
        <w:t xml:space="preserve"> </w:t>
      </w:r>
    </w:p>
    <w:p w14:paraId="3BA12383" w14:textId="5D216937" w:rsidR="00A670CB" w:rsidRPr="004B5046" w:rsidRDefault="009B3CAD" w:rsidP="008A5B73">
      <w:pPr>
        <w:pStyle w:val="ListParagraph"/>
        <w:numPr>
          <w:ilvl w:val="0"/>
          <w:numId w:val="5"/>
        </w:numPr>
        <w:spacing w:line="360" w:lineRule="auto"/>
        <w:rPr>
          <w:rFonts w:ascii="Arial" w:hAnsi="Arial" w:cs="Arial"/>
          <w:bCs/>
          <w:sz w:val="24"/>
          <w:szCs w:val="24"/>
        </w:rPr>
      </w:pPr>
      <w:r w:rsidRPr="004B5046">
        <w:rPr>
          <w:rFonts w:ascii="Arial" w:eastAsia="Times New Roman" w:hAnsi="Arial" w:cs="Arial"/>
          <w:bCs/>
          <w:sz w:val="24"/>
          <w:szCs w:val="24"/>
        </w:rPr>
        <w:t>There have been</w:t>
      </w:r>
      <w:r w:rsidR="00D51704" w:rsidRPr="004B5046">
        <w:rPr>
          <w:rFonts w:ascii="Arial" w:eastAsia="Times New Roman" w:hAnsi="Arial" w:cs="Arial"/>
          <w:bCs/>
          <w:sz w:val="24"/>
          <w:szCs w:val="24"/>
        </w:rPr>
        <w:t xml:space="preserve"> </w:t>
      </w:r>
      <w:r w:rsidR="009A0EA4" w:rsidRPr="004B5046">
        <w:rPr>
          <w:rFonts w:ascii="Arial" w:eastAsia="Times New Roman" w:hAnsi="Arial" w:cs="Arial"/>
          <w:bCs/>
          <w:sz w:val="24"/>
          <w:szCs w:val="24"/>
        </w:rPr>
        <w:t>no high risk rated events in this time period.</w:t>
      </w:r>
      <w:r w:rsidRPr="004B5046">
        <w:rPr>
          <w:rFonts w:ascii="Arial" w:eastAsia="Times New Roman" w:hAnsi="Arial" w:cs="Arial"/>
          <w:bCs/>
          <w:sz w:val="24"/>
          <w:szCs w:val="24"/>
        </w:rPr>
        <w:t xml:space="preserve"> </w:t>
      </w:r>
      <w:r w:rsidR="00A670CB" w:rsidRPr="004B5046">
        <w:rPr>
          <w:rFonts w:ascii="Arial" w:eastAsia="Times New Roman" w:hAnsi="Arial" w:cs="Arial"/>
          <w:bCs/>
          <w:sz w:val="24"/>
          <w:szCs w:val="24"/>
        </w:rPr>
        <w:t xml:space="preserve"> </w:t>
      </w:r>
    </w:p>
    <w:p w14:paraId="36E4CD11" w14:textId="4738D230" w:rsidR="00A82C33" w:rsidRPr="004B5046" w:rsidRDefault="00C34EE7" w:rsidP="008A5B73">
      <w:pPr>
        <w:pStyle w:val="ListParagraph"/>
        <w:numPr>
          <w:ilvl w:val="0"/>
          <w:numId w:val="5"/>
        </w:numPr>
        <w:spacing w:line="360" w:lineRule="auto"/>
        <w:contextualSpacing/>
        <w:rPr>
          <w:rFonts w:ascii="Arial" w:eastAsia="Times New Roman" w:hAnsi="Arial" w:cs="Arial"/>
          <w:bCs/>
          <w:sz w:val="24"/>
          <w:szCs w:val="24"/>
        </w:rPr>
      </w:pPr>
      <w:r w:rsidRPr="004B5046">
        <w:rPr>
          <w:rFonts w:ascii="Arial" w:eastAsia="Times New Roman" w:hAnsi="Arial" w:cs="Arial"/>
          <w:bCs/>
          <w:sz w:val="24"/>
          <w:szCs w:val="24"/>
        </w:rPr>
        <w:t>There has been no regulatory enforcement action in this time period</w:t>
      </w:r>
      <w:r w:rsidR="00A670CB" w:rsidRPr="004B5046">
        <w:rPr>
          <w:rFonts w:ascii="Arial" w:eastAsia="Times New Roman" w:hAnsi="Arial" w:cs="Arial"/>
          <w:bCs/>
          <w:sz w:val="24"/>
          <w:szCs w:val="24"/>
        </w:rPr>
        <w:t>.</w:t>
      </w:r>
    </w:p>
    <w:p w14:paraId="69E46648" w14:textId="333EA15A" w:rsidR="00CE18DD" w:rsidRPr="004B5046" w:rsidRDefault="00CE18DD" w:rsidP="008A5B73">
      <w:pPr>
        <w:pStyle w:val="ListParagraph"/>
        <w:numPr>
          <w:ilvl w:val="0"/>
          <w:numId w:val="5"/>
        </w:numPr>
        <w:spacing w:line="360" w:lineRule="auto"/>
        <w:contextualSpacing/>
        <w:rPr>
          <w:rFonts w:ascii="Arial" w:eastAsia="Times New Roman" w:hAnsi="Arial" w:cs="Arial"/>
          <w:bCs/>
          <w:sz w:val="24"/>
          <w:szCs w:val="24"/>
        </w:rPr>
      </w:pPr>
      <w:r w:rsidRPr="004B5046">
        <w:rPr>
          <w:rFonts w:ascii="Arial" w:eastAsia="Times New Roman" w:hAnsi="Arial" w:cs="Arial"/>
          <w:bCs/>
          <w:sz w:val="24"/>
          <w:szCs w:val="24"/>
        </w:rPr>
        <w:lastRenderedPageBreak/>
        <w:t>Introduction of new fire safety guidance SHTM 80</w:t>
      </w:r>
    </w:p>
    <w:p w14:paraId="04C0D928" w14:textId="4BA1BA8B" w:rsidR="00CE18DD" w:rsidRPr="004B5046" w:rsidRDefault="00CE18DD" w:rsidP="008A5B73">
      <w:pPr>
        <w:pStyle w:val="ListParagraph"/>
        <w:numPr>
          <w:ilvl w:val="0"/>
          <w:numId w:val="5"/>
        </w:numPr>
        <w:spacing w:line="360" w:lineRule="auto"/>
        <w:contextualSpacing/>
        <w:rPr>
          <w:rFonts w:ascii="Arial" w:eastAsia="Times New Roman" w:hAnsi="Arial" w:cs="Arial"/>
          <w:bCs/>
          <w:sz w:val="24"/>
          <w:szCs w:val="24"/>
        </w:rPr>
      </w:pPr>
      <w:r w:rsidRPr="004B5046">
        <w:rPr>
          <w:rFonts w:ascii="Arial" w:eastAsia="Times New Roman" w:hAnsi="Arial" w:cs="Arial"/>
          <w:bCs/>
          <w:sz w:val="24"/>
          <w:szCs w:val="24"/>
        </w:rPr>
        <w:t>Health and Safety related policies update</w:t>
      </w:r>
    </w:p>
    <w:p w14:paraId="2B19F1B5" w14:textId="157A0832" w:rsidR="004970BE" w:rsidRPr="004B5046" w:rsidRDefault="004970BE" w:rsidP="008A5B73">
      <w:pPr>
        <w:pStyle w:val="ListParagraph"/>
        <w:numPr>
          <w:ilvl w:val="0"/>
          <w:numId w:val="5"/>
        </w:numPr>
        <w:spacing w:line="360" w:lineRule="auto"/>
        <w:contextualSpacing/>
        <w:rPr>
          <w:rFonts w:ascii="Arial" w:eastAsia="Times New Roman" w:hAnsi="Arial" w:cs="Arial"/>
          <w:bCs/>
          <w:sz w:val="24"/>
          <w:szCs w:val="24"/>
        </w:rPr>
      </w:pPr>
      <w:r w:rsidRPr="004B5046">
        <w:rPr>
          <w:rFonts w:ascii="Arial" w:eastAsia="Times New Roman" w:hAnsi="Arial" w:cs="Arial"/>
          <w:bCs/>
          <w:sz w:val="24"/>
          <w:szCs w:val="24"/>
        </w:rPr>
        <w:t>Safety Action notice (helipad operations)</w:t>
      </w:r>
      <w:r w:rsidR="00CE18DD" w:rsidRPr="004B5046">
        <w:rPr>
          <w:rFonts w:ascii="Arial" w:eastAsia="Times New Roman" w:hAnsi="Arial" w:cs="Arial"/>
          <w:bCs/>
          <w:sz w:val="24"/>
          <w:szCs w:val="24"/>
        </w:rPr>
        <w:t xml:space="preserve"> update</w:t>
      </w:r>
    </w:p>
    <w:p w14:paraId="05991A3E" w14:textId="270D9100" w:rsidR="00CE18DD" w:rsidRPr="004B5046" w:rsidRDefault="00CE18DD" w:rsidP="008A5B73">
      <w:pPr>
        <w:pStyle w:val="ListParagraph"/>
        <w:numPr>
          <w:ilvl w:val="0"/>
          <w:numId w:val="5"/>
        </w:numPr>
        <w:spacing w:line="360" w:lineRule="auto"/>
        <w:contextualSpacing/>
        <w:rPr>
          <w:rFonts w:ascii="Arial" w:eastAsia="Times New Roman" w:hAnsi="Arial" w:cs="Arial"/>
          <w:bCs/>
          <w:sz w:val="24"/>
          <w:szCs w:val="24"/>
        </w:rPr>
      </w:pPr>
      <w:r w:rsidRPr="004B5046">
        <w:rPr>
          <w:rFonts w:ascii="Arial" w:eastAsia="Times New Roman" w:hAnsi="Arial" w:cs="Arial"/>
          <w:bCs/>
          <w:sz w:val="24"/>
          <w:szCs w:val="24"/>
        </w:rPr>
        <w:t>Health and Safety Inspection update</w:t>
      </w:r>
    </w:p>
    <w:p w14:paraId="4E806D96" w14:textId="2FCB93E8" w:rsidR="00CE18DD" w:rsidRPr="004B5046" w:rsidRDefault="00CE18DD" w:rsidP="008A5B73">
      <w:pPr>
        <w:pStyle w:val="ListParagraph"/>
        <w:numPr>
          <w:ilvl w:val="0"/>
          <w:numId w:val="5"/>
        </w:numPr>
        <w:spacing w:line="360" w:lineRule="auto"/>
        <w:contextualSpacing/>
        <w:rPr>
          <w:rFonts w:ascii="Arial" w:eastAsia="Times New Roman" w:hAnsi="Arial" w:cs="Arial"/>
          <w:bCs/>
          <w:sz w:val="24"/>
          <w:szCs w:val="24"/>
        </w:rPr>
      </w:pPr>
      <w:r w:rsidRPr="004B5046">
        <w:rPr>
          <w:rFonts w:ascii="Arial" w:eastAsia="Times New Roman" w:hAnsi="Arial" w:cs="Arial"/>
          <w:bCs/>
          <w:sz w:val="24"/>
          <w:szCs w:val="24"/>
        </w:rPr>
        <w:t>Mask fit testing update</w:t>
      </w:r>
    </w:p>
    <w:p w14:paraId="3CEA3CFE" w14:textId="3E90A335" w:rsidR="00000694" w:rsidRPr="004B5046" w:rsidRDefault="00000694" w:rsidP="002B3687">
      <w:pPr>
        <w:pStyle w:val="ListParagraph"/>
        <w:spacing w:line="360" w:lineRule="auto"/>
        <w:ind w:left="1076"/>
        <w:contextualSpacing/>
        <w:rPr>
          <w:rFonts w:ascii="Arial" w:eastAsia="Times New Roman" w:hAnsi="Arial" w:cs="Arial"/>
          <w:bCs/>
          <w:sz w:val="24"/>
          <w:szCs w:val="24"/>
        </w:rPr>
      </w:pPr>
    </w:p>
    <w:p w14:paraId="264ED60A" w14:textId="17A3CE21" w:rsidR="00000694" w:rsidRPr="004B5046" w:rsidRDefault="00CF4E6A" w:rsidP="008A5B73">
      <w:pPr>
        <w:pStyle w:val="Heading2"/>
        <w:numPr>
          <w:ilvl w:val="1"/>
          <w:numId w:val="6"/>
        </w:numPr>
        <w:rPr>
          <w:rFonts w:cs="Arial"/>
          <w:sz w:val="24"/>
          <w:szCs w:val="24"/>
        </w:rPr>
      </w:pPr>
      <w:r w:rsidRPr="004B5046">
        <w:rPr>
          <w:rFonts w:cs="Arial"/>
          <w:sz w:val="24"/>
          <w:szCs w:val="24"/>
        </w:rPr>
        <w:tab/>
      </w:r>
      <w:r w:rsidR="00430C09" w:rsidRPr="004B5046">
        <w:rPr>
          <w:rFonts w:cs="Arial"/>
          <w:sz w:val="24"/>
          <w:szCs w:val="24"/>
        </w:rPr>
        <w:t>Background</w:t>
      </w:r>
    </w:p>
    <w:p w14:paraId="0227994A" w14:textId="3D98B297" w:rsidR="00000694" w:rsidRPr="004B5046" w:rsidRDefault="00000694" w:rsidP="00000694">
      <w:pPr>
        <w:rPr>
          <w:rFonts w:cs="Arial"/>
          <w:szCs w:val="24"/>
        </w:rPr>
      </w:pPr>
    </w:p>
    <w:p w14:paraId="775DB214" w14:textId="090CD056" w:rsidR="00000694" w:rsidRPr="004B5046" w:rsidRDefault="00000694" w:rsidP="00000694">
      <w:pPr>
        <w:spacing w:after="120"/>
        <w:rPr>
          <w:rFonts w:cs="Arial"/>
          <w:color w:val="000000"/>
          <w:szCs w:val="24"/>
        </w:rPr>
      </w:pPr>
      <w:r w:rsidRPr="004B5046">
        <w:rPr>
          <w:rFonts w:cs="Arial"/>
          <w:color w:val="000000"/>
          <w:szCs w:val="24"/>
        </w:rPr>
        <w:tab/>
        <w:t xml:space="preserve">The Health and Safety at Work etc. Act 1974 is the primary legislation covering </w:t>
      </w:r>
      <w:r w:rsidRPr="004B5046">
        <w:rPr>
          <w:rFonts w:cs="Arial"/>
          <w:color w:val="000000"/>
          <w:szCs w:val="24"/>
        </w:rPr>
        <w:tab/>
        <w:t xml:space="preserve">health and safety in the UK. Sections 2 (6) and 2 (7) of this Act requires </w:t>
      </w:r>
      <w:r w:rsidRPr="004B5046">
        <w:rPr>
          <w:rFonts w:cs="Arial"/>
          <w:color w:val="000000"/>
          <w:szCs w:val="24"/>
        </w:rPr>
        <w:tab/>
        <w:t xml:space="preserve">employers to formally consult their employees on matters that affect their health </w:t>
      </w:r>
      <w:r w:rsidRPr="004B5046">
        <w:rPr>
          <w:rFonts w:cs="Arial"/>
          <w:color w:val="000000"/>
          <w:szCs w:val="24"/>
        </w:rPr>
        <w:tab/>
        <w:t xml:space="preserve">and safety. NHS Golden Jubilee has decided that the most effective way to </w:t>
      </w:r>
      <w:r w:rsidRPr="004B5046">
        <w:rPr>
          <w:rFonts w:cs="Arial"/>
          <w:color w:val="000000"/>
          <w:szCs w:val="24"/>
        </w:rPr>
        <w:tab/>
        <w:t xml:space="preserve">discharge these requirements will be through the formation of Divisional </w:t>
      </w:r>
      <w:r w:rsidRPr="004B5046">
        <w:rPr>
          <w:rFonts w:cs="Arial"/>
          <w:color w:val="000000"/>
          <w:szCs w:val="24"/>
        </w:rPr>
        <w:tab/>
        <w:t>Health &amp; Safety Forums and Health &amp; Safety Committee.</w:t>
      </w:r>
    </w:p>
    <w:p w14:paraId="6085989B" w14:textId="47940997" w:rsidR="00000694" w:rsidRPr="004B5046" w:rsidRDefault="00000694" w:rsidP="00000694">
      <w:pPr>
        <w:tabs>
          <w:tab w:val="left" w:pos="-720"/>
        </w:tabs>
        <w:suppressAutoHyphens/>
        <w:rPr>
          <w:rFonts w:cs="Arial"/>
          <w:color w:val="000000"/>
          <w:szCs w:val="24"/>
        </w:rPr>
      </w:pPr>
      <w:r w:rsidRPr="004B5046">
        <w:rPr>
          <w:rFonts w:cs="Arial"/>
          <w:color w:val="000000"/>
          <w:szCs w:val="24"/>
        </w:rPr>
        <w:tab/>
        <w:t xml:space="preserve">The main purpose of the committee is to foster a culture whereby the promotion </w:t>
      </w:r>
      <w:r w:rsidRPr="004B5046">
        <w:rPr>
          <w:rFonts w:cs="Arial"/>
          <w:color w:val="000000"/>
          <w:szCs w:val="24"/>
        </w:rPr>
        <w:tab/>
        <w:t>of the health and safety of employees, patients, visitors</w:t>
      </w:r>
      <w:r w:rsidR="00446589" w:rsidRPr="004B5046">
        <w:rPr>
          <w:rFonts w:cs="Arial"/>
          <w:color w:val="000000"/>
          <w:szCs w:val="24"/>
        </w:rPr>
        <w:t>,</w:t>
      </w:r>
      <w:r w:rsidR="00A00AF6" w:rsidRPr="004B5046">
        <w:rPr>
          <w:rFonts w:cs="Arial"/>
          <w:color w:val="000000"/>
          <w:szCs w:val="24"/>
        </w:rPr>
        <w:t xml:space="preserve"> </w:t>
      </w:r>
      <w:r w:rsidRPr="004B5046">
        <w:rPr>
          <w:rFonts w:cs="Arial"/>
          <w:color w:val="000000"/>
          <w:szCs w:val="24"/>
        </w:rPr>
        <w:t xml:space="preserve">contractors </w:t>
      </w:r>
      <w:r w:rsidR="00446589" w:rsidRPr="004B5046">
        <w:rPr>
          <w:rFonts w:cs="Arial"/>
          <w:color w:val="000000"/>
          <w:szCs w:val="24"/>
        </w:rPr>
        <w:t xml:space="preserve">and </w:t>
      </w:r>
      <w:r w:rsidR="00A00AF6" w:rsidRPr="004B5046">
        <w:rPr>
          <w:rFonts w:cs="Arial"/>
          <w:color w:val="000000"/>
          <w:szCs w:val="24"/>
        </w:rPr>
        <w:tab/>
      </w:r>
      <w:r w:rsidR="00446589" w:rsidRPr="004B5046">
        <w:rPr>
          <w:rFonts w:cs="Arial"/>
          <w:color w:val="000000"/>
          <w:szCs w:val="24"/>
        </w:rPr>
        <w:t>suppliers</w:t>
      </w:r>
      <w:r w:rsidR="00A00AF6" w:rsidRPr="004B5046">
        <w:rPr>
          <w:rFonts w:cs="Arial"/>
          <w:color w:val="000000"/>
          <w:szCs w:val="24"/>
        </w:rPr>
        <w:t xml:space="preserve"> </w:t>
      </w:r>
      <w:r w:rsidRPr="004B5046">
        <w:rPr>
          <w:rFonts w:cs="Arial"/>
          <w:color w:val="000000"/>
          <w:szCs w:val="24"/>
        </w:rPr>
        <w:t>becomes an integral part of our organisation’s activities.</w:t>
      </w:r>
    </w:p>
    <w:p w14:paraId="003C6F85" w14:textId="77777777" w:rsidR="00000694" w:rsidRPr="004B5046" w:rsidRDefault="00000694" w:rsidP="00000694">
      <w:pPr>
        <w:tabs>
          <w:tab w:val="left" w:pos="-720"/>
        </w:tabs>
        <w:suppressAutoHyphens/>
        <w:jc w:val="both"/>
        <w:rPr>
          <w:rFonts w:cs="Arial"/>
          <w:color w:val="000000"/>
          <w:szCs w:val="24"/>
        </w:rPr>
      </w:pPr>
    </w:p>
    <w:p w14:paraId="298EE270" w14:textId="31D064B5" w:rsidR="00000694" w:rsidRPr="004B5046" w:rsidRDefault="00000694" w:rsidP="00000694">
      <w:pPr>
        <w:spacing w:after="120"/>
        <w:rPr>
          <w:rFonts w:cs="Arial"/>
          <w:color w:val="000000"/>
          <w:szCs w:val="24"/>
        </w:rPr>
      </w:pPr>
      <w:r w:rsidRPr="004B5046">
        <w:rPr>
          <w:rFonts w:cs="Arial"/>
          <w:color w:val="000000"/>
          <w:szCs w:val="24"/>
        </w:rPr>
        <w:tab/>
        <w:t xml:space="preserve">The committee </w:t>
      </w:r>
      <w:r w:rsidR="00446589" w:rsidRPr="004B5046">
        <w:rPr>
          <w:rFonts w:cs="Arial"/>
          <w:color w:val="000000"/>
          <w:szCs w:val="24"/>
        </w:rPr>
        <w:t>terms of reference</w:t>
      </w:r>
      <w:r w:rsidRPr="004B5046">
        <w:rPr>
          <w:rFonts w:cs="Arial"/>
          <w:color w:val="000000"/>
          <w:szCs w:val="24"/>
        </w:rPr>
        <w:t xml:space="preserve"> sets out a number of aims and these are </w:t>
      </w:r>
      <w:r w:rsidRPr="004B5046">
        <w:rPr>
          <w:rFonts w:cs="Arial"/>
          <w:color w:val="000000"/>
          <w:szCs w:val="24"/>
        </w:rPr>
        <w:tab/>
        <w:t>summarised below:</w:t>
      </w:r>
    </w:p>
    <w:p w14:paraId="6991A11A" w14:textId="77777777" w:rsidR="00000694" w:rsidRPr="004B5046" w:rsidRDefault="00000694" w:rsidP="008A5B73">
      <w:pPr>
        <w:pStyle w:val="ListParagraph"/>
        <w:numPr>
          <w:ilvl w:val="0"/>
          <w:numId w:val="2"/>
        </w:numPr>
        <w:autoSpaceDE w:val="0"/>
        <w:autoSpaceDN w:val="0"/>
        <w:adjustRightInd w:val="0"/>
        <w:spacing w:before="40" w:after="40" w:line="276" w:lineRule="auto"/>
        <w:ind w:left="1080"/>
        <w:rPr>
          <w:rFonts w:ascii="Arial" w:hAnsi="Arial" w:cs="Arial"/>
          <w:color w:val="000000"/>
          <w:sz w:val="24"/>
          <w:szCs w:val="24"/>
        </w:rPr>
      </w:pPr>
      <w:r w:rsidRPr="004B5046">
        <w:rPr>
          <w:rFonts w:ascii="Arial" w:hAnsi="Arial" w:cs="Arial"/>
          <w:color w:val="000000"/>
          <w:sz w:val="24"/>
          <w:szCs w:val="24"/>
        </w:rPr>
        <w:t>To encourage safe working practices and safeguards for all staff and others in line with health and safety legislation.</w:t>
      </w:r>
    </w:p>
    <w:p w14:paraId="12DE5670" w14:textId="77777777" w:rsidR="00000694" w:rsidRPr="004B5046"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sz w:val="24"/>
          <w:szCs w:val="24"/>
        </w:rPr>
      </w:pPr>
      <w:r w:rsidRPr="004B5046">
        <w:rPr>
          <w:rFonts w:ascii="Arial" w:hAnsi="Arial" w:cs="Arial"/>
          <w:color w:val="000000"/>
          <w:sz w:val="24"/>
          <w:szCs w:val="24"/>
        </w:rPr>
        <w:t>To promote safety consciousness within staff at every level in order to effect a reduction in the level of accidents.</w:t>
      </w:r>
    </w:p>
    <w:p w14:paraId="76A6C10E" w14:textId="77777777" w:rsidR="00000694" w:rsidRPr="004B5046"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sz w:val="24"/>
          <w:szCs w:val="24"/>
        </w:rPr>
      </w:pPr>
      <w:r w:rsidRPr="004B5046">
        <w:rPr>
          <w:rFonts w:ascii="Arial" w:hAnsi="Arial" w:cs="Arial"/>
          <w:color w:val="000000"/>
          <w:sz w:val="24"/>
          <w:szCs w:val="24"/>
        </w:rPr>
        <w:t>To promote appropriate courses of training in health and safety for all staff.</w:t>
      </w:r>
    </w:p>
    <w:p w14:paraId="76492307" w14:textId="77777777" w:rsidR="00000694" w:rsidRPr="004B5046"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sz w:val="24"/>
          <w:szCs w:val="24"/>
        </w:rPr>
      </w:pPr>
      <w:r w:rsidRPr="004B5046">
        <w:rPr>
          <w:rFonts w:ascii="Arial" w:hAnsi="Arial" w:cs="Arial"/>
          <w:color w:val="000000"/>
          <w:sz w:val="24"/>
          <w:szCs w:val="24"/>
        </w:rPr>
        <w:t>To consider concerns expressed by management and staff in relation to health and safety matters.</w:t>
      </w:r>
    </w:p>
    <w:p w14:paraId="6ED1C7F0" w14:textId="7F975639" w:rsidR="00000694" w:rsidRPr="004B5046"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sz w:val="24"/>
          <w:szCs w:val="24"/>
        </w:rPr>
      </w:pPr>
      <w:r w:rsidRPr="004B5046">
        <w:rPr>
          <w:rFonts w:ascii="Arial" w:hAnsi="Arial" w:cs="Arial"/>
          <w:color w:val="000000"/>
          <w:sz w:val="24"/>
          <w:szCs w:val="24"/>
        </w:rPr>
        <w:t>To agree a program of workplace inspections, receive reports and make recommendations on action required</w:t>
      </w:r>
      <w:r w:rsidR="00373C97" w:rsidRPr="004B5046">
        <w:rPr>
          <w:rFonts w:ascii="Arial" w:hAnsi="Arial" w:cs="Arial"/>
          <w:color w:val="000000"/>
          <w:sz w:val="24"/>
          <w:szCs w:val="24"/>
        </w:rPr>
        <w:t>.</w:t>
      </w:r>
    </w:p>
    <w:p w14:paraId="4DE51B62" w14:textId="4E4A59F5" w:rsidR="003315A9" w:rsidRPr="004B5046"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sz w:val="24"/>
          <w:szCs w:val="24"/>
        </w:rPr>
        <w:sectPr w:rsidR="003315A9" w:rsidRPr="004B5046" w:rsidSect="00A54B81">
          <w:headerReference w:type="default" r:id="rId9"/>
          <w:footerReference w:type="default" r:id="rId10"/>
          <w:pgSz w:w="11906" w:h="16838"/>
          <w:pgMar w:top="1440" w:right="1440" w:bottom="1440" w:left="1440" w:header="708" w:footer="708" w:gutter="0"/>
          <w:cols w:space="708"/>
          <w:docGrid w:linePitch="360"/>
        </w:sectPr>
      </w:pPr>
      <w:r w:rsidRPr="004B5046">
        <w:rPr>
          <w:rFonts w:ascii="Arial" w:hAnsi="Arial" w:cs="Arial"/>
          <w:color w:val="000000"/>
          <w:sz w:val="24"/>
          <w:szCs w:val="24"/>
        </w:rPr>
        <w:t>To monitor progress against health and safety action plan</w:t>
      </w:r>
      <w:r w:rsidR="00A82C33" w:rsidRPr="004B5046">
        <w:rPr>
          <w:rFonts w:ascii="Arial" w:hAnsi="Arial" w:cs="Arial"/>
          <w:color w:val="000000"/>
          <w:sz w:val="24"/>
          <w:szCs w:val="24"/>
        </w:rPr>
        <w:t>.</w:t>
      </w:r>
    </w:p>
    <w:p w14:paraId="46FDE8D7" w14:textId="6E1E399D" w:rsidR="00835A56" w:rsidRPr="004B5046" w:rsidRDefault="00835A56" w:rsidP="00835A56">
      <w:pPr>
        <w:tabs>
          <w:tab w:val="left" w:pos="2510"/>
        </w:tabs>
        <w:rPr>
          <w:rFonts w:cs="Arial"/>
          <w:szCs w:val="24"/>
        </w:rPr>
      </w:pPr>
    </w:p>
    <w:p w14:paraId="3245821D" w14:textId="76096624" w:rsidR="00F3337D" w:rsidRPr="004B5046" w:rsidRDefault="00C87B62" w:rsidP="00BF3AF0">
      <w:pPr>
        <w:pStyle w:val="Heading2"/>
        <w:rPr>
          <w:rFonts w:cs="Arial"/>
          <w:sz w:val="24"/>
          <w:szCs w:val="24"/>
        </w:rPr>
      </w:pPr>
      <w:r w:rsidRPr="004B5046">
        <w:rPr>
          <w:rFonts w:cs="Arial"/>
          <w:sz w:val="24"/>
          <w:szCs w:val="24"/>
        </w:rPr>
        <w:t>2</w:t>
      </w:r>
      <w:r w:rsidR="00BF3AF0" w:rsidRPr="004B5046">
        <w:rPr>
          <w:rFonts w:cs="Arial"/>
          <w:sz w:val="24"/>
          <w:szCs w:val="24"/>
        </w:rPr>
        <w:t>.3</w:t>
      </w:r>
      <w:r w:rsidR="00BF3AF0" w:rsidRPr="004B5046">
        <w:rPr>
          <w:rFonts w:cs="Arial"/>
          <w:sz w:val="24"/>
          <w:szCs w:val="24"/>
        </w:rPr>
        <w:tab/>
      </w:r>
      <w:r w:rsidR="00F3337D" w:rsidRPr="004B5046">
        <w:rPr>
          <w:rFonts w:cs="Arial"/>
          <w:sz w:val="24"/>
          <w:szCs w:val="24"/>
        </w:rPr>
        <w:t>Assessment</w:t>
      </w:r>
    </w:p>
    <w:p w14:paraId="61A06711" w14:textId="77777777" w:rsidR="00B349A1" w:rsidRPr="004B5046" w:rsidRDefault="00B349A1" w:rsidP="00B349A1">
      <w:pPr>
        <w:rPr>
          <w:rFonts w:cs="Arial"/>
          <w:szCs w:val="24"/>
        </w:rPr>
      </w:pPr>
    </w:p>
    <w:p w14:paraId="149EFE6A" w14:textId="3F0FA76F" w:rsidR="000B4423" w:rsidRPr="004B5046" w:rsidRDefault="000B4423" w:rsidP="000B4423">
      <w:pPr>
        <w:ind w:left="720"/>
        <w:rPr>
          <w:rFonts w:cs="Arial"/>
          <w:b/>
          <w:bCs/>
          <w:color w:val="FF0000"/>
          <w:szCs w:val="24"/>
        </w:rPr>
      </w:pPr>
      <w:r w:rsidRPr="004B5046">
        <w:rPr>
          <w:rFonts w:cs="Arial"/>
          <w:szCs w:val="24"/>
        </w:rPr>
        <w:t>Appendix 1 contains Health &amp; Safety</w:t>
      </w:r>
      <w:r w:rsidR="00493CFC" w:rsidRPr="004B5046">
        <w:rPr>
          <w:rFonts w:cs="Arial"/>
          <w:szCs w:val="24"/>
        </w:rPr>
        <w:t xml:space="preserve"> </w:t>
      </w:r>
      <w:r w:rsidR="0096075E" w:rsidRPr="004B5046">
        <w:rPr>
          <w:rFonts w:cs="Arial"/>
          <w:szCs w:val="24"/>
        </w:rPr>
        <w:t>Quarterly</w:t>
      </w:r>
      <w:r w:rsidRPr="004B5046">
        <w:rPr>
          <w:rFonts w:cs="Arial"/>
          <w:szCs w:val="24"/>
        </w:rPr>
        <w:t xml:space="preserve"> Report for </w:t>
      </w:r>
      <w:r w:rsidR="00F94419" w:rsidRPr="004B5046">
        <w:rPr>
          <w:rFonts w:cs="Arial"/>
          <w:szCs w:val="24"/>
        </w:rPr>
        <w:t>Q3</w:t>
      </w:r>
      <w:r w:rsidR="003F5E80" w:rsidRPr="004B5046">
        <w:rPr>
          <w:rFonts w:cs="Arial"/>
          <w:szCs w:val="24"/>
        </w:rPr>
        <w:t>. 24/25</w:t>
      </w:r>
    </w:p>
    <w:p w14:paraId="432009E5" w14:textId="13260AA0" w:rsidR="00F3337D" w:rsidRPr="004B5046" w:rsidRDefault="00F3337D" w:rsidP="00BF3AF0">
      <w:pPr>
        <w:spacing w:before="40" w:after="40" w:line="276" w:lineRule="auto"/>
        <w:rPr>
          <w:rFonts w:cs="Arial"/>
          <w:color w:val="000000"/>
          <w:szCs w:val="24"/>
        </w:rPr>
      </w:pPr>
    </w:p>
    <w:p w14:paraId="3F2871AE" w14:textId="77777777" w:rsidR="00F3337D" w:rsidRPr="004B5046" w:rsidRDefault="00C87B62" w:rsidP="00F3337D">
      <w:pPr>
        <w:pStyle w:val="Heading3"/>
        <w:spacing w:line="276" w:lineRule="auto"/>
        <w:rPr>
          <w:rFonts w:cs="Arial"/>
        </w:rPr>
      </w:pPr>
      <w:r w:rsidRPr="004B5046">
        <w:rPr>
          <w:rFonts w:cs="Arial"/>
        </w:rPr>
        <w:t>2</w:t>
      </w:r>
      <w:r w:rsidR="00BF3AF0" w:rsidRPr="004B5046">
        <w:rPr>
          <w:rFonts w:cs="Arial"/>
        </w:rPr>
        <w:t>.3.1</w:t>
      </w:r>
      <w:r w:rsidR="00BF3AF0" w:rsidRPr="004B5046">
        <w:rPr>
          <w:rFonts w:cs="Arial"/>
        </w:rPr>
        <w:tab/>
      </w:r>
      <w:r w:rsidR="00F3337D" w:rsidRPr="004B5046">
        <w:rPr>
          <w:rFonts w:cs="Arial"/>
        </w:rPr>
        <w:t>Quality/ Patient Care</w:t>
      </w:r>
    </w:p>
    <w:p w14:paraId="7655551C" w14:textId="0DC61D7B" w:rsidR="00716E7D" w:rsidRPr="004B5046" w:rsidRDefault="00716E7D" w:rsidP="00716E7D">
      <w:pPr>
        <w:spacing w:before="40" w:after="40" w:line="276" w:lineRule="auto"/>
        <w:ind w:left="720"/>
        <w:rPr>
          <w:rFonts w:cs="Arial"/>
          <w:color w:val="000000"/>
          <w:szCs w:val="24"/>
        </w:rPr>
      </w:pPr>
      <w:r w:rsidRPr="004B5046">
        <w:rPr>
          <w:rFonts w:cs="Arial"/>
          <w:color w:val="000000"/>
          <w:szCs w:val="24"/>
        </w:rPr>
        <w:t>Ensuring we deliver safe patient care</w:t>
      </w:r>
      <w:r w:rsidR="00373C97" w:rsidRPr="004B5046">
        <w:rPr>
          <w:rFonts w:cs="Arial"/>
          <w:color w:val="000000"/>
          <w:szCs w:val="24"/>
        </w:rPr>
        <w:t>.</w:t>
      </w:r>
    </w:p>
    <w:p w14:paraId="7F4F84BF" w14:textId="77777777" w:rsidR="00F3337D" w:rsidRPr="004B5046" w:rsidRDefault="00F3337D" w:rsidP="00BF3AF0">
      <w:pPr>
        <w:pStyle w:val="ListParagraph"/>
        <w:ind w:left="1440"/>
        <w:rPr>
          <w:rFonts w:ascii="Arial" w:hAnsi="Arial" w:cs="Arial"/>
          <w:color w:val="000000"/>
          <w:sz w:val="24"/>
          <w:szCs w:val="24"/>
        </w:rPr>
      </w:pPr>
    </w:p>
    <w:p w14:paraId="28A49038" w14:textId="77777777" w:rsidR="00AA77F7" w:rsidRPr="004B5046" w:rsidRDefault="00C87B62" w:rsidP="00AA77F7">
      <w:pPr>
        <w:pStyle w:val="Heading3"/>
        <w:spacing w:line="276" w:lineRule="auto"/>
        <w:rPr>
          <w:rFonts w:cs="Arial"/>
        </w:rPr>
      </w:pPr>
      <w:r w:rsidRPr="004B5046">
        <w:rPr>
          <w:rFonts w:cs="Arial"/>
        </w:rPr>
        <w:t>2</w:t>
      </w:r>
      <w:r w:rsidR="00BF3AF0" w:rsidRPr="004B5046">
        <w:rPr>
          <w:rFonts w:cs="Arial"/>
        </w:rPr>
        <w:t>.3.2</w:t>
      </w:r>
      <w:r w:rsidR="00BF3AF0" w:rsidRPr="004B5046">
        <w:rPr>
          <w:rFonts w:cs="Arial"/>
        </w:rPr>
        <w:tab/>
      </w:r>
      <w:r w:rsidR="00AA77F7" w:rsidRPr="004B5046">
        <w:rPr>
          <w:rFonts w:cs="Arial"/>
        </w:rPr>
        <w:t>Workforce</w:t>
      </w:r>
    </w:p>
    <w:p w14:paraId="6E510C17" w14:textId="45703770" w:rsidR="00F3337D" w:rsidRPr="004B5046" w:rsidRDefault="00716E7D" w:rsidP="00AA77F7">
      <w:pPr>
        <w:rPr>
          <w:rFonts w:cs="Arial"/>
          <w:szCs w:val="24"/>
        </w:rPr>
      </w:pPr>
      <w:r w:rsidRPr="004B5046">
        <w:rPr>
          <w:rFonts w:cs="Arial"/>
          <w:color w:val="000000"/>
          <w:szCs w:val="24"/>
        </w:rPr>
        <w:tab/>
      </w:r>
      <w:r w:rsidRPr="004B5046">
        <w:rPr>
          <w:rFonts w:cs="Arial"/>
          <w:szCs w:val="24"/>
        </w:rPr>
        <w:t xml:space="preserve">Ensures we provide staff a safe working environment in accordance with NHS Staff </w:t>
      </w:r>
      <w:r w:rsidRPr="004B5046">
        <w:rPr>
          <w:rFonts w:cs="Arial"/>
          <w:szCs w:val="24"/>
        </w:rPr>
        <w:tab/>
        <w:t>Governance Standards.</w:t>
      </w:r>
    </w:p>
    <w:p w14:paraId="7D0B9C66" w14:textId="77777777" w:rsidR="00716E7D" w:rsidRPr="004B5046" w:rsidRDefault="00716E7D" w:rsidP="00AA77F7">
      <w:pPr>
        <w:rPr>
          <w:rFonts w:cs="Arial"/>
          <w:color w:val="000000"/>
          <w:szCs w:val="24"/>
        </w:rPr>
      </w:pPr>
    </w:p>
    <w:p w14:paraId="3649D035" w14:textId="77777777" w:rsidR="00F3337D" w:rsidRPr="004B5046" w:rsidRDefault="00C87B62" w:rsidP="00F3337D">
      <w:pPr>
        <w:pStyle w:val="Heading3"/>
        <w:spacing w:line="276" w:lineRule="auto"/>
        <w:rPr>
          <w:rFonts w:cs="Arial"/>
        </w:rPr>
      </w:pPr>
      <w:r w:rsidRPr="004B5046">
        <w:rPr>
          <w:rFonts w:cs="Arial"/>
        </w:rPr>
        <w:t>2</w:t>
      </w:r>
      <w:r w:rsidR="00BF3AF0" w:rsidRPr="004B5046">
        <w:rPr>
          <w:rFonts w:cs="Arial"/>
        </w:rPr>
        <w:t>.3.3</w:t>
      </w:r>
      <w:r w:rsidR="00BF3AF0" w:rsidRPr="004B5046">
        <w:rPr>
          <w:rFonts w:cs="Arial"/>
        </w:rPr>
        <w:tab/>
      </w:r>
      <w:r w:rsidR="00F3337D" w:rsidRPr="004B5046">
        <w:rPr>
          <w:rFonts w:cs="Arial"/>
        </w:rPr>
        <w:t>Financial</w:t>
      </w:r>
    </w:p>
    <w:p w14:paraId="32AA3C72" w14:textId="4D373D7F" w:rsidR="00716E7D" w:rsidRPr="004B5046" w:rsidRDefault="00716E7D" w:rsidP="00716E7D">
      <w:pPr>
        <w:spacing w:before="40" w:after="40" w:line="276" w:lineRule="auto"/>
        <w:ind w:left="720"/>
        <w:rPr>
          <w:rFonts w:cs="Arial"/>
          <w:color w:val="000000"/>
          <w:szCs w:val="24"/>
        </w:rPr>
      </w:pPr>
      <w:r w:rsidRPr="004B5046">
        <w:rPr>
          <w:rFonts w:cs="Arial"/>
          <w:color w:val="000000"/>
          <w:szCs w:val="24"/>
        </w:rPr>
        <w:t>In accordance with SFIs and existing resources.</w:t>
      </w:r>
    </w:p>
    <w:p w14:paraId="5508479E" w14:textId="672589B5" w:rsidR="00F3337D" w:rsidRPr="004B5046"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Pr="004B5046" w:rsidRDefault="00C87B62" w:rsidP="00F3337D">
      <w:pPr>
        <w:pStyle w:val="Heading3"/>
        <w:spacing w:line="276" w:lineRule="auto"/>
        <w:rPr>
          <w:rFonts w:cs="Arial"/>
        </w:rPr>
      </w:pPr>
      <w:r w:rsidRPr="004B5046">
        <w:rPr>
          <w:rFonts w:cs="Arial"/>
        </w:rPr>
        <w:t>2</w:t>
      </w:r>
      <w:r w:rsidR="00BF3AF0" w:rsidRPr="004B5046">
        <w:rPr>
          <w:rFonts w:cs="Arial"/>
        </w:rPr>
        <w:t>.3.4</w:t>
      </w:r>
      <w:r w:rsidR="00BF3AF0" w:rsidRPr="004B5046">
        <w:rPr>
          <w:rFonts w:cs="Arial"/>
        </w:rPr>
        <w:tab/>
      </w:r>
      <w:r w:rsidR="00F3337D" w:rsidRPr="004B5046">
        <w:rPr>
          <w:rFonts w:cs="Arial"/>
        </w:rPr>
        <w:t>Risk Assessment</w:t>
      </w:r>
      <w:r w:rsidR="00BF3AF0" w:rsidRPr="004B5046">
        <w:rPr>
          <w:rFonts w:cs="Arial"/>
        </w:rPr>
        <w:t>/</w:t>
      </w:r>
      <w:r w:rsidR="00F3337D" w:rsidRPr="004B5046">
        <w:rPr>
          <w:rFonts w:cs="Arial"/>
        </w:rPr>
        <w:t>Management</w:t>
      </w:r>
    </w:p>
    <w:p w14:paraId="4C1EC623" w14:textId="77777777" w:rsidR="009F4B70" w:rsidRPr="004B5046" w:rsidRDefault="009F4B70" w:rsidP="00BF3AF0">
      <w:pPr>
        <w:spacing w:before="40" w:after="40" w:line="276" w:lineRule="auto"/>
        <w:rPr>
          <w:rFonts w:cs="Arial"/>
          <w:color w:val="000000"/>
          <w:szCs w:val="24"/>
        </w:rPr>
      </w:pPr>
      <w:r w:rsidRPr="004B5046">
        <w:rPr>
          <w:rFonts w:cs="Arial"/>
          <w:color w:val="000000"/>
          <w:szCs w:val="24"/>
        </w:rPr>
        <w:tab/>
        <w:t>Key risks highlighted within Appendix 1.</w:t>
      </w:r>
    </w:p>
    <w:p w14:paraId="46FDCAB4" w14:textId="7E81942F" w:rsidR="00F3337D" w:rsidRPr="004B5046" w:rsidRDefault="009F4B70" w:rsidP="00BF3AF0">
      <w:pPr>
        <w:spacing w:before="40" w:after="40" w:line="276" w:lineRule="auto"/>
        <w:rPr>
          <w:rFonts w:cs="Arial"/>
          <w:color w:val="000000"/>
          <w:szCs w:val="24"/>
        </w:rPr>
      </w:pPr>
      <w:r w:rsidRPr="004B5046">
        <w:rPr>
          <w:rFonts w:cs="Arial"/>
          <w:color w:val="000000"/>
          <w:szCs w:val="24"/>
        </w:rPr>
        <w:t xml:space="preserve"> </w:t>
      </w:r>
    </w:p>
    <w:p w14:paraId="11562A85" w14:textId="2D4B3743" w:rsidR="00F3337D" w:rsidRPr="004B5046" w:rsidRDefault="00C87B62" w:rsidP="00F3337D">
      <w:pPr>
        <w:pStyle w:val="Heading3"/>
        <w:spacing w:line="276" w:lineRule="auto"/>
        <w:rPr>
          <w:rFonts w:cs="Arial"/>
        </w:rPr>
      </w:pPr>
      <w:r w:rsidRPr="004B5046">
        <w:rPr>
          <w:rFonts w:cs="Arial"/>
        </w:rPr>
        <w:t>2</w:t>
      </w:r>
      <w:r w:rsidR="00BF3AF0" w:rsidRPr="004B5046">
        <w:rPr>
          <w:rFonts w:cs="Arial"/>
        </w:rPr>
        <w:t>.3.5</w:t>
      </w:r>
      <w:r w:rsidR="00BF3AF0" w:rsidRPr="004B5046">
        <w:rPr>
          <w:rFonts w:cs="Arial"/>
        </w:rPr>
        <w:tab/>
      </w:r>
      <w:r w:rsidR="00F3337D" w:rsidRPr="004B5046">
        <w:rPr>
          <w:rFonts w:cs="Arial"/>
        </w:rPr>
        <w:t>Equality and Diversity, including health inequalities</w:t>
      </w:r>
    </w:p>
    <w:p w14:paraId="53C92CC6" w14:textId="0D026C67" w:rsidR="00A00AF6" w:rsidRPr="004B5046" w:rsidRDefault="004902DB" w:rsidP="00A00AF6">
      <w:pPr>
        <w:rPr>
          <w:rFonts w:cs="Arial"/>
          <w:szCs w:val="24"/>
        </w:rPr>
      </w:pPr>
      <w:r w:rsidRPr="004B5046">
        <w:rPr>
          <w:rFonts w:cs="Arial"/>
          <w:szCs w:val="24"/>
        </w:rPr>
        <w:tab/>
      </w:r>
      <w:r w:rsidR="00A00AF6" w:rsidRPr="004B5046">
        <w:rPr>
          <w:rFonts w:cs="Arial"/>
          <w:szCs w:val="24"/>
        </w:rPr>
        <w:t>Not applicable (N/A)</w:t>
      </w:r>
      <w:r w:rsidR="00373C97" w:rsidRPr="004B5046">
        <w:rPr>
          <w:rFonts w:cs="Arial"/>
          <w:szCs w:val="24"/>
        </w:rPr>
        <w:t>.</w:t>
      </w:r>
    </w:p>
    <w:p w14:paraId="6BBF90C2" w14:textId="77777777" w:rsidR="0073796E" w:rsidRPr="004B5046" w:rsidRDefault="0073796E" w:rsidP="00F012CE">
      <w:pPr>
        <w:spacing w:before="40" w:after="40" w:line="276" w:lineRule="auto"/>
        <w:ind w:left="720"/>
        <w:rPr>
          <w:rFonts w:cs="Arial"/>
          <w:color w:val="000000"/>
          <w:szCs w:val="24"/>
          <w:highlight w:val="lightGray"/>
        </w:rPr>
      </w:pPr>
    </w:p>
    <w:p w14:paraId="032E2865" w14:textId="77777777" w:rsidR="00446219" w:rsidRPr="004B5046" w:rsidRDefault="00C87B62" w:rsidP="00446219">
      <w:pPr>
        <w:pStyle w:val="Heading3"/>
        <w:rPr>
          <w:rFonts w:cs="Arial"/>
        </w:rPr>
      </w:pPr>
      <w:r w:rsidRPr="004B5046">
        <w:rPr>
          <w:rFonts w:cs="Arial"/>
        </w:rPr>
        <w:t>2</w:t>
      </w:r>
      <w:r w:rsidR="00BF3AF0" w:rsidRPr="004B5046">
        <w:rPr>
          <w:rFonts w:cs="Arial"/>
        </w:rPr>
        <w:t>.3.6</w:t>
      </w:r>
      <w:r w:rsidR="00BF3AF0" w:rsidRPr="004B5046">
        <w:rPr>
          <w:rFonts w:cs="Arial"/>
        </w:rPr>
        <w:tab/>
      </w:r>
      <w:r w:rsidR="00446219" w:rsidRPr="004B5046">
        <w:rPr>
          <w:rFonts w:cs="Arial"/>
        </w:rPr>
        <w:t>Other</w:t>
      </w:r>
      <w:r w:rsidR="00BF3AF0" w:rsidRPr="004B5046">
        <w:rPr>
          <w:rFonts w:cs="Arial"/>
        </w:rPr>
        <w:t xml:space="preserve"> impacts</w:t>
      </w:r>
    </w:p>
    <w:p w14:paraId="09D34C56" w14:textId="7B76C803" w:rsidR="00A00AF6" w:rsidRPr="004B5046" w:rsidRDefault="004902DB" w:rsidP="004902DB">
      <w:pPr>
        <w:rPr>
          <w:rFonts w:cs="Arial"/>
          <w:color w:val="000000"/>
          <w:szCs w:val="24"/>
        </w:rPr>
      </w:pPr>
      <w:r w:rsidRPr="004B5046">
        <w:rPr>
          <w:rFonts w:eastAsia="Calibri" w:cs="Arial"/>
          <w:color w:val="000000"/>
          <w:spacing w:val="0"/>
          <w:szCs w:val="24"/>
          <w:lang w:eastAsia="en-GB"/>
        </w:rPr>
        <w:tab/>
      </w:r>
      <w:r w:rsidR="00A00AF6" w:rsidRPr="004B5046">
        <w:rPr>
          <w:rFonts w:cs="Arial"/>
          <w:color w:val="000000"/>
          <w:szCs w:val="24"/>
        </w:rPr>
        <w:t>N/A</w:t>
      </w:r>
      <w:r w:rsidR="00373C97" w:rsidRPr="004B5046">
        <w:rPr>
          <w:rFonts w:cs="Arial"/>
          <w:color w:val="000000"/>
          <w:szCs w:val="24"/>
        </w:rPr>
        <w:t>.</w:t>
      </w:r>
    </w:p>
    <w:p w14:paraId="4FFA192E" w14:textId="77777777" w:rsidR="00A00AF6" w:rsidRPr="004B5046" w:rsidRDefault="00A00AF6" w:rsidP="00F3337D">
      <w:pPr>
        <w:pStyle w:val="ListParagraph"/>
        <w:rPr>
          <w:rFonts w:ascii="Arial" w:hAnsi="Arial" w:cs="Arial"/>
          <w:color w:val="000000"/>
          <w:sz w:val="24"/>
          <w:szCs w:val="24"/>
        </w:rPr>
      </w:pPr>
    </w:p>
    <w:p w14:paraId="36782091" w14:textId="77777777" w:rsidR="00446219" w:rsidRPr="004B5046" w:rsidRDefault="00446219" w:rsidP="008A5B73">
      <w:pPr>
        <w:pStyle w:val="Heading3"/>
        <w:numPr>
          <w:ilvl w:val="2"/>
          <w:numId w:val="3"/>
        </w:numPr>
        <w:rPr>
          <w:rFonts w:eastAsia="Times New Roman" w:cs="Arial"/>
        </w:rPr>
      </w:pPr>
      <w:r w:rsidRPr="004B5046">
        <w:rPr>
          <w:rFonts w:eastAsia="Times New Roman" w:cs="Arial"/>
        </w:rPr>
        <w:t>Communication, involvement, engagement and consultation</w:t>
      </w:r>
    </w:p>
    <w:p w14:paraId="6E42B0D8" w14:textId="6D710726" w:rsidR="00493CFC" w:rsidRPr="004B5046" w:rsidRDefault="004902DB" w:rsidP="00AC4BEB">
      <w:pPr>
        <w:spacing w:before="40" w:after="40" w:line="276" w:lineRule="auto"/>
        <w:rPr>
          <w:rFonts w:cs="Arial"/>
          <w:color w:val="000000"/>
          <w:szCs w:val="24"/>
        </w:rPr>
      </w:pPr>
      <w:r w:rsidRPr="004B5046">
        <w:rPr>
          <w:rFonts w:eastAsia="Calibri" w:cs="Arial"/>
          <w:color w:val="000000"/>
          <w:spacing w:val="0"/>
          <w:szCs w:val="24"/>
          <w:lang w:eastAsia="en-GB"/>
        </w:rPr>
        <w:tab/>
      </w:r>
      <w:r w:rsidR="00446219" w:rsidRPr="004B5046">
        <w:rPr>
          <w:rFonts w:cs="Arial"/>
          <w:color w:val="000000"/>
          <w:szCs w:val="24"/>
        </w:rPr>
        <w:t xml:space="preserve">The Board has carried out its duties to involve and engage </w:t>
      </w:r>
      <w:r w:rsidR="00AF0530" w:rsidRPr="004B5046">
        <w:rPr>
          <w:rFonts w:cs="Arial"/>
          <w:color w:val="000000"/>
          <w:szCs w:val="24"/>
        </w:rPr>
        <w:t xml:space="preserve">external </w:t>
      </w:r>
      <w:r w:rsidR="00446219" w:rsidRPr="004B5046">
        <w:rPr>
          <w:rFonts w:cs="Arial"/>
          <w:color w:val="000000"/>
          <w:szCs w:val="24"/>
        </w:rPr>
        <w:t>stakeholders</w:t>
      </w:r>
      <w:r w:rsidR="00AF0530" w:rsidRPr="004B5046">
        <w:rPr>
          <w:rFonts w:cs="Arial"/>
          <w:color w:val="000000"/>
          <w:szCs w:val="24"/>
        </w:rPr>
        <w:t xml:space="preserve"> where </w:t>
      </w:r>
      <w:r w:rsidRPr="004B5046">
        <w:rPr>
          <w:rFonts w:cs="Arial"/>
          <w:color w:val="000000"/>
          <w:szCs w:val="24"/>
        </w:rPr>
        <w:tab/>
      </w:r>
      <w:r w:rsidR="00AF0530" w:rsidRPr="004B5046">
        <w:rPr>
          <w:rFonts w:cs="Arial"/>
          <w:color w:val="000000"/>
          <w:szCs w:val="24"/>
        </w:rPr>
        <w:t>appropriate</w:t>
      </w:r>
      <w:r w:rsidR="00AC4BEB" w:rsidRPr="004B5046">
        <w:rPr>
          <w:rFonts w:cs="Arial"/>
          <w:color w:val="000000"/>
          <w:szCs w:val="24"/>
        </w:rPr>
        <w:t xml:space="preserve">. </w:t>
      </w:r>
      <w:r w:rsidR="00493CFC" w:rsidRPr="004B5046">
        <w:rPr>
          <w:rFonts w:cs="Arial"/>
          <w:color w:val="000000"/>
          <w:szCs w:val="24"/>
        </w:rPr>
        <w:t>The purpose of this report is a means for communication</w:t>
      </w:r>
      <w:r w:rsidR="00AC4BEB" w:rsidRPr="004B5046">
        <w:rPr>
          <w:rFonts w:cs="Arial"/>
          <w:color w:val="000000"/>
          <w:szCs w:val="24"/>
        </w:rPr>
        <w:t xml:space="preserve">, engagement and </w:t>
      </w:r>
      <w:r w:rsidR="00AC4BEB" w:rsidRPr="004B5046">
        <w:rPr>
          <w:rFonts w:cs="Arial"/>
          <w:color w:val="000000"/>
          <w:szCs w:val="24"/>
        </w:rPr>
        <w:tab/>
        <w:t xml:space="preserve">consultation. </w:t>
      </w:r>
      <w:r w:rsidR="00493CFC" w:rsidRPr="004B5046">
        <w:rPr>
          <w:rFonts w:cs="Arial"/>
          <w:color w:val="000000"/>
          <w:szCs w:val="24"/>
        </w:rPr>
        <w:t xml:space="preserve"> </w:t>
      </w:r>
    </w:p>
    <w:p w14:paraId="6FD42804" w14:textId="77777777" w:rsidR="00493CFC" w:rsidRPr="004B5046" w:rsidRDefault="00493CFC" w:rsidP="00716E7D">
      <w:pPr>
        <w:spacing w:before="40" w:after="40" w:line="276" w:lineRule="auto"/>
        <w:ind w:firstLine="720"/>
        <w:rPr>
          <w:rFonts w:cs="Arial"/>
          <w:szCs w:val="24"/>
          <w:highlight w:val="lightGray"/>
        </w:rPr>
      </w:pPr>
    </w:p>
    <w:p w14:paraId="27D02D6F" w14:textId="77777777" w:rsidR="00446219" w:rsidRPr="004B5046" w:rsidRDefault="00446219" w:rsidP="008A5B73">
      <w:pPr>
        <w:pStyle w:val="Heading3"/>
        <w:numPr>
          <w:ilvl w:val="2"/>
          <w:numId w:val="3"/>
        </w:numPr>
        <w:rPr>
          <w:rFonts w:cs="Arial"/>
        </w:rPr>
      </w:pPr>
      <w:r w:rsidRPr="004B5046">
        <w:rPr>
          <w:rFonts w:cs="Arial"/>
        </w:rPr>
        <w:t>Route to the Meeting</w:t>
      </w:r>
    </w:p>
    <w:p w14:paraId="389B0C38" w14:textId="1B00FB74" w:rsidR="00716E7D" w:rsidRPr="004B5046" w:rsidRDefault="00514A18" w:rsidP="000B4423">
      <w:pPr>
        <w:spacing w:before="40" w:after="40" w:line="276" w:lineRule="auto"/>
        <w:rPr>
          <w:rFonts w:cs="Arial"/>
          <w:szCs w:val="24"/>
        </w:rPr>
      </w:pPr>
      <w:r w:rsidRPr="004B5046">
        <w:rPr>
          <w:rFonts w:cs="Arial"/>
          <w:szCs w:val="24"/>
        </w:rPr>
        <w:tab/>
        <w:t xml:space="preserve">N/A –as above (2.3.7) this update is for information sharing and provides a platform for </w:t>
      </w:r>
      <w:r w:rsidRPr="004B5046">
        <w:rPr>
          <w:rFonts w:cs="Arial"/>
          <w:szCs w:val="24"/>
        </w:rPr>
        <w:tab/>
        <w:t>further discussion at the Forum</w:t>
      </w:r>
      <w:r w:rsidR="005C3425" w:rsidRPr="004B5046">
        <w:rPr>
          <w:rFonts w:cs="Arial"/>
          <w:szCs w:val="24"/>
        </w:rPr>
        <w:t xml:space="preserve"> and Committee</w:t>
      </w:r>
      <w:r w:rsidRPr="004B5046">
        <w:rPr>
          <w:rFonts w:cs="Arial"/>
          <w:szCs w:val="24"/>
        </w:rPr>
        <w:t xml:space="preserve"> meetings.</w:t>
      </w:r>
    </w:p>
    <w:p w14:paraId="73B2F63F" w14:textId="77777777" w:rsidR="00514A18" w:rsidRPr="004B5046" w:rsidRDefault="00514A18" w:rsidP="000B4423">
      <w:pPr>
        <w:spacing w:before="40" w:after="40" w:line="276" w:lineRule="auto"/>
        <w:rPr>
          <w:rFonts w:cs="Arial"/>
          <w:color w:val="000000"/>
          <w:szCs w:val="24"/>
        </w:rPr>
      </w:pPr>
    </w:p>
    <w:p w14:paraId="4DB15FCC" w14:textId="77777777" w:rsidR="00BF3AF0" w:rsidRPr="004B5046" w:rsidRDefault="00C87B62" w:rsidP="00BF3AF0">
      <w:pPr>
        <w:pStyle w:val="Heading2"/>
        <w:rPr>
          <w:rFonts w:cs="Arial"/>
          <w:sz w:val="24"/>
          <w:szCs w:val="24"/>
        </w:rPr>
      </w:pPr>
      <w:r w:rsidRPr="004B5046">
        <w:rPr>
          <w:rFonts w:cs="Arial"/>
          <w:sz w:val="24"/>
          <w:szCs w:val="24"/>
        </w:rPr>
        <w:t>2.</w:t>
      </w:r>
      <w:r w:rsidR="00BF3AF0" w:rsidRPr="004B5046">
        <w:rPr>
          <w:rFonts w:cs="Arial"/>
          <w:sz w:val="24"/>
          <w:szCs w:val="24"/>
        </w:rPr>
        <w:t>4</w:t>
      </w:r>
      <w:r w:rsidR="00BF3AF0" w:rsidRPr="004B5046">
        <w:rPr>
          <w:rFonts w:cs="Arial"/>
          <w:sz w:val="24"/>
          <w:szCs w:val="24"/>
        </w:rPr>
        <w:tab/>
        <w:t>Recommendation</w:t>
      </w:r>
    </w:p>
    <w:p w14:paraId="398DB07E" w14:textId="0BFCECC1" w:rsidR="00C87B62" w:rsidRPr="004B5046" w:rsidRDefault="00C87B62" w:rsidP="00C87B62">
      <w:pPr>
        <w:spacing w:before="40" w:after="40" w:line="276" w:lineRule="auto"/>
        <w:rPr>
          <w:rFonts w:cs="Arial"/>
          <w:szCs w:val="24"/>
        </w:rPr>
      </w:pPr>
    </w:p>
    <w:p w14:paraId="56125154" w14:textId="5A17EF6C" w:rsidR="00A82C33" w:rsidRDefault="002E4404" w:rsidP="002E4404">
      <w:pPr>
        <w:pStyle w:val="ListParagraph"/>
        <w:numPr>
          <w:ilvl w:val="0"/>
          <w:numId w:val="7"/>
        </w:numPr>
        <w:spacing w:before="40" w:after="40" w:line="276" w:lineRule="auto"/>
        <w:ind w:left="993"/>
        <w:rPr>
          <w:rFonts w:ascii="Arial" w:eastAsia="Times New Roman" w:hAnsi="Arial" w:cs="Arial"/>
          <w:color w:val="000000"/>
          <w:spacing w:val="-3"/>
          <w:sz w:val="24"/>
          <w:szCs w:val="24"/>
          <w:lang w:eastAsia="en-US"/>
        </w:rPr>
      </w:pPr>
      <w:r>
        <w:rPr>
          <w:rFonts w:ascii="Arial" w:eastAsia="Times New Roman" w:hAnsi="Arial" w:cs="Arial"/>
          <w:b/>
          <w:color w:val="000000"/>
          <w:spacing w:val="-3"/>
          <w:sz w:val="24"/>
          <w:szCs w:val="24"/>
          <w:lang w:eastAsia="en-US"/>
        </w:rPr>
        <w:t>Approval</w:t>
      </w:r>
      <w:r>
        <w:rPr>
          <w:rFonts w:ascii="Arial" w:eastAsia="Times New Roman" w:hAnsi="Arial" w:cs="Arial"/>
          <w:color w:val="000000"/>
          <w:spacing w:val="-3"/>
          <w:sz w:val="24"/>
          <w:szCs w:val="24"/>
          <w:lang w:eastAsia="en-US"/>
        </w:rPr>
        <w:t xml:space="preserve"> – Staff Governance and Person Centred Committee is asked to approve the Quarter 3 Health and Safety Report.</w:t>
      </w:r>
    </w:p>
    <w:p w14:paraId="011368C8" w14:textId="2CE367D7" w:rsidR="00716E7D" w:rsidRPr="004B5046" w:rsidRDefault="00716E7D" w:rsidP="00C87B62">
      <w:pPr>
        <w:spacing w:before="40" w:after="40" w:line="276" w:lineRule="auto"/>
        <w:rPr>
          <w:rFonts w:cs="Arial"/>
          <w:szCs w:val="24"/>
        </w:rPr>
      </w:pPr>
    </w:p>
    <w:p w14:paraId="0BB8A6AC" w14:textId="0F7DD88A" w:rsidR="00C87B62" w:rsidRPr="004B5046" w:rsidRDefault="00C87B62" w:rsidP="008A5B73">
      <w:pPr>
        <w:pStyle w:val="Heading2"/>
        <w:numPr>
          <w:ilvl w:val="0"/>
          <w:numId w:val="3"/>
        </w:numPr>
        <w:spacing w:line="276" w:lineRule="auto"/>
        <w:rPr>
          <w:rFonts w:cs="Arial"/>
          <w:sz w:val="24"/>
          <w:szCs w:val="24"/>
        </w:rPr>
      </w:pPr>
      <w:r w:rsidRPr="004B5046">
        <w:rPr>
          <w:rFonts w:cs="Arial"/>
          <w:sz w:val="24"/>
          <w:szCs w:val="24"/>
        </w:rPr>
        <w:t>List of appendices</w:t>
      </w:r>
    </w:p>
    <w:p w14:paraId="69E8E944" w14:textId="77777777" w:rsidR="00B349A1" w:rsidRPr="004B5046" w:rsidRDefault="00B349A1" w:rsidP="00B349A1">
      <w:pPr>
        <w:rPr>
          <w:rFonts w:cs="Arial"/>
          <w:szCs w:val="24"/>
        </w:rPr>
      </w:pPr>
    </w:p>
    <w:p w14:paraId="0D81E75D" w14:textId="79672445" w:rsidR="00C87B62" w:rsidRPr="004B5046" w:rsidRDefault="004902DB" w:rsidP="004902DB">
      <w:pPr>
        <w:spacing w:before="40" w:after="40" w:line="276" w:lineRule="auto"/>
        <w:rPr>
          <w:rFonts w:cs="Arial"/>
          <w:color w:val="000000"/>
          <w:szCs w:val="24"/>
        </w:rPr>
      </w:pPr>
      <w:r w:rsidRPr="004B5046">
        <w:rPr>
          <w:rFonts w:cs="Arial"/>
          <w:color w:val="000000" w:themeColor="text1"/>
          <w:szCs w:val="24"/>
        </w:rPr>
        <w:tab/>
      </w:r>
      <w:r w:rsidR="00C87B62" w:rsidRPr="004B5046">
        <w:rPr>
          <w:rFonts w:cs="Arial"/>
          <w:color w:val="000000" w:themeColor="text1"/>
          <w:szCs w:val="24"/>
        </w:rPr>
        <w:t xml:space="preserve">The following appendices are included with this </w:t>
      </w:r>
      <w:r w:rsidR="00610728" w:rsidRPr="004B5046">
        <w:rPr>
          <w:rFonts w:cs="Arial"/>
          <w:color w:val="000000" w:themeColor="text1"/>
          <w:szCs w:val="24"/>
        </w:rPr>
        <w:t>report</w:t>
      </w:r>
      <w:r w:rsidR="00C87B62" w:rsidRPr="004B5046">
        <w:rPr>
          <w:rFonts w:cs="Arial"/>
          <w:color w:val="000000" w:themeColor="text1"/>
          <w:szCs w:val="24"/>
        </w:rPr>
        <w:t>:</w:t>
      </w:r>
    </w:p>
    <w:p w14:paraId="398C4FD9" w14:textId="62818067" w:rsidR="000B4423" w:rsidRPr="004B5046" w:rsidRDefault="000B4423" w:rsidP="008A5B73">
      <w:pPr>
        <w:pStyle w:val="ListParagraph"/>
        <w:numPr>
          <w:ilvl w:val="0"/>
          <w:numId w:val="4"/>
        </w:numPr>
        <w:spacing w:before="40" w:after="40" w:line="276" w:lineRule="auto"/>
        <w:ind w:left="993" w:hanging="284"/>
        <w:rPr>
          <w:rFonts w:ascii="Arial" w:hAnsi="Arial" w:cs="Arial"/>
          <w:sz w:val="24"/>
          <w:szCs w:val="24"/>
        </w:rPr>
      </w:pPr>
      <w:r w:rsidRPr="004B5046">
        <w:rPr>
          <w:rFonts w:ascii="Arial" w:hAnsi="Arial" w:cs="Arial"/>
          <w:sz w:val="24"/>
          <w:szCs w:val="24"/>
        </w:rPr>
        <w:t>Appendix No 1, Health and Safety</w:t>
      </w:r>
      <w:r w:rsidR="00493CFC" w:rsidRPr="004B5046">
        <w:rPr>
          <w:rFonts w:ascii="Arial" w:hAnsi="Arial" w:cs="Arial"/>
          <w:sz w:val="24"/>
          <w:szCs w:val="24"/>
        </w:rPr>
        <w:t xml:space="preserve"> </w:t>
      </w:r>
      <w:r w:rsidR="00A020AD" w:rsidRPr="004B5046">
        <w:rPr>
          <w:rFonts w:ascii="Arial" w:hAnsi="Arial" w:cs="Arial"/>
          <w:sz w:val="24"/>
          <w:szCs w:val="24"/>
        </w:rPr>
        <w:t>Quarterly</w:t>
      </w:r>
      <w:r w:rsidR="00493CFC" w:rsidRPr="004B5046">
        <w:rPr>
          <w:rFonts w:ascii="Arial" w:hAnsi="Arial" w:cs="Arial"/>
          <w:sz w:val="24"/>
          <w:szCs w:val="24"/>
        </w:rPr>
        <w:t xml:space="preserve"> Report </w:t>
      </w:r>
      <w:r w:rsidR="002E0836" w:rsidRPr="004B5046">
        <w:rPr>
          <w:rFonts w:ascii="Arial" w:hAnsi="Arial" w:cs="Arial"/>
          <w:sz w:val="24"/>
          <w:szCs w:val="24"/>
        </w:rPr>
        <w:t>Q</w:t>
      </w:r>
      <w:r w:rsidR="00F94419" w:rsidRPr="004B5046">
        <w:rPr>
          <w:rFonts w:ascii="Arial" w:hAnsi="Arial" w:cs="Arial"/>
          <w:sz w:val="24"/>
          <w:szCs w:val="24"/>
        </w:rPr>
        <w:t>3</w:t>
      </w:r>
      <w:r w:rsidR="002E0836" w:rsidRPr="004B5046">
        <w:rPr>
          <w:rFonts w:ascii="Arial" w:hAnsi="Arial" w:cs="Arial"/>
          <w:sz w:val="24"/>
          <w:szCs w:val="24"/>
        </w:rPr>
        <w:t xml:space="preserve"> 24</w:t>
      </w:r>
      <w:r w:rsidR="00A020AD" w:rsidRPr="004B5046">
        <w:rPr>
          <w:rFonts w:ascii="Arial" w:hAnsi="Arial" w:cs="Arial"/>
          <w:sz w:val="24"/>
          <w:szCs w:val="24"/>
        </w:rPr>
        <w:t>/</w:t>
      </w:r>
      <w:r w:rsidR="002E0836" w:rsidRPr="004B5046">
        <w:rPr>
          <w:rFonts w:ascii="Arial" w:hAnsi="Arial" w:cs="Arial"/>
          <w:sz w:val="24"/>
          <w:szCs w:val="24"/>
        </w:rPr>
        <w:t>25</w:t>
      </w:r>
      <w:r w:rsidR="00493CFC" w:rsidRPr="004B5046">
        <w:rPr>
          <w:rFonts w:ascii="Arial" w:hAnsi="Arial" w:cs="Arial"/>
          <w:sz w:val="24"/>
          <w:szCs w:val="24"/>
        </w:rPr>
        <w:t>.</w:t>
      </w:r>
    </w:p>
    <w:p w14:paraId="00C2F983" w14:textId="15DF12D4" w:rsidR="000B4423" w:rsidRPr="004B5046" w:rsidRDefault="000B4423" w:rsidP="00AC4BEB">
      <w:pPr>
        <w:spacing w:after="160" w:line="259" w:lineRule="auto"/>
        <w:rPr>
          <w:rFonts w:eastAsia="Calibri" w:cs="Arial"/>
          <w:spacing w:val="0"/>
          <w:szCs w:val="24"/>
          <w:lang w:eastAsia="en-GB"/>
        </w:rPr>
      </w:pPr>
    </w:p>
    <w:p w14:paraId="35C6CD9D" w14:textId="2B4780B8" w:rsidR="00514A18" w:rsidRPr="004B5046" w:rsidRDefault="00514A18" w:rsidP="000B4423">
      <w:pPr>
        <w:spacing w:before="100" w:beforeAutospacing="1" w:after="100" w:afterAutospacing="1"/>
        <w:rPr>
          <w:rFonts w:eastAsia="Calibri" w:cs="Arial"/>
          <w:b/>
          <w:spacing w:val="0"/>
          <w:szCs w:val="24"/>
          <w:lang w:eastAsia="en-GB"/>
        </w:rPr>
      </w:pPr>
    </w:p>
    <w:p w14:paraId="5FC51637" w14:textId="29E21839" w:rsidR="00446589" w:rsidRPr="004B5046" w:rsidRDefault="00191B18" w:rsidP="000B4423">
      <w:pPr>
        <w:spacing w:before="100" w:beforeAutospacing="1" w:after="100" w:afterAutospacing="1"/>
        <w:rPr>
          <w:rFonts w:eastAsia="Calibri" w:cs="Arial"/>
          <w:b/>
          <w:spacing w:val="0"/>
          <w:szCs w:val="24"/>
          <w:lang w:eastAsia="en-GB"/>
        </w:rPr>
      </w:pPr>
      <w:r w:rsidRPr="004B5046">
        <w:rPr>
          <w:rFonts w:cs="Arial"/>
          <w:noProof/>
          <w:szCs w:val="24"/>
          <w:lang w:eastAsia="en-GB"/>
        </w:rPr>
        <w:lastRenderedPageBreak/>
        <w:drawing>
          <wp:anchor distT="0" distB="0" distL="114300" distR="114300" simplePos="0" relativeHeight="251659264" behindDoc="0" locked="0" layoutInCell="1" allowOverlap="1" wp14:anchorId="68083B9C" wp14:editId="5F4D14DA">
            <wp:simplePos x="0" y="0"/>
            <wp:positionH relativeFrom="column">
              <wp:posOffset>5219700</wp:posOffset>
            </wp:positionH>
            <wp:positionV relativeFrom="paragraph">
              <wp:posOffset>-316230</wp:posOffset>
            </wp:positionV>
            <wp:extent cx="1270000" cy="876300"/>
            <wp:effectExtent l="0" t="0" r="0" b="0"/>
            <wp:wrapNone/>
            <wp:docPr id="2" name="Picture 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HS GJ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589" w:rsidRPr="004B5046">
        <w:rPr>
          <w:rFonts w:eastAsia="Calibri" w:cs="Arial"/>
          <w:b/>
          <w:spacing w:val="0"/>
          <w:szCs w:val="24"/>
          <w:lang w:eastAsia="en-GB"/>
        </w:rPr>
        <w:t>APPENDIX 1</w:t>
      </w:r>
    </w:p>
    <w:p w14:paraId="53F256CB" w14:textId="21A0E5EA" w:rsidR="000B4423" w:rsidRPr="004B5046" w:rsidRDefault="009F7FB2" w:rsidP="000B4423">
      <w:pPr>
        <w:spacing w:before="100" w:beforeAutospacing="1" w:after="100" w:afterAutospacing="1"/>
        <w:rPr>
          <w:rFonts w:eastAsia="Calibri" w:cs="Arial"/>
          <w:b/>
          <w:spacing w:val="0"/>
          <w:szCs w:val="24"/>
          <w:lang w:eastAsia="en-GB"/>
        </w:rPr>
      </w:pPr>
      <w:r w:rsidRPr="004B5046">
        <w:rPr>
          <w:rFonts w:eastAsia="Calibri" w:cs="Arial"/>
          <w:b/>
          <w:spacing w:val="0"/>
          <w:szCs w:val="24"/>
          <w:lang w:eastAsia="en-GB"/>
        </w:rPr>
        <w:t>HEALTH &amp;</w:t>
      </w:r>
      <w:r w:rsidR="000B4423" w:rsidRPr="004B5046">
        <w:rPr>
          <w:rFonts w:eastAsia="Calibri" w:cs="Arial"/>
          <w:b/>
          <w:spacing w:val="0"/>
          <w:szCs w:val="24"/>
          <w:lang w:eastAsia="en-GB"/>
        </w:rPr>
        <w:t xml:space="preserve"> SAFETY</w:t>
      </w:r>
      <w:r w:rsidR="00F94419" w:rsidRPr="004B5046">
        <w:rPr>
          <w:rFonts w:eastAsia="Calibri" w:cs="Arial"/>
          <w:b/>
          <w:spacing w:val="0"/>
          <w:szCs w:val="24"/>
          <w:lang w:eastAsia="en-GB"/>
        </w:rPr>
        <w:t xml:space="preserve"> COMMITTEE</w:t>
      </w:r>
      <w:r w:rsidR="009F4B70" w:rsidRPr="004B5046">
        <w:rPr>
          <w:rFonts w:eastAsia="Calibri" w:cs="Arial"/>
          <w:b/>
          <w:spacing w:val="0"/>
          <w:szCs w:val="24"/>
          <w:lang w:eastAsia="en-GB"/>
        </w:rPr>
        <w:t xml:space="preserve"> </w:t>
      </w:r>
      <w:r w:rsidR="0096075E" w:rsidRPr="004B5046">
        <w:rPr>
          <w:rFonts w:eastAsia="Calibri" w:cs="Arial"/>
          <w:b/>
          <w:spacing w:val="0"/>
          <w:szCs w:val="24"/>
          <w:lang w:eastAsia="en-GB"/>
        </w:rPr>
        <w:t>Q</w:t>
      </w:r>
      <w:r w:rsidR="00514A18" w:rsidRPr="004B5046">
        <w:rPr>
          <w:rFonts w:eastAsia="Calibri" w:cs="Arial"/>
          <w:b/>
          <w:spacing w:val="0"/>
          <w:szCs w:val="24"/>
          <w:lang w:eastAsia="en-GB"/>
        </w:rPr>
        <w:t>UARTERLY</w:t>
      </w:r>
      <w:r w:rsidR="000B4423" w:rsidRPr="004B5046">
        <w:rPr>
          <w:rFonts w:eastAsia="Calibri" w:cs="Arial"/>
          <w:b/>
          <w:spacing w:val="0"/>
          <w:szCs w:val="24"/>
          <w:lang w:eastAsia="en-GB"/>
        </w:rPr>
        <w:t xml:space="preserve"> REPORT</w:t>
      </w:r>
    </w:p>
    <w:p w14:paraId="21987712" w14:textId="6A8A0742" w:rsidR="000B4423" w:rsidRPr="004B5046" w:rsidRDefault="00F94419" w:rsidP="000B4423">
      <w:pPr>
        <w:spacing w:before="100" w:beforeAutospacing="1" w:after="100" w:afterAutospacing="1"/>
        <w:rPr>
          <w:rFonts w:eastAsia="Calibri" w:cs="Arial"/>
          <w:b/>
          <w:spacing w:val="0"/>
          <w:szCs w:val="24"/>
          <w:lang w:eastAsia="en-GB"/>
        </w:rPr>
      </w:pPr>
      <w:r w:rsidRPr="004B5046">
        <w:rPr>
          <w:rFonts w:eastAsia="Calibri" w:cs="Arial"/>
          <w:b/>
          <w:spacing w:val="0"/>
          <w:szCs w:val="24"/>
          <w:lang w:eastAsia="en-GB"/>
        </w:rPr>
        <w:t>Q3</w:t>
      </w:r>
      <w:r w:rsidR="00514A18" w:rsidRPr="004B5046">
        <w:rPr>
          <w:rFonts w:eastAsia="Calibri" w:cs="Arial"/>
          <w:b/>
          <w:spacing w:val="0"/>
          <w:szCs w:val="24"/>
          <w:lang w:eastAsia="en-GB"/>
        </w:rPr>
        <w:t xml:space="preserve"> 2024/25</w:t>
      </w:r>
      <w:r w:rsidR="002E0836" w:rsidRPr="004B5046">
        <w:rPr>
          <w:rFonts w:eastAsia="Calibri" w:cs="Arial"/>
          <w:b/>
          <w:spacing w:val="0"/>
          <w:szCs w:val="24"/>
          <w:lang w:eastAsia="en-GB"/>
        </w:rPr>
        <w:t xml:space="preserve"> (1 </w:t>
      </w:r>
      <w:r w:rsidRPr="004B5046">
        <w:rPr>
          <w:rFonts w:eastAsia="Calibri" w:cs="Arial"/>
          <w:b/>
          <w:spacing w:val="0"/>
          <w:szCs w:val="24"/>
          <w:lang w:eastAsia="en-GB"/>
        </w:rPr>
        <w:t>October</w:t>
      </w:r>
      <w:r w:rsidR="002E0836" w:rsidRPr="004B5046">
        <w:rPr>
          <w:rFonts w:eastAsia="Calibri" w:cs="Arial"/>
          <w:b/>
          <w:spacing w:val="0"/>
          <w:szCs w:val="24"/>
          <w:lang w:eastAsia="en-GB"/>
        </w:rPr>
        <w:t xml:space="preserve"> – </w:t>
      </w:r>
      <w:r w:rsidRPr="004B5046">
        <w:rPr>
          <w:rFonts w:eastAsia="Calibri" w:cs="Arial"/>
          <w:b/>
          <w:spacing w:val="0"/>
          <w:szCs w:val="24"/>
          <w:lang w:eastAsia="en-GB"/>
        </w:rPr>
        <w:t>31 December</w:t>
      </w:r>
      <w:r w:rsidR="002E0836" w:rsidRPr="004B5046">
        <w:rPr>
          <w:rFonts w:eastAsia="Calibri" w:cs="Arial"/>
          <w:b/>
          <w:spacing w:val="0"/>
          <w:szCs w:val="24"/>
          <w:lang w:eastAsia="en-GB"/>
        </w:rPr>
        <w:t xml:space="preserve"> 2024)</w:t>
      </w:r>
    </w:p>
    <w:p w14:paraId="741A482E" w14:textId="3F10CD86" w:rsidR="002E4404" w:rsidRDefault="000B4423" w:rsidP="002E4404">
      <w:pPr>
        <w:pStyle w:val="ListParagraph"/>
        <w:numPr>
          <w:ilvl w:val="0"/>
          <w:numId w:val="12"/>
        </w:numPr>
        <w:rPr>
          <w:rFonts w:ascii="Arial" w:hAnsi="Arial" w:cs="Arial"/>
          <w:b/>
          <w:sz w:val="24"/>
          <w:szCs w:val="24"/>
        </w:rPr>
      </w:pPr>
      <w:r w:rsidRPr="004B5046">
        <w:rPr>
          <w:rFonts w:ascii="Arial" w:hAnsi="Arial" w:cs="Arial"/>
          <w:b/>
          <w:sz w:val="24"/>
          <w:szCs w:val="24"/>
        </w:rPr>
        <w:t>KEY HIGHLIGHTS</w:t>
      </w:r>
    </w:p>
    <w:p w14:paraId="02A95F48" w14:textId="77777777" w:rsidR="002E4404" w:rsidRPr="002E4404" w:rsidRDefault="002E4404" w:rsidP="002E4404">
      <w:pPr>
        <w:pStyle w:val="ListParagraph"/>
        <w:ind w:left="644"/>
        <w:rPr>
          <w:rFonts w:ascii="Arial" w:hAnsi="Arial" w:cs="Arial"/>
          <w:b/>
          <w:sz w:val="24"/>
          <w:szCs w:val="24"/>
        </w:rPr>
      </w:pPr>
    </w:p>
    <w:p w14:paraId="0450350D" w14:textId="74C4A25C" w:rsidR="00C967D6" w:rsidRPr="002E4404" w:rsidRDefault="002E0836" w:rsidP="008A5B73">
      <w:pPr>
        <w:pStyle w:val="ListParagraph"/>
        <w:numPr>
          <w:ilvl w:val="1"/>
          <w:numId w:val="12"/>
        </w:numPr>
        <w:spacing w:before="100" w:beforeAutospacing="1" w:after="100" w:afterAutospacing="1"/>
        <w:rPr>
          <w:rFonts w:ascii="Arial" w:hAnsi="Arial" w:cs="Arial"/>
          <w:b/>
          <w:sz w:val="24"/>
          <w:szCs w:val="24"/>
        </w:rPr>
      </w:pPr>
      <w:r w:rsidRPr="002E4404">
        <w:rPr>
          <w:rFonts w:ascii="Arial" w:hAnsi="Arial" w:cs="Arial"/>
          <w:b/>
          <w:sz w:val="24"/>
          <w:szCs w:val="24"/>
        </w:rPr>
        <w:t xml:space="preserve">Health and Safety Audit &amp; Inspection </w:t>
      </w:r>
    </w:p>
    <w:p w14:paraId="7F49A028" w14:textId="227CB362" w:rsidR="001E744F" w:rsidRPr="004B5046" w:rsidRDefault="001E744F" w:rsidP="002E0836">
      <w:pPr>
        <w:pStyle w:val="ListParagraph"/>
        <w:numPr>
          <w:ilvl w:val="0"/>
          <w:numId w:val="4"/>
        </w:numPr>
        <w:spacing w:before="100" w:beforeAutospacing="1" w:after="100" w:afterAutospacing="1"/>
        <w:rPr>
          <w:rFonts w:ascii="Arial" w:hAnsi="Arial" w:cs="Arial"/>
          <w:sz w:val="24"/>
          <w:szCs w:val="24"/>
        </w:rPr>
      </w:pPr>
      <w:r w:rsidRPr="004B5046">
        <w:rPr>
          <w:rFonts w:ascii="Arial" w:hAnsi="Arial" w:cs="Arial"/>
          <w:sz w:val="24"/>
          <w:szCs w:val="24"/>
        </w:rPr>
        <w:t xml:space="preserve">Monthly Matters article for November focused on Health and Safety Monitoring. This communication provided an additional focus on the Health and Safety Inspections within the </w:t>
      </w:r>
      <w:r w:rsidR="00FF5669" w:rsidRPr="004B5046">
        <w:rPr>
          <w:rFonts w:ascii="Arial" w:hAnsi="Arial" w:cs="Arial"/>
          <w:sz w:val="24"/>
          <w:szCs w:val="24"/>
        </w:rPr>
        <w:t>digitised (</w:t>
      </w:r>
      <w:proofErr w:type="spellStart"/>
      <w:r w:rsidRPr="004B5046">
        <w:rPr>
          <w:rFonts w:ascii="Arial" w:hAnsi="Arial" w:cs="Arial"/>
          <w:sz w:val="24"/>
          <w:szCs w:val="24"/>
        </w:rPr>
        <w:t>synbiotix</w:t>
      </w:r>
      <w:proofErr w:type="spellEnd"/>
      <w:r w:rsidR="00FF5669" w:rsidRPr="004B5046">
        <w:rPr>
          <w:rFonts w:ascii="Arial" w:hAnsi="Arial" w:cs="Arial"/>
          <w:sz w:val="24"/>
          <w:szCs w:val="24"/>
        </w:rPr>
        <w:t>)</w:t>
      </w:r>
      <w:r w:rsidRPr="004B5046">
        <w:rPr>
          <w:rFonts w:ascii="Arial" w:hAnsi="Arial" w:cs="Arial"/>
          <w:sz w:val="24"/>
          <w:szCs w:val="24"/>
        </w:rPr>
        <w:t xml:space="preserve"> system, along with links to user templates, supportive documents and offering of bite-sized training sessions via the Health and Safety Team.  </w:t>
      </w:r>
    </w:p>
    <w:p w14:paraId="04FACDC7" w14:textId="7983BF07" w:rsidR="001E744F" w:rsidRPr="004B5046" w:rsidRDefault="001E744F" w:rsidP="001E744F">
      <w:pPr>
        <w:pStyle w:val="ListParagraph"/>
        <w:numPr>
          <w:ilvl w:val="0"/>
          <w:numId w:val="4"/>
        </w:numPr>
        <w:spacing w:before="100" w:beforeAutospacing="1" w:after="100" w:afterAutospacing="1"/>
        <w:rPr>
          <w:rFonts w:ascii="Arial" w:hAnsi="Arial" w:cs="Arial"/>
          <w:sz w:val="24"/>
          <w:szCs w:val="24"/>
        </w:rPr>
      </w:pPr>
      <w:r w:rsidRPr="004B5046">
        <w:rPr>
          <w:rFonts w:ascii="Arial" w:hAnsi="Arial" w:cs="Arial"/>
          <w:sz w:val="24"/>
          <w:szCs w:val="24"/>
        </w:rPr>
        <w:t xml:space="preserve">6 training sessions </w:t>
      </w:r>
      <w:r w:rsidR="000E6FCF" w:rsidRPr="004B5046">
        <w:rPr>
          <w:rFonts w:ascii="Arial" w:hAnsi="Arial" w:cs="Arial"/>
          <w:sz w:val="24"/>
          <w:szCs w:val="24"/>
        </w:rPr>
        <w:t xml:space="preserve">on the inspection process </w:t>
      </w:r>
      <w:r w:rsidRPr="004B5046">
        <w:rPr>
          <w:rFonts w:ascii="Arial" w:hAnsi="Arial" w:cs="Arial"/>
          <w:sz w:val="24"/>
          <w:szCs w:val="24"/>
        </w:rPr>
        <w:t>offered throughout the month of November.</w:t>
      </w:r>
    </w:p>
    <w:p w14:paraId="5C845F05" w14:textId="1D8BE27F" w:rsidR="001E744F" w:rsidRPr="004B5046" w:rsidRDefault="00FC592A" w:rsidP="002E0836">
      <w:pPr>
        <w:pStyle w:val="ListParagraph"/>
        <w:numPr>
          <w:ilvl w:val="0"/>
          <w:numId w:val="4"/>
        </w:numPr>
        <w:spacing w:before="100" w:beforeAutospacing="1" w:after="100" w:afterAutospacing="1"/>
        <w:rPr>
          <w:rFonts w:ascii="Arial" w:hAnsi="Arial" w:cs="Arial"/>
          <w:sz w:val="24"/>
          <w:szCs w:val="24"/>
        </w:rPr>
      </w:pPr>
      <w:r w:rsidRPr="004B5046">
        <w:rPr>
          <w:rFonts w:ascii="Arial" w:hAnsi="Arial" w:cs="Arial"/>
          <w:sz w:val="24"/>
          <w:szCs w:val="24"/>
        </w:rPr>
        <w:t>Feedback sessions facilitated for users to provide early feedback to the Health and Safety team.</w:t>
      </w:r>
    </w:p>
    <w:p w14:paraId="1A7CE3C7" w14:textId="63A1E85C" w:rsidR="00FC592A" w:rsidRPr="004B5046" w:rsidRDefault="00AB3189" w:rsidP="002E0836">
      <w:pPr>
        <w:pStyle w:val="ListParagraph"/>
        <w:numPr>
          <w:ilvl w:val="0"/>
          <w:numId w:val="4"/>
        </w:numPr>
        <w:spacing w:before="100" w:beforeAutospacing="1" w:after="100" w:afterAutospacing="1"/>
        <w:rPr>
          <w:rFonts w:ascii="Arial" w:hAnsi="Arial" w:cs="Arial"/>
          <w:sz w:val="24"/>
          <w:szCs w:val="24"/>
        </w:rPr>
      </w:pPr>
      <w:r w:rsidRPr="004B5046">
        <w:rPr>
          <w:rFonts w:ascii="Arial" w:hAnsi="Arial" w:cs="Arial"/>
          <w:sz w:val="24"/>
          <w:szCs w:val="24"/>
        </w:rPr>
        <w:t>SLWG has met and reached a conclusion to recommend that monthly inspections are no longer reported through this forum, however annual audit reports will continue to be reported. The recommendation will be formalised through a report.</w:t>
      </w:r>
    </w:p>
    <w:p w14:paraId="16086E94" w14:textId="412F6611" w:rsidR="002E0836" w:rsidRPr="002E4404" w:rsidRDefault="002E0836" w:rsidP="008A5B73">
      <w:pPr>
        <w:pStyle w:val="ListParagraph"/>
        <w:numPr>
          <w:ilvl w:val="1"/>
          <w:numId w:val="12"/>
        </w:numPr>
        <w:spacing w:before="100" w:beforeAutospacing="1" w:after="100" w:afterAutospacing="1"/>
        <w:rPr>
          <w:rFonts w:ascii="Arial" w:hAnsi="Arial" w:cs="Arial"/>
          <w:b/>
          <w:sz w:val="24"/>
          <w:szCs w:val="24"/>
        </w:rPr>
      </w:pPr>
      <w:r w:rsidRPr="002E4404">
        <w:rPr>
          <w:rFonts w:ascii="Arial" w:hAnsi="Arial" w:cs="Arial"/>
          <w:b/>
          <w:sz w:val="24"/>
          <w:szCs w:val="24"/>
        </w:rPr>
        <w:t>Fire Safety</w:t>
      </w:r>
    </w:p>
    <w:p w14:paraId="526B6B3F" w14:textId="503397A4" w:rsidR="001D4870" w:rsidRPr="002E4404" w:rsidRDefault="001D4870" w:rsidP="001D4870">
      <w:pPr>
        <w:pStyle w:val="ListParagraph"/>
        <w:spacing w:before="100" w:beforeAutospacing="1" w:after="100" w:afterAutospacing="1"/>
        <w:ind w:left="760"/>
        <w:rPr>
          <w:rFonts w:ascii="Arial" w:hAnsi="Arial" w:cs="Arial"/>
          <w:b/>
          <w:sz w:val="24"/>
          <w:szCs w:val="24"/>
        </w:rPr>
      </w:pPr>
      <w:r w:rsidRPr="002E4404">
        <w:rPr>
          <w:rFonts w:ascii="Arial" w:hAnsi="Arial" w:cs="Arial"/>
          <w:b/>
          <w:sz w:val="24"/>
          <w:szCs w:val="24"/>
        </w:rPr>
        <w:t>Fire Safety Group</w:t>
      </w:r>
    </w:p>
    <w:p w14:paraId="6DBBC9EC" w14:textId="7D81E1B2" w:rsidR="001D4870" w:rsidRPr="004B5046" w:rsidRDefault="00B72B0B" w:rsidP="00F15B7D">
      <w:pPr>
        <w:spacing w:before="100" w:beforeAutospacing="1" w:after="100" w:afterAutospacing="1"/>
        <w:ind w:left="760"/>
        <w:rPr>
          <w:rFonts w:eastAsia="Calibri" w:cs="Arial"/>
          <w:color w:val="FF0000"/>
          <w:spacing w:val="0"/>
          <w:szCs w:val="24"/>
          <w:lang w:eastAsia="en-GB"/>
        </w:rPr>
      </w:pPr>
      <w:r w:rsidRPr="004B5046">
        <w:rPr>
          <w:rFonts w:eastAsia="Calibri" w:cs="Arial"/>
          <w:spacing w:val="0"/>
          <w:szCs w:val="24"/>
          <w:lang w:eastAsia="en-GB"/>
        </w:rPr>
        <w:t xml:space="preserve">At the September round of Health and Safety Forum meetings, there was agreement to form a Fire Safety Group to support the management of fire safety. Like other </w:t>
      </w:r>
      <w:r w:rsidR="0055120A" w:rsidRPr="004B5046">
        <w:rPr>
          <w:rFonts w:eastAsia="Calibri" w:cs="Arial"/>
          <w:spacing w:val="0"/>
          <w:szCs w:val="24"/>
          <w:lang w:eastAsia="en-GB"/>
        </w:rPr>
        <w:t>specialist</w:t>
      </w:r>
      <w:r w:rsidRPr="004B5046">
        <w:rPr>
          <w:rFonts w:eastAsia="Calibri" w:cs="Arial"/>
          <w:spacing w:val="0"/>
          <w:szCs w:val="24"/>
          <w:lang w:eastAsia="en-GB"/>
        </w:rPr>
        <w:t xml:space="preserve"> safety groups (e.g. Electrical Safety, Medical Gas Safety, </w:t>
      </w:r>
      <w:r w:rsidR="001D4870" w:rsidRPr="004B5046">
        <w:rPr>
          <w:rFonts w:eastAsia="Calibri" w:cs="Arial"/>
          <w:spacing w:val="0"/>
          <w:szCs w:val="24"/>
          <w:lang w:eastAsia="en-GB"/>
        </w:rPr>
        <w:t xml:space="preserve">Ventilation etc.) this group will report through the Health and Safety Forums and onto Health and Safety Committee. Part of the intended remit of the group will be to agree risk and support implementation of appropriate actions to mitigate those risks and to action reports from enforcing authorities. The first meeting for this group </w:t>
      </w:r>
      <w:r w:rsidR="000A1D43" w:rsidRPr="004B5046">
        <w:rPr>
          <w:rFonts w:eastAsia="Calibri" w:cs="Arial"/>
          <w:spacing w:val="0"/>
          <w:szCs w:val="24"/>
          <w:lang w:eastAsia="en-GB"/>
        </w:rPr>
        <w:t xml:space="preserve">is scheduled for </w:t>
      </w:r>
      <w:r w:rsidR="000E6FCF" w:rsidRPr="004B5046">
        <w:rPr>
          <w:rFonts w:eastAsia="Calibri" w:cs="Arial"/>
          <w:spacing w:val="0"/>
          <w:szCs w:val="24"/>
          <w:lang w:eastAsia="en-GB"/>
        </w:rPr>
        <w:t>February 2025.</w:t>
      </w:r>
    </w:p>
    <w:p w14:paraId="2DEB1C31" w14:textId="61E82DF6" w:rsidR="00FC592A" w:rsidRPr="002E4404" w:rsidRDefault="00FC592A" w:rsidP="00F15B7D">
      <w:pPr>
        <w:spacing w:before="100" w:beforeAutospacing="1" w:after="100" w:afterAutospacing="1"/>
        <w:ind w:left="760"/>
        <w:rPr>
          <w:rFonts w:eastAsia="Calibri" w:cs="Arial"/>
          <w:b/>
          <w:spacing w:val="0"/>
          <w:szCs w:val="24"/>
          <w:lang w:eastAsia="en-GB"/>
        </w:rPr>
      </w:pPr>
      <w:r w:rsidRPr="002E4404">
        <w:rPr>
          <w:rFonts w:eastAsia="Calibri" w:cs="Arial"/>
          <w:b/>
          <w:spacing w:val="0"/>
          <w:szCs w:val="24"/>
          <w:lang w:eastAsia="en-GB"/>
        </w:rPr>
        <w:t>SHTM 80</w:t>
      </w:r>
    </w:p>
    <w:p w14:paraId="23381D65" w14:textId="723020AB" w:rsidR="00FC592A" w:rsidRPr="004B5046" w:rsidRDefault="00FC592A" w:rsidP="00F15B7D">
      <w:pPr>
        <w:spacing w:before="100" w:beforeAutospacing="1" w:after="100" w:afterAutospacing="1"/>
        <w:ind w:left="760"/>
        <w:rPr>
          <w:rFonts w:eastAsia="Calibri" w:cs="Arial"/>
          <w:spacing w:val="0"/>
          <w:szCs w:val="24"/>
          <w:lang w:eastAsia="en-GB"/>
        </w:rPr>
      </w:pPr>
      <w:r w:rsidRPr="004B5046">
        <w:rPr>
          <w:rFonts w:eastAsia="Calibri" w:cs="Arial"/>
          <w:spacing w:val="0"/>
          <w:szCs w:val="24"/>
          <w:lang w:eastAsia="en-GB"/>
        </w:rPr>
        <w:t>A new guidance document, SHTM 80: Fire Safety– Model Management, has been issued</w:t>
      </w:r>
      <w:r w:rsidR="00063B3D" w:rsidRPr="004B5046">
        <w:rPr>
          <w:rFonts w:eastAsia="Calibri" w:cs="Arial"/>
          <w:spacing w:val="0"/>
          <w:szCs w:val="24"/>
          <w:lang w:eastAsia="en-GB"/>
        </w:rPr>
        <w:t xml:space="preserve"> via Scottish Government</w:t>
      </w:r>
      <w:r w:rsidRPr="004B5046">
        <w:rPr>
          <w:rFonts w:eastAsia="Calibri" w:cs="Arial"/>
          <w:spacing w:val="0"/>
          <w:szCs w:val="24"/>
          <w:lang w:eastAsia="en-GB"/>
        </w:rPr>
        <w:t>. This document provides important information on mandatory fire safety management. It outlines the necessary governance, organisational structure, and staff competency requirements for effective fire safety management. It specifies the framework for ensuring compliance with legislative and mandatory obligations, defines risk ownership and accountability, and provides guidelines for Health Boards to ensure the competency of fire safety personnel. </w:t>
      </w:r>
    </w:p>
    <w:p w14:paraId="1B3D2DF1" w14:textId="6BC07D8C" w:rsidR="00FC592A" w:rsidRPr="004B5046" w:rsidRDefault="00FC592A" w:rsidP="00F15B7D">
      <w:pPr>
        <w:spacing w:before="100" w:beforeAutospacing="1" w:after="100" w:afterAutospacing="1"/>
        <w:ind w:left="760"/>
        <w:rPr>
          <w:rFonts w:eastAsia="Calibri" w:cs="Arial"/>
          <w:spacing w:val="0"/>
          <w:szCs w:val="24"/>
          <w:lang w:eastAsia="en-GB"/>
        </w:rPr>
      </w:pPr>
      <w:r w:rsidRPr="004B5046">
        <w:rPr>
          <w:rFonts w:eastAsia="Calibri" w:cs="Arial"/>
          <w:spacing w:val="0"/>
          <w:szCs w:val="24"/>
          <w:lang w:eastAsia="en-GB"/>
        </w:rPr>
        <w:t>Estates and Health and Safety colleagues will work collaboratively to assess our compliance against the requirements of this document.</w:t>
      </w:r>
      <w:r w:rsidR="00F54776" w:rsidRPr="004B5046">
        <w:rPr>
          <w:rFonts w:eastAsia="Calibri" w:cs="Arial"/>
          <w:spacing w:val="0"/>
          <w:szCs w:val="24"/>
          <w:lang w:eastAsia="en-GB"/>
        </w:rPr>
        <w:t xml:space="preserve"> An initial review has been undertaken and actions identified. A </w:t>
      </w:r>
      <w:r w:rsidRPr="004B5046">
        <w:rPr>
          <w:rFonts w:eastAsia="Calibri" w:cs="Arial"/>
          <w:spacing w:val="0"/>
          <w:szCs w:val="24"/>
          <w:lang w:eastAsia="en-GB"/>
        </w:rPr>
        <w:t xml:space="preserve">subsequent report will then be shared with </w:t>
      </w:r>
      <w:r w:rsidR="00063B3D" w:rsidRPr="004B5046">
        <w:rPr>
          <w:rFonts w:eastAsia="Calibri" w:cs="Arial"/>
          <w:spacing w:val="0"/>
          <w:szCs w:val="24"/>
          <w:lang w:eastAsia="en-GB"/>
        </w:rPr>
        <w:t>the appropriate governance groups.</w:t>
      </w:r>
      <w:r w:rsidRPr="004B5046">
        <w:rPr>
          <w:rFonts w:eastAsia="Calibri" w:cs="Arial"/>
          <w:spacing w:val="0"/>
          <w:szCs w:val="24"/>
          <w:lang w:eastAsia="en-GB"/>
        </w:rPr>
        <w:t xml:space="preserve">  </w:t>
      </w:r>
    </w:p>
    <w:p w14:paraId="04BB5BB6" w14:textId="7279B787" w:rsidR="00DF1D58" w:rsidRPr="002E4404" w:rsidRDefault="00DF1D58" w:rsidP="008A5B73">
      <w:pPr>
        <w:pStyle w:val="ListParagraph"/>
        <w:numPr>
          <w:ilvl w:val="1"/>
          <w:numId w:val="12"/>
        </w:numPr>
        <w:spacing w:before="100" w:beforeAutospacing="1" w:after="100" w:afterAutospacing="1"/>
        <w:rPr>
          <w:rFonts w:ascii="Arial" w:eastAsia="Times New Roman" w:hAnsi="Arial" w:cs="Arial"/>
          <w:b/>
          <w:sz w:val="24"/>
          <w:szCs w:val="24"/>
        </w:rPr>
      </w:pPr>
      <w:r w:rsidRPr="002E4404">
        <w:rPr>
          <w:rFonts w:ascii="Arial" w:eastAsia="Times New Roman" w:hAnsi="Arial" w:cs="Arial"/>
          <w:b/>
          <w:sz w:val="24"/>
          <w:szCs w:val="24"/>
        </w:rPr>
        <w:t xml:space="preserve">Policy </w:t>
      </w:r>
      <w:r w:rsidR="001E5F77" w:rsidRPr="002E4404">
        <w:rPr>
          <w:rFonts w:ascii="Arial" w:eastAsia="Times New Roman" w:hAnsi="Arial" w:cs="Arial"/>
          <w:b/>
          <w:sz w:val="24"/>
          <w:szCs w:val="24"/>
        </w:rPr>
        <w:t>Update</w:t>
      </w:r>
    </w:p>
    <w:p w14:paraId="36EA5202" w14:textId="03F6EF8B" w:rsidR="000E63F8" w:rsidRPr="004B5046" w:rsidRDefault="00F15B7D" w:rsidP="00F15B7D">
      <w:pPr>
        <w:spacing w:before="100" w:beforeAutospacing="1" w:after="100" w:afterAutospacing="1"/>
        <w:rPr>
          <w:rFonts w:cs="Arial"/>
          <w:szCs w:val="24"/>
        </w:rPr>
      </w:pPr>
      <w:r w:rsidRPr="004B5046">
        <w:rPr>
          <w:rFonts w:cs="Arial"/>
          <w:szCs w:val="24"/>
        </w:rPr>
        <w:lastRenderedPageBreak/>
        <w:tab/>
      </w:r>
      <w:r w:rsidR="00DF1D58" w:rsidRPr="004B5046">
        <w:rPr>
          <w:rFonts w:cs="Arial"/>
          <w:szCs w:val="24"/>
        </w:rPr>
        <w:t xml:space="preserve">The following documents have been </w:t>
      </w:r>
      <w:r w:rsidR="00E925F8" w:rsidRPr="004B5046">
        <w:rPr>
          <w:rFonts w:cs="Arial"/>
          <w:szCs w:val="24"/>
        </w:rPr>
        <w:t>approved</w:t>
      </w:r>
      <w:r w:rsidR="000E63F8" w:rsidRPr="004B5046">
        <w:rPr>
          <w:rFonts w:cs="Arial"/>
          <w:szCs w:val="24"/>
        </w:rPr>
        <w:t xml:space="preserve"> </w:t>
      </w:r>
      <w:r w:rsidR="00E925F8" w:rsidRPr="004B5046">
        <w:rPr>
          <w:rFonts w:cs="Arial"/>
          <w:szCs w:val="24"/>
        </w:rPr>
        <w:t xml:space="preserve">at </w:t>
      </w:r>
      <w:r w:rsidR="006110DE" w:rsidRPr="004B5046">
        <w:rPr>
          <w:rFonts w:cs="Arial"/>
          <w:szCs w:val="24"/>
        </w:rPr>
        <w:t xml:space="preserve">the </w:t>
      </w:r>
      <w:r w:rsidR="00E925F8" w:rsidRPr="004B5046">
        <w:rPr>
          <w:rFonts w:cs="Arial"/>
          <w:szCs w:val="24"/>
        </w:rPr>
        <w:t>last</w:t>
      </w:r>
      <w:r w:rsidR="000E63F8" w:rsidRPr="004B5046">
        <w:rPr>
          <w:rFonts w:cs="Arial"/>
          <w:szCs w:val="24"/>
        </w:rPr>
        <w:t xml:space="preserve"> Health and Safety Committee:</w:t>
      </w:r>
    </w:p>
    <w:p w14:paraId="4AE5F653" w14:textId="5496E8D9" w:rsidR="00F15B7D" w:rsidRPr="004B5046" w:rsidRDefault="006110DE" w:rsidP="00F15B7D">
      <w:pPr>
        <w:pStyle w:val="ListParagraph"/>
        <w:numPr>
          <w:ilvl w:val="0"/>
          <w:numId w:val="14"/>
        </w:numPr>
        <w:spacing w:before="100" w:beforeAutospacing="1" w:after="100" w:afterAutospacing="1"/>
        <w:rPr>
          <w:rFonts w:ascii="Arial" w:hAnsi="Arial" w:cs="Arial"/>
          <w:sz w:val="24"/>
          <w:szCs w:val="24"/>
        </w:rPr>
      </w:pPr>
      <w:r w:rsidRPr="004B5046">
        <w:rPr>
          <w:rFonts w:ascii="Arial" w:eastAsia="Times New Roman" w:hAnsi="Arial" w:cs="Arial"/>
          <w:sz w:val="24"/>
          <w:szCs w:val="24"/>
        </w:rPr>
        <w:t>Control of C</w:t>
      </w:r>
      <w:r w:rsidR="00F94419" w:rsidRPr="004B5046">
        <w:rPr>
          <w:rFonts w:ascii="Arial" w:eastAsia="Times New Roman" w:hAnsi="Arial" w:cs="Arial"/>
          <w:sz w:val="24"/>
          <w:szCs w:val="24"/>
        </w:rPr>
        <w:t>ontractors Policy</w:t>
      </w:r>
    </w:p>
    <w:p w14:paraId="348F4693" w14:textId="1BA514C8" w:rsidR="00F15B7D" w:rsidRPr="004B5046" w:rsidRDefault="00F94419" w:rsidP="00F15B7D">
      <w:pPr>
        <w:pStyle w:val="ListParagraph"/>
        <w:numPr>
          <w:ilvl w:val="0"/>
          <w:numId w:val="14"/>
        </w:numPr>
        <w:spacing w:before="100" w:beforeAutospacing="1" w:after="100" w:afterAutospacing="1"/>
        <w:rPr>
          <w:rFonts w:ascii="Arial" w:hAnsi="Arial" w:cs="Arial"/>
          <w:sz w:val="24"/>
          <w:szCs w:val="24"/>
        </w:rPr>
      </w:pPr>
      <w:r w:rsidRPr="004B5046">
        <w:rPr>
          <w:rFonts w:ascii="Arial" w:eastAsia="Times New Roman" w:hAnsi="Arial" w:cs="Arial"/>
          <w:sz w:val="24"/>
          <w:szCs w:val="24"/>
        </w:rPr>
        <w:t>Security</w:t>
      </w:r>
      <w:r w:rsidR="00F15B7D" w:rsidRPr="004B5046">
        <w:rPr>
          <w:rFonts w:ascii="Arial" w:eastAsia="Times New Roman" w:hAnsi="Arial" w:cs="Arial"/>
          <w:sz w:val="24"/>
          <w:szCs w:val="24"/>
        </w:rPr>
        <w:t xml:space="preserve"> Policy</w:t>
      </w:r>
    </w:p>
    <w:p w14:paraId="271AEEDC" w14:textId="3525C2CA" w:rsidR="00D37E8D" w:rsidRPr="004B5046" w:rsidRDefault="00D37E8D" w:rsidP="00D37E8D">
      <w:pPr>
        <w:spacing w:before="100" w:beforeAutospacing="1" w:after="100" w:afterAutospacing="1"/>
        <w:rPr>
          <w:rFonts w:cs="Arial"/>
          <w:szCs w:val="24"/>
        </w:rPr>
      </w:pPr>
      <w:r w:rsidRPr="004B5046">
        <w:rPr>
          <w:rFonts w:cs="Arial"/>
          <w:szCs w:val="24"/>
        </w:rPr>
        <w:tab/>
        <w:t>Both of these policies have been uploaded to SharePoint.</w:t>
      </w:r>
    </w:p>
    <w:p w14:paraId="55F91BBD" w14:textId="6CCB9B08" w:rsidR="00E925F8" w:rsidRPr="004B5046" w:rsidRDefault="00F94419" w:rsidP="00F94419">
      <w:pPr>
        <w:spacing w:before="100" w:beforeAutospacing="1" w:after="100" w:afterAutospacing="1"/>
        <w:rPr>
          <w:rFonts w:cs="Arial"/>
          <w:szCs w:val="24"/>
        </w:rPr>
      </w:pPr>
      <w:r w:rsidRPr="004B5046">
        <w:rPr>
          <w:rFonts w:cs="Arial"/>
          <w:szCs w:val="24"/>
        </w:rPr>
        <w:tab/>
      </w:r>
      <w:r w:rsidR="00F15B7D" w:rsidRPr="004B5046">
        <w:rPr>
          <w:rFonts w:cs="Arial"/>
          <w:szCs w:val="24"/>
        </w:rPr>
        <w:t xml:space="preserve">The RPE </w:t>
      </w:r>
      <w:r w:rsidRPr="004B5046">
        <w:rPr>
          <w:rFonts w:cs="Arial"/>
          <w:szCs w:val="24"/>
        </w:rPr>
        <w:t>was</w:t>
      </w:r>
      <w:r w:rsidR="00F15B7D" w:rsidRPr="004B5046">
        <w:rPr>
          <w:rFonts w:cs="Arial"/>
          <w:szCs w:val="24"/>
        </w:rPr>
        <w:t xml:space="preserve"> sent to Partnership Forum 11</w:t>
      </w:r>
      <w:r w:rsidR="00F15B7D" w:rsidRPr="004B5046">
        <w:rPr>
          <w:rFonts w:cs="Arial"/>
          <w:szCs w:val="24"/>
          <w:vertAlign w:val="superscript"/>
        </w:rPr>
        <w:t>th</w:t>
      </w:r>
      <w:r w:rsidR="00F15B7D" w:rsidRPr="004B5046">
        <w:rPr>
          <w:rFonts w:cs="Arial"/>
          <w:szCs w:val="24"/>
        </w:rPr>
        <w:t xml:space="preserve"> November </w:t>
      </w:r>
      <w:r w:rsidR="004E1677" w:rsidRPr="004B5046">
        <w:rPr>
          <w:rFonts w:cs="Arial"/>
          <w:szCs w:val="24"/>
        </w:rPr>
        <w:t>for</w:t>
      </w:r>
      <w:r w:rsidR="00F15B7D" w:rsidRPr="004B5046">
        <w:rPr>
          <w:rFonts w:cs="Arial"/>
          <w:szCs w:val="24"/>
        </w:rPr>
        <w:t xml:space="preserve"> final approval</w:t>
      </w:r>
      <w:r w:rsidRPr="004B5046">
        <w:rPr>
          <w:rFonts w:cs="Arial"/>
          <w:szCs w:val="24"/>
        </w:rPr>
        <w:t>.</w:t>
      </w:r>
      <w:r w:rsidR="00D37E8D" w:rsidRPr="004B5046">
        <w:rPr>
          <w:rFonts w:cs="Arial"/>
          <w:szCs w:val="24"/>
        </w:rPr>
        <w:t xml:space="preserve"> This document </w:t>
      </w:r>
      <w:r w:rsidR="00D37E8D" w:rsidRPr="004B5046">
        <w:rPr>
          <w:rFonts w:cs="Arial"/>
          <w:szCs w:val="24"/>
        </w:rPr>
        <w:tab/>
        <w:t xml:space="preserve">is not yet uploaded to share point as it is pending H&amp;S Committee chair sign off as per </w:t>
      </w:r>
      <w:r w:rsidR="00D37E8D" w:rsidRPr="004B5046">
        <w:rPr>
          <w:rFonts w:cs="Arial"/>
          <w:szCs w:val="24"/>
        </w:rPr>
        <w:tab/>
        <w:t>standard protocol for policy upload via Clinical Governance.</w:t>
      </w:r>
    </w:p>
    <w:p w14:paraId="5A077093" w14:textId="682EB59C" w:rsidR="00D37E8D" w:rsidRPr="004B5046" w:rsidRDefault="00D37E8D" w:rsidP="00F94419">
      <w:pPr>
        <w:spacing w:before="100" w:beforeAutospacing="1" w:after="100" w:afterAutospacing="1"/>
        <w:rPr>
          <w:rFonts w:cs="Arial"/>
          <w:szCs w:val="24"/>
        </w:rPr>
      </w:pPr>
      <w:r w:rsidRPr="004B5046">
        <w:rPr>
          <w:rFonts w:cs="Arial"/>
          <w:szCs w:val="24"/>
        </w:rPr>
        <w:tab/>
        <w:t xml:space="preserve">The Health and Safety Audit &amp; Inspection Policy </w:t>
      </w:r>
      <w:r w:rsidR="008635CF" w:rsidRPr="004B5046">
        <w:rPr>
          <w:rFonts w:cs="Arial"/>
          <w:szCs w:val="24"/>
        </w:rPr>
        <w:t xml:space="preserve">also </w:t>
      </w:r>
      <w:r w:rsidRPr="004B5046">
        <w:rPr>
          <w:rFonts w:cs="Arial"/>
          <w:szCs w:val="24"/>
        </w:rPr>
        <w:t xml:space="preserve">requires to be uploaded to share </w:t>
      </w:r>
      <w:r w:rsidR="008635CF" w:rsidRPr="004B5046">
        <w:rPr>
          <w:rFonts w:cs="Arial"/>
          <w:szCs w:val="24"/>
        </w:rPr>
        <w:tab/>
      </w:r>
      <w:r w:rsidRPr="004B5046">
        <w:rPr>
          <w:rFonts w:cs="Arial"/>
          <w:szCs w:val="24"/>
        </w:rPr>
        <w:t xml:space="preserve">point. Awaiting sign </w:t>
      </w:r>
      <w:r w:rsidR="008635CF" w:rsidRPr="004B5046">
        <w:rPr>
          <w:rFonts w:cs="Arial"/>
          <w:szCs w:val="24"/>
        </w:rPr>
        <w:t xml:space="preserve">off from Chair as per standard </w:t>
      </w:r>
      <w:r w:rsidRPr="004B5046">
        <w:rPr>
          <w:rFonts w:cs="Arial"/>
          <w:szCs w:val="24"/>
        </w:rPr>
        <w:t xml:space="preserve">protocol for policy upload via Clinical </w:t>
      </w:r>
      <w:r w:rsidR="008635CF" w:rsidRPr="004B5046">
        <w:rPr>
          <w:rFonts w:cs="Arial"/>
          <w:szCs w:val="24"/>
        </w:rPr>
        <w:tab/>
      </w:r>
      <w:r w:rsidRPr="004B5046">
        <w:rPr>
          <w:rFonts w:cs="Arial"/>
          <w:szCs w:val="24"/>
        </w:rPr>
        <w:t>Governance.</w:t>
      </w:r>
      <w:r w:rsidR="005306B0" w:rsidRPr="004B5046">
        <w:rPr>
          <w:rFonts w:cs="Arial"/>
          <w:szCs w:val="24"/>
        </w:rPr>
        <w:t xml:space="preserve"> The int</w:t>
      </w:r>
      <w:r w:rsidR="008635CF" w:rsidRPr="004B5046">
        <w:rPr>
          <w:rFonts w:cs="Arial"/>
          <w:szCs w:val="24"/>
        </w:rPr>
        <w:t xml:space="preserve">ention will be to add both the </w:t>
      </w:r>
      <w:r w:rsidR="005306B0" w:rsidRPr="004B5046">
        <w:rPr>
          <w:rFonts w:cs="Arial"/>
          <w:szCs w:val="24"/>
        </w:rPr>
        <w:t xml:space="preserve">RPE and H&amp;S Audit &amp; Inspection Policy </w:t>
      </w:r>
      <w:r w:rsidR="008635CF" w:rsidRPr="004B5046">
        <w:rPr>
          <w:rFonts w:cs="Arial"/>
          <w:szCs w:val="24"/>
        </w:rPr>
        <w:tab/>
      </w:r>
      <w:r w:rsidR="005306B0" w:rsidRPr="004B5046">
        <w:rPr>
          <w:rFonts w:cs="Arial"/>
          <w:szCs w:val="24"/>
        </w:rPr>
        <w:t>to SharePoint via Clinical Governance 31</w:t>
      </w:r>
      <w:r w:rsidR="005306B0" w:rsidRPr="004B5046">
        <w:rPr>
          <w:rFonts w:cs="Arial"/>
          <w:szCs w:val="24"/>
          <w:vertAlign w:val="superscript"/>
        </w:rPr>
        <w:t>st</w:t>
      </w:r>
      <w:r w:rsidR="008635CF" w:rsidRPr="004B5046">
        <w:rPr>
          <w:rFonts w:cs="Arial"/>
          <w:szCs w:val="24"/>
        </w:rPr>
        <w:t xml:space="preserve"> </w:t>
      </w:r>
      <w:r w:rsidR="005306B0" w:rsidRPr="004B5046">
        <w:rPr>
          <w:rFonts w:cs="Arial"/>
          <w:szCs w:val="24"/>
        </w:rPr>
        <w:t xml:space="preserve">January 2025 (service for upload </w:t>
      </w:r>
      <w:r w:rsidR="008635CF" w:rsidRPr="004B5046">
        <w:rPr>
          <w:rFonts w:cs="Arial"/>
          <w:szCs w:val="24"/>
        </w:rPr>
        <w:tab/>
      </w:r>
      <w:r w:rsidR="005306B0" w:rsidRPr="004B5046">
        <w:rPr>
          <w:rFonts w:cs="Arial"/>
          <w:szCs w:val="24"/>
        </w:rPr>
        <w:t xml:space="preserve">currently </w:t>
      </w:r>
      <w:r w:rsidR="008635CF" w:rsidRPr="004B5046">
        <w:rPr>
          <w:rFonts w:cs="Arial"/>
          <w:szCs w:val="24"/>
        </w:rPr>
        <w:tab/>
        <w:t>suspended</w:t>
      </w:r>
      <w:r w:rsidR="005306B0" w:rsidRPr="004B5046">
        <w:rPr>
          <w:rFonts w:cs="Arial"/>
          <w:szCs w:val="24"/>
        </w:rPr>
        <w:t xml:space="preserve"> as advised by Clinical Governance</w:t>
      </w:r>
      <w:r w:rsidR="005725F6" w:rsidRPr="004B5046">
        <w:rPr>
          <w:rFonts w:cs="Arial"/>
          <w:szCs w:val="24"/>
        </w:rPr>
        <w:t xml:space="preserve"> whilst the system is updated</w:t>
      </w:r>
      <w:r w:rsidR="005306B0" w:rsidRPr="004B5046">
        <w:rPr>
          <w:rFonts w:cs="Arial"/>
          <w:szCs w:val="24"/>
        </w:rPr>
        <w:t>)</w:t>
      </w:r>
      <w:r w:rsidR="006110DE" w:rsidRPr="004B5046">
        <w:rPr>
          <w:rFonts w:cs="Arial"/>
          <w:szCs w:val="24"/>
        </w:rPr>
        <w:t>.</w:t>
      </w:r>
      <w:r w:rsidR="005306B0" w:rsidRPr="004B5046">
        <w:rPr>
          <w:rFonts w:cs="Arial"/>
          <w:szCs w:val="24"/>
        </w:rPr>
        <w:t xml:space="preserve"> </w:t>
      </w:r>
    </w:p>
    <w:p w14:paraId="2961AAA6" w14:textId="24368C30" w:rsidR="00E925F8" w:rsidRPr="004B5046" w:rsidRDefault="00F15B7D" w:rsidP="00F15B7D">
      <w:pPr>
        <w:spacing w:before="100" w:beforeAutospacing="1" w:after="100" w:afterAutospacing="1"/>
        <w:rPr>
          <w:rFonts w:cs="Arial"/>
          <w:szCs w:val="24"/>
        </w:rPr>
      </w:pPr>
      <w:r w:rsidRPr="004B5046">
        <w:rPr>
          <w:rFonts w:cs="Arial"/>
          <w:szCs w:val="24"/>
        </w:rPr>
        <w:tab/>
      </w:r>
      <w:r w:rsidR="00E925F8" w:rsidRPr="004B5046">
        <w:rPr>
          <w:rFonts w:cs="Arial"/>
          <w:szCs w:val="24"/>
        </w:rPr>
        <w:t xml:space="preserve">The following documents </w:t>
      </w:r>
      <w:r w:rsidRPr="004B5046">
        <w:rPr>
          <w:rFonts w:cs="Arial"/>
          <w:szCs w:val="24"/>
        </w:rPr>
        <w:t>w</w:t>
      </w:r>
      <w:r w:rsidR="00F94419" w:rsidRPr="004B5046">
        <w:rPr>
          <w:rFonts w:cs="Arial"/>
          <w:szCs w:val="24"/>
        </w:rPr>
        <w:t>ill</w:t>
      </w:r>
      <w:r w:rsidR="00E925F8" w:rsidRPr="004B5046">
        <w:rPr>
          <w:rFonts w:cs="Arial"/>
          <w:szCs w:val="24"/>
        </w:rPr>
        <w:t xml:space="preserve"> </w:t>
      </w:r>
      <w:r w:rsidR="00D37E8D" w:rsidRPr="004B5046">
        <w:rPr>
          <w:rFonts w:cs="Arial"/>
          <w:szCs w:val="24"/>
        </w:rPr>
        <w:t xml:space="preserve">be </w:t>
      </w:r>
      <w:r w:rsidR="00431D14" w:rsidRPr="004B5046">
        <w:rPr>
          <w:rFonts w:cs="Arial"/>
          <w:szCs w:val="24"/>
        </w:rPr>
        <w:t>shared with</w:t>
      </w:r>
      <w:r w:rsidR="00E925F8" w:rsidRPr="004B5046">
        <w:rPr>
          <w:rFonts w:cs="Arial"/>
          <w:szCs w:val="24"/>
        </w:rPr>
        <w:t xml:space="preserve"> the Health and Safety Divisional Forums for</w:t>
      </w:r>
      <w:r w:rsidR="00431D14" w:rsidRPr="004B5046">
        <w:rPr>
          <w:rFonts w:cs="Arial"/>
          <w:szCs w:val="24"/>
        </w:rPr>
        <w:t xml:space="preserve"> </w:t>
      </w:r>
      <w:r w:rsidR="00431D14" w:rsidRPr="004B5046">
        <w:rPr>
          <w:rFonts w:cs="Arial"/>
          <w:szCs w:val="24"/>
        </w:rPr>
        <w:tab/>
        <w:t>review and</w:t>
      </w:r>
      <w:r w:rsidR="00E925F8" w:rsidRPr="004B5046">
        <w:rPr>
          <w:rFonts w:cs="Arial"/>
          <w:szCs w:val="24"/>
        </w:rPr>
        <w:t xml:space="preserve"> </w:t>
      </w:r>
      <w:r w:rsidR="006363DD" w:rsidRPr="004B5046">
        <w:rPr>
          <w:rFonts w:cs="Arial"/>
          <w:szCs w:val="24"/>
        </w:rPr>
        <w:t>virtual approval January 2025</w:t>
      </w:r>
    </w:p>
    <w:p w14:paraId="09B430E3" w14:textId="678F13D5" w:rsidR="00D37E8D" w:rsidRPr="004B5046" w:rsidRDefault="00D37E8D" w:rsidP="00E925F8">
      <w:pPr>
        <w:pStyle w:val="ListParagraph"/>
        <w:numPr>
          <w:ilvl w:val="0"/>
          <w:numId w:val="14"/>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CCTV Policy</w:t>
      </w:r>
    </w:p>
    <w:p w14:paraId="0DA10C16" w14:textId="62270846" w:rsidR="00F94419" w:rsidRPr="004B5046" w:rsidRDefault="00F94419" w:rsidP="00E925F8">
      <w:pPr>
        <w:pStyle w:val="ListParagraph"/>
        <w:numPr>
          <w:ilvl w:val="0"/>
          <w:numId w:val="14"/>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Lone Working</w:t>
      </w:r>
    </w:p>
    <w:p w14:paraId="0E7562A3" w14:textId="5F2F8E1C" w:rsidR="00637E7D" w:rsidRPr="004B5046" w:rsidRDefault="00637E7D" w:rsidP="00637E7D">
      <w:pPr>
        <w:pStyle w:val="ListParagraph"/>
        <w:numPr>
          <w:ilvl w:val="0"/>
          <w:numId w:val="14"/>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Management of Violence and Aggression</w:t>
      </w:r>
    </w:p>
    <w:p w14:paraId="0163BF99" w14:textId="0813F484" w:rsidR="00E925F8" w:rsidRPr="004B5046" w:rsidRDefault="00431D14" w:rsidP="00431D14">
      <w:pPr>
        <w:spacing w:before="100" w:beforeAutospacing="1" w:after="100" w:afterAutospacing="1"/>
        <w:rPr>
          <w:rFonts w:cs="Arial"/>
          <w:szCs w:val="24"/>
        </w:rPr>
      </w:pPr>
      <w:r w:rsidRPr="004B5046">
        <w:rPr>
          <w:rFonts w:cs="Arial"/>
          <w:szCs w:val="24"/>
        </w:rPr>
        <w:tab/>
      </w:r>
      <w:r w:rsidR="00F94419" w:rsidRPr="004B5046">
        <w:rPr>
          <w:rFonts w:cs="Arial"/>
          <w:szCs w:val="24"/>
        </w:rPr>
        <w:t xml:space="preserve">The intention is to submit these policies to Health and Safety Committee for approval </w:t>
      </w:r>
      <w:r w:rsidR="00F94419" w:rsidRPr="004B5046">
        <w:rPr>
          <w:rFonts w:cs="Arial"/>
          <w:szCs w:val="24"/>
        </w:rPr>
        <w:tab/>
        <w:t>February 2025.</w:t>
      </w:r>
      <w:r w:rsidRPr="004B5046">
        <w:rPr>
          <w:rFonts w:cs="Arial"/>
          <w:szCs w:val="24"/>
        </w:rPr>
        <w:t xml:space="preserve"> </w:t>
      </w:r>
    </w:p>
    <w:p w14:paraId="00981804" w14:textId="3BCCECBA" w:rsidR="00D37E8D" w:rsidRPr="004B5046" w:rsidRDefault="00D37E8D" w:rsidP="00431D14">
      <w:pPr>
        <w:spacing w:before="100" w:beforeAutospacing="1" w:after="100" w:afterAutospacing="1"/>
        <w:rPr>
          <w:rFonts w:cs="Arial"/>
          <w:szCs w:val="24"/>
        </w:rPr>
      </w:pPr>
      <w:r w:rsidRPr="004B5046">
        <w:rPr>
          <w:rFonts w:cs="Arial"/>
          <w:szCs w:val="24"/>
        </w:rPr>
        <w:tab/>
        <w:t xml:space="preserve">The following policies will roll over to </w:t>
      </w:r>
      <w:r w:rsidR="009321C0" w:rsidRPr="004B5046">
        <w:rPr>
          <w:rFonts w:cs="Arial"/>
          <w:szCs w:val="24"/>
        </w:rPr>
        <w:t>the next forum meetings in 2 months’ time.</w:t>
      </w:r>
    </w:p>
    <w:p w14:paraId="794D77F3" w14:textId="298E1582" w:rsidR="00D37E8D" w:rsidRPr="004B5046" w:rsidRDefault="009321C0" w:rsidP="00D37E8D">
      <w:pPr>
        <w:pStyle w:val="ListParagraph"/>
        <w:numPr>
          <w:ilvl w:val="0"/>
          <w:numId w:val="14"/>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Work Activity Risk Assessment Policy</w:t>
      </w:r>
    </w:p>
    <w:p w14:paraId="5B784D15" w14:textId="6EE71D18" w:rsidR="00D37E8D" w:rsidRPr="004B5046" w:rsidRDefault="009321C0" w:rsidP="00D37E8D">
      <w:pPr>
        <w:pStyle w:val="ListParagraph"/>
        <w:numPr>
          <w:ilvl w:val="0"/>
          <w:numId w:val="14"/>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Control of Substances Hazardous to Health (COSHH) Policy</w:t>
      </w:r>
    </w:p>
    <w:p w14:paraId="335425D2" w14:textId="3DFA7AB7" w:rsidR="009321C0" w:rsidRPr="004B5046" w:rsidRDefault="009321C0" w:rsidP="00D37E8D">
      <w:pPr>
        <w:pStyle w:val="ListParagraph"/>
        <w:numPr>
          <w:ilvl w:val="0"/>
          <w:numId w:val="14"/>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Fire Safety Policy</w:t>
      </w:r>
    </w:p>
    <w:p w14:paraId="4D42880F" w14:textId="4EB78A8C" w:rsidR="00F54776" w:rsidRPr="004B5046" w:rsidRDefault="00F54776" w:rsidP="00D37E8D">
      <w:pPr>
        <w:pStyle w:val="ListParagraph"/>
        <w:numPr>
          <w:ilvl w:val="0"/>
          <w:numId w:val="14"/>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Helipad Policy</w:t>
      </w:r>
    </w:p>
    <w:p w14:paraId="75B41DFA" w14:textId="6E59BB25" w:rsidR="00BB13D4" w:rsidRPr="004B5046" w:rsidRDefault="009321C0" w:rsidP="009321C0">
      <w:pPr>
        <w:spacing w:before="100" w:beforeAutospacing="1" w:after="100" w:afterAutospacing="1"/>
        <w:rPr>
          <w:rFonts w:cs="Arial"/>
          <w:szCs w:val="24"/>
        </w:rPr>
      </w:pPr>
      <w:r w:rsidRPr="004B5046">
        <w:rPr>
          <w:rFonts w:cs="Arial"/>
          <w:szCs w:val="24"/>
        </w:rPr>
        <w:tab/>
        <w:t>These policies will remain</w:t>
      </w:r>
      <w:r w:rsidR="001A12EF" w:rsidRPr="004B5046">
        <w:rPr>
          <w:rFonts w:cs="Arial"/>
          <w:szCs w:val="24"/>
        </w:rPr>
        <w:t xml:space="preserve"> extant and</w:t>
      </w:r>
      <w:r w:rsidRPr="004B5046">
        <w:rPr>
          <w:rFonts w:cs="Arial"/>
          <w:szCs w:val="24"/>
        </w:rPr>
        <w:t xml:space="preserve"> available on share point despite lapsing beyond the </w:t>
      </w:r>
      <w:r w:rsidR="001A12EF" w:rsidRPr="004B5046">
        <w:rPr>
          <w:rFonts w:cs="Arial"/>
          <w:szCs w:val="24"/>
        </w:rPr>
        <w:tab/>
      </w:r>
      <w:r w:rsidRPr="004B5046">
        <w:rPr>
          <w:rFonts w:cs="Arial"/>
          <w:szCs w:val="24"/>
        </w:rPr>
        <w:t xml:space="preserve">standard 3 yearly periodic review period. </w:t>
      </w:r>
    </w:p>
    <w:p w14:paraId="036D7328" w14:textId="1DFA3674" w:rsidR="001E5F77" w:rsidRPr="004B5046" w:rsidRDefault="001E5F77" w:rsidP="009321C0">
      <w:pPr>
        <w:spacing w:before="100" w:beforeAutospacing="1" w:after="100" w:afterAutospacing="1"/>
        <w:rPr>
          <w:rFonts w:cs="Arial"/>
          <w:spacing w:val="0"/>
          <w:szCs w:val="24"/>
          <w:lang w:eastAsia="en-GB"/>
        </w:rPr>
      </w:pPr>
      <w:r w:rsidRPr="004B5046">
        <w:rPr>
          <w:rFonts w:cs="Arial"/>
          <w:szCs w:val="24"/>
        </w:rPr>
        <w:tab/>
      </w:r>
      <w:r w:rsidRPr="004B5046">
        <w:rPr>
          <w:rFonts w:cs="Arial"/>
          <w:spacing w:val="0"/>
          <w:szCs w:val="24"/>
          <w:lang w:eastAsia="en-GB"/>
        </w:rPr>
        <w:t xml:space="preserve">There are a number of H&amp;S related policies that are linked to the Once for Scotland </w:t>
      </w:r>
      <w:r w:rsidRPr="004B5046">
        <w:rPr>
          <w:rFonts w:cs="Arial"/>
          <w:spacing w:val="0"/>
          <w:szCs w:val="24"/>
          <w:lang w:eastAsia="en-GB"/>
        </w:rPr>
        <w:tab/>
        <w:t>Managing Health at Work Policy. These topics include the following:</w:t>
      </w:r>
    </w:p>
    <w:p w14:paraId="2307C97F" w14:textId="119C2C70" w:rsidR="001E5F77" w:rsidRPr="004B5046" w:rsidRDefault="001E5F77" w:rsidP="001E5F77">
      <w:pPr>
        <w:pStyle w:val="ListParagraph"/>
        <w:numPr>
          <w:ilvl w:val="1"/>
          <w:numId w:val="18"/>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Dealing positively with stress at work</w:t>
      </w:r>
    </w:p>
    <w:p w14:paraId="5EC485A5" w14:textId="1B84762F" w:rsidR="001E5F77" w:rsidRPr="004B5046" w:rsidRDefault="001E5F77" w:rsidP="001E5F77">
      <w:pPr>
        <w:pStyle w:val="ListParagraph"/>
        <w:numPr>
          <w:ilvl w:val="1"/>
          <w:numId w:val="18"/>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 xml:space="preserve">Promoting safe manual handling </w:t>
      </w:r>
    </w:p>
    <w:p w14:paraId="43B6A9E3" w14:textId="04C831EE" w:rsidR="001E5F77" w:rsidRPr="004B5046" w:rsidRDefault="001E5F77" w:rsidP="001E5F77">
      <w:pPr>
        <w:pStyle w:val="ListParagraph"/>
        <w:numPr>
          <w:ilvl w:val="1"/>
          <w:numId w:val="18"/>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Protecting the health, safety and welfare of people working alone</w:t>
      </w:r>
    </w:p>
    <w:p w14:paraId="0F303AD3" w14:textId="7A960EC1" w:rsidR="001E5F77" w:rsidRPr="004B5046" w:rsidRDefault="001E5F77" w:rsidP="001E5F77">
      <w:pPr>
        <w:pStyle w:val="ListParagraph"/>
        <w:numPr>
          <w:ilvl w:val="1"/>
          <w:numId w:val="18"/>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Protecting against violence and aggression at work  </w:t>
      </w:r>
    </w:p>
    <w:p w14:paraId="2F6180C8" w14:textId="388E832C" w:rsidR="001E5F77" w:rsidRPr="004B5046" w:rsidRDefault="001E5F77" w:rsidP="001E5F77">
      <w:pPr>
        <w:pStyle w:val="ListParagraph"/>
        <w:numPr>
          <w:ilvl w:val="1"/>
          <w:numId w:val="18"/>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Reducing work-related driving risks</w:t>
      </w:r>
    </w:p>
    <w:p w14:paraId="686C8DA2" w14:textId="5F4BDE62" w:rsidR="00BB13D4" w:rsidRPr="004B5046" w:rsidRDefault="001E5F77" w:rsidP="009321C0">
      <w:pPr>
        <w:pStyle w:val="ListParagraph"/>
        <w:numPr>
          <w:ilvl w:val="1"/>
          <w:numId w:val="18"/>
        </w:numPr>
        <w:spacing w:before="100" w:beforeAutospacing="1" w:after="100" w:afterAutospacing="1"/>
        <w:rPr>
          <w:rFonts w:ascii="Arial" w:eastAsia="Times New Roman" w:hAnsi="Arial" w:cs="Arial"/>
          <w:sz w:val="24"/>
          <w:szCs w:val="24"/>
        </w:rPr>
      </w:pPr>
      <w:r w:rsidRPr="004B5046">
        <w:rPr>
          <w:rFonts w:ascii="Arial" w:eastAsia="Times New Roman" w:hAnsi="Arial" w:cs="Arial"/>
          <w:sz w:val="24"/>
          <w:szCs w:val="24"/>
        </w:rPr>
        <w:t>Biological and chemical hazards including Glove Selection</w:t>
      </w:r>
    </w:p>
    <w:p w14:paraId="21E30021" w14:textId="289DB441" w:rsidR="001E5F77" w:rsidRPr="004B5046" w:rsidRDefault="001E5F77" w:rsidP="001E5F77">
      <w:pPr>
        <w:spacing w:before="100" w:beforeAutospacing="1" w:after="100" w:afterAutospacing="1"/>
        <w:rPr>
          <w:rFonts w:cs="Arial"/>
          <w:szCs w:val="24"/>
        </w:rPr>
      </w:pPr>
      <w:r w:rsidRPr="004B5046">
        <w:rPr>
          <w:rFonts w:cs="Arial"/>
          <w:szCs w:val="24"/>
        </w:rPr>
        <w:tab/>
        <w:t xml:space="preserve">As these policies are still </w:t>
      </w:r>
      <w:r w:rsidR="00F54776" w:rsidRPr="004B5046">
        <w:rPr>
          <w:rFonts w:cs="Arial"/>
          <w:szCs w:val="24"/>
        </w:rPr>
        <w:t xml:space="preserve">in </w:t>
      </w:r>
      <w:r w:rsidRPr="004B5046">
        <w:rPr>
          <w:rFonts w:cs="Arial"/>
          <w:szCs w:val="24"/>
        </w:rPr>
        <w:t xml:space="preserve">the development phase, we intend to proceed with interim </w:t>
      </w:r>
      <w:r w:rsidRPr="004B5046">
        <w:rPr>
          <w:rFonts w:cs="Arial"/>
          <w:szCs w:val="24"/>
        </w:rPr>
        <w:tab/>
        <w:t xml:space="preserve">reviews of our local policies until these </w:t>
      </w:r>
      <w:proofErr w:type="gramStart"/>
      <w:r w:rsidRPr="004B5046">
        <w:rPr>
          <w:rFonts w:cs="Arial"/>
          <w:szCs w:val="24"/>
        </w:rPr>
        <w:t>O</w:t>
      </w:r>
      <w:r w:rsidR="002E4404">
        <w:rPr>
          <w:rFonts w:cs="Arial"/>
          <w:szCs w:val="24"/>
        </w:rPr>
        <w:t>nce</w:t>
      </w:r>
      <w:proofErr w:type="gramEnd"/>
      <w:r w:rsidR="002E4404">
        <w:rPr>
          <w:rFonts w:cs="Arial"/>
          <w:szCs w:val="24"/>
        </w:rPr>
        <w:t xml:space="preserve"> </w:t>
      </w:r>
      <w:r w:rsidRPr="004B5046">
        <w:rPr>
          <w:rFonts w:cs="Arial"/>
          <w:szCs w:val="24"/>
        </w:rPr>
        <w:t>f</w:t>
      </w:r>
      <w:r w:rsidR="002E4404">
        <w:rPr>
          <w:rFonts w:cs="Arial"/>
          <w:szCs w:val="24"/>
        </w:rPr>
        <w:t xml:space="preserve">or </w:t>
      </w:r>
      <w:r w:rsidRPr="004B5046">
        <w:rPr>
          <w:rFonts w:cs="Arial"/>
          <w:szCs w:val="24"/>
        </w:rPr>
        <w:t>S</w:t>
      </w:r>
      <w:r w:rsidR="002E4404">
        <w:rPr>
          <w:rFonts w:cs="Arial"/>
          <w:szCs w:val="24"/>
        </w:rPr>
        <w:t>cotland</w:t>
      </w:r>
      <w:r w:rsidRPr="004B5046">
        <w:rPr>
          <w:rFonts w:cs="Arial"/>
          <w:szCs w:val="24"/>
        </w:rPr>
        <w:t xml:space="preserve"> policies are approved.</w:t>
      </w:r>
    </w:p>
    <w:p w14:paraId="316A0CBD" w14:textId="6899090B" w:rsidR="00CE18DD" w:rsidRPr="002E4404" w:rsidRDefault="00CE18DD" w:rsidP="00CE18DD">
      <w:pPr>
        <w:pStyle w:val="ListParagraph"/>
        <w:numPr>
          <w:ilvl w:val="1"/>
          <w:numId w:val="12"/>
        </w:numPr>
        <w:spacing w:before="100" w:beforeAutospacing="1" w:after="100" w:afterAutospacing="1"/>
        <w:rPr>
          <w:rFonts w:ascii="Arial" w:eastAsia="Times New Roman" w:hAnsi="Arial" w:cs="Arial"/>
          <w:b/>
          <w:spacing w:val="-3"/>
          <w:sz w:val="24"/>
          <w:szCs w:val="24"/>
          <w:lang w:eastAsia="en-US"/>
        </w:rPr>
      </w:pPr>
      <w:r w:rsidRPr="002E4404">
        <w:rPr>
          <w:rFonts w:ascii="Arial" w:eastAsia="Times New Roman" w:hAnsi="Arial" w:cs="Arial"/>
          <w:b/>
          <w:spacing w:val="-3"/>
          <w:sz w:val="24"/>
          <w:szCs w:val="24"/>
          <w:lang w:eastAsia="en-US"/>
        </w:rPr>
        <w:t>Mask Fit Testing Update</w:t>
      </w:r>
    </w:p>
    <w:p w14:paraId="68A4B235" w14:textId="7B872A61" w:rsidR="00CE18DD" w:rsidRPr="004B5046" w:rsidRDefault="00924662" w:rsidP="00CE18DD">
      <w:pPr>
        <w:pStyle w:val="ListParagraph"/>
        <w:spacing w:before="100" w:beforeAutospacing="1" w:after="100" w:afterAutospacing="1"/>
        <w:ind w:left="760"/>
        <w:rPr>
          <w:rFonts w:ascii="Arial" w:eastAsia="Times New Roman" w:hAnsi="Arial" w:cs="Arial"/>
          <w:spacing w:val="-3"/>
          <w:sz w:val="24"/>
          <w:szCs w:val="24"/>
          <w:lang w:eastAsia="en-US"/>
        </w:rPr>
      </w:pPr>
      <w:r w:rsidRPr="004B5046">
        <w:rPr>
          <w:rFonts w:ascii="Arial" w:eastAsia="Times New Roman" w:hAnsi="Arial" w:cs="Arial"/>
          <w:spacing w:val="-3"/>
          <w:sz w:val="24"/>
          <w:szCs w:val="24"/>
          <w:lang w:eastAsia="en-US"/>
        </w:rPr>
        <w:lastRenderedPageBreak/>
        <w:t xml:space="preserve">Following the facilitation of </w:t>
      </w:r>
      <w:r w:rsidR="00466692" w:rsidRPr="004B5046">
        <w:rPr>
          <w:rFonts w:ascii="Arial" w:eastAsia="Times New Roman" w:hAnsi="Arial" w:cs="Arial"/>
          <w:spacing w:val="-3"/>
          <w:sz w:val="24"/>
          <w:szCs w:val="24"/>
          <w:lang w:eastAsia="en-US"/>
        </w:rPr>
        <w:t>5</w:t>
      </w:r>
      <w:r w:rsidRPr="004B5046">
        <w:rPr>
          <w:rFonts w:ascii="Arial" w:eastAsia="Times New Roman" w:hAnsi="Arial" w:cs="Arial"/>
          <w:spacing w:val="-3"/>
          <w:sz w:val="24"/>
          <w:szCs w:val="24"/>
          <w:lang w:eastAsia="en-US"/>
        </w:rPr>
        <w:t xml:space="preserve"> training sessions, there are now </w:t>
      </w:r>
      <w:r w:rsidR="00466692" w:rsidRPr="004B5046">
        <w:rPr>
          <w:rFonts w:ascii="Arial" w:eastAsia="Times New Roman" w:hAnsi="Arial" w:cs="Arial"/>
          <w:spacing w:val="-3"/>
          <w:sz w:val="24"/>
          <w:szCs w:val="24"/>
          <w:lang w:eastAsia="en-US"/>
        </w:rPr>
        <w:t>37</w:t>
      </w:r>
      <w:r w:rsidRPr="004B5046">
        <w:rPr>
          <w:rFonts w:ascii="Arial" w:eastAsia="Times New Roman" w:hAnsi="Arial" w:cs="Arial"/>
          <w:spacing w:val="-3"/>
          <w:sz w:val="24"/>
          <w:szCs w:val="24"/>
          <w:lang w:eastAsia="en-US"/>
        </w:rPr>
        <w:t xml:space="preserve"> trained Mask Fit testers. The Mask Fit Testing equipment, including required consumables are available in a dedicated space on level 3. A meeting was convened with key stakeholders to provide additional clarity on the mask fit testing process and additional presentation provided at </w:t>
      </w:r>
      <w:r w:rsidR="00F54776" w:rsidRPr="004B5046">
        <w:rPr>
          <w:rFonts w:ascii="Arial" w:eastAsia="Times New Roman" w:hAnsi="Arial" w:cs="Arial"/>
          <w:spacing w:val="-3"/>
          <w:sz w:val="24"/>
          <w:szCs w:val="24"/>
          <w:lang w:eastAsia="en-US"/>
        </w:rPr>
        <w:t xml:space="preserve">DMT meetings. </w:t>
      </w:r>
      <w:r w:rsidR="00742556" w:rsidRPr="004B5046">
        <w:rPr>
          <w:rFonts w:ascii="Arial" w:eastAsia="Times New Roman" w:hAnsi="Arial" w:cs="Arial"/>
          <w:spacing w:val="-3"/>
          <w:sz w:val="24"/>
          <w:szCs w:val="24"/>
          <w:lang w:eastAsia="en-US"/>
        </w:rPr>
        <w:t xml:space="preserve">Confirmation has been received </w:t>
      </w:r>
      <w:r w:rsidR="00F54776" w:rsidRPr="004B5046">
        <w:rPr>
          <w:rFonts w:ascii="Arial" w:eastAsia="Times New Roman" w:hAnsi="Arial" w:cs="Arial"/>
          <w:spacing w:val="-3"/>
          <w:sz w:val="24"/>
          <w:szCs w:val="24"/>
          <w:lang w:eastAsia="en-US"/>
        </w:rPr>
        <w:t>from senior clinical management colleagues</w:t>
      </w:r>
      <w:r w:rsidR="006A7024" w:rsidRPr="004B5046">
        <w:rPr>
          <w:rFonts w:ascii="Arial" w:eastAsia="Times New Roman" w:hAnsi="Arial" w:cs="Arial"/>
          <w:spacing w:val="-3"/>
          <w:sz w:val="24"/>
          <w:szCs w:val="24"/>
          <w:lang w:eastAsia="en-US"/>
        </w:rPr>
        <w:t xml:space="preserve"> </w:t>
      </w:r>
      <w:r w:rsidR="00742556" w:rsidRPr="004B5046">
        <w:rPr>
          <w:rFonts w:ascii="Arial" w:eastAsia="Times New Roman" w:hAnsi="Arial" w:cs="Arial"/>
          <w:spacing w:val="-3"/>
          <w:sz w:val="24"/>
          <w:szCs w:val="24"/>
          <w:lang w:eastAsia="en-US"/>
        </w:rPr>
        <w:t>within</w:t>
      </w:r>
      <w:r w:rsidR="006A7024" w:rsidRPr="004B5046">
        <w:rPr>
          <w:rFonts w:ascii="Arial" w:eastAsia="Times New Roman" w:hAnsi="Arial" w:cs="Arial"/>
          <w:spacing w:val="-3"/>
          <w:sz w:val="24"/>
          <w:szCs w:val="24"/>
          <w:lang w:eastAsia="en-US"/>
        </w:rPr>
        <w:t xml:space="preserve"> HLD and NES </w:t>
      </w:r>
      <w:r w:rsidR="00F54776" w:rsidRPr="004B5046">
        <w:rPr>
          <w:rFonts w:ascii="Arial" w:eastAsia="Times New Roman" w:hAnsi="Arial" w:cs="Arial"/>
          <w:spacing w:val="-3"/>
          <w:sz w:val="24"/>
          <w:szCs w:val="24"/>
          <w:lang w:eastAsia="en-US"/>
        </w:rPr>
        <w:t>that they are assured</w:t>
      </w:r>
      <w:r w:rsidR="00742556" w:rsidRPr="004B5046">
        <w:rPr>
          <w:rFonts w:ascii="Arial" w:eastAsia="Times New Roman" w:hAnsi="Arial" w:cs="Arial"/>
          <w:spacing w:val="-3"/>
          <w:sz w:val="24"/>
          <w:szCs w:val="24"/>
          <w:lang w:eastAsia="en-US"/>
        </w:rPr>
        <w:t xml:space="preserve"> on the RPE policy content including the process and operational arrangements within the policy. </w:t>
      </w:r>
    </w:p>
    <w:p w14:paraId="46B9984C" w14:textId="0D1DA95E" w:rsidR="00E75AD6" w:rsidRPr="004B5046" w:rsidRDefault="00C967D6" w:rsidP="002E4404">
      <w:pPr>
        <w:spacing w:before="100" w:beforeAutospacing="1" w:after="100" w:afterAutospacing="1"/>
        <w:ind w:left="142" w:hanging="142"/>
        <w:rPr>
          <w:rFonts w:eastAsia="Calibri" w:cs="Arial"/>
          <w:b/>
          <w:spacing w:val="0"/>
          <w:szCs w:val="24"/>
          <w:lang w:eastAsia="en-GB"/>
        </w:rPr>
      </w:pPr>
      <w:r w:rsidRPr="004B5046">
        <w:rPr>
          <w:rFonts w:eastAsia="Calibri" w:cs="Arial"/>
          <w:b/>
          <w:spacing w:val="0"/>
          <w:szCs w:val="24"/>
          <w:lang w:eastAsia="en-GB"/>
        </w:rPr>
        <w:t xml:space="preserve">2. </w:t>
      </w:r>
      <w:r w:rsidR="000B4423" w:rsidRPr="004B5046">
        <w:rPr>
          <w:rFonts w:eastAsia="Calibri" w:cs="Arial"/>
          <w:b/>
          <w:spacing w:val="0"/>
          <w:szCs w:val="24"/>
          <w:lang w:eastAsia="en-GB"/>
        </w:rPr>
        <w:t>ONGOING OR EMERGING RISKS</w:t>
      </w:r>
    </w:p>
    <w:p w14:paraId="00C55E1C" w14:textId="03331DB6" w:rsidR="001D4870" w:rsidRPr="004B5046" w:rsidRDefault="001A12EF" w:rsidP="002E4404">
      <w:pPr>
        <w:rPr>
          <w:rFonts w:cs="Arial"/>
          <w:szCs w:val="24"/>
        </w:rPr>
      </w:pPr>
      <w:r w:rsidRPr="004B5046">
        <w:rPr>
          <w:rFonts w:cs="Arial"/>
          <w:szCs w:val="24"/>
        </w:rPr>
        <w:t>As previously reported, the risk r</w:t>
      </w:r>
      <w:r w:rsidR="001D4870" w:rsidRPr="004B5046">
        <w:rPr>
          <w:rFonts w:cs="Arial"/>
          <w:szCs w:val="24"/>
        </w:rPr>
        <w:t xml:space="preserve">egister </w:t>
      </w:r>
      <w:r w:rsidRPr="004B5046">
        <w:rPr>
          <w:rFonts w:cs="Arial"/>
          <w:szCs w:val="24"/>
        </w:rPr>
        <w:t>was</w:t>
      </w:r>
      <w:r w:rsidR="001D4870" w:rsidRPr="004B5046">
        <w:rPr>
          <w:rFonts w:cs="Arial"/>
          <w:szCs w:val="24"/>
        </w:rPr>
        <w:t xml:space="preserve"> reviewed to enable </w:t>
      </w:r>
      <w:r w:rsidR="005E0F21" w:rsidRPr="004B5046">
        <w:rPr>
          <w:rFonts w:cs="Arial"/>
          <w:szCs w:val="24"/>
        </w:rPr>
        <w:t xml:space="preserve">the </w:t>
      </w:r>
      <w:r w:rsidR="001D4870" w:rsidRPr="004B5046">
        <w:rPr>
          <w:rFonts w:cs="Arial"/>
          <w:szCs w:val="24"/>
        </w:rPr>
        <w:t xml:space="preserve">current risk register entries to transition onto </w:t>
      </w:r>
      <w:r w:rsidR="005E0F21" w:rsidRPr="004B5046">
        <w:rPr>
          <w:rFonts w:cs="Arial"/>
          <w:szCs w:val="24"/>
        </w:rPr>
        <w:t xml:space="preserve">the </w:t>
      </w:r>
      <w:r w:rsidR="001D4870" w:rsidRPr="004B5046">
        <w:rPr>
          <w:rFonts w:cs="Arial"/>
          <w:szCs w:val="24"/>
        </w:rPr>
        <w:t xml:space="preserve">new risk register platform which will be hosted within datix. Reasonably foreseeable risks </w:t>
      </w:r>
      <w:r w:rsidRPr="004B5046">
        <w:rPr>
          <w:rFonts w:cs="Arial"/>
          <w:szCs w:val="24"/>
        </w:rPr>
        <w:t xml:space="preserve">were </w:t>
      </w:r>
      <w:r w:rsidR="001D4870" w:rsidRPr="004B5046">
        <w:rPr>
          <w:rFonts w:cs="Arial"/>
          <w:szCs w:val="24"/>
        </w:rPr>
        <w:t>listed and scored individually with consideration of additional control measures and actions identified. This</w:t>
      </w:r>
      <w:r w:rsidR="005E0F21" w:rsidRPr="004B5046">
        <w:rPr>
          <w:rFonts w:cs="Arial"/>
          <w:szCs w:val="24"/>
        </w:rPr>
        <w:t xml:space="preserve"> led</w:t>
      </w:r>
      <w:r w:rsidR="001D4870" w:rsidRPr="004B5046">
        <w:rPr>
          <w:rFonts w:cs="Arial"/>
          <w:szCs w:val="24"/>
        </w:rPr>
        <w:t xml:space="preserve"> to an impact score </w:t>
      </w:r>
      <w:r w:rsidRPr="004B5046">
        <w:rPr>
          <w:rFonts w:cs="Arial"/>
          <w:szCs w:val="24"/>
        </w:rPr>
        <w:t>to potentially</w:t>
      </w:r>
      <w:r w:rsidR="005E0F21" w:rsidRPr="004B5046">
        <w:rPr>
          <w:rFonts w:cs="Arial"/>
          <w:szCs w:val="24"/>
        </w:rPr>
        <w:t xml:space="preserve"> allow</w:t>
      </w:r>
      <w:r w:rsidR="001D4870" w:rsidRPr="004B5046">
        <w:rPr>
          <w:rFonts w:cs="Arial"/>
          <w:szCs w:val="24"/>
        </w:rPr>
        <w:t xml:space="preserve"> focused actions based on</w:t>
      </w:r>
      <w:r w:rsidR="005E0F21" w:rsidRPr="004B5046">
        <w:rPr>
          <w:rFonts w:cs="Arial"/>
          <w:szCs w:val="24"/>
        </w:rPr>
        <w:t xml:space="preserve"> the</w:t>
      </w:r>
      <w:r w:rsidR="001D4870" w:rsidRPr="004B5046">
        <w:rPr>
          <w:rFonts w:cs="Arial"/>
          <w:szCs w:val="24"/>
        </w:rPr>
        <w:t xml:space="preserve"> highest area of risk. </w:t>
      </w:r>
    </w:p>
    <w:p w14:paraId="7D0E0DB2" w14:textId="77777777" w:rsidR="0048179C" w:rsidRPr="004B5046" w:rsidRDefault="0048179C" w:rsidP="001D4870">
      <w:pPr>
        <w:spacing w:line="360" w:lineRule="auto"/>
        <w:rPr>
          <w:rFonts w:cs="Arial"/>
          <w:bCs/>
          <w:color w:val="FF0000"/>
          <w:szCs w:val="24"/>
        </w:rPr>
      </w:pPr>
    </w:p>
    <w:tbl>
      <w:tblPr>
        <w:tblStyle w:val="TableGrid"/>
        <w:tblW w:w="0" w:type="auto"/>
        <w:tblLook w:val="04A0" w:firstRow="1" w:lastRow="0" w:firstColumn="1" w:lastColumn="0" w:noHBand="0" w:noVBand="1"/>
      </w:tblPr>
      <w:tblGrid>
        <w:gridCol w:w="1271"/>
        <w:gridCol w:w="7371"/>
      </w:tblGrid>
      <w:tr w:rsidR="00E770CB" w:rsidRPr="004B5046" w14:paraId="096F5746" w14:textId="77777777" w:rsidTr="0048179C">
        <w:tc>
          <w:tcPr>
            <w:tcW w:w="1271" w:type="dxa"/>
          </w:tcPr>
          <w:p w14:paraId="18AA558D" w14:textId="0980FDAF" w:rsidR="00E770CB" w:rsidRPr="004B5046" w:rsidRDefault="00E770CB" w:rsidP="001D4870">
            <w:pPr>
              <w:spacing w:line="360" w:lineRule="auto"/>
              <w:rPr>
                <w:rFonts w:cs="Arial"/>
                <w:bCs/>
                <w:szCs w:val="24"/>
              </w:rPr>
            </w:pPr>
            <w:r w:rsidRPr="004B5046">
              <w:rPr>
                <w:rFonts w:cs="Arial"/>
                <w:bCs/>
                <w:szCs w:val="24"/>
              </w:rPr>
              <w:t>Risk ID</w:t>
            </w:r>
          </w:p>
        </w:tc>
        <w:tc>
          <w:tcPr>
            <w:tcW w:w="7371" w:type="dxa"/>
          </w:tcPr>
          <w:p w14:paraId="59A0D099" w14:textId="7A9F058E" w:rsidR="00E770CB" w:rsidRPr="004B5046" w:rsidRDefault="00E770CB" w:rsidP="001D4870">
            <w:pPr>
              <w:spacing w:line="360" w:lineRule="auto"/>
              <w:rPr>
                <w:rFonts w:cs="Arial"/>
                <w:bCs/>
                <w:szCs w:val="24"/>
              </w:rPr>
            </w:pPr>
            <w:r w:rsidRPr="004B5046">
              <w:rPr>
                <w:rFonts w:cs="Arial"/>
                <w:bCs/>
                <w:szCs w:val="24"/>
              </w:rPr>
              <w:t>Risk Title</w:t>
            </w:r>
          </w:p>
        </w:tc>
      </w:tr>
      <w:tr w:rsidR="00E770CB" w:rsidRPr="004B5046" w14:paraId="1911B04F" w14:textId="77777777" w:rsidTr="0048179C">
        <w:tc>
          <w:tcPr>
            <w:tcW w:w="1271" w:type="dxa"/>
          </w:tcPr>
          <w:p w14:paraId="0F73DC2B" w14:textId="22DE4DF7" w:rsidR="00E770CB" w:rsidRPr="004B5046" w:rsidRDefault="00E770CB" w:rsidP="001D4870">
            <w:pPr>
              <w:spacing w:line="360" w:lineRule="auto"/>
              <w:rPr>
                <w:rFonts w:cs="Arial"/>
                <w:bCs/>
                <w:szCs w:val="24"/>
              </w:rPr>
            </w:pPr>
            <w:r w:rsidRPr="004B5046">
              <w:rPr>
                <w:rFonts w:cs="Arial"/>
                <w:bCs/>
                <w:szCs w:val="24"/>
              </w:rPr>
              <w:t>HS1</w:t>
            </w:r>
          </w:p>
        </w:tc>
        <w:tc>
          <w:tcPr>
            <w:tcW w:w="7371" w:type="dxa"/>
          </w:tcPr>
          <w:p w14:paraId="6AD218E3" w14:textId="76D623E3" w:rsidR="00E770CB" w:rsidRPr="004B5046" w:rsidRDefault="00E770CB" w:rsidP="001D4870">
            <w:pPr>
              <w:spacing w:line="360" w:lineRule="auto"/>
              <w:rPr>
                <w:rFonts w:cs="Arial"/>
                <w:bCs/>
                <w:szCs w:val="24"/>
              </w:rPr>
            </w:pPr>
            <w:r w:rsidRPr="004B5046">
              <w:rPr>
                <w:rFonts w:cs="Arial"/>
                <w:bCs/>
                <w:szCs w:val="24"/>
              </w:rPr>
              <w:t>Violence and Aggression</w:t>
            </w:r>
          </w:p>
        </w:tc>
      </w:tr>
      <w:tr w:rsidR="00E770CB" w:rsidRPr="004B5046" w14:paraId="7039A543" w14:textId="77777777" w:rsidTr="0048179C">
        <w:tc>
          <w:tcPr>
            <w:tcW w:w="1271" w:type="dxa"/>
          </w:tcPr>
          <w:p w14:paraId="56A57348" w14:textId="589B6F4E" w:rsidR="00E770CB" w:rsidRPr="004B5046" w:rsidRDefault="00E770CB" w:rsidP="001D4870">
            <w:pPr>
              <w:spacing w:line="360" w:lineRule="auto"/>
              <w:rPr>
                <w:rFonts w:cs="Arial"/>
                <w:bCs/>
                <w:szCs w:val="24"/>
              </w:rPr>
            </w:pPr>
            <w:r w:rsidRPr="004B5046">
              <w:rPr>
                <w:rFonts w:cs="Arial"/>
                <w:bCs/>
                <w:szCs w:val="24"/>
              </w:rPr>
              <w:t>HS2</w:t>
            </w:r>
          </w:p>
        </w:tc>
        <w:tc>
          <w:tcPr>
            <w:tcW w:w="7371" w:type="dxa"/>
          </w:tcPr>
          <w:p w14:paraId="24446DEB" w14:textId="1F8791F7" w:rsidR="00E770CB" w:rsidRPr="004B5046" w:rsidRDefault="00E770CB" w:rsidP="001D4870">
            <w:pPr>
              <w:spacing w:line="360" w:lineRule="auto"/>
              <w:rPr>
                <w:rFonts w:cs="Arial"/>
                <w:bCs/>
                <w:szCs w:val="24"/>
              </w:rPr>
            </w:pPr>
            <w:r w:rsidRPr="004B5046">
              <w:rPr>
                <w:rFonts w:cs="Arial"/>
                <w:bCs/>
                <w:szCs w:val="24"/>
              </w:rPr>
              <w:t>Fire Safety</w:t>
            </w:r>
          </w:p>
        </w:tc>
      </w:tr>
      <w:tr w:rsidR="00E770CB" w:rsidRPr="004B5046" w14:paraId="0D1D115A" w14:textId="77777777" w:rsidTr="0048179C">
        <w:tc>
          <w:tcPr>
            <w:tcW w:w="1271" w:type="dxa"/>
          </w:tcPr>
          <w:p w14:paraId="6E85F3D2" w14:textId="7C57B468" w:rsidR="00E770CB" w:rsidRPr="004B5046" w:rsidRDefault="00E770CB" w:rsidP="001D4870">
            <w:pPr>
              <w:spacing w:line="360" w:lineRule="auto"/>
              <w:rPr>
                <w:rFonts w:cs="Arial"/>
                <w:bCs/>
                <w:szCs w:val="24"/>
              </w:rPr>
            </w:pPr>
            <w:r w:rsidRPr="004B5046">
              <w:rPr>
                <w:rFonts w:cs="Arial"/>
                <w:bCs/>
                <w:szCs w:val="24"/>
              </w:rPr>
              <w:t>HS3</w:t>
            </w:r>
          </w:p>
        </w:tc>
        <w:tc>
          <w:tcPr>
            <w:tcW w:w="7371" w:type="dxa"/>
          </w:tcPr>
          <w:p w14:paraId="23E7C27E" w14:textId="2262A40D" w:rsidR="00E770CB" w:rsidRPr="004B5046" w:rsidRDefault="00E770CB" w:rsidP="001D4870">
            <w:pPr>
              <w:spacing w:line="360" w:lineRule="auto"/>
              <w:rPr>
                <w:rFonts w:cs="Arial"/>
                <w:bCs/>
                <w:szCs w:val="24"/>
              </w:rPr>
            </w:pPr>
            <w:r w:rsidRPr="004B5046">
              <w:rPr>
                <w:rFonts w:cs="Arial"/>
                <w:bCs/>
                <w:szCs w:val="24"/>
              </w:rPr>
              <w:t>Lift Entrapment</w:t>
            </w:r>
          </w:p>
        </w:tc>
      </w:tr>
      <w:tr w:rsidR="00E770CB" w:rsidRPr="004B5046" w14:paraId="39C14D87" w14:textId="77777777" w:rsidTr="0048179C">
        <w:tc>
          <w:tcPr>
            <w:tcW w:w="1271" w:type="dxa"/>
          </w:tcPr>
          <w:p w14:paraId="2F2F584D" w14:textId="03D68DFF" w:rsidR="00E770CB" w:rsidRPr="004B5046" w:rsidRDefault="00E770CB" w:rsidP="001D4870">
            <w:pPr>
              <w:spacing w:line="360" w:lineRule="auto"/>
              <w:rPr>
                <w:rFonts w:cs="Arial"/>
                <w:bCs/>
                <w:szCs w:val="24"/>
              </w:rPr>
            </w:pPr>
            <w:r w:rsidRPr="004B5046">
              <w:rPr>
                <w:rFonts w:cs="Arial"/>
                <w:bCs/>
                <w:szCs w:val="24"/>
              </w:rPr>
              <w:t>HS4</w:t>
            </w:r>
          </w:p>
        </w:tc>
        <w:tc>
          <w:tcPr>
            <w:tcW w:w="7371" w:type="dxa"/>
          </w:tcPr>
          <w:p w14:paraId="465B5B10" w14:textId="335F1F85" w:rsidR="00E770CB" w:rsidRPr="004B5046" w:rsidRDefault="00E770CB" w:rsidP="00E770CB">
            <w:pPr>
              <w:spacing w:line="360" w:lineRule="auto"/>
              <w:rPr>
                <w:rFonts w:cs="Arial"/>
                <w:bCs/>
                <w:szCs w:val="24"/>
              </w:rPr>
            </w:pPr>
            <w:r w:rsidRPr="004B5046">
              <w:rPr>
                <w:rFonts w:cs="Arial"/>
                <w:bCs/>
                <w:szCs w:val="24"/>
              </w:rPr>
              <w:t>Infrastructure of Site</w:t>
            </w:r>
          </w:p>
        </w:tc>
      </w:tr>
      <w:tr w:rsidR="00E770CB" w:rsidRPr="004B5046" w14:paraId="729289D1" w14:textId="77777777" w:rsidTr="0048179C">
        <w:tc>
          <w:tcPr>
            <w:tcW w:w="1271" w:type="dxa"/>
          </w:tcPr>
          <w:p w14:paraId="47C81048" w14:textId="269C3246" w:rsidR="00E770CB" w:rsidRPr="004B5046" w:rsidRDefault="00E770CB" w:rsidP="001D4870">
            <w:pPr>
              <w:spacing w:line="360" w:lineRule="auto"/>
              <w:rPr>
                <w:rFonts w:cs="Arial"/>
                <w:bCs/>
                <w:szCs w:val="24"/>
              </w:rPr>
            </w:pPr>
            <w:r w:rsidRPr="004B5046">
              <w:rPr>
                <w:rFonts w:cs="Arial"/>
                <w:bCs/>
                <w:szCs w:val="24"/>
              </w:rPr>
              <w:t>HS5</w:t>
            </w:r>
          </w:p>
        </w:tc>
        <w:tc>
          <w:tcPr>
            <w:tcW w:w="7371" w:type="dxa"/>
          </w:tcPr>
          <w:p w14:paraId="612564A2" w14:textId="5B077CB7" w:rsidR="00E770CB" w:rsidRPr="004B5046" w:rsidRDefault="00E770CB" w:rsidP="001D4870">
            <w:pPr>
              <w:spacing w:line="360" w:lineRule="auto"/>
              <w:rPr>
                <w:rFonts w:cs="Arial"/>
                <w:bCs/>
                <w:szCs w:val="24"/>
              </w:rPr>
            </w:pPr>
            <w:r w:rsidRPr="004B5046">
              <w:rPr>
                <w:rFonts w:cs="Arial"/>
                <w:bCs/>
                <w:szCs w:val="24"/>
              </w:rPr>
              <w:t>Out of Hours Resilience</w:t>
            </w:r>
          </w:p>
        </w:tc>
      </w:tr>
      <w:tr w:rsidR="00E770CB" w:rsidRPr="004B5046" w14:paraId="1A272451" w14:textId="77777777" w:rsidTr="0048179C">
        <w:tc>
          <w:tcPr>
            <w:tcW w:w="1271" w:type="dxa"/>
          </w:tcPr>
          <w:p w14:paraId="7ABE1780" w14:textId="47989F3C" w:rsidR="00E770CB" w:rsidRPr="004B5046" w:rsidRDefault="00E770CB" w:rsidP="001D4870">
            <w:pPr>
              <w:spacing w:line="360" w:lineRule="auto"/>
              <w:rPr>
                <w:rFonts w:cs="Arial"/>
                <w:bCs/>
                <w:szCs w:val="24"/>
              </w:rPr>
            </w:pPr>
            <w:r w:rsidRPr="004B5046">
              <w:rPr>
                <w:rFonts w:cs="Arial"/>
                <w:bCs/>
                <w:szCs w:val="24"/>
              </w:rPr>
              <w:t>HS6</w:t>
            </w:r>
          </w:p>
        </w:tc>
        <w:tc>
          <w:tcPr>
            <w:tcW w:w="7371" w:type="dxa"/>
          </w:tcPr>
          <w:p w14:paraId="69987E03" w14:textId="542391FE" w:rsidR="00E770CB" w:rsidRPr="004B5046" w:rsidRDefault="00E770CB" w:rsidP="001D4870">
            <w:pPr>
              <w:spacing w:line="360" w:lineRule="auto"/>
              <w:rPr>
                <w:rFonts w:cs="Arial"/>
                <w:bCs/>
                <w:szCs w:val="24"/>
              </w:rPr>
            </w:pPr>
            <w:r w:rsidRPr="004B5046">
              <w:rPr>
                <w:rFonts w:cs="Arial"/>
                <w:bCs/>
                <w:szCs w:val="24"/>
              </w:rPr>
              <w:t>On site Traffic Management  - Emergency Vehicles</w:t>
            </w:r>
          </w:p>
        </w:tc>
      </w:tr>
      <w:tr w:rsidR="00E770CB" w:rsidRPr="004B5046" w14:paraId="1F0D394B" w14:textId="77777777" w:rsidTr="0048179C">
        <w:tc>
          <w:tcPr>
            <w:tcW w:w="1271" w:type="dxa"/>
          </w:tcPr>
          <w:p w14:paraId="6AA8E820" w14:textId="6E4F228B" w:rsidR="00E770CB" w:rsidRPr="004B5046" w:rsidRDefault="00E770CB" w:rsidP="001D4870">
            <w:pPr>
              <w:spacing w:line="360" w:lineRule="auto"/>
              <w:rPr>
                <w:rFonts w:cs="Arial"/>
                <w:bCs/>
                <w:szCs w:val="24"/>
              </w:rPr>
            </w:pPr>
            <w:r w:rsidRPr="004B5046">
              <w:rPr>
                <w:rFonts w:cs="Arial"/>
                <w:bCs/>
                <w:szCs w:val="24"/>
              </w:rPr>
              <w:t>HS7</w:t>
            </w:r>
          </w:p>
        </w:tc>
        <w:tc>
          <w:tcPr>
            <w:tcW w:w="7371" w:type="dxa"/>
          </w:tcPr>
          <w:p w14:paraId="6CDE165F" w14:textId="7341C052" w:rsidR="00E770CB" w:rsidRPr="004B5046" w:rsidRDefault="00E770CB" w:rsidP="001D4870">
            <w:pPr>
              <w:spacing w:line="360" w:lineRule="auto"/>
              <w:rPr>
                <w:rFonts w:cs="Arial"/>
                <w:bCs/>
                <w:szCs w:val="24"/>
              </w:rPr>
            </w:pPr>
            <w:r w:rsidRPr="004B5046">
              <w:rPr>
                <w:rFonts w:cs="Arial"/>
                <w:bCs/>
                <w:szCs w:val="24"/>
              </w:rPr>
              <w:t>On site Traffic Management – Slips, trips, falls</w:t>
            </w:r>
          </w:p>
        </w:tc>
      </w:tr>
      <w:tr w:rsidR="00E770CB" w:rsidRPr="004B5046" w14:paraId="01796553" w14:textId="77777777" w:rsidTr="0048179C">
        <w:tc>
          <w:tcPr>
            <w:tcW w:w="1271" w:type="dxa"/>
          </w:tcPr>
          <w:p w14:paraId="595BB29C" w14:textId="2D3B1D45" w:rsidR="00E770CB" w:rsidRPr="004B5046" w:rsidRDefault="00E770CB" w:rsidP="001D4870">
            <w:pPr>
              <w:spacing w:line="360" w:lineRule="auto"/>
              <w:rPr>
                <w:rFonts w:cs="Arial"/>
                <w:bCs/>
                <w:szCs w:val="24"/>
              </w:rPr>
            </w:pPr>
            <w:r w:rsidRPr="004B5046">
              <w:rPr>
                <w:rFonts w:cs="Arial"/>
                <w:bCs/>
                <w:szCs w:val="24"/>
              </w:rPr>
              <w:t>HS8</w:t>
            </w:r>
          </w:p>
        </w:tc>
        <w:tc>
          <w:tcPr>
            <w:tcW w:w="7371" w:type="dxa"/>
          </w:tcPr>
          <w:p w14:paraId="2DDFE5A3" w14:textId="12962A98" w:rsidR="00E770CB" w:rsidRPr="004B5046" w:rsidRDefault="00E770CB" w:rsidP="001D4870">
            <w:pPr>
              <w:spacing w:line="360" w:lineRule="auto"/>
              <w:rPr>
                <w:rFonts w:cs="Arial"/>
                <w:bCs/>
                <w:szCs w:val="24"/>
              </w:rPr>
            </w:pPr>
            <w:r w:rsidRPr="004B5046">
              <w:rPr>
                <w:rFonts w:cs="Arial"/>
                <w:bCs/>
                <w:szCs w:val="24"/>
              </w:rPr>
              <w:t>Building Fabric – engineering failures</w:t>
            </w:r>
          </w:p>
        </w:tc>
      </w:tr>
      <w:tr w:rsidR="00E770CB" w:rsidRPr="004B5046" w14:paraId="265B3CAF" w14:textId="77777777" w:rsidTr="0048179C">
        <w:tc>
          <w:tcPr>
            <w:tcW w:w="1271" w:type="dxa"/>
          </w:tcPr>
          <w:p w14:paraId="2930E317" w14:textId="4487415B" w:rsidR="00E770CB" w:rsidRPr="004B5046" w:rsidRDefault="00E770CB" w:rsidP="001D4870">
            <w:pPr>
              <w:spacing w:line="360" w:lineRule="auto"/>
              <w:rPr>
                <w:rFonts w:cs="Arial"/>
                <w:bCs/>
                <w:szCs w:val="24"/>
              </w:rPr>
            </w:pPr>
            <w:r w:rsidRPr="004B5046">
              <w:rPr>
                <w:rFonts w:cs="Arial"/>
                <w:bCs/>
                <w:szCs w:val="24"/>
              </w:rPr>
              <w:t>HS9</w:t>
            </w:r>
          </w:p>
        </w:tc>
        <w:tc>
          <w:tcPr>
            <w:tcW w:w="7371" w:type="dxa"/>
          </w:tcPr>
          <w:p w14:paraId="5384BD33" w14:textId="61F3214C" w:rsidR="00E770CB" w:rsidRPr="004B5046" w:rsidRDefault="00E770CB" w:rsidP="001D4870">
            <w:pPr>
              <w:spacing w:line="360" w:lineRule="auto"/>
              <w:rPr>
                <w:rFonts w:cs="Arial"/>
                <w:bCs/>
                <w:szCs w:val="24"/>
              </w:rPr>
            </w:pPr>
            <w:r w:rsidRPr="004B5046">
              <w:rPr>
                <w:rFonts w:cs="Arial"/>
                <w:bCs/>
                <w:szCs w:val="24"/>
              </w:rPr>
              <w:t>Ability to respond to issues</w:t>
            </w:r>
          </w:p>
        </w:tc>
      </w:tr>
      <w:tr w:rsidR="00E770CB" w:rsidRPr="004B5046" w14:paraId="5A5C5D2D" w14:textId="77777777" w:rsidTr="0048179C">
        <w:tc>
          <w:tcPr>
            <w:tcW w:w="1271" w:type="dxa"/>
          </w:tcPr>
          <w:p w14:paraId="1533DDFE" w14:textId="4E44732D" w:rsidR="00E770CB" w:rsidRPr="004B5046" w:rsidRDefault="00E770CB" w:rsidP="001D4870">
            <w:pPr>
              <w:spacing w:line="360" w:lineRule="auto"/>
              <w:rPr>
                <w:rFonts w:cs="Arial"/>
                <w:bCs/>
                <w:szCs w:val="24"/>
              </w:rPr>
            </w:pPr>
            <w:r w:rsidRPr="004B5046">
              <w:rPr>
                <w:rFonts w:cs="Arial"/>
                <w:bCs/>
                <w:szCs w:val="24"/>
              </w:rPr>
              <w:t>HS10</w:t>
            </w:r>
          </w:p>
        </w:tc>
        <w:tc>
          <w:tcPr>
            <w:tcW w:w="7371" w:type="dxa"/>
          </w:tcPr>
          <w:p w14:paraId="01D819A4" w14:textId="7AF38956" w:rsidR="00E770CB" w:rsidRPr="004B5046" w:rsidRDefault="00E770CB" w:rsidP="001D4870">
            <w:pPr>
              <w:spacing w:line="360" w:lineRule="auto"/>
              <w:rPr>
                <w:rFonts w:cs="Arial"/>
                <w:bCs/>
                <w:szCs w:val="24"/>
              </w:rPr>
            </w:pPr>
            <w:r w:rsidRPr="004B5046">
              <w:rPr>
                <w:rFonts w:cs="Arial"/>
                <w:bCs/>
                <w:szCs w:val="24"/>
              </w:rPr>
              <w:t>Limited Manual Handling Service Provision</w:t>
            </w:r>
          </w:p>
        </w:tc>
      </w:tr>
    </w:tbl>
    <w:p w14:paraId="7D288A9F" w14:textId="4E4AAB0D" w:rsidR="003C2A86" w:rsidRPr="004B5046" w:rsidRDefault="003C2A86" w:rsidP="00E2168C">
      <w:pPr>
        <w:spacing w:before="100" w:beforeAutospacing="1" w:after="100" w:afterAutospacing="1"/>
        <w:rPr>
          <w:rFonts w:cs="Arial"/>
          <w:szCs w:val="24"/>
        </w:rPr>
      </w:pPr>
      <w:r w:rsidRPr="004B5046">
        <w:rPr>
          <w:rFonts w:cs="Arial"/>
          <w:szCs w:val="24"/>
        </w:rPr>
        <w:t xml:space="preserve">The </w:t>
      </w:r>
      <w:r w:rsidR="001A12EF" w:rsidRPr="004B5046">
        <w:rPr>
          <w:rFonts w:cs="Arial"/>
          <w:szCs w:val="24"/>
        </w:rPr>
        <w:t>agreement was for Clinical Governance to support transition of the above risks into the new datix system and that the new format would be presented at the next H&amp;S Committee meeting in February 2025. This action has not been completed a</w:t>
      </w:r>
      <w:r w:rsidR="006110DE" w:rsidRPr="004B5046">
        <w:rPr>
          <w:rFonts w:cs="Arial"/>
          <w:szCs w:val="24"/>
        </w:rPr>
        <w:t>s</w:t>
      </w:r>
      <w:r w:rsidR="001A12EF" w:rsidRPr="004B5046">
        <w:rPr>
          <w:rFonts w:cs="Arial"/>
          <w:szCs w:val="24"/>
        </w:rPr>
        <w:t xml:space="preserve"> we await update on return to work of key individuals from within the Clinical Governance team.</w:t>
      </w:r>
    </w:p>
    <w:p w14:paraId="117696EC" w14:textId="2E42EA2F" w:rsidR="004970BE" w:rsidRPr="004B5046" w:rsidRDefault="004970BE" w:rsidP="00E2168C">
      <w:pPr>
        <w:spacing w:before="100" w:beforeAutospacing="1" w:after="100" w:afterAutospacing="1"/>
        <w:rPr>
          <w:rFonts w:cs="Arial"/>
          <w:b/>
          <w:szCs w:val="24"/>
        </w:rPr>
      </w:pPr>
      <w:r w:rsidRPr="004B5046">
        <w:rPr>
          <w:rFonts w:cs="Arial"/>
          <w:b/>
          <w:szCs w:val="24"/>
        </w:rPr>
        <w:t>2.1 SAFETY ACTION NOTICE</w:t>
      </w:r>
    </w:p>
    <w:p w14:paraId="7AC998B6" w14:textId="11BAD523" w:rsidR="004970BE" w:rsidRPr="004B5046" w:rsidRDefault="00BB13D4" w:rsidP="004970BE">
      <w:pPr>
        <w:rPr>
          <w:rFonts w:cs="Arial"/>
          <w:szCs w:val="24"/>
        </w:rPr>
      </w:pPr>
      <w:r w:rsidRPr="004B5046">
        <w:rPr>
          <w:rFonts w:cs="Arial"/>
          <w:szCs w:val="24"/>
        </w:rPr>
        <w:t xml:space="preserve">At the last round of H&amp;S Forums and Committee meetings, the details of Safety Action </w:t>
      </w:r>
      <w:r w:rsidR="00B060FE" w:rsidRPr="004B5046">
        <w:rPr>
          <w:rFonts w:cs="Arial"/>
          <w:szCs w:val="24"/>
        </w:rPr>
        <w:t>Notice (</w:t>
      </w:r>
      <w:r w:rsidR="004970BE" w:rsidRPr="004B5046">
        <w:rPr>
          <w:rFonts w:cs="Arial"/>
          <w:szCs w:val="24"/>
        </w:rPr>
        <w:t xml:space="preserve">SAN) 2404 </w:t>
      </w:r>
      <w:r w:rsidR="00B060FE" w:rsidRPr="004B5046">
        <w:rPr>
          <w:rFonts w:cs="Arial"/>
          <w:szCs w:val="24"/>
        </w:rPr>
        <w:t xml:space="preserve">was shared. </w:t>
      </w:r>
      <w:r w:rsidR="004970BE" w:rsidRPr="004B5046">
        <w:rPr>
          <w:rFonts w:cs="Arial"/>
          <w:szCs w:val="24"/>
        </w:rPr>
        <w:t>The SAN explains that Bristow UK SAR (Search and Rescue) air operator has withdrawn services/operations at NHS Golden Jubilee HHLS (and 22 other HHLS sites across the UK) as they are not currently assured that appropriate safeguarding is in place and in compliance with CAP1264 (latest version issued by the UK Civil Aviation Authority (CAA) April 2024).</w:t>
      </w:r>
    </w:p>
    <w:p w14:paraId="4C8E8B6F" w14:textId="66D9A81C" w:rsidR="004970BE" w:rsidRPr="004B5046" w:rsidRDefault="004970BE" w:rsidP="004970BE">
      <w:pPr>
        <w:rPr>
          <w:rFonts w:cs="Arial"/>
          <w:szCs w:val="24"/>
        </w:rPr>
      </w:pPr>
    </w:p>
    <w:p w14:paraId="2C6EB89D" w14:textId="622757A3" w:rsidR="00DB58F0" w:rsidRPr="004B5046" w:rsidRDefault="00DB58F0" w:rsidP="004970BE">
      <w:pPr>
        <w:rPr>
          <w:rFonts w:cs="Arial"/>
          <w:szCs w:val="24"/>
        </w:rPr>
      </w:pPr>
      <w:r w:rsidRPr="004B5046">
        <w:rPr>
          <w:rFonts w:cs="Arial"/>
          <w:szCs w:val="24"/>
        </w:rPr>
        <w:t xml:space="preserve">In order to provide assurance to Bristow UK SAR, we have developed a SOP which Bristow have confirmed provides the required level of assurance. In addition to this, Bristow </w:t>
      </w:r>
      <w:r w:rsidR="006A7024" w:rsidRPr="004B5046">
        <w:rPr>
          <w:rFonts w:cs="Arial"/>
          <w:szCs w:val="24"/>
        </w:rPr>
        <w:t xml:space="preserve">have </w:t>
      </w:r>
      <w:r w:rsidR="00742556" w:rsidRPr="004B5046">
        <w:rPr>
          <w:rFonts w:cs="Arial"/>
          <w:szCs w:val="24"/>
        </w:rPr>
        <w:t>undertaken</w:t>
      </w:r>
      <w:r w:rsidRPr="004B5046">
        <w:rPr>
          <w:rFonts w:cs="Arial"/>
          <w:szCs w:val="24"/>
        </w:rPr>
        <w:t xml:space="preserve"> a site survey and informally reported as being fully acceptable. Bristow will notify NHSGJ formally that they are assured and therefore permitting us to conclude matters and resume services as normal.</w:t>
      </w:r>
    </w:p>
    <w:p w14:paraId="53D4EE83" w14:textId="77777777" w:rsidR="00DB58F0" w:rsidRPr="004B5046" w:rsidRDefault="00DB58F0" w:rsidP="004970BE">
      <w:pPr>
        <w:rPr>
          <w:rFonts w:cs="Arial"/>
          <w:szCs w:val="24"/>
        </w:rPr>
      </w:pPr>
    </w:p>
    <w:p w14:paraId="0B6E59C5" w14:textId="4428FDAF" w:rsidR="000B4423" w:rsidRPr="004B5046" w:rsidRDefault="003C2A86" w:rsidP="00E2168C">
      <w:pPr>
        <w:spacing w:before="100" w:beforeAutospacing="1" w:after="100" w:afterAutospacing="1"/>
        <w:rPr>
          <w:rFonts w:cs="Arial"/>
          <w:b/>
          <w:szCs w:val="24"/>
        </w:rPr>
      </w:pPr>
      <w:r w:rsidRPr="004B5046">
        <w:rPr>
          <w:rFonts w:cs="Arial"/>
          <w:b/>
          <w:szCs w:val="24"/>
        </w:rPr>
        <w:t xml:space="preserve">3. </w:t>
      </w:r>
      <w:r w:rsidR="000B4423" w:rsidRPr="004B5046">
        <w:rPr>
          <w:rFonts w:cs="Arial"/>
          <w:b/>
          <w:szCs w:val="24"/>
        </w:rPr>
        <w:t>ADVERSE EVENT REPORTING</w:t>
      </w:r>
    </w:p>
    <w:p w14:paraId="6E2D3D7F" w14:textId="76F0AE9C" w:rsidR="00C86A75" w:rsidRPr="004B5046" w:rsidRDefault="00B5130B" w:rsidP="00B5130B">
      <w:pPr>
        <w:spacing w:line="360" w:lineRule="auto"/>
        <w:contextualSpacing/>
        <w:rPr>
          <w:rFonts w:cs="Arial"/>
          <w:szCs w:val="24"/>
        </w:rPr>
      </w:pPr>
      <w:r w:rsidRPr="004B5046">
        <w:rPr>
          <w:rFonts w:cs="Arial"/>
          <w:szCs w:val="24"/>
        </w:rPr>
        <w:t>3.1</w:t>
      </w:r>
      <w:r w:rsidR="00C25630" w:rsidRPr="004B5046">
        <w:rPr>
          <w:rFonts w:cs="Arial"/>
          <w:szCs w:val="24"/>
        </w:rPr>
        <w:t xml:space="preserve"> </w:t>
      </w:r>
      <w:r w:rsidR="00373C97" w:rsidRPr="004B5046">
        <w:rPr>
          <w:rFonts w:cs="Arial"/>
          <w:szCs w:val="24"/>
        </w:rPr>
        <w:t>RIDDOR</w:t>
      </w:r>
    </w:p>
    <w:p w14:paraId="2C8BDE9F" w14:textId="62932C6C" w:rsidR="005725F6" w:rsidRPr="004B5046" w:rsidRDefault="00C86A75" w:rsidP="002E4404">
      <w:pPr>
        <w:contextualSpacing/>
        <w:rPr>
          <w:rFonts w:cs="Arial"/>
          <w:szCs w:val="24"/>
        </w:rPr>
      </w:pPr>
      <w:r w:rsidRPr="004B5046">
        <w:rPr>
          <w:rFonts w:cs="Arial"/>
          <w:szCs w:val="24"/>
        </w:rPr>
        <w:t>The Reporting of Injuries, Diseases and Dangerous Occurrences Regulations (RIDDOR) require the reporting of specified work related accidents, diseases and dangerous occurrences to the Health and Safety Executive (HSE).</w:t>
      </w:r>
      <w:r w:rsidR="00C25630" w:rsidRPr="004B5046">
        <w:rPr>
          <w:rFonts w:cs="Arial"/>
          <w:szCs w:val="24"/>
        </w:rPr>
        <w:t xml:space="preserve"> </w:t>
      </w:r>
      <w:r w:rsidRPr="004B5046">
        <w:rPr>
          <w:rFonts w:cs="Arial"/>
          <w:szCs w:val="24"/>
        </w:rPr>
        <w:t xml:space="preserve">In </w:t>
      </w:r>
      <w:r w:rsidR="00DD51CF" w:rsidRPr="004B5046">
        <w:rPr>
          <w:rFonts w:cs="Arial"/>
          <w:szCs w:val="24"/>
        </w:rPr>
        <w:t>this reporting period there has been</w:t>
      </w:r>
      <w:r w:rsidRPr="004B5046">
        <w:rPr>
          <w:rFonts w:cs="Arial"/>
          <w:szCs w:val="24"/>
        </w:rPr>
        <w:t xml:space="preserve"> </w:t>
      </w:r>
      <w:r w:rsidR="005725F6" w:rsidRPr="004B5046">
        <w:rPr>
          <w:rFonts w:cs="Arial"/>
          <w:szCs w:val="24"/>
        </w:rPr>
        <w:t>one</w:t>
      </w:r>
      <w:r w:rsidR="00DD51CF" w:rsidRPr="004B5046">
        <w:rPr>
          <w:rFonts w:cs="Arial"/>
          <w:szCs w:val="24"/>
        </w:rPr>
        <w:t xml:space="preserve"> reportable incident</w:t>
      </w:r>
      <w:r w:rsidRPr="004B5046">
        <w:rPr>
          <w:rFonts w:cs="Arial"/>
          <w:szCs w:val="24"/>
        </w:rPr>
        <w:t xml:space="preserve"> to HSE</w:t>
      </w:r>
      <w:r w:rsidR="00653169" w:rsidRPr="004B5046">
        <w:rPr>
          <w:rFonts w:cs="Arial"/>
          <w:szCs w:val="24"/>
        </w:rPr>
        <w:t>.</w:t>
      </w:r>
      <w:r w:rsidR="00BC6F58" w:rsidRPr="004B5046">
        <w:rPr>
          <w:rFonts w:cs="Arial"/>
          <w:szCs w:val="24"/>
        </w:rPr>
        <w:t xml:space="preserve"> </w:t>
      </w:r>
      <w:r w:rsidR="005725F6" w:rsidRPr="004B5046">
        <w:rPr>
          <w:rFonts w:cs="Arial"/>
          <w:szCs w:val="24"/>
        </w:rPr>
        <w:t>This incident occurred 4</w:t>
      </w:r>
      <w:r w:rsidR="005725F6" w:rsidRPr="004B5046">
        <w:rPr>
          <w:rFonts w:cs="Arial"/>
          <w:szCs w:val="24"/>
          <w:vertAlign w:val="superscript"/>
        </w:rPr>
        <w:t>th</w:t>
      </w:r>
      <w:r w:rsidR="005725F6" w:rsidRPr="004B5046">
        <w:rPr>
          <w:rFonts w:cs="Arial"/>
          <w:szCs w:val="24"/>
        </w:rPr>
        <w:t xml:space="preserve"> December 2024 involving a registered nurse undertaking cleaning schedule of pharmacy store in theatres. Staff member strained back undertaking this activity, resulting in over 7-day absence. Incident recorded appropriately on datix, complete with investigation details.</w:t>
      </w:r>
    </w:p>
    <w:p w14:paraId="79E268DC" w14:textId="3B59E87C" w:rsidR="00C86A75" w:rsidRPr="004B5046" w:rsidRDefault="00C86A75" w:rsidP="002E4404">
      <w:pPr>
        <w:rPr>
          <w:rFonts w:cs="Arial"/>
          <w:szCs w:val="24"/>
        </w:rPr>
      </w:pPr>
    </w:p>
    <w:p w14:paraId="54FE8213" w14:textId="1CB2A521" w:rsidR="00981126" w:rsidRPr="004B5046" w:rsidRDefault="00B5130B" w:rsidP="002E4404">
      <w:pPr>
        <w:spacing w:after="240"/>
        <w:contextualSpacing/>
        <w:rPr>
          <w:rFonts w:cs="Arial"/>
          <w:szCs w:val="24"/>
        </w:rPr>
      </w:pPr>
      <w:r w:rsidRPr="004B5046">
        <w:rPr>
          <w:rFonts w:cs="Arial"/>
          <w:szCs w:val="24"/>
        </w:rPr>
        <w:t xml:space="preserve">3.2 </w:t>
      </w:r>
      <w:r w:rsidR="00C86A75" w:rsidRPr="004B5046">
        <w:rPr>
          <w:rFonts w:cs="Arial"/>
          <w:szCs w:val="24"/>
        </w:rPr>
        <w:t>ADVERSE INCIDENTS</w:t>
      </w:r>
    </w:p>
    <w:p w14:paraId="1B25148E" w14:textId="1AB2566A" w:rsidR="00981126" w:rsidRDefault="00981126" w:rsidP="002E4404">
      <w:pPr>
        <w:pStyle w:val="Default"/>
        <w:rPr>
          <w:rFonts w:eastAsia="Times New Roman"/>
          <w:color w:val="auto"/>
          <w:lang w:eastAsia="en-GB"/>
        </w:rPr>
      </w:pPr>
      <w:r w:rsidRPr="004B5046">
        <w:rPr>
          <w:rFonts w:eastAsia="Times New Roman"/>
          <w:color w:val="auto"/>
          <w:lang w:eastAsia="en-GB"/>
        </w:rPr>
        <w:t>Staff are</w:t>
      </w:r>
      <w:r w:rsidR="00373C97" w:rsidRPr="004B5046">
        <w:rPr>
          <w:rFonts w:eastAsia="Times New Roman"/>
          <w:color w:val="auto"/>
          <w:lang w:eastAsia="en-GB"/>
        </w:rPr>
        <w:t xml:space="preserve"> encouraged to ensure that all Health and Safety related incidents </w:t>
      </w:r>
      <w:r w:rsidRPr="004B5046">
        <w:rPr>
          <w:rFonts w:eastAsia="Times New Roman"/>
          <w:color w:val="auto"/>
          <w:lang w:eastAsia="en-GB"/>
        </w:rPr>
        <w:t xml:space="preserve">(employees, patients, contractors, and visitors) </w:t>
      </w:r>
      <w:r w:rsidR="005D3255" w:rsidRPr="004B5046">
        <w:rPr>
          <w:rFonts w:eastAsia="Times New Roman"/>
          <w:color w:val="auto"/>
          <w:lang w:eastAsia="en-GB"/>
        </w:rPr>
        <w:t>are reported via Datix. The</w:t>
      </w:r>
      <w:r w:rsidRPr="004B5046">
        <w:rPr>
          <w:rFonts w:eastAsia="Times New Roman"/>
          <w:color w:val="auto"/>
          <w:lang w:eastAsia="en-GB"/>
        </w:rPr>
        <w:t xml:space="preserve"> </w:t>
      </w:r>
      <w:r w:rsidR="005D3255" w:rsidRPr="004B5046">
        <w:rPr>
          <w:rFonts w:eastAsia="Times New Roman"/>
          <w:color w:val="auto"/>
          <w:lang w:eastAsia="en-GB"/>
        </w:rPr>
        <w:t xml:space="preserve">top </w:t>
      </w:r>
      <w:r w:rsidR="0013596B" w:rsidRPr="004B5046">
        <w:rPr>
          <w:rFonts w:eastAsia="Times New Roman"/>
          <w:color w:val="auto"/>
          <w:lang w:eastAsia="en-GB"/>
        </w:rPr>
        <w:t>5</w:t>
      </w:r>
      <w:r w:rsidR="003746F5" w:rsidRPr="004B5046">
        <w:rPr>
          <w:rFonts w:eastAsia="Times New Roman"/>
          <w:color w:val="auto"/>
          <w:lang w:eastAsia="en-GB"/>
        </w:rPr>
        <w:t xml:space="preserve"> sub categories for </w:t>
      </w:r>
      <w:r w:rsidR="005D3255" w:rsidRPr="004B5046">
        <w:rPr>
          <w:rFonts w:eastAsia="Times New Roman"/>
          <w:color w:val="auto"/>
          <w:lang w:eastAsia="en-GB"/>
        </w:rPr>
        <w:t>this reporting period</w:t>
      </w:r>
      <w:r w:rsidRPr="004B5046">
        <w:rPr>
          <w:rFonts w:eastAsia="Times New Roman"/>
          <w:color w:val="auto"/>
          <w:lang w:eastAsia="en-GB"/>
        </w:rPr>
        <w:t xml:space="preserve"> </w:t>
      </w:r>
      <w:r w:rsidR="005D3255" w:rsidRPr="004B5046">
        <w:rPr>
          <w:rFonts w:eastAsia="Times New Roman"/>
          <w:color w:val="auto"/>
          <w:lang w:eastAsia="en-GB"/>
        </w:rPr>
        <w:t>(</w:t>
      </w:r>
      <w:r w:rsidR="002414A4" w:rsidRPr="004B5046">
        <w:rPr>
          <w:rFonts w:eastAsia="Times New Roman"/>
          <w:color w:val="auto"/>
          <w:lang w:eastAsia="en-GB"/>
        </w:rPr>
        <w:t>1</w:t>
      </w:r>
      <w:r w:rsidR="002414A4" w:rsidRPr="004B5046">
        <w:rPr>
          <w:rFonts w:eastAsia="Times New Roman"/>
          <w:color w:val="auto"/>
          <w:vertAlign w:val="superscript"/>
          <w:lang w:eastAsia="en-GB"/>
        </w:rPr>
        <w:t>st</w:t>
      </w:r>
      <w:r w:rsidR="002414A4" w:rsidRPr="004B5046">
        <w:rPr>
          <w:rFonts w:eastAsia="Times New Roman"/>
          <w:color w:val="auto"/>
          <w:lang w:eastAsia="en-GB"/>
        </w:rPr>
        <w:t xml:space="preserve"> </w:t>
      </w:r>
      <w:r w:rsidR="00233B7F" w:rsidRPr="004B5046">
        <w:rPr>
          <w:rFonts w:eastAsia="Times New Roman"/>
          <w:color w:val="auto"/>
          <w:lang w:eastAsia="en-GB"/>
        </w:rPr>
        <w:t>October</w:t>
      </w:r>
      <w:r w:rsidR="00612F04" w:rsidRPr="004B5046">
        <w:rPr>
          <w:rFonts w:eastAsia="Times New Roman"/>
          <w:color w:val="auto"/>
          <w:lang w:eastAsia="en-GB"/>
        </w:rPr>
        <w:t xml:space="preserve"> </w:t>
      </w:r>
      <w:r w:rsidR="00407689" w:rsidRPr="004B5046">
        <w:rPr>
          <w:rFonts w:eastAsia="Times New Roman"/>
          <w:color w:val="auto"/>
          <w:lang w:eastAsia="en-GB"/>
        </w:rPr>
        <w:t>2024</w:t>
      </w:r>
      <w:r w:rsidR="00AA0B7C" w:rsidRPr="004B5046">
        <w:rPr>
          <w:rFonts w:eastAsia="Times New Roman"/>
          <w:color w:val="auto"/>
          <w:lang w:eastAsia="en-GB"/>
        </w:rPr>
        <w:t xml:space="preserve"> – </w:t>
      </w:r>
      <w:r w:rsidR="00782471" w:rsidRPr="004B5046">
        <w:rPr>
          <w:rFonts w:eastAsia="Times New Roman"/>
          <w:color w:val="auto"/>
          <w:lang w:eastAsia="en-GB"/>
        </w:rPr>
        <w:t>3</w:t>
      </w:r>
      <w:r w:rsidR="00233B7F" w:rsidRPr="004B5046">
        <w:rPr>
          <w:rFonts w:eastAsia="Times New Roman"/>
          <w:color w:val="auto"/>
          <w:lang w:eastAsia="en-GB"/>
        </w:rPr>
        <w:t>1</w:t>
      </w:r>
      <w:r w:rsidR="00233B7F" w:rsidRPr="004B5046">
        <w:rPr>
          <w:rFonts w:eastAsia="Times New Roman"/>
          <w:color w:val="auto"/>
          <w:vertAlign w:val="superscript"/>
          <w:lang w:eastAsia="en-GB"/>
        </w:rPr>
        <w:t>st</w:t>
      </w:r>
      <w:r w:rsidR="00233B7F" w:rsidRPr="004B5046">
        <w:rPr>
          <w:rFonts w:eastAsia="Times New Roman"/>
          <w:color w:val="auto"/>
          <w:lang w:eastAsia="en-GB"/>
        </w:rPr>
        <w:t xml:space="preserve"> December</w:t>
      </w:r>
      <w:r w:rsidR="002414A4" w:rsidRPr="004B5046">
        <w:rPr>
          <w:rFonts w:eastAsia="Times New Roman"/>
          <w:color w:val="auto"/>
          <w:lang w:eastAsia="en-GB"/>
        </w:rPr>
        <w:t xml:space="preserve"> 2024</w:t>
      </w:r>
      <w:r w:rsidRPr="004B5046">
        <w:rPr>
          <w:rFonts w:eastAsia="Times New Roman"/>
          <w:color w:val="auto"/>
          <w:lang w:eastAsia="en-GB"/>
        </w:rPr>
        <w:t xml:space="preserve">) are included in </w:t>
      </w:r>
      <w:r w:rsidR="005D3255" w:rsidRPr="004B5046">
        <w:rPr>
          <w:rFonts w:eastAsia="Times New Roman"/>
          <w:color w:val="auto"/>
          <w:lang w:eastAsia="en-GB"/>
        </w:rPr>
        <w:t>table below:</w:t>
      </w:r>
    </w:p>
    <w:p w14:paraId="46A9D2A2" w14:textId="77777777" w:rsidR="002E4404" w:rsidRPr="004B5046" w:rsidRDefault="002E4404" w:rsidP="002E4404">
      <w:pPr>
        <w:pStyle w:val="Default"/>
        <w:rPr>
          <w:rFonts w:eastAsia="Times New Roman"/>
          <w:color w:val="auto"/>
          <w:lang w:eastAsia="en-GB"/>
        </w:rPr>
      </w:pPr>
    </w:p>
    <w:p w14:paraId="4A19AEF2" w14:textId="463268E0" w:rsidR="005D3255" w:rsidRPr="004B5046" w:rsidRDefault="00233B7F" w:rsidP="00981126">
      <w:pPr>
        <w:pStyle w:val="Default"/>
        <w:spacing w:line="360" w:lineRule="auto"/>
        <w:rPr>
          <w:rFonts w:eastAsia="Times New Roman"/>
          <w:color w:val="auto"/>
          <w:lang w:eastAsia="en-GB"/>
        </w:rPr>
      </w:pPr>
      <w:r w:rsidRPr="004B5046">
        <w:rPr>
          <w:noProof/>
          <w:lang w:eastAsia="en-GB"/>
        </w:rPr>
        <w:drawing>
          <wp:inline distT="0" distB="0" distL="0" distR="0" wp14:anchorId="16EE34B7" wp14:editId="7348466B">
            <wp:extent cx="6390640" cy="4232910"/>
            <wp:effectExtent l="0" t="0" r="1016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8689" w:type="dxa"/>
        <w:tblLook w:val="04A0" w:firstRow="1" w:lastRow="0" w:firstColumn="1" w:lastColumn="0" w:noHBand="0" w:noVBand="1"/>
      </w:tblPr>
      <w:tblGrid>
        <w:gridCol w:w="8040"/>
        <w:gridCol w:w="649"/>
      </w:tblGrid>
      <w:tr w:rsidR="003B3952" w:rsidRPr="004B5046" w14:paraId="4B37AA4F" w14:textId="77777777" w:rsidTr="003644AF">
        <w:trPr>
          <w:trHeight w:val="290"/>
        </w:trPr>
        <w:tc>
          <w:tcPr>
            <w:tcW w:w="8040" w:type="dxa"/>
            <w:tcBorders>
              <w:top w:val="nil"/>
              <w:left w:val="nil"/>
              <w:bottom w:val="nil"/>
              <w:right w:val="nil"/>
            </w:tcBorders>
            <w:shd w:val="clear" w:color="auto" w:fill="auto"/>
            <w:noWrap/>
            <w:hideMark/>
          </w:tcPr>
          <w:p w14:paraId="284F1A5A" w14:textId="5EDEC878" w:rsidR="003B3952" w:rsidRPr="004B5046" w:rsidRDefault="003B3952" w:rsidP="003B3952">
            <w:pPr>
              <w:rPr>
                <w:rFonts w:cs="Arial"/>
                <w:color w:val="000000"/>
                <w:spacing w:val="0"/>
                <w:szCs w:val="24"/>
                <w:lang w:eastAsia="en-GB"/>
              </w:rPr>
            </w:pPr>
          </w:p>
        </w:tc>
        <w:tc>
          <w:tcPr>
            <w:tcW w:w="649" w:type="dxa"/>
            <w:tcBorders>
              <w:top w:val="nil"/>
              <w:left w:val="nil"/>
              <w:bottom w:val="nil"/>
              <w:right w:val="nil"/>
            </w:tcBorders>
            <w:shd w:val="clear" w:color="auto" w:fill="auto"/>
            <w:noWrap/>
            <w:vAlign w:val="bottom"/>
            <w:hideMark/>
          </w:tcPr>
          <w:p w14:paraId="7DB2B0DB" w14:textId="77777777" w:rsidR="003B3952" w:rsidRPr="004B5046" w:rsidRDefault="003B3952" w:rsidP="003B3952">
            <w:pPr>
              <w:rPr>
                <w:rFonts w:cs="Arial"/>
                <w:spacing w:val="0"/>
                <w:szCs w:val="24"/>
                <w:lang w:eastAsia="en-GB"/>
              </w:rPr>
            </w:pPr>
          </w:p>
        </w:tc>
      </w:tr>
    </w:tbl>
    <w:p w14:paraId="2FB0E0C2" w14:textId="264953BA" w:rsidR="00233B7F" w:rsidRPr="004B5046" w:rsidRDefault="00233B7F" w:rsidP="002E4404">
      <w:pPr>
        <w:autoSpaceDE w:val="0"/>
        <w:autoSpaceDN w:val="0"/>
        <w:adjustRightInd w:val="0"/>
        <w:rPr>
          <w:rFonts w:cs="Arial"/>
          <w:color w:val="000000"/>
          <w:szCs w:val="24"/>
        </w:rPr>
      </w:pPr>
      <w:r w:rsidRPr="004B5046">
        <w:rPr>
          <w:rFonts w:cs="Arial"/>
          <w:color w:val="000000"/>
          <w:szCs w:val="24"/>
        </w:rPr>
        <w:t xml:space="preserve">The highest sub category accounting for 13 events relates to ‘contact with sharps’. All risk ratings by severity are minor or negligible. Most of the incidents occurred within the range of theatres (x10). The remaining 3 occurred in CCU (x1), 4East (x1) and 2 east (x1). The review of the sharps investigation question set on datix requires to be reviewed and will be addressed in line with new datix software. Such a review will encourage a greater depth of investigation by the </w:t>
      </w:r>
      <w:r w:rsidR="009D1AC0" w:rsidRPr="004B5046">
        <w:rPr>
          <w:rFonts w:cs="Arial"/>
          <w:color w:val="000000"/>
          <w:szCs w:val="24"/>
        </w:rPr>
        <w:t>datix investigator</w:t>
      </w:r>
      <w:r w:rsidRPr="004B5046">
        <w:rPr>
          <w:rFonts w:cs="Arial"/>
          <w:color w:val="000000"/>
          <w:szCs w:val="24"/>
        </w:rPr>
        <w:t xml:space="preserve"> and thus support learning to avoid recurrence.  </w:t>
      </w:r>
      <w:r w:rsidR="008635CF" w:rsidRPr="004B5046">
        <w:rPr>
          <w:rFonts w:cs="Arial"/>
          <w:szCs w:val="24"/>
        </w:rPr>
        <w:t xml:space="preserve">This issue </w:t>
      </w:r>
      <w:r w:rsidR="00B1348B" w:rsidRPr="004B5046">
        <w:rPr>
          <w:rFonts w:cs="Arial"/>
          <w:szCs w:val="24"/>
        </w:rPr>
        <w:t>was</w:t>
      </w:r>
      <w:r w:rsidR="008635CF" w:rsidRPr="004B5046">
        <w:rPr>
          <w:rFonts w:cs="Arial"/>
          <w:szCs w:val="24"/>
        </w:rPr>
        <w:t xml:space="preserve"> raised for further discussion at the January 2025 Clinical H&amp;S Forum meeting.</w:t>
      </w:r>
    </w:p>
    <w:p w14:paraId="103295DC" w14:textId="396E07F0" w:rsidR="00233B7F" w:rsidRPr="004B5046" w:rsidRDefault="00233B7F" w:rsidP="002E4404">
      <w:pPr>
        <w:autoSpaceDE w:val="0"/>
        <w:autoSpaceDN w:val="0"/>
        <w:adjustRightInd w:val="0"/>
        <w:rPr>
          <w:rFonts w:cs="Arial"/>
          <w:color w:val="000000"/>
          <w:szCs w:val="24"/>
        </w:rPr>
      </w:pPr>
    </w:p>
    <w:p w14:paraId="60497C09" w14:textId="62F48AA5" w:rsidR="009D1AC0" w:rsidRPr="004B5046" w:rsidRDefault="003B3952" w:rsidP="002E4404">
      <w:pPr>
        <w:autoSpaceDE w:val="0"/>
        <w:autoSpaceDN w:val="0"/>
        <w:adjustRightInd w:val="0"/>
        <w:rPr>
          <w:rFonts w:cs="Arial"/>
          <w:color w:val="000000"/>
          <w:szCs w:val="24"/>
        </w:rPr>
      </w:pPr>
      <w:r w:rsidRPr="004B5046">
        <w:rPr>
          <w:rFonts w:cs="Arial"/>
          <w:color w:val="000000"/>
          <w:szCs w:val="24"/>
        </w:rPr>
        <w:lastRenderedPageBreak/>
        <w:t xml:space="preserve">The </w:t>
      </w:r>
      <w:r w:rsidR="009D1AC0" w:rsidRPr="004B5046">
        <w:rPr>
          <w:rFonts w:cs="Arial"/>
          <w:color w:val="000000"/>
          <w:szCs w:val="24"/>
        </w:rPr>
        <w:t xml:space="preserve">second </w:t>
      </w:r>
      <w:r w:rsidRPr="004B5046">
        <w:rPr>
          <w:rFonts w:cs="Arial"/>
          <w:color w:val="000000"/>
          <w:szCs w:val="24"/>
        </w:rPr>
        <w:t>highe</w:t>
      </w:r>
      <w:r w:rsidR="009D1AC0" w:rsidRPr="004B5046">
        <w:rPr>
          <w:rFonts w:cs="Arial"/>
          <w:color w:val="000000"/>
          <w:szCs w:val="24"/>
        </w:rPr>
        <w:t>st sub category accounting for 10</w:t>
      </w:r>
      <w:r w:rsidRPr="004B5046">
        <w:rPr>
          <w:rFonts w:cs="Arial"/>
          <w:color w:val="000000"/>
          <w:szCs w:val="24"/>
        </w:rPr>
        <w:t xml:space="preserve"> events relates to </w:t>
      </w:r>
      <w:r w:rsidR="009D1AC0" w:rsidRPr="004B5046">
        <w:rPr>
          <w:rFonts w:cs="Arial"/>
          <w:color w:val="000000"/>
          <w:szCs w:val="24"/>
        </w:rPr>
        <w:t>slips, trips and falls. There are no trends in terms of location (theatres x2, 4 east x1, loading bay x1, 3 west x1, critical care x2, east stairwell x1, catering x 1, and NSD x1). All minor risk rated by severity with no obvious patterns/trends evident within this sub category.</w:t>
      </w:r>
    </w:p>
    <w:p w14:paraId="4CF1FDBD" w14:textId="6692431D" w:rsidR="009D1AC0" w:rsidRPr="004B5046" w:rsidRDefault="009D1AC0" w:rsidP="002E4404">
      <w:pPr>
        <w:autoSpaceDE w:val="0"/>
        <w:autoSpaceDN w:val="0"/>
        <w:adjustRightInd w:val="0"/>
        <w:rPr>
          <w:rFonts w:cs="Arial"/>
          <w:color w:val="000000"/>
          <w:szCs w:val="24"/>
        </w:rPr>
      </w:pPr>
    </w:p>
    <w:p w14:paraId="75916421" w14:textId="37FC9D31" w:rsidR="009D1AC0" w:rsidRPr="004B5046" w:rsidRDefault="009D1AC0" w:rsidP="002E4404">
      <w:pPr>
        <w:autoSpaceDE w:val="0"/>
        <w:autoSpaceDN w:val="0"/>
        <w:adjustRightInd w:val="0"/>
        <w:rPr>
          <w:rFonts w:cs="Arial"/>
          <w:color w:val="000000"/>
          <w:szCs w:val="24"/>
        </w:rPr>
      </w:pPr>
      <w:r w:rsidRPr="004B5046">
        <w:rPr>
          <w:rFonts w:cs="Arial"/>
          <w:color w:val="000000"/>
          <w:szCs w:val="24"/>
        </w:rPr>
        <w:t>The third highest sub category with 8 incidents relates to exposure to unsafe environmental conditions. In terms of location (</w:t>
      </w:r>
      <w:r w:rsidR="00BD4B0C" w:rsidRPr="004B5046">
        <w:rPr>
          <w:rFonts w:cs="Arial"/>
          <w:color w:val="000000"/>
          <w:szCs w:val="24"/>
        </w:rPr>
        <w:t>NHSBT x 1, Theatres x2</w:t>
      </w:r>
      <w:r w:rsidRPr="004B5046">
        <w:rPr>
          <w:rFonts w:cs="Arial"/>
          <w:color w:val="000000"/>
          <w:szCs w:val="24"/>
        </w:rPr>
        <w:t xml:space="preserve">, </w:t>
      </w:r>
      <w:r w:rsidR="00BD4B0C" w:rsidRPr="004B5046">
        <w:rPr>
          <w:rFonts w:cs="Arial"/>
          <w:color w:val="000000"/>
          <w:szCs w:val="24"/>
        </w:rPr>
        <w:t>CCU x2</w:t>
      </w:r>
      <w:r w:rsidRPr="004B5046">
        <w:rPr>
          <w:rFonts w:cs="Arial"/>
          <w:color w:val="000000"/>
          <w:szCs w:val="24"/>
        </w:rPr>
        <w:t xml:space="preserve">, </w:t>
      </w:r>
      <w:r w:rsidR="00BD4B0C" w:rsidRPr="004B5046">
        <w:rPr>
          <w:rFonts w:cs="Arial"/>
          <w:color w:val="000000"/>
          <w:szCs w:val="24"/>
        </w:rPr>
        <w:t>Eye centre</w:t>
      </w:r>
      <w:r w:rsidRPr="004B5046">
        <w:rPr>
          <w:rFonts w:cs="Arial"/>
          <w:color w:val="000000"/>
          <w:szCs w:val="24"/>
        </w:rPr>
        <w:t xml:space="preserve"> x1</w:t>
      </w:r>
      <w:r w:rsidR="00BD4B0C" w:rsidRPr="004B5046">
        <w:rPr>
          <w:rFonts w:cs="Arial"/>
          <w:color w:val="000000"/>
          <w:szCs w:val="24"/>
        </w:rPr>
        <w:t>, main hospital reception x1</w:t>
      </w:r>
      <w:r w:rsidRPr="004B5046">
        <w:rPr>
          <w:rFonts w:cs="Arial"/>
          <w:color w:val="000000"/>
          <w:szCs w:val="24"/>
        </w:rPr>
        <w:t xml:space="preserve">). There was a mix of types of incidents within this sub category, </w:t>
      </w:r>
      <w:r w:rsidR="00BD4B0C" w:rsidRPr="004B5046">
        <w:rPr>
          <w:rFonts w:cs="Arial"/>
          <w:color w:val="000000"/>
          <w:szCs w:val="24"/>
        </w:rPr>
        <w:t>however 2 were linked to cold internal temperatures (main reception and eye centre OPD) both on 19</w:t>
      </w:r>
      <w:r w:rsidR="00BD4B0C" w:rsidRPr="004B5046">
        <w:rPr>
          <w:rFonts w:cs="Arial"/>
          <w:color w:val="000000"/>
          <w:szCs w:val="24"/>
          <w:vertAlign w:val="superscript"/>
        </w:rPr>
        <w:t>th</w:t>
      </w:r>
      <w:r w:rsidR="00BD4B0C" w:rsidRPr="004B5046">
        <w:rPr>
          <w:rFonts w:cs="Arial"/>
          <w:color w:val="000000"/>
          <w:szCs w:val="24"/>
        </w:rPr>
        <w:t xml:space="preserve"> November.</w:t>
      </w:r>
      <w:r w:rsidRPr="004B5046">
        <w:rPr>
          <w:rFonts w:cs="Arial"/>
          <w:color w:val="000000"/>
          <w:szCs w:val="24"/>
        </w:rPr>
        <w:t xml:space="preserve"> </w:t>
      </w:r>
      <w:r w:rsidR="00BD4B0C" w:rsidRPr="004B5046">
        <w:rPr>
          <w:rFonts w:cs="Arial"/>
          <w:color w:val="000000"/>
          <w:szCs w:val="24"/>
        </w:rPr>
        <w:t>All minor and negligible risk rating with o</w:t>
      </w:r>
      <w:r w:rsidRPr="004B5046">
        <w:rPr>
          <w:rFonts w:cs="Arial"/>
          <w:color w:val="000000"/>
          <w:szCs w:val="24"/>
        </w:rPr>
        <w:t xml:space="preserve">ne moderate risk rated event linked to unsuitable condition of vehicle provided to transport NORS team. Details of further investigation into this event is evidenced within the datix record. </w:t>
      </w:r>
    </w:p>
    <w:p w14:paraId="71272163" w14:textId="26D66C30" w:rsidR="00BD4B0C" w:rsidRPr="004B5046" w:rsidRDefault="00BD4B0C" w:rsidP="002E4404">
      <w:pPr>
        <w:autoSpaceDE w:val="0"/>
        <w:autoSpaceDN w:val="0"/>
        <w:adjustRightInd w:val="0"/>
        <w:rPr>
          <w:rFonts w:cs="Arial"/>
          <w:color w:val="000000"/>
          <w:szCs w:val="24"/>
        </w:rPr>
      </w:pPr>
    </w:p>
    <w:p w14:paraId="604FDC6C" w14:textId="6237FA3C" w:rsidR="007314E2" w:rsidRPr="004B5046" w:rsidRDefault="007314E2" w:rsidP="002E4404">
      <w:pPr>
        <w:autoSpaceDE w:val="0"/>
        <w:autoSpaceDN w:val="0"/>
        <w:adjustRightInd w:val="0"/>
        <w:rPr>
          <w:rFonts w:cs="Arial"/>
          <w:color w:val="000000"/>
          <w:szCs w:val="24"/>
        </w:rPr>
      </w:pPr>
      <w:r w:rsidRPr="004B5046">
        <w:rPr>
          <w:rFonts w:cs="Arial"/>
          <w:color w:val="000000"/>
          <w:szCs w:val="24"/>
        </w:rPr>
        <w:t>The joint third highest sub category with 8 events is ‘exposure to hazardous substances’. In terms of location (4x theatres, 2x estates, 2x critical care). No significant trends relating to these incidents. Examples include blood traces found on forceps, non-conformance reports from clinical waste contractor, cl</w:t>
      </w:r>
      <w:r w:rsidR="00A5541C" w:rsidRPr="004B5046">
        <w:rPr>
          <w:rFonts w:cs="Arial"/>
          <w:color w:val="000000"/>
          <w:szCs w:val="24"/>
        </w:rPr>
        <w:t>eaning substance (</w:t>
      </w:r>
      <w:proofErr w:type="spellStart"/>
      <w:r w:rsidR="00A5541C" w:rsidRPr="004B5046">
        <w:rPr>
          <w:rFonts w:cs="Arial"/>
          <w:color w:val="000000"/>
          <w:szCs w:val="24"/>
        </w:rPr>
        <w:t>actichlor</w:t>
      </w:r>
      <w:proofErr w:type="spellEnd"/>
      <w:r w:rsidR="00A5541C" w:rsidRPr="004B5046">
        <w:rPr>
          <w:rFonts w:cs="Arial"/>
          <w:color w:val="000000"/>
          <w:szCs w:val="24"/>
        </w:rPr>
        <w:t>) eye splash</w:t>
      </w:r>
      <w:r w:rsidRPr="004B5046">
        <w:rPr>
          <w:rFonts w:cs="Arial"/>
          <w:color w:val="000000"/>
          <w:szCs w:val="24"/>
        </w:rPr>
        <w:t xml:space="preserve">. All minor risk rated. </w:t>
      </w:r>
    </w:p>
    <w:p w14:paraId="0B014568" w14:textId="77777777" w:rsidR="007314E2" w:rsidRPr="004B5046" w:rsidRDefault="007314E2" w:rsidP="002E4404">
      <w:pPr>
        <w:autoSpaceDE w:val="0"/>
        <w:autoSpaceDN w:val="0"/>
        <w:adjustRightInd w:val="0"/>
        <w:rPr>
          <w:rFonts w:cs="Arial"/>
          <w:color w:val="000000"/>
          <w:szCs w:val="24"/>
        </w:rPr>
      </w:pPr>
    </w:p>
    <w:p w14:paraId="172BECCE" w14:textId="03A389B3" w:rsidR="00256E68" w:rsidRPr="004B5046" w:rsidRDefault="007314E2" w:rsidP="002E4404">
      <w:pPr>
        <w:autoSpaceDE w:val="0"/>
        <w:autoSpaceDN w:val="0"/>
        <w:adjustRightInd w:val="0"/>
        <w:rPr>
          <w:rFonts w:cs="Arial"/>
          <w:color w:val="000000"/>
          <w:szCs w:val="24"/>
        </w:rPr>
      </w:pPr>
      <w:r w:rsidRPr="004B5046">
        <w:rPr>
          <w:rFonts w:cs="Arial"/>
          <w:color w:val="000000"/>
          <w:szCs w:val="24"/>
        </w:rPr>
        <w:t xml:space="preserve">Fourth highest with 7 incidents is contact/collision incidents. </w:t>
      </w:r>
      <w:r w:rsidR="003B3952" w:rsidRPr="004B5046">
        <w:rPr>
          <w:rFonts w:cs="Arial"/>
          <w:color w:val="000000"/>
          <w:szCs w:val="24"/>
        </w:rPr>
        <w:t xml:space="preserve">There are no trends relating to location of events or nature of the incidents (for example, a range of various bumps/bruises from collision with door, bumping head against </w:t>
      </w:r>
      <w:r w:rsidR="00A5541C" w:rsidRPr="004B5046">
        <w:rPr>
          <w:rFonts w:cs="Arial"/>
          <w:color w:val="000000"/>
          <w:szCs w:val="24"/>
        </w:rPr>
        <w:t xml:space="preserve">theatre boom, striking head against cupboard door in galley </w:t>
      </w:r>
      <w:r w:rsidR="00EA22F1" w:rsidRPr="004B5046">
        <w:rPr>
          <w:rFonts w:cs="Arial"/>
          <w:color w:val="000000"/>
          <w:szCs w:val="24"/>
        </w:rPr>
        <w:t>kitchen</w:t>
      </w:r>
      <w:r w:rsidR="003B3952" w:rsidRPr="004B5046">
        <w:rPr>
          <w:rFonts w:cs="Arial"/>
          <w:color w:val="000000"/>
          <w:szCs w:val="24"/>
        </w:rPr>
        <w:t xml:space="preserve">, etc.). </w:t>
      </w:r>
      <w:r w:rsidR="00A5541C" w:rsidRPr="004B5046">
        <w:rPr>
          <w:rFonts w:cs="Arial"/>
          <w:color w:val="000000"/>
          <w:szCs w:val="24"/>
        </w:rPr>
        <w:t>4 of these</w:t>
      </w:r>
      <w:r w:rsidR="003B3952" w:rsidRPr="004B5046">
        <w:rPr>
          <w:rFonts w:cs="Arial"/>
          <w:color w:val="000000"/>
          <w:szCs w:val="24"/>
        </w:rPr>
        <w:t xml:space="preserve"> incidents</w:t>
      </w:r>
      <w:r w:rsidR="00A5541C" w:rsidRPr="004B5046">
        <w:rPr>
          <w:rFonts w:cs="Arial"/>
          <w:color w:val="000000"/>
          <w:szCs w:val="24"/>
        </w:rPr>
        <w:t xml:space="preserve"> occurred in theatres, 1x CSPD, 1x Hotel, </w:t>
      </w:r>
      <w:r w:rsidR="00CE18DD" w:rsidRPr="004B5046">
        <w:rPr>
          <w:rFonts w:cs="Arial"/>
          <w:color w:val="000000"/>
          <w:szCs w:val="24"/>
        </w:rPr>
        <w:t>and 1x</w:t>
      </w:r>
      <w:r w:rsidR="00A5541C" w:rsidRPr="004B5046">
        <w:rPr>
          <w:rFonts w:cs="Arial"/>
          <w:color w:val="000000"/>
          <w:szCs w:val="24"/>
        </w:rPr>
        <w:t xml:space="preserve"> </w:t>
      </w:r>
      <w:r w:rsidR="00CE18DD" w:rsidRPr="004B5046">
        <w:rPr>
          <w:rFonts w:cs="Arial"/>
          <w:color w:val="000000"/>
          <w:szCs w:val="24"/>
        </w:rPr>
        <w:t>east</w:t>
      </w:r>
      <w:r w:rsidR="00A5541C" w:rsidRPr="004B5046">
        <w:rPr>
          <w:rFonts w:cs="Arial"/>
          <w:color w:val="000000"/>
          <w:szCs w:val="24"/>
        </w:rPr>
        <w:t xml:space="preserve">. </w:t>
      </w:r>
      <w:r w:rsidR="00653169" w:rsidRPr="004B5046">
        <w:rPr>
          <w:rFonts w:cs="Arial"/>
          <w:color w:val="000000"/>
          <w:szCs w:val="24"/>
        </w:rPr>
        <w:t xml:space="preserve">All were risk rated as </w:t>
      </w:r>
      <w:r w:rsidR="00CE18DD" w:rsidRPr="004B5046">
        <w:rPr>
          <w:rFonts w:cs="Arial"/>
          <w:color w:val="000000"/>
          <w:szCs w:val="24"/>
        </w:rPr>
        <w:t>minor or</w:t>
      </w:r>
      <w:r w:rsidR="00A5541C" w:rsidRPr="004B5046">
        <w:rPr>
          <w:rFonts w:cs="Arial"/>
          <w:color w:val="000000"/>
          <w:szCs w:val="24"/>
        </w:rPr>
        <w:t xml:space="preserve"> negligible.</w:t>
      </w:r>
      <w:r w:rsidR="00653169" w:rsidRPr="004B5046">
        <w:rPr>
          <w:rFonts w:cs="Arial"/>
          <w:color w:val="000000"/>
          <w:szCs w:val="24"/>
        </w:rPr>
        <w:t xml:space="preserve"> </w:t>
      </w:r>
    </w:p>
    <w:p w14:paraId="79FB0400" w14:textId="57BABB63" w:rsidR="000B4423" w:rsidRPr="004B5046" w:rsidRDefault="00AE19DC" w:rsidP="002E4404">
      <w:pPr>
        <w:pStyle w:val="ListParagraph"/>
        <w:numPr>
          <w:ilvl w:val="0"/>
          <w:numId w:val="19"/>
        </w:numPr>
        <w:spacing w:before="100" w:beforeAutospacing="1" w:after="100" w:afterAutospacing="1"/>
        <w:ind w:left="284"/>
        <w:rPr>
          <w:rFonts w:ascii="Arial" w:eastAsia="Times New Roman" w:hAnsi="Arial" w:cs="Arial"/>
          <w:b/>
          <w:spacing w:val="-3"/>
          <w:sz w:val="24"/>
          <w:szCs w:val="24"/>
          <w:lang w:eastAsia="en-US"/>
        </w:rPr>
      </w:pPr>
      <w:r w:rsidRPr="004B5046">
        <w:rPr>
          <w:rFonts w:ascii="Arial" w:eastAsia="Times New Roman" w:hAnsi="Arial" w:cs="Arial"/>
          <w:b/>
          <w:spacing w:val="-3"/>
          <w:sz w:val="24"/>
          <w:szCs w:val="24"/>
          <w:lang w:eastAsia="en-US"/>
        </w:rPr>
        <w:t xml:space="preserve">PROJECTIONS FOR </w:t>
      </w:r>
      <w:r w:rsidR="004C14EC" w:rsidRPr="004B5046">
        <w:rPr>
          <w:rFonts w:ascii="Arial" w:eastAsia="Times New Roman" w:hAnsi="Arial" w:cs="Arial"/>
          <w:b/>
          <w:spacing w:val="-3"/>
          <w:sz w:val="24"/>
          <w:szCs w:val="24"/>
          <w:lang w:eastAsia="en-US"/>
        </w:rPr>
        <w:t>NEXT QUARTER</w:t>
      </w:r>
      <w:r w:rsidR="000B4423" w:rsidRPr="004B5046">
        <w:rPr>
          <w:rFonts w:ascii="Arial" w:eastAsia="Times New Roman" w:hAnsi="Arial" w:cs="Arial"/>
          <w:b/>
          <w:spacing w:val="-3"/>
          <w:sz w:val="24"/>
          <w:szCs w:val="24"/>
          <w:lang w:eastAsia="en-US"/>
        </w:rPr>
        <w:t>:</w:t>
      </w:r>
    </w:p>
    <w:p w14:paraId="2DD57960" w14:textId="77777777" w:rsidR="000B4423" w:rsidRPr="004B5046" w:rsidRDefault="000B4423" w:rsidP="000B4423">
      <w:pPr>
        <w:spacing w:before="100" w:beforeAutospacing="1" w:after="100" w:afterAutospacing="1"/>
        <w:rPr>
          <w:rFonts w:cs="Arial"/>
          <w:szCs w:val="24"/>
        </w:rPr>
      </w:pPr>
      <w:r w:rsidRPr="004B5046">
        <w:rPr>
          <w:rFonts w:cs="Arial"/>
          <w:szCs w:val="24"/>
        </w:rPr>
        <w:t>FUTURE INITIATIVES</w:t>
      </w:r>
    </w:p>
    <w:p w14:paraId="303CD012" w14:textId="54AAB643" w:rsidR="000C2D67" w:rsidRPr="004B5046" w:rsidRDefault="000C2D67" w:rsidP="002E4404">
      <w:pPr>
        <w:rPr>
          <w:rFonts w:cs="Arial"/>
          <w:spacing w:val="0"/>
          <w:szCs w:val="24"/>
          <w:lang w:eastAsia="en-GB"/>
        </w:rPr>
      </w:pPr>
      <w:r w:rsidRPr="004B5046">
        <w:rPr>
          <w:rFonts w:cs="Arial"/>
          <w:spacing w:val="0"/>
          <w:szCs w:val="24"/>
          <w:lang w:eastAsia="en-GB"/>
        </w:rPr>
        <w:t>4.2 Policy</w:t>
      </w:r>
      <w:r w:rsidR="00DF464D" w:rsidRPr="004B5046">
        <w:rPr>
          <w:rFonts w:cs="Arial"/>
          <w:spacing w:val="0"/>
          <w:szCs w:val="24"/>
          <w:lang w:eastAsia="en-GB"/>
        </w:rPr>
        <w:t xml:space="preserve"> Review</w:t>
      </w:r>
      <w:r w:rsidR="005306B0" w:rsidRPr="004B5046">
        <w:rPr>
          <w:rFonts w:cs="Arial"/>
          <w:spacing w:val="0"/>
          <w:szCs w:val="24"/>
          <w:lang w:eastAsia="en-GB"/>
        </w:rPr>
        <w:t xml:space="preserve"> (Work Activity Risk Assessment, COSHH, Fire Safety</w:t>
      </w:r>
      <w:r w:rsidR="008635CF" w:rsidRPr="004B5046">
        <w:rPr>
          <w:rFonts w:cs="Arial"/>
          <w:spacing w:val="0"/>
          <w:szCs w:val="24"/>
          <w:lang w:eastAsia="en-GB"/>
        </w:rPr>
        <w:t>, Helipad Operations</w:t>
      </w:r>
      <w:r w:rsidR="005306B0" w:rsidRPr="004B5046">
        <w:rPr>
          <w:rFonts w:cs="Arial"/>
          <w:spacing w:val="0"/>
          <w:szCs w:val="24"/>
          <w:lang w:eastAsia="en-GB"/>
        </w:rPr>
        <w:t xml:space="preserve">) </w:t>
      </w:r>
    </w:p>
    <w:p w14:paraId="7C57DDB0" w14:textId="42ABF604" w:rsidR="00C25630" w:rsidRPr="004B5046" w:rsidRDefault="00DB2974" w:rsidP="002E4404">
      <w:pPr>
        <w:rPr>
          <w:rFonts w:cs="Arial"/>
          <w:spacing w:val="0"/>
          <w:szCs w:val="24"/>
          <w:lang w:eastAsia="en-GB"/>
        </w:rPr>
      </w:pPr>
      <w:r w:rsidRPr="004B5046">
        <w:rPr>
          <w:rFonts w:cs="Arial"/>
          <w:spacing w:val="0"/>
          <w:szCs w:val="24"/>
          <w:lang w:eastAsia="en-GB"/>
        </w:rPr>
        <w:t>4.3</w:t>
      </w:r>
      <w:r w:rsidR="001C1ABD" w:rsidRPr="004B5046">
        <w:rPr>
          <w:rFonts w:cs="Arial"/>
          <w:spacing w:val="0"/>
          <w:szCs w:val="24"/>
          <w:lang w:eastAsia="en-GB"/>
        </w:rPr>
        <w:t xml:space="preserve"> </w:t>
      </w:r>
      <w:r w:rsidR="00BE29B3" w:rsidRPr="004B5046">
        <w:rPr>
          <w:rFonts w:cs="Arial"/>
          <w:spacing w:val="0"/>
          <w:szCs w:val="24"/>
          <w:lang w:eastAsia="en-GB"/>
        </w:rPr>
        <w:t>Continued support to the roll out of the Health and Safety Audit and Inspection programme</w:t>
      </w:r>
      <w:r w:rsidR="00E55905" w:rsidRPr="004B5046">
        <w:rPr>
          <w:rFonts w:cs="Arial"/>
          <w:spacing w:val="0"/>
          <w:szCs w:val="24"/>
          <w:lang w:eastAsia="en-GB"/>
        </w:rPr>
        <w:t xml:space="preserve"> </w:t>
      </w:r>
    </w:p>
    <w:p w14:paraId="73AC0DC4" w14:textId="420016D7" w:rsidR="00DB2974" w:rsidRPr="004B5046" w:rsidRDefault="00710E5E" w:rsidP="002E4404">
      <w:pPr>
        <w:rPr>
          <w:rFonts w:cs="Arial"/>
          <w:spacing w:val="0"/>
          <w:szCs w:val="24"/>
          <w:lang w:eastAsia="en-GB"/>
        </w:rPr>
      </w:pPr>
      <w:r w:rsidRPr="004B5046">
        <w:rPr>
          <w:rFonts w:cs="Arial"/>
          <w:spacing w:val="0"/>
          <w:szCs w:val="24"/>
          <w:lang w:eastAsia="en-GB"/>
        </w:rPr>
        <w:t>4.4</w:t>
      </w:r>
      <w:r w:rsidR="00DB2974" w:rsidRPr="004B5046">
        <w:rPr>
          <w:rFonts w:cs="Arial"/>
          <w:spacing w:val="0"/>
          <w:szCs w:val="24"/>
          <w:lang w:eastAsia="en-GB"/>
        </w:rPr>
        <w:t xml:space="preserve"> Development of Annual Health and Safety Report.</w:t>
      </w:r>
    </w:p>
    <w:p w14:paraId="2DC00363" w14:textId="2E30905A" w:rsidR="00AD28C4" w:rsidRPr="004B5046" w:rsidRDefault="00742556" w:rsidP="002E4404">
      <w:pPr>
        <w:rPr>
          <w:rFonts w:cs="Arial"/>
          <w:spacing w:val="0"/>
          <w:szCs w:val="24"/>
          <w:lang w:eastAsia="en-GB"/>
        </w:rPr>
      </w:pPr>
      <w:r w:rsidRPr="004B5046">
        <w:rPr>
          <w:rFonts w:cs="Arial"/>
          <w:spacing w:val="0"/>
          <w:szCs w:val="24"/>
          <w:lang w:eastAsia="en-GB"/>
        </w:rPr>
        <w:t>4.5 Development of Health and Safety Strategy</w:t>
      </w:r>
    </w:p>
    <w:sectPr w:rsidR="00AD28C4" w:rsidRPr="004B5046" w:rsidSect="003F7F61">
      <w:headerReference w:type="default" r:id="rId13"/>
      <w:footerReference w:type="default" r:id="rId14"/>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F1BCB" w14:textId="77777777" w:rsidR="004A4888" w:rsidRDefault="004A4888">
      <w:r>
        <w:separator/>
      </w:r>
    </w:p>
  </w:endnote>
  <w:endnote w:type="continuationSeparator" w:id="0">
    <w:p w14:paraId="295E901C" w14:textId="77777777" w:rsidR="004A4888" w:rsidRDefault="004A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764562"/>
      <w:docPartObj>
        <w:docPartGallery w:val="Page Numbers (Bottom of Page)"/>
        <w:docPartUnique/>
      </w:docPartObj>
    </w:sdtPr>
    <w:sdtEndPr>
      <w:rPr>
        <w:noProof/>
      </w:rPr>
    </w:sdtEndPr>
    <w:sdtContent>
      <w:p w14:paraId="7442B19A" w14:textId="2035630C" w:rsidR="00C812CB" w:rsidRDefault="00C812CB" w:rsidP="00835A56">
        <w:pPr>
          <w:pStyle w:val="Footer"/>
          <w:jc w:val="center"/>
        </w:pPr>
        <w:r>
          <w:fldChar w:fldCharType="begin"/>
        </w:r>
        <w:r>
          <w:instrText xml:space="preserve"> PAGE   \* MERGEFORMAT </w:instrText>
        </w:r>
        <w:r>
          <w:fldChar w:fldCharType="separate"/>
        </w:r>
        <w:r w:rsidR="006F1D40">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C812CB" w:rsidRDefault="00C812CB" w:rsidP="003F7F61">
    <w:pPr>
      <w:pStyle w:val="Footer"/>
      <w:jc w:val="center"/>
      <w:rPr>
        <w:rFonts w:cs="Arial"/>
        <w:sz w:val="16"/>
        <w:szCs w:val="16"/>
      </w:rPr>
    </w:pPr>
  </w:p>
  <w:p w14:paraId="10749F22" w14:textId="4AF3A195" w:rsidR="00C812CB" w:rsidRPr="00C35168" w:rsidRDefault="00C812CB"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6F1D40">
      <w:rPr>
        <w:rFonts w:cs="Arial"/>
        <w:noProof/>
        <w:sz w:val="16"/>
        <w:szCs w:val="16"/>
      </w:rPr>
      <w:t>8</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6F1D40">
      <w:rPr>
        <w:rFonts w:cs="Arial"/>
        <w:noProof/>
        <w:sz w:val="16"/>
        <w:szCs w:val="16"/>
      </w:rPr>
      <w:t>8</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E72C3" w14:textId="77777777" w:rsidR="004A4888" w:rsidRDefault="004A4888">
      <w:r>
        <w:separator/>
      </w:r>
    </w:p>
  </w:footnote>
  <w:footnote w:type="continuationSeparator" w:id="0">
    <w:p w14:paraId="38C55A95" w14:textId="77777777" w:rsidR="004A4888" w:rsidRDefault="004A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9C49" w14:textId="354C3930" w:rsidR="00C812CB" w:rsidRPr="00C4501D" w:rsidRDefault="00C812CB">
    <w:pPr>
      <w:pStyle w:val="Header"/>
      <w:rPr>
        <w:rFonts w:cs="Arial"/>
        <w:b/>
        <w:color w:val="0070C0"/>
      </w:rPr>
    </w:pPr>
    <w:r w:rsidRPr="00C4501D">
      <w:rPr>
        <w:rFonts w:cs="Arial"/>
        <w:b/>
        <w:noProof/>
        <w:color w:val="0070C0"/>
        <w:lang w:eastAsia="en-GB"/>
      </w:rPr>
      <w:drawing>
        <wp:anchor distT="0" distB="0" distL="114300" distR="114300" simplePos="0" relativeHeight="251659264" behindDoc="0" locked="0" layoutInCell="1" allowOverlap="1" wp14:anchorId="64CE3062" wp14:editId="55230128">
          <wp:simplePos x="0" y="0"/>
          <wp:positionH relativeFrom="column">
            <wp:posOffset>7632203</wp:posOffset>
          </wp:positionH>
          <wp:positionV relativeFrom="paragraph">
            <wp:posOffset>-352839</wp:posOffset>
          </wp:positionV>
          <wp:extent cx="1041400" cy="6902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9CC">
      <w:rPr>
        <w:rFonts w:cs="Arial"/>
        <w:b/>
        <w:color w:val="0070C0"/>
      </w:rPr>
      <w:tab/>
    </w:r>
    <w:r w:rsidR="00AF19CC">
      <w:rPr>
        <w:rFonts w:cs="Arial"/>
        <w:b/>
        <w:color w:val="0070C0"/>
      </w:rPr>
      <w:tab/>
    </w:r>
    <w:r w:rsidR="001473AE">
      <w:rPr>
        <w:rFonts w:cs="Arial"/>
        <w:b/>
        <w:color w:val="0070C0"/>
      </w:rPr>
      <w:t>Board Item 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2A6A5F37" w:rsidR="00C812CB" w:rsidRPr="00125A9E" w:rsidRDefault="00C812CB" w:rsidP="00AF356A">
    <w:pPr>
      <w:pStyle w:val="Header"/>
      <w:tabs>
        <w:tab w:val="clear" w:pos="9026"/>
        <w:tab w:val="right" w:pos="9781"/>
      </w:tabs>
      <w:spacing w:after="120"/>
      <w:ind w:right="-1"/>
      <w:jc w:val="right"/>
      <w:rPr>
        <w:rFonts w:cs="Arial"/>
        <w:b/>
        <w:color w:val="2E74B5" w:themeColor="accent1"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1CA6"/>
    <w:multiLevelType w:val="multilevel"/>
    <w:tmpl w:val="40F448DA"/>
    <w:lvl w:ilvl="0">
      <w:start w:val="1"/>
      <w:numFmt w:val="decimal"/>
      <w:lvlText w:val="%1."/>
      <w:lvlJc w:val="left"/>
      <w:pPr>
        <w:ind w:left="644" w:hanging="360"/>
      </w:pPr>
      <w:rPr>
        <w:rFonts w:hint="default"/>
      </w:rPr>
    </w:lvl>
    <w:lvl w:ilvl="1">
      <w:start w:val="1"/>
      <w:numFmt w:val="decimal"/>
      <w:isLgl/>
      <w:lvlText w:val="%1.%2"/>
      <w:lvlJc w:val="left"/>
      <w:pPr>
        <w:ind w:left="760" w:hanging="360"/>
      </w:pPr>
      <w:rPr>
        <w:rFonts w:ascii="Calibri" w:hAnsi="Calibri" w:hint="default"/>
        <w:b/>
        <w:sz w:val="22"/>
      </w:rPr>
    </w:lvl>
    <w:lvl w:ilvl="2">
      <w:start w:val="1"/>
      <w:numFmt w:val="decimal"/>
      <w:isLgl/>
      <w:lvlText w:val="%1.%2.%3"/>
      <w:lvlJc w:val="left"/>
      <w:pPr>
        <w:ind w:left="1160" w:hanging="720"/>
      </w:pPr>
      <w:rPr>
        <w:rFonts w:ascii="Calibri" w:hAnsi="Calibri" w:hint="default"/>
        <w:b/>
        <w:sz w:val="22"/>
      </w:rPr>
    </w:lvl>
    <w:lvl w:ilvl="3">
      <w:start w:val="1"/>
      <w:numFmt w:val="decimal"/>
      <w:isLgl/>
      <w:lvlText w:val="%1.%2.%3.%4"/>
      <w:lvlJc w:val="left"/>
      <w:pPr>
        <w:ind w:left="1560" w:hanging="1080"/>
      </w:pPr>
      <w:rPr>
        <w:rFonts w:ascii="Calibri" w:hAnsi="Calibri" w:hint="default"/>
        <w:b/>
        <w:sz w:val="22"/>
      </w:rPr>
    </w:lvl>
    <w:lvl w:ilvl="4">
      <w:start w:val="1"/>
      <w:numFmt w:val="decimal"/>
      <w:isLgl/>
      <w:lvlText w:val="%1.%2.%3.%4.%5"/>
      <w:lvlJc w:val="left"/>
      <w:pPr>
        <w:ind w:left="1600" w:hanging="1080"/>
      </w:pPr>
      <w:rPr>
        <w:rFonts w:ascii="Calibri" w:hAnsi="Calibri" w:hint="default"/>
        <w:b/>
        <w:sz w:val="22"/>
      </w:rPr>
    </w:lvl>
    <w:lvl w:ilvl="5">
      <w:start w:val="1"/>
      <w:numFmt w:val="decimal"/>
      <w:isLgl/>
      <w:lvlText w:val="%1.%2.%3.%4.%5.%6"/>
      <w:lvlJc w:val="left"/>
      <w:pPr>
        <w:ind w:left="2000" w:hanging="1440"/>
      </w:pPr>
      <w:rPr>
        <w:rFonts w:ascii="Calibri" w:hAnsi="Calibri" w:hint="default"/>
        <w:b/>
        <w:sz w:val="22"/>
      </w:rPr>
    </w:lvl>
    <w:lvl w:ilvl="6">
      <w:start w:val="1"/>
      <w:numFmt w:val="decimal"/>
      <w:isLgl/>
      <w:lvlText w:val="%1.%2.%3.%4.%5.%6.%7"/>
      <w:lvlJc w:val="left"/>
      <w:pPr>
        <w:ind w:left="2040" w:hanging="1440"/>
      </w:pPr>
      <w:rPr>
        <w:rFonts w:ascii="Calibri" w:hAnsi="Calibri" w:hint="default"/>
        <w:b/>
        <w:sz w:val="22"/>
      </w:rPr>
    </w:lvl>
    <w:lvl w:ilvl="7">
      <w:start w:val="1"/>
      <w:numFmt w:val="decimal"/>
      <w:isLgl/>
      <w:lvlText w:val="%1.%2.%3.%4.%5.%6.%7.%8"/>
      <w:lvlJc w:val="left"/>
      <w:pPr>
        <w:ind w:left="2440" w:hanging="1800"/>
      </w:pPr>
      <w:rPr>
        <w:rFonts w:ascii="Calibri" w:hAnsi="Calibri" w:hint="default"/>
        <w:b/>
        <w:sz w:val="22"/>
      </w:rPr>
    </w:lvl>
    <w:lvl w:ilvl="8">
      <w:start w:val="1"/>
      <w:numFmt w:val="decimal"/>
      <w:isLgl/>
      <w:lvlText w:val="%1.%2.%3.%4.%5.%6.%7.%8.%9"/>
      <w:lvlJc w:val="left"/>
      <w:pPr>
        <w:ind w:left="2480" w:hanging="1800"/>
      </w:pPr>
      <w:rPr>
        <w:rFonts w:ascii="Calibri" w:hAnsi="Calibri" w:hint="default"/>
        <w:b/>
        <w:sz w:val="22"/>
      </w:rPr>
    </w:lvl>
  </w:abstractNum>
  <w:abstractNum w:abstractNumId="1" w15:restartNumberingAfterBreak="0">
    <w:nsid w:val="18DA0964"/>
    <w:multiLevelType w:val="hybridMultilevel"/>
    <w:tmpl w:val="33C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70FA1"/>
    <w:multiLevelType w:val="hybridMultilevel"/>
    <w:tmpl w:val="A6B2A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6E563F"/>
    <w:multiLevelType w:val="hybridMultilevel"/>
    <w:tmpl w:val="563CD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EB1704"/>
    <w:multiLevelType w:val="hybridMultilevel"/>
    <w:tmpl w:val="648CA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751419"/>
    <w:multiLevelType w:val="hybridMultilevel"/>
    <w:tmpl w:val="FDA8BF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92415"/>
    <w:multiLevelType w:val="multilevel"/>
    <w:tmpl w:val="EAF2E6C2"/>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B351A6"/>
    <w:multiLevelType w:val="hybridMultilevel"/>
    <w:tmpl w:val="71289600"/>
    <w:lvl w:ilvl="0" w:tplc="6E42677C">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EF73BCF"/>
    <w:multiLevelType w:val="hybridMultilevel"/>
    <w:tmpl w:val="4D9C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04587"/>
    <w:multiLevelType w:val="hybridMultilevel"/>
    <w:tmpl w:val="DB444044"/>
    <w:lvl w:ilvl="0" w:tplc="5BBA5E2A">
      <w:start w:val="2"/>
      <w:numFmt w:val="bullet"/>
      <w:lvlText w:val="-"/>
      <w:lvlJc w:val="left"/>
      <w:pPr>
        <w:ind w:left="1076" w:hanging="360"/>
      </w:pPr>
      <w:rPr>
        <w:rFonts w:ascii="Arial" w:eastAsia="Times New Roman" w:hAnsi="Arial" w:cs="Aria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7DAE1C6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E2278E"/>
    <w:multiLevelType w:val="hybridMultilevel"/>
    <w:tmpl w:val="6B2A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D70CA"/>
    <w:multiLevelType w:val="multilevel"/>
    <w:tmpl w:val="8BBE7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E66433"/>
    <w:multiLevelType w:val="hybridMultilevel"/>
    <w:tmpl w:val="6C349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C77632"/>
    <w:multiLevelType w:val="hybridMultilevel"/>
    <w:tmpl w:val="590E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271E9"/>
    <w:multiLevelType w:val="multilevel"/>
    <w:tmpl w:val="8CA038F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4"/>
  </w:num>
  <w:num w:numId="3">
    <w:abstractNumId w:val="6"/>
  </w:num>
  <w:num w:numId="4">
    <w:abstractNumId w:val="12"/>
  </w:num>
  <w:num w:numId="5">
    <w:abstractNumId w:val="10"/>
  </w:num>
  <w:num w:numId="6">
    <w:abstractNumId w:val="7"/>
  </w:num>
  <w:num w:numId="7">
    <w:abstractNumId w:val="3"/>
  </w:num>
  <w:num w:numId="8">
    <w:abstractNumId w:val="1"/>
  </w:num>
  <w:num w:numId="9">
    <w:abstractNumId w:val="13"/>
  </w:num>
  <w:num w:numId="10">
    <w:abstractNumId w:val="9"/>
  </w:num>
  <w:num w:numId="11">
    <w:abstractNumId w:val="17"/>
  </w:num>
  <w:num w:numId="12">
    <w:abstractNumId w:val="0"/>
  </w:num>
  <w:num w:numId="13">
    <w:abstractNumId w:val="15"/>
  </w:num>
  <w:num w:numId="14">
    <w:abstractNumId w:val="5"/>
  </w:num>
  <w:num w:numId="15">
    <w:abstractNumId w:val="3"/>
  </w:num>
  <w:num w:numId="16">
    <w:abstractNumId w:val="2"/>
  </w:num>
  <w:num w:numId="17">
    <w:abstractNumId w:val="16"/>
  </w:num>
  <w:num w:numId="18">
    <w:abstractNumId w:val="14"/>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0694"/>
    <w:rsid w:val="000007F9"/>
    <w:rsid w:val="00002A60"/>
    <w:rsid w:val="00010DA6"/>
    <w:rsid w:val="00014FA3"/>
    <w:rsid w:val="00022E72"/>
    <w:rsid w:val="000236D4"/>
    <w:rsid w:val="0002419D"/>
    <w:rsid w:val="0003098A"/>
    <w:rsid w:val="000320AB"/>
    <w:rsid w:val="00046BEC"/>
    <w:rsid w:val="00047714"/>
    <w:rsid w:val="00063B3D"/>
    <w:rsid w:val="00066D88"/>
    <w:rsid w:val="00075D29"/>
    <w:rsid w:val="00085864"/>
    <w:rsid w:val="00091974"/>
    <w:rsid w:val="000945DB"/>
    <w:rsid w:val="00095AE7"/>
    <w:rsid w:val="000A0538"/>
    <w:rsid w:val="000A1D43"/>
    <w:rsid w:val="000B053E"/>
    <w:rsid w:val="000B0878"/>
    <w:rsid w:val="000B4423"/>
    <w:rsid w:val="000C04B5"/>
    <w:rsid w:val="000C2D67"/>
    <w:rsid w:val="000C4DE8"/>
    <w:rsid w:val="000D0793"/>
    <w:rsid w:val="000D2AD7"/>
    <w:rsid w:val="000D3169"/>
    <w:rsid w:val="000D3B7B"/>
    <w:rsid w:val="000E63F8"/>
    <w:rsid w:val="000E6FCF"/>
    <w:rsid w:val="000F7706"/>
    <w:rsid w:val="001031A7"/>
    <w:rsid w:val="00111BB4"/>
    <w:rsid w:val="00112DFB"/>
    <w:rsid w:val="00122126"/>
    <w:rsid w:val="0012430A"/>
    <w:rsid w:val="00125A9E"/>
    <w:rsid w:val="00127DF9"/>
    <w:rsid w:val="00131002"/>
    <w:rsid w:val="00135566"/>
    <w:rsid w:val="0013596B"/>
    <w:rsid w:val="001376E7"/>
    <w:rsid w:val="0014041C"/>
    <w:rsid w:val="00140DB3"/>
    <w:rsid w:val="001473AE"/>
    <w:rsid w:val="0016157E"/>
    <w:rsid w:val="00165342"/>
    <w:rsid w:val="00165AC2"/>
    <w:rsid w:val="00191294"/>
    <w:rsid w:val="00191B18"/>
    <w:rsid w:val="001971EF"/>
    <w:rsid w:val="001A12EF"/>
    <w:rsid w:val="001A5F11"/>
    <w:rsid w:val="001C12CA"/>
    <w:rsid w:val="001C1ABD"/>
    <w:rsid w:val="001C5704"/>
    <w:rsid w:val="001D110F"/>
    <w:rsid w:val="001D4870"/>
    <w:rsid w:val="001D4ADD"/>
    <w:rsid w:val="001E099D"/>
    <w:rsid w:val="001E12C4"/>
    <w:rsid w:val="001E1CAA"/>
    <w:rsid w:val="001E5F77"/>
    <w:rsid w:val="001E744F"/>
    <w:rsid w:val="001F4261"/>
    <w:rsid w:val="002009A4"/>
    <w:rsid w:val="00206063"/>
    <w:rsid w:val="00206765"/>
    <w:rsid w:val="00210BF4"/>
    <w:rsid w:val="00214F15"/>
    <w:rsid w:val="00226DEB"/>
    <w:rsid w:val="00233B7F"/>
    <w:rsid w:val="0023473B"/>
    <w:rsid w:val="002414A4"/>
    <w:rsid w:val="00242A41"/>
    <w:rsid w:val="00253F78"/>
    <w:rsid w:val="002561CA"/>
    <w:rsid w:val="00256E68"/>
    <w:rsid w:val="00263876"/>
    <w:rsid w:val="002658DA"/>
    <w:rsid w:val="00266889"/>
    <w:rsid w:val="00270E57"/>
    <w:rsid w:val="00280A75"/>
    <w:rsid w:val="00286319"/>
    <w:rsid w:val="002903E4"/>
    <w:rsid w:val="0029113E"/>
    <w:rsid w:val="00295382"/>
    <w:rsid w:val="002B0EE5"/>
    <w:rsid w:val="002B3687"/>
    <w:rsid w:val="002B4CA3"/>
    <w:rsid w:val="002B7CCA"/>
    <w:rsid w:val="002C3139"/>
    <w:rsid w:val="002C3A36"/>
    <w:rsid w:val="002D6AB2"/>
    <w:rsid w:val="002E015D"/>
    <w:rsid w:val="002E0836"/>
    <w:rsid w:val="002E395A"/>
    <w:rsid w:val="002E4404"/>
    <w:rsid w:val="002F013E"/>
    <w:rsid w:val="00306867"/>
    <w:rsid w:val="003315A9"/>
    <w:rsid w:val="00331629"/>
    <w:rsid w:val="00332623"/>
    <w:rsid w:val="0033653B"/>
    <w:rsid w:val="00336C89"/>
    <w:rsid w:val="0033790B"/>
    <w:rsid w:val="003404CC"/>
    <w:rsid w:val="00343D03"/>
    <w:rsid w:val="00373C97"/>
    <w:rsid w:val="003746F5"/>
    <w:rsid w:val="00393185"/>
    <w:rsid w:val="00396882"/>
    <w:rsid w:val="003A197D"/>
    <w:rsid w:val="003A7E12"/>
    <w:rsid w:val="003B00E8"/>
    <w:rsid w:val="003B3952"/>
    <w:rsid w:val="003C2A86"/>
    <w:rsid w:val="003C6952"/>
    <w:rsid w:val="003F0B19"/>
    <w:rsid w:val="003F5E80"/>
    <w:rsid w:val="003F7B53"/>
    <w:rsid w:val="003F7C4B"/>
    <w:rsid w:val="003F7F61"/>
    <w:rsid w:val="00403527"/>
    <w:rsid w:val="00407689"/>
    <w:rsid w:val="00413347"/>
    <w:rsid w:val="00413632"/>
    <w:rsid w:val="00415917"/>
    <w:rsid w:val="00430C09"/>
    <w:rsid w:val="0043119A"/>
    <w:rsid w:val="00431D14"/>
    <w:rsid w:val="00435A5E"/>
    <w:rsid w:val="00446219"/>
    <w:rsid w:val="00446589"/>
    <w:rsid w:val="00447ED2"/>
    <w:rsid w:val="00456BD6"/>
    <w:rsid w:val="00466692"/>
    <w:rsid w:val="00467142"/>
    <w:rsid w:val="00467E06"/>
    <w:rsid w:val="0047433E"/>
    <w:rsid w:val="0048179C"/>
    <w:rsid w:val="004877BC"/>
    <w:rsid w:val="004902DB"/>
    <w:rsid w:val="004907A8"/>
    <w:rsid w:val="004909C8"/>
    <w:rsid w:val="0049117C"/>
    <w:rsid w:val="00491956"/>
    <w:rsid w:val="00493CFC"/>
    <w:rsid w:val="00495B36"/>
    <w:rsid w:val="004970BE"/>
    <w:rsid w:val="004A1153"/>
    <w:rsid w:val="004A4888"/>
    <w:rsid w:val="004A642E"/>
    <w:rsid w:val="004B5046"/>
    <w:rsid w:val="004C01B2"/>
    <w:rsid w:val="004C14EC"/>
    <w:rsid w:val="004C24DE"/>
    <w:rsid w:val="004C3E0F"/>
    <w:rsid w:val="004C43CF"/>
    <w:rsid w:val="004D49AA"/>
    <w:rsid w:val="004D7317"/>
    <w:rsid w:val="004E1677"/>
    <w:rsid w:val="004E32E6"/>
    <w:rsid w:val="004E7CAA"/>
    <w:rsid w:val="004F3292"/>
    <w:rsid w:val="00512F45"/>
    <w:rsid w:val="00514A18"/>
    <w:rsid w:val="00523BD1"/>
    <w:rsid w:val="005306B0"/>
    <w:rsid w:val="00531083"/>
    <w:rsid w:val="00534536"/>
    <w:rsid w:val="0053665A"/>
    <w:rsid w:val="00542498"/>
    <w:rsid w:val="00545A57"/>
    <w:rsid w:val="0055120A"/>
    <w:rsid w:val="00552A7F"/>
    <w:rsid w:val="0055666A"/>
    <w:rsid w:val="005725F6"/>
    <w:rsid w:val="005757C3"/>
    <w:rsid w:val="00582C3E"/>
    <w:rsid w:val="0058668E"/>
    <w:rsid w:val="00591C18"/>
    <w:rsid w:val="005A3216"/>
    <w:rsid w:val="005A430D"/>
    <w:rsid w:val="005A7D30"/>
    <w:rsid w:val="005C2404"/>
    <w:rsid w:val="005C306C"/>
    <w:rsid w:val="005C3425"/>
    <w:rsid w:val="005C7483"/>
    <w:rsid w:val="005D3255"/>
    <w:rsid w:val="005E0F21"/>
    <w:rsid w:val="005E2FCE"/>
    <w:rsid w:val="005E4962"/>
    <w:rsid w:val="005F747B"/>
    <w:rsid w:val="006003FA"/>
    <w:rsid w:val="00601C54"/>
    <w:rsid w:val="00610728"/>
    <w:rsid w:val="006110DE"/>
    <w:rsid w:val="00611E96"/>
    <w:rsid w:val="00612F04"/>
    <w:rsid w:val="0061505B"/>
    <w:rsid w:val="006173A9"/>
    <w:rsid w:val="00622260"/>
    <w:rsid w:val="00626BF0"/>
    <w:rsid w:val="0063329E"/>
    <w:rsid w:val="006332A3"/>
    <w:rsid w:val="00635936"/>
    <w:rsid w:val="006363DD"/>
    <w:rsid w:val="00637E7D"/>
    <w:rsid w:val="00643459"/>
    <w:rsid w:val="006454BC"/>
    <w:rsid w:val="006456D0"/>
    <w:rsid w:val="0064794D"/>
    <w:rsid w:val="00653169"/>
    <w:rsid w:val="0066436C"/>
    <w:rsid w:val="006643F7"/>
    <w:rsid w:val="00667A65"/>
    <w:rsid w:val="0067320B"/>
    <w:rsid w:val="006765DF"/>
    <w:rsid w:val="006805EB"/>
    <w:rsid w:val="00684E30"/>
    <w:rsid w:val="006865DD"/>
    <w:rsid w:val="00692E59"/>
    <w:rsid w:val="00694368"/>
    <w:rsid w:val="00697343"/>
    <w:rsid w:val="006A7024"/>
    <w:rsid w:val="006D0D6A"/>
    <w:rsid w:val="006D1343"/>
    <w:rsid w:val="006E1AAC"/>
    <w:rsid w:val="006F1D40"/>
    <w:rsid w:val="006F5761"/>
    <w:rsid w:val="006F7273"/>
    <w:rsid w:val="00700004"/>
    <w:rsid w:val="00703A97"/>
    <w:rsid w:val="00710E5E"/>
    <w:rsid w:val="00711592"/>
    <w:rsid w:val="0071508E"/>
    <w:rsid w:val="00716E7D"/>
    <w:rsid w:val="007314E2"/>
    <w:rsid w:val="007341D0"/>
    <w:rsid w:val="00734B62"/>
    <w:rsid w:val="0073796E"/>
    <w:rsid w:val="00742556"/>
    <w:rsid w:val="00743FAD"/>
    <w:rsid w:val="00752FE5"/>
    <w:rsid w:val="00755C3A"/>
    <w:rsid w:val="0076228A"/>
    <w:rsid w:val="0076338E"/>
    <w:rsid w:val="007660E0"/>
    <w:rsid w:val="00767913"/>
    <w:rsid w:val="00782471"/>
    <w:rsid w:val="007869EC"/>
    <w:rsid w:val="0079157D"/>
    <w:rsid w:val="007A0A69"/>
    <w:rsid w:val="007B26E8"/>
    <w:rsid w:val="007B7D8A"/>
    <w:rsid w:val="007D3C47"/>
    <w:rsid w:val="007E1058"/>
    <w:rsid w:val="007E197F"/>
    <w:rsid w:val="007E3992"/>
    <w:rsid w:val="007E5AC3"/>
    <w:rsid w:val="007F0741"/>
    <w:rsid w:val="007F0FC3"/>
    <w:rsid w:val="007F2F43"/>
    <w:rsid w:val="007F32CF"/>
    <w:rsid w:val="007F75AA"/>
    <w:rsid w:val="00806BE7"/>
    <w:rsid w:val="00810D96"/>
    <w:rsid w:val="00810E9C"/>
    <w:rsid w:val="00816E22"/>
    <w:rsid w:val="00822B20"/>
    <w:rsid w:val="00824DE5"/>
    <w:rsid w:val="00830999"/>
    <w:rsid w:val="00835A56"/>
    <w:rsid w:val="00840E0A"/>
    <w:rsid w:val="0084552B"/>
    <w:rsid w:val="00853DBA"/>
    <w:rsid w:val="00856B8C"/>
    <w:rsid w:val="008573F3"/>
    <w:rsid w:val="008635CF"/>
    <w:rsid w:val="00864521"/>
    <w:rsid w:val="00870D89"/>
    <w:rsid w:val="008712F9"/>
    <w:rsid w:val="008A3B48"/>
    <w:rsid w:val="008A5B73"/>
    <w:rsid w:val="008C7A05"/>
    <w:rsid w:val="008D2C76"/>
    <w:rsid w:val="008D37C1"/>
    <w:rsid w:val="008D6F9D"/>
    <w:rsid w:val="008E1D2F"/>
    <w:rsid w:val="008E2933"/>
    <w:rsid w:val="008F7C1C"/>
    <w:rsid w:val="009024E9"/>
    <w:rsid w:val="00904D2D"/>
    <w:rsid w:val="00914B4E"/>
    <w:rsid w:val="00916BA0"/>
    <w:rsid w:val="00924662"/>
    <w:rsid w:val="009260E6"/>
    <w:rsid w:val="00927C6C"/>
    <w:rsid w:val="009321C0"/>
    <w:rsid w:val="00944362"/>
    <w:rsid w:val="00946B03"/>
    <w:rsid w:val="00955F34"/>
    <w:rsid w:val="00957256"/>
    <w:rsid w:val="0096075E"/>
    <w:rsid w:val="00960CC1"/>
    <w:rsid w:val="00965CFE"/>
    <w:rsid w:val="00972BED"/>
    <w:rsid w:val="00973DC4"/>
    <w:rsid w:val="0097589B"/>
    <w:rsid w:val="009807B4"/>
    <w:rsid w:val="00981126"/>
    <w:rsid w:val="00981776"/>
    <w:rsid w:val="009829C1"/>
    <w:rsid w:val="00987B16"/>
    <w:rsid w:val="009910F7"/>
    <w:rsid w:val="00993E70"/>
    <w:rsid w:val="009A0EA4"/>
    <w:rsid w:val="009A1557"/>
    <w:rsid w:val="009A2F5E"/>
    <w:rsid w:val="009B3CAD"/>
    <w:rsid w:val="009C2E17"/>
    <w:rsid w:val="009C46CE"/>
    <w:rsid w:val="009C5F2E"/>
    <w:rsid w:val="009D1AC0"/>
    <w:rsid w:val="009D255F"/>
    <w:rsid w:val="009D41D6"/>
    <w:rsid w:val="009E1102"/>
    <w:rsid w:val="009E43CC"/>
    <w:rsid w:val="009F3286"/>
    <w:rsid w:val="009F4B70"/>
    <w:rsid w:val="009F7FB2"/>
    <w:rsid w:val="00A00AF6"/>
    <w:rsid w:val="00A020AD"/>
    <w:rsid w:val="00A0356C"/>
    <w:rsid w:val="00A07406"/>
    <w:rsid w:val="00A12E49"/>
    <w:rsid w:val="00A2680C"/>
    <w:rsid w:val="00A3200A"/>
    <w:rsid w:val="00A41595"/>
    <w:rsid w:val="00A4276D"/>
    <w:rsid w:val="00A42C30"/>
    <w:rsid w:val="00A43090"/>
    <w:rsid w:val="00A54B81"/>
    <w:rsid w:val="00A5541C"/>
    <w:rsid w:val="00A57F88"/>
    <w:rsid w:val="00A62B58"/>
    <w:rsid w:val="00A670CB"/>
    <w:rsid w:val="00A7318C"/>
    <w:rsid w:val="00A75319"/>
    <w:rsid w:val="00A754B5"/>
    <w:rsid w:val="00A82C33"/>
    <w:rsid w:val="00A84C97"/>
    <w:rsid w:val="00A87EDE"/>
    <w:rsid w:val="00A90539"/>
    <w:rsid w:val="00AA0B7C"/>
    <w:rsid w:val="00AA5FE0"/>
    <w:rsid w:val="00AA76DA"/>
    <w:rsid w:val="00AA77F7"/>
    <w:rsid w:val="00AB0306"/>
    <w:rsid w:val="00AB3189"/>
    <w:rsid w:val="00AB497E"/>
    <w:rsid w:val="00AB5EFB"/>
    <w:rsid w:val="00AC4BEB"/>
    <w:rsid w:val="00AD1270"/>
    <w:rsid w:val="00AD28C4"/>
    <w:rsid w:val="00AD29F4"/>
    <w:rsid w:val="00AD62B6"/>
    <w:rsid w:val="00AE19DC"/>
    <w:rsid w:val="00AE32A4"/>
    <w:rsid w:val="00AE522B"/>
    <w:rsid w:val="00AF0530"/>
    <w:rsid w:val="00AF19CC"/>
    <w:rsid w:val="00AF356A"/>
    <w:rsid w:val="00AF791C"/>
    <w:rsid w:val="00B01FAA"/>
    <w:rsid w:val="00B060FE"/>
    <w:rsid w:val="00B1348B"/>
    <w:rsid w:val="00B15C9F"/>
    <w:rsid w:val="00B178D4"/>
    <w:rsid w:val="00B349A1"/>
    <w:rsid w:val="00B43605"/>
    <w:rsid w:val="00B43DF1"/>
    <w:rsid w:val="00B46C71"/>
    <w:rsid w:val="00B5130B"/>
    <w:rsid w:val="00B52C65"/>
    <w:rsid w:val="00B546C8"/>
    <w:rsid w:val="00B560F7"/>
    <w:rsid w:val="00B562FA"/>
    <w:rsid w:val="00B6182F"/>
    <w:rsid w:val="00B62E37"/>
    <w:rsid w:val="00B67B63"/>
    <w:rsid w:val="00B72B0B"/>
    <w:rsid w:val="00B7445F"/>
    <w:rsid w:val="00B75A9F"/>
    <w:rsid w:val="00B77902"/>
    <w:rsid w:val="00B815B1"/>
    <w:rsid w:val="00B82A28"/>
    <w:rsid w:val="00B851FC"/>
    <w:rsid w:val="00B85C76"/>
    <w:rsid w:val="00B91E34"/>
    <w:rsid w:val="00B9246A"/>
    <w:rsid w:val="00BA1BBF"/>
    <w:rsid w:val="00BA6180"/>
    <w:rsid w:val="00BA6C68"/>
    <w:rsid w:val="00BB13D4"/>
    <w:rsid w:val="00BB155D"/>
    <w:rsid w:val="00BC077A"/>
    <w:rsid w:val="00BC68C3"/>
    <w:rsid w:val="00BC6F58"/>
    <w:rsid w:val="00BD4B0C"/>
    <w:rsid w:val="00BE0309"/>
    <w:rsid w:val="00BE270B"/>
    <w:rsid w:val="00BE29B3"/>
    <w:rsid w:val="00BE3134"/>
    <w:rsid w:val="00BF3AF0"/>
    <w:rsid w:val="00BF4201"/>
    <w:rsid w:val="00BF6C27"/>
    <w:rsid w:val="00C057A4"/>
    <w:rsid w:val="00C07A4C"/>
    <w:rsid w:val="00C20E44"/>
    <w:rsid w:val="00C25630"/>
    <w:rsid w:val="00C33881"/>
    <w:rsid w:val="00C34EE7"/>
    <w:rsid w:val="00C45147"/>
    <w:rsid w:val="00C50AAE"/>
    <w:rsid w:val="00C51D07"/>
    <w:rsid w:val="00C64E58"/>
    <w:rsid w:val="00C75F35"/>
    <w:rsid w:val="00C77B47"/>
    <w:rsid w:val="00C8128B"/>
    <w:rsid w:val="00C812CB"/>
    <w:rsid w:val="00C81BBC"/>
    <w:rsid w:val="00C85868"/>
    <w:rsid w:val="00C8635D"/>
    <w:rsid w:val="00C86A75"/>
    <w:rsid w:val="00C87B62"/>
    <w:rsid w:val="00C94BF7"/>
    <w:rsid w:val="00C967D6"/>
    <w:rsid w:val="00CA46E0"/>
    <w:rsid w:val="00CB465B"/>
    <w:rsid w:val="00CB54DA"/>
    <w:rsid w:val="00CB604F"/>
    <w:rsid w:val="00CD0040"/>
    <w:rsid w:val="00CE18DD"/>
    <w:rsid w:val="00CF4E6A"/>
    <w:rsid w:val="00CF6240"/>
    <w:rsid w:val="00D151F6"/>
    <w:rsid w:val="00D24DE1"/>
    <w:rsid w:val="00D268E0"/>
    <w:rsid w:val="00D345DA"/>
    <w:rsid w:val="00D36AB1"/>
    <w:rsid w:val="00D37E8D"/>
    <w:rsid w:val="00D40E95"/>
    <w:rsid w:val="00D415A8"/>
    <w:rsid w:val="00D44AB6"/>
    <w:rsid w:val="00D44E43"/>
    <w:rsid w:val="00D510E4"/>
    <w:rsid w:val="00D51704"/>
    <w:rsid w:val="00D54D58"/>
    <w:rsid w:val="00D648DC"/>
    <w:rsid w:val="00D64D23"/>
    <w:rsid w:val="00D81CE2"/>
    <w:rsid w:val="00D96685"/>
    <w:rsid w:val="00DA1219"/>
    <w:rsid w:val="00DB2974"/>
    <w:rsid w:val="00DB319E"/>
    <w:rsid w:val="00DB58F0"/>
    <w:rsid w:val="00DC5751"/>
    <w:rsid w:val="00DD2D3D"/>
    <w:rsid w:val="00DD51CF"/>
    <w:rsid w:val="00DD6252"/>
    <w:rsid w:val="00DF1BE0"/>
    <w:rsid w:val="00DF1D58"/>
    <w:rsid w:val="00DF464D"/>
    <w:rsid w:val="00DF7AC6"/>
    <w:rsid w:val="00E05BB3"/>
    <w:rsid w:val="00E142EB"/>
    <w:rsid w:val="00E209FB"/>
    <w:rsid w:val="00E2168C"/>
    <w:rsid w:val="00E43A93"/>
    <w:rsid w:val="00E44DE2"/>
    <w:rsid w:val="00E51EA5"/>
    <w:rsid w:val="00E55905"/>
    <w:rsid w:val="00E666DA"/>
    <w:rsid w:val="00E71CD2"/>
    <w:rsid w:val="00E74B8D"/>
    <w:rsid w:val="00E75AD6"/>
    <w:rsid w:val="00E770CB"/>
    <w:rsid w:val="00E80522"/>
    <w:rsid w:val="00E81827"/>
    <w:rsid w:val="00E84373"/>
    <w:rsid w:val="00E9234D"/>
    <w:rsid w:val="00E925F8"/>
    <w:rsid w:val="00E92654"/>
    <w:rsid w:val="00E9268C"/>
    <w:rsid w:val="00EA22F1"/>
    <w:rsid w:val="00EA614A"/>
    <w:rsid w:val="00EB58CB"/>
    <w:rsid w:val="00EF45E1"/>
    <w:rsid w:val="00EF5D49"/>
    <w:rsid w:val="00EF684B"/>
    <w:rsid w:val="00EF7AAB"/>
    <w:rsid w:val="00F012CE"/>
    <w:rsid w:val="00F10918"/>
    <w:rsid w:val="00F11368"/>
    <w:rsid w:val="00F11883"/>
    <w:rsid w:val="00F126B8"/>
    <w:rsid w:val="00F15B7D"/>
    <w:rsid w:val="00F16F22"/>
    <w:rsid w:val="00F208C6"/>
    <w:rsid w:val="00F263E1"/>
    <w:rsid w:val="00F3337D"/>
    <w:rsid w:val="00F536FE"/>
    <w:rsid w:val="00F54776"/>
    <w:rsid w:val="00F6679F"/>
    <w:rsid w:val="00F67C79"/>
    <w:rsid w:val="00F80657"/>
    <w:rsid w:val="00F94419"/>
    <w:rsid w:val="00F97A6C"/>
    <w:rsid w:val="00FB6BAE"/>
    <w:rsid w:val="00FC592A"/>
    <w:rsid w:val="00FC7096"/>
    <w:rsid w:val="00FC74CD"/>
    <w:rsid w:val="00FC74EA"/>
    <w:rsid w:val="00FD6699"/>
    <w:rsid w:val="00FD7F22"/>
    <w:rsid w:val="00FE0AE7"/>
    <w:rsid w:val="00FF5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3315A9"/>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F16F22"/>
    <w:rPr>
      <w:color w:val="0563C1" w:themeColor="hyperlink"/>
      <w:u w:val="single"/>
    </w:rPr>
  </w:style>
  <w:style w:type="character" w:styleId="FollowedHyperlink">
    <w:name w:val="FollowedHyperlink"/>
    <w:basedOn w:val="DefaultParagraphFont"/>
    <w:uiPriority w:val="99"/>
    <w:semiHidden/>
    <w:unhideWhenUsed/>
    <w:rsid w:val="00F16F22"/>
    <w:rPr>
      <w:color w:val="954F72" w:themeColor="followedHyperlink"/>
      <w:u w:val="single"/>
    </w:rPr>
  </w:style>
  <w:style w:type="table" w:styleId="TableGrid">
    <w:name w:val="Table Grid"/>
    <w:basedOn w:val="TableNormal"/>
    <w:uiPriority w:val="39"/>
    <w:rsid w:val="0096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A0EA4"/>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7992">
      <w:bodyDiv w:val="1"/>
      <w:marLeft w:val="0"/>
      <w:marRight w:val="0"/>
      <w:marTop w:val="0"/>
      <w:marBottom w:val="0"/>
      <w:divBdr>
        <w:top w:val="none" w:sz="0" w:space="0" w:color="auto"/>
        <w:left w:val="none" w:sz="0" w:space="0" w:color="auto"/>
        <w:bottom w:val="none" w:sz="0" w:space="0" w:color="auto"/>
        <w:right w:val="none" w:sz="0" w:space="0" w:color="auto"/>
      </w:divBdr>
    </w:div>
    <w:div w:id="90667979">
      <w:bodyDiv w:val="1"/>
      <w:marLeft w:val="0"/>
      <w:marRight w:val="0"/>
      <w:marTop w:val="0"/>
      <w:marBottom w:val="0"/>
      <w:divBdr>
        <w:top w:val="none" w:sz="0" w:space="0" w:color="auto"/>
        <w:left w:val="none" w:sz="0" w:space="0" w:color="auto"/>
        <w:bottom w:val="none" w:sz="0" w:space="0" w:color="auto"/>
        <w:right w:val="none" w:sz="0" w:space="0" w:color="auto"/>
      </w:divBdr>
    </w:div>
    <w:div w:id="137461107">
      <w:bodyDiv w:val="1"/>
      <w:marLeft w:val="0"/>
      <w:marRight w:val="0"/>
      <w:marTop w:val="0"/>
      <w:marBottom w:val="0"/>
      <w:divBdr>
        <w:top w:val="none" w:sz="0" w:space="0" w:color="auto"/>
        <w:left w:val="none" w:sz="0" w:space="0" w:color="auto"/>
        <w:bottom w:val="none" w:sz="0" w:space="0" w:color="auto"/>
        <w:right w:val="none" w:sz="0" w:space="0" w:color="auto"/>
      </w:divBdr>
    </w:div>
    <w:div w:id="147793364">
      <w:bodyDiv w:val="1"/>
      <w:marLeft w:val="0"/>
      <w:marRight w:val="0"/>
      <w:marTop w:val="0"/>
      <w:marBottom w:val="0"/>
      <w:divBdr>
        <w:top w:val="none" w:sz="0" w:space="0" w:color="auto"/>
        <w:left w:val="none" w:sz="0" w:space="0" w:color="auto"/>
        <w:bottom w:val="none" w:sz="0" w:space="0" w:color="auto"/>
        <w:right w:val="none" w:sz="0" w:space="0" w:color="auto"/>
      </w:divBdr>
    </w:div>
    <w:div w:id="216671186">
      <w:bodyDiv w:val="1"/>
      <w:marLeft w:val="0"/>
      <w:marRight w:val="0"/>
      <w:marTop w:val="0"/>
      <w:marBottom w:val="0"/>
      <w:divBdr>
        <w:top w:val="none" w:sz="0" w:space="0" w:color="auto"/>
        <w:left w:val="none" w:sz="0" w:space="0" w:color="auto"/>
        <w:bottom w:val="none" w:sz="0" w:space="0" w:color="auto"/>
        <w:right w:val="none" w:sz="0" w:space="0" w:color="auto"/>
      </w:divBdr>
    </w:div>
    <w:div w:id="273245702">
      <w:bodyDiv w:val="1"/>
      <w:marLeft w:val="0"/>
      <w:marRight w:val="0"/>
      <w:marTop w:val="0"/>
      <w:marBottom w:val="0"/>
      <w:divBdr>
        <w:top w:val="none" w:sz="0" w:space="0" w:color="auto"/>
        <w:left w:val="none" w:sz="0" w:space="0" w:color="auto"/>
        <w:bottom w:val="none" w:sz="0" w:space="0" w:color="auto"/>
        <w:right w:val="none" w:sz="0" w:space="0" w:color="auto"/>
      </w:divBdr>
    </w:div>
    <w:div w:id="345597565">
      <w:bodyDiv w:val="1"/>
      <w:marLeft w:val="0"/>
      <w:marRight w:val="0"/>
      <w:marTop w:val="0"/>
      <w:marBottom w:val="0"/>
      <w:divBdr>
        <w:top w:val="none" w:sz="0" w:space="0" w:color="auto"/>
        <w:left w:val="none" w:sz="0" w:space="0" w:color="auto"/>
        <w:bottom w:val="none" w:sz="0" w:space="0" w:color="auto"/>
        <w:right w:val="none" w:sz="0" w:space="0" w:color="auto"/>
      </w:divBdr>
    </w:div>
    <w:div w:id="362636028">
      <w:bodyDiv w:val="1"/>
      <w:marLeft w:val="0"/>
      <w:marRight w:val="0"/>
      <w:marTop w:val="0"/>
      <w:marBottom w:val="0"/>
      <w:divBdr>
        <w:top w:val="none" w:sz="0" w:space="0" w:color="auto"/>
        <w:left w:val="none" w:sz="0" w:space="0" w:color="auto"/>
        <w:bottom w:val="none" w:sz="0" w:space="0" w:color="auto"/>
        <w:right w:val="none" w:sz="0" w:space="0" w:color="auto"/>
      </w:divBdr>
    </w:div>
    <w:div w:id="629478530">
      <w:bodyDiv w:val="1"/>
      <w:marLeft w:val="0"/>
      <w:marRight w:val="0"/>
      <w:marTop w:val="0"/>
      <w:marBottom w:val="0"/>
      <w:divBdr>
        <w:top w:val="none" w:sz="0" w:space="0" w:color="auto"/>
        <w:left w:val="none" w:sz="0" w:space="0" w:color="auto"/>
        <w:bottom w:val="none" w:sz="0" w:space="0" w:color="auto"/>
        <w:right w:val="none" w:sz="0" w:space="0" w:color="auto"/>
      </w:divBdr>
    </w:div>
    <w:div w:id="697773900">
      <w:bodyDiv w:val="1"/>
      <w:marLeft w:val="0"/>
      <w:marRight w:val="0"/>
      <w:marTop w:val="0"/>
      <w:marBottom w:val="0"/>
      <w:divBdr>
        <w:top w:val="none" w:sz="0" w:space="0" w:color="auto"/>
        <w:left w:val="none" w:sz="0" w:space="0" w:color="auto"/>
        <w:bottom w:val="none" w:sz="0" w:space="0" w:color="auto"/>
        <w:right w:val="none" w:sz="0" w:space="0" w:color="auto"/>
      </w:divBdr>
    </w:div>
    <w:div w:id="702175077">
      <w:bodyDiv w:val="1"/>
      <w:marLeft w:val="0"/>
      <w:marRight w:val="0"/>
      <w:marTop w:val="0"/>
      <w:marBottom w:val="0"/>
      <w:divBdr>
        <w:top w:val="none" w:sz="0" w:space="0" w:color="auto"/>
        <w:left w:val="none" w:sz="0" w:space="0" w:color="auto"/>
        <w:bottom w:val="none" w:sz="0" w:space="0" w:color="auto"/>
        <w:right w:val="none" w:sz="0" w:space="0" w:color="auto"/>
      </w:divBdr>
    </w:div>
    <w:div w:id="709575489">
      <w:bodyDiv w:val="1"/>
      <w:marLeft w:val="0"/>
      <w:marRight w:val="0"/>
      <w:marTop w:val="0"/>
      <w:marBottom w:val="0"/>
      <w:divBdr>
        <w:top w:val="none" w:sz="0" w:space="0" w:color="auto"/>
        <w:left w:val="none" w:sz="0" w:space="0" w:color="auto"/>
        <w:bottom w:val="none" w:sz="0" w:space="0" w:color="auto"/>
        <w:right w:val="none" w:sz="0" w:space="0" w:color="auto"/>
      </w:divBdr>
    </w:div>
    <w:div w:id="801266621">
      <w:bodyDiv w:val="1"/>
      <w:marLeft w:val="0"/>
      <w:marRight w:val="0"/>
      <w:marTop w:val="0"/>
      <w:marBottom w:val="0"/>
      <w:divBdr>
        <w:top w:val="none" w:sz="0" w:space="0" w:color="auto"/>
        <w:left w:val="none" w:sz="0" w:space="0" w:color="auto"/>
        <w:bottom w:val="none" w:sz="0" w:space="0" w:color="auto"/>
        <w:right w:val="none" w:sz="0" w:space="0" w:color="auto"/>
      </w:divBdr>
    </w:div>
    <w:div w:id="854660010">
      <w:bodyDiv w:val="1"/>
      <w:marLeft w:val="0"/>
      <w:marRight w:val="0"/>
      <w:marTop w:val="0"/>
      <w:marBottom w:val="0"/>
      <w:divBdr>
        <w:top w:val="none" w:sz="0" w:space="0" w:color="auto"/>
        <w:left w:val="none" w:sz="0" w:space="0" w:color="auto"/>
        <w:bottom w:val="none" w:sz="0" w:space="0" w:color="auto"/>
        <w:right w:val="none" w:sz="0" w:space="0" w:color="auto"/>
      </w:divBdr>
    </w:div>
    <w:div w:id="960308846">
      <w:bodyDiv w:val="1"/>
      <w:marLeft w:val="0"/>
      <w:marRight w:val="0"/>
      <w:marTop w:val="0"/>
      <w:marBottom w:val="0"/>
      <w:divBdr>
        <w:top w:val="none" w:sz="0" w:space="0" w:color="auto"/>
        <w:left w:val="none" w:sz="0" w:space="0" w:color="auto"/>
        <w:bottom w:val="none" w:sz="0" w:space="0" w:color="auto"/>
        <w:right w:val="none" w:sz="0" w:space="0" w:color="auto"/>
      </w:divBdr>
    </w:div>
    <w:div w:id="1023507822">
      <w:bodyDiv w:val="1"/>
      <w:marLeft w:val="0"/>
      <w:marRight w:val="0"/>
      <w:marTop w:val="0"/>
      <w:marBottom w:val="0"/>
      <w:divBdr>
        <w:top w:val="none" w:sz="0" w:space="0" w:color="auto"/>
        <w:left w:val="none" w:sz="0" w:space="0" w:color="auto"/>
        <w:bottom w:val="none" w:sz="0" w:space="0" w:color="auto"/>
        <w:right w:val="none" w:sz="0" w:space="0" w:color="auto"/>
      </w:divBdr>
    </w:div>
    <w:div w:id="1052076876">
      <w:bodyDiv w:val="1"/>
      <w:marLeft w:val="0"/>
      <w:marRight w:val="0"/>
      <w:marTop w:val="0"/>
      <w:marBottom w:val="0"/>
      <w:divBdr>
        <w:top w:val="none" w:sz="0" w:space="0" w:color="auto"/>
        <w:left w:val="none" w:sz="0" w:space="0" w:color="auto"/>
        <w:bottom w:val="none" w:sz="0" w:space="0" w:color="auto"/>
        <w:right w:val="none" w:sz="0" w:space="0" w:color="auto"/>
      </w:divBdr>
    </w:div>
    <w:div w:id="1054156400">
      <w:bodyDiv w:val="1"/>
      <w:marLeft w:val="0"/>
      <w:marRight w:val="0"/>
      <w:marTop w:val="0"/>
      <w:marBottom w:val="0"/>
      <w:divBdr>
        <w:top w:val="none" w:sz="0" w:space="0" w:color="auto"/>
        <w:left w:val="none" w:sz="0" w:space="0" w:color="auto"/>
        <w:bottom w:val="none" w:sz="0" w:space="0" w:color="auto"/>
        <w:right w:val="none" w:sz="0" w:space="0" w:color="auto"/>
      </w:divBdr>
    </w:div>
    <w:div w:id="1057362666">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190489227">
      <w:bodyDiv w:val="1"/>
      <w:marLeft w:val="0"/>
      <w:marRight w:val="0"/>
      <w:marTop w:val="0"/>
      <w:marBottom w:val="0"/>
      <w:divBdr>
        <w:top w:val="none" w:sz="0" w:space="0" w:color="auto"/>
        <w:left w:val="none" w:sz="0" w:space="0" w:color="auto"/>
        <w:bottom w:val="none" w:sz="0" w:space="0" w:color="auto"/>
        <w:right w:val="none" w:sz="0" w:space="0" w:color="auto"/>
      </w:divBdr>
    </w:div>
    <w:div w:id="1314094381">
      <w:bodyDiv w:val="1"/>
      <w:marLeft w:val="0"/>
      <w:marRight w:val="0"/>
      <w:marTop w:val="0"/>
      <w:marBottom w:val="0"/>
      <w:divBdr>
        <w:top w:val="none" w:sz="0" w:space="0" w:color="auto"/>
        <w:left w:val="none" w:sz="0" w:space="0" w:color="auto"/>
        <w:bottom w:val="none" w:sz="0" w:space="0" w:color="auto"/>
        <w:right w:val="none" w:sz="0" w:space="0" w:color="auto"/>
      </w:divBdr>
    </w:div>
    <w:div w:id="1559126519">
      <w:bodyDiv w:val="1"/>
      <w:marLeft w:val="0"/>
      <w:marRight w:val="0"/>
      <w:marTop w:val="0"/>
      <w:marBottom w:val="0"/>
      <w:divBdr>
        <w:top w:val="none" w:sz="0" w:space="0" w:color="auto"/>
        <w:left w:val="none" w:sz="0" w:space="0" w:color="auto"/>
        <w:bottom w:val="none" w:sz="0" w:space="0" w:color="auto"/>
        <w:right w:val="none" w:sz="0" w:space="0" w:color="auto"/>
      </w:divBdr>
    </w:div>
    <w:div w:id="1600943778">
      <w:bodyDiv w:val="1"/>
      <w:marLeft w:val="0"/>
      <w:marRight w:val="0"/>
      <w:marTop w:val="0"/>
      <w:marBottom w:val="0"/>
      <w:divBdr>
        <w:top w:val="none" w:sz="0" w:space="0" w:color="auto"/>
        <w:left w:val="none" w:sz="0" w:space="0" w:color="auto"/>
        <w:bottom w:val="none" w:sz="0" w:space="0" w:color="auto"/>
        <w:right w:val="none" w:sz="0" w:space="0" w:color="auto"/>
      </w:divBdr>
    </w:div>
    <w:div w:id="1641763019">
      <w:bodyDiv w:val="1"/>
      <w:marLeft w:val="0"/>
      <w:marRight w:val="0"/>
      <w:marTop w:val="0"/>
      <w:marBottom w:val="0"/>
      <w:divBdr>
        <w:top w:val="none" w:sz="0" w:space="0" w:color="auto"/>
        <w:left w:val="none" w:sz="0" w:space="0" w:color="auto"/>
        <w:bottom w:val="none" w:sz="0" w:space="0" w:color="auto"/>
        <w:right w:val="none" w:sz="0" w:space="0" w:color="auto"/>
      </w:divBdr>
    </w:div>
    <w:div w:id="1709179866">
      <w:bodyDiv w:val="1"/>
      <w:marLeft w:val="0"/>
      <w:marRight w:val="0"/>
      <w:marTop w:val="0"/>
      <w:marBottom w:val="0"/>
      <w:divBdr>
        <w:top w:val="none" w:sz="0" w:space="0" w:color="auto"/>
        <w:left w:val="none" w:sz="0" w:space="0" w:color="auto"/>
        <w:bottom w:val="none" w:sz="0" w:space="0" w:color="auto"/>
        <w:right w:val="none" w:sz="0" w:space="0" w:color="auto"/>
      </w:divBdr>
    </w:div>
    <w:div w:id="2026594525">
      <w:bodyDiv w:val="1"/>
      <w:marLeft w:val="0"/>
      <w:marRight w:val="0"/>
      <w:marTop w:val="0"/>
      <w:marBottom w:val="0"/>
      <w:divBdr>
        <w:top w:val="none" w:sz="0" w:space="0" w:color="auto"/>
        <w:left w:val="none" w:sz="0" w:space="0" w:color="auto"/>
        <w:bottom w:val="none" w:sz="0" w:space="0" w:color="auto"/>
        <w:right w:val="none" w:sz="0" w:space="0" w:color="auto"/>
      </w:divBdr>
    </w:div>
    <w:div w:id="2092963620">
      <w:bodyDiv w:val="1"/>
      <w:marLeft w:val="0"/>
      <w:marRight w:val="0"/>
      <w:marTop w:val="0"/>
      <w:marBottom w:val="0"/>
      <w:divBdr>
        <w:top w:val="none" w:sz="0" w:space="0" w:color="auto"/>
        <w:left w:val="none" w:sz="0" w:space="0" w:color="auto"/>
        <w:bottom w:val="none" w:sz="0" w:space="0" w:color="auto"/>
        <w:right w:val="none" w:sz="0" w:space="0" w:color="auto"/>
      </w:divBdr>
    </w:div>
    <w:div w:id="21162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Health &amp; Safety Report - Excluding Patient Falls</a:t>
            </a:r>
          </a:p>
        </c:rich>
      </c:tx>
      <c:layout/>
      <c:overlay val="0"/>
    </c:title>
    <c:autoTitleDeleted val="0"/>
    <c:plotArea>
      <c:layout/>
      <c:barChart>
        <c:barDir val="col"/>
        <c:grouping val="clustered"/>
        <c:varyColors val="0"/>
        <c:ser>
          <c:idx val="0"/>
          <c:order val="0"/>
          <c:tx>
            <c:strRef>
              <c:f>Data!$A$1</c:f>
              <c:strCache>
                <c:ptCount val="1"/>
                <c:pt idx="0">
                  <c:v>X-axis</c:v>
                </c:pt>
              </c:strCache>
            </c:strRef>
          </c:tx>
          <c:invertIfNegative val="0"/>
          <c:cat>
            <c:strRef>
              <c:f>Data!$A$2:$A$6</c:f>
              <c:strCache>
                <c:ptCount val="5"/>
                <c:pt idx="0">
                  <c:v>Contact with Sharps</c:v>
                </c:pt>
                <c:pt idx="1">
                  <c:v>Slip/Trip or Fall </c:v>
                </c:pt>
                <c:pt idx="2">
                  <c:v>Exposure to Unsafe Environmental Conditions</c:v>
                </c:pt>
                <c:pt idx="3">
                  <c:v>Exposure to Hazardous Substances</c:v>
                </c:pt>
                <c:pt idx="4">
                  <c:v>Contact/Collision with Objects</c:v>
                </c:pt>
              </c:strCache>
            </c:strRef>
          </c:cat>
          <c:val>
            <c:numRef>
              <c:f>Data!$B$2:$B$6</c:f>
              <c:numCache>
                <c:formatCode>General</c:formatCode>
                <c:ptCount val="5"/>
                <c:pt idx="0">
                  <c:v>13</c:v>
                </c:pt>
                <c:pt idx="1">
                  <c:v>10</c:v>
                </c:pt>
                <c:pt idx="2">
                  <c:v>8</c:v>
                </c:pt>
                <c:pt idx="3">
                  <c:v>8</c:v>
                </c:pt>
                <c:pt idx="4">
                  <c:v>7</c:v>
                </c:pt>
              </c:numCache>
            </c:numRef>
          </c:val>
          <c:extLst>
            <c:ext xmlns:c16="http://schemas.microsoft.com/office/drawing/2014/chart" uri="{C3380CC4-5D6E-409C-BE32-E72D297353CC}">
              <c16:uniqueId val="{00000000-9B16-4C12-8D40-87048702D1D8}"/>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4873-7324-4DB9-B335-164CBBFB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8</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128</cp:revision>
  <cp:lastPrinted>2019-10-07T12:25:00Z</cp:lastPrinted>
  <dcterms:created xsi:type="dcterms:W3CDTF">2024-02-06T10:52:00Z</dcterms:created>
  <dcterms:modified xsi:type="dcterms:W3CDTF">2025-03-14T10:05:00Z</dcterms:modified>
</cp:coreProperties>
</file>