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135" w14:textId="207FC2C8" w:rsidR="003A1846" w:rsidRDefault="00156BDF" w:rsidP="00131796">
      <w:pPr>
        <w:jc w:val="center"/>
        <w:rPr>
          <w:rFonts w:ascii="Arial" w:hAnsi="Arial" w:cs="Arial"/>
          <w:sz w:val="24"/>
          <w:szCs w:val="24"/>
        </w:rPr>
      </w:pPr>
      <w:r w:rsidRPr="00A204E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F85CA89" wp14:editId="2AB7C2B6">
            <wp:simplePos x="0" y="0"/>
            <wp:positionH relativeFrom="margin">
              <wp:align>left</wp:align>
            </wp:positionH>
            <wp:positionV relativeFrom="margin">
              <wp:posOffset>48884</wp:posOffset>
            </wp:positionV>
            <wp:extent cx="3784600" cy="2670175"/>
            <wp:effectExtent l="133350" t="114300" r="139700" b="1682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67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846">
        <w:rPr>
          <w:noProof/>
          <w:lang w:eastAsia="en-GB"/>
        </w:rPr>
        <w:drawing>
          <wp:inline distT="0" distB="0" distL="0" distR="0" wp14:anchorId="66B58AE5" wp14:editId="5D9E57AB">
            <wp:extent cx="1566916" cy="9249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8" cy="9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8B5C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7D24F85F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0E595E4F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1583C89B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7BB395DB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3388F190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27A7F6A8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71AE6099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49BCB80E" w14:textId="77777777"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p w14:paraId="67EDCF45" w14:textId="77777777" w:rsidR="004265A6" w:rsidRDefault="004265A6" w:rsidP="00CC1CFF">
      <w:pPr>
        <w:jc w:val="both"/>
        <w:rPr>
          <w:rFonts w:ascii="Arial" w:hAnsi="Arial" w:cs="Arial"/>
          <w:sz w:val="24"/>
          <w:szCs w:val="24"/>
        </w:rPr>
      </w:pPr>
    </w:p>
    <w:p w14:paraId="29357045" w14:textId="77777777" w:rsidR="00A50166" w:rsidRDefault="00A50166" w:rsidP="00131796">
      <w:pPr>
        <w:jc w:val="center"/>
        <w:rPr>
          <w:rFonts w:ascii="Arial" w:hAnsi="Arial" w:cs="Arial"/>
          <w:b/>
          <w:sz w:val="48"/>
          <w:szCs w:val="48"/>
        </w:rPr>
      </w:pPr>
      <w:r w:rsidRPr="00A50166">
        <w:rPr>
          <w:rFonts w:ascii="Arial" w:hAnsi="Arial" w:cs="Arial"/>
          <w:b/>
          <w:sz w:val="48"/>
          <w:szCs w:val="48"/>
        </w:rPr>
        <w:t>NHS GOLDEN JUBILEE</w:t>
      </w:r>
    </w:p>
    <w:p w14:paraId="0220D79E" w14:textId="77777777" w:rsidR="00D3637F" w:rsidRDefault="00D3637F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FINAL SUMMARY FINANCIAL REPORT</w:t>
      </w:r>
    </w:p>
    <w:p w14:paraId="40FC85FD" w14:textId="77777777" w:rsidR="00D3637F" w:rsidRDefault="00D3637F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2024/25</w:t>
      </w:r>
    </w:p>
    <w:p w14:paraId="32AD2097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36C81DFE" w14:textId="77777777" w:rsidR="00D3637F" w:rsidRDefault="00D3637F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36336AA6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6D8F1FD2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26C49A00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5F54BC41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50C6E3AD" w14:textId="77777777"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79194A6C" w14:textId="77777777" w:rsidR="00CB19A1" w:rsidRPr="00A50166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14:paraId="5A49049F" w14:textId="77777777"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10826"/>
      </w:tblGrid>
      <w:tr w:rsidR="00131796" w:rsidRPr="00594355" w14:paraId="349A3282" w14:textId="77777777" w:rsidTr="002B4873">
        <w:trPr>
          <w:trHeight w:val="567"/>
        </w:trPr>
        <w:tc>
          <w:tcPr>
            <w:tcW w:w="10826" w:type="dxa"/>
            <w:shd w:val="clear" w:color="auto" w:fill="E7E6E6" w:themeFill="background2"/>
          </w:tcPr>
          <w:p w14:paraId="3E433D79" w14:textId="77777777" w:rsidR="00594355" w:rsidRPr="00BD37A2" w:rsidRDefault="00131796" w:rsidP="00D3637F">
            <w:pPr>
              <w:ind w:left="-5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lastRenderedPageBreak/>
              <w:t>F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INANCIAL POSITION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– 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>Final Summary Financial Report 2024/25</w:t>
            </w:r>
          </w:p>
        </w:tc>
      </w:tr>
      <w:tr w:rsidR="00FF51B4" w:rsidRPr="00594355" w14:paraId="348FBF0A" w14:textId="77777777" w:rsidTr="002B4873">
        <w:trPr>
          <w:trHeight w:val="567"/>
        </w:trPr>
        <w:tc>
          <w:tcPr>
            <w:tcW w:w="10826" w:type="dxa"/>
            <w:shd w:val="clear" w:color="auto" w:fill="E7E6E6" w:themeFill="background2"/>
          </w:tcPr>
          <w:p w14:paraId="1A90801E" w14:textId="77777777" w:rsidR="00FF51B4" w:rsidRPr="00BD37A2" w:rsidRDefault="006877BA" w:rsidP="006877B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EXECUTIVE S</w:t>
            </w:r>
            <w:r w:rsidR="00FF51B4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UMMARY</w:t>
            </w:r>
          </w:p>
        </w:tc>
      </w:tr>
      <w:tr w:rsidR="00D04E68" w:rsidRPr="00594355" w14:paraId="28B8F6AA" w14:textId="77777777" w:rsidTr="002B4873">
        <w:tc>
          <w:tcPr>
            <w:tcW w:w="10826" w:type="dxa"/>
          </w:tcPr>
          <w:p w14:paraId="09A0A8B2" w14:textId="77777777" w:rsidR="00D04E68" w:rsidRPr="005961DA" w:rsidRDefault="00A974AA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to </w:t>
            </w:r>
            <w:r w:rsidR="001468F5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2026/27</w:t>
            </w:r>
            <w:r w:rsidR="00D04E68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F</w:t>
            </w:r>
            <w:r w:rsidR="00945899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INANCIAL PLAN</w:t>
            </w:r>
          </w:p>
          <w:p w14:paraId="737461C5" w14:textId="77777777" w:rsidR="00D04E68" w:rsidRP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D7A9BE" w14:textId="77777777" w:rsidR="00F518D1" w:rsidRDefault="00F518D1" w:rsidP="00F518D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final </w:t>
            </w:r>
            <w:r w:rsidR="00D1719F">
              <w:rPr>
                <w:rFonts w:ascii="Arial" w:hAnsi="Arial" w:cs="Arial"/>
                <w:sz w:val="24"/>
                <w:szCs w:val="24"/>
              </w:rPr>
              <w:t xml:space="preserve">efficiency </w:t>
            </w:r>
            <w:r>
              <w:rPr>
                <w:rFonts w:ascii="Arial" w:hAnsi="Arial" w:cs="Arial"/>
                <w:sz w:val="24"/>
                <w:szCs w:val="24"/>
              </w:rPr>
              <w:t xml:space="preserve">savings </w:t>
            </w:r>
            <w:r w:rsidRPr="00105386">
              <w:rPr>
                <w:rFonts w:ascii="Arial" w:hAnsi="Arial" w:cs="Arial"/>
                <w:sz w:val="24"/>
                <w:szCs w:val="24"/>
              </w:rPr>
              <w:t xml:space="preserve">trajectory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F518D1">
              <w:rPr>
                <w:rFonts w:ascii="Arial" w:hAnsi="Arial" w:cs="Arial"/>
                <w:b/>
                <w:color w:val="FF0000"/>
                <w:sz w:val="24"/>
                <w:szCs w:val="24"/>
              </w:rPr>
              <w:t>(£10.480m)</w:t>
            </w:r>
            <w:r w:rsidRPr="00F518D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518D1">
              <w:rPr>
                <w:rFonts w:ascii="Arial" w:hAnsi="Arial" w:cs="Arial"/>
                <w:sz w:val="24"/>
                <w:szCs w:val="24"/>
              </w:rPr>
              <w:t xml:space="preserve">which is </w:t>
            </w:r>
            <w:r w:rsidRPr="00F518D1">
              <w:rPr>
                <w:rFonts w:ascii="Arial" w:hAnsi="Arial" w:cs="Arial"/>
                <w:color w:val="FF0000"/>
                <w:sz w:val="24"/>
                <w:szCs w:val="24"/>
              </w:rPr>
              <w:t xml:space="preserve">£535k </w:t>
            </w:r>
            <w:r>
              <w:rPr>
                <w:rFonts w:ascii="Arial" w:hAnsi="Arial" w:cs="Arial"/>
                <w:sz w:val="24"/>
                <w:szCs w:val="24"/>
              </w:rPr>
              <w:t xml:space="preserve">above the agreed level of the 2024/25 efficiency plan of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£9.94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5m)</w:t>
            </w:r>
            <w:r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Pr="00DE0BB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3697BC82" w14:textId="77777777" w:rsidR="00F518D1" w:rsidRDefault="00F518D1" w:rsidP="00F518D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27A2F0" w14:textId="77777777" w:rsidR="00F518D1" w:rsidRDefault="00F518D1" w:rsidP="00F518D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final year position reports a £74k </w:t>
            </w:r>
            <w:proofErr w:type="gramStart"/>
            <w:r w:rsidR="00D1719F">
              <w:rPr>
                <w:rFonts w:ascii="Arial" w:hAnsi="Arial" w:cs="Arial"/>
                <w:sz w:val="24"/>
                <w:szCs w:val="24"/>
              </w:rPr>
              <w:t>surplus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1546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A1546D">
              <w:rPr>
                <w:rFonts w:ascii="Arial" w:hAnsi="Arial" w:cs="Arial"/>
                <w:sz w:val="24"/>
                <w:szCs w:val="24"/>
              </w:rPr>
              <w:t>subject to external audit verification)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recurring gap of savings now built into the renewed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 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plan.</w:t>
            </w:r>
          </w:p>
          <w:p w14:paraId="69A2B79D" w14:textId="77777777" w:rsidR="00D04E68" w:rsidRPr="001E4495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26AE791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D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ELIVERY OF 202</w:t>
            </w:r>
            <w:r w:rsidR="006D2F23">
              <w:rPr>
                <w:rFonts w:ascii="Arial" w:hAnsi="Arial" w:cs="Arial"/>
                <w:b/>
                <w:color w:val="002060"/>
                <w:sz w:val="28"/>
                <w:szCs w:val="24"/>
              </w:rPr>
              <w:t>4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</w:t>
            </w:r>
            <w:r w:rsidR="006D2F23">
              <w:rPr>
                <w:rFonts w:ascii="Arial" w:hAnsi="Arial" w:cs="Arial"/>
                <w:b/>
                <w:color w:val="002060"/>
                <w:sz w:val="28"/>
                <w:szCs w:val="24"/>
              </w:rPr>
              <w:t>5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FINANCIAL PLAN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696"/>
            </w:tblGrid>
            <w:tr w:rsidR="004265A6" w14:paraId="3A2B66AF" w14:textId="77777777" w:rsidTr="001468F5">
              <w:trPr>
                <w:trHeight w:val="416"/>
              </w:trPr>
              <w:tc>
                <w:tcPr>
                  <w:tcW w:w="2835" w:type="dxa"/>
                </w:tcPr>
                <w:p w14:paraId="7A425DDE" w14:textId="77777777" w:rsidR="004265A6" w:rsidRPr="00976C64" w:rsidRDefault="004265A6" w:rsidP="002F76A6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696" w:type="dxa"/>
                  <w:shd w:val="clear" w:color="auto" w:fill="92D050"/>
                </w:tcPr>
                <w:p w14:paraId="5F1816B1" w14:textId="77777777" w:rsidR="004265A6" w:rsidRPr="00F20EF9" w:rsidRDefault="001468F5" w:rsidP="00976C6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2E0F0E02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9932AE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39E96C" w14:textId="77777777" w:rsidR="00D1719F" w:rsidRDefault="00D1719F" w:rsidP="00D171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9020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final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core revenue position 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is a favourable variance of </w:t>
            </w:r>
            <w:r>
              <w:rPr>
                <w:rFonts w:ascii="Arial" w:hAnsi="Arial" w:cs="Arial"/>
                <w:sz w:val="24"/>
                <w:szCs w:val="24"/>
              </w:rPr>
              <w:t>£74k.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 This represents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variance of </w:t>
            </w:r>
            <w:r>
              <w:rPr>
                <w:rFonts w:ascii="Arial" w:hAnsi="Arial" w:cs="Arial"/>
                <w:sz w:val="24"/>
                <w:szCs w:val="24"/>
              </w:rPr>
              <w:t>0.03</w:t>
            </w:r>
            <w:r w:rsidRPr="00990201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>, within the 1% Break-even range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ABC8E28" w14:textId="77777777" w:rsidR="00D1719F" w:rsidRDefault="00D1719F" w:rsidP="00D171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A657AA" w14:textId="77777777" w:rsidR="00D04E68" w:rsidRDefault="00D04E68" w:rsidP="00976C64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5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6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TO 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7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8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F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INANCIAL PLAN</w:t>
            </w:r>
            <w:r w:rsidR="00862928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E688E" w:rsidRPr="00976C64" w14:paraId="0AA48DF7" w14:textId="77777777" w:rsidTr="004E35D3">
              <w:trPr>
                <w:trHeight w:val="283"/>
              </w:trPr>
              <w:tc>
                <w:tcPr>
                  <w:tcW w:w="2835" w:type="dxa"/>
                </w:tcPr>
                <w:p w14:paraId="7E7E0B5E" w14:textId="77777777" w:rsidR="00DE688E" w:rsidRPr="00615BA6" w:rsidRDefault="00DE688E" w:rsidP="00DE688E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14:paraId="448703AB" w14:textId="77777777" w:rsidR="00DE688E" w:rsidRPr="00976C64" w:rsidRDefault="00DE688E" w:rsidP="00DE688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65E70436" w14:textId="77777777" w:rsidR="00D04E68" w:rsidRPr="00976C64" w:rsidRDefault="00D04E68" w:rsidP="00976C64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A997065" w14:textId="77777777" w:rsidR="00425B9F" w:rsidRPr="00862928" w:rsidRDefault="00425B9F" w:rsidP="00A15AC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B79B84C" w14:textId="77777777" w:rsidR="00D3637F" w:rsidRDefault="00D3637F" w:rsidP="00D363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revised draft 2025/26 to 2027/28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 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was submitted to SG in March 2025, following approval at ELT. This shows a savings requirement of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(£8.358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>m)</w:t>
            </w:r>
            <w:r>
              <w:rPr>
                <w:rFonts w:ascii="Arial" w:hAnsi="Arial" w:cs="Arial"/>
                <w:sz w:val="24"/>
                <w:szCs w:val="24"/>
              </w:rPr>
              <w:t xml:space="preserve"> for 2025/26, rising to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(£9.270m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for 2026/27 and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(£10.853m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for the final year of the plan in 2027/28.</w:t>
            </w:r>
          </w:p>
          <w:p w14:paraId="279FFAC7" w14:textId="77777777" w:rsidR="00964FC1" w:rsidRDefault="00D3637F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645C7D" w14:textId="77777777" w:rsidR="00D04E68" w:rsidRDefault="00EE0E8D" w:rsidP="00EE0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Given the scale of the challenge as we move into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 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planning cycle a more robust focus on identifying and delivering recurrent savings will be required.</w:t>
            </w:r>
            <w:r w:rsidR="00F255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3D0A18" w14:textId="77777777" w:rsidR="00DC4445" w:rsidRPr="00594355" w:rsidRDefault="00DC4445" w:rsidP="00EE0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E68" w:rsidRPr="00594355" w14:paraId="7F5F7DF2" w14:textId="77777777" w:rsidTr="002B4873">
        <w:tc>
          <w:tcPr>
            <w:tcW w:w="10826" w:type="dxa"/>
          </w:tcPr>
          <w:p w14:paraId="5ADB9739" w14:textId="77777777" w:rsidR="004265A6" w:rsidRDefault="001F1EBF" w:rsidP="00553A02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="00D04E68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8373A3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ORE INCOME POSITION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957E12" w:rsidRPr="00976C64" w14:paraId="4363F437" w14:textId="77777777" w:rsidTr="00F2556F">
              <w:trPr>
                <w:trHeight w:val="283"/>
              </w:trPr>
              <w:tc>
                <w:tcPr>
                  <w:tcW w:w="2835" w:type="dxa"/>
                </w:tcPr>
                <w:p w14:paraId="354539C7" w14:textId="77777777" w:rsidR="00957E12" w:rsidRPr="00615BA6" w:rsidRDefault="00945899" w:rsidP="00957E12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A02">
                    <w:t xml:space="preserve"> </w:t>
                  </w:r>
                  <w:r w:rsidR="00957E12"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3BC6597D" w14:textId="77777777" w:rsidR="00957E12" w:rsidRPr="00976C64" w:rsidRDefault="00F2556F" w:rsidP="00957E1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6C9CB9B8" w14:textId="77777777" w:rsidR="00D04E68" w:rsidRPr="00553A02" w:rsidRDefault="00D04E68" w:rsidP="004265A6">
            <w:pPr>
              <w:pStyle w:val="NoSpacing"/>
            </w:pPr>
          </w:p>
          <w:p w14:paraId="538DBC95" w14:textId="77777777" w:rsidR="00D04E68" w:rsidRPr="00E0176C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8879F7" w14:textId="77777777" w:rsidR="004F2346" w:rsidRDefault="001D5A11" w:rsidP="00AC17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is £</w:t>
            </w:r>
            <w:r w:rsidR="002A511A">
              <w:rPr>
                <w:rFonts w:ascii="Arial" w:hAnsi="Arial" w:cs="Arial"/>
                <w:sz w:val="24"/>
                <w:szCs w:val="24"/>
              </w:rPr>
              <w:t>2.045</w:t>
            </w:r>
            <w:r w:rsidR="0033495A">
              <w:rPr>
                <w:rFonts w:ascii="Arial" w:hAnsi="Arial" w:cs="Arial"/>
                <w:sz w:val="24"/>
                <w:szCs w:val="24"/>
              </w:rPr>
              <w:t>m</w:t>
            </w:r>
            <w:r w:rsidR="00DE0BB3" w:rsidRPr="00881F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0.</w:t>
            </w:r>
            <w:r w:rsidR="00DC4445">
              <w:rPr>
                <w:rFonts w:ascii="Arial" w:hAnsi="Arial" w:cs="Arial"/>
                <w:sz w:val="24"/>
                <w:szCs w:val="24"/>
              </w:rPr>
              <w:t>76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%</w:t>
            </w:r>
            <w:r w:rsidR="00D04E68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>abo</w:t>
            </w:r>
            <w:r w:rsidR="00D3637F">
              <w:rPr>
                <w:rFonts w:ascii="Arial" w:hAnsi="Arial" w:cs="Arial"/>
                <w:sz w:val="24"/>
                <w:szCs w:val="24"/>
              </w:rPr>
              <w:t>ve the Financial Plan at year-end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>.</w:t>
            </w:r>
            <w:r w:rsidR="00D04E68" w:rsidRPr="00C85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6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The key </w:t>
            </w:r>
            <w:proofErr w:type="gramStart"/>
            <w:r w:rsidR="004524E2">
              <w:rPr>
                <w:rFonts w:ascii="Arial" w:hAnsi="Arial" w:cs="Arial"/>
                <w:sz w:val="24"/>
                <w:szCs w:val="24"/>
              </w:rPr>
              <w:t>areas</w:t>
            </w:r>
            <w:proofErr w:type="gramEnd"/>
            <w:r w:rsidR="004524E2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 over-performance </w:t>
            </w:r>
            <w:r w:rsidR="004524E2">
              <w:rPr>
                <w:rFonts w:ascii="Arial" w:hAnsi="Arial" w:cs="Arial"/>
                <w:sz w:val="24"/>
                <w:szCs w:val="24"/>
              </w:rPr>
              <w:t>relates to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="00E85CC1">
              <w:rPr>
                <w:rFonts w:ascii="Arial" w:hAnsi="Arial" w:cs="Arial"/>
                <w:sz w:val="24"/>
                <w:szCs w:val="24"/>
              </w:rPr>
              <w:t>N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E85CC1">
              <w:rPr>
                <w:rFonts w:ascii="Arial" w:hAnsi="Arial" w:cs="Arial"/>
                <w:sz w:val="24"/>
                <w:szCs w:val="24"/>
              </w:rPr>
              <w:t>W</w:t>
            </w:r>
            <w:r w:rsidR="00117F6E">
              <w:rPr>
                <w:rFonts w:ascii="Arial" w:hAnsi="Arial" w:cs="Arial"/>
                <w:sz w:val="24"/>
                <w:szCs w:val="24"/>
              </w:rPr>
              <w:t>est</w:t>
            </w:r>
            <w:proofErr w:type="gramEnd"/>
            <w:r w:rsidR="00117F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85CC1">
              <w:rPr>
                <w:rFonts w:ascii="Arial" w:hAnsi="Arial" w:cs="Arial"/>
                <w:sz w:val="24"/>
                <w:szCs w:val="24"/>
              </w:rPr>
              <w:t>O</w:t>
            </w:r>
            <w:r w:rsidR="00117F6E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="00117F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CC1">
              <w:rPr>
                <w:rFonts w:ascii="Arial" w:hAnsi="Arial" w:cs="Arial"/>
                <w:sz w:val="24"/>
                <w:szCs w:val="24"/>
              </w:rPr>
              <w:t>S</w:t>
            </w:r>
            <w:r w:rsidR="00117F6E">
              <w:rPr>
                <w:rFonts w:ascii="Arial" w:hAnsi="Arial" w:cs="Arial"/>
                <w:sz w:val="24"/>
                <w:szCs w:val="24"/>
              </w:rPr>
              <w:t>cotland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Boards</w:t>
            </w:r>
            <w:r w:rsidR="00117F6E">
              <w:rPr>
                <w:rFonts w:ascii="Arial" w:hAnsi="Arial" w:cs="Arial"/>
                <w:sz w:val="24"/>
                <w:szCs w:val="24"/>
              </w:rPr>
              <w:t>’ SLAs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D4901">
              <w:rPr>
                <w:rFonts w:ascii="Arial" w:hAnsi="Arial" w:cs="Arial"/>
                <w:sz w:val="24"/>
                <w:szCs w:val="24"/>
              </w:rPr>
              <w:t>over performance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 on SPVU and SACCS as well as VAT rebates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BBF0C4" w14:textId="77777777" w:rsidR="00D3637F" w:rsidRDefault="00D3637F" w:rsidP="00AC17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1068BF" w14:textId="77777777" w:rsidR="00D3637F" w:rsidRDefault="00D3637F" w:rsidP="00AC17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8F1D30" w14:textId="77777777" w:rsidR="00D3637F" w:rsidRDefault="00D3637F" w:rsidP="00AC173B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D04E68" w:rsidRPr="00594355" w14:paraId="4DACF90F" w14:textId="77777777" w:rsidTr="002B4873">
        <w:tc>
          <w:tcPr>
            <w:tcW w:w="10826" w:type="dxa"/>
            <w:shd w:val="clear" w:color="auto" w:fill="auto"/>
          </w:tcPr>
          <w:p w14:paraId="0D6FA002" w14:textId="77777777" w:rsidR="00B47ED7" w:rsidRPr="004524E2" w:rsidRDefault="001F1EBF" w:rsidP="00981281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  <w:r w:rsidR="008373A3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C</w:t>
            </w:r>
            <w:r w:rsidR="00945899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ORE EXPENDITURE POSITION</w:t>
            </w:r>
          </w:p>
          <w:p w14:paraId="0E5A2035" w14:textId="77777777" w:rsidR="00CA7417" w:rsidRDefault="00CA7417" w:rsidP="00E11F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Core Expenditure is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1D5A11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D3637F">
              <w:rPr>
                <w:rFonts w:ascii="Arial" w:hAnsi="Arial" w:cs="Arial"/>
                <w:color w:val="FF0000"/>
                <w:sz w:val="24"/>
                <w:szCs w:val="24"/>
              </w:rPr>
              <w:t>1.971</w:t>
            </w:r>
            <w:r w:rsidR="00DE0BB3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DE0BB3" w:rsidRPr="00117F6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-</w:t>
            </w:r>
            <w:r w:rsidR="002A511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0.73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%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 abo</w:t>
            </w:r>
            <w:r w:rsidR="00BA52CE" w:rsidRPr="006864A2">
              <w:rPr>
                <w:rFonts w:ascii="Arial" w:hAnsi="Arial" w:cs="Arial"/>
                <w:sz w:val="24"/>
                <w:szCs w:val="24"/>
              </w:rPr>
              <w:t xml:space="preserve">ve the Financial Plan at </w:t>
            </w:r>
            <w:r w:rsidR="00D3637F">
              <w:rPr>
                <w:rFonts w:ascii="Arial" w:hAnsi="Arial" w:cs="Arial"/>
                <w:sz w:val="24"/>
                <w:szCs w:val="24"/>
              </w:rPr>
              <w:t>year-end</w:t>
            </w:r>
            <w:r w:rsidRPr="006864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923C90" w14:textId="77777777" w:rsidR="009A3D20" w:rsidRDefault="009A3D20" w:rsidP="00E11F0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2A39B4" w14:textId="77777777" w:rsidR="00D04E68" w:rsidRDefault="00D22A23" w:rsidP="0059446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6DC9F525" w14:textId="77777777" w:rsidTr="004524E2">
              <w:trPr>
                <w:trHeight w:val="283"/>
              </w:trPr>
              <w:tc>
                <w:tcPr>
                  <w:tcW w:w="2835" w:type="dxa"/>
                </w:tcPr>
                <w:p w14:paraId="01F47C9F" w14:textId="77777777" w:rsidR="00D04E68" w:rsidRPr="00976C64" w:rsidRDefault="00D04E68" w:rsidP="00594461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1B5D8527" w14:textId="77777777" w:rsidR="00D04E68" w:rsidRPr="00976C64" w:rsidRDefault="004524E2" w:rsidP="005944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77CE8453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48B755F8" w14:textId="77777777" w:rsidR="00B47ED7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69E1A3" w14:textId="77777777" w:rsidR="00785BA5" w:rsidRDefault="00D3637F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 costs </w:t>
            </w:r>
            <w:r w:rsidR="00322B71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85BA5">
              <w:rPr>
                <w:rFonts w:ascii="Arial" w:hAnsi="Arial" w:cs="Arial"/>
                <w:sz w:val="24"/>
                <w:szCs w:val="24"/>
              </w:rPr>
              <w:t>under</w:t>
            </w:r>
            <w:r w:rsidR="00785BA5" w:rsidRPr="00594461">
              <w:rPr>
                <w:rFonts w:ascii="Arial" w:hAnsi="Arial" w:cs="Arial"/>
                <w:sz w:val="24"/>
                <w:szCs w:val="24"/>
              </w:rPr>
              <w:t xml:space="preserve">spent </w:t>
            </w:r>
            <w:r w:rsidR="00D04E68" w:rsidRPr="00594461">
              <w:rPr>
                <w:rFonts w:ascii="Arial" w:hAnsi="Arial" w:cs="Arial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sz w:val="24"/>
                <w:szCs w:val="24"/>
              </w:rPr>
              <w:t>£1.871</w:t>
            </w:r>
            <w:r w:rsidR="009358A0">
              <w:rPr>
                <w:rFonts w:ascii="Arial" w:hAnsi="Arial" w:cs="Arial"/>
                <w:sz w:val="24"/>
                <w:szCs w:val="24"/>
              </w:rPr>
              <w:t>m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1.04</w:t>
            </w:r>
            <w:r w:rsidR="00322B71" w:rsidRPr="00785BA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%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BA5">
              <w:rPr>
                <w:rFonts w:ascii="Arial" w:hAnsi="Arial" w:cs="Arial"/>
                <w:sz w:val="24"/>
                <w:szCs w:val="24"/>
              </w:rPr>
              <w:t>below</w:t>
            </w:r>
            <w:r w:rsidR="00785BA5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D3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31C1A">
              <w:rPr>
                <w:rFonts w:ascii="Arial" w:hAnsi="Arial" w:cs="Arial"/>
                <w:sz w:val="24"/>
                <w:szCs w:val="24"/>
              </w:rPr>
              <w:t>total pay</w:t>
            </w:r>
            <w:r w:rsidR="00826869">
              <w:rPr>
                <w:rFonts w:ascii="Arial" w:hAnsi="Arial" w:cs="Arial"/>
                <w:sz w:val="24"/>
                <w:szCs w:val="24"/>
              </w:rPr>
              <w:t xml:space="preserve"> budget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501FC30" w14:textId="77777777" w:rsidR="009358A0" w:rsidRDefault="00785BA5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continues to be 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pressures across medical staffing areas </w:t>
            </w:r>
            <w:r w:rsidR="00794A1E">
              <w:rPr>
                <w:rFonts w:ascii="Arial" w:hAnsi="Arial" w:cs="Arial"/>
                <w:sz w:val="24"/>
                <w:szCs w:val="24"/>
              </w:rPr>
              <w:t>relating to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WLIs and agency </w:t>
            </w:r>
          </w:p>
          <w:p w14:paraId="78348C55" w14:textId="77777777" w:rsidR="00E85CC1" w:rsidRDefault="004F2346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incurred </w:t>
            </w:r>
            <w:r w:rsidR="007C2750">
              <w:rPr>
                <w:rFonts w:ascii="Arial" w:hAnsi="Arial" w:cs="Arial"/>
                <w:sz w:val="24"/>
                <w:szCs w:val="24"/>
              </w:rPr>
              <w:t>throughout the year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F8A359" w14:textId="77777777" w:rsidR="009358A0" w:rsidRPr="00646AB9" w:rsidRDefault="009358A0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14:paraId="679F5A95" w14:textId="77777777" w:rsidR="00D22A23" w:rsidRDefault="00D22A23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proofErr w:type="gramStart"/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</w:t>
            </w:r>
            <w:proofErr w:type="gramEnd"/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5413FD65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6762EA62" w14:textId="77777777" w:rsidR="00D04E68" w:rsidRPr="00976C64" w:rsidRDefault="00D04E68" w:rsidP="00E67C4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0000"/>
                </w:tcPr>
                <w:p w14:paraId="58C68CCA" w14:textId="77777777" w:rsidR="00D04E68" w:rsidRPr="00976C64" w:rsidRDefault="00D04E68" w:rsidP="00E67C4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Very </w:t>
                  </w: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1DECE7A1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247EE075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3275C198" w14:textId="77777777" w:rsidR="004D5104" w:rsidRDefault="004D5104" w:rsidP="004D51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64A2">
              <w:rPr>
                <w:rFonts w:ascii="Arial" w:hAnsi="Arial" w:cs="Arial"/>
                <w:sz w:val="24"/>
                <w:szCs w:val="24"/>
              </w:rPr>
              <w:lastRenderedPageBreak/>
              <w:t>Non Pay</w:t>
            </w:r>
            <w:proofErr w:type="gramEnd"/>
            <w:r w:rsidRPr="006864A2">
              <w:rPr>
                <w:rFonts w:ascii="Arial" w:hAnsi="Arial" w:cs="Arial"/>
                <w:sz w:val="24"/>
                <w:szCs w:val="24"/>
              </w:rPr>
              <w:t xml:space="preserve"> costs are overspent by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(£3.842m)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equating </w:t>
            </w:r>
            <w:r w:rsidRPr="005B719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4.27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E7DA9">
              <w:rPr>
                <w:rFonts w:ascii="Arial" w:hAnsi="Arial" w:cs="Arial"/>
                <w:sz w:val="24"/>
                <w:szCs w:val="24"/>
              </w:rPr>
              <w:t>above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year end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 budget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across </w:t>
            </w:r>
            <w:proofErr w:type="gramStart"/>
            <w:r w:rsidRPr="006864A2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Pr="006864A2">
              <w:rPr>
                <w:rFonts w:ascii="Arial" w:hAnsi="Arial" w:cs="Arial"/>
                <w:sz w:val="24"/>
                <w:szCs w:val="24"/>
              </w:rPr>
              <w:t xml:space="preserve"> Board </w:t>
            </w:r>
            <w:r>
              <w:rPr>
                <w:rFonts w:ascii="Arial" w:hAnsi="Arial" w:cs="Arial"/>
                <w:sz w:val="24"/>
                <w:szCs w:val="24"/>
              </w:rPr>
              <w:t>Expenditure C</w:t>
            </w:r>
            <w:r w:rsidRPr="006864A2">
              <w:rPr>
                <w:rFonts w:ascii="Arial" w:hAnsi="Arial" w:cs="Arial"/>
                <w:sz w:val="24"/>
                <w:szCs w:val="24"/>
              </w:rPr>
              <w:t>ategories</w:t>
            </w:r>
            <w:r>
              <w:rPr>
                <w:rFonts w:ascii="Arial" w:hAnsi="Arial" w:cs="Arial"/>
                <w:sz w:val="24"/>
                <w:szCs w:val="24"/>
              </w:rPr>
              <w:t>. The year-end variance now reflects the activity undertaken against planned activity along with ongoing cost pressures relating to energy costs, surgical supplies and medicines.</w:t>
            </w:r>
          </w:p>
          <w:p w14:paraId="6A90BCEE" w14:textId="77777777" w:rsidR="00890E65" w:rsidRDefault="00890E65" w:rsidP="004524E2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D04E68" w:rsidRPr="00594355" w14:paraId="138A26A2" w14:textId="77777777" w:rsidTr="002B4873">
        <w:tc>
          <w:tcPr>
            <w:tcW w:w="10826" w:type="dxa"/>
          </w:tcPr>
          <w:p w14:paraId="7FDBA54A" w14:textId="77777777" w:rsidR="00945899" w:rsidRPr="00B83A93" w:rsidRDefault="001F1EBF" w:rsidP="00553A02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>2024/25</w:t>
            </w:r>
            <w:r w:rsidR="00D04E68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</w:t>
            </w:r>
            <w:r w:rsidR="00945899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FFICIENCY REQUIREMENT </w:t>
            </w:r>
          </w:p>
          <w:p w14:paraId="2860F6DA" w14:textId="77777777" w:rsidR="004265A6" w:rsidRPr="00B83A93" w:rsidRDefault="004265A6" w:rsidP="004265A6">
            <w:pPr>
              <w:pStyle w:val="NoSpacing"/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B83A93" w14:paraId="183BEF49" w14:textId="77777777" w:rsidTr="00864D3E">
              <w:trPr>
                <w:trHeight w:val="283"/>
              </w:trPr>
              <w:tc>
                <w:tcPr>
                  <w:tcW w:w="2835" w:type="dxa"/>
                </w:tcPr>
                <w:p w14:paraId="2AEAE37C" w14:textId="77777777" w:rsidR="00D04E68" w:rsidRPr="00B83A93" w:rsidRDefault="00D04E68" w:rsidP="00D04E6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1025E12B" w14:textId="77777777" w:rsidR="00D04E68" w:rsidRPr="00B83A93" w:rsidRDefault="00864D3E" w:rsidP="00D04E6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4E5793FE" w14:textId="77777777"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D55443" w14:textId="77777777"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0E51C6" w14:textId="77777777" w:rsidR="00D04E68" w:rsidRPr="00B83A93" w:rsidRDefault="004524E2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>The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D04E68" w:rsidRPr="00B83A93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9358A0">
              <w:rPr>
                <w:rFonts w:ascii="Arial" w:hAnsi="Arial" w:cs="Arial"/>
                <w:color w:val="FF0000"/>
                <w:sz w:val="24"/>
                <w:szCs w:val="24"/>
              </w:rPr>
              <w:t>9.945</w:t>
            </w:r>
            <w:r w:rsidR="00A777CD" w:rsidRPr="00B83A93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to achieve the targeted break</w:t>
            </w:r>
            <w:r w:rsidR="0025303A" w:rsidRPr="00B83A93">
              <w:rPr>
                <w:rFonts w:ascii="Arial" w:hAnsi="Arial" w:cs="Arial"/>
                <w:sz w:val="24"/>
                <w:szCs w:val="24"/>
              </w:rPr>
              <w:t>-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even position for </w:t>
            </w:r>
            <w:r w:rsidR="001F1EBF" w:rsidRPr="00B83A93">
              <w:rPr>
                <w:rFonts w:ascii="Arial" w:hAnsi="Arial" w:cs="Arial"/>
                <w:sz w:val="24"/>
                <w:szCs w:val="24"/>
              </w:rPr>
              <w:t>2024/25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79D">
              <w:rPr>
                <w:rFonts w:ascii="Arial" w:hAnsi="Arial" w:cs="Arial"/>
                <w:sz w:val="24"/>
                <w:szCs w:val="24"/>
              </w:rPr>
              <w:t>has been met</w:t>
            </w:r>
            <w:r w:rsidR="002A511A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this year</w:t>
            </w:r>
            <w:r w:rsidR="0079779D">
              <w:rPr>
                <w:rFonts w:ascii="Arial" w:hAnsi="Arial" w:cs="Arial"/>
                <w:sz w:val="24"/>
                <w:szCs w:val="24"/>
              </w:rPr>
              <w:t>.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64050D" w14:textId="77777777" w:rsidR="00A342E8" w:rsidRPr="00B83A93" w:rsidRDefault="00A342E8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1322A1B0" w14:textId="77777777" w:rsidR="00816466" w:rsidRPr="00B83A93" w:rsidRDefault="003048D2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28"/>
                <w:szCs w:val="24"/>
              </w:rPr>
              <w:t>FULL YEAR SAVINGS PLAN</w:t>
            </w:r>
          </w:p>
          <w:p w14:paraId="32A187DF" w14:textId="77777777"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E652EB" w14:textId="77777777" w:rsidR="00E04685" w:rsidRDefault="007C2750" w:rsidP="002A51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year achievement of</w:t>
            </w:r>
            <w:r w:rsidR="00F81485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104" w:rsidRPr="004D5104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234AFC" w:rsidRPr="004D5104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2A511A" w:rsidRPr="004D5104">
              <w:rPr>
                <w:rFonts w:ascii="Arial" w:hAnsi="Arial" w:cs="Arial"/>
                <w:color w:val="FF0000"/>
                <w:sz w:val="24"/>
                <w:szCs w:val="24"/>
              </w:rPr>
              <w:t>10.480m</w:t>
            </w:r>
            <w:r w:rsidR="004D5104" w:rsidRPr="004D5104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4D510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A511A">
              <w:rPr>
                <w:rFonts w:ascii="Arial" w:hAnsi="Arial" w:cs="Arial"/>
                <w:sz w:val="24"/>
                <w:szCs w:val="24"/>
              </w:rPr>
              <w:t xml:space="preserve">savings </w:t>
            </w:r>
            <w:r w:rsidR="004D5104">
              <w:rPr>
                <w:rFonts w:ascii="Arial" w:hAnsi="Arial" w:cs="Arial"/>
                <w:sz w:val="24"/>
                <w:szCs w:val="24"/>
              </w:rPr>
              <w:t>delivered</w:t>
            </w:r>
            <w:r w:rsidR="00794A1E" w:rsidRPr="00105386">
              <w:rPr>
                <w:rFonts w:ascii="Arial" w:hAnsi="Arial" w:cs="Arial"/>
                <w:sz w:val="24"/>
                <w:szCs w:val="24"/>
              </w:rPr>
              <w:t>.</w:t>
            </w:r>
            <w:r w:rsidR="00E85CC1" w:rsidRPr="001053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511A">
              <w:rPr>
                <w:rFonts w:ascii="Arial" w:hAnsi="Arial" w:cs="Arial"/>
                <w:sz w:val="24"/>
                <w:szCs w:val="24"/>
              </w:rPr>
              <w:t>A</w:t>
            </w:r>
            <w:r w:rsidR="009358A0" w:rsidRPr="00105386">
              <w:rPr>
                <w:rFonts w:ascii="Arial" w:hAnsi="Arial" w:cs="Arial"/>
                <w:sz w:val="24"/>
                <w:szCs w:val="24"/>
              </w:rPr>
              <w:t xml:space="preserve">n overachievement of </w:t>
            </w:r>
            <w:r w:rsidR="002A511A">
              <w:rPr>
                <w:rFonts w:ascii="Arial" w:hAnsi="Arial" w:cs="Arial"/>
                <w:b/>
                <w:sz w:val="24"/>
                <w:szCs w:val="24"/>
              </w:rPr>
              <w:t>£535</w:t>
            </w:r>
            <w:r w:rsidR="00864D3E" w:rsidRPr="00105386">
              <w:rPr>
                <w:rFonts w:ascii="Arial" w:hAnsi="Arial" w:cs="Arial"/>
                <w:b/>
                <w:sz w:val="24"/>
                <w:szCs w:val="24"/>
              </w:rPr>
              <w:t>k.</w:t>
            </w:r>
          </w:p>
          <w:p w14:paraId="14080A91" w14:textId="77777777" w:rsidR="002A511A" w:rsidRPr="00D04E68" w:rsidRDefault="002A511A" w:rsidP="00797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1B4" w:rsidRPr="00594355" w14:paraId="359FFE58" w14:textId="77777777" w:rsidTr="002B4873">
        <w:tc>
          <w:tcPr>
            <w:tcW w:w="10826" w:type="dxa"/>
          </w:tcPr>
          <w:p w14:paraId="35F8D30B" w14:textId="77777777" w:rsidR="00FF51B4" w:rsidRPr="000545FF" w:rsidRDefault="00FF51B4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24"/>
              </w:rPr>
            </w:pP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>N</w:t>
            </w:r>
            <w:r w:rsidR="00945899"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ON-CORE REVENUE </w:t>
            </w: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>P</w:t>
            </w:r>
            <w:r w:rsidR="00945899"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OSITION </w:t>
            </w: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</w:p>
          <w:p w14:paraId="25C51DB2" w14:textId="77777777" w:rsidR="00FF51B4" w:rsidRPr="000545FF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6877BA" w:rsidRPr="000545FF" w14:paraId="1161F50C" w14:textId="77777777" w:rsidTr="006877BA">
              <w:trPr>
                <w:trHeight w:val="283"/>
              </w:trPr>
              <w:tc>
                <w:tcPr>
                  <w:tcW w:w="2835" w:type="dxa"/>
                </w:tcPr>
                <w:p w14:paraId="16110132" w14:textId="77777777" w:rsidR="006877BA" w:rsidRPr="000545FF" w:rsidRDefault="006877BA" w:rsidP="006877B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45FF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2567923D" w14:textId="77777777" w:rsidR="006877BA" w:rsidRPr="000545FF" w:rsidRDefault="006877BA" w:rsidP="006877B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45FF"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76027A63" w14:textId="77777777" w:rsidR="00FF51B4" w:rsidRPr="000545FF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1E2E89" w14:textId="77777777" w:rsidR="00B47ED7" w:rsidRPr="000545FF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EC204E" w14:textId="77777777" w:rsidR="004D2DDF" w:rsidRPr="00C50811" w:rsidRDefault="0006314C" w:rsidP="004D5104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444">
              <w:rPr>
                <w:rFonts w:ascii="Arial" w:hAnsi="Arial" w:cs="Arial"/>
                <w:sz w:val="24"/>
                <w:szCs w:val="24"/>
              </w:rPr>
              <w:t xml:space="preserve">Non-Core position </w:t>
            </w:r>
            <w:r w:rsidR="004D5104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8373A3" w:rsidRPr="00037444">
              <w:rPr>
                <w:rFonts w:ascii="Arial" w:hAnsi="Arial" w:cs="Arial"/>
                <w:sz w:val="24"/>
                <w:szCs w:val="24"/>
              </w:rPr>
              <w:t>break-even (expenditure matched by SG Income)</w:t>
            </w:r>
            <w:r w:rsidR="00B47ED7" w:rsidRPr="0003744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14:paraId="3C70B91B" w14:textId="77777777" w:rsidTr="002B4873">
        <w:tc>
          <w:tcPr>
            <w:tcW w:w="10826" w:type="dxa"/>
          </w:tcPr>
          <w:p w14:paraId="55ED3DAD" w14:textId="77777777" w:rsidR="00D04E68" w:rsidRPr="001C0C36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1C0C36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1C0C36">
              <w:rPr>
                <w:rFonts w:ascii="Arial" w:hAnsi="Arial" w:cs="Arial"/>
                <w:b/>
                <w:color w:val="002060"/>
                <w:sz w:val="32"/>
                <w:szCs w:val="32"/>
              </w:rPr>
              <w:t>APITAL INCOME AND EXPENDITURE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C84F4D" w:rsidRPr="001C0C36" w14:paraId="47A2B193" w14:textId="77777777" w:rsidTr="00C84F4D">
              <w:trPr>
                <w:trHeight w:val="283"/>
              </w:trPr>
              <w:tc>
                <w:tcPr>
                  <w:tcW w:w="2835" w:type="dxa"/>
                </w:tcPr>
                <w:p w14:paraId="0963E92C" w14:textId="77777777" w:rsidR="00C84F4D" w:rsidRPr="001C0C36" w:rsidRDefault="00C84F4D" w:rsidP="00C84F4D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0C36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58F4EFDC" w14:textId="77777777" w:rsidR="00C84F4D" w:rsidRPr="001C0C36" w:rsidRDefault="00C84F4D" w:rsidP="00C84F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0C36"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47832866" w14:textId="77777777" w:rsidR="006877BA" w:rsidRPr="001C0C36" w:rsidRDefault="006877BA" w:rsidP="006877B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19C49" w14:textId="77777777" w:rsidR="00D04E68" w:rsidRPr="001C0C36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C55E14" w14:textId="77777777" w:rsidR="00471832" w:rsidRPr="001C0C36" w:rsidRDefault="00471832" w:rsidP="00021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B722FF" w14:textId="77777777" w:rsidR="001E712D" w:rsidRPr="001C0C36" w:rsidRDefault="0038035F" w:rsidP="001E71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C36">
              <w:rPr>
                <w:rFonts w:ascii="Arial" w:hAnsi="Arial" w:cs="Arial"/>
                <w:sz w:val="24"/>
                <w:szCs w:val="24"/>
              </w:rPr>
              <w:t xml:space="preserve">The Board’s </w:t>
            </w:r>
            <w:r w:rsidR="001E712D" w:rsidRPr="001C0C36">
              <w:rPr>
                <w:rFonts w:ascii="Arial" w:hAnsi="Arial" w:cs="Arial"/>
                <w:sz w:val="24"/>
                <w:szCs w:val="24"/>
              </w:rPr>
              <w:t xml:space="preserve">Core Capital allocations </w:t>
            </w:r>
            <w:r w:rsidRPr="001C0C36">
              <w:rPr>
                <w:rFonts w:ascii="Arial" w:hAnsi="Arial" w:cs="Arial"/>
                <w:sz w:val="24"/>
                <w:szCs w:val="24"/>
              </w:rPr>
              <w:t xml:space="preserve">for the year </w:t>
            </w:r>
            <w:proofErr w:type="gramStart"/>
            <w:r w:rsidRPr="001C0C36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="00A1546D" w:rsidRPr="001C0C36">
              <w:rPr>
                <w:rFonts w:ascii="Arial" w:hAnsi="Arial" w:cs="Arial"/>
                <w:sz w:val="24"/>
                <w:szCs w:val="24"/>
              </w:rPr>
              <w:t xml:space="preserve"> now confirmed at</w:t>
            </w:r>
            <w:r w:rsidR="001E712D" w:rsidRPr="001C0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12D" w:rsidRPr="001C0C36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A1546D" w:rsidRPr="001C0C36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1C0C3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1546D" w:rsidRPr="001C0C36">
              <w:rPr>
                <w:rFonts w:ascii="Arial" w:hAnsi="Arial" w:cs="Arial"/>
                <w:b/>
                <w:sz w:val="24"/>
                <w:szCs w:val="24"/>
              </w:rPr>
              <w:t>635</w:t>
            </w:r>
            <w:r w:rsidR="001E712D" w:rsidRPr="001C0C36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1C0C3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1546D" w:rsidRPr="001C0C36">
              <w:rPr>
                <w:rFonts w:ascii="Arial" w:hAnsi="Arial" w:cs="Arial"/>
                <w:sz w:val="24"/>
                <w:szCs w:val="24"/>
              </w:rPr>
              <w:t>This funded the capital expenditure in-year</w:t>
            </w:r>
            <w:r w:rsidR="001C0C36" w:rsidRPr="001C0C36">
              <w:rPr>
                <w:rFonts w:ascii="Arial" w:hAnsi="Arial" w:cs="Arial"/>
                <w:sz w:val="24"/>
                <w:szCs w:val="24"/>
              </w:rPr>
              <w:t xml:space="preserve"> as per the table below</w:t>
            </w:r>
            <w:r w:rsidR="00A1546D" w:rsidRPr="001C0C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C662AE" w14:textId="77777777" w:rsidR="001E712D" w:rsidRPr="001C0C36" w:rsidRDefault="001E712D" w:rsidP="001E71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3560" w:type="dxa"/>
              <w:tblInd w:w="3075" w:type="dxa"/>
              <w:tblLook w:val="04A0" w:firstRow="1" w:lastRow="0" w:firstColumn="1" w:lastColumn="0" w:noHBand="0" w:noVBand="1"/>
            </w:tblPr>
            <w:tblGrid>
              <w:gridCol w:w="2600"/>
              <w:gridCol w:w="960"/>
            </w:tblGrid>
            <w:tr w:rsidR="00A1546D" w:rsidRPr="00A1546D" w14:paraId="67CFCAA2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4A972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Formula Core Capital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53430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2.691</w:t>
                  </w:r>
                </w:p>
              </w:tc>
            </w:tr>
            <w:tr w:rsidR="00A1546D" w:rsidRPr="00A1546D" w14:paraId="0EEC2CD6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DA7B5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23/24 carried forward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79217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1.265</w:t>
                  </w:r>
                </w:p>
              </w:tc>
            </w:tr>
            <w:tr w:rsidR="00A1546D" w:rsidRPr="00A1546D" w14:paraId="0ACB0AA7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0D53A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Lifts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0D07D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0.705</w:t>
                  </w:r>
                </w:p>
              </w:tc>
            </w:tr>
            <w:tr w:rsidR="00A1546D" w:rsidRPr="00A1546D" w14:paraId="622BBDDE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467D6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Academy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034F0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0.27</w:t>
                  </w:r>
                </w:p>
              </w:tc>
            </w:tr>
            <w:tr w:rsidR="00A1546D" w:rsidRPr="00A1546D" w14:paraId="746734A9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FCFF4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CT Scanner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9A978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1.023</w:t>
                  </w:r>
                </w:p>
              </w:tc>
            </w:tr>
            <w:tr w:rsidR="00A1546D" w:rsidRPr="00A1546D" w14:paraId="2163D807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C2FF4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Additional Core Funding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88786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1.819</w:t>
                  </w:r>
                </w:p>
              </w:tc>
            </w:tr>
            <w:tr w:rsidR="00A1546D" w:rsidRPr="00A1546D" w14:paraId="3A6FF890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34ECD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Hepma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C22D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0.239</w:t>
                  </w:r>
                </w:p>
              </w:tc>
            </w:tr>
            <w:tr w:rsidR="00A1546D" w:rsidRPr="00A1546D" w14:paraId="5E2FF144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F7956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Energy Efficiency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ECDF5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0.806</w:t>
                  </w:r>
                </w:p>
              </w:tc>
            </w:tr>
            <w:tr w:rsidR="00A1546D" w:rsidRPr="00A1546D" w14:paraId="380F6A63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79F8F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Core Allocation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11355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8.818</w:t>
                  </w:r>
                </w:p>
              </w:tc>
            </w:tr>
            <w:tr w:rsidR="00A1546D" w:rsidRPr="00A1546D" w14:paraId="74719BE1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12EE2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0628E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5.41</w:t>
                  </w:r>
                </w:p>
              </w:tc>
            </w:tr>
            <w:tr w:rsidR="00A1546D" w:rsidRPr="00A1546D" w14:paraId="212D073D" w14:textId="77777777" w:rsidTr="001C0C36">
              <w:trPr>
                <w:trHeight w:val="29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5ECB7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Inc Phase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70A8F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14.228</w:t>
                  </w:r>
                </w:p>
              </w:tc>
            </w:tr>
            <w:tr w:rsidR="00A1546D" w:rsidRPr="00A1546D" w14:paraId="4C58BC3B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B693A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Asset Sales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0CD82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0.011</w:t>
                  </w:r>
                </w:p>
              </w:tc>
            </w:tr>
            <w:tr w:rsidR="00A1546D" w:rsidRPr="006807C8" w14:paraId="47F6F9AD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12A2" w14:textId="77777777" w:rsidR="00A1546D" w:rsidRPr="006807C8" w:rsidRDefault="006807C8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highlight w:val="yellow"/>
                      <w:lang w:eastAsia="en-GB"/>
                    </w:rPr>
                  </w:pPr>
                  <w:r w:rsidRPr="006807C8"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  <w:t>Total CRL (excluding leases)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9733E" w14:textId="77777777" w:rsidR="00A1546D" w:rsidRPr="006807C8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highlight w:val="yellow"/>
                      <w:lang w:eastAsia="en-GB"/>
                    </w:rPr>
                  </w:pPr>
                  <w:r w:rsidRPr="006807C8"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  <w:t>14.217</w:t>
                  </w:r>
                </w:p>
              </w:tc>
            </w:tr>
            <w:tr w:rsidR="00A1546D" w:rsidRPr="00A1546D" w14:paraId="33E84F94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53EC2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Leases Funding via capital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57B4E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0.416</w:t>
                  </w:r>
                </w:p>
              </w:tc>
            </w:tr>
            <w:tr w:rsidR="00A1546D" w:rsidRPr="00A1546D" w14:paraId="5C9A2E1B" w14:textId="77777777" w:rsidTr="001C0C36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1BE59" w14:textId="77777777" w:rsidR="00A1546D" w:rsidRPr="00A1546D" w:rsidRDefault="00A1546D" w:rsidP="00A154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 (including leases)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05783" w14:textId="77777777" w:rsidR="00A1546D" w:rsidRPr="00A1546D" w:rsidRDefault="00A1546D" w:rsidP="00A154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14.635</w:t>
                  </w:r>
                </w:p>
              </w:tc>
            </w:tr>
          </w:tbl>
          <w:p w14:paraId="21E7A2C5" w14:textId="77777777" w:rsidR="001E712D" w:rsidRPr="001C0C36" w:rsidRDefault="001E712D" w:rsidP="001E71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5C14B1" w14:textId="77777777" w:rsidR="001C0C36" w:rsidRPr="001C0C36" w:rsidRDefault="001C0C36" w:rsidP="001E712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929BD3" w14:textId="77777777" w:rsidR="006940CA" w:rsidRPr="001C0C36" w:rsidRDefault="001E712D" w:rsidP="001C0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C36"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 w:rsidRPr="001C0C36">
              <w:rPr>
                <w:rFonts w:ascii="Arial" w:hAnsi="Arial" w:cs="Arial"/>
                <w:sz w:val="24"/>
                <w:szCs w:val="24"/>
              </w:rPr>
              <w:t>at</w:t>
            </w:r>
            <w:proofErr w:type="gramEnd"/>
            <w:r w:rsidRPr="001C0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4D9" w:rsidRPr="001C0C36">
              <w:rPr>
                <w:rFonts w:ascii="Arial" w:hAnsi="Arial" w:cs="Arial"/>
                <w:sz w:val="24"/>
                <w:szCs w:val="24"/>
              </w:rPr>
              <w:t>31st</w:t>
            </w:r>
            <w:r w:rsidRPr="001C0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4D9" w:rsidRPr="001C0C36">
              <w:rPr>
                <w:rFonts w:ascii="Arial" w:hAnsi="Arial" w:cs="Arial"/>
                <w:sz w:val="24"/>
                <w:szCs w:val="24"/>
              </w:rPr>
              <w:t>March</w:t>
            </w:r>
            <w:r w:rsidRPr="001C0C36">
              <w:rPr>
                <w:rFonts w:ascii="Arial" w:hAnsi="Arial" w:cs="Arial"/>
                <w:sz w:val="24"/>
                <w:szCs w:val="24"/>
              </w:rPr>
              <w:t xml:space="preserve"> 2025, actual capital </w:t>
            </w:r>
            <w:proofErr w:type="gramStart"/>
            <w:r w:rsidRPr="001C0C36">
              <w:rPr>
                <w:rFonts w:ascii="Arial" w:hAnsi="Arial" w:cs="Arial"/>
                <w:sz w:val="24"/>
                <w:szCs w:val="24"/>
              </w:rPr>
              <w:t>spend</w:t>
            </w:r>
            <w:proofErr w:type="gramEnd"/>
            <w:r w:rsidRPr="001C0C36">
              <w:rPr>
                <w:rFonts w:ascii="Arial" w:hAnsi="Arial" w:cs="Arial"/>
                <w:sz w:val="24"/>
                <w:szCs w:val="24"/>
              </w:rPr>
              <w:t xml:space="preserve"> totalled £</w:t>
            </w:r>
            <w:r w:rsidR="001C0C36" w:rsidRPr="001C0C36">
              <w:rPr>
                <w:rFonts w:ascii="Arial" w:hAnsi="Arial" w:cs="Arial"/>
                <w:sz w:val="24"/>
                <w:szCs w:val="24"/>
              </w:rPr>
              <w:t>14</w:t>
            </w:r>
            <w:r w:rsidR="0038035F" w:rsidRPr="001C0C36">
              <w:rPr>
                <w:rFonts w:ascii="Arial" w:hAnsi="Arial" w:cs="Arial"/>
                <w:sz w:val="24"/>
                <w:szCs w:val="24"/>
              </w:rPr>
              <w:t>.</w:t>
            </w:r>
            <w:r w:rsidR="001C0C36" w:rsidRPr="001C0C36">
              <w:rPr>
                <w:rFonts w:ascii="Arial" w:hAnsi="Arial" w:cs="Arial"/>
                <w:sz w:val="24"/>
                <w:szCs w:val="24"/>
              </w:rPr>
              <w:t>644</w:t>
            </w:r>
            <w:r w:rsidRPr="001C0C36">
              <w:rPr>
                <w:rFonts w:ascii="Arial" w:hAnsi="Arial" w:cs="Arial"/>
                <w:sz w:val="24"/>
                <w:szCs w:val="24"/>
              </w:rPr>
              <w:t>m</w:t>
            </w:r>
            <w:r w:rsidR="001C0C36" w:rsidRPr="001C0C36">
              <w:rPr>
                <w:rFonts w:ascii="Arial" w:hAnsi="Arial" w:cs="Arial"/>
                <w:sz w:val="24"/>
                <w:szCs w:val="24"/>
              </w:rPr>
              <w:t xml:space="preserve">, with £11k of asset sales requiring a total Capital Resource Limit </w:t>
            </w:r>
            <w:proofErr w:type="spellStart"/>
            <w:r w:rsidR="001C0C36" w:rsidRPr="001C0C36">
              <w:rPr>
                <w:rFonts w:ascii="Arial" w:hAnsi="Arial" w:cs="Arial"/>
                <w:sz w:val="24"/>
                <w:szCs w:val="24"/>
              </w:rPr>
              <w:t>Allocaiton</w:t>
            </w:r>
            <w:proofErr w:type="spellEnd"/>
            <w:r w:rsidR="001C0C36" w:rsidRPr="001C0C36">
              <w:rPr>
                <w:rFonts w:ascii="Arial" w:hAnsi="Arial" w:cs="Arial"/>
                <w:sz w:val="24"/>
                <w:szCs w:val="24"/>
              </w:rPr>
              <w:t xml:space="preserve"> of £14.635m. </w:t>
            </w:r>
          </w:p>
        </w:tc>
      </w:tr>
      <w:tr w:rsidR="004D2DDF" w:rsidRPr="00594355" w14:paraId="25DBC9CC" w14:textId="77777777" w:rsidTr="002B4873">
        <w:tc>
          <w:tcPr>
            <w:tcW w:w="10826" w:type="dxa"/>
            <w:shd w:val="clear" w:color="auto" w:fill="E7E6E6" w:themeFill="background2"/>
          </w:tcPr>
          <w:p w14:paraId="4B7A1747" w14:textId="77777777" w:rsidR="004D2DDF" w:rsidRPr="00BC457E" w:rsidRDefault="004D2DDF" w:rsidP="00BC289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40"/>
                <w:szCs w:val="40"/>
              </w:rPr>
            </w:pP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lastRenderedPageBreak/>
              <w:t xml:space="preserve">FINANCIAL </w:t>
            </w:r>
            <w:r w:rsidR="002A0943"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>REPORT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– 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>Final Summary Financial Report 2024/25</w:t>
            </w:r>
          </w:p>
        </w:tc>
      </w:tr>
      <w:tr w:rsidR="004F3FF4" w:rsidRPr="00594355" w14:paraId="5D35A47B" w14:textId="77777777" w:rsidTr="00A926CD">
        <w:tc>
          <w:tcPr>
            <w:tcW w:w="10826" w:type="dxa"/>
            <w:tcBorders>
              <w:bottom w:val="single" w:sz="4" w:space="0" w:color="auto"/>
            </w:tcBorders>
          </w:tcPr>
          <w:p w14:paraId="7BD96A20" w14:textId="77777777" w:rsidR="004F3FF4" w:rsidRPr="004265A6" w:rsidRDefault="004F3FF4" w:rsidP="00BC457E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4265A6">
              <w:rPr>
                <w:rFonts w:ascii="Arial" w:hAnsi="Arial" w:cs="Arial"/>
                <w:b/>
                <w:color w:val="002060"/>
                <w:sz w:val="32"/>
                <w:szCs w:val="32"/>
              </w:rPr>
              <w:t>SECTION 1: NHS GOLDEN JUBILEE- OVERALL POSITION</w:t>
            </w:r>
          </w:p>
          <w:p w14:paraId="5EC957B7" w14:textId="77777777"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D36FEB0" w14:textId="77777777" w:rsidR="004E35D3" w:rsidRDefault="005C19B7" w:rsidP="00B02495">
            <w:pPr>
              <w:pStyle w:val="BodyText"/>
              <w:kinsoku w:val="0"/>
              <w:overflowPunct w:val="0"/>
              <w:spacing w:line="259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19B7">
              <w:rPr>
                <w:rFonts w:ascii="Arial" w:hAnsi="Arial" w:cs="Arial"/>
                <w:sz w:val="24"/>
                <w:szCs w:val="24"/>
              </w:rPr>
              <w:t xml:space="preserve">The table below provides the </w:t>
            </w:r>
            <w:proofErr w:type="gramStart"/>
            <w:r w:rsidRPr="005C19B7">
              <w:rPr>
                <w:rFonts w:ascii="Arial" w:hAnsi="Arial" w:cs="Arial"/>
                <w:sz w:val="24"/>
                <w:szCs w:val="24"/>
              </w:rPr>
              <w:t>high level</w:t>
            </w:r>
            <w:proofErr w:type="gramEnd"/>
            <w:r w:rsidRPr="005C19B7">
              <w:rPr>
                <w:rFonts w:ascii="Arial" w:hAnsi="Arial" w:cs="Arial"/>
                <w:sz w:val="24"/>
                <w:szCs w:val="24"/>
              </w:rPr>
              <w:t xml:space="preserve"> summary position of the Board as at </w:t>
            </w:r>
            <w:r w:rsidR="00B02495">
              <w:rPr>
                <w:rFonts w:ascii="Arial" w:hAnsi="Arial" w:cs="Arial"/>
                <w:sz w:val="24"/>
                <w:szCs w:val="24"/>
              </w:rPr>
              <w:t>year-end</w:t>
            </w:r>
            <w:r w:rsidRPr="005C19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FF">
              <w:rPr>
                <w:rFonts w:ascii="Arial" w:hAnsi="Arial" w:cs="Arial"/>
                <w:sz w:val="24"/>
                <w:szCs w:val="24"/>
              </w:rPr>
              <w:t xml:space="preserve">The net position shows a </w:t>
            </w:r>
            <w:r w:rsidR="004242FF" w:rsidRPr="0067265B">
              <w:rPr>
                <w:rFonts w:ascii="Arial" w:hAnsi="Arial" w:cs="Arial"/>
                <w:sz w:val="24"/>
                <w:szCs w:val="24"/>
              </w:rPr>
              <w:t>£</w:t>
            </w:r>
            <w:r w:rsidR="00B02495">
              <w:rPr>
                <w:rFonts w:ascii="Arial" w:hAnsi="Arial" w:cs="Arial"/>
                <w:sz w:val="24"/>
                <w:szCs w:val="24"/>
              </w:rPr>
              <w:t>74</w:t>
            </w:r>
            <w:r w:rsidR="004242FF">
              <w:rPr>
                <w:rFonts w:ascii="Arial" w:hAnsi="Arial" w:cs="Arial"/>
                <w:sz w:val="24"/>
                <w:szCs w:val="24"/>
              </w:rPr>
              <w:t>k</w:t>
            </w:r>
            <w:r w:rsidR="004242FF" w:rsidRPr="0067265B">
              <w:rPr>
                <w:rFonts w:ascii="Arial" w:hAnsi="Arial" w:cs="Arial"/>
                <w:sz w:val="24"/>
                <w:szCs w:val="24"/>
              </w:rPr>
              <w:t xml:space="preserve"> favourable </w:t>
            </w:r>
            <w:r w:rsidR="004242FF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with </w:t>
            </w:r>
            <w:r w:rsidR="00695B94">
              <w:rPr>
                <w:rFonts w:ascii="Arial" w:hAnsi="Arial" w:cs="Arial"/>
                <w:sz w:val="24"/>
                <w:szCs w:val="24"/>
              </w:rPr>
              <w:t xml:space="preserve">over-recovery </w:t>
            </w:r>
            <w:r>
              <w:rPr>
                <w:rFonts w:ascii="Arial" w:hAnsi="Arial" w:cs="Arial"/>
                <w:sz w:val="24"/>
                <w:szCs w:val="24"/>
              </w:rPr>
              <w:t xml:space="preserve">of income of </w:t>
            </w:r>
            <w:r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2.045</w:t>
            </w:r>
            <w:r w:rsidR="00785BA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offsetting expenditure pressures of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BC289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A926CD">
              <w:rPr>
                <w:rFonts w:ascii="Arial" w:hAnsi="Arial" w:cs="Arial"/>
                <w:b/>
                <w:color w:val="FF0000"/>
                <w:sz w:val="24"/>
                <w:szCs w:val="24"/>
              </w:rPr>
              <w:t>1.971</w:t>
            </w:r>
            <w:r w:rsidR="0078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B74A2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71D5A5C3" w14:textId="77777777" w:rsidR="00A632CA" w:rsidRDefault="00A632CA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5258C" w14:textId="77777777" w:rsidR="004F3FF4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C47C05">
              <w:rPr>
                <w:rFonts w:ascii="Arial" w:hAnsi="Arial" w:cs="Arial"/>
                <w:b/>
                <w:sz w:val="24"/>
                <w:szCs w:val="24"/>
              </w:rPr>
              <w:t>Table 1</w:t>
            </w:r>
            <w:r w:rsidR="00A926CD">
              <w:rPr>
                <w:rFonts w:ascii="Arial" w:hAnsi="Arial" w:cs="Arial"/>
                <w:b/>
                <w:sz w:val="24"/>
                <w:szCs w:val="24"/>
              </w:rPr>
              <w:t xml:space="preserve"> – All Income and Funding </w:t>
            </w:r>
            <w:proofErr w:type="gramStart"/>
            <w:r w:rsidR="00A926CD">
              <w:rPr>
                <w:rFonts w:ascii="Arial" w:hAnsi="Arial" w:cs="Arial"/>
                <w:b/>
                <w:sz w:val="24"/>
                <w:szCs w:val="24"/>
              </w:rPr>
              <w:t>Sources  against</w:t>
            </w:r>
            <w:proofErr w:type="gramEnd"/>
            <w:r w:rsidR="00A926CD">
              <w:rPr>
                <w:rFonts w:ascii="Arial" w:hAnsi="Arial" w:cs="Arial"/>
                <w:b/>
                <w:sz w:val="24"/>
                <w:szCs w:val="24"/>
              </w:rPr>
              <w:t xml:space="preserve"> all expenditure</w:t>
            </w:r>
          </w:p>
          <w:p w14:paraId="73BE4180" w14:textId="77777777" w:rsidR="002D6685" w:rsidRDefault="00193ED9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193ED9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E962B37" wp14:editId="0204ACA2">
                  <wp:extent cx="6642100" cy="4224655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0" cy="422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3BCF1" w14:textId="77777777" w:rsidR="00E678A5" w:rsidRDefault="00E678A5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443B1" w14:textId="77777777" w:rsidR="00875C0A" w:rsidRPr="005961DA" w:rsidRDefault="00875C0A" w:rsidP="005B5285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14:paraId="1913B53A" w14:textId="77777777" w:rsidTr="002B4873">
        <w:tc>
          <w:tcPr>
            <w:tcW w:w="10826" w:type="dxa"/>
            <w:tcBorders>
              <w:bottom w:val="single" w:sz="4" w:space="0" w:color="auto"/>
            </w:tcBorders>
          </w:tcPr>
          <w:p w14:paraId="6DF3F1F3" w14:textId="77777777" w:rsidR="00126E3C" w:rsidRPr="00B8391A" w:rsidRDefault="00AF0CEA" w:rsidP="00F14AC2">
            <w:pPr>
              <w:pStyle w:val="NoSpacing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B8391A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2: 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="00126E3C" w:rsidRPr="00B8391A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CORE INCOME POSITION  </w:t>
            </w:r>
          </w:p>
          <w:p w14:paraId="4295ED5D" w14:textId="77777777" w:rsidR="00B47ED7" w:rsidRDefault="00B47ED7" w:rsidP="00B47ED7"/>
          <w:p w14:paraId="0CBFECD1" w14:textId="77777777" w:rsidR="00126E3C" w:rsidRDefault="006864A2" w:rsidP="00B47ED7">
            <w:pPr>
              <w:rPr>
                <w:rFonts w:ascii="Arial" w:hAnsi="Arial" w:cs="Arial"/>
                <w:sz w:val="24"/>
                <w:szCs w:val="24"/>
              </w:rPr>
            </w:pPr>
            <w:r w:rsidRPr="00B47ED7">
              <w:rPr>
                <w:rFonts w:ascii="Arial" w:hAnsi="Arial" w:cs="Arial"/>
                <w:sz w:val="24"/>
                <w:szCs w:val="24"/>
              </w:rPr>
              <w:t xml:space="preserve">Income is </w:t>
            </w:r>
            <w:r w:rsidR="000078D3"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2.045</w:t>
            </w:r>
            <w:r w:rsidR="0092223D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2223D" w:rsidRPr="00B4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F46" w:rsidRPr="00B47ED7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240586">
              <w:rPr>
                <w:rFonts w:ascii="Arial" w:hAnsi="Arial" w:cs="Arial"/>
                <w:sz w:val="24"/>
                <w:szCs w:val="24"/>
              </w:rPr>
              <w:t>0.</w:t>
            </w:r>
            <w:r w:rsidR="004242FF">
              <w:rPr>
                <w:rFonts w:ascii="Arial" w:hAnsi="Arial" w:cs="Arial"/>
                <w:sz w:val="24"/>
                <w:szCs w:val="24"/>
              </w:rPr>
              <w:t>76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%</w:t>
            </w:r>
            <w:r w:rsidR="000A3F46" w:rsidRPr="00B4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E3C" w:rsidRPr="00B47ED7">
              <w:rPr>
                <w:rFonts w:ascii="Arial" w:hAnsi="Arial" w:cs="Arial"/>
                <w:sz w:val="24"/>
                <w:szCs w:val="24"/>
              </w:rPr>
              <w:t>abo</w:t>
            </w:r>
            <w:r w:rsidRPr="00B47ED7">
              <w:rPr>
                <w:rFonts w:ascii="Arial" w:hAnsi="Arial" w:cs="Arial"/>
                <w:sz w:val="24"/>
                <w:szCs w:val="24"/>
              </w:rPr>
              <w:t xml:space="preserve">ve the Financial Plan at </w:t>
            </w:r>
            <w:r w:rsidR="000154D9">
              <w:rPr>
                <w:rFonts w:ascii="Arial" w:hAnsi="Arial" w:cs="Arial"/>
                <w:sz w:val="24"/>
                <w:szCs w:val="24"/>
              </w:rPr>
              <w:t>Month 12</w:t>
            </w:r>
            <w:r w:rsidR="00126E3C" w:rsidRPr="00B47ED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9ECD436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95DDA1" w14:textId="77777777" w:rsidR="00126E3C" w:rsidRPr="00413966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REVENUE RESOURCE LIMIT </w:t>
            </w:r>
            <w:r w:rsidR="00126E3C"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>(RRL)</w:t>
            </w:r>
          </w:p>
          <w:p w14:paraId="0964444E" w14:textId="77777777" w:rsidR="00126E3C" w:rsidRPr="00413966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9D1D81" w14:textId="77777777" w:rsidR="0067265B" w:rsidRPr="00413966" w:rsidRDefault="00126E3C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966">
              <w:rPr>
                <w:rFonts w:ascii="Arial" w:hAnsi="Arial" w:cs="Arial"/>
                <w:sz w:val="24"/>
                <w:szCs w:val="24"/>
              </w:rPr>
              <w:t>RRL all</w:t>
            </w:r>
            <w:r w:rsidR="00413966">
              <w:rPr>
                <w:rFonts w:ascii="Arial" w:hAnsi="Arial" w:cs="Arial"/>
                <w:sz w:val="24"/>
                <w:szCs w:val="24"/>
              </w:rPr>
              <w:t xml:space="preserve">ocations of </w:t>
            </w:r>
            <w:r w:rsidR="00413966" w:rsidRPr="00413966">
              <w:rPr>
                <w:rFonts w:ascii="Arial" w:hAnsi="Arial" w:cs="Arial"/>
                <w:b/>
                <w:sz w:val="24"/>
                <w:szCs w:val="24"/>
              </w:rPr>
              <w:t xml:space="preserve">£171.258m </w:t>
            </w:r>
            <w:r w:rsidR="00413966">
              <w:rPr>
                <w:rFonts w:ascii="Arial" w:hAnsi="Arial" w:cs="Arial"/>
                <w:sz w:val="24"/>
                <w:szCs w:val="24"/>
              </w:rPr>
              <w:t>for the year</w:t>
            </w:r>
            <w:r w:rsidR="00B02495" w:rsidRPr="004139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FF" w:rsidRPr="00413966">
              <w:rPr>
                <w:rFonts w:ascii="Arial" w:hAnsi="Arial" w:cs="Arial"/>
                <w:sz w:val="24"/>
                <w:szCs w:val="24"/>
              </w:rPr>
              <w:t xml:space="preserve">have been </w:t>
            </w:r>
            <w:r w:rsidR="00413966">
              <w:rPr>
                <w:rFonts w:ascii="Arial" w:hAnsi="Arial" w:cs="Arial"/>
                <w:sz w:val="24"/>
                <w:szCs w:val="24"/>
              </w:rPr>
              <w:t>received</w:t>
            </w:r>
            <w:r w:rsidR="006864A2" w:rsidRPr="004139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2FF" w:rsidRPr="00413966">
              <w:rPr>
                <w:rFonts w:ascii="Arial" w:hAnsi="Arial" w:cs="Arial"/>
                <w:sz w:val="24"/>
                <w:szCs w:val="24"/>
              </w:rPr>
              <w:t>and released into position</w:t>
            </w:r>
            <w:r w:rsidR="006864A2" w:rsidRPr="0041396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481CE68" w14:textId="77777777" w:rsidR="00327973" w:rsidRPr="00413966" w:rsidRDefault="00327973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D83EE0" w14:textId="77777777" w:rsidR="00126E3C" w:rsidRDefault="00AB4462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966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843601" w:rsidRPr="00413966">
              <w:rPr>
                <w:rFonts w:ascii="Arial" w:hAnsi="Arial" w:cs="Arial"/>
                <w:b/>
                <w:sz w:val="24"/>
                <w:szCs w:val="24"/>
              </w:rPr>
              <w:t>31.106</w:t>
            </w:r>
            <w:r w:rsidR="00AC62CD" w:rsidRPr="00413966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C19B7" w:rsidRPr="00413966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327973" w:rsidRPr="00413966"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5C19B7" w:rsidRPr="00413966">
              <w:rPr>
                <w:rFonts w:ascii="Arial" w:hAnsi="Arial" w:cs="Arial"/>
                <w:sz w:val="24"/>
                <w:szCs w:val="24"/>
              </w:rPr>
              <w:t>RRL relates to the marginal SLAs undertaken within NES for other Territorial Boards</w:t>
            </w:r>
            <w:r w:rsidRPr="00413966">
              <w:rPr>
                <w:rFonts w:ascii="Arial" w:hAnsi="Arial" w:cs="Arial"/>
                <w:sz w:val="24"/>
                <w:szCs w:val="24"/>
              </w:rPr>
              <w:t>.</w:t>
            </w:r>
            <w:r w:rsidR="000332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F10212" w14:textId="77777777" w:rsidR="00102563" w:rsidRDefault="00102563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95F8D" w14:textId="77777777" w:rsidR="001C0C36" w:rsidRDefault="001C0C36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039D88" w14:textId="77777777" w:rsidR="001C0C36" w:rsidRDefault="001C0C36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BF473D" w14:textId="77777777"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SERVICE LEVEL AGREEMENTS (SLA INCOME)</w:t>
            </w:r>
          </w:p>
          <w:p w14:paraId="2E1CF163" w14:textId="77777777"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765311E" w14:textId="77777777" w:rsidR="00126E3C" w:rsidRDefault="00A011AD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1AC">
              <w:rPr>
                <w:rFonts w:ascii="Arial" w:hAnsi="Arial" w:cs="Arial"/>
                <w:sz w:val="24"/>
                <w:szCs w:val="24"/>
              </w:rPr>
              <w:t>Total SLA income</w:t>
            </w:r>
            <w:r w:rsidR="000545FF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£932k</w:t>
            </w:r>
            <w:r w:rsidR="00126E3C" w:rsidRP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ov</w:t>
            </w:r>
            <w:r w:rsidR="003631AB">
              <w:rPr>
                <w:rFonts w:ascii="Arial" w:hAnsi="Arial" w:cs="Arial"/>
                <w:sz w:val="24"/>
                <w:szCs w:val="24"/>
              </w:rPr>
              <w:t>er</w:t>
            </w:r>
            <w:r w:rsidR="00126E3C" w:rsidRPr="008D21AC">
              <w:rPr>
                <w:rFonts w:ascii="Arial" w:hAnsi="Arial" w:cs="Arial"/>
                <w:sz w:val="24"/>
                <w:szCs w:val="24"/>
              </w:rPr>
              <w:t>-recover</w:t>
            </w:r>
            <w:r w:rsidRPr="008D21AC">
              <w:rPr>
                <w:rFonts w:ascii="Arial" w:hAnsi="Arial" w:cs="Arial"/>
                <w:sz w:val="24"/>
                <w:szCs w:val="24"/>
              </w:rPr>
              <w:t xml:space="preserve">ed at </w:t>
            </w:r>
            <w:r w:rsidR="00B02495">
              <w:rPr>
                <w:rFonts w:ascii="Arial" w:hAnsi="Arial" w:cs="Arial"/>
                <w:sz w:val="24"/>
                <w:szCs w:val="24"/>
              </w:rPr>
              <w:t>year-end</w:t>
            </w:r>
            <w:r w:rsidR="0039349B" w:rsidRPr="008D21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1A10AE" w14:textId="77777777" w:rsidR="00835031" w:rsidRDefault="00835031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FED9AC" w14:textId="77777777" w:rsidR="00A011AD" w:rsidRDefault="00B0249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2</w:t>
            </w:r>
          </w:p>
          <w:p w14:paraId="75F17C10" w14:textId="77777777" w:rsidR="00721A1F" w:rsidRDefault="00B0249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0249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5F798E" wp14:editId="51C6E0A1">
                  <wp:extent cx="5872480" cy="1530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48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1772F" w14:textId="77777777" w:rsidR="002D6685" w:rsidRDefault="002D668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62C34" w14:textId="77777777" w:rsidR="00634AD2" w:rsidRPr="005B3DF7" w:rsidRDefault="00E45391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DF7">
              <w:rPr>
                <w:rFonts w:ascii="Arial" w:hAnsi="Arial" w:cs="Arial"/>
                <w:sz w:val="24"/>
                <w:szCs w:val="24"/>
              </w:rPr>
              <w:t>Cardiac</w:t>
            </w:r>
            <w:r w:rsidR="00BC289C" w:rsidRPr="005B3DF7">
              <w:rPr>
                <w:rFonts w:ascii="Arial" w:hAnsi="Arial" w:cs="Arial"/>
                <w:sz w:val="24"/>
                <w:szCs w:val="24"/>
              </w:rPr>
              <w:t xml:space="preserve"> activity</w:t>
            </w:r>
            <w:r w:rsidRPr="005B3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6685" w:rsidRPr="005B3DF7">
              <w:rPr>
                <w:rFonts w:ascii="Arial" w:hAnsi="Arial" w:cs="Arial"/>
                <w:sz w:val="24"/>
                <w:szCs w:val="24"/>
              </w:rPr>
              <w:t>is above</w:t>
            </w:r>
            <w:r w:rsidR="004E3FEA" w:rsidRPr="005B3DF7">
              <w:rPr>
                <w:rFonts w:ascii="Arial" w:hAnsi="Arial" w:cs="Arial"/>
                <w:sz w:val="24"/>
                <w:szCs w:val="24"/>
              </w:rPr>
              <w:t xml:space="preserve"> plan by </w:t>
            </w:r>
            <w:r w:rsidR="004242FF" w:rsidRPr="005B3DF7">
              <w:rPr>
                <w:rFonts w:ascii="Arial" w:hAnsi="Arial" w:cs="Arial"/>
                <w:b/>
                <w:sz w:val="24"/>
                <w:szCs w:val="24"/>
              </w:rPr>
              <w:t>£645</w:t>
            </w:r>
            <w:r w:rsidR="00D10BA9" w:rsidRPr="005B3DF7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10BA9" w:rsidRPr="005B3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this relates to </w:t>
            </w:r>
            <w:r w:rsidR="005B3DF7" w:rsidRPr="005B3DF7">
              <w:rPr>
                <w:rFonts w:ascii="Arial" w:hAnsi="Arial" w:cs="Arial"/>
                <w:sz w:val="24"/>
                <w:szCs w:val="24"/>
              </w:rPr>
              <w:t>£663</w:t>
            </w:r>
            <w:r w:rsidR="002D6685" w:rsidRPr="005B3DF7">
              <w:rPr>
                <w:rFonts w:ascii="Arial" w:hAnsi="Arial" w:cs="Arial"/>
                <w:sz w:val="24"/>
                <w:szCs w:val="24"/>
              </w:rPr>
              <w:t xml:space="preserve">k NSD and </w:t>
            </w:r>
            <w:r w:rsidR="006A1856">
              <w:rPr>
                <w:rFonts w:ascii="Arial" w:hAnsi="Arial" w:cs="Arial"/>
                <w:sz w:val="24"/>
                <w:szCs w:val="24"/>
              </w:rPr>
              <w:t xml:space="preserve">a small </w:t>
            </w:r>
            <w:r w:rsidR="00BA1A97" w:rsidRPr="005B3DF7">
              <w:rPr>
                <w:rFonts w:ascii="Arial" w:hAnsi="Arial" w:cs="Arial"/>
                <w:sz w:val="24"/>
                <w:szCs w:val="24"/>
              </w:rPr>
              <w:t xml:space="preserve">underperformance of </w:t>
            </w:r>
            <w:r w:rsidR="005B3DF7" w:rsidRPr="005B3DF7">
              <w:rPr>
                <w:rFonts w:ascii="Arial" w:hAnsi="Arial" w:cs="Arial"/>
                <w:color w:val="FF0000"/>
                <w:sz w:val="24"/>
                <w:szCs w:val="24"/>
              </w:rPr>
              <w:t>-£5</w:t>
            </w:r>
            <w:r w:rsidR="002D6685" w:rsidRPr="005B3DF7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3732AD" w:rsidRPr="005B3DF7">
              <w:rPr>
                <w:rFonts w:ascii="Arial" w:hAnsi="Arial" w:cs="Arial"/>
                <w:sz w:val="24"/>
                <w:szCs w:val="24"/>
              </w:rPr>
              <w:t xml:space="preserve">ACT and Junior </w:t>
            </w:r>
            <w:r w:rsidR="009530F3" w:rsidRPr="005B3DF7">
              <w:rPr>
                <w:rFonts w:ascii="Arial" w:hAnsi="Arial" w:cs="Arial"/>
                <w:sz w:val="24"/>
                <w:szCs w:val="24"/>
              </w:rPr>
              <w:t>Doctors in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4D9" w:rsidRPr="005B3DF7">
              <w:rPr>
                <w:rFonts w:ascii="Arial" w:hAnsi="Arial" w:cs="Arial"/>
                <w:sz w:val="24"/>
                <w:szCs w:val="24"/>
              </w:rPr>
              <w:t>Month 12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CA9079" w14:textId="77777777" w:rsidR="004879B0" w:rsidRPr="005B3DF7" w:rsidRDefault="004879B0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1533AC" w14:textId="77777777" w:rsidR="004879B0" w:rsidRPr="005B3DF7" w:rsidRDefault="004879B0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DF7">
              <w:rPr>
                <w:rFonts w:ascii="Arial" w:hAnsi="Arial" w:cs="Arial"/>
                <w:sz w:val="24"/>
                <w:szCs w:val="24"/>
              </w:rPr>
              <w:t xml:space="preserve">Thoracic activity is above plan by </w:t>
            </w:r>
            <w:r w:rsidR="005B3DF7" w:rsidRPr="005B3DF7">
              <w:rPr>
                <w:rFonts w:ascii="Arial" w:hAnsi="Arial" w:cs="Arial"/>
                <w:b/>
                <w:sz w:val="24"/>
                <w:szCs w:val="24"/>
              </w:rPr>
              <w:t>£96</w:t>
            </w:r>
            <w:r w:rsidRPr="005B3DF7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3732AD" w:rsidRPr="005B3D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1A97" w:rsidRPr="005B3DF7">
              <w:rPr>
                <w:rFonts w:ascii="Arial" w:hAnsi="Arial" w:cs="Arial"/>
                <w:sz w:val="24"/>
                <w:szCs w:val="24"/>
              </w:rPr>
              <w:t>due to increase</w:t>
            </w:r>
            <w:r w:rsidR="00BA1A97" w:rsidRPr="005B3D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32AD" w:rsidRPr="005B3DF7"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spellStart"/>
            <w:r w:rsidR="003732AD" w:rsidRPr="005B3DF7">
              <w:rPr>
                <w:rFonts w:ascii="Arial" w:hAnsi="Arial" w:cs="Arial"/>
                <w:sz w:val="24"/>
                <w:szCs w:val="24"/>
              </w:rPr>
              <w:t>NWoS</w:t>
            </w:r>
            <w:proofErr w:type="spellEnd"/>
            <w:r w:rsidRPr="005B3D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6C0C6D" w14:textId="77777777" w:rsidR="00E45391" w:rsidRPr="005B3DF7" w:rsidRDefault="00E45391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257B41" w14:textId="77777777" w:rsidR="00E45391" w:rsidRPr="005B3DF7" w:rsidRDefault="00E45391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DF7">
              <w:rPr>
                <w:rFonts w:ascii="Arial" w:hAnsi="Arial" w:cs="Arial"/>
                <w:sz w:val="24"/>
                <w:szCs w:val="24"/>
              </w:rPr>
              <w:t xml:space="preserve">Cardiology </w:t>
            </w:r>
            <w:r w:rsidR="00BC289C" w:rsidRPr="005B3DF7">
              <w:rPr>
                <w:rFonts w:ascii="Arial" w:hAnsi="Arial" w:cs="Arial"/>
                <w:sz w:val="24"/>
                <w:szCs w:val="24"/>
              </w:rPr>
              <w:t xml:space="preserve">activity </w:t>
            </w:r>
            <w:r w:rsidRPr="005B3DF7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3732AD" w:rsidRPr="005B3DF7">
              <w:rPr>
                <w:rFonts w:ascii="Arial" w:hAnsi="Arial" w:cs="Arial"/>
                <w:sz w:val="24"/>
                <w:szCs w:val="24"/>
              </w:rPr>
              <w:t>above</w:t>
            </w:r>
            <w:r w:rsidR="00BC289C" w:rsidRPr="005B3DF7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Pr="005B3DF7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4242FF" w:rsidRPr="005B3DF7">
              <w:rPr>
                <w:rFonts w:ascii="Arial" w:hAnsi="Arial" w:cs="Arial"/>
                <w:b/>
                <w:sz w:val="24"/>
                <w:szCs w:val="24"/>
              </w:rPr>
              <w:t>£400</w:t>
            </w:r>
            <w:r w:rsidRPr="005B3DF7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750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>rel</w:t>
            </w:r>
            <w:r w:rsidR="005B3DF7" w:rsidRPr="005B3DF7">
              <w:rPr>
                <w:rFonts w:ascii="Arial" w:hAnsi="Arial" w:cs="Arial"/>
                <w:sz w:val="24"/>
                <w:szCs w:val="24"/>
              </w:rPr>
              <w:t>ates to over performance of £543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k SACCs </w:t>
            </w:r>
            <w:r w:rsidR="00843601">
              <w:rPr>
                <w:rFonts w:ascii="Arial" w:hAnsi="Arial" w:cs="Arial"/>
                <w:sz w:val="24"/>
                <w:szCs w:val="24"/>
              </w:rPr>
              <w:t>-</w:t>
            </w:r>
            <w:r w:rsidR="007C2750">
              <w:rPr>
                <w:rFonts w:ascii="Arial" w:hAnsi="Arial" w:cs="Arial"/>
                <w:sz w:val="24"/>
                <w:szCs w:val="24"/>
              </w:rPr>
              <w:t xml:space="preserve"> offset by the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0F3" w:rsidRPr="005B3DF7">
              <w:rPr>
                <w:rFonts w:ascii="Arial" w:hAnsi="Arial" w:cs="Arial"/>
                <w:sz w:val="24"/>
                <w:szCs w:val="24"/>
              </w:rPr>
              <w:t>underperformance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0F4047" w:rsidRPr="005B3DF7">
              <w:rPr>
                <w:rFonts w:ascii="Arial" w:hAnsi="Arial" w:cs="Arial"/>
                <w:sz w:val="24"/>
                <w:szCs w:val="24"/>
              </w:rPr>
              <w:t>NWoS</w:t>
            </w:r>
            <w:proofErr w:type="spellEnd"/>
            <w:r w:rsidR="005B3DF7" w:rsidRPr="005B3DF7">
              <w:rPr>
                <w:rFonts w:ascii="Arial" w:hAnsi="Arial" w:cs="Arial"/>
                <w:sz w:val="24"/>
                <w:szCs w:val="24"/>
              </w:rPr>
              <w:t xml:space="preserve"> of £143</w:t>
            </w:r>
            <w:r w:rsidR="003732AD" w:rsidRPr="005B3DF7">
              <w:rPr>
                <w:rFonts w:ascii="Arial" w:hAnsi="Arial" w:cs="Arial"/>
                <w:sz w:val="24"/>
                <w:szCs w:val="24"/>
              </w:rPr>
              <w:t>k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F640CB" w14:textId="77777777" w:rsidR="000F4047" w:rsidRPr="005B3DF7" w:rsidRDefault="000F4047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09B8A" w14:textId="77777777" w:rsidR="000F4047" w:rsidRDefault="004242FF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DF7">
              <w:rPr>
                <w:rFonts w:ascii="Arial" w:hAnsi="Arial" w:cs="Arial"/>
                <w:sz w:val="24"/>
                <w:szCs w:val="24"/>
              </w:rPr>
              <w:t>SPVU is over performing by £176</w:t>
            </w:r>
            <w:r w:rsidR="000F4047" w:rsidRPr="005B3DF7">
              <w:rPr>
                <w:rFonts w:ascii="Arial" w:hAnsi="Arial" w:cs="Arial"/>
                <w:sz w:val="24"/>
                <w:szCs w:val="24"/>
              </w:rPr>
              <w:t xml:space="preserve">k in </w:t>
            </w:r>
            <w:r w:rsidR="000F4047" w:rsidRPr="00A632CA">
              <w:rPr>
                <w:rFonts w:ascii="Arial" w:hAnsi="Arial" w:cs="Arial"/>
                <w:sz w:val="24"/>
                <w:szCs w:val="24"/>
              </w:rPr>
              <w:t>activity.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FBD745" w14:textId="77777777" w:rsidR="006A1856" w:rsidRPr="008878ED" w:rsidRDefault="006A1856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7E5F9D" w14:textId="77777777" w:rsidR="006A1856" w:rsidRDefault="006A1856" w:rsidP="006A185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14AC2">
              <w:rPr>
                <w:rFonts w:ascii="Arial" w:hAnsi="Arial" w:cs="Arial"/>
                <w:b/>
                <w:color w:val="002060"/>
                <w:sz w:val="24"/>
                <w:szCs w:val="24"/>
              </w:rPr>
              <w:t>HOTEL AND OTHER INCOME</w:t>
            </w:r>
          </w:p>
          <w:p w14:paraId="6326D2F0" w14:textId="77777777" w:rsidR="00146943" w:rsidRPr="008878ED" w:rsidRDefault="00146943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773746" w14:textId="77777777" w:rsidR="00907553" w:rsidRDefault="00B02495" w:rsidP="0090755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3</w:t>
            </w:r>
          </w:p>
          <w:p w14:paraId="6F905C75" w14:textId="77777777" w:rsidR="00981281" w:rsidRDefault="00B02495" w:rsidP="0090755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0249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A4591E" wp14:editId="1CFBC03F">
                  <wp:extent cx="5872480" cy="95821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48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7E127" w14:textId="77777777" w:rsidR="00843601" w:rsidRPr="00B36375" w:rsidRDefault="00843601" w:rsidP="00B36375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AC55754" w14:textId="77777777" w:rsidR="004E3FEA" w:rsidRPr="004F01FD" w:rsidRDefault="00126E3C" w:rsidP="00327973">
            <w:pPr>
              <w:rPr>
                <w:rFonts w:ascii="Arial" w:hAnsi="Arial" w:cs="Arial"/>
                <w:sz w:val="24"/>
                <w:szCs w:val="24"/>
              </w:rPr>
            </w:pPr>
            <w:r w:rsidRPr="00BA1A97">
              <w:rPr>
                <w:rFonts w:ascii="Arial" w:hAnsi="Arial" w:cs="Arial"/>
                <w:sz w:val="24"/>
                <w:szCs w:val="24"/>
              </w:rPr>
              <w:t>GJ</w:t>
            </w:r>
            <w:r w:rsidR="00B171AC" w:rsidRPr="00BA1A97">
              <w:rPr>
                <w:rFonts w:ascii="Arial" w:hAnsi="Arial" w:cs="Arial"/>
                <w:sz w:val="24"/>
                <w:szCs w:val="24"/>
              </w:rPr>
              <w:t xml:space="preserve"> Conference Hotel income is</w:t>
            </w:r>
            <w:r w:rsidR="000545FF" w:rsidRPr="00BA1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 w:rsidRP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2C00D2">
              <w:rPr>
                <w:rFonts w:ascii="Arial" w:hAnsi="Arial" w:cs="Arial"/>
                <w:b/>
                <w:color w:val="FF0000"/>
                <w:sz w:val="24"/>
                <w:szCs w:val="24"/>
              </w:rPr>
              <w:t>£276</w:t>
            </w:r>
            <w:r w:rsidR="003631AB" w:rsidRPr="00BA1A97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3631AB" w:rsidRPr="00BA1A9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3495A" w:rsidRPr="00BA1A97">
              <w:rPr>
                <w:rFonts w:ascii="Arial" w:hAnsi="Arial" w:cs="Arial"/>
                <w:sz w:val="24"/>
                <w:szCs w:val="24"/>
              </w:rPr>
              <w:t>und</w:t>
            </w:r>
            <w:r w:rsidR="00907553" w:rsidRPr="00BA1A97">
              <w:rPr>
                <w:rFonts w:ascii="Arial" w:hAnsi="Arial" w:cs="Arial"/>
                <w:sz w:val="24"/>
                <w:szCs w:val="24"/>
              </w:rPr>
              <w:t>er</w:t>
            </w:r>
            <w:r w:rsidR="004E3FEA" w:rsidRPr="00BA1A97">
              <w:rPr>
                <w:rFonts w:ascii="Arial" w:hAnsi="Arial" w:cs="Arial"/>
                <w:sz w:val="24"/>
                <w:szCs w:val="24"/>
              </w:rPr>
              <w:t>-recovered</w:t>
            </w:r>
            <w:r w:rsidR="002C00D2">
              <w:rPr>
                <w:rFonts w:ascii="Arial" w:hAnsi="Arial" w:cs="Arial"/>
                <w:sz w:val="24"/>
                <w:szCs w:val="24"/>
              </w:rPr>
              <w:t xml:space="preserve"> at year end</w:t>
            </w:r>
            <w:r w:rsidR="004E3FEA" w:rsidRPr="00BA1A97">
              <w:rPr>
                <w:rFonts w:ascii="Arial" w:hAnsi="Arial" w:cs="Arial"/>
                <w:sz w:val="24"/>
                <w:szCs w:val="24"/>
              </w:rPr>
              <w:t>.</w:t>
            </w:r>
            <w:r w:rsidR="00A44323" w:rsidRPr="00BA1A97">
              <w:rPr>
                <w:rFonts w:ascii="Arial" w:hAnsi="Arial" w:cs="Arial"/>
                <w:sz w:val="24"/>
                <w:szCs w:val="24"/>
              </w:rPr>
              <w:t xml:space="preserve"> The main driver is the reduction</w:t>
            </w:r>
            <w:r w:rsidR="0070117F" w:rsidRPr="00BA1A97">
              <w:rPr>
                <w:rFonts w:ascii="Arial" w:hAnsi="Arial" w:cs="Arial"/>
                <w:sz w:val="24"/>
                <w:szCs w:val="24"/>
              </w:rPr>
              <w:t xml:space="preserve"> in sales of food and beverages </w:t>
            </w:r>
            <w:r w:rsidR="002C00D2">
              <w:rPr>
                <w:rFonts w:ascii="Arial" w:hAnsi="Arial" w:cs="Arial"/>
                <w:sz w:val="24"/>
                <w:szCs w:val="24"/>
              </w:rPr>
              <w:t>and Health Club</w:t>
            </w:r>
            <w:r w:rsidR="00CB51D8">
              <w:rPr>
                <w:rFonts w:ascii="Arial" w:hAnsi="Arial" w:cs="Arial"/>
                <w:sz w:val="24"/>
                <w:szCs w:val="24"/>
              </w:rPr>
              <w:t xml:space="preserve"> – this is offset by </w:t>
            </w:r>
            <w:r w:rsidR="006A1856">
              <w:rPr>
                <w:rFonts w:ascii="Arial" w:hAnsi="Arial" w:cs="Arial"/>
                <w:sz w:val="24"/>
                <w:szCs w:val="24"/>
              </w:rPr>
              <w:t>room income (</w:t>
            </w:r>
            <w:r w:rsidR="004F01FD" w:rsidRPr="00BA1A97">
              <w:rPr>
                <w:rFonts w:ascii="Arial" w:hAnsi="Arial" w:cs="Arial"/>
                <w:sz w:val="24"/>
                <w:szCs w:val="24"/>
              </w:rPr>
              <w:t>including patie</w:t>
            </w:r>
            <w:r w:rsidR="00B04D2B" w:rsidRPr="00BA1A97">
              <w:rPr>
                <w:rFonts w:ascii="Arial" w:hAnsi="Arial" w:cs="Arial"/>
                <w:sz w:val="24"/>
                <w:szCs w:val="24"/>
              </w:rPr>
              <w:t>nt rooms</w:t>
            </w:r>
            <w:r w:rsidR="005B5285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FB41A45" w14:textId="77777777" w:rsidR="004E3FEA" w:rsidRPr="004F01FD" w:rsidRDefault="004E3FEA" w:rsidP="00327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07A00" w14:textId="77777777" w:rsidR="007C2750" w:rsidRDefault="0039349B" w:rsidP="00327973">
            <w:pPr>
              <w:rPr>
                <w:rFonts w:ascii="Arial" w:hAnsi="Arial" w:cs="Arial"/>
                <w:sz w:val="24"/>
                <w:szCs w:val="24"/>
              </w:rPr>
            </w:pPr>
            <w:r w:rsidRPr="004879B0">
              <w:rPr>
                <w:rFonts w:ascii="Arial" w:hAnsi="Arial" w:cs="Arial"/>
                <w:sz w:val="24"/>
                <w:szCs w:val="24"/>
              </w:rPr>
              <w:t>O</w:t>
            </w:r>
            <w:r w:rsidR="00126E3C" w:rsidRPr="004879B0">
              <w:rPr>
                <w:rFonts w:ascii="Arial" w:hAnsi="Arial" w:cs="Arial"/>
                <w:sz w:val="24"/>
                <w:szCs w:val="24"/>
              </w:rPr>
              <w:t xml:space="preserve">ther Income sources </w:t>
            </w:r>
            <w:r w:rsidR="00BC289C" w:rsidRPr="004879B0">
              <w:rPr>
                <w:rFonts w:ascii="Arial" w:hAnsi="Arial" w:cs="Arial"/>
                <w:sz w:val="24"/>
                <w:szCs w:val="24"/>
              </w:rPr>
              <w:t>that are over performing</w:t>
            </w:r>
            <w:r w:rsidR="004E3FEA" w:rsidRPr="00487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FD8" w:rsidRPr="004879B0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7C2750">
              <w:rPr>
                <w:rFonts w:ascii="Arial" w:hAnsi="Arial" w:cs="Arial"/>
                <w:sz w:val="24"/>
                <w:szCs w:val="24"/>
              </w:rPr>
              <w:t xml:space="preserve">a total of </w:t>
            </w:r>
            <w:r w:rsidR="002C00D2">
              <w:rPr>
                <w:rFonts w:ascii="Arial" w:hAnsi="Arial" w:cs="Arial"/>
                <w:b/>
                <w:sz w:val="24"/>
                <w:szCs w:val="24"/>
              </w:rPr>
              <w:t>£1.390</w:t>
            </w:r>
            <w:r w:rsidR="000D6E5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BD3FD8" w:rsidRPr="004879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E3FEA" w:rsidRPr="004879B0">
              <w:rPr>
                <w:rFonts w:ascii="Arial" w:hAnsi="Arial" w:cs="Arial"/>
                <w:sz w:val="24"/>
                <w:szCs w:val="24"/>
              </w:rPr>
              <w:t>in</w:t>
            </w:r>
            <w:r w:rsidR="00BC289C" w:rsidRPr="004879B0">
              <w:rPr>
                <w:rFonts w:ascii="Arial" w:hAnsi="Arial" w:cs="Arial"/>
                <w:sz w:val="24"/>
                <w:szCs w:val="24"/>
              </w:rPr>
              <w:t>clude</w:t>
            </w:r>
            <w:r w:rsidR="007C2750">
              <w:rPr>
                <w:rFonts w:ascii="Arial" w:hAnsi="Arial" w:cs="Arial"/>
                <w:sz w:val="24"/>
                <w:szCs w:val="24"/>
              </w:rPr>
              <w:t>:-</w:t>
            </w:r>
            <w:proofErr w:type="gramEnd"/>
          </w:p>
          <w:p w14:paraId="0F34F691" w14:textId="77777777" w:rsidR="00CB51D8" w:rsidRPr="00CB51D8" w:rsidRDefault="004F01FD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B51D8">
              <w:rPr>
                <w:rFonts w:ascii="Arial" w:hAnsi="Arial" w:cs="Arial"/>
              </w:rPr>
              <w:t>R&amp;D</w:t>
            </w:r>
            <w:r w:rsidR="007C2750" w:rsidRPr="00CB51D8">
              <w:rPr>
                <w:rFonts w:ascii="Arial" w:hAnsi="Arial" w:cs="Arial"/>
              </w:rPr>
              <w:t xml:space="preserve"> </w:t>
            </w:r>
            <w:r w:rsidR="00CB51D8" w:rsidRPr="00CB51D8">
              <w:rPr>
                <w:rFonts w:ascii="Arial" w:hAnsi="Arial" w:cs="Arial"/>
              </w:rPr>
              <w:t>£368k due to additional studies and excess treatment costs.</w:t>
            </w:r>
          </w:p>
          <w:p w14:paraId="7DE3E4B9" w14:textId="77777777" w:rsidR="0069719A" w:rsidRPr="00CB51D8" w:rsidRDefault="0069719A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B51D8">
              <w:rPr>
                <w:rFonts w:ascii="Arial" w:hAnsi="Arial" w:cs="Arial"/>
              </w:rPr>
              <w:t xml:space="preserve">Catering </w:t>
            </w:r>
            <w:r w:rsidR="00CB51D8" w:rsidRPr="00CB51D8">
              <w:rPr>
                <w:rFonts w:ascii="Arial" w:hAnsi="Arial" w:cs="Arial"/>
              </w:rPr>
              <w:t xml:space="preserve">£101k due to increased activity </w:t>
            </w:r>
          </w:p>
          <w:p w14:paraId="2ACA9B6C" w14:textId="77777777" w:rsidR="00CB51D8" w:rsidRPr="00CB51D8" w:rsidRDefault="00CB51D8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B51D8">
              <w:rPr>
                <w:rFonts w:ascii="Arial" w:hAnsi="Arial" w:cs="Arial"/>
              </w:rPr>
              <w:t>NHS GJ Shop £37k</w:t>
            </w:r>
          </w:p>
          <w:p w14:paraId="39B94EC8" w14:textId="77777777" w:rsidR="00CB51D8" w:rsidRDefault="00CB51D8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B51D8">
              <w:rPr>
                <w:rFonts w:ascii="Arial" w:hAnsi="Arial" w:cs="Arial"/>
              </w:rPr>
              <w:t xml:space="preserve">Pharmacy Drugs of £332k not included in SLA Pathways invoiced to various health boards. </w:t>
            </w:r>
          </w:p>
          <w:p w14:paraId="1510329D" w14:textId="77777777" w:rsidR="00CB51D8" w:rsidRPr="00CB51D8" w:rsidRDefault="00CB51D8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CNORIS claims £97k</w:t>
            </w:r>
          </w:p>
          <w:p w14:paraId="2972705A" w14:textId="77777777" w:rsidR="00A84588" w:rsidRPr="00CB51D8" w:rsidRDefault="0032475A" w:rsidP="00CB51D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u w:val="single"/>
              </w:rPr>
            </w:pPr>
            <w:r w:rsidRPr="00CB51D8">
              <w:rPr>
                <w:rFonts w:ascii="Arial" w:hAnsi="Arial" w:cs="Arial"/>
              </w:rPr>
              <w:t xml:space="preserve">Staff </w:t>
            </w:r>
            <w:r w:rsidR="00CB51D8" w:rsidRPr="00CB51D8">
              <w:rPr>
                <w:rFonts w:ascii="Arial" w:hAnsi="Arial" w:cs="Arial"/>
              </w:rPr>
              <w:t>Secondment of £</w:t>
            </w:r>
            <w:r w:rsidR="00CB51D8">
              <w:rPr>
                <w:rFonts w:ascii="Arial" w:hAnsi="Arial" w:cs="Arial"/>
              </w:rPr>
              <w:t>445</w:t>
            </w:r>
            <w:r w:rsidR="00CB51D8" w:rsidRPr="00CB51D8">
              <w:rPr>
                <w:rFonts w:ascii="Arial" w:hAnsi="Arial" w:cs="Arial"/>
              </w:rPr>
              <w:t>k i</w:t>
            </w:r>
            <w:r w:rsidR="006404A2" w:rsidRPr="00CB51D8">
              <w:rPr>
                <w:rFonts w:ascii="Arial" w:hAnsi="Arial" w:cs="Arial"/>
              </w:rPr>
              <w:t>nvoicing to various health boards</w:t>
            </w:r>
            <w:r w:rsidR="006A1856">
              <w:rPr>
                <w:rFonts w:ascii="Arial" w:hAnsi="Arial" w:cs="Arial"/>
              </w:rPr>
              <w:t xml:space="preserve"> (matched by relevant costs)</w:t>
            </w:r>
            <w:r w:rsidRPr="00CB51D8">
              <w:rPr>
                <w:rFonts w:ascii="Arial" w:hAnsi="Arial" w:cs="Arial"/>
              </w:rPr>
              <w:t>.</w:t>
            </w:r>
            <w:r w:rsidR="006404A2" w:rsidRPr="00CB51D8">
              <w:rPr>
                <w:rFonts w:ascii="Arial" w:hAnsi="Arial" w:cs="Arial"/>
                <w:b/>
              </w:rPr>
              <w:t xml:space="preserve"> </w:t>
            </w:r>
          </w:p>
          <w:p w14:paraId="264CF2D5" w14:textId="77777777" w:rsidR="00A84588" w:rsidRDefault="00A84588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10C8974" w14:textId="77777777" w:rsidR="00B02495" w:rsidRDefault="00B02495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9020A33" w14:textId="77777777" w:rsidR="00B02495" w:rsidRDefault="00B02495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E4DFF1A" w14:textId="77777777" w:rsidR="00B02495" w:rsidRDefault="00B02495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140413F" w14:textId="77777777" w:rsidR="00B02495" w:rsidRPr="000C4723" w:rsidRDefault="00B02495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A2EF2" w:rsidRPr="00594355" w14:paraId="1F8F3A5A" w14:textId="77777777" w:rsidTr="002B4873">
        <w:tc>
          <w:tcPr>
            <w:tcW w:w="10826" w:type="dxa"/>
            <w:tcBorders>
              <w:top w:val="single" w:sz="4" w:space="0" w:color="auto"/>
            </w:tcBorders>
          </w:tcPr>
          <w:p w14:paraId="241C3369" w14:textId="77777777" w:rsidR="00325AE1" w:rsidRPr="00F14AC2" w:rsidRDefault="00BB63E0" w:rsidP="00F14AC2">
            <w:pPr>
              <w:pStyle w:val="BodyText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3: 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CORE EXPENDITURE POSITION</w:t>
            </w:r>
          </w:p>
          <w:p w14:paraId="68ED111B" w14:textId="77777777" w:rsidR="00BB63E0" w:rsidRPr="00B00CAF" w:rsidRDefault="0003329F" w:rsidP="00D50948">
            <w:pPr>
              <w:pStyle w:val="NoSpacing"/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Total e</w:t>
            </w:r>
            <w:r w:rsidR="00A011AD" w:rsidRPr="00B00CAF">
              <w:rPr>
                <w:rFonts w:ascii="Arial" w:hAnsi="Arial" w:cs="Arial"/>
                <w:sz w:val="24"/>
                <w:szCs w:val="24"/>
              </w:rPr>
              <w:t xml:space="preserve">xpenditure </w:t>
            </w:r>
            <w:r w:rsidR="006A1856">
              <w:rPr>
                <w:rFonts w:ascii="Arial" w:hAnsi="Arial" w:cs="Arial"/>
                <w:sz w:val="24"/>
                <w:szCs w:val="24"/>
              </w:rPr>
              <w:t>for the year was</w:t>
            </w:r>
            <w:r w:rsidR="0044196C" w:rsidRPr="00B00CAF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2C00D2">
              <w:rPr>
                <w:rFonts w:ascii="Arial" w:hAnsi="Arial" w:cs="Arial"/>
                <w:sz w:val="24"/>
                <w:szCs w:val="24"/>
              </w:rPr>
              <w:t>271.2</w:t>
            </w:r>
            <w:r w:rsidR="00B02495">
              <w:rPr>
                <w:rFonts w:ascii="Arial" w:hAnsi="Arial" w:cs="Arial"/>
                <w:sz w:val="24"/>
                <w:szCs w:val="24"/>
              </w:rPr>
              <w:t>86</w:t>
            </w:r>
            <w:r w:rsidR="006E447C">
              <w:rPr>
                <w:rFonts w:ascii="Arial" w:hAnsi="Arial" w:cs="Arial"/>
                <w:sz w:val="24"/>
                <w:szCs w:val="24"/>
              </w:rPr>
              <w:t>m</w:t>
            </w:r>
            <w:r w:rsidR="00B04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856">
              <w:rPr>
                <w:rFonts w:ascii="Arial" w:hAnsi="Arial" w:cs="Arial"/>
                <w:sz w:val="24"/>
                <w:szCs w:val="24"/>
              </w:rPr>
              <w:t>above the annual</w:t>
            </w:r>
            <w:r w:rsidR="00A31E5E">
              <w:rPr>
                <w:rFonts w:ascii="Arial" w:hAnsi="Arial" w:cs="Arial"/>
                <w:sz w:val="24"/>
                <w:szCs w:val="24"/>
              </w:rPr>
              <w:t xml:space="preserve"> budget of £</w:t>
            </w:r>
            <w:r w:rsidR="00B02495">
              <w:rPr>
                <w:rFonts w:ascii="Arial" w:hAnsi="Arial" w:cs="Arial"/>
                <w:sz w:val="24"/>
                <w:szCs w:val="24"/>
              </w:rPr>
              <w:t>269.315</w:t>
            </w:r>
            <w:r w:rsidR="006E447C">
              <w:rPr>
                <w:rFonts w:ascii="Arial" w:hAnsi="Arial" w:cs="Arial"/>
                <w:sz w:val="24"/>
                <w:szCs w:val="24"/>
              </w:rPr>
              <w:t>m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948" w:rsidRPr="00B00CAF">
              <w:rPr>
                <w:rFonts w:ascii="Arial" w:hAnsi="Arial" w:cs="Arial"/>
                <w:sz w:val="24"/>
                <w:szCs w:val="24"/>
              </w:rPr>
              <w:t xml:space="preserve">resulting in an 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adverse variance of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A31E5E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B02495">
              <w:rPr>
                <w:rFonts w:ascii="Arial" w:hAnsi="Arial" w:cs="Arial"/>
                <w:color w:val="FF0000"/>
                <w:sz w:val="24"/>
                <w:szCs w:val="24"/>
              </w:rPr>
              <w:t>1.971</w:t>
            </w:r>
            <w:r w:rsidR="00782CD4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F015BB" w:rsidRPr="00B00C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015BB" w:rsidRPr="00B00CAF">
              <w:rPr>
                <w:rFonts w:ascii="Arial" w:hAnsi="Arial" w:cs="Arial"/>
                <w:sz w:val="24"/>
                <w:szCs w:val="24"/>
              </w:rPr>
              <w:t>overall</w:t>
            </w:r>
            <w:r w:rsidR="001D145E" w:rsidRPr="00B00C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45E" w:rsidRPr="00E45391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2C00D2">
              <w:rPr>
                <w:rFonts w:ascii="Arial" w:hAnsi="Arial" w:cs="Arial"/>
                <w:color w:val="FF0000"/>
                <w:sz w:val="24"/>
                <w:szCs w:val="24"/>
              </w:rPr>
              <w:t>-0.73</w:t>
            </w:r>
            <w:r w:rsidR="001D145E" w:rsidRPr="00B00CAF">
              <w:rPr>
                <w:rFonts w:ascii="Arial" w:hAnsi="Arial" w:cs="Arial"/>
                <w:color w:val="FF0000"/>
                <w:sz w:val="24"/>
                <w:szCs w:val="24"/>
              </w:rPr>
              <w:t>%)</w:t>
            </w:r>
            <w:r w:rsidR="005B4BA0" w:rsidRPr="00B00C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69B625B7" w14:textId="77777777" w:rsidR="005B4BA0" w:rsidRPr="00B00CAF" w:rsidRDefault="005B4BA0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0BD1CB07" w14:textId="77777777" w:rsidR="00DB432A" w:rsidRPr="00B00CAF" w:rsidRDefault="00F12B3F" w:rsidP="00FC246F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Costs und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B02495">
              <w:rPr>
                <w:rFonts w:ascii="Arial" w:hAnsi="Arial" w:cs="Arial"/>
                <w:sz w:val="24"/>
                <w:szCs w:val="24"/>
              </w:rPr>
              <w:t>£1.871</w:t>
            </w:r>
            <w:r w:rsidR="00470679">
              <w:rPr>
                <w:rFonts w:ascii="Arial" w:hAnsi="Arial" w:cs="Arial"/>
                <w:sz w:val="24"/>
                <w:szCs w:val="24"/>
              </w:rPr>
              <w:t>m</w:t>
            </w:r>
            <w:r w:rsidR="00C331D9" w:rsidRPr="006E447C">
              <w:rPr>
                <w:rFonts w:ascii="Arial" w:hAnsi="Arial" w:cs="Arial"/>
                <w:sz w:val="24"/>
                <w:szCs w:val="24"/>
              </w:rPr>
              <w:t>,</w:t>
            </w:r>
            <w:r w:rsidR="00843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495">
              <w:rPr>
                <w:rFonts w:ascii="Arial" w:hAnsi="Arial" w:cs="Arial"/>
                <w:sz w:val="24"/>
                <w:szCs w:val="24"/>
              </w:rPr>
              <w:t>1.04</w:t>
            </w:r>
            <w:r w:rsidR="00F015BB" w:rsidRPr="006E447C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0A669474" w14:textId="77777777" w:rsidR="00B0212A" w:rsidRDefault="00BB63E0" w:rsidP="00A27113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1964">
              <w:rPr>
                <w:rFonts w:ascii="Arial" w:hAnsi="Arial" w:cs="Arial"/>
                <w:sz w:val="24"/>
                <w:szCs w:val="24"/>
              </w:rPr>
              <w:t xml:space="preserve">Non-Pay Costs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A31E5E" w:rsidRPr="000F1964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B02495">
              <w:rPr>
                <w:rFonts w:ascii="Arial" w:hAnsi="Arial" w:cs="Arial"/>
                <w:color w:val="FF0000"/>
                <w:sz w:val="24"/>
                <w:szCs w:val="24"/>
              </w:rPr>
              <w:t>3.842</w:t>
            </w:r>
            <w:r w:rsidR="006E447C" w:rsidRPr="000F1964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022314" w:rsidRPr="000F1964">
              <w:rPr>
                <w:rFonts w:ascii="Arial" w:hAnsi="Arial" w:cs="Arial"/>
                <w:color w:val="FF0000"/>
                <w:sz w:val="24"/>
                <w:szCs w:val="24"/>
              </w:rPr>
              <w:t>, -</w:t>
            </w:r>
            <w:r w:rsidR="00B02495">
              <w:rPr>
                <w:rFonts w:ascii="Arial" w:hAnsi="Arial" w:cs="Arial"/>
                <w:color w:val="FF0000"/>
                <w:sz w:val="24"/>
                <w:szCs w:val="24"/>
              </w:rPr>
              <w:t>4.27</w:t>
            </w:r>
            <w:r w:rsidR="00F015BB" w:rsidRPr="000F1964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</w:p>
          <w:p w14:paraId="1C59CF81" w14:textId="77777777" w:rsidR="00CB19A1" w:rsidRDefault="00CB19A1" w:rsidP="00CB19A1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7A4588" w14:textId="77777777" w:rsidR="00297B55" w:rsidRDefault="00297B55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171AC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PAY COSTS AT </w:t>
            </w:r>
            <w:r w:rsidR="00A7165F">
              <w:rPr>
                <w:rFonts w:ascii="Arial" w:hAnsi="Arial" w:cs="Arial"/>
                <w:b/>
                <w:color w:val="002060"/>
                <w:sz w:val="28"/>
                <w:szCs w:val="24"/>
              </w:rPr>
              <w:t>YEAR END</w:t>
            </w:r>
          </w:p>
          <w:p w14:paraId="39CA38B1" w14:textId="77777777" w:rsidR="00CB19A1" w:rsidRDefault="00CB19A1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1DEDA051" w14:textId="77777777" w:rsidR="000C168E" w:rsidRDefault="00B02495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4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 xml:space="preserve"> – Pay Costs</w:t>
            </w:r>
          </w:p>
          <w:p w14:paraId="402BF7E0" w14:textId="77777777" w:rsidR="00022314" w:rsidRPr="00445CF4" w:rsidRDefault="00B02495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0249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0AFD65" wp14:editId="1DA7AA44">
                  <wp:extent cx="5872480" cy="1530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48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12BE8" w14:textId="77777777" w:rsidR="000F1964" w:rsidRDefault="000F1964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08E53D4" w14:textId="77777777" w:rsidR="007C685E" w:rsidRDefault="00D22A23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M</w:t>
            </w:r>
            <w:r w:rsidR="000C5637"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EDICAL PAY COSTS</w:t>
            </w:r>
            <w:r w:rsidR="000C5637" w:rsidRPr="00775BE8">
              <w:rPr>
                <w:rFonts w:ascii="Arial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  <w:p w14:paraId="6F3298E5" w14:textId="77777777" w:rsidR="007C685E" w:rsidRDefault="007C685E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32081D5" w14:textId="77777777" w:rsidR="006E447C" w:rsidRDefault="008878ED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overspend </w:t>
            </w:r>
            <w:r w:rsidR="00BD0877">
              <w:rPr>
                <w:rFonts w:ascii="Arial" w:hAnsi="Arial" w:cs="Arial"/>
                <w:sz w:val="24"/>
                <w:szCs w:val="24"/>
              </w:rPr>
              <w:t>within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B63E0" w:rsidRPr="00DD42C2">
              <w:rPr>
                <w:rFonts w:ascii="Arial" w:hAnsi="Arial" w:cs="Arial"/>
                <w:sz w:val="24"/>
                <w:szCs w:val="24"/>
              </w:rPr>
              <w:t>Medical</w:t>
            </w:r>
            <w:proofErr w:type="gramEnd"/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 staff category</w:t>
            </w:r>
            <w:r w:rsidR="00B076FF" w:rsidRPr="00DD42C2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B02495">
              <w:rPr>
                <w:rFonts w:ascii="Arial" w:hAnsi="Arial" w:cs="Arial"/>
                <w:b/>
                <w:color w:val="FF0000"/>
                <w:sz w:val="24"/>
                <w:szCs w:val="24"/>
              </w:rPr>
              <w:t>£523</w:t>
            </w:r>
            <w:r w:rsidR="00BB63E0" w:rsidRPr="004D652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7D5CE5" w:rsidRPr="00DD42C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D0877">
              <w:rPr>
                <w:rFonts w:ascii="Arial" w:hAnsi="Arial" w:cs="Arial"/>
                <w:sz w:val="24"/>
                <w:szCs w:val="24"/>
              </w:rPr>
              <w:t xml:space="preserve">the main drivers </w:t>
            </w:r>
            <w:r>
              <w:rPr>
                <w:rFonts w:ascii="Arial" w:hAnsi="Arial" w:cs="Arial"/>
                <w:sz w:val="24"/>
                <w:szCs w:val="24"/>
              </w:rPr>
              <w:t>are within NES division with a high r</w:t>
            </w:r>
            <w:r w:rsidR="00C70670">
              <w:rPr>
                <w:rFonts w:ascii="Arial" w:hAnsi="Arial" w:cs="Arial"/>
                <w:sz w:val="24"/>
                <w:szCs w:val="24"/>
              </w:rPr>
              <w:t xml:space="preserve">ate of WLI being paid but staff have now been recruited to some posts </w:t>
            </w:r>
            <w:r w:rsidR="002C00D2">
              <w:rPr>
                <w:rFonts w:ascii="Arial" w:hAnsi="Arial" w:cs="Arial"/>
                <w:sz w:val="24"/>
                <w:szCs w:val="24"/>
              </w:rPr>
              <w:t>so costs should reduce next financial year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112171F8" w14:textId="77777777" w:rsidR="006E447C" w:rsidRDefault="006E447C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1DE34E" w14:textId="77777777" w:rsidR="004D6526" w:rsidRDefault="0036123F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4942D5">
              <w:rPr>
                <w:rFonts w:ascii="Arial" w:hAnsi="Arial" w:cs="Arial"/>
                <w:sz w:val="24"/>
                <w:szCs w:val="24"/>
              </w:rPr>
              <w:t>division are now showing a £</w:t>
            </w:r>
            <w:r w:rsidR="002C00D2">
              <w:rPr>
                <w:rFonts w:ascii="Arial" w:hAnsi="Arial" w:cs="Arial"/>
                <w:sz w:val="24"/>
                <w:szCs w:val="24"/>
              </w:rPr>
              <w:t>355</w:t>
            </w:r>
            <w:r w:rsidR="006E447C">
              <w:rPr>
                <w:rFonts w:ascii="Arial" w:hAnsi="Arial" w:cs="Arial"/>
                <w:sz w:val="24"/>
                <w:szCs w:val="24"/>
              </w:rPr>
              <w:t xml:space="preserve">k underspend </w:t>
            </w:r>
            <w:r w:rsidR="00CD3D35">
              <w:rPr>
                <w:rFonts w:ascii="Arial" w:hAnsi="Arial" w:cs="Arial"/>
                <w:sz w:val="24"/>
                <w:szCs w:val="24"/>
              </w:rPr>
              <w:t xml:space="preserve">at year end </w:t>
            </w:r>
            <w:r w:rsidR="006E447C">
              <w:rPr>
                <w:rFonts w:ascii="Arial" w:hAnsi="Arial" w:cs="Arial"/>
                <w:sz w:val="24"/>
                <w:szCs w:val="24"/>
              </w:rPr>
              <w:t>the main driver of this is the vacancies with</w:t>
            </w:r>
            <w:r w:rsidR="00F12B3F">
              <w:rPr>
                <w:rFonts w:ascii="Arial" w:hAnsi="Arial" w:cs="Arial"/>
                <w:sz w:val="24"/>
                <w:szCs w:val="24"/>
              </w:rPr>
              <w:t>in</w:t>
            </w:r>
            <w:r w:rsidR="006E447C">
              <w:rPr>
                <w:rFonts w:ascii="Arial" w:hAnsi="Arial" w:cs="Arial"/>
                <w:sz w:val="24"/>
                <w:szCs w:val="24"/>
              </w:rPr>
              <w:t xml:space="preserve"> Cardiology</w:t>
            </w:r>
            <w:r w:rsidR="00F934E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A5F842" w14:textId="77777777" w:rsidR="00843601" w:rsidRDefault="00843601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31DC68" w14:textId="77777777" w:rsidR="00981281" w:rsidRDefault="0015192C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The key </w:t>
            </w:r>
            <w:proofErr w:type="gramStart"/>
            <w:r w:rsidRPr="00B36375">
              <w:rPr>
                <w:rFonts w:ascii="Arial" w:hAnsi="Arial" w:cs="Arial"/>
                <w:sz w:val="24"/>
                <w:szCs w:val="24"/>
              </w:rPr>
              <w:t>pressures</w:t>
            </w:r>
            <w:proofErr w:type="gramEnd"/>
            <w:r w:rsidRPr="00B36375">
              <w:rPr>
                <w:rFonts w:ascii="Arial" w:hAnsi="Arial" w:cs="Arial"/>
                <w:sz w:val="24"/>
                <w:szCs w:val="24"/>
              </w:rPr>
              <w:t xml:space="preserve"> within medical pay relates to medical agency costs and Waiting List initiative</w:t>
            </w:r>
            <w:r w:rsidR="00B36375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314917">
              <w:rPr>
                <w:rFonts w:ascii="Arial" w:hAnsi="Arial" w:cs="Arial"/>
                <w:sz w:val="24"/>
                <w:szCs w:val="24"/>
              </w:rPr>
              <w:t>s</w:t>
            </w:r>
            <w:r w:rsidR="00B36375">
              <w:rPr>
                <w:rFonts w:ascii="Arial" w:hAnsi="Arial" w:cs="Arial"/>
                <w:sz w:val="24"/>
                <w:szCs w:val="24"/>
              </w:rPr>
              <w:t xml:space="preserve"> in the following areas:</w:t>
            </w:r>
          </w:p>
          <w:p w14:paraId="59E17937" w14:textId="77777777" w:rsidR="00843601" w:rsidRDefault="00843601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42180" w14:textId="77777777" w:rsidR="0015192C" w:rsidRPr="00662459" w:rsidRDefault="00F92C38" w:rsidP="00454B7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5</w:t>
            </w:r>
            <w:r w:rsidR="00662459" w:rsidRPr="00662459">
              <w:rPr>
                <w:rFonts w:ascii="Arial" w:hAnsi="Arial" w:cs="Arial"/>
                <w:b/>
                <w:sz w:val="24"/>
                <w:szCs w:val="24"/>
              </w:rPr>
              <w:t xml:space="preserve"> – Medical staff key expenditure pressures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7"/>
              <w:gridCol w:w="1276"/>
              <w:gridCol w:w="1555"/>
              <w:gridCol w:w="1453"/>
            </w:tblGrid>
            <w:tr w:rsidR="0015192C" w14:paraId="54B22D98" w14:textId="77777777" w:rsidTr="00470679">
              <w:tc>
                <w:tcPr>
                  <w:tcW w:w="4137" w:type="dxa"/>
                </w:tcPr>
                <w:p w14:paraId="65B60244" w14:textId="77777777" w:rsidR="0015192C" w:rsidRPr="007F0F52" w:rsidRDefault="0015192C" w:rsidP="000E43F5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Pressure</w:t>
                  </w:r>
                </w:p>
              </w:tc>
              <w:tc>
                <w:tcPr>
                  <w:tcW w:w="1276" w:type="dxa"/>
                </w:tcPr>
                <w:p w14:paraId="1281D195" w14:textId="77777777" w:rsidR="0015192C" w:rsidRPr="007F0F52" w:rsidRDefault="0015192C" w:rsidP="000E43F5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HLD</w:t>
                  </w:r>
                </w:p>
              </w:tc>
              <w:tc>
                <w:tcPr>
                  <w:tcW w:w="1555" w:type="dxa"/>
                </w:tcPr>
                <w:p w14:paraId="195203AB" w14:textId="77777777" w:rsidR="0015192C" w:rsidRPr="007F0F52" w:rsidRDefault="0015192C" w:rsidP="000E43F5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NES</w:t>
                  </w:r>
                </w:p>
              </w:tc>
              <w:tc>
                <w:tcPr>
                  <w:tcW w:w="1453" w:type="dxa"/>
                </w:tcPr>
                <w:p w14:paraId="7A6375FC" w14:textId="77777777" w:rsidR="0015192C" w:rsidRPr="007F0F52" w:rsidRDefault="0015192C" w:rsidP="000E43F5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15192C" w14:paraId="55358767" w14:textId="77777777" w:rsidTr="00470679">
              <w:tc>
                <w:tcPr>
                  <w:tcW w:w="4137" w:type="dxa"/>
                </w:tcPr>
                <w:p w14:paraId="528C1388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Agency:-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62D63726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4F0E987A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7DFC5AD5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679" w14:paraId="62198B38" w14:textId="77777777" w:rsidTr="00470679">
              <w:tc>
                <w:tcPr>
                  <w:tcW w:w="4137" w:type="dxa"/>
                </w:tcPr>
                <w:p w14:paraId="01985529" w14:textId="77777777" w:rsidR="00470679" w:rsidRDefault="00470679" w:rsidP="004706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Radiology</w:t>
                  </w:r>
                </w:p>
              </w:tc>
              <w:tc>
                <w:tcPr>
                  <w:tcW w:w="1276" w:type="dxa"/>
                </w:tcPr>
                <w:p w14:paraId="4C07B819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-£135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55" w:type="dxa"/>
                </w:tcPr>
                <w:p w14:paraId="5F2E6562" w14:textId="77777777" w:rsidR="00470679" w:rsidRDefault="00470679" w:rsidP="00470679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11F43ECA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-£135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470679" w14:paraId="2791163E" w14:textId="77777777" w:rsidTr="00470679">
              <w:tc>
                <w:tcPr>
                  <w:tcW w:w="4137" w:type="dxa"/>
                </w:tcPr>
                <w:p w14:paraId="08FEDA42" w14:textId="77777777" w:rsidR="00470679" w:rsidRDefault="00470679" w:rsidP="004706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Cardiac Registrars</w:t>
                  </w:r>
                </w:p>
              </w:tc>
              <w:tc>
                <w:tcPr>
                  <w:tcW w:w="1276" w:type="dxa"/>
                </w:tcPr>
                <w:p w14:paraId="3407D392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-£113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55" w:type="dxa"/>
                </w:tcPr>
                <w:p w14:paraId="2B4C475B" w14:textId="77777777" w:rsidR="00470679" w:rsidRDefault="00470679" w:rsidP="00470679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285A3431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-£113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470679" w14:paraId="273B8516" w14:textId="77777777" w:rsidTr="00470679">
              <w:tc>
                <w:tcPr>
                  <w:tcW w:w="4137" w:type="dxa"/>
                </w:tcPr>
                <w:p w14:paraId="040F0538" w14:textId="77777777" w:rsidR="00470679" w:rsidRDefault="00470679" w:rsidP="004706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Ophthalmology</w:t>
                  </w:r>
                </w:p>
              </w:tc>
              <w:tc>
                <w:tcPr>
                  <w:tcW w:w="1276" w:type="dxa"/>
                </w:tcPr>
                <w:p w14:paraId="4F47EDC4" w14:textId="77777777" w:rsidR="00470679" w:rsidRDefault="00470679" w:rsidP="00470679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1579496E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-£531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6902B08A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-£531</w:t>
                  </w:r>
                  <w:r w:rsidR="00470679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470679" w14:paraId="1DAA9F27" w14:textId="77777777" w:rsidTr="00470679">
              <w:tc>
                <w:tcPr>
                  <w:tcW w:w="4137" w:type="dxa"/>
                </w:tcPr>
                <w:p w14:paraId="316D6680" w14:textId="77777777" w:rsidR="00470679" w:rsidRDefault="00470679" w:rsidP="004706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General Anaesthetics Registrars</w:t>
                  </w:r>
                </w:p>
              </w:tc>
              <w:tc>
                <w:tcPr>
                  <w:tcW w:w="1276" w:type="dxa"/>
                </w:tcPr>
                <w:p w14:paraId="4D01F73E" w14:textId="77777777" w:rsidR="00470679" w:rsidRDefault="00470679" w:rsidP="00470679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5F76EEF2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-£0</w:t>
                  </w:r>
                  <w:r w:rsidR="00470679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70B9A98E" w14:textId="77777777" w:rsidR="00470679" w:rsidRPr="007F0F52" w:rsidRDefault="002C00D2" w:rsidP="00470679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-£0</w:t>
                  </w:r>
                  <w:r w:rsidR="00470679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747B8A68" w14:textId="77777777" w:rsidTr="00470679">
              <w:tc>
                <w:tcPr>
                  <w:tcW w:w="4137" w:type="dxa"/>
                </w:tcPr>
                <w:p w14:paraId="35A86AAB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276" w:type="dxa"/>
                </w:tcPr>
                <w:p w14:paraId="1910F140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3A03D089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3F63D8A8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5192C" w14:paraId="4CF26D0C" w14:textId="77777777" w:rsidTr="00470679">
              <w:tc>
                <w:tcPr>
                  <w:tcW w:w="4137" w:type="dxa"/>
                </w:tcPr>
                <w:p w14:paraId="4279AEC4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1328020" w14:textId="77777777" w:rsidR="0015192C" w:rsidRPr="007F0F52" w:rsidRDefault="00A31E5E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248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55" w:type="dxa"/>
                </w:tcPr>
                <w:p w14:paraId="196A2D2F" w14:textId="77777777" w:rsidR="0015192C" w:rsidRPr="007F0F52" w:rsidRDefault="00A7252F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-£531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19542A96" w14:textId="77777777" w:rsidR="0015192C" w:rsidRPr="007F0F52" w:rsidRDefault="009D4EFF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779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2F038C40" w14:textId="77777777" w:rsidTr="00470679">
              <w:tc>
                <w:tcPr>
                  <w:tcW w:w="4137" w:type="dxa"/>
                </w:tcPr>
                <w:p w14:paraId="0B4E33D0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Waiting List </w:t>
                  </w:r>
                  <w:proofErr w:type="gramStart"/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Initiatives:-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52266CDB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272AF38A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35CDB0C7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B8188E" w14:paraId="56C91051" w14:textId="77777777" w:rsidTr="00470679">
              <w:tc>
                <w:tcPr>
                  <w:tcW w:w="4137" w:type="dxa"/>
                </w:tcPr>
                <w:p w14:paraId="36283171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 xml:space="preserve">Cardiac </w:t>
                  </w:r>
                </w:p>
              </w:tc>
              <w:tc>
                <w:tcPr>
                  <w:tcW w:w="1276" w:type="dxa"/>
                </w:tcPr>
                <w:p w14:paraId="3EFD8CC0" w14:textId="77777777" w:rsidR="00B8188E" w:rsidRPr="00A01CA2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-£346</w:t>
                  </w:r>
                  <w:r w:rsidR="00B8188E"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55" w:type="dxa"/>
                </w:tcPr>
                <w:p w14:paraId="200D6D48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3E261A3B" w14:textId="77777777" w:rsidR="00B8188E" w:rsidRPr="00A01CA2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-£346</w:t>
                  </w:r>
                  <w:r w:rsidR="00B8188E"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B8188E" w14:paraId="1DFCE57B" w14:textId="77777777" w:rsidTr="00470679">
              <w:tc>
                <w:tcPr>
                  <w:tcW w:w="4137" w:type="dxa"/>
                </w:tcPr>
                <w:p w14:paraId="7A83C6D1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Cardiology</w:t>
                  </w:r>
                </w:p>
              </w:tc>
              <w:tc>
                <w:tcPr>
                  <w:tcW w:w="1276" w:type="dxa"/>
                </w:tcPr>
                <w:p w14:paraId="2C6F4680" w14:textId="77777777" w:rsidR="00B8188E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£6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8k</w:t>
                  </w:r>
                </w:p>
              </w:tc>
              <w:tc>
                <w:tcPr>
                  <w:tcW w:w="1555" w:type="dxa"/>
                </w:tcPr>
                <w:p w14:paraId="43F058AB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76866C7D" w14:textId="77777777" w:rsidR="00B8188E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£6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8k</w:t>
                  </w:r>
                </w:p>
              </w:tc>
            </w:tr>
            <w:tr w:rsidR="00B8188E" w14:paraId="2610155D" w14:textId="77777777" w:rsidTr="00470679">
              <w:tc>
                <w:tcPr>
                  <w:tcW w:w="4137" w:type="dxa"/>
                </w:tcPr>
                <w:p w14:paraId="09FC7315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>CT Anaesthetics</w:t>
                  </w:r>
                </w:p>
              </w:tc>
              <w:tc>
                <w:tcPr>
                  <w:tcW w:w="1276" w:type="dxa"/>
                </w:tcPr>
                <w:p w14:paraId="34D7A679" w14:textId="77777777" w:rsidR="00B8188E" w:rsidRPr="00A01CA2" w:rsidRDefault="00B8188E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677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55" w:type="dxa"/>
                </w:tcPr>
                <w:p w14:paraId="501A527D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1CDB59C8" w14:textId="77777777" w:rsidR="00B8188E" w:rsidRPr="00A01CA2" w:rsidRDefault="00B8188E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677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B8188E" w14:paraId="1DF88A39" w14:textId="77777777" w:rsidTr="00470679">
              <w:tc>
                <w:tcPr>
                  <w:tcW w:w="4137" w:type="dxa"/>
                </w:tcPr>
                <w:p w14:paraId="5210641B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 xml:space="preserve">General Anaesthetics </w:t>
                  </w:r>
                </w:p>
              </w:tc>
              <w:tc>
                <w:tcPr>
                  <w:tcW w:w="1276" w:type="dxa"/>
                </w:tcPr>
                <w:p w14:paraId="59DD390C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16E26804" w14:textId="77777777" w:rsidR="00B8188E" w:rsidRPr="007F0F5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617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06BD0F17" w14:textId="77777777" w:rsidR="00B8188E" w:rsidRPr="007F0F52" w:rsidRDefault="00B8188E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617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B8188E" w14:paraId="7C9EE770" w14:textId="77777777" w:rsidTr="00470679">
              <w:tc>
                <w:tcPr>
                  <w:tcW w:w="4137" w:type="dxa"/>
                </w:tcPr>
                <w:p w14:paraId="62DB6E44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276" w:type="dxa"/>
                </w:tcPr>
                <w:p w14:paraId="17222470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13DC8839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214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0E62BAA4" w14:textId="77777777" w:rsidR="00B8188E" w:rsidRPr="00A01CA2" w:rsidRDefault="00B8188E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214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B8188E" w14:paraId="3AE6674D" w14:textId="77777777" w:rsidTr="00470679">
              <w:tc>
                <w:tcPr>
                  <w:tcW w:w="4137" w:type="dxa"/>
                </w:tcPr>
                <w:p w14:paraId="7721A6ED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Ophthalmology</w:t>
                  </w:r>
                </w:p>
              </w:tc>
              <w:tc>
                <w:tcPr>
                  <w:tcW w:w="1276" w:type="dxa"/>
                </w:tcPr>
                <w:p w14:paraId="610DBA06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55" w:type="dxa"/>
                </w:tcPr>
                <w:p w14:paraId="66A64F9E" w14:textId="77777777" w:rsidR="00B8188E" w:rsidRPr="00A01CA2" w:rsidRDefault="00A7252F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-£302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15495FA1" w14:textId="77777777" w:rsidR="00B8188E" w:rsidRPr="00A01CA2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-£302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B8188E" w14:paraId="066ED548" w14:textId="77777777" w:rsidTr="00470679">
              <w:tc>
                <w:tcPr>
                  <w:tcW w:w="4137" w:type="dxa"/>
                </w:tcPr>
                <w:p w14:paraId="3415B736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General Surgery</w:t>
                  </w:r>
                </w:p>
              </w:tc>
              <w:tc>
                <w:tcPr>
                  <w:tcW w:w="1276" w:type="dxa"/>
                </w:tcPr>
                <w:p w14:paraId="40225BF9" w14:textId="77777777" w:rsidR="00B8188E" w:rsidRPr="00A01CA2" w:rsidRDefault="00B8188E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012F32A2" w14:textId="77777777" w:rsidR="00B8188E" w:rsidRPr="00A01CA2" w:rsidRDefault="00A7252F" w:rsidP="00B8188E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-£822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53" w:type="dxa"/>
                </w:tcPr>
                <w:p w14:paraId="0AB615CB" w14:textId="77777777" w:rsidR="00B8188E" w:rsidRPr="00A01CA2" w:rsidRDefault="00A7252F" w:rsidP="00B8188E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-£822</w:t>
                  </w:r>
                  <w:r w:rsidR="00B8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CD5972" w14:paraId="015924AF" w14:textId="77777777" w:rsidTr="00470679">
              <w:tc>
                <w:tcPr>
                  <w:tcW w:w="4137" w:type="dxa"/>
                </w:tcPr>
                <w:p w14:paraId="64F8E38A" w14:textId="77777777" w:rsidR="00CD5972" w:rsidRDefault="00CD5972" w:rsidP="00CD597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B3E060E" w14:textId="77777777" w:rsidR="00CD5972" w:rsidRPr="007F0F52" w:rsidRDefault="00CD5972" w:rsidP="0010043D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1.091</w:t>
                  </w:r>
                  <w:r w:rsidR="00B8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5" w:type="dxa"/>
                </w:tcPr>
                <w:p w14:paraId="557B0BDE" w14:textId="77777777" w:rsidR="00CD5972" w:rsidRPr="007F0F52" w:rsidRDefault="00CD5972" w:rsidP="00C609DA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406E7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1.955</w:t>
                  </w:r>
                  <w:r w:rsidR="00C609D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453" w:type="dxa"/>
                </w:tcPr>
                <w:p w14:paraId="6C833A1C" w14:textId="77777777" w:rsidR="00CD5972" w:rsidRPr="007F0F52" w:rsidRDefault="00CD5972" w:rsidP="00F64F50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406E7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3.046</w:t>
                  </w:r>
                  <w:r w:rsidR="00F64F5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</w:tr>
            <w:tr w:rsidR="00CD5972" w14:paraId="4B993D78" w14:textId="77777777" w:rsidTr="00470679">
              <w:tc>
                <w:tcPr>
                  <w:tcW w:w="4137" w:type="dxa"/>
                </w:tcPr>
                <w:p w14:paraId="53E0FF40" w14:textId="77777777" w:rsidR="00CD5972" w:rsidRPr="00662459" w:rsidRDefault="00CD5972" w:rsidP="00CD5972">
                  <w:pPr>
                    <w:pStyle w:val="NoSpacing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662459">
                    <w:rPr>
                      <w:rFonts w:ascii="Arial" w:hAnsi="Arial" w:cs="Arial"/>
                      <w:b/>
                      <w:sz w:val="23"/>
                      <w:szCs w:val="23"/>
                    </w:rPr>
                    <w:t>Grand Total of Medical Pressures</w:t>
                  </w:r>
                </w:p>
              </w:tc>
              <w:tc>
                <w:tcPr>
                  <w:tcW w:w="1276" w:type="dxa"/>
                </w:tcPr>
                <w:p w14:paraId="79AD247F" w14:textId="77777777" w:rsidR="00CD5972" w:rsidRPr="007F0F52" w:rsidRDefault="00CD5972" w:rsidP="00C609DA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A7252F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1.339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5" w:type="dxa"/>
                </w:tcPr>
                <w:p w14:paraId="025E172C" w14:textId="77777777" w:rsidR="00CD5972" w:rsidRPr="007F0F52" w:rsidRDefault="00CD5972" w:rsidP="00C609DA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406E7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2.486</w:t>
                  </w:r>
                  <w:r w:rsidR="00994BD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453" w:type="dxa"/>
                </w:tcPr>
                <w:p w14:paraId="6EABB059" w14:textId="77777777" w:rsidR="00CD5972" w:rsidRPr="007F0F52" w:rsidRDefault="00CD5972" w:rsidP="00CD597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406E7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3.825</w:t>
                  </w:r>
                  <w:r w:rsidR="00151BD3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</w:tr>
          </w:tbl>
          <w:p w14:paraId="50D80E2B" w14:textId="77777777" w:rsidR="00475919" w:rsidRDefault="00662459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lastRenderedPageBreak/>
              <w:t xml:space="preserve">These pressures are </w:t>
            </w:r>
            <w:r w:rsidR="00146943" w:rsidRPr="00B36375">
              <w:rPr>
                <w:rFonts w:ascii="Arial" w:hAnsi="Arial" w:cs="Arial"/>
                <w:sz w:val="24"/>
                <w:szCs w:val="24"/>
              </w:rPr>
              <w:t xml:space="preserve">partially </w:t>
            </w:r>
            <w:r w:rsidRPr="00B36375">
              <w:rPr>
                <w:rFonts w:ascii="Arial" w:hAnsi="Arial" w:cs="Arial"/>
                <w:sz w:val="24"/>
                <w:szCs w:val="24"/>
              </w:rPr>
              <w:t>offset with the level of vacancy underspends across both Divisions</w:t>
            </w:r>
            <w:r w:rsidR="00DE5226">
              <w:rPr>
                <w:rFonts w:ascii="Arial" w:hAnsi="Arial" w:cs="Arial"/>
                <w:sz w:val="24"/>
                <w:szCs w:val="24"/>
              </w:rPr>
              <w:t>, demonstrating the current recruitment challenges faced by the Board</w:t>
            </w:r>
            <w:r w:rsidRPr="00B3637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A45ED7" w14:textId="77777777" w:rsidR="00890E65" w:rsidRDefault="00890E65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D72211" w14:textId="77777777" w:rsidR="00D22A23" w:rsidRPr="00B36375" w:rsidRDefault="00D22A23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411D2">
              <w:rPr>
                <w:rFonts w:ascii="Arial" w:hAnsi="Arial" w:cs="Arial"/>
                <w:b/>
                <w:color w:val="002060"/>
                <w:sz w:val="24"/>
                <w:szCs w:val="24"/>
              </w:rPr>
              <w:t>N</w:t>
            </w:r>
            <w:r w:rsidR="000C5637" w:rsidRPr="00C411D2">
              <w:rPr>
                <w:rFonts w:ascii="Arial" w:hAnsi="Arial" w:cs="Arial"/>
                <w:b/>
                <w:color w:val="002060"/>
                <w:sz w:val="24"/>
                <w:szCs w:val="24"/>
              </w:rPr>
              <w:t>URSING PAY COSTS</w:t>
            </w:r>
          </w:p>
          <w:p w14:paraId="4742B659" w14:textId="77777777" w:rsidR="000C5637" w:rsidRPr="00B36375" w:rsidRDefault="000C5637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55A5BCE" w14:textId="77777777" w:rsidR="0003329F" w:rsidRDefault="00454B78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425">
              <w:rPr>
                <w:rFonts w:ascii="Arial" w:hAnsi="Arial" w:cs="Arial"/>
                <w:sz w:val="24"/>
                <w:szCs w:val="24"/>
              </w:rPr>
              <w:t>Nursing</w:t>
            </w:r>
            <w:r w:rsidR="00775BE8" w:rsidRPr="00A36425">
              <w:rPr>
                <w:rFonts w:ascii="Arial" w:hAnsi="Arial" w:cs="Arial"/>
                <w:sz w:val="24"/>
                <w:szCs w:val="24"/>
              </w:rPr>
              <w:t xml:space="preserve"> pay costs are undersp</w:t>
            </w:r>
            <w:r w:rsidR="004B2679" w:rsidRPr="00A36425">
              <w:rPr>
                <w:rFonts w:ascii="Arial" w:hAnsi="Arial" w:cs="Arial"/>
                <w:sz w:val="24"/>
                <w:szCs w:val="24"/>
              </w:rPr>
              <w:t xml:space="preserve">ent by </w:t>
            </w:r>
            <w:r w:rsidR="00C07ACC" w:rsidRPr="00A3642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1.477</w:t>
            </w:r>
            <w:r w:rsidR="00B8188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A36425">
              <w:rPr>
                <w:rFonts w:ascii="Arial" w:hAnsi="Arial" w:cs="Arial"/>
                <w:sz w:val="24"/>
                <w:szCs w:val="24"/>
              </w:rPr>
              <w:t xml:space="preserve">. This figure is after 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 xml:space="preserve">phasing part of the Nurse vacancy efficiency saving target </w:t>
            </w:r>
            <w:r w:rsidR="000D5FD7" w:rsidRPr="00A36425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9D4EFF" w:rsidRPr="00A3642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3.304</w:t>
            </w:r>
            <w:r w:rsidR="0092223D" w:rsidRPr="00A3642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2223D" w:rsidRPr="00A3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 xml:space="preserve">into the position </w:t>
            </w:r>
            <w:r w:rsidR="00A7165F">
              <w:rPr>
                <w:rFonts w:ascii="Arial" w:hAnsi="Arial" w:cs="Arial"/>
                <w:sz w:val="24"/>
                <w:szCs w:val="24"/>
              </w:rPr>
              <w:t>at year-end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80E81E" w14:textId="77777777" w:rsidR="005E3657" w:rsidRPr="00B36375" w:rsidRDefault="0003329F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reflects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the on-going level of vacancies</w:t>
            </w:r>
            <w:r w:rsidR="00B076FF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>across the system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scale of the on-going recruitment challenge</w:t>
            </w:r>
            <w:r w:rsidR="00454B78" w:rsidRPr="00B36375">
              <w:rPr>
                <w:rFonts w:ascii="Arial" w:hAnsi="Arial" w:cs="Arial"/>
                <w:sz w:val="24"/>
                <w:szCs w:val="24"/>
              </w:rPr>
              <w:t>.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Whilst this is supporting the current efficiency position, Divisions </w:t>
            </w:r>
            <w:r w:rsidR="00500545" w:rsidRPr="00B36375">
              <w:rPr>
                <w:rFonts w:ascii="Arial" w:hAnsi="Arial" w:cs="Arial"/>
                <w:sz w:val="24"/>
                <w:szCs w:val="24"/>
              </w:rPr>
              <w:t>continue</w:t>
            </w:r>
            <w:r w:rsidR="002F1EA2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545" w:rsidRPr="00B3637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work with </w:t>
            </w:r>
            <w:r w:rsidR="00F14AC2">
              <w:rPr>
                <w:rFonts w:ascii="Arial" w:hAnsi="Arial" w:cs="Arial"/>
                <w:sz w:val="24"/>
                <w:szCs w:val="24"/>
              </w:rPr>
              <w:t>F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inance and </w:t>
            </w:r>
            <w:r w:rsidR="00F14AC2">
              <w:rPr>
                <w:rFonts w:ascii="Arial" w:hAnsi="Arial" w:cs="Arial"/>
                <w:sz w:val="24"/>
                <w:szCs w:val="24"/>
              </w:rPr>
              <w:t>P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>erformance colleagues to identify recurring transformational savings plans.</w:t>
            </w:r>
          </w:p>
          <w:p w14:paraId="2A55B186" w14:textId="77777777" w:rsidR="00A632CA" w:rsidRPr="00B36375" w:rsidRDefault="00A632CA" w:rsidP="00B363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88275D" w14:textId="77777777" w:rsidR="000C5637" w:rsidRPr="00B36375" w:rsidRDefault="000C5637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CLINCIAL PAY COSTS</w:t>
            </w:r>
          </w:p>
          <w:p w14:paraId="665AF1C6" w14:textId="77777777" w:rsidR="00646AB9" w:rsidRPr="00B36375" w:rsidRDefault="00646AB9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9FA34B6" w14:textId="77777777" w:rsidR="00C149EF" w:rsidRDefault="00C149EF" w:rsidP="00C14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045">
              <w:rPr>
                <w:rFonts w:ascii="Arial" w:hAnsi="Arial" w:cs="Arial"/>
                <w:sz w:val="24"/>
                <w:szCs w:val="24"/>
              </w:rPr>
              <w:t>Clinical pay costs underspend</w:t>
            </w:r>
            <w:r w:rsidR="00DB35FF">
              <w:rPr>
                <w:rFonts w:ascii="Arial" w:hAnsi="Arial" w:cs="Arial"/>
                <w:sz w:val="24"/>
                <w:szCs w:val="24"/>
              </w:rPr>
              <w:t>s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35FF">
              <w:rPr>
                <w:rFonts w:ascii="Arial" w:hAnsi="Arial" w:cs="Arial"/>
                <w:sz w:val="24"/>
                <w:szCs w:val="24"/>
              </w:rPr>
              <w:t>are</w:t>
            </w:r>
            <w:r w:rsidR="00052A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£211</w:t>
            </w:r>
            <w:r w:rsidR="00994BD7"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A7165F">
              <w:rPr>
                <w:rFonts w:ascii="Arial" w:hAnsi="Arial" w:cs="Arial"/>
                <w:sz w:val="24"/>
                <w:szCs w:val="24"/>
              </w:rPr>
              <w:t>year-end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52A38" w:rsidRPr="00F96466">
              <w:rPr>
                <w:rFonts w:ascii="Arial" w:hAnsi="Arial" w:cs="Arial"/>
                <w:sz w:val="24"/>
                <w:szCs w:val="24"/>
              </w:rPr>
              <w:t xml:space="preserve">This is after 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£476</w:t>
            </w:r>
            <w:r w:rsidR="00DB35FF" w:rsidRPr="00F9646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of efficiency savings have been factored into the </w:t>
            </w:r>
            <w:r w:rsidR="00A7165F">
              <w:rPr>
                <w:rFonts w:ascii="Arial" w:hAnsi="Arial" w:cs="Arial"/>
                <w:sz w:val="24"/>
                <w:szCs w:val="24"/>
              </w:rPr>
              <w:t>year-end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position relating to the vacancy management workstream for </w:t>
            </w:r>
            <w:r w:rsidR="00966B76" w:rsidRPr="00F96466">
              <w:rPr>
                <w:rFonts w:ascii="Arial" w:hAnsi="Arial" w:cs="Arial"/>
                <w:sz w:val="24"/>
                <w:szCs w:val="24"/>
              </w:rPr>
              <w:t>Clinical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staffing.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C506A8" w14:textId="77777777" w:rsidR="00B36375" w:rsidRPr="00B36375" w:rsidRDefault="00B36375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79D1B06" w14:textId="77777777" w:rsidR="000C5637" w:rsidRPr="00B36375" w:rsidRDefault="000C5637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SUPPORT PAY COSTS </w:t>
            </w:r>
          </w:p>
          <w:p w14:paraId="31226D4D" w14:textId="77777777" w:rsidR="007E679F" w:rsidRPr="00B36375" w:rsidRDefault="007E679F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0C7FEB0" w14:textId="77777777" w:rsidR="0036188E" w:rsidRDefault="003979B4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pay costs </w:t>
            </w:r>
            <w:r w:rsidR="0036188E">
              <w:rPr>
                <w:rFonts w:ascii="Arial" w:hAnsi="Arial" w:cs="Arial"/>
                <w:sz w:val="24"/>
                <w:szCs w:val="24"/>
              </w:rPr>
              <w:t xml:space="preserve">in all divisions </w:t>
            </w:r>
            <w:r w:rsidR="00994BD7">
              <w:rPr>
                <w:rFonts w:ascii="Arial" w:hAnsi="Arial" w:cs="Arial"/>
                <w:sz w:val="24"/>
                <w:szCs w:val="24"/>
              </w:rPr>
              <w:t>are showing an under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>spen</w:t>
            </w:r>
            <w:r w:rsidR="00994BD7">
              <w:rPr>
                <w:rFonts w:ascii="Arial" w:hAnsi="Arial" w:cs="Arial"/>
                <w:sz w:val="24"/>
                <w:szCs w:val="24"/>
              </w:rPr>
              <w:t>d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£368</w:t>
            </w:r>
            <w:r w:rsidR="00994BD7"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1D8">
              <w:rPr>
                <w:rFonts w:ascii="Arial" w:hAnsi="Arial" w:cs="Arial"/>
                <w:sz w:val="24"/>
                <w:szCs w:val="24"/>
              </w:rPr>
              <w:t>at year end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63826600" w14:textId="77777777" w:rsidR="00994BD7" w:rsidRDefault="00994BD7" w:rsidP="00994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223D">
              <w:rPr>
                <w:rFonts w:ascii="Arial" w:hAnsi="Arial" w:cs="Arial"/>
                <w:sz w:val="24"/>
                <w:szCs w:val="24"/>
              </w:rPr>
              <w:t xml:space="preserve">Efficiency savings of </w:t>
            </w:r>
            <w:r w:rsidRPr="0092223D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C411D2">
              <w:rPr>
                <w:rFonts w:ascii="Arial" w:hAnsi="Arial" w:cs="Arial"/>
                <w:b/>
                <w:sz w:val="24"/>
                <w:szCs w:val="24"/>
              </w:rPr>
              <w:t>175</w:t>
            </w:r>
            <w:r w:rsidR="0092223D" w:rsidRPr="0092223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2223D" w:rsidRPr="00922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223D">
              <w:rPr>
                <w:rFonts w:ascii="Arial" w:hAnsi="Arial" w:cs="Arial"/>
                <w:sz w:val="24"/>
                <w:szCs w:val="24"/>
              </w:rPr>
              <w:t xml:space="preserve">have been factored into the </w:t>
            </w:r>
            <w:r w:rsidR="00CB51D8">
              <w:rPr>
                <w:rFonts w:ascii="Arial" w:hAnsi="Arial" w:cs="Arial"/>
                <w:sz w:val="24"/>
                <w:szCs w:val="24"/>
              </w:rPr>
              <w:t>year-end</w:t>
            </w:r>
            <w:r w:rsidRPr="0092223D">
              <w:rPr>
                <w:rFonts w:ascii="Arial" w:hAnsi="Arial" w:cs="Arial"/>
                <w:sz w:val="24"/>
                <w:szCs w:val="24"/>
              </w:rPr>
              <w:t xml:space="preserve"> position relating to the vacancy management workstream for Support staffing</w:t>
            </w:r>
            <w:r w:rsidR="00C411D2" w:rsidRPr="00F964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1D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411D2" w:rsidRPr="00F96466">
              <w:rPr>
                <w:rFonts w:ascii="Arial" w:hAnsi="Arial" w:cs="Arial"/>
                <w:sz w:val="24"/>
                <w:szCs w:val="24"/>
              </w:rPr>
              <w:t xml:space="preserve">they have underachieved 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C411D2" w:rsidRPr="00F96466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C411D2">
              <w:rPr>
                <w:rFonts w:ascii="Arial" w:hAnsi="Arial" w:cs="Arial"/>
                <w:b/>
                <w:color w:val="FF0000"/>
                <w:sz w:val="24"/>
                <w:szCs w:val="24"/>
              </w:rPr>
              <w:t>41</w:t>
            </w:r>
            <w:r w:rsidR="00C411D2" w:rsidRPr="00F9646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CB51D8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1C8FF375" w14:textId="77777777" w:rsidR="007E679F" w:rsidRPr="00B36375" w:rsidRDefault="007E679F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97B80BB" w14:textId="77777777" w:rsidR="000C5637" w:rsidRPr="00B36375" w:rsidRDefault="000C5637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ADMIN PAY COSTS</w:t>
            </w:r>
          </w:p>
          <w:p w14:paraId="72066CBC" w14:textId="77777777" w:rsidR="00BB63E0" w:rsidRPr="00B36375" w:rsidRDefault="00BB63E0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864A3A" w14:textId="77777777" w:rsidR="00396CE1" w:rsidRDefault="00C149E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Admin pay costs are </w:t>
            </w:r>
            <w:r w:rsidR="00314917">
              <w:rPr>
                <w:rFonts w:ascii="Arial" w:hAnsi="Arial" w:cs="Arial"/>
                <w:sz w:val="24"/>
                <w:szCs w:val="24"/>
              </w:rPr>
              <w:t xml:space="preserve">underspent </w:t>
            </w:r>
            <w:r w:rsidR="003979B4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9D4EFF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843601">
              <w:rPr>
                <w:rFonts w:ascii="Arial" w:hAnsi="Arial" w:cs="Arial"/>
                <w:b/>
                <w:sz w:val="24"/>
                <w:szCs w:val="24"/>
              </w:rPr>
              <w:t>339k</w:t>
            </w:r>
            <w:r w:rsidR="009D4EFF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CB51D8">
              <w:rPr>
                <w:rFonts w:ascii="Arial" w:hAnsi="Arial" w:cs="Arial"/>
                <w:sz w:val="24"/>
                <w:szCs w:val="24"/>
              </w:rPr>
              <w:t>year end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6CE1">
              <w:rPr>
                <w:rFonts w:ascii="Arial" w:hAnsi="Arial" w:cs="Arial"/>
                <w:sz w:val="24"/>
                <w:szCs w:val="24"/>
              </w:rPr>
              <w:t xml:space="preserve">NES is showing an overspend of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9D4EFF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C411D2">
              <w:rPr>
                <w:rFonts w:ascii="Arial" w:hAnsi="Arial" w:cs="Arial"/>
                <w:b/>
                <w:color w:val="FF0000"/>
                <w:sz w:val="24"/>
                <w:szCs w:val="24"/>
              </w:rPr>
              <w:t>213</w:t>
            </w:r>
            <w:r w:rsidR="00396CE1" w:rsidRPr="004D652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396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2C9">
              <w:rPr>
                <w:rFonts w:ascii="Arial" w:hAnsi="Arial" w:cs="Arial"/>
                <w:sz w:val="24"/>
                <w:szCs w:val="24"/>
              </w:rPr>
              <w:t>and</w:t>
            </w:r>
            <w:r w:rsidR="008D5910">
              <w:rPr>
                <w:rFonts w:ascii="Arial" w:hAnsi="Arial" w:cs="Arial"/>
                <w:sz w:val="24"/>
                <w:szCs w:val="24"/>
              </w:rPr>
              <w:t xml:space="preserve"> Hotel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C411D2">
              <w:rPr>
                <w:rFonts w:ascii="Arial" w:hAnsi="Arial" w:cs="Arial"/>
                <w:b/>
                <w:color w:val="FF0000"/>
                <w:sz w:val="24"/>
                <w:szCs w:val="24"/>
              </w:rPr>
              <w:t>£50</w:t>
            </w:r>
            <w:r w:rsidR="008D5910" w:rsidRPr="008D5910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8D5910" w:rsidRPr="008D591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411D2">
              <w:rPr>
                <w:rFonts w:ascii="Arial" w:hAnsi="Arial" w:cs="Arial"/>
                <w:sz w:val="24"/>
                <w:szCs w:val="24"/>
              </w:rPr>
              <w:t xml:space="preserve">– the </w:t>
            </w:r>
            <w:r w:rsidR="00843601">
              <w:rPr>
                <w:rFonts w:ascii="Arial" w:hAnsi="Arial" w:cs="Arial"/>
                <w:sz w:val="24"/>
                <w:szCs w:val="24"/>
              </w:rPr>
              <w:t>other divisions are all underspent at year-end</w:t>
            </w:r>
            <w:r w:rsidR="000A49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9DA7C7E" w14:textId="77777777" w:rsidR="00396CE1" w:rsidRDefault="00396CE1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6DD7D" w14:textId="77777777" w:rsidR="00C411D2" w:rsidRDefault="000A4985" w:rsidP="00093D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D82">
              <w:rPr>
                <w:rFonts w:ascii="Arial" w:hAnsi="Arial" w:cs="Arial"/>
                <w:sz w:val="24"/>
                <w:szCs w:val="24"/>
              </w:rPr>
              <w:t xml:space="preserve">Efficiency savings of </w:t>
            </w:r>
            <w:r w:rsidRPr="006A7D8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47A5E">
              <w:rPr>
                <w:rFonts w:ascii="Arial" w:hAnsi="Arial" w:cs="Arial"/>
                <w:b/>
                <w:sz w:val="24"/>
                <w:szCs w:val="24"/>
              </w:rPr>
              <w:t>1.268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6A7D82" w:rsidRPr="006A7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have been factored into the </w:t>
            </w:r>
            <w:r w:rsidR="00CB51D8">
              <w:rPr>
                <w:rFonts w:ascii="Arial" w:hAnsi="Arial" w:cs="Arial"/>
                <w:sz w:val="24"/>
                <w:szCs w:val="24"/>
              </w:rPr>
              <w:t>year-end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 position relating to the vacancy management workstream for </w:t>
            </w:r>
            <w:proofErr w:type="gramStart"/>
            <w:r w:rsidRPr="006A7D82">
              <w:rPr>
                <w:rFonts w:ascii="Arial" w:hAnsi="Arial" w:cs="Arial"/>
                <w:sz w:val="24"/>
                <w:szCs w:val="24"/>
              </w:rPr>
              <w:t>Administrative</w:t>
            </w:r>
            <w:proofErr w:type="gramEnd"/>
            <w:r w:rsidRPr="006A7D82">
              <w:rPr>
                <w:rFonts w:ascii="Arial" w:hAnsi="Arial" w:cs="Arial"/>
                <w:sz w:val="24"/>
                <w:szCs w:val="24"/>
              </w:rPr>
              <w:t xml:space="preserve"> staffing – </w:t>
            </w:r>
            <w:r w:rsidR="00531098" w:rsidRPr="006A7D82">
              <w:rPr>
                <w:rFonts w:ascii="Arial" w:hAnsi="Arial" w:cs="Arial"/>
                <w:sz w:val="24"/>
                <w:szCs w:val="24"/>
              </w:rPr>
              <w:t>which has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 underachieved 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6A7D82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47A5E">
              <w:rPr>
                <w:rFonts w:ascii="Arial" w:hAnsi="Arial" w:cs="Arial"/>
                <w:b/>
                <w:color w:val="FF0000"/>
                <w:sz w:val="24"/>
                <w:szCs w:val="24"/>
              </w:rPr>
              <w:t>70</w:t>
            </w:r>
            <w:r w:rsidR="006A7D82" w:rsidRPr="006A7D82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A7165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7165F" w:rsidRPr="00A7165F">
              <w:rPr>
                <w:rFonts w:ascii="Arial" w:hAnsi="Arial" w:cs="Arial"/>
                <w:sz w:val="24"/>
                <w:szCs w:val="24"/>
              </w:rPr>
              <w:t>at year-end.</w:t>
            </w:r>
          </w:p>
          <w:p w14:paraId="1CCBFDF2" w14:textId="77777777" w:rsidR="00843601" w:rsidRDefault="00843601" w:rsidP="00093D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9F85E" w14:textId="77777777" w:rsidR="000C5637" w:rsidRPr="00B36375" w:rsidRDefault="0074391A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gramStart"/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NON PAY</w:t>
            </w:r>
            <w:proofErr w:type="gramEnd"/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COSTS AT </w:t>
            </w:r>
            <w:r w:rsidR="00A7165F">
              <w:rPr>
                <w:rFonts w:ascii="Arial" w:hAnsi="Arial" w:cs="Arial"/>
                <w:b/>
                <w:color w:val="002060"/>
                <w:sz w:val="24"/>
                <w:szCs w:val="24"/>
              </w:rPr>
              <w:t>YEAR-END</w:t>
            </w:r>
          </w:p>
          <w:p w14:paraId="3D1A049E" w14:textId="77777777" w:rsidR="00263328" w:rsidRPr="00B36375" w:rsidRDefault="00263328" w:rsidP="000C5637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A2FEC67" w14:textId="77777777" w:rsidR="00263328" w:rsidRPr="000D5FD7" w:rsidRDefault="00263328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proofErr w:type="gramStart"/>
            <w:r w:rsidRPr="00B36375">
              <w:rPr>
                <w:rFonts w:ascii="Arial" w:hAnsi="Arial" w:cs="Arial"/>
                <w:sz w:val="24"/>
                <w:szCs w:val="24"/>
              </w:rPr>
              <w:t>Non-Pay</w:t>
            </w:r>
            <w:proofErr w:type="gramEnd"/>
            <w:r w:rsidRPr="00B36375">
              <w:rPr>
                <w:rFonts w:ascii="Arial" w:hAnsi="Arial" w:cs="Arial"/>
                <w:sz w:val="24"/>
                <w:szCs w:val="24"/>
              </w:rPr>
              <w:t xml:space="preserve"> costs are overspent at </w:t>
            </w:r>
            <w:r w:rsidR="00A7165F">
              <w:rPr>
                <w:rFonts w:ascii="Arial" w:hAnsi="Arial" w:cs="Arial"/>
                <w:sz w:val="24"/>
                <w:szCs w:val="24"/>
              </w:rPr>
              <w:t>year-end</w:t>
            </w:r>
            <w:r w:rsidR="00E7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00064D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F92C38">
              <w:rPr>
                <w:rFonts w:ascii="Arial" w:hAnsi="Arial" w:cs="Arial"/>
                <w:b/>
                <w:color w:val="FF0000"/>
                <w:sz w:val="24"/>
                <w:szCs w:val="24"/>
              </w:rPr>
              <w:t>3.842</w:t>
            </w:r>
            <w:r w:rsidR="00FB29F0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</w:p>
          <w:p w14:paraId="0B8CFE71" w14:textId="77777777" w:rsidR="006A733F" w:rsidRDefault="006A733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09F26B" w14:textId="77777777" w:rsidR="00BB63E0" w:rsidRDefault="00F92C38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6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 – Non-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ay 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>ummary</w:t>
            </w:r>
          </w:p>
          <w:p w14:paraId="07A5C3A6" w14:textId="77777777" w:rsidR="005E3657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92C38">
              <w:rPr>
                <w:rFonts w:ascii="Arial" w:hAnsi="Arial" w:cs="Arial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 wp14:anchorId="443BAA60" wp14:editId="400408A4">
                  <wp:extent cx="5872480" cy="172148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480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F636F" w14:textId="77777777"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9A69900" w14:textId="77777777"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748829F" w14:textId="77777777"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3C7DDA2" w14:textId="77777777"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58E81D1" w14:textId="77777777" w:rsidR="00BB63E0" w:rsidRPr="00263328" w:rsidRDefault="0026332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PHARMACY SUPPLIES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3C3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148</w:t>
            </w:r>
            <w:r w:rsidR="00D74709" w:rsidRPr="00263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D7470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3C3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2.65</w:t>
            </w:r>
            <w:r w:rsidR="00496F7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% of </w:t>
            </w:r>
            <w:r w:rsidR="00A7165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year-end </w:t>
            </w:r>
            <w:r w:rsidR="00496F7A">
              <w:rPr>
                <w:rFonts w:ascii="Arial" w:hAnsi="Arial" w:cs="Arial"/>
                <w:b/>
                <w:color w:val="FF0000"/>
                <w:sz w:val="24"/>
                <w:szCs w:val="24"/>
              </w:rPr>
              <w:t>Budget)</w:t>
            </w:r>
          </w:p>
          <w:p w14:paraId="57171367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  <w:p w14:paraId="2B504683" w14:textId="77777777" w:rsidR="003C34AC" w:rsidRDefault="003979B4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8BB">
              <w:rPr>
                <w:rFonts w:ascii="Arial" w:hAnsi="Arial" w:cs="Arial"/>
                <w:sz w:val="24"/>
                <w:szCs w:val="24"/>
              </w:rPr>
              <w:t xml:space="preserve">The key areas of pressure across pharmacy supplies relates </w:t>
            </w:r>
            <w:r w:rsidR="00AC2F5D">
              <w:rPr>
                <w:rFonts w:ascii="Arial" w:hAnsi="Arial" w:cs="Arial"/>
                <w:sz w:val="24"/>
                <w:szCs w:val="24"/>
              </w:rPr>
              <w:t xml:space="preserve">to HL&amp;D </w:t>
            </w:r>
            <w:r w:rsidR="0000064D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439</w:t>
            </w:r>
            <w:r w:rsidR="00AC2F5D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AC2F5D" w:rsidRPr="00AC2F5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C2F5D" w:rsidRPr="00AC2F5D">
              <w:rPr>
                <w:rFonts w:ascii="Arial" w:hAnsi="Arial" w:cs="Arial"/>
                <w:sz w:val="24"/>
                <w:szCs w:val="24"/>
              </w:rPr>
              <w:t>overspend</w:t>
            </w:r>
            <w:r w:rsidR="00460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FBA">
              <w:rPr>
                <w:rFonts w:ascii="Arial" w:hAnsi="Arial" w:cs="Arial"/>
                <w:sz w:val="24"/>
                <w:szCs w:val="24"/>
              </w:rPr>
              <w:t>all other divisions are underspent</w:t>
            </w:r>
            <w:r w:rsidR="00A7165F">
              <w:rPr>
                <w:rFonts w:ascii="Arial" w:hAnsi="Arial" w:cs="Arial"/>
                <w:sz w:val="24"/>
                <w:szCs w:val="24"/>
              </w:rPr>
              <w:t xml:space="preserve"> at year-end</w:t>
            </w:r>
            <w:r w:rsidR="00483F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ADDF3D" w14:textId="77777777" w:rsidR="00A7165F" w:rsidRDefault="00A7165F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5A0439" w14:textId="77777777" w:rsidR="00A113DC" w:rsidRDefault="003979B4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D82">
              <w:rPr>
                <w:rFonts w:ascii="Arial" w:hAnsi="Arial" w:cs="Arial"/>
                <w:sz w:val="24"/>
                <w:szCs w:val="24"/>
              </w:rPr>
              <w:t>Savings identified to-date re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late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 to specific medicine switche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>s and contract changes total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ling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982" w:rsidRPr="006A7D8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sz w:val="24"/>
                <w:szCs w:val="24"/>
              </w:rPr>
              <w:t>277</w:t>
            </w:r>
            <w:r w:rsidR="006A7D82" w:rsidRPr="006A7D82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60C91D" w14:textId="77777777" w:rsidR="00487BF0" w:rsidRDefault="00791502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01F2C" w14:textId="77777777" w:rsidR="00891816" w:rsidRPr="00263328" w:rsidRDefault="00263328" w:rsidP="00263328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3328">
              <w:rPr>
                <w:rFonts w:ascii="Arial" w:hAnsi="Arial" w:cs="Arial"/>
                <w:b/>
                <w:color w:val="002060"/>
                <w:sz w:val="24"/>
                <w:szCs w:val="24"/>
              </w:rPr>
              <w:t>SURGICAL SUPPLIES</w:t>
            </w:r>
            <w:r w:rsidR="00891816" w:rsidRPr="00263328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B74A26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1.237</w:t>
            </w:r>
            <w:r w:rsidR="0095685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D74709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C5798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2.89</w:t>
            </w:r>
            <w:r w:rsidR="00496F7A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6A185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annual </w:t>
            </w:r>
            <w:r w:rsidR="00A7165F">
              <w:rPr>
                <w:rFonts w:ascii="Arial" w:hAnsi="Arial" w:cs="Arial"/>
                <w:b/>
                <w:color w:val="FF0000"/>
                <w:sz w:val="24"/>
                <w:szCs w:val="24"/>
              </w:rPr>
              <w:t>Budget</w:t>
            </w:r>
            <w:r w:rsidR="00496F7A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</w:p>
          <w:p w14:paraId="6788B951" w14:textId="77777777" w:rsidR="00F14AC2" w:rsidRDefault="00F14AC2" w:rsidP="00F14AC2">
            <w:pPr>
              <w:pStyle w:val="NoSpacing"/>
            </w:pPr>
          </w:p>
          <w:p w14:paraId="033A4C92" w14:textId="77777777" w:rsidR="002D6EB7" w:rsidRDefault="00891816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AC2">
              <w:rPr>
                <w:rFonts w:ascii="Arial" w:hAnsi="Arial" w:cs="Arial"/>
                <w:sz w:val="24"/>
                <w:szCs w:val="24"/>
              </w:rPr>
              <w:t xml:space="preserve">Surgical Supplies </w:t>
            </w:r>
            <w:r w:rsidR="00A113DC">
              <w:rPr>
                <w:rFonts w:ascii="Arial" w:hAnsi="Arial" w:cs="Arial"/>
                <w:sz w:val="24"/>
                <w:szCs w:val="24"/>
              </w:rPr>
              <w:t>are overspent</w:t>
            </w:r>
            <w:r w:rsidR="00761EEB" w:rsidRPr="00F14AC2">
              <w:rPr>
                <w:rFonts w:ascii="Arial" w:hAnsi="Arial" w:cs="Arial"/>
                <w:sz w:val="24"/>
                <w:szCs w:val="24"/>
              </w:rPr>
              <w:t xml:space="preserve"> across</w:t>
            </w:r>
            <w:r w:rsidR="00A41F18" w:rsidRPr="00F14AC2">
              <w:rPr>
                <w:rFonts w:ascii="Arial" w:hAnsi="Arial" w:cs="Arial"/>
                <w:sz w:val="24"/>
                <w:szCs w:val="24"/>
              </w:rPr>
              <w:t xml:space="preserve"> all D</w:t>
            </w:r>
            <w:r w:rsidR="00722254" w:rsidRPr="00F14AC2">
              <w:rPr>
                <w:rFonts w:ascii="Arial" w:hAnsi="Arial" w:cs="Arial"/>
                <w:sz w:val="24"/>
                <w:szCs w:val="24"/>
              </w:rPr>
              <w:t>ivision</w:t>
            </w:r>
            <w:r w:rsidR="00063316" w:rsidRPr="00F14AC2">
              <w:rPr>
                <w:rFonts w:ascii="Arial" w:hAnsi="Arial" w:cs="Arial"/>
                <w:sz w:val="24"/>
                <w:szCs w:val="24"/>
              </w:rPr>
              <w:t>s</w:t>
            </w:r>
            <w:r w:rsidR="00A113DC">
              <w:rPr>
                <w:rFonts w:ascii="Arial" w:hAnsi="Arial" w:cs="Arial"/>
                <w:sz w:val="24"/>
                <w:szCs w:val="24"/>
              </w:rPr>
              <w:t xml:space="preserve"> reflecting</w:t>
            </w:r>
            <w:r w:rsidR="00A7165F">
              <w:rPr>
                <w:rFonts w:ascii="Arial" w:hAnsi="Arial" w:cs="Arial"/>
                <w:sz w:val="24"/>
                <w:szCs w:val="24"/>
              </w:rPr>
              <w:t xml:space="preserve"> the increase in costs of</w:t>
            </w:r>
            <w:r w:rsidR="00341991">
              <w:rPr>
                <w:rFonts w:ascii="Arial" w:hAnsi="Arial" w:cs="Arial"/>
                <w:sz w:val="24"/>
                <w:szCs w:val="24"/>
              </w:rPr>
              <w:t xml:space="preserve"> consumables and devices along with the increased activity </w:t>
            </w:r>
            <w:r w:rsidR="00A113DC">
              <w:rPr>
                <w:rFonts w:ascii="Arial" w:hAnsi="Arial" w:cs="Arial"/>
                <w:sz w:val="24"/>
                <w:szCs w:val="24"/>
              </w:rPr>
              <w:t xml:space="preserve">undertaken against plan </w:t>
            </w:r>
            <w:r w:rsidR="00A7165F">
              <w:rPr>
                <w:rFonts w:ascii="Arial" w:hAnsi="Arial" w:cs="Arial"/>
                <w:sz w:val="24"/>
                <w:szCs w:val="24"/>
              </w:rPr>
              <w:t>throughout the year</w:t>
            </w:r>
            <w:r w:rsidR="00A113D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E981EFB" w14:textId="77777777" w:rsidR="00A7165F" w:rsidRDefault="00A7165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E967E3" w14:textId="77777777" w:rsidR="00341991" w:rsidRDefault="00956855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NES pressures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A7165F">
              <w:rPr>
                <w:rFonts w:ascii="Arial" w:hAnsi="Arial" w:cs="Arial"/>
                <w:sz w:val="24"/>
                <w:szCs w:val="24"/>
              </w:rPr>
              <w:t xml:space="preserve">showing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68369A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844k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2800EA" w:rsidRPr="00E81D5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7165F" w:rsidRPr="00A7165F">
              <w:rPr>
                <w:rFonts w:ascii="Arial" w:hAnsi="Arial" w:cs="Arial"/>
                <w:sz w:val="24"/>
                <w:szCs w:val="24"/>
              </w:rPr>
              <w:t>overspend at year-end</w:t>
            </w:r>
            <w:r w:rsidRPr="00956855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483FBA">
              <w:rPr>
                <w:rFonts w:ascii="Arial" w:hAnsi="Arial" w:cs="Arial"/>
                <w:sz w:val="24"/>
                <w:szCs w:val="24"/>
              </w:rPr>
              <w:t>Th</w:t>
            </w:r>
            <w:r w:rsidR="00A7165F">
              <w:rPr>
                <w:rFonts w:ascii="Arial" w:hAnsi="Arial" w:cs="Arial"/>
                <w:sz w:val="24"/>
                <w:szCs w:val="24"/>
              </w:rPr>
              <w:t xml:space="preserve">ere is a reduction in costs </w:t>
            </w:r>
            <w:r w:rsidR="00483FBA">
              <w:rPr>
                <w:rFonts w:ascii="Arial" w:hAnsi="Arial" w:cs="Arial"/>
                <w:sz w:val="24"/>
                <w:szCs w:val="24"/>
              </w:rPr>
              <w:t xml:space="preserve">due to ongoing action by procurement and finance to investigate </w:t>
            </w:r>
            <w:r w:rsidR="004F35C3">
              <w:rPr>
                <w:rFonts w:ascii="Arial" w:hAnsi="Arial" w:cs="Arial"/>
                <w:sz w:val="24"/>
                <w:szCs w:val="24"/>
              </w:rPr>
              <w:t>invoicing discrepancies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Stryker. 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Some credit notes have been </w:t>
            </w:r>
            <w:proofErr w:type="gramStart"/>
            <w:r w:rsidR="00252CFC">
              <w:rPr>
                <w:rFonts w:ascii="Arial" w:hAnsi="Arial" w:cs="Arial"/>
                <w:sz w:val="24"/>
                <w:szCs w:val="24"/>
              </w:rPr>
              <w:t>received</w:t>
            </w:r>
            <w:proofErr w:type="gramEnd"/>
            <w:r w:rsidR="00252CFC">
              <w:rPr>
                <w:rFonts w:ascii="Arial" w:hAnsi="Arial" w:cs="Arial"/>
                <w:sz w:val="24"/>
                <w:szCs w:val="24"/>
              </w:rPr>
              <w:t xml:space="preserve"> and this is </w:t>
            </w:r>
            <w:r w:rsidR="004F35C3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252CFC">
              <w:rPr>
                <w:rFonts w:ascii="Arial" w:hAnsi="Arial" w:cs="Arial"/>
                <w:sz w:val="24"/>
                <w:szCs w:val="24"/>
              </w:rPr>
              <w:t>reflected in the total costs.</w:t>
            </w:r>
          </w:p>
          <w:p w14:paraId="0143652E" w14:textId="77777777" w:rsidR="00A7165F" w:rsidRDefault="00A7165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8D56E7" w14:textId="77777777" w:rsidR="005706DC" w:rsidRDefault="00252CFC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1A97">
              <w:rPr>
                <w:rFonts w:ascii="Arial" w:hAnsi="Arial" w:cs="Arial"/>
                <w:sz w:val="24"/>
                <w:szCs w:val="24"/>
              </w:rPr>
              <w:t>HL&amp;D pressures</w:t>
            </w:r>
            <w:r w:rsidR="00D85962" w:rsidRPr="00BA1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1A97">
              <w:rPr>
                <w:rFonts w:ascii="Arial" w:hAnsi="Arial" w:cs="Arial"/>
                <w:sz w:val="24"/>
                <w:szCs w:val="24"/>
              </w:rPr>
              <w:t>are</w:t>
            </w:r>
            <w:r w:rsidR="00D85962" w:rsidRPr="00BA1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C57982" w:rsidRPr="00BA1A97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298</w:t>
            </w:r>
            <w:r w:rsidR="002800EA" w:rsidRPr="00BA1A97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2800EA" w:rsidRPr="00BA1A9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7165F" w:rsidRPr="00A7165F">
              <w:rPr>
                <w:rFonts w:ascii="Arial" w:hAnsi="Arial" w:cs="Arial"/>
                <w:sz w:val="24"/>
                <w:szCs w:val="24"/>
              </w:rPr>
              <w:t xml:space="preserve">at year-end which </w:t>
            </w:r>
            <w:r w:rsidR="00C57982" w:rsidRPr="00BA1A97">
              <w:rPr>
                <w:rFonts w:ascii="Arial" w:hAnsi="Arial" w:cs="Arial"/>
                <w:sz w:val="24"/>
                <w:szCs w:val="24"/>
              </w:rPr>
              <w:t>relate</w:t>
            </w:r>
            <w:r w:rsidR="00BB59C1" w:rsidRPr="00BA1A97">
              <w:rPr>
                <w:rFonts w:ascii="Arial" w:hAnsi="Arial" w:cs="Arial"/>
                <w:sz w:val="24"/>
                <w:szCs w:val="24"/>
              </w:rPr>
              <w:t>s</w:t>
            </w:r>
            <w:r w:rsidR="00C57982" w:rsidRPr="00BA1A97">
              <w:rPr>
                <w:rFonts w:ascii="Arial" w:hAnsi="Arial" w:cs="Arial"/>
                <w:sz w:val="24"/>
                <w:szCs w:val="24"/>
              </w:rPr>
              <w:t xml:space="preserve"> mainly to </w:t>
            </w:r>
            <w:r w:rsidR="00F96466" w:rsidRPr="00BA1A97">
              <w:rPr>
                <w:rFonts w:ascii="Arial" w:hAnsi="Arial" w:cs="Arial"/>
                <w:sz w:val="24"/>
                <w:szCs w:val="24"/>
              </w:rPr>
              <w:t xml:space="preserve">phasing of </w:t>
            </w:r>
            <w:r w:rsidR="005706DC" w:rsidRPr="00BA1A97">
              <w:rPr>
                <w:rFonts w:ascii="Arial" w:hAnsi="Arial" w:cs="Arial"/>
                <w:sz w:val="24"/>
                <w:szCs w:val="24"/>
              </w:rPr>
              <w:t>TAVI</w:t>
            </w:r>
            <w:r w:rsidR="00C57982" w:rsidRPr="00BA1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1BB8" w:rsidRPr="00BA1A97">
              <w:rPr>
                <w:rFonts w:ascii="Arial" w:hAnsi="Arial" w:cs="Arial"/>
                <w:sz w:val="24"/>
                <w:szCs w:val="24"/>
              </w:rPr>
              <w:t xml:space="preserve">devices </w:t>
            </w:r>
            <w:r w:rsidRPr="00BA1A97">
              <w:rPr>
                <w:rFonts w:ascii="Arial" w:hAnsi="Arial" w:cs="Arial"/>
                <w:sz w:val="24"/>
                <w:szCs w:val="24"/>
              </w:rPr>
              <w:t>with increased activity in this area</w:t>
            </w:r>
            <w:r w:rsidR="008552C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4B9071" w14:textId="77777777" w:rsidR="00A632CA" w:rsidRPr="00B36375" w:rsidRDefault="00A632CA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F1310E" w14:textId="77777777" w:rsidR="00263328" w:rsidRDefault="006F5FE3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LAB/RADIOLOGY SUPPLIES 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BB59C1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415</w:t>
            </w:r>
            <w:r w:rsidR="002800EA" w:rsidRPr="0074391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2800E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BB59C1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21.03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6A1856">
              <w:rPr>
                <w:rFonts w:ascii="Arial" w:hAnsi="Arial" w:cs="Arial"/>
                <w:b/>
                <w:color w:val="FF0000"/>
                <w:sz w:val="24"/>
                <w:szCs w:val="24"/>
              </w:rPr>
              <w:t>annual</w:t>
            </w:r>
            <w:r w:rsidR="00A7165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Budget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</w:p>
          <w:p w14:paraId="7EF3BAD4" w14:textId="77777777" w:rsidR="00C27D03" w:rsidRPr="00514EEE" w:rsidRDefault="00C27D03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7534190" w14:textId="77777777" w:rsidR="006B45DD" w:rsidRDefault="0074391A" w:rsidP="00F37EE1">
            <w:pPr>
              <w:rPr>
                <w:rFonts w:ascii="Arial" w:hAnsi="Arial" w:cs="Arial"/>
                <w:sz w:val="24"/>
                <w:szCs w:val="24"/>
              </w:rPr>
            </w:pPr>
            <w:r w:rsidRPr="0023308E">
              <w:rPr>
                <w:rFonts w:ascii="Arial" w:hAnsi="Arial" w:cs="Arial"/>
                <w:sz w:val="24"/>
                <w:szCs w:val="24"/>
              </w:rPr>
              <w:t>HL&amp;D</w:t>
            </w:r>
            <w:r w:rsidRPr="00514EEE">
              <w:rPr>
                <w:rFonts w:ascii="Arial" w:hAnsi="Arial" w:cs="Arial"/>
                <w:sz w:val="24"/>
                <w:szCs w:val="24"/>
              </w:rPr>
              <w:t xml:space="preserve"> are showing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an overspend </w:t>
            </w:r>
            <w:r w:rsidR="00843C27" w:rsidRPr="00514EE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of </w:t>
            </w:r>
            <w:r w:rsidR="000A7750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(</w:t>
            </w:r>
            <w:r w:rsidR="00843C27" w:rsidRPr="00A113D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375</w:t>
            </w:r>
            <w:r w:rsidR="002800EA" w:rsidRPr="00A113D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2800EA" w:rsidRPr="00514EEE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A7165F">
              <w:rPr>
                <w:rFonts w:ascii="Arial" w:hAnsi="Arial" w:cs="Arial"/>
                <w:bCs/>
                <w:iCs/>
                <w:sz w:val="24"/>
                <w:szCs w:val="24"/>
              </w:rPr>
              <w:t>at year-end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>.</w:t>
            </w:r>
            <w:r w:rsidR="00702FAC" w:rsidRPr="00514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The main driver of </w:t>
            </w:r>
            <w:r w:rsidR="00702FAC" w:rsidRPr="00514EEE">
              <w:rPr>
                <w:rFonts w:ascii="Arial" w:hAnsi="Arial" w:cs="Arial"/>
                <w:sz w:val="24"/>
                <w:szCs w:val="24"/>
              </w:rPr>
              <w:t>this relates</w:t>
            </w:r>
            <w:r w:rsidR="0070695B" w:rsidRPr="00514EEE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Tissue Typing and </w:t>
            </w:r>
            <w:r w:rsidR="008A04C9" w:rsidRPr="00514EEE">
              <w:rPr>
                <w:rFonts w:ascii="Arial" w:hAnsi="Arial" w:cs="Arial"/>
                <w:sz w:val="24"/>
                <w:szCs w:val="24"/>
              </w:rPr>
              <w:t xml:space="preserve">SACCS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Cath Lab </w:t>
            </w:r>
            <w:r w:rsidR="00286401" w:rsidRPr="00514EEE">
              <w:rPr>
                <w:rFonts w:ascii="Arial" w:hAnsi="Arial" w:cs="Arial"/>
                <w:sz w:val="24"/>
                <w:szCs w:val="24"/>
              </w:rPr>
              <w:t xml:space="preserve">increased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use of Septal </w:t>
            </w:r>
            <w:proofErr w:type="spellStart"/>
            <w:r w:rsidR="00843C27" w:rsidRPr="00514EEE">
              <w:rPr>
                <w:rFonts w:ascii="Arial" w:hAnsi="Arial" w:cs="Arial"/>
                <w:sz w:val="24"/>
                <w:szCs w:val="24"/>
              </w:rPr>
              <w:t>O</w:t>
            </w:r>
            <w:r w:rsidR="00286401" w:rsidRPr="00514EEE">
              <w:rPr>
                <w:rFonts w:ascii="Arial" w:hAnsi="Arial" w:cs="Arial"/>
                <w:sz w:val="24"/>
                <w:szCs w:val="24"/>
              </w:rPr>
              <w:t>ccluders</w:t>
            </w:r>
            <w:proofErr w:type="spellEnd"/>
            <w:r w:rsidR="00286401" w:rsidRPr="00514EEE">
              <w:rPr>
                <w:rFonts w:ascii="Arial" w:hAnsi="Arial" w:cs="Arial"/>
                <w:sz w:val="24"/>
                <w:szCs w:val="24"/>
              </w:rPr>
              <w:t>.</w:t>
            </w:r>
            <w:r w:rsidR="00BB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69A">
              <w:rPr>
                <w:rFonts w:ascii="Arial" w:hAnsi="Arial" w:cs="Arial"/>
                <w:sz w:val="24"/>
                <w:szCs w:val="24"/>
              </w:rPr>
              <w:t>Funding has only been provided at the level of the current SLA with NSD.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07168B" w14:textId="77777777" w:rsidR="00252CFC" w:rsidRDefault="00252CFC" w:rsidP="00F37E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8952F" w14:textId="77777777" w:rsidR="00F10B65" w:rsidRDefault="00C27D03" w:rsidP="00093DDE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5B073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PPE</w:t>
            </w:r>
            <w:r w:rsidRPr="005B0736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F92C3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£47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0</w:t>
            </w:r>
            <w:r w:rsidR="00F10B65" w:rsidRPr="0074391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(4.00</w:t>
            </w:r>
            <w:r w:rsidR="00F10B6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6A1856">
              <w:rPr>
                <w:rFonts w:ascii="Arial" w:hAnsi="Arial" w:cs="Arial"/>
                <w:b/>
                <w:color w:val="FF0000"/>
                <w:sz w:val="24"/>
                <w:szCs w:val="24"/>
              </w:rPr>
              <w:t>annual</w:t>
            </w:r>
            <w:r w:rsidR="004339B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Budget</w:t>
            </w:r>
            <w:r w:rsidR="00F10B6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</w:p>
          <w:p w14:paraId="1D7FF8E1" w14:textId="77777777" w:rsidR="00F10B65" w:rsidRDefault="0023308E" w:rsidP="00955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Increase in spend </w:t>
            </w:r>
            <w:r w:rsidR="004339BA">
              <w:rPr>
                <w:rFonts w:ascii="Arial" w:hAnsi="Arial" w:cs="Arial"/>
                <w:sz w:val="24"/>
                <w:szCs w:val="24"/>
              </w:rPr>
              <w:t xml:space="preserve">over </w:t>
            </w:r>
            <w:proofErr w:type="gramStart"/>
            <w:r w:rsidR="004339BA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majority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divisions</w:t>
            </w:r>
            <w:r w:rsidR="00430145">
              <w:rPr>
                <w:rFonts w:ascii="Arial" w:hAnsi="Arial" w:cs="Arial"/>
                <w:sz w:val="24"/>
                <w:szCs w:val="24"/>
              </w:rPr>
              <w:t xml:space="preserve"> but</w:t>
            </w:r>
            <w:r w:rsidR="007554E8">
              <w:rPr>
                <w:rFonts w:ascii="Arial" w:hAnsi="Arial" w:cs="Arial"/>
                <w:sz w:val="24"/>
                <w:szCs w:val="24"/>
              </w:rPr>
              <w:t xml:space="preserve"> Corporate is the main </w:t>
            </w:r>
            <w:r w:rsidR="00CD5884">
              <w:rPr>
                <w:rFonts w:ascii="Arial" w:hAnsi="Arial" w:cs="Arial"/>
                <w:sz w:val="24"/>
                <w:szCs w:val="24"/>
              </w:rPr>
              <w:t>driver (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£452</w:t>
            </w:r>
            <w:r w:rsidR="00430145" w:rsidRPr="00430145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CE4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BA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CE4CFF">
              <w:rPr>
                <w:rFonts w:ascii="Arial" w:hAnsi="Arial" w:cs="Arial"/>
                <w:sz w:val="24"/>
                <w:szCs w:val="24"/>
              </w:rPr>
              <w:t>pressures relating to maintenance and contractual works across Estates and Facilities</w:t>
            </w:r>
            <w:r w:rsidR="00EB4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BA">
              <w:rPr>
                <w:rFonts w:ascii="Arial" w:hAnsi="Arial" w:cs="Arial"/>
                <w:sz w:val="24"/>
                <w:szCs w:val="24"/>
              </w:rPr>
              <w:t xml:space="preserve">– this is </w:t>
            </w:r>
            <w:r w:rsidR="00EB4E8F">
              <w:rPr>
                <w:rFonts w:ascii="Arial" w:hAnsi="Arial" w:cs="Arial"/>
                <w:sz w:val="24"/>
                <w:szCs w:val="24"/>
              </w:rPr>
              <w:t xml:space="preserve">offset with underspends on service contracts and backlog maintenance </w:t>
            </w:r>
            <w:r w:rsidR="004339BA">
              <w:rPr>
                <w:rFonts w:ascii="Arial" w:hAnsi="Arial" w:cs="Arial"/>
                <w:sz w:val="24"/>
                <w:szCs w:val="24"/>
              </w:rPr>
              <w:t>at year-end</w:t>
            </w:r>
            <w:r w:rsidR="00CE4CF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7B97D2" w14:textId="77777777" w:rsidR="00843601" w:rsidRDefault="00843601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C2317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  <w:u w:val="single"/>
              </w:rPr>
            </w:pPr>
            <w:r w:rsidRPr="00C609DA">
              <w:rPr>
                <w:rFonts w:ascii="Arial" w:hAnsi="Arial" w:cs="Arial"/>
                <w:b/>
                <w:color w:val="002060"/>
                <w:sz w:val="24"/>
                <w:szCs w:val="24"/>
              </w:rPr>
              <w:t>FM</w:t>
            </w:r>
            <w:r w:rsidRPr="002633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C27D03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1.112</w:t>
            </w:r>
            <w:r w:rsidR="0079676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C87D8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300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483FB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8.21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6A1856">
              <w:rPr>
                <w:rFonts w:ascii="Arial" w:hAnsi="Arial" w:cs="Arial"/>
                <w:b/>
                <w:color w:val="FF0000"/>
                <w:sz w:val="24"/>
                <w:szCs w:val="24"/>
              </w:rPr>
              <w:t>annual</w:t>
            </w:r>
            <w:r w:rsidR="004339B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Budget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</w:p>
          <w:p w14:paraId="6E5AEDFD" w14:textId="77777777" w:rsidR="00442574" w:rsidRDefault="0023308E" w:rsidP="001435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Corporate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overspend </w:t>
            </w:r>
            <w:r w:rsidR="00483FBA">
              <w:rPr>
                <w:rFonts w:ascii="Arial" w:hAnsi="Arial" w:cs="Arial"/>
                <w:sz w:val="24"/>
                <w:szCs w:val="24"/>
              </w:rPr>
              <w:t>is</w:t>
            </w:r>
            <w:r w:rsidR="0044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E3007A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714</w:t>
            </w:r>
            <w:r w:rsidR="00C87D89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44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FBA">
              <w:rPr>
                <w:rFonts w:ascii="Arial" w:hAnsi="Arial" w:cs="Arial"/>
                <w:sz w:val="24"/>
                <w:szCs w:val="24"/>
              </w:rPr>
              <w:t>at year end</w:t>
            </w:r>
            <w:r w:rsidR="004425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a deep dive into the u</w:t>
            </w:r>
            <w:r w:rsidR="00442574">
              <w:rPr>
                <w:rFonts w:ascii="Arial" w:hAnsi="Arial" w:cs="Arial"/>
                <w:sz w:val="24"/>
                <w:szCs w:val="24"/>
              </w:rPr>
              <w:t xml:space="preserve">tilities </w:t>
            </w:r>
            <w:r>
              <w:rPr>
                <w:rFonts w:ascii="Arial" w:hAnsi="Arial" w:cs="Arial"/>
                <w:sz w:val="24"/>
                <w:szCs w:val="24"/>
              </w:rPr>
              <w:t xml:space="preserve">spend has produced more robust information to drop aged accruals but there continues to be </w:t>
            </w:r>
            <w:r w:rsidR="00430145">
              <w:rPr>
                <w:rFonts w:ascii="Arial" w:hAnsi="Arial" w:cs="Arial"/>
                <w:sz w:val="24"/>
                <w:szCs w:val="24"/>
              </w:rPr>
              <w:t>high level</w:t>
            </w:r>
            <w:r w:rsidR="00253501">
              <w:rPr>
                <w:rFonts w:ascii="Arial" w:hAnsi="Arial" w:cs="Arial"/>
                <w:sz w:val="24"/>
                <w:szCs w:val="24"/>
              </w:rPr>
              <w:t xml:space="preserve">s of </w:t>
            </w:r>
            <w:r w:rsidR="00430145">
              <w:rPr>
                <w:rFonts w:ascii="Arial" w:hAnsi="Arial" w:cs="Arial"/>
                <w:sz w:val="24"/>
                <w:szCs w:val="24"/>
              </w:rPr>
              <w:t>spend and the water charges are high this year compared to 2023/24.</w:t>
            </w:r>
          </w:p>
          <w:p w14:paraId="3168EB70" w14:textId="77777777" w:rsidR="00761EEB" w:rsidRDefault="0014351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HL&amp;D overspend is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67</w:t>
            </w:r>
            <w:r w:rsidR="00E558BB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E558B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the main pressure </w:t>
            </w:r>
            <w:r w:rsidR="00CE4CFF">
              <w:rPr>
                <w:rFonts w:ascii="Arial" w:hAnsi="Arial" w:cs="Arial"/>
                <w:sz w:val="24"/>
                <w:szCs w:val="24"/>
              </w:rPr>
              <w:t>relating to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 disposables, laundry and cleaning materials</w:t>
            </w:r>
            <w:r w:rsidR="008D2F44">
              <w:rPr>
                <w:rFonts w:ascii="Arial" w:hAnsi="Arial" w:cs="Arial"/>
                <w:sz w:val="24"/>
                <w:szCs w:val="24"/>
              </w:rPr>
              <w:t xml:space="preserve"> associated with </w:t>
            </w:r>
            <w:r w:rsidR="004339BA">
              <w:rPr>
                <w:rFonts w:ascii="Arial" w:hAnsi="Arial" w:cs="Arial"/>
                <w:sz w:val="24"/>
                <w:szCs w:val="24"/>
              </w:rPr>
              <w:t>year-end</w:t>
            </w:r>
            <w:r w:rsidR="008D2F44">
              <w:rPr>
                <w:rFonts w:ascii="Arial" w:hAnsi="Arial" w:cs="Arial"/>
                <w:sz w:val="24"/>
                <w:szCs w:val="24"/>
              </w:rPr>
              <w:t xml:space="preserve"> activity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11CEA27" w14:textId="77777777" w:rsidR="004339BA" w:rsidRPr="009555C9" w:rsidRDefault="004339BA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F9210" w14:textId="77777777" w:rsidR="000B3914" w:rsidRDefault="00B8489D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4596">
              <w:rPr>
                <w:rFonts w:ascii="Arial" w:hAnsi="Arial" w:cs="Arial"/>
                <w:sz w:val="24"/>
                <w:szCs w:val="24"/>
              </w:rPr>
              <w:t xml:space="preserve">NES is overspent 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483FBA">
              <w:rPr>
                <w:rFonts w:ascii="Arial" w:hAnsi="Arial" w:cs="Arial"/>
                <w:b/>
                <w:color w:val="FF0000"/>
                <w:sz w:val="24"/>
                <w:szCs w:val="24"/>
              </w:rPr>
              <w:t>215</w:t>
            </w:r>
            <w:r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E81D52" w:rsidRPr="00EE459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800B0" w:rsidRPr="00EE4596">
              <w:rPr>
                <w:rFonts w:ascii="Arial" w:hAnsi="Arial" w:cs="Arial"/>
                <w:sz w:val="24"/>
                <w:szCs w:val="24"/>
              </w:rPr>
              <w:t>Transport</w:t>
            </w:r>
            <w:r w:rsidRPr="00EE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FBA">
              <w:rPr>
                <w:rFonts w:ascii="Arial" w:hAnsi="Arial" w:cs="Arial"/>
                <w:sz w:val="24"/>
                <w:szCs w:val="24"/>
              </w:rPr>
              <w:t>and provisions are the main areas of overspends</w:t>
            </w:r>
            <w:r w:rsidR="004339BA">
              <w:rPr>
                <w:rFonts w:ascii="Arial" w:hAnsi="Arial" w:cs="Arial"/>
                <w:sz w:val="24"/>
                <w:szCs w:val="24"/>
              </w:rPr>
              <w:t xml:space="preserve"> at year-end</w:t>
            </w:r>
            <w:r w:rsidR="00483FBA">
              <w:rPr>
                <w:rFonts w:ascii="Arial" w:hAnsi="Arial" w:cs="Arial"/>
                <w:sz w:val="24"/>
                <w:szCs w:val="24"/>
              </w:rPr>
              <w:t>.</w:t>
            </w:r>
            <w:r w:rsidR="00813CB0"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A35CFC" w14:textId="77777777" w:rsidR="005E789A" w:rsidRPr="00E35F1F" w:rsidRDefault="000B391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32FC0D" w14:textId="77777777" w:rsidR="009555C9" w:rsidRPr="00263328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609D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CS&amp;R&amp;S 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F92C3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£459</w:t>
            </w:r>
            <w:r w:rsidR="00843601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  <w:r w:rsidR="00F92C3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(3.32</w:t>
            </w:r>
            <w:r w:rsidR="0079676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6A1856">
              <w:rPr>
                <w:rFonts w:ascii="Arial" w:hAnsi="Arial" w:cs="Arial"/>
                <w:b/>
                <w:color w:val="FF0000"/>
                <w:sz w:val="24"/>
                <w:szCs w:val="24"/>
              </w:rPr>
              <w:t>annual</w:t>
            </w:r>
            <w:r w:rsidR="004339B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Budget</w:t>
            </w:r>
            <w:r w:rsidR="0079676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)</w:t>
            </w:r>
          </w:p>
          <w:p w14:paraId="5CFC43A8" w14:textId="77777777" w:rsidR="00F064A6" w:rsidRDefault="00EB438E" w:rsidP="009555C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4596"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2C2B98"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23308E"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796764">
              <w:rPr>
                <w:rFonts w:ascii="Arial" w:hAnsi="Arial" w:cs="Arial"/>
                <w:b/>
                <w:color w:val="FF0000"/>
                <w:sz w:val="24"/>
                <w:szCs w:val="24"/>
              </w:rPr>
              <w:t>22</w:t>
            </w:r>
            <w:r w:rsidR="002C2B98"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2C2B98" w:rsidRPr="00EE45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6764" w:rsidRPr="00796764">
              <w:rPr>
                <w:rFonts w:ascii="Arial" w:hAnsi="Arial" w:cs="Arial"/>
                <w:sz w:val="24"/>
                <w:szCs w:val="24"/>
              </w:rPr>
              <w:t>at year end</w:t>
            </w:r>
            <w:r w:rsidR="00E35F1F" w:rsidRPr="007967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F1F" w:rsidRPr="00EE459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EE4596">
              <w:rPr>
                <w:rFonts w:ascii="Arial" w:hAnsi="Arial" w:cs="Arial"/>
                <w:sz w:val="24"/>
                <w:szCs w:val="24"/>
              </w:rPr>
              <w:t>Postage and Printing</w:t>
            </w:r>
            <w:r w:rsidR="00C7219D" w:rsidRPr="00EE4596">
              <w:rPr>
                <w:rFonts w:ascii="Arial" w:hAnsi="Arial" w:cs="Arial"/>
                <w:sz w:val="24"/>
                <w:szCs w:val="24"/>
              </w:rPr>
              <w:t>,</w:t>
            </w:r>
            <w:r w:rsidR="002C2B98" w:rsidRPr="00EE459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E4596">
              <w:rPr>
                <w:rFonts w:ascii="Arial" w:hAnsi="Arial" w:cs="Arial"/>
                <w:sz w:val="24"/>
                <w:szCs w:val="24"/>
              </w:rPr>
              <w:t>Advertising</w:t>
            </w:r>
            <w:r w:rsidR="00C7219D" w:rsidRPr="00EE4596">
              <w:rPr>
                <w:rFonts w:ascii="Arial" w:hAnsi="Arial" w:cs="Arial"/>
                <w:sz w:val="24"/>
                <w:szCs w:val="24"/>
              </w:rPr>
              <w:t>,</w:t>
            </w:r>
            <w:r w:rsidRPr="00EE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B98" w:rsidRPr="00EE4596">
              <w:rPr>
                <w:rFonts w:ascii="Arial" w:hAnsi="Arial" w:cs="Arial"/>
                <w:sz w:val="24"/>
                <w:szCs w:val="24"/>
              </w:rPr>
              <w:t>travel and training</w:t>
            </w:r>
            <w:r w:rsidR="00C7219D" w:rsidRPr="00EE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764">
              <w:rPr>
                <w:rFonts w:ascii="Arial" w:hAnsi="Arial" w:cs="Arial"/>
                <w:sz w:val="24"/>
                <w:szCs w:val="24"/>
              </w:rPr>
              <w:t xml:space="preserve">are the main drivers in this division. </w:t>
            </w:r>
          </w:p>
          <w:p w14:paraId="54BC6211" w14:textId="77777777" w:rsidR="00E9143B" w:rsidRDefault="00E9143B" w:rsidP="009555C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A0AFE71" w14:textId="77777777" w:rsidR="005B35A7" w:rsidRDefault="00604614" w:rsidP="0079676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4596">
              <w:rPr>
                <w:rFonts w:ascii="Arial" w:hAnsi="Arial" w:cs="Arial"/>
                <w:sz w:val="24"/>
                <w:szCs w:val="24"/>
              </w:rPr>
              <w:t>NES</w:t>
            </w:r>
            <w:r w:rsidRPr="00EE459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2C2B98"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796764">
              <w:rPr>
                <w:rFonts w:ascii="Arial" w:hAnsi="Arial" w:cs="Arial"/>
                <w:b/>
                <w:color w:val="FF0000"/>
                <w:sz w:val="24"/>
                <w:szCs w:val="24"/>
              </w:rPr>
              <w:t>215</w:t>
            </w:r>
            <w:r w:rsidR="002C2B98" w:rsidRPr="00EE459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2C2B98" w:rsidRPr="00EE45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6764" w:rsidRPr="00796764">
              <w:rPr>
                <w:rFonts w:ascii="Arial" w:hAnsi="Arial" w:cs="Arial"/>
                <w:sz w:val="24"/>
                <w:szCs w:val="24"/>
              </w:rPr>
              <w:t>at year end</w:t>
            </w:r>
            <w:r w:rsidR="002C2B98" w:rsidRPr="00EE45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2B98" w:rsidRPr="00EE4596">
              <w:rPr>
                <w:rFonts w:ascii="Arial" w:hAnsi="Arial" w:cs="Arial"/>
                <w:sz w:val="24"/>
                <w:szCs w:val="24"/>
              </w:rPr>
              <w:t>–</w:t>
            </w:r>
            <w:r w:rsidR="008D064F" w:rsidRPr="00EE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64F" w:rsidRPr="00EE4596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EE4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arriage, </w:t>
            </w:r>
            <w:r w:rsidR="00796764">
              <w:rPr>
                <w:rFonts w:ascii="Arial" w:hAnsi="Arial" w:cs="Arial"/>
                <w:sz w:val="24"/>
                <w:szCs w:val="24"/>
              </w:rPr>
              <w:t xml:space="preserve">postage and stationery, </w:t>
            </w:r>
            <w:r w:rsidRPr="00EE4596">
              <w:rPr>
                <w:rFonts w:ascii="Arial" w:hAnsi="Arial" w:cs="Arial"/>
                <w:sz w:val="24"/>
                <w:szCs w:val="24"/>
              </w:rPr>
              <w:t xml:space="preserve">travel and training </w:t>
            </w:r>
            <w:r w:rsidR="00796764">
              <w:rPr>
                <w:rFonts w:ascii="Arial" w:hAnsi="Arial" w:cs="Arial"/>
                <w:sz w:val="24"/>
                <w:szCs w:val="24"/>
              </w:rPr>
              <w:t>are the main drivers in this division.</w:t>
            </w:r>
          </w:p>
          <w:p w14:paraId="72D00DD7" w14:textId="77777777" w:rsidR="005B35A7" w:rsidRDefault="005B35A7" w:rsidP="009555C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2AFD450" w14:textId="77777777" w:rsidR="00A632CA" w:rsidRDefault="00597FFA" w:rsidP="00670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and Others </w:t>
            </w:r>
            <w:r w:rsidR="00843601">
              <w:rPr>
                <w:rFonts w:ascii="Arial" w:hAnsi="Arial" w:cs="Arial"/>
                <w:sz w:val="24"/>
                <w:szCs w:val="24"/>
              </w:rPr>
              <w:t>are also und</w:t>
            </w:r>
            <w:r w:rsidR="00796764">
              <w:rPr>
                <w:rFonts w:ascii="Arial" w:hAnsi="Arial" w:cs="Arial"/>
                <w:sz w:val="24"/>
                <w:szCs w:val="24"/>
              </w:rPr>
              <w:t>erspent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60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£19k</w:t>
            </w:r>
            <w:r w:rsidR="00796764" w:rsidRPr="0084360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– </w:t>
            </w:r>
            <w:r w:rsidR="00796764" w:rsidRPr="0079676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 </w:t>
            </w:r>
            <w:r w:rsidR="006701D9" w:rsidRPr="00796764">
              <w:rPr>
                <w:rFonts w:ascii="Arial" w:hAnsi="Arial" w:cs="Arial"/>
                <w:bCs/>
                <w:iCs/>
                <w:sz w:val="24"/>
                <w:szCs w:val="24"/>
              </w:rPr>
              <w:t>driver’s</w:t>
            </w:r>
            <w:r w:rsidR="00796764" w:rsidRPr="0079676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>review of the provision relating to bad and doubtful</w:t>
            </w:r>
            <w:r w:rsidR="004E4879">
              <w:rPr>
                <w:rFonts w:ascii="Arial" w:hAnsi="Arial" w:cs="Arial"/>
                <w:sz w:val="24"/>
                <w:szCs w:val="24"/>
              </w:rPr>
              <w:t xml:space="preserve"> debts</w:t>
            </w:r>
            <w:r>
              <w:rPr>
                <w:rFonts w:ascii="Arial" w:hAnsi="Arial" w:cs="Arial"/>
                <w:sz w:val="24"/>
                <w:szCs w:val="24"/>
              </w:rPr>
              <w:t>, underspend in patient rooms and L&amp;O</w:t>
            </w:r>
            <w:r w:rsidR="00796764">
              <w:rPr>
                <w:rFonts w:ascii="Arial" w:hAnsi="Arial" w:cs="Arial"/>
                <w:sz w:val="24"/>
                <w:szCs w:val="24"/>
              </w:rPr>
              <w:t>D</w:t>
            </w:r>
            <w:r w:rsidR="004339BA">
              <w:rPr>
                <w:rFonts w:ascii="Arial" w:hAnsi="Arial" w:cs="Arial"/>
                <w:sz w:val="24"/>
                <w:szCs w:val="24"/>
              </w:rPr>
              <w:t xml:space="preserve"> at year-end</w:t>
            </w:r>
            <w:r w:rsidR="00796764">
              <w:rPr>
                <w:rFonts w:ascii="Arial" w:hAnsi="Arial" w:cs="Arial"/>
                <w:sz w:val="24"/>
                <w:szCs w:val="24"/>
              </w:rPr>
              <w:t>.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70C76C" w14:textId="77777777" w:rsidR="00F92C38" w:rsidRDefault="00F92C38" w:rsidP="00670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9F4336" w14:textId="77777777" w:rsidR="00F92C38" w:rsidRDefault="00F92C38" w:rsidP="00670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E26BAC" w14:textId="77777777" w:rsidR="00F92C38" w:rsidRDefault="00F92C38" w:rsidP="006701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498566" w14:textId="77777777" w:rsidR="00F92C38" w:rsidRDefault="00F92C38" w:rsidP="006701D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14:paraId="2818671A" w14:textId="77777777" w:rsidTr="002B4873">
        <w:tc>
          <w:tcPr>
            <w:tcW w:w="10826" w:type="dxa"/>
          </w:tcPr>
          <w:p w14:paraId="54BE4D30" w14:textId="77777777" w:rsidR="00126E3C" w:rsidRPr="00263328" w:rsidRDefault="00126E3C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sz w:val="32"/>
                <w:szCs w:val="32"/>
              </w:rPr>
            </w:pP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E3423E"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>4</w:t>
            </w: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NHS GOLDEN JUBILEE- DIVISIONAL PERFORMANCE </w:t>
            </w:r>
          </w:p>
          <w:p w14:paraId="23A3FF09" w14:textId="77777777" w:rsidR="006748CD" w:rsidRDefault="00573B1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14C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0154D9">
              <w:rPr>
                <w:rFonts w:ascii="Arial" w:hAnsi="Arial" w:cs="Arial"/>
                <w:sz w:val="24"/>
                <w:szCs w:val="24"/>
              </w:rPr>
              <w:t>Month 12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, NHS Golden Jubilee has a Pay </w:t>
            </w:r>
            <w:r w:rsidR="005E789A" w:rsidRPr="000A414C">
              <w:rPr>
                <w:rFonts w:ascii="Arial" w:hAnsi="Arial" w:cs="Arial"/>
                <w:sz w:val="24"/>
                <w:szCs w:val="24"/>
              </w:rPr>
              <w:t>und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F92C38">
              <w:rPr>
                <w:rFonts w:ascii="Arial" w:hAnsi="Arial" w:cs="Arial"/>
                <w:b/>
                <w:sz w:val="24"/>
                <w:szCs w:val="24"/>
              </w:rPr>
              <w:t>£1.871</w:t>
            </w:r>
            <w:r w:rsidR="00EE4596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F67A1A" w:rsidRP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proofErr w:type="gramStart"/>
            <w:r w:rsidR="00126E3C" w:rsidRPr="000A414C">
              <w:rPr>
                <w:rFonts w:ascii="Arial" w:hAnsi="Arial" w:cs="Arial"/>
                <w:sz w:val="24"/>
                <w:szCs w:val="24"/>
              </w:rPr>
              <w:t>Non-Pay</w:t>
            </w:r>
            <w:proofErr w:type="gramEnd"/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 overspend </w:t>
            </w:r>
          </w:p>
          <w:p w14:paraId="657BB284" w14:textId="77777777" w:rsidR="009555C9" w:rsidRDefault="00126E3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14C">
              <w:rPr>
                <w:rFonts w:ascii="Arial" w:hAnsi="Arial" w:cs="Arial"/>
                <w:sz w:val="24"/>
                <w:szCs w:val="24"/>
              </w:rPr>
              <w:t>of</w:t>
            </w:r>
            <w:r w:rsid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807EA0" w:rsidRPr="008D2F44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F92C38">
              <w:rPr>
                <w:rFonts w:ascii="Arial" w:hAnsi="Arial" w:cs="Arial"/>
                <w:b/>
                <w:color w:val="FF0000"/>
                <w:sz w:val="24"/>
                <w:szCs w:val="24"/>
              </w:rPr>
              <w:t>3.842</w:t>
            </w:r>
            <w:r w:rsidR="006748CD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Pr="000A414C">
              <w:rPr>
                <w:rFonts w:ascii="Arial" w:hAnsi="Arial" w:cs="Arial"/>
                <w:sz w:val="24"/>
                <w:szCs w:val="24"/>
              </w:rPr>
              <w:t>.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7C5F46" w14:textId="77777777" w:rsidR="00F92C38" w:rsidRPr="009555C9" w:rsidRDefault="00F92C38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FDACC" w14:textId="77777777" w:rsidR="00126E3C" w:rsidRDefault="00126E3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>The following Table provides details of th</w:t>
            </w:r>
            <w:r w:rsidR="003920AA" w:rsidRPr="009555C9">
              <w:rPr>
                <w:rFonts w:ascii="Arial" w:hAnsi="Arial" w:cs="Arial"/>
                <w:sz w:val="24"/>
                <w:szCs w:val="24"/>
              </w:rPr>
              <w:t xml:space="preserve">ese </w:t>
            </w:r>
            <w:r w:rsidRPr="009555C9">
              <w:rPr>
                <w:rFonts w:ascii="Arial" w:hAnsi="Arial" w:cs="Arial"/>
                <w:sz w:val="24"/>
                <w:szCs w:val="24"/>
              </w:rPr>
              <w:t>variances for both Pay and Non-Pay together wit</w:t>
            </w:r>
            <w:r w:rsidR="00F67A1A">
              <w:rPr>
                <w:rFonts w:ascii="Arial" w:hAnsi="Arial" w:cs="Arial"/>
                <w:sz w:val="24"/>
                <w:szCs w:val="24"/>
              </w:rPr>
              <w:t xml:space="preserve">h an analysis over each of </w:t>
            </w:r>
            <w:r w:rsidR="00EC30F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C30F8" w:rsidRPr="009555C9">
              <w:rPr>
                <w:rFonts w:ascii="Arial" w:hAnsi="Arial" w:cs="Arial"/>
                <w:sz w:val="24"/>
                <w:szCs w:val="24"/>
              </w:rPr>
              <w:t>Divisions</w:t>
            </w:r>
            <w:r w:rsidR="005865F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5979D5" w14:textId="77777777" w:rsidR="00894C99" w:rsidRDefault="00894C99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A3C348" w14:textId="77777777" w:rsidR="00981281" w:rsidRDefault="00E94843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093DDE">
              <w:rPr>
                <w:rFonts w:ascii="Arial" w:hAnsi="Arial" w:cs="Arial"/>
                <w:b/>
                <w:sz w:val="16"/>
                <w:szCs w:val="16"/>
              </w:rPr>
              <w:t xml:space="preserve">Table </w:t>
            </w:r>
            <w:r w:rsidR="00F92C3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496F7A" w:rsidRPr="00093DDE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>ay and Non-pay Variances by Division</w:t>
            </w:r>
          </w:p>
          <w:p w14:paraId="0F87985F" w14:textId="77777777" w:rsidR="00B33411" w:rsidRDefault="00F92C38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92C3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CC62FA" wp14:editId="3CFE0423">
                  <wp:extent cx="6640195" cy="3349625"/>
                  <wp:effectExtent l="0" t="0" r="825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195" cy="33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D27B0" w14:textId="77777777" w:rsidR="005865FE" w:rsidRDefault="005865FE" w:rsidP="00D071E2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5B8A2351" w14:textId="77777777" w:rsidTr="00E13260">
        <w:tc>
          <w:tcPr>
            <w:tcW w:w="10826" w:type="dxa"/>
          </w:tcPr>
          <w:p w14:paraId="4B3813F5" w14:textId="77777777" w:rsidR="0068021E" w:rsidRDefault="00126E3C" w:rsidP="00126E3C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E13260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</w:t>
            </w:r>
            <w:r w:rsidR="00E3423E" w:rsidRPr="00E13260">
              <w:rPr>
                <w:rFonts w:ascii="Arial" w:hAnsi="Arial" w:cs="Arial"/>
                <w:b/>
                <w:color w:val="002060"/>
                <w:sz w:val="32"/>
                <w:szCs w:val="32"/>
              </w:rPr>
              <w:t>5</w:t>
            </w:r>
            <w:r w:rsidRPr="00E13260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</w:t>
            </w:r>
            <w:r w:rsidR="001F1EBF" w:rsidRPr="00E13260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Pr="00E13260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RRL ALLOCATIONS AND </w:t>
            </w:r>
            <w:r w:rsidR="00D071E2">
              <w:rPr>
                <w:rFonts w:ascii="Arial" w:hAnsi="Arial" w:cs="Arial"/>
                <w:b/>
                <w:color w:val="002060"/>
                <w:sz w:val="32"/>
                <w:szCs w:val="32"/>
              </w:rPr>
              <w:t>AME and Non-CORE Allocations</w:t>
            </w:r>
          </w:p>
          <w:p w14:paraId="41626ABB" w14:textId="77777777" w:rsidR="009555C9" w:rsidRPr="009555C9" w:rsidRDefault="009555C9" w:rsidP="009555C9">
            <w:pPr>
              <w:rPr>
                <w:rFonts w:ascii="Arial" w:hAnsi="Arial" w:cs="Arial"/>
                <w:b/>
              </w:rPr>
            </w:pPr>
          </w:p>
          <w:p w14:paraId="77A561C5" w14:textId="77777777" w:rsidR="00325AE1" w:rsidRDefault="00F92C38" w:rsidP="009555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8</w:t>
            </w:r>
            <w:r w:rsidR="00BC679E" w:rsidRPr="004630CE">
              <w:rPr>
                <w:rFonts w:ascii="Arial" w:hAnsi="Arial" w:cs="Arial"/>
                <w:b/>
                <w:sz w:val="24"/>
                <w:szCs w:val="24"/>
              </w:rPr>
              <w:t xml:space="preserve"> –R</w:t>
            </w:r>
            <w:r w:rsidR="00E13260">
              <w:rPr>
                <w:rFonts w:ascii="Arial" w:hAnsi="Arial" w:cs="Arial"/>
                <w:b/>
                <w:sz w:val="24"/>
                <w:szCs w:val="24"/>
              </w:rPr>
              <w:t xml:space="preserve">evenue </w:t>
            </w:r>
            <w:r w:rsidR="00BC679E" w:rsidRPr="004630CE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E13260">
              <w:rPr>
                <w:rFonts w:ascii="Arial" w:hAnsi="Arial" w:cs="Arial"/>
                <w:b/>
                <w:sz w:val="24"/>
                <w:szCs w:val="24"/>
              </w:rPr>
              <w:t xml:space="preserve">esource </w:t>
            </w:r>
            <w:r w:rsidR="00BC679E" w:rsidRPr="004630CE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E13260">
              <w:rPr>
                <w:rFonts w:ascii="Arial" w:hAnsi="Arial" w:cs="Arial"/>
                <w:b/>
                <w:sz w:val="24"/>
                <w:szCs w:val="24"/>
              </w:rPr>
              <w:t>imit</w:t>
            </w:r>
            <w:r w:rsidR="00BC679E" w:rsidRPr="004630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3260">
              <w:rPr>
                <w:rFonts w:ascii="Arial" w:hAnsi="Arial" w:cs="Arial"/>
                <w:b/>
                <w:sz w:val="24"/>
                <w:szCs w:val="24"/>
              </w:rPr>
              <w:t xml:space="preserve">final </w:t>
            </w:r>
            <w:r w:rsidR="00BC679E" w:rsidRPr="004630CE">
              <w:rPr>
                <w:rFonts w:ascii="Arial" w:hAnsi="Arial" w:cs="Arial"/>
                <w:b/>
                <w:sz w:val="24"/>
                <w:szCs w:val="24"/>
              </w:rPr>
              <w:t>allocations</w:t>
            </w:r>
            <w:r w:rsidR="00CD5D26" w:rsidRPr="004630CE">
              <w:rPr>
                <w:rFonts w:ascii="Arial" w:hAnsi="Arial" w:cs="Arial"/>
                <w:b/>
                <w:sz w:val="24"/>
                <w:szCs w:val="24"/>
              </w:rPr>
              <w:t xml:space="preserve"> as at </w:t>
            </w:r>
            <w:r>
              <w:rPr>
                <w:rFonts w:ascii="Arial" w:hAnsi="Arial" w:cs="Arial"/>
                <w:b/>
                <w:sz w:val="24"/>
                <w:szCs w:val="24"/>
              </w:rPr>
              <w:t>year-end</w:t>
            </w:r>
          </w:p>
          <w:p w14:paraId="1EA4BA9B" w14:textId="77777777" w:rsidR="00E13260" w:rsidRPr="004630CE" w:rsidRDefault="00E13260" w:rsidP="009555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77F7C" w14:textId="77777777" w:rsidR="0068021E" w:rsidRDefault="00E13260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7F17B2B" wp14:editId="060F1344">
                  <wp:extent cx="4339166" cy="1288486"/>
                  <wp:effectExtent l="19050" t="19050" r="23495" b="260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083" cy="129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29436" w14:textId="77777777" w:rsidR="004630CE" w:rsidRPr="00CD5D26" w:rsidRDefault="004630CE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16"/>
                <w:szCs w:val="16"/>
              </w:rPr>
            </w:pPr>
          </w:p>
          <w:p w14:paraId="60FC9F20" w14:textId="77777777" w:rsidR="00406E7A" w:rsidRDefault="00406E7A" w:rsidP="00413966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  <w:highlight w:val="yellow"/>
                <w:u w:val="single"/>
              </w:rPr>
            </w:pPr>
          </w:p>
          <w:p w14:paraId="567181B7" w14:textId="77777777" w:rsidR="00413966" w:rsidRPr="00210F0E" w:rsidRDefault="00413966" w:rsidP="00413966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  <w:highlight w:val="yellow"/>
                <w:u w:val="single"/>
              </w:rPr>
            </w:pPr>
          </w:p>
        </w:tc>
      </w:tr>
      <w:tr w:rsidR="00126E3C" w:rsidRPr="00594355" w14:paraId="61FBB5FB" w14:textId="77777777" w:rsidTr="002B4873">
        <w:tc>
          <w:tcPr>
            <w:tcW w:w="10826" w:type="dxa"/>
          </w:tcPr>
          <w:p w14:paraId="5D79D276" w14:textId="77777777" w:rsidR="00126E3C" w:rsidRPr="0064047E" w:rsidRDefault="00126E3C" w:rsidP="00126E3C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SECTION </w:t>
            </w:r>
            <w:r w:rsidR="00E3423E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: </w:t>
            </w:r>
            <w:r w:rsidR="001F1EBF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EFFICIENCY REQUIREMENT </w:t>
            </w:r>
          </w:p>
          <w:p w14:paraId="258BD242" w14:textId="77777777" w:rsidR="00FF55A0" w:rsidRPr="0064047E" w:rsidRDefault="00FF55A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0DFC35" w14:textId="77777777" w:rsidR="00126E3C" w:rsidRPr="0064047E" w:rsidRDefault="0079676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807EA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36123F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9.945</w:t>
            </w:r>
            <w:r w:rsidR="00126E3C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has been achieved 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1F1EBF" w:rsidRPr="0064047E">
              <w:rPr>
                <w:rFonts w:ascii="Arial" w:hAnsi="Arial" w:cs="Arial"/>
                <w:sz w:val="24"/>
                <w:szCs w:val="24"/>
              </w:rPr>
              <w:t>2024/25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9122A5" w14:textId="77777777" w:rsidR="007D2605" w:rsidRPr="0064047E" w:rsidRDefault="007D2605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ADFEB" w14:textId="77777777" w:rsidR="007D2605" w:rsidRPr="0064047E" w:rsidRDefault="007D2605" w:rsidP="007D26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The actual current savings trajectory achieved 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£10.480m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Pr="0064047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which is 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£535k</w:t>
            </w:r>
            <w:r w:rsidRPr="0064047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above the agreed level of the 2024/25 efficiency plan of 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£9.945m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Pr="0064047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0A9D28E5" w14:textId="77777777" w:rsidR="00126E3C" w:rsidRPr="0064047E" w:rsidRDefault="00126E3C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68998" w14:textId="77777777" w:rsidR="00126E3C" w:rsidRPr="0064047E" w:rsidRDefault="00126E3C" w:rsidP="009555C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Full Year Savings Plan</w:t>
            </w:r>
          </w:p>
          <w:p w14:paraId="29497319" w14:textId="77777777" w:rsidR="007D2605" w:rsidRPr="0064047E" w:rsidRDefault="007D2605" w:rsidP="009555C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1D1489F" w14:textId="77777777" w:rsidR="00A632CA" w:rsidRPr="0064047E" w:rsidRDefault="007D2605" w:rsidP="00CB19A1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The table below provides a summary of the workstreams identified and the amounts achieved by division. </w:t>
            </w:r>
          </w:p>
          <w:p w14:paraId="54DBBAA0" w14:textId="77777777" w:rsidR="00A632CA" w:rsidRPr="0064047E" w:rsidRDefault="00A632CA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93752E" w14:textId="77777777" w:rsidR="007D2605" w:rsidRPr="0064047E" w:rsidRDefault="00F92C38" w:rsidP="009555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9</w:t>
            </w:r>
          </w:p>
          <w:p w14:paraId="10032328" w14:textId="77777777" w:rsidR="003E331F" w:rsidRPr="0064047E" w:rsidRDefault="00F92C38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C3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62C7E3" wp14:editId="679AFB12">
                  <wp:extent cx="6640195" cy="4146550"/>
                  <wp:effectExtent l="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195" cy="41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866E8" w14:textId="77777777" w:rsidR="00F92C38" w:rsidRDefault="00F92C38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40C705" w14:textId="77777777" w:rsidR="001F4367" w:rsidRPr="0064047E" w:rsidRDefault="001F4367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Whilst a s</w:t>
            </w:r>
            <w:r w:rsidR="00E433DA" w:rsidRPr="0064047E">
              <w:rPr>
                <w:rFonts w:ascii="Arial" w:hAnsi="Arial" w:cs="Arial"/>
                <w:sz w:val="24"/>
                <w:szCs w:val="24"/>
              </w:rPr>
              <w:t>ignificant proportion of this is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down to the release of in-year financial flexibility, th</w:t>
            </w:r>
            <w:r w:rsidR="007D2605" w:rsidRPr="0064047E">
              <w:rPr>
                <w:rFonts w:ascii="Arial" w:hAnsi="Arial" w:cs="Arial"/>
                <w:sz w:val="24"/>
                <w:szCs w:val="24"/>
              </w:rPr>
              <w:t xml:space="preserve">ere have been </w:t>
            </w:r>
            <w:proofErr w:type="gramStart"/>
            <w:r w:rsidR="007D2605" w:rsidRPr="0064047E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7D2605" w:rsidRPr="0064047E">
              <w:rPr>
                <w:rFonts w:ascii="Arial" w:hAnsi="Arial" w:cs="Arial"/>
                <w:sz w:val="24"/>
                <w:szCs w:val="24"/>
              </w:rPr>
              <w:t xml:space="preserve"> areas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that have also contributed to the </w:t>
            </w:r>
            <w:r w:rsidR="004339BA">
              <w:rPr>
                <w:rFonts w:ascii="Arial" w:hAnsi="Arial" w:cs="Arial"/>
                <w:sz w:val="24"/>
                <w:szCs w:val="24"/>
              </w:rPr>
              <w:t>year-end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position – most notably, Nursing vacancies and other vacancies to-date.</w:t>
            </w:r>
          </w:p>
          <w:p w14:paraId="4B1FE481" w14:textId="77777777" w:rsidR="00253501" w:rsidRPr="0064047E" w:rsidRDefault="00253501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8E12F7" w14:textId="77777777" w:rsidR="003E331F" w:rsidRPr="0064047E" w:rsidRDefault="0048066A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Finance will </w:t>
            </w:r>
            <w:r w:rsidR="00B01FE6" w:rsidRPr="0064047E">
              <w:rPr>
                <w:rFonts w:ascii="Arial" w:hAnsi="Arial" w:cs="Arial"/>
                <w:sz w:val="24"/>
                <w:szCs w:val="24"/>
              </w:rPr>
              <w:t>continue to</w:t>
            </w:r>
            <w:r w:rsidR="001F4367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work closely with all budget holders to </w:t>
            </w:r>
            <w:r w:rsidR="002D5541" w:rsidRPr="0064047E">
              <w:rPr>
                <w:rFonts w:ascii="Arial" w:hAnsi="Arial" w:cs="Arial"/>
                <w:sz w:val="24"/>
                <w:szCs w:val="24"/>
              </w:rPr>
              <w:t>identify other opportunities and areas for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efficiency</w:t>
            </w:r>
            <w:r w:rsidR="007D2605" w:rsidRPr="0064047E">
              <w:rPr>
                <w:rFonts w:ascii="Arial" w:hAnsi="Arial" w:cs="Arial"/>
                <w:sz w:val="24"/>
                <w:szCs w:val="24"/>
              </w:rPr>
              <w:t xml:space="preserve"> savings within their divisions in the next financial year.</w:t>
            </w:r>
          </w:p>
          <w:p w14:paraId="627A48FF" w14:textId="77777777" w:rsidR="001F1717" w:rsidRPr="0064047E" w:rsidRDefault="001F1717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4F527B" w14:textId="77777777" w:rsidR="00413966" w:rsidRDefault="003F7C8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The graph below provides a </w:t>
            </w:r>
            <w:proofErr w:type="gramStart"/>
            <w:r w:rsidRPr="0064047E">
              <w:rPr>
                <w:rFonts w:ascii="Arial" w:hAnsi="Arial" w:cs="Arial"/>
                <w:sz w:val="24"/>
                <w:szCs w:val="24"/>
              </w:rPr>
              <w:t>high level</w:t>
            </w:r>
            <w:proofErr w:type="gramEnd"/>
            <w:r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8A1" w:rsidRPr="0064047E">
              <w:rPr>
                <w:rFonts w:ascii="Arial" w:hAnsi="Arial" w:cs="Arial"/>
                <w:sz w:val="24"/>
                <w:szCs w:val="24"/>
              </w:rPr>
              <w:t>ove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rview of the progress made </w:t>
            </w:r>
            <w:r w:rsidR="00F92C38">
              <w:rPr>
                <w:rFonts w:ascii="Arial" w:hAnsi="Arial" w:cs="Arial"/>
                <w:sz w:val="24"/>
                <w:szCs w:val="24"/>
              </w:rPr>
              <w:t>at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BA">
              <w:rPr>
                <w:rFonts w:ascii="Arial" w:hAnsi="Arial" w:cs="Arial"/>
                <w:sz w:val="24"/>
                <w:szCs w:val="24"/>
              </w:rPr>
              <w:t>year-end</w:t>
            </w:r>
            <w:r w:rsidR="00F92C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by each </w:t>
            </w:r>
            <w:proofErr w:type="gramStart"/>
            <w:r w:rsidRPr="0064047E">
              <w:rPr>
                <w:rFonts w:ascii="Arial" w:hAnsi="Arial" w:cs="Arial"/>
                <w:sz w:val="24"/>
                <w:szCs w:val="24"/>
              </w:rPr>
              <w:t>workstream:-</w:t>
            </w:r>
            <w:proofErr w:type="gramEnd"/>
          </w:p>
          <w:p w14:paraId="661BE51D" w14:textId="77777777" w:rsidR="007554E8" w:rsidRPr="00D071E2" w:rsidRDefault="007554E8" w:rsidP="009555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71E2">
              <w:rPr>
                <w:rFonts w:ascii="Arial" w:hAnsi="Arial" w:cs="Arial"/>
                <w:b/>
                <w:sz w:val="16"/>
                <w:szCs w:val="16"/>
              </w:rPr>
              <w:t>Graph 1</w:t>
            </w:r>
          </w:p>
          <w:p w14:paraId="57317EB9" w14:textId="77777777" w:rsidR="007554E8" w:rsidRDefault="007554E8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54E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9ED6CD" wp14:editId="4BA35A94">
                  <wp:extent cx="4389966" cy="2284706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3566" cy="230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75C58" w14:textId="77777777" w:rsidR="007554E8" w:rsidRDefault="007554E8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E6D58" w14:textId="77777777" w:rsidR="00126E3C" w:rsidRPr="0064047E" w:rsidRDefault="00126E3C" w:rsidP="009555C9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  <w:u w:val="single"/>
              </w:rPr>
              <w:t>Sustainability &amp; Value</w:t>
            </w:r>
          </w:p>
          <w:p w14:paraId="3BB5867C" w14:textId="77777777" w:rsidR="00126E3C" w:rsidRPr="0064047E" w:rsidRDefault="00126E3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F521C2" w14:textId="77777777" w:rsidR="003050A0" w:rsidRPr="0064047E" w:rsidRDefault="001F1717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Achieving the Balance Programme has been integrated to the Board’s reporting structure, reviewing all workstreams for progress and update on risks and recurring delivery.</w:t>
            </w:r>
          </w:p>
          <w:p w14:paraId="001CE533" w14:textId="77777777" w:rsidR="00214B34" w:rsidRPr="0064047E" w:rsidRDefault="00214B3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918135" w14:textId="77777777" w:rsidR="003050A0" w:rsidRPr="0064047E" w:rsidRDefault="00C939DB" w:rsidP="00C93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 revised governance arrangements in place ensure all schemes are reviewed regularly to highlight all opportunities. All area</w:t>
            </w:r>
            <w:r w:rsidR="00966B76" w:rsidRPr="0064047E">
              <w:rPr>
                <w:rFonts w:ascii="Arial" w:hAnsi="Arial" w:cs="Arial"/>
                <w:sz w:val="24"/>
                <w:szCs w:val="24"/>
              </w:rPr>
              <w:t xml:space="preserve">s identified within the ’15 box </w:t>
            </w:r>
            <w:r w:rsidRPr="0064047E">
              <w:rPr>
                <w:rFonts w:ascii="Arial" w:hAnsi="Arial" w:cs="Arial"/>
                <w:sz w:val="24"/>
                <w:szCs w:val="24"/>
              </w:rPr>
              <w:t>grid’ have been built into the workstream areas the Board is progressing.</w:t>
            </w:r>
            <w:r w:rsidR="003050A0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050A0" w:rsidRPr="0064047E">
              <w:rPr>
                <w:rFonts w:ascii="Arial" w:hAnsi="Arial" w:cs="Arial"/>
                <w:sz w:val="24"/>
                <w:szCs w:val="24"/>
              </w:rPr>
              <w:t>In particular a</w:t>
            </w:r>
            <w:proofErr w:type="gramEnd"/>
            <w:r w:rsidR="003050A0" w:rsidRPr="0064047E">
              <w:rPr>
                <w:rFonts w:ascii="Arial" w:hAnsi="Arial" w:cs="Arial"/>
                <w:sz w:val="24"/>
                <w:szCs w:val="24"/>
              </w:rPr>
              <w:t xml:space="preserve"> review of temporary staffing expenditure across all staff groups has identified the current level of expenditure associated with funded vacant posts, as</w:t>
            </w:r>
            <w:r w:rsidR="009860DB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0A0" w:rsidRPr="0064047E">
              <w:rPr>
                <w:rFonts w:ascii="Arial" w:hAnsi="Arial" w:cs="Arial"/>
                <w:sz w:val="24"/>
                <w:szCs w:val="24"/>
              </w:rPr>
              <w:t>well as costs incurred to recover the Waiting Times Targets.</w:t>
            </w:r>
          </w:p>
          <w:p w14:paraId="3C16CA7D" w14:textId="77777777" w:rsidR="003050A0" w:rsidRPr="0064047E" w:rsidRDefault="003050A0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62E56A" w14:textId="77777777" w:rsidR="00C939DB" w:rsidRPr="0064047E" w:rsidRDefault="00C939DB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This has already supported the work undertaken in HLD in identifying potential savings across many areas. Further work is required to review similar areas across NES Division.</w:t>
            </w:r>
          </w:p>
          <w:p w14:paraId="5A0802B3" w14:textId="77777777" w:rsidR="00DA306C" w:rsidRPr="0064047E" w:rsidRDefault="00DA306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5C7C26" w14:textId="77777777" w:rsidR="00A0416F" w:rsidRDefault="00DA306C" w:rsidP="00C93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This work will support the revised governance arrangements associated with ‘Achieving a Balanced System’.</w:t>
            </w:r>
          </w:p>
          <w:p w14:paraId="77137F97" w14:textId="77777777" w:rsidR="006A1856" w:rsidRDefault="006A1856" w:rsidP="00C939D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212B021" w14:textId="77777777" w:rsidR="006A1856" w:rsidRPr="0064047E" w:rsidRDefault="006A1856" w:rsidP="00C939D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4E7501B8" w14:textId="77777777" w:rsidTr="002B4873">
        <w:tc>
          <w:tcPr>
            <w:tcW w:w="10826" w:type="dxa"/>
          </w:tcPr>
          <w:p w14:paraId="10814FC7" w14:textId="77777777" w:rsidR="00126E3C" w:rsidRPr="0064047E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D77176"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>7</w:t>
            </w:r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</w:t>
            </w:r>
            <w:proofErr w:type="gramStart"/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>NON CORE</w:t>
            </w:r>
            <w:proofErr w:type="gramEnd"/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PERFORMANCE </w:t>
            </w:r>
          </w:p>
          <w:p w14:paraId="4BDE46DB" w14:textId="77777777" w:rsidR="0005544B" w:rsidRPr="00E13260" w:rsidRDefault="00021A45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E13260">
              <w:rPr>
                <w:rFonts w:ascii="Arial" w:hAnsi="Arial" w:cs="Arial"/>
                <w:sz w:val="24"/>
                <w:szCs w:val="24"/>
              </w:rPr>
              <w:t xml:space="preserve">Non-Core position at </w:t>
            </w:r>
            <w:r w:rsidR="007554E8" w:rsidRPr="00E13260">
              <w:rPr>
                <w:rFonts w:ascii="Arial" w:hAnsi="Arial" w:cs="Arial"/>
                <w:sz w:val="24"/>
                <w:szCs w:val="24"/>
              </w:rPr>
              <w:t>year-end is</w:t>
            </w:r>
            <w:r w:rsidRPr="00E13260">
              <w:rPr>
                <w:rFonts w:ascii="Arial" w:hAnsi="Arial" w:cs="Arial"/>
                <w:sz w:val="24"/>
                <w:szCs w:val="24"/>
              </w:rPr>
              <w:t xml:space="preserve"> break-even (expenditure below matched by SG Income</w:t>
            </w:r>
            <w:r w:rsidR="00EB4E8F" w:rsidRPr="00E13260">
              <w:rPr>
                <w:rFonts w:ascii="Arial" w:hAnsi="Arial" w:cs="Arial"/>
                <w:sz w:val="24"/>
                <w:szCs w:val="24"/>
              </w:rPr>
              <w:t>)</w:t>
            </w:r>
            <w:r w:rsidR="0005544B" w:rsidRPr="00E1326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72EF3" w:rsidRPr="00E132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95116ED" w14:textId="77777777" w:rsidR="00541BEE" w:rsidRPr="00E13260" w:rsidRDefault="00541BEE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953FF" w14:textId="77777777" w:rsidR="004056AF" w:rsidRPr="0064047E" w:rsidRDefault="00021A45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E13260">
              <w:rPr>
                <w:rFonts w:ascii="Arial" w:hAnsi="Arial" w:cs="Arial"/>
                <w:sz w:val="24"/>
                <w:szCs w:val="24"/>
              </w:rPr>
              <w:t xml:space="preserve">The main elements of </w:t>
            </w:r>
            <w:proofErr w:type="gramStart"/>
            <w:r w:rsidRPr="00E13260">
              <w:rPr>
                <w:rFonts w:ascii="Arial" w:hAnsi="Arial" w:cs="Arial"/>
                <w:sz w:val="24"/>
                <w:szCs w:val="24"/>
              </w:rPr>
              <w:t>Non-Core</w:t>
            </w:r>
            <w:proofErr w:type="gramEnd"/>
            <w:r w:rsidRPr="00E13260">
              <w:rPr>
                <w:rFonts w:ascii="Arial" w:hAnsi="Arial" w:cs="Arial"/>
                <w:sz w:val="24"/>
                <w:szCs w:val="24"/>
              </w:rPr>
              <w:t xml:space="preserve"> funding </w:t>
            </w:r>
            <w:proofErr w:type="gramStart"/>
            <w:r w:rsidRPr="00E13260">
              <w:rPr>
                <w:rFonts w:ascii="Arial" w:hAnsi="Arial" w:cs="Arial"/>
                <w:sz w:val="24"/>
                <w:szCs w:val="24"/>
              </w:rPr>
              <w:t>are</w:t>
            </w:r>
            <w:proofErr w:type="gramEnd"/>
            <w:r w:rsidRPr="00E132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0400" w:rsidRPr="00E13260">
              <w:rPr>
                <w:rFonts w:ascii="Arial" w:hAnsi="Arial" w:cs="Arial"/>
                <w:sz w:val="24"/>
                <w:szCs w:val="24"/>
              </w:rPr>
              <w:t>shown in the table below</w:t>
            </w:r>
            <w:r w:rsidR="006A1856" w:rsidRPr="00E13260">
              <w:rPr>
                <w:rFonts w:ascii="Arial" w:hAnsi="Arial" w:cs="Arial"/>
                <w:sz w:val="24"/>
                <w:szCs w:val="24"/>
              </w:rPr>
              <w:t xml:space="preserve">, subject to final confirmation of the </w:t>
            </w:r>
            <w:proofErr w:type="gramStart"/>
            <w:r w:rsidR="006A1856" w:rsidRPr="00E13260">
              <w:rPr>
                <w:rFonts w:ascii="Arial" w:hAnsi="Arial" w:cs="Arial"/>
                <w:sz w:val="24"/>
                <w:szCs w:val="24"/>
              </w:rPr>
              <w:t>valuers</w:t>
            </w:r>
            <w:proofErr w:type="gramEnd"/>
            <w:r w:rsidR="006A1856" w:rsidRPr="00E13260">
              <w:rPr>
                <w:rFonts w:ascii="Arial" w:hAnsi="Arial" w:cs="Arial"/>
                <w:sz w:val="24"/>
                <w:szCs w:val="24"/>
              </w:rPr>
              <w:t xml:space="preserve"> report on the new surgical centre</w:t>
            </w:r>
            <w:r w:rsidR="009555C9" w:rsidRPr="00E1326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482591" w14:textId="77777777" w:rsidR="004056AF" w:rsidRPr="0064047E" w:rsidRDefault="004056AF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613E7" w14:textId="77777777" w:rsidR="0064761B" w:rsidRPr="0064047E" w:rsidRDefault="00FC2FFF" w:rsidP="00021A4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26E3C" w:rsidRPr="0064047E">
              <w:rPr>
                <w:rFonts w:ascii="Arial" w:hAnsi="Arial" w:cs="Arial"/>
                <w:b/>
                <w:sz w:val="24"/>
                <w:szCs w:val="24"/>
              </w:rPr>
              <w:t>able</w:t>
            </w:r>
            <w:r w:rsidR="00AF0E0B" w:rsidRPr="0064047E">
              <w:rPr>
                <w:rFonts w:ascii="Arial" w:hAnsi="Arial" w:cs="Arial"/>
                <w:b/>
                <w:sz w:val="24"/>
                <w:szCs w:val="24"/>
              </w:rPr>
              <w:t xml:space="preserve"> 11</w:t>
            </w:r>
            <w:r w:rsidR="00126E3C" w:rsidRPr="006404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tbl>
            <w:tblPr>
              <w:tblW w:w="8830" w:type="dxa"/>
              <w:tblLook w:val="04A0" w:firstRow="1" w:lastRow="0" w:firstColumn="1" w:lastColumn="0" w:noHBand="0" w:noVBand="1"/>
            </w:tblPr>
            <w:tblGrid>
              <w:gridCol w:w="5102"/>
              <w:gridCol w:w="3728"/>
            </w:tblGrid>
            <w:tr w:rsidR="0005544B" w:rsidRPr="0064047E" w14:paraId="35B29E1C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C651CC" w14:textId="77777777" w:rsidR="0005544B" w:rsidRPr="0064047E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Category</w:t>
                  </w:r>
                </w:p>
              </w:tc>
              <w:tc>
                <w:tcPr>
                  <w:tcW w:w="3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3CC087" w14:textId="77777777" w:rsidR="0005544B" w:rsidRPr="0064047E" w:rsidRDefault="0005544B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Annual Budget £</w:t>
                  </w:r>
                </w:p>
              </w:tc>
            </w:tr>
            <w:tr w:rsidR="0005544B" w:rsidRPr="0064047E" w14:paraId="3E80D6F6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687250" w14:textId="77777777" w:rsidR="0005544B" w:rsidRPr="0064047E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Annually Managed Expenditure (AME)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F63CA1" w14:textId="77777777" w:rsidR="0005544B" w:rsidRPr="0064047E" w:rsidRDefault="00E13260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326</w:t>
                  </w:r>
                  <w:r w:rsidR="006940CA"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,000</w:t>
                  </w:r>
                </w:p>
              </w:tc>
            </w:tr>
            <w:tr w:rsidR="0005544B" w:rsidRPr="0064047E" w14:paraId="6D0C4854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C37979" w14:textId="77777777" w:rsidR="0005544B" w:rsidRPr="0064047E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Depreciation (Donated Assets)</w:t>
                  </w:r>
                  <w:r w:rsidR="00E13260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 xml:space="preserve"> (AME)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181C8E" w14:textId="77777777" w:rsidR="0005544B" w:rsidRPr="0064047E" w:rsidRDefault="00E13260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9,000</w:t>
                  </w:r>
                </w:p>
              </w:tc>
            </w:tr>
            <w:tr w:rsidR="0005544B" w:rsidRPr="0064047E" w14:paraId="207F58AF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3FA911" w14:textId="77777777" w:rsidR="00E13260" w:rsidRPr="0064047E" w:rsidRDefault="00E13260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Impairment of Phase 2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45B00B" w14:textId="77777777" w:rsidR="0005544B" w:rsidRPr="0064047E" w:rsidRDefault="00E13260" w:rsidP="006940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20,696,000</w:t>
                  </w:r>
                </w:p>
              </w:tc>
            </w:tr>
            <w:tr w:rsidR="00E13260" w:rsidRPr="0064047E" w14:paraId="424ECC20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79FE60" w14:textId="77777777" w:rsidR="00E13260" w:rsidRPr="0064047E" w:rsidRDefault="00E13260" w:rsidP="00E132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Depreciation (Board Capital)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2089AE" w14:textId="77777777" w:rsidR="00E13260" w:rsidRPr="0064047E" w:rsidRDefault="00E13260" w:rsidP="00E1326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13,852,000</w:t>
                  </w:r>
                </w:p>
              </w:tc>
            </w:tr>
            <w:tr w:rsidR="0005544B" w:rsidRPr="0064047E" w14:paraId="638B4E4E" w14:textId="77777777" w:rsidTr="00A0416F">
              <w:trPr>
                <w:trHeight w:val="123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F9C176" w14:textId="77777777" w:rsidR="0005544B" w:rsidRPr="0064047E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64047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Total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7FC3E6" w14:textId="77777777" w:rsidR="0005544B" w:rsidRPr="0064047E" w:rsidRDefault="00E13260" w:rsidP="006940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34,883,000</w:t>
                  </w:r>
                </w:p>
              </w:tc>
            </w:tr>
          </w:tbl>
          <w:p w14:paraId="7247FAFF" w14:textId="77777777" w:rsidR="00126E3C" w:rsidRPr="0064047E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37C71D9B" w14:textId="77777777" w:rsidTr="002B4873">
        <w:tc>
          <w:tcPr>
            <w:tcW w:w="10826" w:type="dxa"/>
          </w:tcPr>
          <w:p w14:paraId="79CFDE0F" w14:textId="77777777" w:rsidR="00875C0A" w:rsidRPr="0064047E" w:rsidRDefault="00875C0A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</w:p>
          <w:p w14:paraId="3686ED12" w14:textId="77777777" w:rsidR="00126E3C" w:rsidRPr="0064047E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</w:t>
            </w:r>
            <w:r w:rsidR="00146943"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>8</w:t>
            </w:r>
            <w:r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CAPITAL INCOME AND EXPENDITURE </w:t>
            </w:r>
          </w:p>
          <w:p w14:paraId="71419CAF" w14:textId="77777777" w:rsidR="00875C0A" w:rsidRPr="0064047E" w:rsidRDefault="00875C0A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</w:p>
          <w:p w14:paraId="7D24DAE9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As previously highlighted by Scottish Government, capital funding is only being made available to all Boards based upon their Resource Formula for Capital expenditure.</w:t>
            </w:r>
          </w:p>
          <w:p w14:paraId="09EF07DF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DA6CB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This places a significant level of risk on the Golden Jubilee’s replacement programme for medical equipment and infrastructure changes that have been previously highlighted in our </w:t>
            </w:r>
            <w:proofErr w:type="gramStart"/>
            <w:r w:rsidRPr="0064047E">
              <w:rPr>
                <w:rFonts w:ascii="Arial" w:hAnsi="Arial" w:cs="Arial"/>
                <w:sz w:val="24"/>
                <w:szCs w:val="24"/>
              </w:rPr>
              <w:t>5 year</w:t>
            </w:r>
            <w:proofErr w:type="gramEnd"/>
            <w:r w:rsidRPr="0064047E">
              <w:rPr>
                <w:rFonts w:ascii="Arial" w:hAnsi="Arial" w:cs="Arial"/>
                <w:sz w:val="24"/>
                <w:szCs w:val="24"/>
              </w:rPr>
              <w:t xml:space="preserve"> plan.</w:t>
            </w:r>
          </w:p>
          <w:p w14:paraId="50C476BD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0C04F5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A risk workshop was undertaken in May by the Capital Delivery Group (CDG) who risk rated all proposed capital schemes which created a prioritised list of all capital requests from the highest risk to the lowest risk. </w:t>
            </w:r>
          </w:p>
          <w:p w14:paraId="1426EBBF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2EAF77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This list of priorities </w:t>
            </w:r>
            <w:proofErr w:type="gramStart"/>
            <w:r w:rsidRPr="0064047E">
              <w:rPr>
                <w:rFonts w:ascii="Arial" w:hAnsi="Arial" w:cs="Arial"/>
                <w:sz w:val="24"/>
                <w:szCs w:val="24"/>
              </w:rPr>
              <w:t>were</w:t>
            </w:r>
            <w:proofErr w:type="gramEnd"/>
            <w:r w:rsidRPr="0064047E">
              <w:rPr>
                <w:rFonts w:ascii="Arial" w:hAnsi="Arial" w:cs="Arial"/>
                <w:sz w:val="24"/>
                <w:szCs w:val="24"/>
              </w:rPr>
              <w:t xml:space="preserve"> subsequently approved by the Strategic Capital Programme Group (SCPG) and then by ELT.</w:t>
            </w:r>
          </w:p>
          <w:p w14:paraId="7E0E4118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E41FE5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The original capital plan was based on anticipated allocations of £4.637m related to core, with Phase 2 and capitalised leases to be funded at expected levels as shown in the table below as £7.541m. In </w:t>
            </w:r>
            <w:r w:rsidR="001042B0" w:rsidRPr="0064047E">
              <w:rPr>
                <w:rFonts w:ascii="Arial" w:hAnsi="Arial" w:cs="Arial"/>
                <w:sz w:val="24"/>
                <w:szCs w:val="24"/>
              </w:rPr>
              <w:t>December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2025, </w:t>
            </w:r>
            <w:proofErr w:type="gramStart"/>
            <w:r w:rsidRPr="0064047E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Pr="0064047E">
              <w:rPr>
                <w:rFonts w:ascii="Arial" w:hAnsi="Arial" w:cs="Arial"/>
                <w:sz w:val="24"/>
                <w:szCs w:val="24"/>
              </w:rPr>
              <w:t xml:space="preserve"> additional capital</w:t>
            </w:r>
            <w:r w:rsidR="001042B0" w:rsidRPr="0064047E">
              <w:rPr>
                <w:rFonts w:ascii="Arial" w:hAnsi="Arial" w:cs="Arial"/>
                <w:sz w:val="24"/>
                <w:szCs w:val="24"/>
              </w:rPr>
              <w:t xml:space="preserve"> allocations were made available. Following re-phasing </w:t>
            </w:r>
            <w:r w:rsidR="001042B0" w:rsidRPr="0064047E">
              <w:rPr>
                <w:rFonts w:ascii="Arial" w:hAnsi="Arial" w:cs="Arial"/>
                <w:sz w:val="24"/>
                <w:szCs w:val="24"/>
              </w:rPr>
              <w:lastRenderedPageBreak/>
              <w:t xml:space="preserve">of Phase 2 and CT Scanner spend, along with </w:t>
            </w:r>
            <w:r w:rsidR="0064047E" w:rsidRPr="0064047E">
              <w:rPr>
                <w:rFonts w:ascii="Arial" w:hAnsi="Arial" w:cs="Arial"/>
                <w:sz w:val="24"/>
                <w:szCs w:val="24"/>
              </w:rPr>
              <w:t>yearend</w:t>
            </w:r>
            <w:r w:rsidR="001042B0" w:rsidRPr="0064047E">
              <w:rPr>
                <w:rFonts w:ascii="Arial" w:hAnsi="Arial" w:cs="Arial"/>
                <w:sz w:val="24"/>
                <w:szCs w:val="24"/>
              </w:rPr>
              <w:t xml:space="preserve"> adjustments,</w:t>
            </w:r>
            <w:r w:rsidR="0064047E" w:rsidRPr="0064047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F004F0">
              <w:rPr>
                <w:rFonts w:ascii="Arial" w:hAnsi="Arial" w:cs="Arial"/>
                <w:sz w:val="24"/>
                <w:szCs w:val="24"/>
              </w:rPr>
              <w:t>final</w:t>
            </w:r>
            <w:r w:rsidR="0064047E" w:rsidRPr="0064047E">
              <w:rPr>
                <w:rFonts w:ascii="Arial" w:hAnsi="Arial" w:cs="Arial"/>
                <w:sz w:val="24"/>
                <w:szCs w:val="24"/>
              </w:rPr>
              <w:t xml:space="preserve"> CRL and spend for 2024/25 is £</w:t>
            </w:r>
            <w:r w:rsidR="00F004F0">
              <w:rPr>
                <w:rFonts w:ascii="Arial" w:hAnsi="Arial" w:cs="Arial"/>
                <w:sz w:val="24"/>
                <w:szCs w:val="24"/>
              </w:rPr>
              <w:t>14.635</w:t>
            </w:r>
          </w:p>
          <w:p w14:paraId="61A85680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B6331" w14:textId="77777777" w:rsidR="001E712D" w:rsidRPr="0064047E" w:rsidRDefault="001E712D" w:rsidP="001E71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 Table below provides a summary of the anticipated Capital Resource Limit (CRL) for 2024/25:</w:t>
            </w:r>
          </w:p>
          <w:p w14:paraId="59E8F77C" w14:textId="77777777" w:rsidR="001E712D" w:rsidRPr="0064047E" w:rsidRDefault="001E712D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6B4216" w14:textId="77777777" w:rsidR="001E712D" w:rsidRPr="0064047E" w:rsidRDefault="001E712D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</w:rPr>
              <w:t>Table 12</w:t>
            </w:r>
          </w:p>
          <w:tbl>
            <w:tblPr>
              <w:tblW w:w="3560" w:type="dxa"/>
              <w:tblInd w:w="3075" w:type="dxa"/>
              <w:tblLook w:val="04A0" w:firstRow="1" w:lastRow="0" w:firstColumn="1" w:lastColumn="0" w:noHBand="0" w:noVBand="1"/>
            </w:tblPr>
            <w:tblGrid>
              <w:gridCol w:w="2600"/>
              <w:gridCol w:w="960"/>
            </w:tblGrid>
            <w:tr w:rsidR="00E13260" w:rsidRPr="00A1546D" w14:paraId="21609688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3315E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Formula Core Capital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9A1C9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2.691</w:t>
                  </w:r>
                </w:p>
              </w:tc>
            </w:tr>
            <w:tr w:rsidR="00E13260" w:rsidRPr="00A1546D" w14:paraId="29E0FDBD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BA937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23/24 carried forward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7533C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1.265</w:t>
                  </w:r>
                </w:p>
              </w:tc>
            </w:tr>
            <w:tr w:rsidR="00E13260" w:rsidRPr="00A1546D" w14:paraId="4B46CA5A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30670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Lifts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ADB2A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0.705</w:t>
                  </w:r>
                </w:p>
              </w:tc>
            </w:tr>
            <w:tr w:rsidR="00E13260" w:rsidRPr="00A1546D" w14:paraId="7B665475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DAE57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Academy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64307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0.27</w:t>
                  </w:r>
                </w:p>
              </w:tc>
            </w:tr>
            <w:tr w:rsidR="00E13260" w:rsidRPr="00A1546D" w14:paraId="3500C6BB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30285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CT Scanner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45F18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1.023</w:t>
                  </w:r>
                </w:p>
              </w:tc>
            </w:tr>
            <w:tr w:rsidR="00E13260" w:rsidRPr="00A1546D" w14:paraId="2A96F0AA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4B172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Additional Core Funding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8677C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1.819</w:t>
                  </w:r>
                </w:p>
              </w:tc>
            </w:tr>
            <w:tr w:rsidR="00E13260" w:rsidRPr="00A1546D" w14:paraId="18577CB8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B83E5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Hepma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FD5BD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0.239</w:t>
                  </w:r>
                </w:p>
              </w:tc>
            </w:tr>
            <w:tr w:rsidR="00E13260" w:rsidRPr="00A1546D" w14:paraId="7428D1C1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85623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Energy Efficiency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D7EDE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0.806</w:t>
                  </w:r>
                </w:p>
              </w:tc>
            </w:tr>
            <w:tr w:rsidR="00E13260" w:rsidRPr="00A1546D" w14:paraId="03FC075B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3C169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Core Allocation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FD35A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8.818</w:t>
                  </w:r>
                </w:p>
              </w:tc>
            </w:tr>
            <w:tr w:rsidR="00E13260" w:rsidRPr="00A1546D" w14:paraId="38B115C5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2D1A6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1B1DC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5.41</w:t>
                  </w:r>
                </w:p>
              </w:tc>
            </w:tr>
            <w:tr w:rsidR="00E13260" w:rsidRPr="00A1546D" w14:paraId="449E9527" w14:textId="77777777" w:rsidTr="00434D51">
              <w:trPr>
                <w:trHeight w:val="29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D0007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Inc Phase 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7081A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14.228</w:t>
                  </w:r>
                </w:p>
              </w:tc>
            </w:tr>
            <w:tr w:rsidR="00E13260" w:rsidRPr="00A1546D" w14:paraId="4EFEB6F5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CCC7E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Asset Sales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DB0A6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0.011</w:t>
                  </w:r>
                </w:p>
              </w:tc>
            </w:tr>
            <w:tr w:rsidR="00E13260" w:rsidRPr="00A1546D" w14:paraId="028C0900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DA900" w14:textId="77777777" w:rsidR="00E13260" w:rsidRPr="00A1546D" w:rsidRDefault="006807C8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6807C8"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  <w:t>Total CRL (excluding leases)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9303B" w14:textId="77777777" w:rsidR="00E13260" w:rsidRPr="006807C8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</w:pPr>
                  <w:r w:rsidRPr="006807C8"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  <w:t>14.217</w:t>
                  </w:r>
                </w:p>
              </w:tc>
            </w:tr>
            <w:tr w:rsidR="00E13260" w:rsidRPr="00A1546D" w14:paraId="65052746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1F601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Leases Funding via capital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75643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0.416</w:t>
                  </w:r>
                </w:p>
              </w:tc>
            </w:tr>
            <w:tr w:rsidR="00E13260" w:rsidRPr="00A1546D" w14:paraId="062A244A" w14:textId="77777777" w:rsidTr="00434D51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08797" w14:textId="77777777" w:rsidR="00E13260" w:rsidRPr="00A1546D" w:rsidRDefault="00E13260" w:rsidP="00E1326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 (including leases)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E798F" w14:textId="77777777" w:rsidR="00E13260" w:rsidRPr="00A1546D" w:rsidRDefault="00E13260" w:rsidP="00E132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A154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14.635</w:t>
                  </w:r>
                </w:p>
              </w:tc>
            </w:tr>
          </w:tbl>
          <w:p w14:paraId="19BEED59" w14:textId="77777777" w:rsidR="0064047E" w:rsidRPr="0064047E" w:rsidRDefault="0064047E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4273A" w14:textId="77777777" w:rsidR="001E712D" w:rsidRPr="0064047E" w:rsidRDefault="001E712D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1C93D" w14:textId="77777777" w:rsidR="00517303" w:rsidRDefault="00517303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1E121BF4" w14:textId="77777777" w:rsidR="007554E8" w:rsidRPr="0064047E" w:rsidRDefault="007554E8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10885" w:type="dxa"/>
        <w:tblInd w:w="-5" w:type="dxa"/>
        <w:tblLook w:val="04A0" w:firstRow="1" w:lastRow="0" w:firstColumn="1" w:lastColumn="0" w:noHBand="0" w:noVBand="1"/>
      </w:tblPr>
      <w:tblGrid>
        <w:gridCol w:w="10885"/>
      </w:tblGrid>
      <w:tr w:rsidR="00CE18F3" w:rsidRPr="00594355" w14:paraId="2544A3B9" w14:textId="77777777" w:rsidTr="00BC03BA">
        <w:tc>
          <w:tcPr>
            <w:tcW w:w="10885" w:type="dxa"/>
            <w:shd w:val="clear" w:color="auto" w:fill="AEAAAA" w:themeFill="background2" w:themeFillShade="BF"/>
          </w:tcPr>
          <w:p w14:paraId="6CC7A576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Decision– </w:t>
            </w:r>
          </w:p>
          <w:p w14:paraId="42239E1F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  <w:p w14:paraId="6B75E7A5" w14:textId="77777777" w:rsidR="00CE18F3" w:rsidRPr="00594355" w:rsidRDefault="00CE18F3" w:rsidP="00D3637F">
            <w:pPr>
              <w:kinsoku w:val="0"/>
              <w:overflowPunct w:val="0"/>
              <w:spacing w:before="2"/>
              <w:ind w:left="36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(1) Approve the </w:t>
            </w:r>
            <w:r w:rsidR="00D3637F" w:rsidRPr="00D3637F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Final Summary Financial Report 2024/25</w:t>
            </w:r>
          </w:p>
        </w:tc>
      </w:tr>
    </w:tbl>
    <w:p w14:paraId="5549B092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</w:p>
    <w:p w14:paraId="0707AC01" w14:textId="77777777" w:rsidR="00CE18F3" w:rsidRPr="00594355" w:rsidRDefault="004879B0" w:rsidP="00CE18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Jonny Gamble</w:t>
      </w:r>
    </w:p>
    <w:p w14:paraId="4C5E6978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Director of Finance</w:t>
      </w:r>
    </w:p>
    <w:p w14:paraId="5D0108E4" w14:textId="77777777" w:rsidR="007B5642" w:rsidRDefault="00CE18F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NHS Golden Jubilee</w:t>
      </w:r>
      <w:r w:rsidRPr="00594355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14:paraId="0BBF0D0A" w14:textId="77777777" w:rsidR="00F551AB" w:rsidRDefault="00F551AB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B63F5ED" w14:textId="77777777" w:rsidR="00F551AB" w:rsidRDefault="00F551AB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4DE4EE8" w14:textId="77777777" w:rsidR="008C292D" w:rsidRDefault="008C292D" w:rsidP="00F551AB">
      <w:pPr>
        <w:jc w:val="both"/>
      </w:pPr>
    </w:p>
    <w:sectPr w:rsidR="008C292D" w:rsidSect="00CB19A1">
      <w:footerReference w:type="default" r:id="rId2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B539" w14:textId="77777777" w:rsidR="00FF381A" w:rsidRDefault="00FF381A" w:rsidP="00607224">
      <w:pPr>
        <w:spacing w:after="0" w:line="240" w:lineRule="auto"/>
      </w:pPr>
      <w:r>
        <w:separator/>
      </w:r>
    </w:p>
  </w:endnote>
  <w:endnote w:type="continuationSeparator" w:id="0">
    <w:p w14:paraId="711080C7" w14:textId="77777777" w:rsidR="00FF381A" w:rsidRDefault="00FF381A" w:rsidP="0060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5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E6DF9" w14:textId="77777777" w:rsidR="00D3637F" w:rsidRDefault="00D363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E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ED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7DB1FD" w14:textId="77777777" w:rsidR="00D3637F" w:rsidRDefault="00D3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56B5" w14:textId="77777777" w:rsidR="00FF381A" w:rsidRDefault="00FF381A" w:rsidP="00607224">
      <w:pPr>
        <w:spacing w:after="0" w:line="240" w:lineRule="auto"/>
      </w:pPr>
      <w:r>
        <w:separator/>
      </w:r>
    </w:p>
  </w:footnote>
  <w:footnote w:type="continuationSeparator" w:id="0">
    <w:p w14:paraId="540C5190" w14:textId="77777777" w:rsidR="00FF381A" w:rsidRDefault="00FF381A" w:rsidP="0060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8C4"/>
    <w:multiLevelType w:val="hybridMultilevel"/>
    <w:tmpl w:val="A5CE6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A51"/>
    <w:multiLevelType w:val="hybridMultilevel"/>
    <w:tmpl w:val="7F58FBDC"/>
    <w:lvl w:ilvl="0" w:tplc="AC141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C62B6"/>
    <w:multiLevelType w:val="hybridMultilevel"/>
    <w:tmpl w:val="4FE43420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9B8140E"/>
    <w:multiLevelType w:val="hybridMultilevel"/>
    <w:tmpl w:val="3440FCD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9C61B88"/>
    <w:multiLevelType w:val="hybridMultilevel"/>
    <w:tmpl w:val="BA7E0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C1A5E"/>
    <w:multiLevelType w:val="hybridMultilevel"/>
    <w:tmpl w:val="0AACD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A0525"/>
    <w:multiLevelType w:val="hybridMultilevel"/>
    <w:tmpl w:val="08C23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317AC"/>
    <w:multiLevelType w:val="hybridMultilevel"/>
    <w:tmpl w:val="290E730C"/>
    <w:lvl w:ilvl="0" w:tplc="99CA5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2740E"/>
    <w:multiLevelType w:val="hybridMultilevel"/>
    <w:tmpl w:val="416675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00AFE"/>
    <w:multiLevelType w:val="hybridMultilevel"/>
    <w:tmpl w:val="E906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B17B0"/>
    <w:multiLevelType w:val="hybridMultilevel"/>
    <w:tmpl w:val="756E8466"/>
    <w:lvl w:ilvl="0" w:tplc="396E997A">
      <w:numFmt w:val="bullet"/>
      <w:lvlText w:val="﷐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5DCD"/>
    <w:multiLevelType w:val="hybridMultilevel"/>
    <w:tmpl w:val="9ED86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230C5"/>
    <w:multiLevelType w:val="hybridMultilevel"/>
    <w:tmpl w:val="93661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E2AAC"/>
    <w:multiLevelType w:val="hybridMultilevel"/>
    <w:tmpl w:val="50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CCE"/>
    <w:multiLevelType w:val="hybridMultilevel"/>
    <w:tmpl w:val="BB8ED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8213E"/>
    <w:multiLevelType w:val="hybridMultilevel"/>
    <w:tmpl w:val="23F0F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B0C27"/>
    <w:multiLevelType w:val="hybridMultilevel"/>
    <w:tmpl w:val="17A69552"/>
    <w:lvl w:ilvl="0" w:tplc="D63C5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5A2C"/>
    <w:multiLevelType w:val="hybridMultilevel"/>
    <w:tmpl w:val="4A3C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063D6"/>
    <w:multiLevelType w:val="hybridMultilevel"/>
    <w:tmpl w:val="4342C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2591E"/>
    <w:multiLevelType w:val="hybridMultilevel"/>
    <w:tmpl w:val="54F6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044B0"/>
    <w:multiLevelType w:val="hybridMultilevel"/>
    <w:tmpl w:val="8B386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8028AD"/>
    <w:multiLevelType w:val="hybridMultilevel"/>
    <w:tmpl w:val="7184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85260"/>
    <w:multiLevelType w:val="hybridMultilevel"/>
    <w:tmpl w:val="F776F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044317"/>
    <w:multiLevelType w:val="hybridMultilevel"/>
    <w:tmpl w:val="F3547D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7401C"/>
    <w:multiLevelType w:val="hybridMultilevel"/>
    <w:tmpl w:val="5F42E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D526B3"/>
    <w:multiLevelType w:val="hybridMultilevel"/>
    <w:tmpl w:val="9C4CA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D52ED3"/>
    <w:multiLevelType w:val="hybridMultilevel"/>
    <w:tmpl w:val="E202E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360266"/>
    <w:multiLevelType w:val="hybridMultilevel"/>
    <w:tmpl w:val="D1BA4C28"/>
    <w:lvl w:ilvl="0" w:tplc="FED00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459C3"/>
    <w:multiLevelType w:val="hybridMultilevel"/>
    <w:tmpl w:val="BE92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776D7"/>
    <w:multiLevelType w:val="hybridMultilevel"/>
    <w:tmpl w:val="B712C3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70441"/>
    <w:multiLevelType w:val="hybridMultilevel"/>
    <w:tmpl w:val="E552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F2A7D"/>
    <w:multiLevelType w:val="hybridMultilevel"/>
    <w:tmpl w:val="70D4CD4E"/>
    <w:lvl w:ilvl="0" w:tplc="C53C4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4CAE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22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E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C7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8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7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A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A5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50478"/>
    <w:multiLevelType w:val="hybridMultilevel"/>
    <w:tmpl w:val="640236E4"/>
    <w:lvl w:ilvl="0" w:tplc="DE12E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D5CC4"/>
    <w:multiLevelType w:val="hybridMultilevel"/>
    <w:tmpl w:val="4C70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65606"/>
    <w:multiLevelType w:val="hybridMultilevel"/>
    <w:tmpl w:val="D124F1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E8564B"/>
    <w:multiLevelType w:val="hybridMultilevel"/>
    <w:tmpl w:val="9F5C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27752"/>
    <w:multiLevelType w:val="hybridMultilevel"/>
    <w:tmpl w:val="D28E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0C30"/>
    <w:multiLevelType w:val="hybridMultilevel"/>
    <w:tmpl w:val="7022690E"/>
    <w:lvl w:ilvl="0" w:tplc="BB367A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E03E76"/>
    <w:multiLevelType w:val="hybridMultilevel"/>
    <w:tmpl w:val="1AB4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A2F5D"/>
    <w:multiLevelType w:val="hybridMultilevel"/>
    <w:tmpl w:val="7070E780"/>
    <w:lvl w:ilvl="0" w:tplc="08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745B295C"/>
    <w:multiLevelType w:val="hybridMultilevel"/>
    <w:tmpl w:val="ECF8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E160D"/>
    <w:multiLevelType w:val="hybridMultilevel"/>
    <w:tmpl w:val="82C2BB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A45A26"/>
    <w:multiLevelType w:val="hybridMultilevel"/>
    <w:tmpl w:val="5CDCB95C"/>
    <w:lvl w:ilvl="0" w:tplc="05C22A70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05C1A"/>
    <w:multiLevelType w:val="hybridMultilevel"/>
    <w:tmpl w:val="FDAC46F8"/>
    <w:lvl w:ilvl="0" w:tplc="D2F230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4859">
    <w:abstractNumId w:val="38"/>
  </w:num>
  <w:num w:numId="2" w16cid:durableId="1809323328">
    <w:abstractNumId w:val="6"/>
  </w:num>
  <w:num w:numId="3" w16cid:durableId="1801608141">
    <w:abstractNumId w:val="13"/>
  </w:num>
  <w:num w:numId="4" w16cid:durableId="1023092025">
    <w:abstractNumId w:val="2"/>
  </w:num>
  <w:num w:numId="5" w16cid:durableId="1760442233">
    <w:abstractNumId w:val="39"/>
  </w:num>
  <w:num w:numId="6" w16cid:durableId="341323915">
    <w:abstractNumId w:val="31"/>
  </w:num>
  <w:num w:numId="7" w16cid:durableId="1746877437">
    <w:abstractNumId w:val="5"/>
  </w:num>
  <w:num w:numId="8" w16cid:durableId="962273301">
    <w:abstractNumId w:val="3"/>
  </w:num>
  <w:num w:numId="9" w16cid:durableId="28192546">
    <w:abstractNumId w:val="18"/>
  </w:num>
  <w:num w:numId="10" w16cid:durableId="349265237">
    <w:abstractNumId w:val="23"/>
  </w:num>
  <w:num w:numId="11" w16cid:durableId="1903633271">
    <w:abstractNumId w:val="29"/>
  </w:num>
  <w:num w:numId="12" w16cid:durableId="387848931">
    <w:abstractNumId w:val="26"/>
  </w:num>
  <w:num w:numId="13" w16cid:durableId="1194610382">
    <w:abstractNumId w:val="35"/>
  </w:num>
  <w:num w:numId="14" w16cid:durableId="363482610">
    <w:abstractNumId w:val="40"/>
  </w:num>
  <w:num w:numId="15" w16cid:durableId="1141575567">
    <w:abstractNumId w:val="17"/>
  </w:num>
  <w:num w:numId="16" w16cid:durableId="291327840">
    <w:abstractNumId w:val="36"/>
  </w:num>
  <w:num w:numId="17" w16cid:durableId="1106540388">
    <w:abstractNumId w:val="19"/>
  </w:num>
  <w:num w:numId="18" w16cid:durableId="546337730">
    <w:abstractNumId w:val="25"/>
  </w:num>
  <w:num w:numId="19" w16cid:durableId="1465856796">
    <w:abstractNumId w:val="15"/>
  </w:num>
  <w:num w:numId="20" w16cid:durableId="537744850">
    <w:abstractNumId w:val="4"/>
  </w:num>
  <w:num w:numId="21" w16cid:durableId="2027823956">
    <w:abstractNumId w:val="37"/>
  </w:num>
  <w:num w:numId="22" w16cid:durableId="376777245">
    <w:abstractNumId w:val="41"/>
  </w:num>
  <w:num w:numId="23" w16cid:durableId="1159811569">
    <w:abstractNumId w:val="34"/>
  </w:num>
  <w:num w:numId="24" w16cid:durableId="1486973487">
    <w:abstractNumId w:val="20"/>
  </w:num>
  <w:num w:numId="25" w16cid:durableId="2143883813">
    <w:abstractNumId w:val="24"/>
  </w:num>
  <w:num w:numId="26" w16cid:durableId="1253003251">
    <w:abstractNumId w:val="1"/>
  </w:num>
  <w:num w:numId="27" w16cid:durableId="11490559">
    <w:abstractNumId w:val="14"/>
  </w:num>
  <w:num w:numId="28" w16cid:durableId="1776364678">
    <w:abstractNumId w:val="43"/>
  </w:num>
  <w:num w:numId="29" w16cid:durableId="1975792179">
    <w:abstractNumId w:val="16"/>
  </w:num>
  <w:num w:numId="30" w16cid:durableId="891891065">
    <w:abstractNumId w:val="32"/>
  </w:num>
  <w:num w:numId="31" w16cid:durableId="1658264724">
    <w:abstractNumId w:val="21"/>
  </w:num>
  <w:num w:numId="32" w16cid:durableId="1549106758">
    <w:abstractNumId w:val="8"/>
  </w:num>
  <w:num w:numId="33" w16cid:durableId="1299383661">
    <w:abstractNumId w:val="12"/>
  </w:num>
  <w:num w:numId="34" w16cid:durableId="890269690">
    <w:abstractNumId w:val="27"/>
  </w:num>
  <w:num w:numId="35" w16cid:durableId="1940796367">
    <w:abstractNumId w:val="0"/>
  </w:num>
  <w:num w:numId="36" w16cid:durableId="418407176">
    <w:abstractNumId w:val="11"/>
  </w:num>
  <w:num w:numId="37" w16cid:durableId="451485539">
    <w:abstractNumId w:val="7"/>
  </w:num>
  <w:num w:numId="38" w16cid:durableId="1529950867">
    <w:abstractNumId w:val="33"/>
  </w:num>
  <w:num w:numId="39" w16cid:durableId="154421601">
    <w:abstractNumId w:val="30"/>
  </w:num>
  <w:num w:numId="40" w16cid:durableId="2084250867">
    <w:abstractNumId w:val="42"/>
  </w:num>
  <w:num w:numId="41" w16cid:durableId="679625206">
    <w:abstractNumId w:val="22"/>
  </w:num>
  <w:num w:numId="42" w16cid:durableId="1040133349">
    <w:abstractNumId w:val="10"/>
  </w:num>
  <w:num w:numId="43" w16cid:durableId="1168447554">
    <w:abstractNumId w:val="28"/>
  </w:num>
  <w:num w:numId="44" w16cid:durableId="1148547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96"/>
    <w:rsid w:val="0000064D"/>
    <w:rsid w:val="0000490B"/>
    <w:rsid w:val="00007193"/>
    <w:rsid w:val="000073A3"/>
    <w:rsid w:val="000078D3"/>
    <w:rsid w:val="000142DF"/>
    <w:rsid w:val="00014498"/>
    <w:rsid w:val="000154D9"/>
    <w:rsid w:val="00015F2B"/>
    <w:rsid w:val="00021A45"/>
    <w:rsid w:val="00022314"/>
    <w:rsid w:val="000264E6"/>
    <w:rsid w:val="00032687"/>
    <w:rsid w:val="0003293B"/>
    <w:rsid w:val="0003329F"/>
    <w:rsid w:val="00037444"/>
    <w:rsid w:val="000464AE"/>
    <w:rsid w:val="00052A38"/>
    <w:rsid w:val="00052DFC"/>
    <w:rsid w:val="000532A4"/>
    <w:rsid w:val="0005367D"/>
    <w:rsid w:val="00054324"/>
    <w:rsid w:val="000545FF"/>
    <w:rsid w:val="0005544B"/>
    <w:rsid w:val="00060BFA"/>
    <w:rsid w:val="0006314C"/>
    <w:rsid w:val="00063316"/>
    <w:rsid w:val="00064B6E"/>
    <w:rsid w:val="0006730C"/>
    <w:rsid w:val="00072DF1"/>
    <w:rsid w:val="00076A59"/>
    <w:rsid w:val="00081E21"/>
    <w:rsid w:val="00084814"/>
    <w:rsid w:val="000910C8"/>
    <w:rsid w:val="00091571"/>
    <w:rsid w:val="00092CA5"/>
    <w:rsid w:val="00092F47"/>
    <w:rsid w:val="0009369F"/>
    <w:rsid w:val="00093DDE"/>
    <w:rsid w:val="00093E2A"/>
    <w:rsid w:val="000975C7"/>
    <w:rsid w:val="000A2CEF"/>
    <w:rsid w:val="000A3F46"/>
    <w:rsid w:val="000A414C"/>
    <w:rsid w:val="000A450B"/>
    <w:rsid w:val="000A4985"/>
    <w:rsid w:val="000A7750"/>
    <w:rsid w:val="000A797E"/>
    <w:rsid w:val="000B3914"/>
    <w:rsid w:val="000B3D76"/>
    <w:rsid w:val="000B487D"/>
    <w:rsid w:val="000B7F92"/>
    <w:rsid w:val="000C168E"/>
    <w:rsid w:val="000C4723"/>
    <w:rsid w:val="000C5637"/>
    <w:rsid w:val="000C65D0"/>
    <w:rsid w:val="000D11A1"/>
    <w:rsid w:val="000D22AF"/>
    <w:rsid w:val="000D234F"/>
    <w:rsid w:val="000D2AB1"/>
    <w:rsid w:val="000D5FD7"/>
    <w:rsid w:val="000D6E5A"/>
    <w:rsid w:val="000E2F76"/>
    <w:rsid w:val="000E43F5"/>
    <w:rsid w:val="000E4644"/>
    <w:rsid w:val="000F1964"/>
    <w:rsid w:val="000F1D5D"/>
    <w:rsid w:val="000F4047"/>
    <w:rsid w:val="0010043D"/>
    <w:rsid w:val="00102563"/>
    <w:rsid w:val="0010283B"/>
    <w:rsid w:val="001042B0"/>
    <w:rsid w:val="00104B28"/>
    <w:rsid w:val="00105386"/>
    <w:rsid w:val="00114272"/>
    <w:rsid w:val="00117162"/>
    <w:rsid w:val="00117F6E"/>
    <w:rsid w:val="0012432F"/>
    <w:rsid w:val="00126E3C"/>
    <w:rsid w:val="00131796"/>
    <w:rsid w:val="00143514"/>
    <w:rsid w:val="0014447E"/>
    <w:rsid w:val="001457EB"/>
    <w:rsid w:val="001468F5"/>
    <w:rsid w:val="00146943"/>
    <w:rsid w:val="0015192C"/>
    <w:rsid w:val="00151BD3"/>
    <w:rsid w:val="00152EC9"/>
    <w:rsid w:val="00156BDF"/>
    <w:rsid w:val="00162A07"/>
    <w:rsid w:val="00163B22"/>
    <w:rsid w:val="0016657B"/>
    <w:rsid w:val="00166944"/>
    <w:rsid w:val="00170806"/>
    <w:rsid w:val="001713BA"/>
    <w:rsid w:val="00172EF3"/>
    <w:rsid w:val="00172FD9"/>
    <w:rsid w:val="00182C5B"/>
    <w:rsid w:val="00193ED9"/>
    <w:rsid w:val="00195537"/>
    <w:rsid w:val="0019739C"/>
    <w:rsid w:val="001A5E9C"/>
    <w:rsid w:val="001A6BF9"/>
    <w:rsid w:val="001A7110"/>
    <w:rsid w:val="001A7EB9"/>
    <w:rsid w:val="001C0C36"/>
    <w:rsid w:val="001C5A87"/>
    <w:rsid w:val="001C7CDD"/>
    <w:rsid w:val="001D145E"/>
    <w:rsid w:val="001D2269"/>
    <w:rsid w:val="001D2AF7"/>
    <w:rsid w:val="001D4228"/>
    <w:rsid w:val="001D454A"/>
    <w:rsid w:val="001D5A11"/>
    <w:rsid w:val="001D5D4B"/>
    <w:rsid w:val="001D7790"/>
    <w:rsid w:val="001E115F"/>
    <w:rsid w:val="001E3238"/>
    <w:rsid w:val="001E4495"/>
    <w:rsid w:val="001E4E69"/>
    <w:rsid w:val="001E6A2F"/>
    <w:rsid w:val="001E712D"/>
    <w:rsid w:val="001E74E2"/>
    <w:rsid w:val="001F1717"/>
    <w:rsid w:val="001F1EBF"/>
    <w:rsid w:val="001F1ECD"/>
    <w:rsid w:val="001F2DBE"/>
    <w:rsid w:val="001F4367"/>
    <w:rsid w:val="001F5E62"/>
    <w:rsid w:val="001F78E1"/>
    <w:rsid w:val="00201B62"/>
    <w:rsid w:val="00202BBB"/>
    <w:rsid w:val="002033E5"/>
    <w:rsid w:val="0020407A"/>
    <w:rsid w:val="00204707"/>
    <w:rsid w:val="00205CE6"/>
    <w:rsid w:val="00210F0E"/>
    <w:rsid w:val="00210F67"/>
    <w:rsid w:val="00214B34"/>
    <w:rsid w:val="00222017"/>
    <w:rsid w:val="00222861"/>
    <w:rsid w:val="002232AE"/>
    <w:rsid w:val="0022727A"/>
    <w:rsid w:val="0023308E"/>
    <w:rsid w:val="00234AFC"/>
    <w:rsid w:val="00234CCF"/>
    <w:rsid w:val="00236832"/>
    <w:rsid w:val="0023693C"/>
    <w:rsid w:val="00240586"/>
    <w:rsid w:val="00244123"/>
    <w:rsid w:val="00246764"/>
    <w:rsid w:val="00247985"/>
    <w:rsid w:val="00252CFC"/>
    <w:rsid w:val="0025303A"/>
    <w:rsid w:val="00253501"/>
    <w:rsid w:val="00254353"/>
    <w:rsid w:val="00263328"/>
    <w:rsid w:val="00265B8C"/>
    <w:rsid w:val="0026633A"/>
    <w:rsid w:val="00272261"/>
    <w:rsid w:val="00272D1C"/>
    <w:rsid w:val="0027524C"/>
    <w:rsid w:val="002800B0"/>
    <w:rsid w:val="002800EA"/>
    <w:rsid w:val="00283388"/>
    <w:rsid w:val="00283477"/>
    <w:rsid w:val="00286401"/>
    <w:rsid w:val="00295F75"/>
    <w:rsid w:val="002973B4"/>
    <w:rsid w:val="00297B55"/>
    <w:rsid w:val="002A03CB"/>
    <w:rsid w:val="002A0943"/>
    <w:rsid w:val="002A20AC"/>
    <w:rsid w:val="002A511A"/>
    <w:rsid w:val="002A5580"/>
    <w:rsid w:val="002B2009"/>
    <w:rsid w:val="002B4873"/>
    <w:rsid w:val="002C00D2"/>
    <w:rsid w:val="002C22A6"/>
    <w:rsid w:val="002C2B98"/>
    <w:rsid w:val="002C4607"/>
    <w:rsid w:val="002D0485"/>
    <w:rsid w:val="002D2F9F"/>
    <w:rsid w:val="002D3400"/>
    <w:rsid w:val="002D423D"/>
    <w:rsid w:val="002D5541"/>
    <w:rsid w:val="002D5703"/>
    <w:rsid w:val="002D6685"/>
    <w:rsid w:val="002D6DF3"/>
    <w:rsid w:val="002D6EB7"/>
    <w:rsid w:val="002E4C0A"/>
    <w:rsid w:val="002E68DA"/>
    <w:rsid w:val="002F1EA2"/>
    <w:rsid w:val="002F42F8"/>
    <w:rsid w:val="002F4CF7"/>
    <w:rsid w:val="002F76A6"/>
    <w:rsid w:val="002F76DB"/>
    <w:rsid w:val="00300DC4"/>
    <w:rsid w:val="00302CC2"/>
    <w:rsid w:val="003048D2"/>
    <w:rsid w:val="00304D61"/>
    <w:rsid w:val="003050A0"/>
    <w:rsid w:val="00307435"/>
    <w:rsid w:val="0031081A"/>
    <w:rsid w:val="00311B2F"/>
    <w:rsid w:val="00312DF5"/>
    <w:rsid w:val="00314917"/>
    <w:rsid w:val="00314ADE"/>
    <w:rsid w:val="00321052"/>
    <w:rsid w:val="003211ED"/>
    <w:rsid w:val="00322B71"/>
    <w:rsid w:val="0032475A"/>
    <w:rsid w:val="00325AE1"/>
    <w:rsid w:val="00327973"/>
    <w:rsid w:val="00333285"/>
    <w:rsid w:val="0033495A"/>
    <w:rsid w:val="00335823"/>
    <w:rsid w:val="00336A16"/>
    <w:rsid w:val="00336D56"/>
    <w:rsid w:val="00340FFB"/>
    <w:rsid w:val="00341991"/>
    <w:rsid w:val="003469BA"/>
    <w:rsid w:val="00357718"/>
    <w:rsid w:val="00357B6C"/>
    <w:rsid w:val="00360AF2"/>
    <w:rsid w:val="0036123F"/>
    <w:rsid w:val="0036188E"/>
    <w:rsid w:val="00361FD7"/>
    <w:rsid w:val="0036202A"/>
    <w:rsid w:val="003631AB"/>
    <w:rsid w:val="003634F1"/>
    <w:rsid w:val="00364A54"/>
    <w:rsid w:val="00366554"/>
    <w:rsid w:val="003732AD"/>
    <w:rsid w:val="00374460"/>
    <w:rsid w:val="0038035F"/>
    <w:rsid w:val="00390D76"/>
    <w:rsid w:val="003920AA"/>
    <w:rsid w:val="0039349B"/>
    <w:rsid w:val="00395050"/>
    <w:rsid w:val="00396CE1"/>
    <w:rsid w:val="00396D63"/>
    <w:rsid w:val="003979B4"/>
    <w:rsid w:val="003A087E"/>
    <w:rsid w:val="003A1846"/>
    <w:rsid w:val="003B5803"/>
    <w:rsid w:val="003C34AC"/>
    <w:rsid w:val="003C4583"/>
    <w:rsid w:val="003C7697"/>
    <w:rsid w:val="003D4901"/>
    <w:rsid w:val="003D703D"/>
    <w:rsid w:val="003E0863"/>
    <w:rsid w:val="003E0A8B"/>
    <w:rsid w:val="003E331F"/>
    <w:rsid w:val="003F03C4"/>
    <w:rsid w:val="003F222D"/>
    <w:rsid w:val="003F4E4B"/>
    <w:rsid w:val="003F511B"/>
    <w:rsid w:val="003F7C8F"/>
    <w:rsid w:val="004056AF"/>
    <w:rsid w:val="00406E7A"/>
    <w:rsid w:val="0040789A"/>
    <w:rsid w:val="00412F95"/>
    <w:rsid w:val="00413966"/>
    <w:rsid w:val="004177B6"/>
    <w:rsid w:val="0042108E"/>
    <w:rsid w:val="00423C33"/>
    <w:rsid w:val="004242FF"/>
    <w:rsid w:val="00425B9F"/>
    <w:rsid w:val="004265A6"/>
    <w:rsid w:val="00426B3A"/>
    <w:rsid w:val="00427851"/>
    <w:rsid w:val="00430145"/>
    <w:rsid w:val="0043291C"/>
    <w:rsid w:val="00432EF9"/>
    <w:rsid w:val="004339BA"/>
    <w:rsid w:val="004410CC"/>
    <w:rsid w:val="0044196C"/>
    <w:rsid w:val="0044242C"/>
    <w:rsid w:val="00442574"/>
    <w:rsid w:val="00445A7D"/>
    <w:rsid w:val="00445CF4"/>
    <w:rsid w:val="00447A5E"/>
    <w:rsid w:val="004524E2"/>
    <w:rsid w:val="00454B78"/>
    <w:rsid w:val="00457B1B"/>
    <w:rsid w:val="004602A9"/>
    <w:rsid w:val="00460542"/>
    <w:rsid w:val="00460AC3"/>
    <w:rsid w:val="004630CE"/>
    <w:rsid w:val="00464455"/>
    <w:rsid w:val="004700E2"/>
    <w:rsid w:val="00470679"/>
    <w:rsid w:val="00471832"/>
    <w:rsid w:val="00471C93"/>
    <w:rsid w:val="00474BFF"/>
    <w:rsid w:val="00475919"/>
    <w:rsid w:val="0048066A"/>
    <w:rsid w:val="004821B4"/>
    <w:rsid w:val="00483FBA"/>
    <w:rsid w:val="00484A7F"/>
    <w:rsid w:val="00486195"/>
    <w:rsid w:val="004879B0"/>
    <w:rsid w:val="00487BF0"/>
    <w:rsid w:val="0049022B"/>
    <w:rsid w:val="0049048A"/>
    <w:rsid w:val="004940CB"/>
    <w:rsid w:val="004942D5"/>
    <w:rsid w:val="00496F7A"/>
    <w:rsid w:val="004A0010"/>
    <w:rsid w:val="004A44DA"/>
    <w:rsid w:val="004B2679"/>
    <w:rsid w:val="004B3482"/>
    <w:rsid w:val="004C0CB9"/>
    <w:rsid w:val="004C52C1"/>
    <w:rsid w:val="004C6066"/>
    <w:rsid w:val="004C61E4"/>
    <w:rsid w:val="004C771F"/>
    <w:rsid w:val="004D0161"/>
    <w:rsid w:val="004D2DDF"/>
    <w:rsid w:val="004D2DE8"/>
    <w:rsid w:val="004D3A39"/>
    <w:rsid w:val="004D5104"/>
    <w:rsid w:val="004D6526"/>
    <w:rsid w:val="004E352B"/>
    <w:rsid w:val="004E35D3"/>
    <w:rsid w:val="004E3FEA"/>
    <w:rsid w:val="004E4879"/>
    <w:rsid w:val="004E490D"/>
    <w:rsid w:val="004E63A9"/>
    <w:rsid w:val="004E6B59"/>
    <w:rsid w:val="004F01FD"/>
    <w:rsid w:val="004F2346"/>
    <w:rsid w:val="004F2590"/>
    <w:rsid w:val="004F35C3"/>
    <w:rsid w:val="004F3B5F"/>
    <w:rsid w:val="004F3FF4"/>
    <w:rsid w:val="004F66FF"/>
    <w:rsid w:val="00500545"/>
    <w:rsid w:val="00500F2F"/>
    <w:rsid w:val="005034D9"/>
    <w:rsid w:val="00505175"/>
    <w:rsid w:val="005051F8"/>
    <w:rsid w:val="005056C2"/>
    <w:rsid w:val="0051373B"/>
    <w:rsid w:val="00514EEE"/>
    <w:rsid w:val="005158BE"/>
    <w:rsid w:val="00515924"/>
    <w:rsid w:val="005160BB"/>
    <w:rsid w:val="00517303"/>
    <w:rsid w:val="00521D68"/>
    <w:rsid w:val="00524F86"/>
    <w:rsid w:val="00525477"/>
    <w:rsid w:val="0052612C"/>
    <w:rsid w:val="00531098"/>
    <w:rsid w:val="00531C1A"/>
    <w:rsid w:val="00531FA6"/>
    <w:rsid w:val="00536ADC"/>
    <w:rsid w:val="00537250"/>
    <w:rsid w:val="00541BEE"/>
    <w:rsid w:val="00542C2F"/>
    <w:rsid w:val="00542D0F"/>
    <w:rsid w:val="0054740E"/>
    <w:rsid w:val="00553A02"/>
    <w:rsid w:val="0055458F"/>
    <w:rsid w:val="00555035"/>
    <w:rsid w:val="00560B50"/>
    <w:rsid w:val="005612E4"/>
    <w:rsid w:val="00564779"/>
    <w:rsid w:val="0056733B"/>
    <w:rsid w:val="005701D3"/>
    <w:rsid w:val="005706DC"/>
    <w:rsid w:val="00571E08"/>
    <w:rsid w:val="0057346E"/>
    <w:rsid w:val="00573B14"/>
    <w:rsid w:val="00577071"/>
    <w:rsid w:val="00584702"/>
    <w:rsid w:val="00585EDC"/>
    <w:rsid w:val="005865FE"/>
    <w:rsid w:val="0058671D"/>
    <w:rsid w:val="005902B1"/>
    <w:rsid w:val="00594355"/>
    <w:rsid w:val="00594461"/>
    <w:rsid w:val="005961DA"/>
    <w:rsid w:val="0059706B"/>
    <w:rsid w:val="00597FFA"/>
    <w:rsid w:val="005A0259"/>
    <w:rsid w:val="005A0C9F"/>
    <w:rsid w:val="005B0736"/>
    <w:rsid w:val="005B35A7"/>
    <w:rsid w:val="005B3DF7"/>
    <w:rsid w:val="005B4BA0"/>
    <w:rsid w:val="005B4C50"/>
    <w:rsid w:val="005B4F7A"/>
    <w:rsid w:val="005B5285"/>
    <w:rsid w:val="005B7196"/>
    <w:rsid w:val="005C19B7"/>
    <w:rsid w:val="005C1DF9"/>
    <w:rsid w:val="005C35FD"/>
    <w:rsid w:val="005C3BE0"/>
    <w:rsid w:val="005C3F3D"/>
    <w:rsid w:val="005C56F5"/>
    <w:rsid w:val="005D2A35"/>
    <w:rsid w:val="005D36BE"/>
    <w:rsid w:val="005E2953"/>
    <w:rsid w:val="005E3657"/>
    <w:rsid w:val="005E789A"/>
    <w:rsid w:val="005E7DA9"/>
    <w:rsid w:val="005F1E06"/>
    <w:rsid w:val="005F5552"/>
    <w:rsid w:val="005F6E8B"/>
    <w:rsid w:val="005F7566"/>
    <w:rsid w:val="00600A19"/>
    <w:rsid w:val="00601063"/>
    <w:rsid w:val="00601326"/>
    <w:rsid w:val="00604614"/>
    <w:rsid w:val="00604A26"/>
    <w:rsid w:val="00607224"/>
    <w:rsid w:val="00612421"/>
    <w:rsid w:val="00615BA6"/>
    <w:rsid w:val="00616F52"/>
    <w:rsid w:val="00617265"/>
    <w:rsid w:val="00617C29"/>
    <w:rsid w:val="00617F03"/>
    <w:rsid w:val="00624323"/>
    <w:rsid w:val="00624850"/>
    <w:rsid w:val="0062524F"/>
    <w:rsid w:val="006273CA"/>
    <w:rsid w:val="006329EB"/>
    <w:rsid w:val="00634AD2"/>
    <w:rsid w:val="0063574A"/>
    <w:rsid w:val="00637EAC"/>
    <w:rsid w:val="0064047E"/>
    <w:rsid w:val="006404A2"/>
    <w:rsid w:val="00640CB7"/>
    <w:rsid w:val="00646925"/>
    <w:rsid w:val="00646AB9"/>
    <w:rsid w:val="0064761B"/>
    <w:rsid w:val="00651C6A"/>
    <w:rsid w:val="00655812"/>
    <w:rsid w:val="006558A1"/>
    <w:rsid w:val="006569A7"/>
    <w:rsid w:val="00657BC9"/>
    <w:rsid w:val="00662459"/>
    <w:rsid w:val="00663941"/>
    <w:rsid w:val="00663B01"/>
    <w:rsid w:val="006701D9"/>
    <w:rsid w:val="0067265B"/>
    <w:rsid w:val="00673161"/>
    <w:rsid w:val="00674235"/>
    <w:rsid w:val="006748CD"/>
    <w:rsid w:val="0068021E"/>
    <w:rsid w:val="006807C8"/>
    <w:rsid w:val="00680B09"/>
    <w:rsid w:val="00682ADB"/>
    <w:rsid w:val="0068369A"/>
    <w:rsid w:val="006864A2"/>
    <w:rsid w:val="006877BA"/>
    <w:rsid w:val="0069260B"/>
    <w:rsid w:val="006940CA"/>
    <w:rsid w:val="00695B94"/>
    <w:rsid w:val="0069719A"/>
    <w:rsid w:val="00697BC8"/>
    <w:rsid w:val="006A0728"/>
    <w:rsid w:val="006A1856"/>
    <w:rsid w:val="006A2EF2"/>
    <w:rsid w:val="006A733F"/>
    <w:rsid w:val="006A7833"/>
    <w:rsid w:val="006A7D82"/>
    <w:rsid w:val="006B0C26"/>
    <w:rsid w:val="006B0F8F"/>
    <w:rsid w:val="006B45DD"/>
    <w:rsid w:val="006B47F0"/>
    <w:rsid w:val="006C074C"/>
    <w:rsid w:val="006C1BDC"/>
    <w:rsid w:val="006C222B"/>
    <w:rsid w:val="006C7C7C"/>
    <w:rsid w:val="006D0B47"/>
    <w:rsid w:val="006D2F23"/>
    <w:rsid w:val="006D384F"/>
    <w:rsid w:val="006D5395"/>
    <w:rsid w:val="006D69EE"/>
    <w:rsid w:val="006D7EBB"/>
    <w:rsid w:val="006E047E"/>
    <w:rsid w:val="006E109A"/>
    <w:rsid w:val="006E1CA2"/>
    <w:rsid w:val="006E447C"/>
    <w:rsid w:val="006E5AD1"/>
    <w:rsid w:val="006F2950"/>
    <w:rsid w:val="006F42C9"/>
    <w:rsid w:val="006F5B07"/>
    <w:rsid w:val="006F5FE3"/>
    <w:rsid w:val="006F742F"/>
    <w:rsid w:val="006F7A23"/>
    <w:rsid w:val="0070117F"/>
    <w:rsid w:val="00702FAC"/>
    <w:rsid w:val="0070695B"/>
    <w:rsid w:val="00706961"/>
    <w:rsid w:val="00710C41"/>
    <w:rsid w:val="007178DE"/>
    <w:rsid w:val="007206AD"/>
    <w:rsid w:val="00720DBB"/>
    <w:rsid w:val="007211D3"/>
    <w:rsid w:val="007213E9"/>
    <w:rsid w:val="007213EB"/>
    <w:rsid w:val="00721A1F"/>
    <w:rsid w:val="00722254"/>
    <w:rsid w:val="00724139"/>
    <w:rsid w:val="00736A88"/>
    <w:rsid w:val="0074391A"/>
    <w:rsid w:val="0074579B"/>
    <w:rsid w:val="007513B0"/>
    <w:rsid w:val="0075142D"/>
    <w:rsid w:val="007554E8"/>
    <w:rsid w:val="00761EEB"/>
    <w:rsid w:val="007621BB"/>
    <w:rsid w:val="00763E50"/>
    <w:rsid w:val="00771D15"/>
    <w:rsid w:val="00772589"/>
    <w:rsid w:val="00774DBD"/>
    <w:rsid w:val="00775BE8"/>
    <w:rsid w:val="0077646D"/>
    <w:rsid w:val="0078015D"/>
    <w:rsid w:val="0078017D"/>
    <w:rsid w:val="00780400"/>
    <w:rsid w:val="00782106"/>
    <w:rsid w:val="00782CD4"/>
    <w:rsid w:val="007846ED"/>
    <w:rsid w:val="00785B88"/>
    <w:rsid w:val="00785BA5"/>
    <w:rsid w:val="00785DC7"/>
    <w:rsid w:val="00791502"/>
    <w:rsid w:val="00794A1E"/>
    <w:rsid w:val="00795C46"/>
    <w:rsid w:val="00796637"/>
    <w:rsid w:val="00796764"/>
    <w:rsid w:val="0079779D"/>
    <w:rsid w:val="007A1045"/>
    <w:rsid w:val="007A586A"/>
    <w:rsid w:val="007B0ED1"/>
    <w:rsid w:val="007B30BC"/>
    <w:rsid w:val="007B3A5C"/>
    <w:rsid w:val="007B5642"/>
    <w:rsid w:val="007B5778"/>
    <w:rsid w:val="007B6ACA"/>
    <w:rsid w:val="007C1DDB"/>
    <w:rsid w:val="007C2750"/>
    <w:rsid w:val="007C685E"/>
    <w:rsid w:val="007C721D"/>
    <w:rsid w:val="007D053C"/>
    <w:rsid w:val="007D2605"/>
    <w:rsid w:val="007D3CE7"/>
    <w:rsid w:val="007D3D80"/>
    <w:rsid w:val="007D5CE5"/>
    <w:rsid w:val="007D7388"/>
    <w:rsid w:val="007E0245"/>
    <w:rsid w:val="007E3CBE"/>
    <w:rsid w:val="007E4952"/>
    <w:rsid w:val="007E4F3C"/>
    <w:rsid w:val="007E679F"/>
    <w:rsid w:val="007E77D7"/>
    <w:rsid w:val="007E7A78"/>
    <w:rsid w:val="007F0F52"/>
    <w:rsid w:val="007F45E3"/>
    <w:rsid w:val="008022C5"/>
    <w:rsid w:val="008026C8"/>
    <w:rsid w:val="0080278B"/>
    <w:rsid w:val="00802B1D"/>
    <w:rsid w:val="008038BD"/>
    <w:rsid w:val="00805048"/>
    <w:rsid w:val="00805E98"/>
    <w:rsid w:val="0080619C"/>
    <w:rsid w:val="0080724E"/>
    <w:rsid w:val="00807EA0"/>
    <w:rsid w:val="00813CB0"/>
    <w:rsid w:val="00816466"/>
    <w:rsid w:val="00820F9A"/>
    <w:rsid w:val="00823528"/>
    <w:rsid w:val="00826869"/>
    <w:rsid w:val="00832121"/>
    <w:rsid w:val="00832843"/>
    <w:rsid w:val="00835031"/>
    <w:rsid w:val="008373A3"/>
    <w:rsid w:val="008402B6"/>
    <w:rsid w:val="0084038C"/>
    <w:rsid w:val="008414F1"/>
    <w:rsid w:val="00843601"/>
    <w:rsid w:val="00843C27"/>
    <w:rsid w:val="00844982"/>
    <w:rsid w:val="00844A63"/>
    <w:rsid w:val="0085395A"/>
    <w:rsid w:val="00854C2A"/>
    <w:rsid w:val="008552C9"/>
    <w:rsid w:val="00857439"/>
    <w:rsid w:val="008576B4"/>
    <w:rsid w:val="00862928"/>
    <w:rsid w:val="00864D3E"/>
    <w:rsid w:val="00867599"/>
    <w:rsid w:val="008759B2"/>
    <w:rsid w:val="00875C0A"/>
    <w:rsid w:val="00876DA2"/>
    <w:rsid w:val="00877CC8"/>
    <w:rsid w:val="00881F59"/>
    <w:rsid w:val="0088289F"/>
    <w:rsid w:val="00884182"/>
    <w:rsid w:val="008854E5"/>
    <w:rsid w:val="008860BB"/>
    <w:rsid w:val="00886992"/>
    <w:rsid w:val="00886BA7"/>
    <w:rsid w:val="008878ED"/>
    <w:rsid w:val="008901E0"/>
    <w:rsid w:val="00890E65"/>
    <w:rsid w:val="00891816"/>
    <w:rsid w:val="00892727"/>
    <w:rsid w:val="00892A37"/>
    <w:rsid w:val="00894C99"/>
    <w:rsid w:val="0089770B"/>
    <w:rsid w:val="008A04C9"/>
    <w:rsid w:val="008A1A9A"/>
    <w:rsid w:val="008A3283"/>
    <w:rsid w:val="008A3D56"/>
    <w:rsid w:val="008B1069"/>
    <w:rsid w:val="008B599A"/>
    <w:rsid w:val="008B60EA"/>
    <w:rsid w:val="008C292D"/>
    <w:rsid w:val="008C424A"/>
    <w:rsid w:val="008C64C4"/>
    <w:rsid w:val="008C78BE"/>
    <w:rsid w:val="008C7D0A"/>
    <w:rsid w:val="008D064F"/>
    <w:rsid w:val="008D21AC"/>
    <w:rsid w:val="008D2F44"/>
    <w:rsid w:val="008D5910"/>
    <w:rsid w:val="008D6A79"/>
    <w:rsid w:val="008D7285"/>
    <w:rsid w:val="008E3FD8"/>
    <w:rsid w:val="00901375"/>
    <w:rsid w:val="00902B4E"/>
    <w:rsid w:val="00907553"/>
    <w:rsid w:val="00907E7B"/>
    <w:rsid w:val="00914BBD"/>
    <w:rsid w:val="0091508D"/>
    <w:rsid w:val="009164DB"/>
    <w:rsid w:val="00917170"/>
    <w:rsid w:val="0092223D"/>
    <w:rsid w:val="00924BC3"/>
    <w:rsid w:val="00925FC6"/>
    <w:rsid w:val="0092713D"/>
    <w:rsid w:val="009272A5"/>
    <w:rsid w:val="009331EB"/>
    <w:rsid w:val="00934511"/>
    <w:rsid w:val="009358A0"/>
    <w:rsid w:val="00935C65"/>
    <w:rsid w:val="0094061B"/>
    <w:rsid w:val="00941F52"/>
    <w:rsid w:val="00942465"/>
    <w:rsid w:val="0094407F"/>
    <w:rsid w:val="00945899"/>
    <w:rsid w:val="009521A5"/>
    <w:rsid w:val="00952F62"/>
    <w:rsid w:val="009530F3"/>
    <w:rsid w:val="009555C9"/>
    <w:rsid w:val="00956855"/>
    <w:rsid w:val="00957E12"/>
    <w:rsid w:val="00962E3B"/>
    <w:rsid w:val="00964FC1"/>
    <w:rsid w:val="00966B76"/>
    <w:rsid w:val="00967A0A"/>
    <w:rsid w:val="00975322"/>
    <w:rsid w:val="009758AD"/>
    <w:rsid w:val="00976C64"/>
    <w:rsid w:val="00981281"/>
    <w:rsid w:val="00981FEB"/>
    <w:rsid w:val="009823FD"/>
    <w:rsid w:val="009860DB"/>
    <w:rsid w:val="009868A8"/>
    <w:rsid w:val="00986975"/>
    <w:rsid w:val="00987076"/>
    <w:rsid w:val="00990201"/>
    <w:rsid w:val="00992F38"/>
    <w:rsid w:val="00993AFD"/>
    <w:rsid w:val="009949E7"/>
    <w:rsid w:val="00994BD7"/>
    <w:rsid w:val="009A0D6B"/>
    <w:rsid w:val="009A3D20"/>
    <w:rsid w:val="009A676F"/>
    <w:rsid w:val="009B0DB0"/>
    <w:rsid w:val="009B3922"/>
    <w:rsid w:val="009B590D"/>
    <w:rsid w:val="009B78E2"/>
    <w:rsid w:val="009C4487"/>
    <w:rsid w:val="009C54DD"/>
    <w:rsid w:val="009C74CE"/>
    <w:rsid w:val="009D1BC3"/>
    <w:rsid w:val="009D2379"/>
    <w:rsid w:val="009D2BD0"/>
    <w:rsid w:val="009D4EFF"/>
    <w:rsid w:val="009D67DA"/>
    <w:rsid w:val="009D6C73"/>
    <w:rsid w:val="009D7AEB"/>
    <w:rsid w:val="009E1CD1"/>
    <w:rsid w:val="009E210C"/>
    <w:rsid w:val="009E617D"/>
    <w:rsid w:val="009F3918"/>
    <w:rsid w:val="00A011AD"/>
    <w:rsid w:val="00A01CA2"/>
    <w:rsid w:val="00A0416F"/>
    <w:rsid w:val="00A05068"/>
    <w:rsid w:val="00A054AA"/>
    <w:rsid w:val="00A1139A"/>
    <w:rsid w:val="00A113DC"/>
    <w:rsid w:val="00A1546D"/>
    <w:rsid w:val="00A15AC0"/>
    <w:rsid w:val="00A16643"/>
    <w:rsid w:val="00A16748"/>
    <w:rsid w:val="00A16C3F"/>
    <w:rsid w:val="00A204E4"/>
    <w:rsid w:val="00A22BB5"/>
    <w:rsid w:val="00A24CCE"/>
    <w:rsid w:val="00A27113"/>
    <w:rsid w:val="00A31E5E"/>
    <w:rsid w:val="00A31FFE"/>
    <w:rsid w:val="00A34154"/>
    <w:rsid w:val="00A342E8"/>
    <w:rsid w:val="00A36425"/>
    <w:rsid w:val="00A41F18"/>
    <w:rsid w:val="00A42548"/>
    <w:rsid w:val="00A43E2C"/>
    <w:rsid w:val="00A44323"/>
    <w:rsid w:val="00A447A8"/>
    <w:rsid w:val="00A47463"/>
    <w:rsid w:val="00A50166"/>
    <w:rsid w:val="00A544FD"/>
    <w:rsid w:val="00A632CA"/>
    <w:rsid w:val="00A64E01"/>
    <w:rsid w:val="00A64EEC"/>
    <w:rsid w:val="00A7165F"/>
    <w:rsid w:val="00A7252F"/>
    <w:rsid w:val="00A777CD"/>
    <w:rsid w:val="00A84588"/>
    <w:rsid w:val="00A8477D"/>
    <w:rsid w:val="00A84B11"/>
    <w:rsid w:val="00A90A64"/>
    <w:rsid w:val="00A926CD"/>
    <w:rsid w:val="00A93B6D"/>
    <w:rsid w:val="00A94E94"/>
    <w:rsid w:val="00A974AA"/>
    <w:rsid w:val="00AA164E"/>
    <w:rsid w:val="00AA1D2E"/>
    <w:rsid w:val="00AA3C9C"/>
    <w:rsid w:val="00AA4EFE"/>
    <w:rsid w:val="00AA60CA"/>
    <w:rsid w:val="00AB1452"/>
    <w:rsid w:val="00AB26FF"/>
    <w:rsid w:val="00AB4462"/>
    <w:rsid w:val="00AB45B2"/>
    <w:rsid w:val="00AB7513"/>
    <w:rsid w:val="00AC173B"/>
    <w:rsid w:val="00AC2F5D"/>
    <w:rsid w:val="00AC62CD"/>
    <w:rsid w:val="00AC68CD"/>
    <w:rsid w:val="00AD319D"/>
    <w:rsid w:val="00AD4615"/>
    <w:rsid w:val="00AD5BCA"/>
    <w:rsid w:val="00AF0546"/>
    <w:rsid w:val="00AF065E"/>
    <w:rsid w:val="00AF0CEA"/>
    <w:rsid w:val="00AF0E0B"/>
    <w:rsid w:val="00AF59C8"/>
    <w:rsid w:val="00AF64DD"/>
    <w:rsid w:val="00AF6821"/>
    <w:rsid w:val="00B00CAF"/>
    <w:rsid w:val="00B01FE6"/>
    <w:rsid w:val="00B02061"/>
    <w:rsid w:val="00B0212A"/>
    <w:rsid w:val="00B02495"/>
    <w:rsid w:val="00B029E4"/>
    <w:rsid w:val="00B04D2B"/>
    <w:rsid w:val="00B04EFA"/>
    <w:rsid w:val="00B055B3"/>
    <w:rsid w:val="00B076FF"/>
    <w:rsid w:val="00B078C0"/>
    <w:rsid w:val="00B107E7"/>
    <w:rsid w:val="00B1320E"/>
    <w:rsid w:val="00B16C19"/>
    <w:rsid w:val="00B171AC"/>
    <w:rsid w:val="00B17A7E"/>
    <w:rsid w:val="00B17CC5"/>
    <w:rsid w:val="00B23494"/>
    <w:rsid w:val="00B33411"/>
    <w:rsid w:val="00B3459F"/>
    <w:rsid w:val="00B36375"/>
    <w:rsid w:val="00B400DC"/>
    <w:rsid w:val="00B40142"/>
    <w:rsid w:val="00B40335"/>
    <w:rsid w:val="00B44864"/>
    <w:rsid w:val="00B4518B"/>
    <w:rsid w:val="00B4684B"/>
    <w:rsid w:val="00B47ED7"/>
    <w:rsid w:val="00B533DA"/>
    <w:rsid w:val="00B57CBF"/>
    <w:rsid w:val="00B65707"/>
    <w:rsid w:val="00B74A26"/>
    <w:rsid w:val="00B8188E"/>
    <w:rsid w:val="00B82393"/>
    <w:rsid w:val="00B8391A"/>
    <w:rsid w:val="00B83A93"/>
    <w:rsid w:val="00B84710"/>
    <w:rsid w:val="00B8489D"/>
    <w:rsid w:val="00B85FCD"/>
    <w:rsid w:val="00B9645C"/>
    <w:rsid w:val="00B978F1"/>
    <w:rsid w:val="00BA1A97"/>
    <w:rsid w:val="00BA4D75"/>
    <w:rsid w:val="00BA52CE"/>
    <w:rsid w:val="00BA684B"/>
    <w:rsid w:val="00BB0963"/>
    <w:rsid w:val="00BB59C1"/>
    <w:rsid w:val="00BB5C3A"/>
    <w:rsid w:val="00BB63E0"/>
    <w:rsid w:val="00BC03BA"/>
    <w:rsid w:val="00BC2488"/>
    <w:rsid w:val="00BC289C"/>
    <w:rsid w:val="00BC457E"/>
    <w:rsid w:val="00BC60E9"/>
    <w:rsid w:val="00BC679E"/>
    <w:rsid w:val="00BC74C2"/>
    <w:rsid w:val="00BD0877"/>
    <w:rsid w:val="00BD0B88"/>
    <w:rsid w:val="00BD0DA9"/>
    <w:rsid w:val="00BD32BB"/>
    <w:rsid w:val="00BD37A2"/>
    <w:rsid w:val="00BD3FD8"/>
    <w:rsid w:val="00BE07DB"/>
    <w:rsid w:val="00BF02AF"/>
    <w:rsid w:val="00BF3DAC"/>
    <w:rsid w:val="00C01197"/>
    <w:rsid w:val="00C07ACC"/>
    <w:rsid w:val="00C11E7A"/>
    <w:rsid w:val="00C149EF"/>
    <w:rsid w:val="00C203D4"/>
    <w:rsid w:val="00C22DF7"/>
    <w:rsid w:val="00C23040"/>
    <w:rsid w:val="00C27D03"/>
    <w:rsid w:val="00C301B1"/>
    <w:rsid w:val="00C3133F"/>
    <w:rsid w:val="00C31797"/>
    <w:rsid w:val="00C331D9"/>
    <w:rsid w:val="00C411D2"/>
    <w:rsid w:val="00C44C4D"/>
    <w:rsid w:val="00C47C05"/>
    <w:rsid w:val="00C47CC2"/>
    <w:rsid w:val="00C50297"/>
    <w:rsid w:val="00C50811"/>
    <w:rsid w:val="00C55936"/>
    <w:rsid w:val="00C57982"/>
    <w:rsid w:val="00C609DA"/>
    <w:rsid w:val="00C60F96"/>
    <w:rsid w:val="00C636DA"/>
    <w:rsid w:val="00C7044D"/>
    <w:rsid w:val="00C70670"/>
    <w:rsid w:val="00C7110D"/>
    <w:rsid w:val="00C7219D"/>
    <w:rsid w:val="00C72E02"/>
    <w:rsid w:val="00C76EA7"/>
    <w:rsid w:val="00C835A2"/>
    <w:rsid w:val="00C83CF1"/>
    <w:rsid w:val="00C84F4D"/>
    <w:rsid w:val="00C8512C"/>
    <w:rsid w:val="00C86B2E"/>
    <w:rsid w:val="00C86D1D"/>
    <w:rsid w:val="00C87D89"/>
    <w:rsid w:val="00C90733"/>
    <w:rsid w:val="00C93213"/>
    <w:rsid w:val="00C939DB"/>
    <w:rsid w:val="00C9422E"/>
    <w:rsid w:val="00C96166"/>
    <w:rsid w:val="00C96C2E"/>
    <w:rsid w:val="00C97CB6"/>
    <w:rsid w:val="00CA00FD"/>
    <w:rsid w:val="00CA4C39"/>
    <w:rsid w:val="00CA7417"/>
    <w:rsid w:val="00CB0E7B"/>
    <w:rsid w:val="00CB17A5"/>
    <w:rsid w:val="00CB19A1"/>
    <w:rsid w:val="00CB225C"/>
    <w:rsid w:val="00CB51D8"/>
    <w:rsid w:val="00CC05CB"/>
    <w:rsid w:val="00CC1CFF"/>
    <w:rsid w:val="00CD062E"/>
    <w:rsid w:val="00CD3D35"/>
    <w:rsid w:val="00CD5110"/>
    <w:rsid w:val="00CD5884"/>
    <w:rsid w:val="00CD593D"/>
    <w:rsid w:val="00CD5972"/>
    <w:rsid w:val="00CD5D26"/>
    <w:rsid w:val="00CE111A"/>
    <w:rsid w:val="00CE17E4"/>
    <w:rsid w:val="00CE18F3"/>
    <w:rsid w:val="00CE1F3B"/>
    <w:rsid w:val="00CE4CFF"/>
    <w:rsid w:val="00CF4DA3"/>
    <w:rsid w:val="00CF6966"/>
    <w:rsid w:val="00D00EB1"/>
    <w:rsid w:val="00D04E68"/>
    <w:rsid w:val="00D062B4"/>
    <w:rsid w:val="00D071E2"/>
    <w:rsid w:val="00D07812"/>
    <w:rsid w:val="00D10BA9"/>
    <w:rsid w:val="00D14CEC"/>
    <w:rsid w:val="00D15060"/>
    <w:rsid w:val="00D158C9"/>
    <w:rsid w:val="00D169F9"/>
    <w:rsid w:val="00D1719F"/>
    <w:rsid w:val="00D17F12"/>
    <w:rsid w:val="00D2043C"/>
    <w:rsid w:val="00D22A23"/>
    <w:rsid w:val="00D2643D"/>
    <w:rsid w:val="00D272C8"/>
    <w:rsid w:val="00D27478"/>
    <w:rsid w:val="00D35C20"/>
    <w:rsid w:val="00D3637F"/>
    <w:rsid w:val="00D410A6"/>
    <w:rsid w:val="00D5018A"/>
    <w:rsid w:val="00D50948"/>
    <w:rsid w:val="00D53CBF"/>
    <w:rsid w:val="00D551F2"/>
    <w:rsid w:val="00D56A59"/>
    <w:rsid w:val="00D57CD5"/>
    <w:rsid w:val="00D6730B"/>
    <w:rsid w:val="00D7150C"/>
    <w:rsid w:val="00D73789"/>
    <w:rsid w:val="00D74709"/>
    <w:rsid w:val="00D761B9"/>
    <w:rsid w:val="00D77176"/>
    <w:rsid w:val="00D77F0F"/>
    <w:rsid w:val="00D8148E"/>
    <w:rsid w:val="00D82040"/>
    <w:rsid w:val="00D82DA2"/>
    <w:rsid w:val="00D84390"/>
    <w:rsid w:val="00D85385"/>
    <w:rsid w:val="00D85962"/>
    <w:rsid w:val="00D90EB2"/>
    <w:rsid w:val="00D9579D"/>
    <w:rsid w:val="00D95ABF"/>
    <w:rsid w:val="00D962A5"/>
    <w:rsid w:val="00DA277C"/>
    <w:rsid w:val="00DA306C"/>
    <w:rsid w:val="00DA3A18"/>
    <w:rsid w:val="00DA3B73"/>
    <w:rsid w:val="00DA6717"/>
    <w:rsid w:val="00DA7047"/>
    <w:rsid w:val="00DB06CC"/>
    <w:rsid w:val="00DB274E"/>
    <w:rsid w:val="00DB308C"/>
    <w:rsid w:val="00DB35FF"/>
    <w:rsid w:val="00DB432A"/>
    <w:rsid w:val="00DC1E84"/>
    <w:rsid w:val="00DC4445"/>
    <w:rsid w:val="00DD42C2"/>
    <w:rsid w:val="00DD5B84"/>
    <w:rsid w:val="00DE0BB3"/>
    <w:rsid w:val="00DE5226"/>
    <w:rsid w:val="00DE54B1"/>
    <w:rsid w:val="00DE688E"/>
    <w:rsid w:val="00DE7583"/>
    <w:rsid w:val="00DF4536"/>
    <w:rsid w:val="00DF4C06"/>
    <w:rsid w:val="00DF6BC9"/>
    <w:rsid w:val="00E0176C"/>
    <w:rsid w:val="00E02853"/>
    <w:rsid w:val="00E034AB"/>
    <w:rsid w:val="00E04685"/>
    <w:rsid w:val="00E04E53"/>
    <w:rsid w:val="00E05C98"/>
    <w:rsid w:val="00E06F1E"/>
    <w:rsid w:val="00E1014D"/>
    <w:rsid w:val="00E11ADA"/>
    <w:rsid w:val="00E11F0A"/>
    <w:rsid w:val="00E13260"/>
    <w:rsid w:val="00E1365B"/>
    <w:rsid w:val="00E21FC9"/>
    <w:rsid w:val="00E231FD"/>
    <w:rsid w:val="00E27965"/>
    <w:rsid w:val="00E3007A"/>
    <w:rsid w:val="00E324EE"/>
    <w:rsid w:val="00E3423E"/>
    <w:rsid w:val="00E3452D"/>
    <w:rsid w:val="00E350A9"/>
    <w:rsid w:val="00E35F1F"/>
    <w:rsid w:val="00E36C4D"/>
    <w:rsid w:val="00E41C8F"/>
    <w:rsid w:val="00E420FD"/>
    <w:rsid w:val="00E433DA"/>
    <w:rsid w:val="00E45391"/>
    <w:rsid w:val="00E47992"/>
    <w:rsid w:val="00E511DA"/>
    <w:rsid w:val="00E558BB"/>
    <w:rsid w:val="00E57291"/>
    <w:rsid w:val="00E60FC3"/>
    <w:rsid w:val="00E658B3"/>
    <w:rsid w:val="00E678A5"/>
    <w:rsid w:val="00E67C47"/>
    <w:rsid w:val="00E67CE7"/>
    <w:rsid w:val="00E709E3"/>
    <w:rsid w:val="00E73862"/>
    <w:rsid w:val="00E74C2F"/>
    <w:rsid w:val="00E80A65"/>
    <w:rsid w:val="00E81D52"/>
    <w:rsid w:val="00E851E0"/>
    <w:rsid w:val="00E8565D"/>
    <w:rsid w:val="00E85CC1"/>
    <w:rsid w:val="00E9143B"/>
    <w:rsid w:val="00E94843"/>
    <w:rsid w:val="00EA0ADC"/>
    <w:rsid w:val="00EA517C"/>
    <w:rsid w:val="00EB11CE"/>
    <w:rsid w:val="00EB4212"/>
    <w:rsid w:val="00EB438E"/>
    <w:rsid w:val="00EB4E8F"/>
    <w:rsid w:val="00EC30F8"/>
    <w:rsid w:val="00EC7F81"/>
    <w:rsid w:val="00ED10FE"/>
    <w:rsid w:val="00ED1872"/>
    <w:rsid w:val="00ED3983"/>
    <w:rsid w:val="00ED4647"/>
    <w:rsid w:val="00ED4CAF"/>
    <w:rsid w:val="00ED6EBD"/>
    <w:rsid w:val="00EE0A11"/>
    <w:rsid w:val="00EE0D82"/>
    <w:rsid w:val="00EE0E8D"/>
    <w:rsid w:val="00EE1356"/>
    <w:rsid w:val="00EE4596"/>
    <w:rsid w:val="00EE5E77"/>
    <w:rsid w:val="00EE60D4"/>
    <w:rsid w:val="00EE6B57"/>
    <w:rsid w:val="00EF5450"/>
    <w:rsid w:val="00EF644B"/>
    <w:rsid w:val="00F004F0"/>
    <w:rsid w:val="00F015BB"/>
    <w:rsid w:val="00F064A6"/>
    <w:rsid w:val="00F071F7"/>
    <w:rsid w:val="00F0773F"/>
    <w:rsid w:val="00F100C9"/>
    <w:rsid w:val="00F10B65"/>
    <w:rsid w:val="00F12B3F"/>
    <w:rsid w:val="00F14AC2"/>
    <w:rsid w:val="00F15CA7"/>
    <w:rsid w:val="00F16221"/>
    <w:rsid w:val="00F20EF9"/>
    <w:rsid w:val="00F21BB8"/>
    <w:rsid w:val="00F2556F"/>
    <w:rsid w:val="00F304D9"/>
    <w:rsid w:val="00F374A0"/>
    <w:rsid w:val="00F37DF7"/>
    <w:rsid w:val="00F37EE1"/>
    <w:rsid w:val="00F4246E"/>
    <w:rsid w:val="00F434F2"/>
    <w:rsid w:val="00F447D4"/>
    <w:rsid w:val="00F44E8E"/>
    <w:rsid w:val="00F467D2"/>
    <w:rsid w:val="00F50629"/>
    <w:rsid w:val="00F518D1"/>
    <w:rsid w:val="00F54087"/>
    <w:rsid w:val="00F551AB"/>
    <w:rsid w:val="00F57666"/>
    <w:rsid w:val="00F60B36"/>
    <w:rsid w:val="00F6240A"/>
    <w:rsid w:val="00F64F50"/>
    <w:rsid w:val="00F67A1A"/>
    <w:rsid w:val="00F72B47"/>
    <w:rsid w:val="00F72B71"/>
    <w:rsid w:val="00F74113"/>
    <w:rsid w:val="00F74D13"/>
    <w:rsid w:val="00F77540"/>
    <w:rsid w:val="00F81485"/>
    <w:rsid w:val="00F82A10"/>
    <w:rsid w:val="00F85FC0"/>
    <w:rsid w:val="00F90AAB"/>
    <w:rsid w:val="00F913D9"/>
    <w:rsid w:val="00F91DAC"/>
    <w:rsid w:val="00F92C38"/>
    <w:rsid w:val="00F934E9"/>
    <w:rsid w:val="00F9528C"/>
    <w:rsid w:val="00F955D1"/>
    <w:rsid w:val="00F96466"/>
    <w:rsid w:val="00FA3FA9"/>
    <w:rsid w:val="00FA4BA4"/>
    <w:rsid w:val="00FA75BD"/>
    <w:rsid w:val="00FB29F0"/>
    <w:rsid w:val="00FC246F"/>
    <w:rsid w:val="00FC2FFF"/>
    <w:rsid w:val="00FC41D7"/>
    <w:rsid w:val="00FC59FF"/>
    <w:rsid w:val="00FC619B"/>
    <w:rsid w:val="00FC6203"/>
    <w:rsid w:val="00FC684C"/>
    <w:rsid w:val="00FD3BD1"/>
    <w:rsid w:val="00FD76AF"/>
    <w:rsid w:val="00FD7EAC"/>
    <w:rsid w:val="00FE0148"/>
    <w:rsid w:val="00FE2CEF"/>
    <w:rsid w:val="00FE568E"/>
    <w:rsid w:val="00FE5C1B"/>
    <w:rsid w:val="00FE6C97"/>
    <w:rsid w:val="00FF0116"/>
    <w:rsid w:val="00FF2570"/>
    <w:rsid w:val="00FF381A"/>
    <w:rsid w:val="00FF51B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FD81"/>
  <w15:chartTrackingRefBased/>
  <w15:docId w15:val="{D0FCB60C-6EFD-44BF-AF0D-2738754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4D"/>
  </w:style>
  <w:style w:type="paragraph" w:styleId="Heading1">
    <w:name w:val="heading 1"/>
    <w:basedOn w:val="Normal"/>
    <w:next w:val="Normal"/>
    <w:link w:val="Heading1Char"/>
    <w:uiPriority w:val="9"/>
    <w:qFormat/>
    <w:rsid w:val="00426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7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31796"/>
    <w:rPr>
      <w:rFonts w:ascii="Georgia" w:eastAsia="Times New Roman" w:hAnsi="Georgia" w:cs="Georgi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1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28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332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3285"/>
    <w:rPr>
      <w:rFonts w:ascii="Georgia" w:eastAsia="Times New Roman" w:hAnsi="Georgia" w:cs="Georg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3"/>
    <w:rPr>
      <w:rFonts w:ascii="Georgia" w:eastAsia="Times New Roman" w:hAnsi="Georgia" w:cs="Georgia"/>
      <w:sz w:val="20"/>
      <w:szCs w:val="2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CE18F3"/>
    <w:pPr>
      <w:widowControl w:val="0"/>
      <w:autoSpaceDE w:val="0"/>
      <w:autoSpaceDN w:val="0"/>
      <w:adjustRightInd w:val="0"/>
      <w:spacing w:before="112" w:after="0" w:line="240" w:lineRule="auto"/>
      <w:ind w:left="4339" w:hanging="450"/>
    </w:pPr>
    <w:rPr>
      <w:rFonts w:ascii="Georgia" w:eastAsia="Times New Roman" w:hAnsi="Georgia" w:cs="Georgia"/>
      <w:sz w:val="24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CE18F3"/>
    <w:rPr>
      <w:rFonts w:ascii="Georgia" w:eastAsia="Times New Roman" w:hAnsi="Georgia" w:cs="Georgia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E18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8F3"/>
    <w:rPr>
      <w:rFonts w:ascii="Georgia" w:eastAsia="Times New Roman" w:hAnsi="Georgia" w:cs="Georgia"/>
      <w:lang w:eastAsia="en-GB"/>
    </w:rPr>
  </w:style>
  <w:style w:type="paragraph" w:customStyle="1" w:styleId="xxxmsobodytext">
    <w:name w:val="x_xxmsobodytext"/>
    <w:basedOn w:val="Normal"/>
    <w:rsid w:val="00CE18F3"/>
    <w:pPr>
      <w:autoSpaceDE w:val="0"/>
      <w:autoSpaceDN w:val="0"/>
      <w:spacing w:after="0" w:line="240" w:lineRule="auto"/>
    </w:pPr>
    <w:rPr>
      <w:rFonts w:ascii="Georgia" w:hAnsi="Georgia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CE1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24"/>
  </w:style>
  <w:style w:type="paragraph" w:styleId="Footer">
    <w:name w:val="footer"/>
    <w:basedOn w:val="Normal"/>
    <w:link w:val="Foot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D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DC"/>
    <w:rPr>
      <w:rFonts w:ascii="Georgia" w:eastAsia="Times New Roman" w:hAnsi="Georgia" w:cs="Georgia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487BF0"/>
  </w:style>
  <w:style w:type="character" w:customStyle="1" w:styleId="Heading1Char">
    <w:name w:val="Heading 1 Char"/>
    <w:basedOn w:val="DefaultParagraphFont"/>
    <w:link w:val="Heading1"/>
    <w:uiPriority w:val="9"/>
    <w:rsid w:val="0042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5" ma:contentTypeDescription="Create a new document." ma:contentTypeScope="" ma:versionID="545a982f1cd419aeb2f53b494786b00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dc50cea662181382c26fd6f0e177658d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7C958-711B-4D2E-B764-56E580818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26FAE-9119-4F21-9AA5-2269CCC81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1BED2-A3B8-4DB1-88B3-034AFC0CEE70}">
  <ds:schemaRefs>
    <ds:schemaRef ds:uri="http://schemas.microsoft.com/office/2006/metadata/properties"/>
    <ds:schemaRef ds:uri="http://schemas.microsoft.com/office/infopath/2007/PartnerControls"/>
    <ds:schemaRef ds:uri="00bb3a5e-402d-49f1-8819-0c5909c4f47c"/>
  </ds:schemaRefs>
</ds:datastoreItem>
</file>

<file path=customXml/itemProps4.xml><?xml version="1.0" encoding="utf-8"?>
<ds:datastoreItem xmlns:ds="http://schemas.openxmlformats.org/officeDocument/2006/customXml" ds:itemID="{BD2EB3BE-BB41-4FAF-9994-505B87E1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Hendren (NHS GOLDEN JUBILEE)</dc:creator>
  <cp:keywords/>
  <dc:description/>
  <cp:lastModifiedBy>Nicki Hamer (NHS GOLDEN JUBILEE)</cp:lastModifiedBy>
  <cp:revision>3</cp:revision>
  <cp:lastPrinted>2025-05-23T08:08:00Z</cp:lastPrinted>
  <dcterms:created xsi:type="dcterms:W3CDTF">2025-05-28T06:25:00Z</dcterms:created>
  <dcterms:modified xsi:type="dcterms:W3CDTF">2025-05-28T06:26:00Z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