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E233"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72A6659" w14:textId="77777777" w:rsidR="00446219" w:rsidRDefault="00446219" w:rsidP="0003098A">
      <w:pPr>
        <w:pStyle w:val="Heading2"/>
        <w:rPr>
          <w:rStyle w:val="Heading3Char"/>
          <w:b/>
          <w:highlight w:val="lightGray"/>
        </w:rPr>
      </w:pPr>
    </w:p>
    <w:p w14:paraId="62783FF8" w14:textId="44D45844" w:rsidR="009807B4" w:rsidRDefault="0023473B" w:rsidP="00B77902">
      <w:pPr>
        <w:pStyle w:val="Heading3"/>
        <w:spacing w:line="360" w:lineRule="auto"/>
        <w:ind w:left="4536" w:hanging="4536"/>
        <w:rPr>
          <w:highlight w:val="lightGray"/>
        </w:rPr>
      </w:pPr>
      <w:r w:rsidRPr="3F85FD54">
        <w:rPr>
          <w:rStyle w:val="Heading3Char"/>
          <w:b/>
          <w:bCs/>
        </w:rPr>
        <w:t>Meeting:</w:t>
      </w:r>
      <w:r w:rsidR="6971629A" w:rsidRPr="3F85FD54">
        <w:rPr>
          <w:rStyle w:val="Heading3Char"/>
          <w:b/>
          <w:bCs/>
        </w:rPr>
        <w:t xml:space="preserve"> </w:t>
      </w:r>
      <w:r>
        <w:tab/>
      </w:r>
      <w:r w:rsidR="00BD4D62" w:rsidRPr="3F85FD54">
        <w:rPr>
          <w:rStyle w:val="Heading3Char"/>
          <w:b/>
          <w:bCs/>
        </w:rPr>
        <w:t>NHS Golden Jubilee Board Meeting</w:t>
      </w:r>
    </w:p>
    <w:p w14:paraId="076267C0" w14:textId="0A2DC873" w:rsidR="009B1BFA" w:rsidRDefault="00430C09" w:rsidP="3F85FD54">
      <w:pPr>
        <w:pStyle w:val="Heading3"/>
        <w:spacing w:line="360" w:lineRule="auto"/>
        <w:ind w:left="4536" w:hanging="4536"/>
        <w:rPr>
          <w:rStyle w:val="Heading3Char"/>
          <w:b/>
          <w:bCs/>
        </w:rPr>
      </w:pPr>
      <w:r w:rsidRPr="3F85FD54">
        <w:rPr>
          <w:rStyle w:val="Heading3Char"/>
          <w:b/>
          <w:bCs/>
        </w:rPr>
        <w:t>Meeting dat</w:t>
      </w:r>
      <w:r w:rsidR="0023473B" w:rsidRPr="3F85FD54">
        <w:rPr>
          <w:rStyle w:val="Heading3Char"/>
          <w:b/>
          <w:bCs/>
        </w:rPr>
        <w:t>e:</w:t>
      </w:r>
      <w:r w:rsidR="1DD452E7" w:rsidRPr="3F85FD54">
        <w:rPr>
          <w:rStyle w:val="Heading3Char"/>
          <w:b/>
          <w:bCs/>
        </w:rPr>
        <w:t xml:space="preserve"> </w:t>
      </w:r>
      <w:r>
        <w:tab/>
      </w:r>
      <w:r w:rsidR="00BD4D62" w:rsidRPr="3F85FD54">
        <w:rPr>
          <w:rStyle w:val="Heading3Char"/>
          <w:b/>
          <w:bCs/>
        </w:rPr>
        <w:t>29 May 2025</w:t>
      </w:r>
    </w:p>
    <w:p w14:paraId="525DAB0F" w14:textId="4FB73A3F" w:rsidR="00B77902" w:rsidRDefault="00430C09" w:rsidP="00B77902">
      <w:pPr>
        <w:pStyle w:val="Heading3"/>
        <w:spacing w:line="360" w:lineRule="auto"/>
        <w:ind w:left="4536" w:hanging="4536"/>
      </w:pPr>
      <w:r w:rsidRPr="3F85FD54">
        <w:rPr>
          <w:rStyle w:val="Heading3Char"/>
          <w:b/>
          <w:bCs/>
        </w:rPr>
        <w:t>Title</w:t>
      </w:r>
      <w:r w:rsidR="00AA77F7" w:rsidRPr="3F85FD54">
        <w:rPr>
          <w:rStyle w:val="Heading3Char"/>
          <w:b/>
          <w:bCs/>
        </w:rPr>
        <w:t>:</w:t>
      </w:r>
      <w:r w:rsidR="53C8F179" w:rsidRPr="3F85FD54">
        <w:rPr>
          <w:rStyle w:val="Heading3Char"/>
          <w:b/>
          <w:bCs/>
        </w:rPr>
        <w:t xml:space="preserve"> </w:t>
      </w:r>
      <w:r>
        <w:tab/>
      </w:r>
      <w:r w:rsidR="00A355C1" w:rsidRPr="3F85FD54">
        <w:rPr>
          <w:rStyle w:val="Heading3Char"/>
          <w:b/>
          <w:bCs/>
        </w:rPr>
        <w:t xml:space="preserve">Public </w:t>
      </w:r>
      <w:r w:rsidR="00BD4D62" w:rsidRPr="3F85FD54">
        <w:rPr>
          <w:rStyle w:val="Heading3Char"/>
          <w:b/>
          <w:bCs/>
        </w:rPr>
        <w:t>Board Performance Report</w:t>
      </w:r>
    </w:p>
    <w:p w14:paraId="20580B8E" w14:textId="77777777"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BD4D62">
        <w:rPr>
          <w:rStyle w:val="Heading3Char"/>
          <w:b/>
        </w:rPr>
        <w:t xml:space="preserve">Carole Anderson </w:t>
      </w:r>
      <w:r w:rsidR="00BD4D62" w:rsidRPr="00BD4D62">
        <w:rPr>
          <w:rStyle w:val="Heading3Char"/>
        </w:rPr>
        <w:t xml:space="preserve">- </w:t>
      </w:r>
      <w:r w:rsidR="00BD4D62" w:rsidRPr="00BD4D62">
        <w:rPr>
          <w:rStyle w:val="normaltextrun"/>
          <w:rFonts w:cs="Arial"/>
          <w:bCs/>
          <w:color w:val="000000"/>
          <w:bdr w:val="none" w:sz="0" w:space="0" w:color="auto" w:frame="1"/>
        </w:rPr>
        <w:t>Director of Transformation, Strategy, Planning and Performance</w:t>
      </w:r>
    </w:p>
    <w:p w14:paraId="449D34A1" w14:textId="3EDC8C9C" w:rsidR="00BD4D62" w:rsidRDefault="00430C09" w:rsidP="3F85FD54">
      <w:pPr>
        <w:pStyle w:val="Heading3"/>
        <w:spacing w:line="360" w:lineRule="auto"/>
        <w:ind w:left="4536" w:hanging="4536"/>
        <w:rPr>
          <w:rStyle w:val="Heading3Char"/>
          <w:b/>
          <w:bCs/>
        </w:rPr>
      </w:pPr>
      <w:r w:rsidRPr="3F85FD54">
        <w:rPr>
          <w:rStyle w:val="Heading3Char"/>
          <w:b/>
          <w:bCs/>
        </w:rPr>
        <w:t>Report Author</w:t>
      </w:r>
      <w:r w:rsidR="0003098A" w:rsidRPr="3F85FD54">
        <w:rPr>
          <w:rStyle w:val="Heading3Char"/>
          <w:b/>
          <w:bCs/>
        </w:rPr>
        <w:t>:</w:t>
      </w:r>
      <w:r w:rsidR="566BA169" w:rsidRPr="3F85FD54">
        <w:rPr>
          <w:rStyle w:val="Heading3Char"/>
          <w:b/>
          <w:bCs/>
        </w:rPr>
        <w:t xml:space="preserve"> </w:t>
      </w:r>
      <w:r>
        <w:tab/>
      </w:r>
      <w:r w:rsidR="00BD4D62" w:rsidRPr="3F85FD54">
        <w:rPr>
          <w:rStyle w:val="Heading3Char"/>
          <w:b/>
          <w:bCs/>
        </w:rPr>
        <w:t>James Mackie – Head of Performance</w:t>
      </w:r>
    </w:p>
    <w:p w14:paraId="48839636" w14:textId="77777777" w:rsidR="00430C09" w:rsidRPr="00EF7A3B" w:rsidRDefault="00BD4D62" w:rsidP="00BD4D62">
      <w:pPr>
        <w:pStyle w:val="Heading3"/>
        <w:spacing w:line="360" w:lineRule="auto"/>
        <w:ind w:left="4536"/>
        <w:rPr>
          <w:rStyle w:val="Heading3Char"/>
          <w:b/>
        </w:rPr>
      </w:pPr>
      <w:r w:rsidRPr="00EF7A3B">
        <w:rPr>
          <w:rStyle w:val="Heading3Char"/>
          <w:b/>
        </w:rPr>
        <w:t>Laura Morrison – Planning and Improvement Lead </w:t>
      </w:r>
    </w:p>
    <w:p w14:paraId="0A37501D" w14:textId="77777777" w:rsidR="00B77902" w:rsidRPr="00B77902" w:rsidRDefault="00B77902" w:rsidP="00B77902"/>
    <w:p w14:paraId="4FAD903B" w14:textId="77777777" w:rsidR="00430C09" w:rsidRDefault="00BF3AF0" w:rsidP="00430C09">
      <w:pPr>
        <w:pStyle w:val="Heading2"/>
        <w:spacing w:line="276" w:lineRule="auto"/>
      </w:pPr>
      <w:r>
        <w:t>1</w:t>
      </w:r>
      <w:r>
        <w:tab/>
      </w:r>
      <w:r w:rsidR="00430C09" w:rsidRPr="00F05C63">
        <w:t>Purpose</w:t>
      </w:r>
    </w:p>
    <w:p w14:paraId="5DAB6C7B"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41214CD2" w14:textId="77777777" w:rsidR="009828B9" w:rsidRPr="009828B9" w:rsidRDefault="00430C09" w:rsidP="009828B9">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46219" w:rsidRPr="009807B4">
        <w:rPr>
          <w:lang w:eastAsia="en-GB"/>
        </w:rPr>
        <w:t xml:space="preserve"> is presented to the </w:t>
      </w:r>
      <w:r w:rsidR="00A355C1">
        <w:rPr>
          <w:lang w:eastAsia="en-GB"/>
        </w:rPr>
        <w:t xml:space="preserve">NHS Golden Jubilee </w:t>
      </w:r>
      <w:r w:rsidR="00446219" w:rsidRPr="009807B4">
        <w:rPr>
          <w:lang w:eastAsia="en-GB"/>
        </w:rPr>
        <w:t xml:space="preserve">Board for: </w:t>
      </w:r>
    </w:p>
    <w:p w14:paraId="02EB378F" w14:textId="77777777" w:rsidR="009807B4" w:rsidRDefault="009807B4" w:rsidP="00BF3AF0">
      <w:pPr>
        <w:pStyle w:val="Heading3"/>
        <w:spacing w:line="276" w:lineRule="auto"/>
        <w:ind w:left="720"/>
        <w:rPr>
          <w:lang w:eastAsia="en-GB"/>
        </w:rPr>
      </w:pPr>
    </w:p>
    <w:p w14:paraId="3449B647" w14:textId="77777777" w:rsidR="00430C09" w:rsidRPr="009807B4" w:rsidRDefault="009807B4" w:rsidP="00BF3AF0">
      <w:pPr>
        <w:pStyle w:val="Heading3"/>
        <w:numPr>
          <w:ilvl w:val="0"/>
          <w:numId w:val="10"/>
        </w:numPr>
        <w:spacing w:line="276" w:lineRule="auto"/>
        <w:ind w:left="1080"/>
        <w:rPr>
          <w:b w:val="0"/>
          <w:lang w:eastAsia="en-GB"/>
        </w:rPr>
      </w:pPr>
      <w:r w:rsidRPr="00B14552">
        <w:rPr>
          <w:b w:val="0"/>
          <w:lang w:eastAsia="en-GB"/>
        </w:rPr>
        <w:t>D</w:t>
      </w:r>
      <w:r w:rsidR="00B14552" w:rsidRPr="00B14552">
        <w:rPr>
          <w:b w:val="0"/>
          <w:lang w:eastAsia="en-GB"/>
        </w:rPr>
        <w:t>e</w:t>
      </w:r>
      <w:r w:rsidR="00B14552">
        <w:rPr>
          <w:b w:val="0"/>
          <w:lang w:eastAsia="en-GB"/>
        </w:rPr>
        <w:t>cision</w:t>
      </w:r>
    </w:p>
    <w:p w14:paraId="6A05A809"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7AEC9E89"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9828B9">
        <w:rPr>
          <w:lang w:eastAsia="en-GB"/>
        </w:rPr>
        <w:t xml:space="preserve"> </w:t>
      </w:r>
    </w:p>
    <w:p w14:paraId="614A4F72" w14:textId="77777777" w:rsidR="009807B4" w:rsidRPr="00A355C1"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355C1">
        <w:rPr>
          <w:rFonts w:ascii="Arial" w:hAnsi="Arial" w:cs="Arial"/>
          <w:color w:val="000000"/>
          <w:sz w:val="24"/>
          <w:szCs w:val="24"/>
        </w:rPr>
        <w:t>Annual Operation</w:t>
      </w:r>
      <w:r w:rsidR="00880779" w:rsidRPr="00A355C1">
        <w:rPr>
          <w:rFonts w:ascii="Arial" w:hAnsi="Arial" w:cs="Arial"/>
          <w:color w:val="000000"/>
          <w:sz w:val="24"/>
          <w:szCs w:val="24"/>
        </w:rPr>
        <w:t>al</w:t>
      </w:r>
      <w:r w:rsidRPr="00A355C1">
        <w:rPr>
          <w:rFonts w:ascii="Arial" w:hAnsi="Arial" w:cs="Arial"/>
          <w:color w:val="000000"/>
          <w:sz w:val="24"/>
          <w:szCs w:val="24"/>
        </w:rPr>
        <w:t xml:space="preserve"> Plan</w:t>
      </w:r>
    </w:p>
    <w:p w14:paraId="5A39BBE3"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3A0D0130"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2733BC87" w14:textId="77777777" w:rsidR="003F7F61" w:rsidRPr="00CB75AC" w:rsidRDefault="003F7F61" w:rsidP="003F7F61">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CB75AC">
        <w:rPr>
          <w:rFonts w:ascii="Arial" w:hAnsi="Arial" w:cs="Arial"/>
          <w:color w:val="000000"/>
          <w:sz w:val="24"/>
          <w:szCs w:val="24"/>
        </w:rPr>
        <w:t>Safe</w:t>
      </w:r>
    </w:p>
    <w:p w14:paraId="2E87DED9" w14:textId="77777777" w:rsidR="009807B4" w:rsidRPr="00CB75AC" w:rsidRDefault="009807B4" w:rsidP="00BF3AF0">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CB75AC">
        <w:rPr>
          <w:rFonts w:ascii="Arial" w:hAnsi="Arial" w:cs="Arial"/>
          <w:color w:val="000000"/>
          <w:sz w:val="24"/>
          <w:szCs w:val="24"/>
        </w:rPr>
        <w:t>Effective</w:t>
      </w:r>
    </w:p>
    <w:p w14:paraId="261C40C6" w14:textId="77777777" w:rsidR="009807B4" w:rsidRPr="00CB75AC" w:rsidRDefault="009807B4" w:rsidP="00BF3AF0">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CB75AC">
        <w:rPr>
          <w:rFonts w:ascii="Arial" w:hAnsi="Arial" w:cs="Arial"/>
          <w:color w:val="000000"/>
          <w:sz w:val="24"/>
          <w:szCs w:val="24"/>
        </w:rPr>
        <w:t>Person Centred</w:t>
      </w:r>
    </w:p>
    <w:p w14:paraId="41C8F396"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B26A29C" w14:textId="77777777"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36C392D1" w14:textId="77777777" w:rsidR="00B546C8" w:rsidRPr="00CB75AC" w:rsidRDefault="009B1BFA" w:rsidP="009B1BFA">
      <w:pPr>
        <w:pStyle w:val="ListParagraph"/>
        <w:numPr>
          <w:ilvl w:val="0"/>
          <w:numId w:val="19"/>
        </w:numPr>
        <w:autoSpaceDE w:val="0"/>
        <w:autoSpaceDN w:val="0"/>
        <w:adjustRightInd w:val="0"/>
        <w:spacing w:before="40" w:after="40" w:line="276" w:lineRule="auto"/>
        <w:ind w:left="1134"/>
        <w:rPr>
          <w:rFonts w:cs="Arial"/>
          <w:color w:val="000000"/>
          <w:szCs w:val="24"/>
        </w:rPr>
      </w:pPr>
      <w:r w:rsidRPr="00CB75AC">
        <w:rPr>
          <w:rFonts w:ascii="Arial" w:hAnsi="Arial" w:cs="Arial"/>
          <w:color w:val="000000"/>
          <w:sz w:val="24"/>
          <w:szCs w:val="24"/>
        </w:rPr>
        <w:t>Leadership, Strategy and Risk</w:t>
      </w:r>
    </w:p>
    <w:p w14:paraId="2E22108A" w14:textId="77777777" w:rsidR="009B1BFA" w:rsidRPr="00CB75AC"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CB75AC">
        <w:rPr>
          <w:rFonts w:ascii="Arial" w:hAnsi="Arial" w:cs="Arial"/>
          <w:color w:val="000000"/>
          <w:sz w:val="24"/>
          <w:szCs w:val="24"/>
        </w:rPr>
        <w:t>High Performing Organisation</w:t>
      </w:r>
    </w:p>
    <w:p w14:paraId="77329EBC" w14:textId="77777777" w:rsidR="009B1BFA" w:rsidRPr="00CB75AC"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CB75AC">
        <w:rPr>
          <w:rFonts w:ascii="Arial" w:hAnsi="Arial" w:cs="Arial"/>
          <w:color w:val="000000"/>
          <w:sz w:val="24"/>
          <w:szCs w:val="24"/>
        </w:rPr>
        <w:t>Optimal Workforce</w:t>
      </w:r>
    </w:p>
    <w:p w14:paraId="49EFDB2D" w14:textId="77777777" w:rsidR="009B1BFA" w:rsidRPr="00880779"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80779">
        <w:rPr>
          <w:rFonts w:ascii="Arial" w:hAnsi="Arial" w:cs="Arial"/>
          <w:color w:val="000000"/>
          <w:sz w:val="24"/>
          <w:szCs w:val="24"/>
        </w:rPr>
        <w:t>Facilities Expansion and Use</w:t>
      </w:r>
    </w:p>
    <w:p w14:paraId="73B4B01C" w14:textId="77777777" w:rsidR="009B1BFA" w:rsidRPr="00CB75AC"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CB75AC">
        <w:rPr>
          <w:rFonts w:ascii="Arial" w:hAnsi="Arial" w:cs="Arial"/>
          <w:color w:val="000000"/>
          <w:sz w:val="24"/>
          <w:szCs w:val="24"/>
        </w:rPr>
        <w:t>Culture, Wellbeing and Values</w:t>
      </w:r>
    </w:p>
    <w:p w14:paraId="72A3D3EC" w14:textId="77777777" w:rsidR="00430C09" w:rsidRDefault="00430C09" w:rsidP="009807B4">
      <w:pPr>
        <w:spacing w:line="276" w:lineRule="auto"/>
      </w:pPr>
    </w:p>
    <w:p w14:paraId="4C5EC0EF" w14:textId="77777777" w:rsidR="00430C09" w:rsidRDefault="00C94BF7" w:rsidP="00430C09">
      <w:pPr>
        <w:pStyle w:val="Heading2"/>
        <w:spacing w:line="276" w:lineRule="auto"/>
      </w:pPr>
      <w:r>
        <w:lastRenderedPageBreak/>
        <w:t>2</w:t>
      </w:r>
      <w:r w:rsidR="00BF3AF0">
        <w:tab/>
      </w:r>
      <w:r w:rsidR="00430C09">
        <w:t>Report summary</w:t>
      </w:r>
      <w:r w:rsidR="00430C09">
        <w:tab/>
      </w:r>
    </w:p>
    <w:p w14:paraId="0D0B940D" w14:textId="77777777" w:rsidR="0003098A" w:rsidRDefault="0003098A" w:rsidP="00430C09">
      <w:pPr>
        <w:pStyle w:val="Heading3"/>
        <w:spacing w:line="276" w:lineRule="auto"/>
      </w:pPr>
    </w:p>
    <w:p w14:paraId="0BB54666" w14:textId="77777777" w:rsidR="00430C09" w:rsidRDefault="00C94BF7" w:rsidP="00BF3AF0">
      <w:pPr>
        <w:pStyle w:val="Heading2"/>
      </w:pPr>
      <w:r>
        <w:t>2</w:t>
      </w:r>
      <w:r w:rsidR="00BF3AF0">
        <w:t>.1</w:t>
      </w:r>
      <w:r w:rsidR="00BF3AF0">
        <w:tab/>
      </w:r>
      <w:r w:rsidR="00430C09" w:rsidRPr="00DA354A">
        <w:t>Situation</w:t>
      </w:r>
    </w:p>
    <w:p w14:paraId="1EE8A19C" w14:textId="558B6C77" w:rsidR="00430C09" w:rsidRDefault="00A1058A" w:rsidP="29802A05">
      <w:pPr>
        <w:spacing w:before="40" w:after="40" w:line="276" w:lineRule="auto"/>
        <w:ind w:left="720"/>
        <w:rPr>
          <w:rFonts w:cs="Arial"/>
          <w:color w:val="000000"/>
        </w:rPr>
      </w:pPr>
      <w:r w:rsidRPr="3F85FD54">
        <w:rPr>
          <w:rFonts w:cs="Arial"/>
          <w:color w:val="000000" w:themeColor="text1"/>
        </w:rPr>
        <w:t>This paper</w:t>
      </w:r>
      <w:r w:rsidR="00BD4D62" w:rsidRPr="3F85FD54">
        <w:rPr>
          <w:rFonts w:cs="Arial"/>
          <w:color w:val="000000" w:themeColor="text1"/>
        </w:rPr>
        <w:t xml:space="preserve"> provides </w:t>
      </w:r>
      <w:r w:rsidR="00E10885" w:rsidRPr="3F85FD54">
        <w:rPr>
          <w:rFonts w:cs="Arial"/>
          <w:color w:val="000000" w:themeColor="text1"/>
        </w:rPr>
        <w:t xml:space="preserve">assurance on </w:t>
      </w:r>
      <w:r w:rsidRPr="3F85FD54">
        <w:rPr>
          <w:rFonts w:cs="Arial"/>
          <w:color w:val="000000" w:themeColor="text1"/>
        </w:rPr>
        <w:t>NHS Golden Jubilee</w:t>
      </w:r>
      <w:r w:rsidR="004C44B1" w:rsidRPr="3F85FD54">
        <w:rPr>
          <w:rFonts w:cs="Arial"/>
          <w:color w:val="000000" w:themeColor="text1"/>
        </w:rPr>
        <w:t>’s</w:t>
      </w:r>
      <w:r w:rsidRPr="3F85FD54">
        <w:rPr>
          <w:rFonts w:cs="Arial"/>
          <w:color w:val="000000" w:themeColor="text1"/>
        </w:rPr>
        <w:t xml:space="preserve"> (GJ) </w:t>
      </w:r>
      <w:r w:rsidR="00880779" w:rsidRPr="3F85FD54">
        <w:rPr>
          <w:rFonts w:cs="Arial"/>
          <w:color w:val="000000" w:themeColor="text1"/>
        </w:rPr>
        <w:t>reporting</w:t>
      </w:r>
      <w:r w:rsidR="004C44B1" w:rsidRPr="3F85FD54">
        <w:rPr>
          <w:rFonts w:cs="Arial"/>
          <w:color w:val="000000" w:themeColor="text1"/>
        </w:rPr>
        <w:t xml:space="preserve"> against </w:t>
      </w:r>
      <w:r w:rsidR="0BA51F77" w:rsidRPr="3F85FD54">
        <w:rPr>
          <w:rFonts w:cs="Arial"/>
          <w:color w:val="000000" w:themeColor="text1"/>
        </w:rPr>
        <w:t>its agreed k</w:t>
      </w:r>
      <w:r w:rsidR="004C44B1" w:rsidRPr="3F85FD54">
        <w:rPr>
          <w:rFonts w:cs="Arial"/>
          <w:color w:val="000000" w:themeColor="text1"/>
        </w:rPr>
        <w:t xml:space="preserve">ey </w:t>
      </w:r>
      <w:r w:rsidR="73684142" w:rsidRPr="3F85FD54">
        <w:rPr>
          <w:rFonts w:cs="Arial"/>
          <w:color w:val="000000" w:themeColor="text1"/>
        </w:rPr>
        <w:t>p</w:t>
      </w:r>
      <w:r w:rsidR="004C44B1" w:rsidRPr="3F85FD54">
        <w:rPr>
          <w:rFonts w:cs="Arial"/>
          <w:color w:val="000000" w:themeColor="text1"/>
        </w:rPr>
        <w:t xml:space="preserve">erformance </w:t>
      </w:r>
      <w:r w:rsidR="28BD82D9" w:rsidRPr="3F85FD54">
        <w:rPr>
          <w:rFonts w:cs="Arial"/>
          <w:color w:val="000000" w:themeColor="text1"/>
        </w:rPr>
        <w:t>i</w:t>
      </w:r>
      <w:r w:rsidR="004C44B1" w:rsidRPr="3F85FD54">
        <w:rPr>
          <w:rFonts w:cs="Arial"/>
          <w:color w:val="000000" w:themeColor="text1"/>
        </w:rPr>
        <w:t xml:space="preserve">ndicators (KPIs) </w:t>
      </w:r>
      <w:r w:rsidR="00E10885" w:rsidRPr="3F85FD54">
        <w:rPr>
          <w:rFonts w:cs="Arial"/>
          <w:color w:val="000000" w:themeColor="text1"/>
        </w:rPr>
        <w:t xml:space="preserve">relating to National Standards, local </w:t>
      </w:r>
      <w:r w:rsidR="0B7F3F9D" w:rsidRPr="3F85FD54">
        <w:rPr>
          <w:rFonts w:cs="Arial"/>
          <w:color w:val="000000" w:themeColor="text1"/>
        </w:rPr>
        <w:t>targets</w:t>
      </w:r>
      <w:r w:rsidRPr="3F85FD54">
        <w:rPr>
          <w:rFonts w:cs="Arial"/>
          <w:color w:val="000000" w:themeColor="text1"/>
        </w:rPr>
        <w:t xml:space="preserve"> and </w:t>
      </w:r>
      <w:r w:rsidR="59C1F161" w:rsidRPr="3F85FD54">
        <w:rPr>
          <w:rFonts w:cs="Arial"/>
          <w:color w:val="000000" w:themeColor="text1"/>
        </w:rPr>
        <w:t xml:space="preserve">delivery </w:t>
      </w:r>
      <w:r w:rsidR="5F7012B0" w:rsidRPr="3F85FD54">
        <w:rPr>
          <w:rFonts w:cs="Arial"/>
          <w:color w:val="000000" w:themeColor="text1"/>
        </w:rPr>
        <w:t>priorities.</w:t>
      </w:r>
      <w:r w:rsidR="00880779" w:rsidRPr="3F85FD54">
        <w:rPr>
          <w:rFonts w:cs="Arial"/>
          <w:color w:val="000000" w:themeColor="text1"/>
        </w:rPr>
        <w:t xml:space="preserve"> These KPIs have been confirmed as appropriate at their relevant governance committee prior to </w:t>
      </w:r>
      <w:r w:rsidR="7A09EB1E" w:rsidRPr="3F85FD54">
        <w:rPr>
          <w:rFonts w:cs="Arial"/>
          <w:color w:val="000000" w:themeColor="text1"/>
        </w:rPr>
        <w:t>approval by the</w:t>
      </w:r>
      <w:r w:rsidRPr="3F85FD54">
        <w:rPr>
          <w:rFonts w:cs="Arial"/>
          <w:color w:val="000000" w:themeColor="text1"/>
        </w:rPr>
        <w:t xml:space="preserve"> NHS GJ Board</w:t>
      </w:r>
      <w:r w:rsidR="00B14552" w:rsidRPr="3F85FD54">
        <w:rPr>
          <w:rFonts w:cs="Arial"/>
          <w:color w:val="000000" w:themeColor="text1"/>
        </w:rPr>
        <w:t xml:space="preserve"> </w:t>
      </w:r>
      <w:r w:rsidR="2BA2419D" w:rsidRPr="3F85FD54">
        <w:rPr>
          <w:rFonts w:cs="Arial"/>
          <w:color w:val="000000" w:themeColor="text1"/>
        </w:rPr>
        <w:t>during its annual performance framework review</w:t>
      </w:r>
      <w:r w:rsidRPr="3F85FD54">
        <w:rPr>
          <w:rFonts w:cs="Arial"/>
          <w:color w:val="000000" w:themeColor="text1"/>
        </w:rPr>
        <w:t>.</w:t>
      </w:r>
    </w:p>
    <w:p w14:paraId="0E27B00A" w14:textId="77777777" w:rsidR="00A1058A" w:rsidRDefault="00A1058A" w:rsidP="00BF3AF0">
      <w:pPr>
        <w:spacing w:before="40" w:after="40" w:line="276" w:lineRule="auto"/>
        <w:ind w:left="720"/>
        <w:rPr>
          <w:rFonts w:cs="Arial"/>
          <w:color w:val="000000"/>
          <w:szCs w:val="24"/>
        </w:rPr>
      </w:pPr>
    </w:p>
    <w:p w14:paraId="100A33DC" w14:textId="77777777" w:rsidR="00A1058A" w:rsidRDefault="00A1058A" w:rsidP="00BF3AF0">
      <w:pPr>
        <w:spacing w:before="40" w:after="40" w:line="276" w:lineRule="auto"/>
        <w:ind w:left="720"/>
        <w:rPr>
          <w:rFonts w:cs="Arial"/>
          <w:color w:val="000000"/>
          <w:szCs w:val="24"/>
        </w:rPr>
      </w:pPr>
      <w:r>
        <w:rPr>
          <w:rFonts w:cs="Arial"/>
          <w:color w:val="000000"/>
          <w:szCs w:val="24"/>
        </w:rPr>
        <w:t xml:space="preserve">The </w:t>
      </w:r>
      <w:r w:rsidR="00B14552">
        <w:rPr>
          <w:rFonts w:cs="Arial"/>
          <w:color w:val="000000"/>
          <w:szCs w:val="24"/>
        </w:rPr>
        <w:t xml:space="preserve">Public </w:t>
      </w:r>
      <w:r w:rsidRPr="00B14552">
        <w:rPr>
          <w:rFonts w:cs="Arial"/>
          <w:color w:val="000000"/>
          <w:szCs w:val="24"/>
        </w:rPr>
        <w:t>Board Performance Report</w:t>
      </w:r>
      <w:r>
        <w:rPr>
          <w:rFonts w:cs="Arial"/>
          <w:color w:val="000000"/>
          <w:szCs w:val="24"/>
        </w:rPr>
        <w:t xml:space="preserve"> is included as appendix 1. </w:t>
      </w:r>
    </w:p>
    <w:p w14:paraId="60061E4C" w14:textId="77777777" w:rsidR="00430C09" w:rsidRDefault="00430C09" w:rsidP="00BF3AF0">
      <w:pPr>
        <w:spacing w:before="40" w:after="40" w:line="276" w:lineRule="auto"/>
        <w:rPr>
          <w:rFonts w:cs="Arial"/>
          <w:color w:val="000000"/>
          <w:szCs w:val="24"/>
        </w:rPr>
      </w:pPr>
    </w:p>
    <w:p w14:paraId="78C0E14E" w14:textId="77777777" w:rsidR="00430C09" w:rsidRDefault="00C87B62" w:rsidP="00BF3AF0">
      <w:pPr>
        <w:pStyle w:val="Heading2"/>
        <w:ind w:left="686" w:hanging="686"/>
      </w:pPr>
      <w:r>
        <w:t>2</w:t>
      </w:r>
      <w:r w:rsidR="00BF3AF0">
        <w:t>.2</w:t>
      </w:r>
      <w:r w:rsidR="00BF3AF0">
        <w:tab/>
      </w:r>
      <w:r w:rsidR="00430C09">
        <w:t>Background</w:t>
      </w:r>
    </w:p>
    <w:p w14:paraId="01E0EAF3" w14:textId="3020401B" w:rsidR="00C92E76" w:rsidRPr="00C92E76" w:rsidRDefault="2424423C" w:rsidP="29802A05">
      <w:pPr>
        <w:spacing w:before="40" w:after="40" w:line="276" w:lineRule="auto"/>
        <w:ind w:left="686"/>
        <w:rPr>
          <w:rFonts w:cs="Arial"/>
          <w:color w:val="000000" w:themeColor="text1"/>
        </w:rPr>
      </w:pPr>
      <w:r w:rsidRPr="29802A05">
        <w:rPr>
          <w:rFonts w:cs="Arial"/>
          <w:color w:val="000000" w:themeColor="text1"/>
        </w:rPr>
        <w:t>Following a review of the structure and function of the</w:t>
      </w:r>
      <w:r w:rsidR="00C92E76" w:rsidRPr="29802A05">
        <w:rPr>
          <w:rFonts w:cs="Arial"/>
          <w:color w:val="000000" w:themeColor="text1"/>
        </w:rPr>
        <w:t xml:space="preserve"> Integrated Performance Report (IPR)</w:t>
      </w:r>
      <w:r w:rsidR="00B14552" w:rsidRPr="29802A05">
        <w:rPr>
          <w:rFonts w:cs="Arial"/>
          <w:color w:val="000000" w:themeColor="text1"/>
        </w:rPr>
        <w:t xml:space="preserve"> and </w:t>
      </w:r>
      <w:r w:rsidR="48598216" w:rsidRPr="29802A05">
        <w:rPr>
          <w:rFonts w:cs="Arial"/>
          <w:color w:val="000000" w:themeColor="text1"/>
        </w:rPr>
        <w:t>the</w:t>
      </w:r>
      <w:r w:rsidR="00835E59">
        <w:rPr>
          <w:rFonts w:cs="Arial"/>
          <w:color w:val="000000" w:themeColor="text1"/>
        </w:rPr>
        <w:t xml:space="preserve"> </w:t>
      </w:r>
      <w:r w:rsidR="00B14552" w:rsidRPr="29802A05">
        <w:rPr>
          <w:rFonts w:cs="Arial"/>
          <w:color w:val="000000" w:themeColor="text1"/>
        </w:rPr>
        <w:t>separate Board Performance report</w:t>
      </w:r>
      <w:r w:rsidR="025EC19A" w:rsidRPr="29802A05">
        <w:rPr>
          <w:rFonts w:cs="Arial"/>
          <w:color w:val="000000" w:themeColor="text1"/>
        </w:rPr>
        <w:t>, it has been agreed by the Board to reduce the primary KPI set for Board Performance repo</w:t>
      </w:r>
      <w:r w:rsidR="57A7B33B" w:rsidRPr="29802A05">
        <w:rPr>
          <w:rFonts w:cs="Arial"/>
          <w:color w:val="000000" w:themeColor="text1"/>
        </w:rPr>
        <w:t>rting</w:t>
      </w:r>
      <w:r w:rsidR="00C92E76" w:rsidRPr="29802A05">
        <w:rPr>
          <w:rFonts w:cs="Arial"/>
          <w:color w:val="000000" w:themeColor="text1"/>
        </w:rPr>
        <w:t xml:space="preserve">. </w:t>
      </w:r>
      <w:r w:rsidR="43080151" w:rsidRPr="29802A05">
        <w:rPr>
          <w:rFonts w:cs="Arial"/>
          <w:color w:val="000000" w:themeColor="text1"/>
        </w:rPr>
        <w:t>The</w:t>
      </w:r>
      <w:r w:rsidR="00C92E76" w:rsidRPr="29802A05">
        <w:rPr>
          <w:rFonts w:cs="Arial"/>
          <w:color w:val="000000" w:themeColor="text1"/>
        </w:rPr>
        <w:t xml:space="preserve"> IPR will continue to be </w:t>
      </w:r>
      <w:r w:rsidR="2D854424" w:rsidRPr="29802A05">
        <w:rPr>
          <w:rFonts w:cs="Arial"/>
          <w:color w:val="000000" w:themeColor="text1"/>
        </w:rPr>
        <w:t>produced comprising the original set of KPIs for each Board Committee, whilst amending t</w:t>
      </w:r>
      <w:r w:rsidR="6ED8BD4E" w:rsidRPr="29802A05">
        <w:rPr>
          <w:rFonts w:cs="Arial"/>
          <w:color w:val="000000" w:themeColor="text1"/>
        </w:rPr>
        <w:t xml:space="preserve">he format to support focus for each committee. </w:t>
      </w:r>
      <w:r w:rsidR="00C92E76" w:rsidRPr="29802A05">
        <w:rPr>
          <w:rFonts w:cs="Arial"/>
          <w:color w:val="000000" w:themeColor="text1"/>
        </w:rPr>
        <w:t>This new process will</w:t>
      </w:r>
      <w:r w:rsidR="00A63504" w:rsidRPr="29802A05">
        <w:rPr>
          <w:rFonts w:cs="Arial"/>
          <w:color w:val="000000" w:themeColor="text1"/>
        </w:rPr>
        <w:t xml:space="preserve"> streamline </w:t>
      </w:r>
      <w:r w:rsidR="00945E79" w:rsidRPr="29802A05">
        <w:rPr>
          <w:rFonts w:cs="Arial"/>
          <w:color w:val="000000" w:themeColor="text1"/>
        </w:rPr>
        <w:t xml:space="preserve">and focus on the most </w:t>
      </w:r>
      <w:r w:rsidR="00352B65" w:rsidRPr="29802A05">
        <w:rPr>
          <w:rFonts w:cs="Arial"/>
          <w:color w:val="000000" w:themeColor="text1"/>
        </w:rPr>
        <w:t>pertinent</w:t>
      </w:r>
      <w:r w:rsidR="00945E79" w:rsidRPr="29802A05">
        <w:rPr>
          <w:rFonts w:cs="Arial"/>
          <w:color w:val="000000" w:themeColor="text1"/>
        </w:rPr>
        <w:t xml:space="preserve"> areas of interest</w:t>
      </w:r>
      <w:r w:rsidR="00A355C1" w:rsidRPr="29802A05">
        <w:rPr>
          <w:rFonts w:cs="Arial"/>
          <w:color w:val="000000" w:themeColor="text1"/>
        </w:rPr>
        <w:t xml:space="preserve"> whil</w:t>
      </w:r>
      <w:r w:rsidR="31CD4029" w:rsidRPr="29802A05">
        <w:rPr>
          <w:rFonts w:cs="Arial"/>
          <w:color w:val="000000" w:themeColor="text1"/>
        </w:rPr>
        <w:t>st</w:t>
      </w:r>
      <w:r w:rsidR="00A355C1" w:rsidRPr="29802A05">
        <w:rPr>
          <w:rFonts w:cs="Arial"/>
          <w:color w:val="000000" w:themeColor="text1"/>
        </w:rPr>
        <w:t xml:space="preserve"> improving clarity and </w:t>
      </w:r>
      <w:r w:rsidR="1E7A739A" w:rsidRPr="29802A05">
        <w:rPr>
          <w:rFonts w:cs="Arial"/>
          <w:color w:val="000000" w:themeColor="text1"/>
        </w:rPr>
        <w:t>enabling Board scrutiny.</w:t>
      </w:r>
    </w:p>
    <w:p w14:paraId="44EAFD9C" w14:textId="77777777" w:rsidR="00430C09" w:rsidRPr="00C92E76" w:rsidRDefault="00430C09" w:rsidP="00C92E76">
      <w:pPr>
        <w:spacing w:before="40" w:after="40" w:line="276" w:lineRule="auto"/>
        <w:rPr>
          <w:rFonts w:cs="Arial"/>
          <w:color w:val="000000"/>
          <w:szCs w:val="24"/>
        </w:rPr>
      </w:pPr>
    </w:p>
    <w:p w14:paraId="4953834C" w14:textId="77777777" w:rsidR="00F3337D" w:rsidRDefault="00C87B62" w:rsidP="00BF3AF0">
      <w:pPr>
        <w:pStyle w:val="Heading2"/>
      </w:pPr>
      <w:r>
        <w:t>2</w:t>
      </w:r>
      <w:r w:rsidR="00BF3AF0">
        <w:t>.3</w:t>
      </w:r>
      <w:r w:rsidR="00BF3AF0">
        <w:tab/>
      </w:r>
      <w:r w:rsidR="00F3337D">
        <w:t>Assessment</w:t>
      </w:r>
    </w:p>
    <w:p w14:paraId="36D10994" w14:textId="0C03B34B" w:rsidR="00B00CE8" w:rsidRDefault="00B00CE8" w:rsidP="29802A05">
      <w:pPr>
        <w:spacing w:before="40" w:after="40" w:line="276" w:lineRule="auto"/>
        <w:ind w:left="720"/>
        <w:rPr>
          <w:rFonts w:cs="Arial"/>
          <w:color w:val="000000"/>
        </w:rPr>
      </w:pPr>
      <w:r w:rsidRPr="29802A05">
        <w:rPr>
          <w:rFonts w:cs="Arial"/>
          <w:color w:val="000000" w:themeColor="text1"/>
        </w:rPr>
        <w:t xml:space="preserve">The </w:t>
      </w:r>
      <w:r w:rsidR="002A0C81" w:rsidRPr="29802A05">
        <w:rPr>
          <w:rFonts w:cs="Arial"/>
          <w:color w:val="000000" w:themeColor="text1"/>
        </w:rPr>
        <w:t xml:space="preserve">Public </w:t>
      </w:r>
      <w:r w:rsidRPr="29802A05">
        <w:rPr>
          <w:rFonts w:cs="Arial"/>
          <w:color w:val="000000" w:themeColor="text1"/>
        </w:rPr>
        <w:t xml:space="preserve">Board Performance Report provides an update </w:t>
      </w:r>
      <w:r w:rsidR="0006092D" w:rsidRPr="29802A05">
        <w:rPr>
          <w:rFonts w:cs="Arial"/>
          <w:color w:val="000000" w:themeColor="text1"/>
        </w:rPr>
        <w:t xml:space="preserve">on </w:t>
      </w:r>
      <w:r w:rsidR="002A0C81" w:rsidRPr="29802A05">
        <w:rPr>
          <w:rFonts w:cs="Arial"/>
          <w:color w:val="000000" w:themeColor="text1"/>
        </w:rPr>
        <w:t xml:space="preserve">core </w:t>
      </w:r>
      <w:r w:rsidR="004C44B1" w:rsidRPr="29802A05">
        <w:rPr>
          <w:rFonts w:cs="Arial"/>
          <w:color w:val="000000" w:themeColor="text1"/>
        </w:rPr>
        <w:t>KPIs</w:t>
      </w:r>
      <w:r w:rsidRPr="29802A05">
        <w:rPr>
          <w:rFonts w:cs="Arial"/>
          <w:color w:val="000000" w:themeColor="text1"/>
        </w:rPr>
        <w:t xml:space="preserve"> based on data ava</w:t>
      </w:r>
      <w:r w:rsidR="00B507B8">
        <w:rPr>
          <w:rFonts w:cs="Arial"/>
          <w:color w:val="000000" w:themeColor="text1"/>
        </w:rPr>
        <w:t>ilable as at February 2025.</w:t>
      </w:r>
      <w:r w:rsidRPr="29802A05">
        <w:rPr>
          <w:rFonts w:cs="Arial"/>
          <w:color w:val="000000" w:themeColor="text1"/>
        </w:rPr>
        <w:t xml:space="preserve"> </w:t>
      </w:r>
      <w:r w:rsidR="6CF5DCC8" w:rsidRPr="29802A05">
        <w:rPr>
          <w:rFonts w:cs="Arial"/>
          <w:color w:val="000000" w:themeColor="text1"/>
        </w:rPr>
        <w:t xml:space="preserve">The core KPI set for Board reporting totals </w:t>
      </w:r>
      <w:r w:rsidR="00B507B8">
        <w:rPr>
          <w:rFonts w:cs="Arial"/>
          <w:color w:val="000000" w:themeColor="text1"/>
        </w:rPr>
        <w:t>22 KPIs</w:t>
      </w:r>
      <w:r w:rsidRPr="29802A05">
        <w:rPr>
          <w:rFonts w:cs="Arial"/>
          <w:color w:val="000000" w:themeColor="text1"/>
        </w:rPr>
        <w:t>,</w:t>
      </w:r>
      <w:r w:rsidR="10E8273F" w:rsidRPr="29802A05">
        <w:rPr>
          <w:rFonts w:cs="Arial"/>
          <w:color w:val="000000" w:themeColor="text1"/>
        </w:rPr>
        <w:t xml:space="preserve"> however</w:t>
      </w:r>
      <w:r w:rsidRPr="29802A05">
        <w:rPr>
          <w:rFonts w:cs="Arial"/>
          <w:color w:val="000000" w:themeColor="text1"/>
        </w:rPr>
        <w:t xml:space="preserve"> the report currently provides an update on 21</w:t>
      </w:r>
      <w:r w:rsidR="32478E02" w:rsidRPr="29802A05">
        <w:rPr>
          <w:rFonts w:cs="Arial"/>
          <w:color w:val="000000" w:themeColor="text1"/>
        </w:rPr>
        <w:t xml:space="preserve"> of these</w:t>
      </w:r>
      <w:r w:rsidRPr="29802A05">
        <w:rPr>
          <w:rFonts w:cs="Arial"/>
          <w:color w:val="000000" w:themeColor="text1"/>
        </w:rPr>
        <w:t xml:space="preserve">. One newly </w:t>
      </w:r>
      <w:r w:rsidR="006B22A7" w:rsidRPr="29802A05">
        <w:rPr>
          <w:rFonts w:cs="Arial"/>
          <w:color w:val="000000" w:themeColor="text1"/>
        </w:rPr>
        <w:t>agreed</w:t>
      </w:r>
      <w:r w:rsidRPr="29802A05">
        <w:rPr>
          <w:rFonts w:cs="Arial"/>
          <w:color w:val="000000" w:themeColor="text1"/>
        </w:rPr>
        <w:t xml:space="preserve"> </w:t>
      </w:r>
      <w:r w:rsidR="00516A6F" w:rsidRPr="29802A05">
        <w:rPr>
          <w:rFonts w:cs="Arial"/>
          <w:color w:val="000000" w:themeColor="text1"/>
        </w:rPr>
        <w:t>KPI</w:t>
      </w:r>
      <w:r w:rsidRPr="29802A05">
        <w:rPr>
          <w:rFonts w:cs="Arial"/>
          <w:color w:val="000000" w:themeColor="text1"/>
        </w:rPr>
        <w:t xml:space="preserve"> – </w:t>
      </w:r>
      <w:r w:rsidR="00FE3584" w:rsidRPr="29802A05">
        <w:rPr>
          <w:rFonts w:cs="Arial"/>
          <w:color w:val="000000" w:themeColor="text1"/>
        </w:rPr>
        <w:t>Patient Reported Outcome Measures (</w:t>
      </w:r>
      <w:r w:rsidRPr="29802A05">
        <w:rPr>
          <w:rFonts w:cs="Arial"/>
          <w:color w:val="000000" w:themeColor="text1"/>
        </w:rPr>
        <w:t>PROMs</w:t>
      </w:r>
      <w:r w:rsidR="00FE3584" w:rsidRPr="29802A05">
        <w:rPr>
          <w:rFonts w:cs="Arial"/>
          <w:color w:val="000000" w:themeColor="text1"/>
        </w:rPr>
        <w:t>)</w:t>
      </w:r>
      <w:r w:rsidRPr="29802A05">
        <w:rPr>
          <w:rFonts w:cs="Arial"/>
          <w:color w:val="000000" w:themeColor="text1"/>
        </w:rPr>
        <w:t xml:space="preserve"> response rate – is still in development</w:t>
      </w:r>
      <w:r w:rsidR="003E6ADE" w:rsidRPr="29802A05">
        <w:rPr>
          <w:rFonts w:cs="Arial"/>
          <w:color w:val="000000" w:themeColor="text1"/>
        </w:rPr>
        <w:t>. This KPI will</w:t>
      </w:r>
      <w:r w:rsidRPr="29802A05">
        <w:rPr>
          <w:rFonts w:cs="Arial"/>
          <w:color w:val="000000" w:themeColor="text1"/>
        </w:rPr>
        <w:t xml:space="preserve"> be included in </w:t>
      </w:r>
      <w:r w:rsidR="00BA6977" w:rsidRPr="29802A05">
        <w:rPr>
          <w:rFonts w:cs="Arial"/>
          <w:color w:val="000000" w:themeColor="text1"/>
        </w:rPr>
        <w:t>future reports</w:t>
      </w:r>
      <w:r w:rsidR="00EF7A3B" w:rsidRPr="29802A05">
        <w:rPr>
          <w:rFonts w:cs="Arial"/>
          <w:color w:val="000000" w:themeColor="text1"/>
        </w:rPr>
        <w:t>,</w:t>
      </w:r>
      <w:r w:rsidR="00BA6977" w:rsidRPr="29802A05">
        <w:rPr>
          <w:rFonts w:cs="Arial"/>
          <w:color w:val="000000" w:themeColor="text1"/>
        </w:rPr>
        <w:t xml:space="preserve"> once </w:t>
      </w:r>
      <w:r w:rsidR="00CE0ACD" w:rsidRPr="29802A05">
        <w:rPr>
          <w:rFonts w:cs="Arial"/>
          <w:color w:val="000000" w:themeColor="text1"/>
        </w:rPr>
        <w:t>a suitable reporting methodology</w:t>
      </w:r>
      <w:r w:rsidR="00FA72B1" w:rsidRPr="29802A05">
        <w:rPr>
          <w:rFonts w:cs="Arial"/>
          <w:color w:val="000000" w:themeColor="text1"/>
        </w:rPr>
        <w:t xml:space="preserve"> has</w:t>
      </w:r>
      <w:r w:rsidR="00BA6977" w:rsidRPr="29802A05">
        <w:rPr>
          <w:rFonts w:cs="Arial"/>
          <w:color w:val="000000" w:themeColor="text1"/>
        </w:rPr>
        <w:t xml:space="preserve"> been </w:t>
      </w:r>
      <w:r w:rsidR="00CE0ACD" w:rsidRPr="29802A05">
        <w:rPr>
          <w:rFonts w:cs="Arial"/>
          <w:color w:val="000000" w:themeColor="text1"/>
        </w:rPr>
        <w:t>developed</w:t>
      </w:r>
      <w:r w:rsidRPr="29802A05">
        <w:rPr>
          <w:rFonts w:cs="Arial"/>
          <w:color w:val="000000" w:themeColor="text1"/>
        </w:rPr>
        <w:t xml:space="preserve">. </w:t>
      </w:r>
    </w:p>
    <w:p w14:paraId="4B94D5A5" w14:textId="77777777" w:rsidR="003325A7" w:rsidRDefault="003325A7" w:rsidP="00B00CE8">
      <w:pPr>
        <w:spacing w:before="40" w:after="40" w:line="276" w:lineRule="auto"/>
        <w:ind w:left="720"/>
        <w:rPr>
          <w:rFonts w:cs="Arial"/>
          <w:color w:val="000000"/>
          <w:szCs w:val="24"/>
        </w:rPr>
      </w:pPr>
    </w:p>
    <w:p w14:paraId="6EAC84EA" w14:textId="77777777" w:rsidR="003325A7" w:rsidRDefault="003325A7" w:rsidP="00B00CE8">
      <w:pPr>
        <w:spacing w:before="40" w:after="40" w:line="276" w:lineRule="auto"/>
        <w:ind w:left="720"/>
        <w:rPr>
          <w:rFonts w:cs="Arial"/>
          <w:color w:val="000000"/>
          <w:szCs w:val="24"/>
        </w:rPr>
      </w:pPr>
      <w:r>
        <w:rPr>
          <w:rFonts w:cs="Arial"/>
          <w:color w:val="000000"/>
          <w:szCs w:val="24"/>
        </w:rPr>
        <w:t>Table 1 shows the overall RAG status of the 21 KPIs which are currently being reported:</w:t>
      </w:r>
    </w:p>
    <w:tbl>
      <w:tblPr>
        <w:tblW w:w="7513"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0"/>
        <w:gridCol w:w="4665"/>
        <w:gridCol w:w="2218"/>
      </w:tblGrid>
      <w:tr w:rsidR="003325A7" w:rsidRPr="003325A7" w14:paraId="1037BA2C" w14:textId="77777777" w:rsidTr="009C1B9D">
        <w:trPr>
          <w:trHeight w:val="300"/>
        </w:trPr>
        <w:tc>
          <w:tcPr>
            <w:tcW w:w="5295" w:type="dxa"/>
            <w:gridSpan w:val="2"/>
            <w:shd w:val="clear" w:color="auto" w:fill="D6DCE4"/>
            <w:vAlign w:val="center"/>
            <w:hideMark/>
          </w:tcPr>
          <w:p w14:paraId="0DFCE990" w14:textId="77777777" w:rsidR="003325A7" w:rsidRPr="003325A7" w:rsidRDefault="003325A7" w:rsidP="003325A7">
            <w:pPr>
              <w:jc w:val="center"/>
              <w:textAlignment w:val="baseline"/>
              <w:rPr>
                <w:rFonts w:ascii="Segoe UI" w:hAnsi="Segoe UI" w:cs="Segoe UI"/>
                <w:spacing w:val="0"/>
                <w:szCs w:val="24"/>
                <w:lang w:eastAsia="en-GB"/>
              </w:rPr>
            </w:pPr>
            <w:r w:rsidRPr="003325A7">
              <w:rPr>
                <w:rFonts w:cs="Arial"/>
                <w:b/>
                <w:bCs/>
                <w:color w:val="000000"/>
                <w:spacing w:val="0"/>
                <w:szCs w:val="24"/>
                <w:lang w:eastAsia="en-GB"/>
              </w:rPr>
              <w:t>RAG Status</w:t>
            </w:r>
          </w:p>
        </w:tc>
        <w:tc>
          <w:tcPr>
            <w:tcW w:w="2218" w:type="dxa"/>
            <w:shd w:val="clear" w:color="auto" w:fill="D6DCE4"/>
            <w:hideMark/>
          </w:tcPr>
          <w:p w14:paraId="5A759EF1" w14:textId="77777777" w:rsidR="003325A7" w:rsidRPr="003325A7" w:rsidRDefault="003325A7" w:rsidP="00F4590A">
            <w:pPr>
              <w:jc w:val="center"/>
              <w:textAlignment w:val="baseline"/>
              <w:rPr>
                <w:rFonts w:ascii="Segoe UI" w:hAnsi="Segoe UI" w:cs="Segoe UI"/>
                <w:spacing w:val="0"/>
                <w:szCs w:val="24"/>
                <w:lang w:eastAsia="en-GB"/>
              </w:rPr>
            </w:pPr>
            <w:r w:rsidRPr="003325A7">
              <w:rPr>
                <w:rFonts w:cs="Arial"/>
                <w:b/>
                <w:bCs/>
                <w:color w:val="000000"/>
                <w:spacing w:val="0"/>
                <w:szCs w:val="24"/>
                <w:lang w:eastAsia="en-GB"/>
              </w:rPr>
              <w:t>Feb 2025 Position</w:t>
            </w:r>
          </w:p>
        </w:tc>
      </w:tr>
      <w:tr w:rsidR="003325A7" w:rsidRPr="003325A7" w14:paraId="04F1BDF8" w14:textId="77777777" w:rsidTr="009C1B9D">
        <w:trPr>
          <w:trHeight w:val="300"/>
        </w:trPr>
        <w:tc>
          <w:tcPr>
            <w:tcW w:w="630" w:type="dxa"/>
            <w:shd w:val="clear" w:color="auto" w:fill="EDEDED"/>
            <w:vAlign w:val="center"/>
            <w:hideMark/>
          </w:tcPr>
          <w:p w14:paraId="3656B9AB" w14:textId="77777777" w:rsidR="003325A7" w:rsidRPr="003325A7" w:rsidRDefault="003325A7" w:rsidP="003325A7">
            <w:pPr>
              <w:jc w:val="center"/>
              <w:textAlignment w:val="baseline"/>
              <w:rPr>
                <w:rFonts w:ascii="Segoe UI" w:hAnsi="Segoe UI" w:cs="Segoe UI"/>
                <w:spacing w:val="0"/>
                <w:szCs w:val="24"/>
                <w:lang w:eastAsia="en-GB"/>
              </w:rPr>
            </w:pPr>
            <w:r w:rsidRPr="003325A7">
              <w:rPr>
                <w:rFonts w:ascii="Wingdings" w:eastAsia="Wingdings" w:hAnsi="Wingdings" w:cs="Wingdings"/>
                <w:color w:val="FF0000"/>
                <w:spacing w:val="0"/>
                <w:szCs w:val="24"/>
                <w:lang w:eastAsia="en-GB"/>
              </w:rPr>
              <w:t></w:t>
            </w:r>
          </w:p>
        </w:tc>
        <w:tc>
          <w:tcPr>
            <w:tcW w:w="4665" w:type="dxa"/>
            <w:shd w:val="clear" w:color="auto" w:fill="auto"/>
            <w:vAlign w:val="center"/>
            <w:hideMark/>
          </w:tcPr>
          <w:p w14:paraId="43E97646" w14:textId="77777777" w:rsidR="003325A7" w:rsidRPr="00FA1FC3" w:rsidRDefault="00FA1FC3" w:rsidP="003325A7">
            <w:pPr>
              <w:textAlignment w:val="baseline"/>
              <w:rPr>
                <w:rFonts w:cs="Arial"/>
                <w:spacing w:val="0"/>
                <w:szCs w:val="24"/>
                <w:highlight w:val="yellow"/>
                <w:lang w:eastAsia="en-GB"/>
              </w:rPr>
            </w:pPr>
            <w:r w:rsidRPr="00FA1FC3">
              <w:rPr>
                <w:rFonts w:cs="Arial"/>
                <w:spacing w:val="0"/>
                <w:szCs w:val="24"/>
                <w:lang w:eastAsia="en-GB"/>
              </w:rPr>
              <w:t>Performance is worse than the Standard or Delivery Trajectory by a set level</w:t>
            </w:r>
          </w:p>
        </w:tc>
        <w:tc>
          <w:tcPr>
            <w:tcW w:w="2218" w:type="dxa"/>
            <w:shd w:val="clear" w:color="auto" w:fill="auto"/>
            <w:vAlign w:val="center"/>
            <w:hideMark/>
          </w:tcPr>
          <w:p w14:paraId="4737E36C" w14:textId="77777777" w:rsidR="003325A7" w:rsidRPr="00FA1FC3" w:rsidRDefault="003325A7" w:rsidP="003325A7">
            <w:pPr>
              <w:jc w:val="center"/>
              <w:textAlignment w:val="baseline"/>
              <w:rPr>
                <w:rFonts w:ascii="Segoe UI" w:hAnsi="Segoe UI" w:cs="Segoe UI"/>
                <w:spacing w:val="0"/>
                <w:szCs w:val="24"/>
                <w:highlight w:val="yellow"/>
                <w:lang w:eastAsia="en-GB"/>
              </w:rPr>
            </w:pPr>
            <w:r w:rsidRPr="003807B4">
              <w:rPr>
                <w:rFonts w:cs="Arial"/>
                <w:color w:val="000000"/>
                <w:spacing w:val="0"/>
                <w:szCs w:val="24"/>
                <w:lang w:eastAsia="en-GB"/>
              </w:rPr>
              <w:t>11</w:t>
            </w:r>
          </w:p>
        </w:tc>
      </w:tr>
      <w:tr w:rsidR="003325A7" w:rsidRPr="003325A7" w14:paraId="78272348" w14:textId="77777777" w:rsidTr="009C1B9D">
        <w:trPr>
          <w:trHeight w:val="300"/>
        </w:trPr>
        <w:tc>
          <w:tcPr>
            <w:tcW w:w="630" w:type="dxa"/>
            <w:shd w:val="clear" w:color="auto" w:fill="EDEDED"/>
            <w:vAlign w:val="center"/>
            <w:hideMark/>
          </w:tcPr>
          <w:p w14:paraId="45FB0818" w14:textId="77777777" w:rsidR="003325A7" w:rsidRPr="003325A7" w:rsidRDefault="003325A7" w:rsidP="003325A7">
            <w:pPr>
              <w:jc w:val="center"/>
              <w:textAlignment w:val="baseline"/>
              <w:rPr>
                <w:rFonts w:ascii="Segoe UI" w:hAnsi="Segoe UI" w:cs="Segoe UI"/>
                <w:spacing w:val="0"/>
                <w:szCs w:val="24"/>
                <w:lang w:eastAsia="en-GB"/>
              </w:rPr>
            </w:pPr>
            <w:r w:rsidRPr="003325A7">
              <w:rPr>
                <w:rFonts w:ascii="Wingdings" w:eastAsia="Wingdings" w:hAnsi="Wingdings" w:cs="Wingdings"/>
                <w:color w:val="FFC000"/>
                <w:spacing w:val="0"/>
                <w:szCs w:val="24"/>
                <w:lang w:eastAsia="en-GB"/>
              </w:rPr>
              <w:t></w:t>
            </w:r>
          </w:p>
        </w:tc>
        <w:tc>
          <w:tcPr>
            <w:tcW w:w="4665" w:type="dxa"/>
            <w:shd w:val="clear" w:color="auto" w:fill="auto"/>
            <w:vAlign w:val="center"/>
            <w:hideMark/>
          </w:tcPr>
          <w:p w14:paraId="5EB4AB55" w14:textId="77777777" w:rsidR="003325A7" w:rsidRPr="00FA1FC3" w:rsidRDefault="00FA1FC3" w:rsidP="003325A7">
            <w:pPr>
              <w:textAlignment w:val="baseline"/>
              <w:rPr>
                <w:rFonts w:cs="Arial"/>
                <w:spacing w:val="0"/>
                <w:szCs w:val="24"/>
                <w:highlight w:val="yellow"/>
                <w:lang w:eastAsia="en-GB"/>
              </w:rPr>
            </w:pPr>
            <w:r w:rsidRPr="00FA1FC3">
              <w:rPr>
                <w:rFonts w:cs="Arial"/>
                <w:spacing w:val="0"/>
                <w:szCs w:val="24"/>
                <w:lang w:eastAsia="en-GB"/>
              </w:rPr>
              <w:t>Performance is behind (but within a set level of) the Standard or Delivery Trajectory</w:t>
            </w:r>
          </w:p>
        </w:tc>
        <w:tc>
          <w:tcPr>
            <w:tcW w:w="2218" w:type="dxa"/>
            <w:shd w:val="clear" w:color="auto" w:fill="auto"/>
            <w:vAlign w:val="center"/>
            <w:hideMark/>
          </w:tcPr>
          <w:p w14:paraId="649841BE" w14:textId="77777777" w:rsidR="003325A7" w:rsidRPr="00FA1FC3" w:rsidRDefault="003325A7" w:rsidP="003325A7">
            <w:pPr>
              <w:jc w:val="center"/>
              <w:textAlignment w:val="baseline"/>
              <w:rPr>
                <w:rFonts w:ascii="Segoe UI" w:hAnsi="Segoe UI" w:cs="Segoe UI"/>
                <w:spacing w:val="0"/>
                <w:szCs w:val="24"/>
                <w:highlight w:val="yellow"/>
                <w:lang w:eastAsia="en-GB"/>
              </w:rPr>
            </w:pPr>
            <w:r w:rsidRPr="003807B4">
              <w:rPr>
                <w:rFonts w:cs="Arial"/>
                <w:color w:val="000000"/>
                <w:spacing w:val="0"/>
                <w:szCs w:val="24"/>
                <w:lang w:eastAsia="en-GB"/>
              </w:rPr>
              <w:t>1</w:t>
            </w:r>
          </w:p>
        </w:tc>
      </w:tr>
      <w:tr w:rsidR="003325A7" w:rsidRPr="003325A7" w14:paraId="433032CC" w14:textId="77777777" w:rsidTr="009C1B9D">
        <w:trPr>
          <w:trHeight w:val="300"/>
        </w:trPr>
        <w:tc>
          <w:tcPr>
            <w:tcW w:w="630" w:type="dxa"/>
            <w:shd w:val="clear" w:color="auto" w:fill="EDEDED"/>
            <w:vAlign w:val="center"/>
            <w:hideMark/>
          </w:tcPr>
          <w:p w14:paraId="049F31CB" w14:textId="77777777" w:rsidR="003325A7" w:rsidRPr="003325A7" w:rsidRDefault="003325A7" w:rsidP="003325A7">
            <w:pPr>
              <w:jc w:val="center"/>
              <w:textAlignment w:val="baseline"/>
              <w:rPr>
                <w:rFonts w:ascii="Segoe UI" w:hAnsi="Segoe UI" w:cs="Segoe UI"/>
                <w:spacing w:val="0"/>
                <w:szCs w:val="24"/>
                <w:lang w:eastAsia="en-GB"/>
              </w:rPr>
            </w:pPr>
            <w:r w:rsidRPr="003325A7">
              <w:rPr>
                <w:rFonts w:ascii="Wingdings" w:eastAsia="Wingdings" w:hAnsi="Wingdings" w:cs="Wingdings"/>
                <w:color w:val="00B050"/>
                <w:spacing w:val="0"/>
                <w:szCs w:val="24"/>
                <w:lang w:eastAsia="en-GB"/>
              </w:rPr>
              <w:t></w:t>
            </w:r>
          </w:p>
        </w:tc>
        <w:tc>
          <w:tcPr>
            <w:tcW w:w="4665" w:type="dxa"/>
            <w:shd w:val="clear" w:color="auto" w:fill="auto"/>
            <w:vAlign w:val="center"/>
            <w:hideMark/>
          </w:tcPr>
          <w:p w14:paraId="2C33140A" w14:textId="77777777" w:rsidR="003325A7" w:rsidRPr="00FA1FC3" w:rsidRDefault="00FA1FC3" w:rsidP="003325A7">
            <w:pPr>
              <w:textAlignment w:val="baseline"/>
              <w:rPr>
                <w:rFonts w:cs="Arial"/>
                <w:spacing w:val="0"/>
                <w:szCs w:val="24"/>
                <w:highlight w:val="yellow"/>
                <w:lang w:eastAsia="en-GB"/>
              </w:rPr>
            </w:pPr>
            <w:r w:rsidRPr="00FA1FC3">
              <w:rPr>
                <w:rFonts w:cs="Arial"/>
                <w:spacing w:val="0"/>
                <w:szCs w:val="24"/>
                <w:lang w:eastAsia="en-GB"/>
              </w:rPr>
              <w:t>Performance meets or exceeds the required Standard (or is on schedule to meet its annual Target)</w:t>
            </w:r>
          </w:p>
        </w:tc>
        <w:tc>
          <w:tcPr>
            <w:tcW w:w="2218" w:type="dxa"/>
            <w:shd w:val="clear" w:color="auto" w:fill="auto"/>
            <w:vAlign w:val="center"/>
            <w:hideMark/>
          </w:tcPr>
          <w:p w14:paraId="2B2B7304" w14:textId="77777777" w:rsidR="003325A7" w:rsidRPr="00FA1FC3" w:rsidRDefault="003807B4" w:rsidP="003325A7">
            <w:pPr>
              <w:jc w:val="center"/>
              <w:textAlignment w:val="baseline"/>
              <w:rPr>
                <w:rFonts w:ascii="Segoe UI" w:hAnsi="Segoe UI" w:cs="Segoe UI"/>
                <w:spacing w:val="0"/>
                <w:szCs w:val="24"/>
                <w:highlight w:val="yellow"/>
                <w:lang w:eastAsia="en-GB"/>
              </w:rPr>
            </w:pPr>
            <w:r w:rsidRPr="003807B4">
              <w:rPr>
                <w:rFonts w:cs="Arial"/>
                <w:color w:val="000000"/>
                <w:spacing w:val="0"/>
                <w:szCs w:val="24"/>
                <w:lang w:eastAsia="en-GB"/>
              </w:rPr>
              <w:t>9</w:t>
            </w:r>
          </w:p>
        </w:tc>
      </w:tr>
      <w:tr w:rsidR="00FA1FC3" w:rsidRPr="003325A7" w14:paraId="68248551" w14:textId="77777777" w:rsidTr="009C1B9D">
        <w:trPr>
          <w:trHeight w:val="300"/>
        </w:trPr>
        <w:tc>
          <w:tcPr>
            <w:tcW w:w="630" w:type="dxa"/>
            <w:shd w:val="clear" w:color="auto" w:fill="EDEDED"/>
            <w:vAlign w:val="center"/>
          </w:tcPr>
          <w:p w14:paraId="53128261" w14:textId="77777777" w:rsidR="00FA1FC3" w:rsidRPr="003325A7" w:rsidRDefault="00FA1FC3" w:rsidP="003325A7">
            <w:pPr>
              <w:jc w:val="center"/>
              <w:textAlignment w:val="baseline"/>
              <w:rPr>
                <w:rFonts w:ascii="Wingdings" w:hAnsi="Wingdings" w:cs="Segoe UI"/>
                <w:color w:val="00B050"/>
                <w:spacing w:val="0"/>
                <w:szCs w:val="24"/>
                <w:lang w:eastAsia="en-GB"/>
              </w:rPr>
            </w:pPr>
            <w:r w:rsidRPr="00FA1FC3">
              <w:rPr>
                <w:rFonts w:ascii="Wingdings" w:eastAsia="Wingdings" w:hAnsi="Wingdings" w:cs="Wingdings"/>
                <w:color w:val="00B0F0"/>
                <w:spacing w:val="0"/>
                <w:szCs w:val="24"/>
                <w:lang w:eastAsia="en-GB"/>
              </w:rPr>
              <w:t></w:t>
            </w:r>
          </w:p>
        </w:tc>
        <w:tc>
          <w:tcPr>
            <w:tcW w:w="4665" w:type="dxa"/>
            <w:shd w:val="clear" w:color="auto" w:fill="auto"/>
            <w:vAlign w:val="center"/>
          </w:tcPr>
          <w:p w14:paraId="6F24A0C4" w14:textId="77777777" w:rsidR="00FA1FC3" w:rsidRPr="00FA1FC3" w:rsidRDefault="00FA1FC3" w:rsidP="003325A7">
            <w:pPr>
              <w:textAlignment w:val="baseline"/>
              <w:rPr>
                <w:rFonts w:cs="Arial"/>
                <w:spacing w:val="0"/>
                <w:szCs w:val="24"/>
                <w:lang w:eastAsia="en-GB"/>
              </w:rPr>
            </w:pPr>
            <w:r w:rsidRPr="00FA1FC3">
              <w:rPr>
                <w:color w:val="000000"/>
                <w:szCs w:val="24"/>
                <w:lang w:eastAsia="en-GB"/>
              </w:rPr>
              <w:t>Bed Occupancy is below target</w:t>
            </w:r>
          </w:p>
        </w:tc>
        <w:tc>
          <w:tcPr>
            <w:tcW w:w="2218" w:type="dxa"/>
            <w:shd w:val="clear" w:color="auto" w:fill="auto"/>
            <w:vAlign w:val="center"/>
          </w:tcPr>
          <w:p w14:paraId="4B584315" w14:textId="77777777" w:rsidR="00FA1FC3" w:rsidRPr="00FA1FC3" w:rsidRDefault="00FA1FC3" w:rsidP="003325A7">
            <w:pPr>
              <w:jc w:val="center"/>
              <w:textAlignment w:val="baseline"/>
              <w:rPr>
                <w:rFonts w:cs="Arial"/>
                <w:color w:val="000000"/>
                <w:spacing w:val="0"/>
                <w:szCs w:val="24"/>
                <w:highlight w:val="yellow"/>
                <w:lang w:eastAsia="en-GB"/>
              </w:rPr>
            </w:pPr>
            <w:r w:rsidRPr="003807B4">
              <w:rPr>
                <w:rFonts w:cs="Arial"/>
                <w:color w:val="000000"/>
                <w:spacing w:val="0"/>
                <w:szCs w:val="24"/>
                <w:lang w:eastAsia="en-GB"/>
              </w:rPr>
              <w:t>0</w:t>
            </w:r>
          </w:p>
        </w:tc>
      </w:tr>
      <w:tr w:rsidR="003325A7" w:rsidRPr="00BA6977" w14:paraId="4C7BFF12" w14:textId="77777777" w:rsidTr="009C1B9D">
        <w:trPr>
          <w:trHeight w:val="300"/>
        </w:trPr>
        <w:tc>
          <w:tcPr>
            <w:tcW w:w="630" w:type="dxa"/>
            <w:shd w:val="clear" w:color="auto" w:fill="EDEDED"/>
            <w:vAlign w:val="center"/>
            <w:hideMark/>
          </w:tcPr>
          <w:p w14:paraId="62486C05" w14:textId="77777777" w:rsidR="003325A7" w:rsidRPr="003325A7" w:rsidRDefault="003325A7" w:rsidP="003325A7">
            <w:pPr>
              <w:jc w:val="center"/>
              <w:textAlignment w:val="baseline"/>
              <w:rPr>
                <w:rFonts w:ascii="Segoe UI" w:hAnsi="Segoe UI" w:cs="Segoe UI"/>
                <w:spacing w:val="0"/>
                <w:szCs w:val="24"/>
                <w:lang w:eastAsia="en-GB"/>
              </w:rPr>
            </w:pPr>
          </w:p>
        </w:tc>
        <w:tc>
          <w:tcPr>
            <w:tcW w:w="4665" w:type="dxa"/>
            <w:shd w:val="clear" w:color="auto" w:fill="auto"/>
            <w:vAlign w:val="center"/>
            <w:hideMark/>
          </w:tcPr>
          <w:p w14:paraId="2F42EFFD" w14:textId="77777777" w:rsidR="003325A7" w:rsidRPr="003325A7" w:rsidRDefault="003325A7" w:rsidP="003325A7">
            <w:pPr>
              <w:textAlignment w:val="baseline"/>
              <w:rPr>
                <w:rFonts w:ascii="Segoe UI" w:hAnsi="Segoe UI" w:cs="Segoe UI"/>
                <w:spacing w:val="0"/>
                <w:szCs w:val="24"/>
                <w:lang w:eastAsia="en-GB"/>
              </w:rPr>
            </w:pPr>
            <w:r w:rsidRPr="003325A7">
              <w:rPr>
                <w:rFonts w:cs="Arial"/>
                <w:b/>
                <w:bCs/>
                <w:color w:val="000000"/>
                <w:spacing w:val="0"/>
                <w:szCs w:val="24"/>
                <w:lang w:eastAsia="en-GB"/>
              </w:rPr>
              <w:t>Total</w:t>
            </w:r>
            <w:r w:rsidRPr="003325A7">
              <w:rPr>
                <w:rFonts w:cs="Arial"/>
                <w:color w:val="000000"/>
                <w:spacing w:val="0"/>
                <w:szCs w:val="24"/>
                <w:lang w:eastAsia="en-GB"/>
              </w:rPr>
              <w:t> </w:t>
            </w:r>
          </w:p>
        </w:tc>
        <w:tc>
          <w:tcPr>
            <w:tcW w:w="2218" w:type="dxa"/>
            <w:shd w:val="clear" w:color="auto" w:fill="auto"/>
            <w:vAlign w:val="center"/>
            <w:hideMark/>
          </w:tcPr>
          <w:p w14:paraId="7B568215" w14:textId="77777777" w:rsidR="003325A7" w:rsidRPr="003325A7" w:rsidRDefault="003325A7" w:rsidP="00BA6977">
            <w:pPr>
              <w:keepNext/>
              <w:jc w:val="center"/>
              <w:textAlignment w:val="baseline"/>
              <w:rPr>
                <w:rFonts w:ascii="Segoe UI" w:hAnsi="Segoe UI" w:cs="Segoe UI"/>
                <w:spacing w:val="0"/>
                <w:szCs w:val="24"/>
                <w:lang w:eastAsia="en-GB"/>
              </w:rPr>
            </w:pPr>
            <w:r w:rsidRPr="00BA6977">
              <w:rPr>
                <w:rFonts w:cs="Arial"/>
                <w:b/>
                <w:bCs/>
                <w:color w:val="000000"/>
                <w:spacing w:val="0"/>
                <w:szCs w:val="24"/>
                <w:lang w:eastAsia="en-GB"/>
              </w:rPr>
              <w:t>21</w:t>
            </w:r>
          </w:p>
        </w:tc>
      </w:tr>
    </w:tbl>
    <w:p w14:paraId="14E5E494" w14:textId="77777777" w:rsidR="003325A7" w:rsidRDefault="00BA6977" w:rsidP="007B7877">
      <w:pPr>
        <w:pStyle w:val="Caption"/>
        <w:spacing w:after="0"/>
        <w:ind w:left="709"/>
        <w:rPr>
          <w:sz w:val="24"/>
          <w:szCs w:val="24"/>
        </w:rPr>
      </w:pPr>
      <w:r w:rsidRPr="00FA1FC3">
        <w:rPr>
          <w:sz w:val="24"/>
          <w:szCs w:val="24"/>
        </w:rPr>
        <w:t xml:space="preserve">Table </w:t>
      </w:r>
      <w:r w:rsidR="00EF7A3B" w:rsidRPr="00FA1FC3">
        <w:rPr>
          <w:sz w:val="24"/>
          <w:szCs w:val="24"/>
        </w:rPr>
        <w:fldChar w:fldCharType="begin"/>
      </w:r>
      <w:r w:rsidR="00EF7A3B" w:rsidRPr="00FA1FC3">
        <w:rPr>
          <w:sz w:val="24"/>
          <w:szCs w:val="24"/>
        </w:rPr>
        <w:instrText xml:space="preserve"> SEQ Table \* ARABIC </w:instrText>
      </w:r>
      <w:r w:rsidR="00EF7A3B" w:rsidRPr="00FA1FC3">
        <w:rPr>
          <w:sz w:val="24"/>
          <w:szCs w:val="24"/>
        </w:rPr>
        <w:fldChar w:fldCharType="separate"/>
      </w:r>
      <w:r w:rsidR="007B7877" w:rsidRPr="00FA1FC3">
        <w:rPr>
          <w:noProof/>
          <w:sz w:val="24"/>
          <w:szCs w:val="24"/>
        </w:rPr>
        <w:t>1</w:t>
      </w:r>
      <w:r w:rsidR="00EF7A3B" w:rsidRPr="00FA1FC3">
        <w:rPr>
          <w:sz w:val="24"/>
          <w:szCs w:val="24"/>
        </w:rPr>
        <w:fldChar w:fldCharType="end"/>
      </w:r>
      <w:r w:rsidRPr="00FA1FC3">
        <w:rPr>
          <w:sz w:val="24"/>
          <w:szCs w:val="24"/>
        </w:rPr>
        <w:t>: RAG Position February end 2025</w:t>
      </w:r>
    </w:p>
    <w:p w14:paraId="6AC0B89F" w14:textId="77777777" w:rsidR="006D7D93" w:rsidRDefault="006D7D93" w:rsidP="29802A05">
      <w:pPr>
        <w:spacing w:before="40" w:after="40" w:line="276" w:lineRule="auto"/>
        <w:ind w:left="709" w:firstLine="11"/>
        <w:rPr>
          <w:rFonts w:cs="Arial"/>
          <w:b/>
          <w:bCs/>
          <w:color w:val="000000" w:themeColor="text1"/>
        </w:rPr>
        <w:sectPr w:rsidR="006D7D93" w:rsidSect="002A5AE1">
          <w:headerReference w:type="default" r:id="rId11"/>
          <w:footerReference w:type="default" r:id="rId12"/>
          <w:pgSz w:w="11906" w:h="16838"/>
          <w:pgMar w:top="827" w:right="849" w:bottom="851" w:left="993" w:header="570" w:footer="638" w:gutter="0"/>
          <w:cols w:space="708"/>
          <w:docGrid w:linePitch="360"/>
        </w:sectPr>
      </w:pPr>
    </w:p>
    <w:p w14:paraId="46F1DFC2" w14:textId="44B18ED1" w:rsidR="29802A05" w:rsidRDefault="29802A05" w:rsidP="29802A05">
      <w:pPr>
        <w:spacing w:before="40" w:after="40" w:line="276" w:lineRule="auto"/>
        <w:ind w:left="709" w:firstLine="11"/>
        <w:rPr>
          <w:rFonts w:cs="Arial"/>
          <w:b/>
          <w:bCs/>
          <w:color w:val="000000" w:themeColor="text1"/>
        </w:rPr>
      </w:pPr>
      <w:r w:rsidRPr="29802A05">
        <w:rPr>
          <w:rFonts w:cs="Arial"/>
          <w:b/>
          <w:bCs/>
          <w:color w:val="000000" w:themeColor="text1"/>
        </w:rPr>
        <w:lastRenderedPageBreak/>
        <w:t>Areas of Performance Improvement</w:t>
      </w:r>
    </w:p>
    <w:p w14:paraId="7EFEA9FF" w14:textId="40E7A26C" w:rsidR="29802A05" w:rsidRDefault="29802A05" w:rsidP="29802A05">
      <w:pPr>
        <w:spacing w:before="40" w:after="40" w:line="276" w:lineRule="auto"/>
        <w:ind w:left="709" w:firstLine="11"/>
        <w:rPr>
          <w:rFonts w:cs="Arial"/>
          <w:color w:val="000000" w:themeColor="text1"/>
        </w:rPr>
      </w:pPr>
    </w:p>
    <w:p w14:paraId="787A57F5" w14:textId="43B2148F" w:rsidR="29802A05" w:rsidRDefault="29802A05" w:rsidP="006D6D61">
      <w:pPr>
        <w:spacing w:before="40" w:after="40" w:line="276" w:lineRule="auto"/>
        <w:ind w:left="709" w:firstLine="11"/>
        <w:rPr>
          <w:rFonts w:cs="Arial"/>
          <w:color w:val="000000" w:themeColor="text1"/>
        </w:rPr>
      </w:pPr>
      <w:r w:rsidRPr="29802A05">
        <w:rPr>
          <w:rFonts w:cs="Arial"/>
          <w:color w:val="000000" w:themeColor="text1"/>
        </w:rPr>
        <w:t xml:space="preserve">KPIs which demonstrate an improvement in RAG status since the January end reporting period, are identified within table </w:t>
      </w:r>
      <w:r w:rsidR="00B507B8">
        <w:rPr>
          <w:rFonts w:cs="Arial"/>
          <w:color w:val="000000" w:themeColor="text1"/>
        </w:rPr>
        <w:t>2</w:t>
      </w:r>
      <w:r w:rsidRPr="29802A05">
        <w:rPr>
          <w:rFonts w:cs="Arial"/>
          <w:color w:val="000000" w:themeColor="text1"/>
        </w:rPr>
        <w:t>:</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39"/>
        <w:gridCol w:w="1355"/>
        <w:gridCol w:w="1206"/>
        <w:gridCol w:w="4346"/>
      </w:tblGrid>
      <w:tr w:rsidR="00D16591" w14:paraId="13793674" w14:textId="3EBDAF20" w:rsidTr="18F37D7D">
        <w:trPr>
          <w:trHeight w:val="300"/>
        </w:trPr>
        <w:tc>
          <w:tcPr>
            <w:tcW w:w="3373" w:type="dxa"/>
            <w:shd w:val="clear" w:color="auto" w:fill="D6DCE4"/>
            <w:vAlign w:val="center"/>
          </w:tcPr>
          <w:p w14:paraId="3542CB32" w14:textId="77777777" w:rsidR="00D16591" w:rsidRDefault="00D16591" w:rsidP="29802A05">
            <w:pPr>
              <w:jc w:val="center"/>
              <w:rPr>
                <w:rFonts w:cs="Arial"/>
                <w:lang w:eastAsia="en-GB"/>
              </w:rPr>
            </w:pPr>
            <w:r w:rsidRPr="29802A05">
              <w:rPr>
                <w:rFonts w:cs="Arial"/>
                <w:b/>
                <w:bCs/>
                <w:color w:val="000000" w:themeColor="text1"/>
                <w:lang w:eastAsia="en-GB"/>
              </w:rPr>
              <w:t>Indicator Title</w:t>
            </w:r>
          </w:p>
        </w:tc>
        <w:tc>
          <w:tcPr>
            <w:tcW w:w="1526" w:type="dxa"/>
            <w:shd w:val="clear" w:color="auto" w:fill="D6DCE4"/>
          </w:tcPr>
          <w:p w14:paraId="458182BE" w14:textId="77777777" w:rsidR="00D16591" w:rsidRDefault="00D16591" w:rsidP="29802A05">
            <w:pPr>
              <w:jc w:val="center"/>
              <w:rPr>
                <w:rFonts w:ascii="Segoe UI" w:hAnsi="Segoe UI" w:cs="Segoe UI"/>
                <w:lang w:eastAsia="en-GB"/>
              </w:rPr>
            </w:pPr>
            <w:r w:rsidRPr="29802A05">
              <w:rPr>
                <w:rFonts w:cs="Arial"/>
                <w:b/>
                <w:bCs/>
                <w:color w:val="000000" w:themeColor="text1"/>
                <w:lang w:eastAsia="en-GB"/>
              </w:rPr>
              <w:t>Previous RAG Status</w:t>
            </w:r>
          </w:p>
        </w:tc>
        <w:tc>
          <w:tcPr>
            <w:tcW w:w="1372" w:type="dxa"/>
            <w:shd w:val="clear" w:color="auto" w:fill="D6DCE4"/>
          </w:tcPr>
          <w:p w14:paraId="56A6F231" w14:textId="77777777" w:rsidR="00D16591" w:rsidRDefault="00D16591" w:rsidP="29802A05">
            <w:pPr>
              <w:jc w:val="center"/>
              <w:rPr>
                <w:rFonts w:cs="Arial"/>
                <w:b/>
                <w:bCs/>
                <w:color w:val="000000" w:themeColor="text1"/>
                <w:lang w:eastAsia="en-GB"/>
              </w:rPr>
            </w:pPr>
            <w:r w:rsidRPr="29802A05">
              <w:rPr>
                <w:rFonts w:cs="Arial"/>
                <w:b/>
                <w:bCs/>
                <w:color w:val="000000" w:themeColor="text1"/>
                <w:lang w:eastAsia="en-GB"/>
              </w:rPr>
              <w:t>Current RAG Status</w:t>
            </w:r>
          </w:p>
        </w:tc>
        <w:tc>
          <w:tcPr>
            <w:tcW w:w="7479" w:type="dxa"/>
            <w:shd w:val="clear" w:color="auto" w:fill="D6DCE4"/>
          </w:tcPr>
          <w:p w14:paraId="0DF42D01" w14:textId="63B754F2" w:rsidR="00D16591" w:rsidRPr="29802A05" w:rsidRDefault="00D16591" w:rsidP="29802A05">
            <w:pPr>
              <w:jc w:val="center"/>
              <w:rPr>
                <w:rFonts w:cs="Arial"/>
                <w:b/>
                <w:bCs/>
                <w:color w:val="000000" w:themeColor="text1"/>
                <w:lang w:eastAsia="en-GB"/>
              </w:rPr>
            </w:pPr>
            <w:r>
              <w:rPr>
                <w:rFonts w:cs="Arial"/>
                <w:b/>
                <w:bCs/>
                <w:color w:val="000000" w:themeColor="text1"/>
                <w:lang w:eastAsia="en-GB"/>
              </w:rPr>
              <w:t>Comments</w:t>
            </w:r>
          </w:p>
        </w:tc>
      </w:tr>
      <w:tr w:rsidR="00D16591" w14:paraId="0146EC04" w14:textId="09907985" w:rsidTr="008460D3">
        <w:trPr>
          <w:trHeight w:val="300"/>
        </w:trPr>
        <w:tc>
          <w:tcPr>
            <w:tcW w:w="3373" w:type="dxa"/>
            <w:shd w:val="clear" w:color="auto" w:fill="auto"/>
            <w:vAlign w:val="center"/>
          </w:tcPr>
          <w:p w14:paraId="08A6E448" w14:textId="77777777" w:rsidR="00D16591" w:rsidRDefault="00D16591" w:rsidP="29802A05">
            <w:pPr>
              <w:rPr>
                <w:rFonts w:cs="Arial"/>
                <w:lang w:eastAsia="en-GB"/>
              </w:rPr>
            </w:pPr>
            <w:r w:rsidRPr="29802A05">
              <w:rPr>
                <w:rFonts w:cs="Arial"/>
                <w:lang w:eastAsia="en-GB"/>
              </w:rPr>
              <w:t>Stage 1 complaints response rate</w:t>
            </w:r>
          </w:p>
        </w:tc>
        <w:tc>
          <w:tcPr>
            <w:tcW w:w="1526" w:type="dxa"/>
            <w:shd w:val="clear" w:color="auto" w:fill="auto"/>
            <w:vAlign w:val="center"/>
          </w:tcPr>
          <w:p w14:paraId="12D486A6" w14:textId="77777777" w:rsidR="00D16591" w:rsidRDefault="00D16591" w:rsidP="29802A05">
            <w:pPr>
              <w:jc w:val="center"/>
              <w:rPr>
                <w:rFonts w:ascii="Wingdings" w:hAnsi="Wingdings" w:cs="Segoe UI"/>
                <w:color w:val="FF0000"/>
                <w:lang w:eastAsia="en-GB"/>
              </w:rPr>
            </w:pPr>
            <w:r w:rsidRPr="29802A05">
              <w:rPr>
                <w:rFonts w:ascii="Wingdings" w:hAnsi="Wingdings" w:cs="Segoe UI"/>
                <w:color w:val="FF0000"/>
                <w:lang w:eastAsia="en-GB"/>
              </w:rPr>
              <w:t></w:t>
            </w:r>
          </w:p>
        </w:tc>
        <w:tc>
          <w:tcPr>
            <w:tcW w:w="1372" w:type="dxa"/>
            <w:vAlign w:val="center"/>
          </w:tcPr>
          <w:p w14:paraId="7FB4C761" w14:textId="77777777" w:rsidR="00D16591" w:rsidRDefault="00D16591" w:rsidP="29802A05">
            <w:pPr>
              <w:jc w:val="center"/>
              <w:rPr>
                <w:rFonts w:ascii="Wingdings" w:hAnsi="Wingdings" w:cs="Segoe UI"/>
                <w:color w:val="00B050"/>
                <w:lang w:eastAsia="en-GB"/>
              </w:rPr>
            </w:pPr>
            <w:r w:rsidRPr="29802A05">
              <w:rPr>
                <w:rFonts w:ascii="Wingdings" w:eastAsia="Wingdings" w:hAnsi="Wingdings" w:cs="Wingdings"/>
                <w:color w:val="00B050"/>
                <w:lang w:eastAsia="en-GB"/>
              </w:rPr>
              <w:t></w:t>
            </w:r>
          </w:p>
        </w:tc>
        <w:tc>
          <w:tcPr>
            <w:tcW w:w="7479" w:type="dxa"/>
          </w:tcPr>
          <w:p w14:paraId="06928959" w14:textId="52F38FFD" w:rsidR="00D16591" w:rsidRPr="29802A05" w:rsidRDefault="0AE7C44F" w:rsidP="18F37D7D">
            <w:pPr>
              <w:rPr>
                <w:rFonts w:cs="Arial"/>
                <w:lang w:eastAsia="en-GB"/>
              </w:rPr>
            </w:pPr>
            <w:r w:rsidRPr="18F37D7D">
              <w:rPr>
                <w:rFonts w:cs="Arial"/>
                <w:lang w:eastAsia="en-GB"/>
              </w:rPr>
              <w:t>There were zero complaints in the period returning the indicator to Green following 1 out of 2 (50%) complaints responded to in time in the previous month</w:t>
            </w:r>
          </w:p>
        </w:tc>
      </w:tr>
      <w:tr w:rsidR="00D16591" w14:paraId="0314DE3C" w14:textId="3A278922" w:rsidTr="008460D3">
        <w:trPr>
          <w:trHeight w:val="300"/>
        </w:trPr>
        <w:tc>
          <w:tcPr>
            <w:tcW w:w="3373" w:type="dxa"/>
            <w:shd w:val="clear" w:color="auto" w:fill="auto"/>
            <w:vAlign w:val="center"/>
          </w:tcPr>
          <w:p w14:paraId="0D7D4391" w14:textId="77777777" w:rsidR="00D16591" w:rsidRDefault="00D16591" w:rsidP="29802A05">
            <w:pPr>
              <w:rPr>
                <w:rFonts w:cs="Arial"/>
                <w:lang w:eastAsia="en-GB"/>
              </w:rPr>
            </w:pPr>
            <w:r w:rsidRPr="29802A05">
              <w:rPr>
                <w:rFonts w:cs="Arial"/>
                <w:lang w:eastAsia="en-GB"/>
              </w:rPr>
              <w:t xml:space="preserve">MRSA/MSSA </w:t>
            </w:r>
            <w:proofErr w:type="spellStart"/>
            <w:r w:rsidRPr="29802A05">
              <w:rPr>
                <w:rFonts w:cs="Arial"/>
                <w:lang w:eastAsia="en-GB"/>
              </w:rPr>
              <w:t>bacteraemias</w:t>
            </w:r>
            <w:proofErr w:type="spellEnd"/>
            <w:r w:rsidRPr="29802A05">
              <w:rPr>
                <w:rFonts w:cs="Arial"/>
                <w:lang w:eastAsia="en-GB"/>
              </w:rPr>
              <w:t xml:space="preserve"> per 100,000 Occ. Bed Days</w:t>
            </w:r>
          </w:p>
        </w:tc>
        <w:tc>
          <w:tcPr>
            <w:tcW w:w="1526" w:type="dxa"/>
            <w:shd w:val="clear" w:color="auto" w:fill="auto"/>
            <w:vAlign w:val="center"/>
          </w:tcPr>
          <w:p w14:paraId="1D19F1C5" w14:textId="77777777" w:rsidR="00D16591" w:rsidRDefault="00D16591" w:rsidP="29802A05">
            <w:pPr>
              <w:jc w:val="center"/>
              <w:rPr>
                <w:rFonts w:ascii="Segoe UI" w:hAnsi="Segoe UI" w:cs="Segoe UI"/>
                <w:lang w:eastAsia="en-GB"/>
              </w:rPr>
            </w:pPr>
            <w:r w:rsidRPr="29802A05">
              <w:rPr>
                <w:rFonts w:ascii="Wingdings" w:eastAsia="Wingdings" w:hAnsi="Wingdings" w:cs="Wingdings"/>
                <w:color w:val="FF0000"/>
                <w:lang w:eastAsia="en-GB"/>
              </w:rPr>
              <w:t></w:t>
            </w:r>
          </w:p>
        </w:tc>
        <w:tc>
          <w:tcPr>
            <w:tcW w:w="1372" w:type="dxa"/>
            <w:vAlign w:val="center"/>
          </w:tcPr>
          <w:p w14:paraId="621ECD12" w14:textId="77777777" w:rsidR="00D16591" w:rsidRDefault="00D16591" w:rsidP="29802A05">
            <w:pPr>
              <w:jc w:val="center"/>
              <w:rPr>
                <w:rFonts w:cs="Arial"/>
                <w:color w:val="FF0000"/>
                <w:lang w:eastAsia="en-GB"/>
              </w:rPr>
            </w:pPr>
            <w:r w:rsidRPr="29802A05">
              <w:rPr>
                <w:rFonts w:ascii="Wingdings" w:eastAsia="Wingdings" w:hAnsi="Wingdings" w:cs="Wingdings"/>
                <w:color w:val="00B050"/>
                <w:lang w:eastAsia="en-GB"/>
              </w:rPr>
              <w:t></w:t>
            </w:r>
          </w:p>
        </w:tc>
        <w:tc>
          <w:tcPr>
            <w:tcW w:w="7479" w:type="dxa"/>
          </w:tcPr>
          <w:p w14:paraId="19C4A4C3" w14:textId="24C851EA" w:rsidR="00D16591" w:rsidRPr="29802A05" w:rsidRDefault="22AA6F87" w:rsidP="18F37D7D">
            <w:pPr>
              <w:rPr>
                <w:rFonts w:cs="Arial"/>
                <w:lang w:eastAsia="en-GB"/>
              </w:rPr>
            </w:pPr>
            <w:r w:rsidRPr="18F37D7D">
              <w:rPr>
                <w:rFonts w:cs="Arial"/>
                <w:lang w:eastAsia="en-GB"/>
              </w:rPr>
              <w:t xml:space="preserve">There were zero MRSA/MSSA </w:t>
            </w:r>
            <w:proofErr w:type="spellStart"/>
            <w:r w:rsidRPr="18F37D7D">
              <w:rPr>
                <w:rFonts w:cs="Arial"/>
                <w:lang w:eastAsia="en-GB"/>
              </w:rPr>
              <w:t>bacteraemias</w:t>
            </w:r>
            <w:proofErr w:type="spellEnd"/>
            <w:r w:rsidRPr="18F37D7D">
              <w:rPr>
                <w:rFonts w:cs="Arial"/>
                <w:lang w:eastAsia="en-GB"/>
              </w:rPr>
              <w:t xml:space="preserve"> reported in February 2025 following 2 reported cases in January.</w:t>
            </w:r>
          </w:p>
        </w:tc>
      </w:tr>
    </w:tbl>
    <w:p w14:paraId="0E2B2EE7" w14:textId="2AFCF952" w:rsidR="29802A05" w:rsidRDefault="29802A05" w:rsidP="002C775C">
      <w:pPr>
        <w:pStyle w:val="Caption"/>
        <w:spacing w:after="0"/>
        <w:ind w:left="709"/>
        <w:rPr>
          <w:rFonts w:cs="Arial"/>
          <w:color w:val="000000" w:themeColor="text1"/>
          <w:sz w:val="24"/>
          <w:szCs w:val="24"/>
        </w:rPr>
      </w:pPr>
      <w:r w:rsidRPr="18F37D7D">
        <w:rPr>
          <w:sz w:val="24"/>
          <w:szCs w:val="24"/>
        </w:rPr>
        <w:t xml:space="preserve">Table </w:t>
      </w:r>
      <w:r w:rsidR="00B507B8" w:rsidRPr="18F37D7D">
        <w:rPr>
          <w:sz w:val="24"/>
          <w:szCs w:val="24"/>
        </w:rPr>
        <w:t>2</w:t>
      </w:r>
      <w:r w:rsidRPr="18F37D7D">
        <w:rPr>
          <w:sz w:val="24"/>
          <w:szCs w:val="24"/>
        </w:rPr>
        <w:t>: RAG status improvements since previous report</w:t>
      </w:r>
    </w:p>
    <w:p w14:paraId="110FFD37" w14:textId="07F4F2A9" w:rsidR="007B7877" w:rsidRPr="00B507B8" w:rsidRDefault="00EF7A3B" w:rsidP="00B507B8">
      <w:pPr>
        <w:spacing w:before="40" w:after="40" w:line="276" w:lineRule="auto"/>
        <w:ind w:left="709" w:firstLine="11"/>
        <w:rPr>
          <w:rFonts w:cs="Arial"/>
          <w:color w:val="000000" w:themeColor="text1"/>
          <w:highlight w:val="yellow"/>
        </w:rPr>
      </w:pPr>
      <w:r w:rsidRPr="29802A05">
        <w:rPr>
          <w:i/>
          <w:iCs/>
          <w:color w:val="44546A" w:themeColor="text2"/>
          <w:szCs w:val="24"/>
        </w:rPr>
        <w:fldChar w:fldCharType="begin"/>
      </w:r>
      <w:r w:rsidRPr="29802A05">
        <w:rPr>
          <w:szCs w:val="24"/>
        </w:rPr>
        <w:instrText xml:space="preserve"> SEQ Table \* ARABIC </w:instrText>
      </w:r>
      <w:r w:rsidRPr="29802A05">
        <w:rPr>
          <w:i/>
          <w:iCs/>
          <w:color w:val="44546A" w:themeColor="text2"/>
          <w:szCs w:val="24"/>
        </w:rPr>
        <w:fldChar w:fldCharType="end"/>
      </w:r>
    </w:p>
    <w:p w14:paraId="61CDCEAD" w14:textId="2C8E77AC" w:rsidR="00A355C1" w:rsidRPr="00BF3AF0" w:rsidRDefault="007B7877" w:rsidP="29802A05">
      <w:pPr>
        <w:spacing w:before="40" w:after="40" w:line="276" w:lineRule="auto"/>
        <w:rPr>
          <w:rFonts w:cs="Arial"/>
          <w:b/>
          <w:bCs/>
          <w:color w:val="000000"/>
        </w:rPr>
      </w:pPr>
      <w:r w:rsidRPr="29802A05">
        <w:rPr>
          <w:i/>
          <w:iCs/>
          <w:color w:val="44546A" w:themeColor="text2"/>
          <w:szCs w:val="24"/>
        </w:rPr>
        <w:fldChar w:fldCharType="begin"/>
      </w:r>
      <w:r w:rsidRPr="29802A05">
        <w:rPr>
          <w:szCs w:val="24"/>
        </w:rPr>
        <w:instrText xml:space="preserve"> SEQ Table \* ARABIC </w:instrText>
      </w:r>
      <w:r w:rsidRPr="29802A05">
        <w:rPr>
          <w:i/>
          <w:iCs/>
          <w:color w:val="44546A" w:themeColor="text2"/>
          <w:szCs w:val="24"/>
        </w:rPr>
        <w:fldChar w:fldCharType="end"/>
      </w:r>
      <w:r w:rsidR="00A355C1">
        <w:tab/>
      </w:r>
      <w:r w:rsidR="63C44652" w:rsidRPr="00B507B8">
        <w:rPr>
          <w:rFonts w:cs="Arial"/>
          <w:b/>
          <w:bCs/>
          <w:color w:val="000000" w:themeColor="text1"/>
        </w:rPr>
        <w:t>Areas of Performance in need of Improvement</w:t>
      </w:r>
    </w:p>
    <w:p w14:paraId="128F8A2C" w14:textId="77777777" w:rsidR="00860623" w:rsidRDefault="00860623" w:rsidP="18F37D7D">
      <w:pPr>
        <w:spacing w:before="40" w:after="40" w:line="276" w:lineRule="auto"/>
        <w:ind w:left="709"/>
        <w:rPr>
          <w:rFonts w:cs="Arial"/>
          <w:color w:val="000000" w:themeColor="text1"/>
        </w:rPr>
      </w:pPr>
    </w:p>
    <w:p w14:paraId="5678A8FA" w14:textId="706E6499" w:rsidR="50176038" w:rsidRPr="006D6D61" w:rsidRDefault="006D7D93" w:rsidP="006D6D61">
      <w:pPr>
        <w:spacing w:before="40" w:after="40" w:line="276" w:lineRule="auto"/>
        <w:ind w:left="709" w:firstLine="11"/>
        <w:rPr>
          <w:rFonts w:cs="Arial"/>
          <w:color w:val="000000"/>
          <w:szCs w:val="24"/>
        </w:rPr>
      </w:pPr>
      <w:r>
        <w:rPr>
          <w:rFonts w:cs="Arial"/>
          <w:color w:val="000000"/>
          <w:szCs w:val="24"/>
        </w:rPr>
        <w:t>Table 3 identifies the KPIs reporte</w:t>
      </w:r>
      <w:r w:rsidR="006D6D61">
        <w:rPr>
          <w:rFonts w:cs="Arial"/>
          <w:color w:val="000000"/>
          <w:szCs w:val="24"/>
        </w:rPr>
        <w:t>d as a RED or AMBER RAG status:</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9"/>
        <w:gridCol w:w="1420"/>
        <w:gridCol w:w="4997"/>
      </w:tblGrid>
      <w:tr w:rsidR="00860623" w14:paraId="36888075" w14:textId="15A3A8BA" w:rsidTr="2D163A5A">
        <w:trPr>
          <w:trHeight w:val="300"/>
        </w:trPr>
        <w:tc>
          <w:tcPr>
            <w:tcW w:w="2929" w:type="dxa"/>
            <w:shd w:val="clear" w:color="auto" w:fill="D6DCE4"/>
            <w:vAlign w:val="center"/>
          </w:tcPr>
          <w:p w14:paraId="4729C402" w14:textId="77777777" w:rsidR="00860623" w:rsidRDefault="00860623" w:rsidP="29802A05">
            <w:pPr>
              <w:jc w:val="center"/>
              <w:rPr>
                <w:rFonts w:cs="Arial"/>
                <w:lang w:eastAsia="en-GB"/>
              </w:rPr>
            </w:pPr>
            <w:r w:rsidRPr="29802A05">
              <w:rPr>
                <w:rFonts w:cs="Arial"/>
                <w:b/>
                <w:bCs/>
                <w:color w:val="000000" w:themeColor="text1"/>
                <w:lang w:eastAsia="en-GB"/>
              </w:rPr>
              <w:t>Indicator Title</w:t>
            </w:r>
          </w:p>
        </w:tc>
        <w:tc>
          <w:tcPr>
            <w:tcW w:w="1420" w:type="dxa"/>
            <w:shd w:val="clear" w:color="auto" w:fill="D6DCE4"/>
          </w:tcPr>
          <w:p w14:paraId="5A1F4EB2" w14:textId="77777777" w:rsidR="00860623" w:rsidRDefault="00860623" w:rsidP="29802A05">
            <w:pPr>
              <w:jc w:val="center"/>
              <w:rPr>
                <w:rFonts w:ascii="Segoe UI" w:hAnsi="Segoe UI" w:cs="Segoe UI"/>
                <w:lang w:eastAsia="en-GB"/>
              </w:rPr>
            </w:pPr>
            <w:r w:rsidRPr="29802A05">
              <w:rPr>
                <w:rFonts w:cs="Arial"/>
                <w:b/>
                <w:bCs/>
                <w:color w:val="000000" w:themeColor="text1"/>
                <w:lang w:eastAsia="en-GB"/>
              </w:rPr>
              <w:t>RAG Status</w:t>
            </w:r>
          </w:p>
        </w:tc>
        <w:tc>
          <w:tcPr>
            <w:tcW w:w="4997" w:type="dxa"/>
            <w:shd w:val="clear" w:color="auto" w:fill="D6DCE4"/>
          </w:tcPr>
          <w:p w14:paraId="428CAEFA" w14:textId="7F6F51C9" w:rsidR="00860623" w:rsidRPr="29802A05" w:rsidRDefault="000F3D69" w:rsidP="29802A05">
            <w:pPr>
              <w:jc w:val="center"/>
              <w:rPr>
                <w:rFonts w:cs="Arial"/>
                <w:b/>
                <w:bCs/>
                <w:color w:val="000000" w:themeColor="text1"/>
                <w:lang w:eastAsia="en-GB"/>
              </w:rPr>
            </w:pPr>
            <w:r>
              <w:rPr>
                <w:rFonts w:cs="Arial"/>
                <w:b/>
                <w:bCs/>
                <w:color w:val="000000" w:themeColor="text1"/>
                <w:lang w:eastAsia="en-GB"/>
              </w:rPr>
              <w:t>Comments</w:t>
            </w:r>
          </w:p>
        </w:tc>
      </w:tr>
      <w:tr w:rsidR="00860623" w14:paraId="16F717E6" w14:textId="443CF8C5" w:rsidTr="2D163A5A">
        <w:trPr>
          <w:trHeight w:val="300"/>
        </w:trPr>
        <w:tc>
          <w:tcPr>
            <w:tcW w:w="2929" w:type="dxa"/>
            <w:shd w:val="clear" w:color="auto" w:fill="auto"/>
            <w:vAlign w:val="center"/>
          </w:tcPr>
          <w:p w14:paraId="625DE492" w14:textId="77777777" w:rsidR="00860623" w:rsidRDefault="00860623" w:rsidP="29802A05">
            <w:pPr>
              <w:rPr>
                <w:rFonts w:cs="Arial"/>
                <w:lang w:eastAsia="en-GB"/>
              </w:rPr>
            </w:pPr>
            <w:r w:rsidRPr="29802A05">
              <w:rPr>
                <w:rFonts w:cs="Arial"/>
                <w:lang w:eastAsia="en-GB"/>
              </w:rPr>
              <w:t>Stage 2 complaints response rate</w:t>
            </w:r>
          </w:p>
        </w:tc>
        <w:tc>
          <w:tcPr>
            <w:tcW w:w="1420" w:type="dxa"/>
            <w:shd w:val="clear" w:color="auto" w:fill="auto"/>
            <w:vAlign w:val="center"/>
          </w:tcPr>
          <w:p w14:paraId="7FCE727A" w14:textId="77777777" w:rsidR="00860623" w:rsidRDefault="00860623" w:rsidP="29802A05">
            <w:pPr>
              <w:jc w:val="center"/>
              <w:rPr>
                <w:rFonts w:ascii="Segoe UI" w:hAnsi="Segoe UI" w:cs="Segoe UI"/>
                <w:lang w:eastAsia="en-GB"/>
              </w:rPr>
            </w:pPr>
            <w:r w:rsidRPr="29802A05">
              <w:rPr>
                <w:rFonts w:ascii="Wingdings" w:eastAsia="Wingdings" w:hAnsi="Wingdings" w:cs="Wingdings"/>
                <w:color w:val="FF0000"/>
                <w:lang w:eastAsia="en-GB"/>
              </w:rPr>
              <w:t></w:t>
            </w:r>
          </w:p>
        </w:tc>
        <w:tc>
          <w:tcPr>
            <w:tcW w:w="4997" w:type="dxa"/>
          </w:tcPr>
          <w:p w14:paraId="72207FA5" w14:textId="016AA359" w:rsidR="00860623" w:rsidRPr="29802A05" w:rsidRDefault="205DB083" w:rsidP="18F37D7D">
            <w:pPr>
              <w:rPr>
                <w:rFonts w:eastAsia="Arial" w:cs="Arial"/>
                <w:lang w:eastAsia="en-GB"/>
              </w:rPr>
            </w:pPr>
            <w:r w:rsidRPr="18F37D7D">
              <w:rPr>
                <w:rFonts w:eastAsia="Arial" w:cs="Arial"/>
                <w:lang w:eastAsia="en-GB"/>
              </w:rPr>
              <w:t xml:space="preserve">1 out of 4 Stage 2 </w:t>
            </w:r>
            <w:r w:rsidR="2CF5ED64" w:rsidRPr="18F37D7D">
              <w:rPr>
                <w:rFonts w:eastAsia="Arial" w:cs="Arial"/>
                <w:lang w:eastAsia="en-GB"/>
              </w:rPr>
              <w:t xml:space="preserve">(25%) </w:t>
            </w:r>
            <w:r w:rsidRPr="18F37D7D">
              <w:rPr>
                <w:rFonts w:eastAsia="Arial" w:cs="Arial"/>
                <w:lang w:eastAsia="en-GB"/>
              </w:rPr>
              <w:t xml:space="preserve">complaints responded to within target </w:t>
            </w:r>
          </w:p>
        </w:tc>
      </w:tr>
      <w:tr w:rsidR="00860623" w14:paraId="49689BE4" w14:textId="239B46F0" w:rsidTr="2D163A5A">
        <w:trPr>
          <w:trHeight w:val="300"/>
        </w:trPr>
        <w:tc>
          <w:tcPr>
            <w:tcW w:w="2929" w:type="dxa"/>
            <w:shd w:val="clear" w:color="auto" w:fill="auto"/>
            <w:vAlign w:val="center"/>
          </w:tcPr>
          <w:p w14:paraId="139428EB" w14:textId="77777777" w:rsidR="00860623" w:rsidRDefault="00860623" w:rsidP="29802A05">
            <w:pPr>
              <w:rPr>
                <w:rFonts w:cs="Arial"/>
                <w:lang w:eastAsia="en-GB"/>
              </w:rPr>
            </w:pPr>
            <w:r w:rsidRPr="29802A05">
              <w:rPr>
                <w:rFonts w:cs="Arial"/>
                <w:lang w:eastAsia="en-GB"/>
              </w:rPr>
              <w:t>Staff sickness (Local)</w:t>
            </w:r>
          </w:p>
        </w:tc>
        <w:tc>
          <w:tcPr>
            <w:tcW w:w="1420" w:type="dxa"/>
            <w:shd w:val="clear" w:color="auto" w:fill="auto"/>
          </w:tcPr>
          <w:p w14:paraId="0A28A2EA"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16FD2D32" w14:textId="114F0571" w:rsidR="00860623" w:rsidRPr="29802A05" w:rsidRDefault="53475E89" w:rsidP="18F37D7D">
            <w:pPr>
              <w:rPr>
                <w:rFonts w:eastAsia="Arial" w:cs="Arial"/>
                <w:lang w:eastAsia="en-GB"/>
              </w:rPr>
            </w:pPr>
            <w:r w:rsidRPr="18F37D7D">
              <w:rPr>
                <w:rFonts w:eastAsia="Arial" w:cs="Arial"/>
                <w:lang w:eastAsia="en-GB"/>
              </w:rPr>
              <w:t xml:space="preserve">6.5% sickness rate against a </w:t>
            </w:r>
            <w:r w:rsidR="0899CBB4" w:rsidRPr="18F37D7D">
              <w:rPr>
                <w:rFonts w:eastAsia="Arial" w:cs="Arial"/>
                <w:lang w:eastAsia="en-GB"/>
              </w:rPr>
              <w:t xml:space="preserve">local </w:t>
            </w:r>
            <w:r w:rsidRPr="18F37D7D">
              <w:rPr>
                <w:rFonts w:eastAsia="Arial" w:cs="Arial"/>
                <w:lang w:eastAsia="en-GB"/>
              </w:rPr>
              <w:t>target of 5.4%</w:t>
            </w:r>
          </w:p>
        </w:tc>
      </w:tr>
      <w:tr w:rsidR="00860623" w14:paraId="34EA684C" w14:textId="582F5E7A" w:rsidTr="2D163A5A">
        <w:trPr>
          <w:trHeight w:val="300"/>
        </w:trPr>
        <w:tc>
          <w:tcPr>
            <w:tcW w:w="2929" w:type="dxa"/>
            <w:shd w:val="clear" w:color="auto" w:fill="auto"/>
            <w:vAlign w:val="center"/>
          </w:tcPr>
          <w:p w14:paraId="362D2CD6" w14:textId="77777777" w:rsidR="00860623" w:rsidRDefault="00860623" w:rsidP="29802A05">
            <w:pPr>
              <w:rPr>
                <w:rFonts w:cs="Arial"/>
                <w:lang w:eastAsia="en-GB"/>
              </w:rPr>
            </w:pPr>
            <w:r w:rsidRPr="29802A05">
              <w:rPr>
                <w:rFonts w:cs="Arial"/>
                <w:lang w:eastAsia="en-GB"/>
              </w:rPr>
              <w:t>Staff sickness (National)</w:t>
            </w:r>
          </w:p>
        </w:tc>
        <w:tc>
          <w:tcPr>
            <w:tcW w:w="1420" w:type="dxa"/>
            <w:shd w:val="clear" w:color="auto" w:fill="auto"/>
          </w:tcPr>
          <w:p w14:paraId="0CB802E4"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2C485ABE" w14:textId="44E4DA2E" w:rsidR="00860623" w:rsidRPr="29802A05" w:rsidRDefault="18E0E9C7" w:rsidP="00563547">
            <w:pPr>
              <w:rPr>
                <w:rFonts w:eastAsia="Arial" w:cs="Arial"/>
                <w:lang w:eastAsia="en-GB"/>
              </w:rPr>
            </w:pPr>
            <w:r w:rsidRPr="18F37D7D">
              <w:rPr>
                <w:rFonts w:eastAsia="Arial" w:cs="Arial"/>
                <w:lang w:eastAsia="en-GB"/>
              </w:rPr>
              <w:t xml:space="preserve">6.5% sickness rate against a </w:t>
            </w:r>
            <w:r w:rsidR="12FA44CC" w:rsidRPr="18F37D7D">
              <w:rPr>
                <w:rFonts w:eastAsia="Arial" w:cs="Arial"/>
                <w:lang w:eastAsia="en-GB"/>
              </w:rPr>
              <w:t xml:space="preserve">national </w:t>
            </w:r>
            <w:r w:rsidRPr="18F37D7D">
              <w:rPr>
                <w:rFonts w:eastAsia="Arial" w:cs="Arial"/>
                <w:lang w:eastAsia="en-GB"/>
              </w:rPr>
              <w:t xml:space="preserve">target of </w:t>
            </w:r>
            <w:r w:rsidR="729B55CC" w:rsidRPr="18F37D7D">
              <w:rPr>
                <w:rFonts w:eastAsia="Arial" w:cs="Arial"/>
                <w:lang w:eastAsia="en-GB"/>
              </w:rPr>
              <w:t>4.0</w:t>
            </w:r>
            <w:r w:rsidRPr="18F37D7D">
              <w:rPr>
                <w:rFonts w:eastAsia="Arial" w:cs="Arial"/>
                <w:lang w:eastAsia="en-GB"/>
              </w:rPr>
              <w:t>%</w:t>
            </w:r>
          </w:p>
        </w:tc>
      </w:tr>
      <w:tr w:rsidR="00860623" w14:paraId="4FF7C078" w14:textId="43AF5EC3" w:rsidTr="2D163A5A">
        <w:trPr>
          <w:trHeight w:val="300"/>
        </w:trPr>
        <w:tc>
          <w:tcPr>
            <w:tcW w:w="2929" w:type="dxa"/>
            <w:shd w:val="clear" w:color="auto" w:fill="auto"/>
            <w:vAlign w:val="center"/>
          </w:tcPr>
          <w:p w14:paraId="742A7836" w14:textId="77777777" w:rsidR="00860623" w:rsidRDefault="00860623" w:rsidP="29802A05">
            <w:pPr>
              <w:rPr>
                <w:rFonts w:cs="Arial"/>
                <w:lang w:eastAsia="en-GB"/>
              </w:rPr>
            </w:pPr>
            <w:r w:rsidRPr="29802A05">
              <w:rPr>
                <w:rFonts w:cs="Arial"/>
                <w:lang w:eastAsia="en-GB"/>
              </w:rPr>
              <w:t>TURAS appraisal</w:t>
            </w:r>
          </w:p>
        </w:tc>
        <w:tc>
          <w:tcPr>
            <w:tcW w:w="1420" w:type="dxa"/>
            <w:shd w:val="clear" w:color="auto" w:fill="auto"/>
          </w:tcPr>
          <w:p w14:paraId="70CED36B"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39D33AA1" w14:textId="2EDF5B20" w:rsidR="00860623" w:rsidRPr="29802A05" w:rsidRDefault="0AF17FF4" w:rsidP="18F37D7D">
            <w:pPr>
              <w:rPr>
                <w:rFonts w:eastAsia="Arial" w:cs="Arial"/>
                <w:lang w:eastAsia="en-GB"/>
              </w:rPr>
            </w:pPr>
            <w:r w:rsidRPr="18F37D7D">
              <w:rPr>
                <w:rFonts w:eastAsia="Arial" w:cs="Arial"/>
                <w:lang w:eastAsia="en-GB"/>
              </w:rPr>
              <w:t>65% completed appraisal rate against target of 80%</w:t>
            </w:r>
          </w:p>
        </w:tc>
      </w:tr>
      <w:tr w:rsidR="00860623" w14:paraId="516029D6" w14:textId="30BF6C59" w:rsidTr="2D163A5A">
        <w:trPr>
          <w:trHeight w:val="300"/>
        </w:trPr>
        <w:tc>
          <w:tcPr>
            <w:tcW w:w="2929" w:type="dxa"/>
            <w:shd w:val="clear" w:color="auto" w:fill="auto"/>
            <w:vAlign w:val="center"/>
          </w:tcPr>
          <w:p w14:paraId="5EB5CD9C" w14:textId="77777777" w:rsidR="00860623" w:rsidRDefault="00860623" w:rsidP="29802A05">
            <w:pPr>
              <w:rPr>
                <w:rFonts w:cs="Arial"/>
                <w:lang w:eastAsia="en-GB"/>
              </w:rPr>
            </w:pPr>
            <w:r w:rsidRPr="29802A05">
              <w:rPr>
                <w:rFonts w:cs="Arial"/>
                <w:lang w:eastAsia="en-GB"/>
              </w:rPr>
              <w:t>Outpatients seen within 12 weeks</w:t>
            </w:r>
          </w:p>
        </w:tc>
        <w:tc>
          <w:tcPr>
            <w:tcW w:w="1420" w:type="dxa"/>
            <w:shd w:val="clear" w:color="auto" w:fill="auto"/>
          </w:tcPr>
          <w:p w14:paraId="6341343A"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3AAC5638" w14:textId="7474BA2E" w:rsidR="00860623" w:rsidRPr="29802A05" w:rsidRDefault="6588752F" w:rsidP="18F37D7D">
            <w:pPr>
              <w:rPr>
                <w:rFonts w:eastAsia="Arial" w:cs="Arial"/>
                <w:lang w:eastAsia="en-GB"/>
              </w:rPr>
            </w:pPr>
            <w:r w:rsidRPr="18F37D7D">
              <w:rPr>
                <w:rFonts w:eastAsia="Arial" w:cs="Arial"/>
                <w:lang w:eastAsia="en-GB"/>
              </w:rPr>
              <w:t>88.7% of outpatients seen with</w:t>
            </w:r>
            <w:r w:rsidR="560E86BC" w:rsidRPr="18F37D7D">
              <w:rPr>
                <w:rFonts w:eastAsia="Arial" w:cs="Arial"/>
                <w:lang w:eastAsia="en-GB"/>
              </w:rPr>
              <w:t xml:space="preserve">in </w:t>
            </w:r>
            <w:r w:rsidRPr="18F37D7D">
              <w:rPr>
                <w:rFonts w:eastAsia="Arial" w:cs="Arial"/>
                <w:lang w:eastAsia="en-GB"/>
              </w:rPr>
              <w:t>12 weeks against a target of 90%</w:t>
            </w:r>
          </w:p>
        </w:tc>
      </w:tr>
      <w:tr w:rsidR="00860623" w14:paraId="3019A956" w14:textId="21F9ED0D" w:rsidTr="2D163A5A">
        <w:trPr>
          <w:trHeight w:val="300"/>
        </w:trPr>
        <w:tc>
          <w:tcPr>
            <w:tcW w:w="2929" w:type="dxa"/>
            <w:shd w:val="clear" w:color="auto" w:fill="auto"/>
            <w:vAlign w:val="center"/>
          </w:tcPr>
          <w:p w14:paraId="3B2FF445" w14:textId="3F081369" w:rsidR="00860623" w:rsidRDefault="00860623" w:rsidP="29802A05">
            <w:pPr>
              <w:rPr>
                <w:rFonts w:cs="Arial"/>
                <w:lang w:eastAsia="en-GB"/>
              </w:rPr>
            </w:pPr>
            <w:r w:rsidRPr="2D163A5A">
              <w:rPr>
                <w:rFonts w:cs="Arial"/>
                <w:lang w:eastAsia="en-GB"/>
              </w:rPr>
              <w:t>Inpatient admits within 12 weeks</w:t>
            </w:r>
            <w:r w:rsidR="1806C079" w:rsidRPr="2D163A5A">
              <w:rPr>
                <w:rFonts w:cs="Arial"/>
                <w:lang w:eastAsia="en-GB"/>
              </w:rPr>
              <w:t>*</w:t>
            </w:r>
          </w:p>
        </w:tc>
        <w:tc>
          <w:tcPr>
            <w:tcW w:w="1420" w:type="dxa"/>
            <w:shd w:val="clear" w:color="auto" w:fill="auto"/>
          </w:tcPr>
          <w:p w14:paraId="4BBD2DE3" w14:textId="77777777" w:rsidR="00860623" w:rsidRDefault="00860623" w:rsidP="29802A05">
            <w:pPr>
              <w:jc w:val="center"/>
              <w:rPr>
                <w:rFonts w:ascii="Wingdings" w:eastAsia="Wingdings" w:hAnsi="Wingdings" w:cs="Wingdings"/>
                <w:color w:val="FF0000"/>
                <w:lang w:eastAsia="en-GB"/>
              </w:rPr>
            </w:pPr>
            <w:r w:rsidRPr="50038F02">
              <w:rPr>
                <w:rFonts w:ascii="Wingdings" w:eastAsia="Wingdings" w:hAnsi="Wingdings" w:cs="Wingdings"/>
                <w:color w:val="FF0000"/>
                <w:lang w:eastAsia="en-GB"/>
              </w:rPr>
              <w:t></w:t>
            </w:r>
          </w:p>
        </w:tc>
        <w:tc>
          <w:tcPr>
            <w:tcW w:w="4997" w:type="dxa"/>
          </w:tcPr>
          <w:p w14:paraId="0C07DF02" w14:textId="2E47DF0B" w:rsidR="00860623" w:rsidRPr="29802A05" w:rsidRDefault="16523CB1" w:rsidP="18F37D7D">
            <w:pPr>
              <w:rPr>
                <w:rFonts w:eastAsia="Arial" w:cs="Arial"/>
                <w:lang w:eastAsia="en-GB"/>
              </w:rPr>
            </w:pPr>
            <w:r w:rsidRPr="18F37D7D">
              <w:rPr>
                <w:rFonts w:eastAsia="Arial" w:cs="Arial"/>
                <w:lang w:eastAsia="en-GB"/>
              </w:rPr>
              <w:t>89.5% of inpatients seen within</w:t>
            </w:r>
            <w:r w:rsidR="4AE9BA4F" w:rsidRPr="18F37D7D">
              <w:rPr>
                <w:rFonts w:eastAsia="Arial" w:cs="Arial"/>
                <w:lang w:eastAsia="en-GB"/>
              </w:rPr>
              <w:t xml:space="preserve"> 12 weeks against a target of 99.9%</w:t>
            </w:r>
          </w:p>
        </w:tc>
      </w:tr>
      <w:tr w:rsidR="00860623" w14:paraId="607CBFC1" w14:textId="52C7CDAB" w:rsidTr="2D163A5A">
        <w:trPr>
          <w:trHeight w:val="300"/>
        </w:trPr>
        <w:tc>
          <w:tcPr>
            <w:tcW w:w="2929" w:type="dxa"/>
            <w:shd w:val="clear" w:color="auto" w:fill="auto"/>
            <w:vAlign w:val="center"/>
          </w:tcPr>
          <w:p w14:paraId="3B0F4A4B" w14:textId="77777777" w:rsidR="00860623" w:rsidRDefault="00860623" w:rsidP="29802A05">
            <w:pPr>
              <w:rPr>
                <w:rFonts w:cs="Arial"/>
                <w:lang w:eastAsia="en-GB"/>
              </w:rPr>
            </w:pPr>
            <w:r w:rsidRPr="29802A05">
              <w:rPr>
                <w:rFonts w:cs="Arial"/>
                <w:lang w:eastAsia="en-GB"/>
              </w:rPr>
              <w:t>Treated within 18 weeks of referral</w:t>
            </w:r>
          </w:p>
        </w:tc>
        <w:tc>
          <w:tcPr>
            <w:tcW w:w="1420" w:type="dxa"/>
            <w:shd w:val="clear" w:color="auto" w:fill="auto"/>
          </w:tcPr>
          <w:p w14:paraId="6480E977"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562A0C79" w14:textId="5CE35955" w:rsidR="00860623" w:rsidRPr="29802A05" w:rsidRDefault="411171D1" w:rsidP="18F37D7D">
            <w:pPr>
              <w:rPr>
                <w:rFonts w:eastAsia="Arial" w:cs="Arial"/>
                <w:lang w:eastAsia="en-GB"/>
              </w:rPr>
            </w:pPr>
            <w:r w:rsidRPr="18F37D7D">
              <w:rPr>
                <w:rFonts w:eastAsia="Arial" w:cs="Arial"/>
                <w:lang w:eastAsia="en-GB"/>
              </w:rPr>
              <w:t>82.1% of patients treated within 18 weeks against a target of 90%</w:t>
            </w:r>
          </w:p>
        </w:tc>
      </w:tr>
      <w:tr w:rsidR="00860623" w14:paraId="1C73D73B" w14:textId="3DDF9EEF" w:rsidTr="2D163A5A">
        <w:trPr>
          <w:trHeight w:val="300"/>
        </w:trPr>
        <w:tc>
          <w:tcPr>
            <w:tcW w:w="2929" w:type="dxa"/>
            <w:shd w:val="clear" w:color="auto" w:fill="auto"/>
            <w:vAlign w:val="center"/>
          </w:tcPr>
          <w:p w14:paraId="2A6A78E0" w14:textId="77777777" w:rsidR="00860623" w:rsidRDefault="00860623" w:rsidP="29802A05">
            <w:pPr>
              <w:rPr>
                <w:rFonts w:cs="Arial"/>
                <w:lang w:eastAsia="en-GB"/>
              </w:rPr>
            </w:pPr>
            <w:r w:rsidRPr="29802A05">
              <w:rPr>
                <w:rFonts w:cs="Arial"/>
                <w:lang w:eastAsia="en-GB"/>
              </w:rPr>
              <w:t>Theatre same day cancellation rate</w:t>
            </w:r>
          </w:p>
        </w:tc>
        <w:tc>
          <w:tcPr>
            <w:tcW w:w="1420" w:type="dxa"/>
            <w:shd w:val="clear" w:color="auto" w:fill="auto"/>
          </w:tcPr>
          <w:p w14:paraId="3E118D2C"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46E11ED3" w14:textId="7390DCD7" w:rsidR="00860623" w:rsidRPr="29802A05" w:rsidRDefault="4E94A759" w:rsidP="18F37D7D">
            <w:pPr>
              <w:rPr>
                <w:rFonts w:eastAsia="Arial" w:cs="Arial"/>
                <w:lang w:eastAsia="en-GB"/>
              </w:rPr>
            </w:pPr>
            <w:r w:rsidRPr="18F37D7D">
              <w:rPr>
                <w:rFonts w:eastAsia="Arial" w:cs="Arial"/>
                <w:lang w:eastAsia="en-GB"/>
              </w:rPr>
              <w:t xml:space="preserve">5.9% same day cancellation rate against a target of 4.8%. </w:t>
            </w:r>
            <w:r w:rsidR="4936E93B" w:rsidRPr="18F37D7D">
              <w:rPr>
                <w:rFonts w:eastAsia="Arial" w:cs="Arial"/>
                <w:lang w:eastAsia="en-GB"/>
              </w:rPr>
              <w:t>Increase from Jan 2025 (5.44%)</w:t>
            </w:r>
          </w:p>
        </w:tc>
      </w:tr>
      <w:tr w:rsidR="00860623" w14:paraId="54E6E3EE" w14:textId="310C953F" w:rsidTr="2D163A5A">
        <w:trPr>
          <w:trHeight w:val="300"/>
        </w:trPr>
        <w:tc>
          <w:tcPr>
            <w:tcW w:w="2929" w:type="dxa"/>
            <w:shd w:val="clear" w:color="auto" w:fill="auto"/>
            <w:vAlign w:val="center"/>
          </w:tcPr>
          <w:p w14:paraId="23868C2E" w14:textId="77777777" w:rsidR="00860623" w:rsidRDefault="00860623" w:rsidP="29802A05">
            <w:pPr>
              <w:rPr>
                <w:rFonts w:cs="Arial"/>
                <w:lang w:eastAsia="en-GB"/>
              </w:rPr>
            </w:pPr>
            <w:r w:rsidRPr="29802A05">
              <w:rPr>
                <w:rFonts w:cs="Arial"/>
                <w:lang w:eastAsia="en-GB"/>
              </w:rPr>
              <w:t>4 joint session rate</w:t>
            </w:r>
          </w:p>
        </w:tc>
        <w:tc>
          <w:tcPr>
            <w:tcW w:w="1420" w:type="dxa"/>
            <w:shd w:val="clear" w:color="auto" w:fill="auto"/>
          </w:tcPr>
          <w:p w14:paraId="3CA57326" w14:textId="77777777" w:rsidR="00860623" w:rsidRDefault="00860623" w:rsidP="29802A05">
            <w:pPr>
              <w:jc w:val="center"/>
            </w:pPr>
            <w:r w:rsidRPr="29802A05">
              <w:rPr>
                <w:rFonts w:ascii="Wingdings" w:eastAsia="Wingdings" w:hAnsi="Wingdings" w:cs="Wingdings"/>
                <w:color w:val="FF0000"/>
                <w:lang w:eastAsia="en-GB"/>
              </w:rPr>
              <w:t></w:t>
            </w:r>
          </w:p>
        </w:tc>
        <w:tc>
          <w:tcPr>
            <w:tcW w:w="4997" w:type="dxa"/>
          </w:tcPr>
          <w:p w14:paraId="4AC6503A" w14:textId="34350168" w:rsidR="00860623" w:rsidRPr="29802A05" w:rsidRDefault="3445C7E7" w:rsidP="18F37D7D">
            <w:pPr>
              <w:rPr>
                <w:rFonts w:eastAsia="Arial" w:cs="Arial"/>
                <w:lang w:eastAsia="en-GB"/>
              </w:rPr>
            </w:pPr>
            <w:r w:rsidRPr="264CA4FB">
              <w:rPr>
                <w:rFonts w:eastAsia="Arial" w:cs="Arial"/>
                <w:lang w:eastAsia="en-GB"/>
              </w:rPr>
              <w:t>41/104 (39.4%) 4 Joint session rate</w:t>
            </w:r>
            <w:r w:rsidR="6F437581" w:rsidRPr="264CA4FB">
              <w:rPr>
                <w:rFonts w:eastAsia="Arial" w:cs="Arial"/>
                <w:lang w:eastAsia="en-GB"/>
              </w:rPr>
              <w:t xml:space="preserve"> against a target of </w:t>
            </w:r>
            <w:r w:rsidR="317C8D92" w:rsidRPr="264CA4FB">
              <w:rPr>
                <w:rFonts w:eastAsia="Arial" w:cs="Arial"/>
                <w:lang w:eastAsia="en-GB"/>
              </w:rPr>
              <w:t>72.7%</w:t>
            </w:r>
            <w:r w:rsidRPr="264CA4FB">
              <w:rPr>
                <w:rFonts w:eastAsia="Arial" w:cs="Arial"/>
                <w:lang w:eastAsia="en-GB"/>
              </w:rPr>
              <w:t xml:space="preserve">. Down from </w:t>
            </w:r>
            <w:r w:rsidR="6FCC63F2" w:rsidRPr="264CA4FB">
              <w:rPr>
                <w:rFonts w:eastAsia="Arial" w:cs="Arial"/>
                <w:lang w:eastAsia="en-GB"/>
              </w:rPr>
              <w:t>69% in Jan 25</w:t>
            </w:r>
          </w:p>
        </w:tc>
      </w:tr>
      <w:tr w:rsidR="00860623" w14:paraId="5D7BB28E" w14:textId="181DABD2" w:rsidTr="2D163A5A">
        <w:trPr>
          <w:trHeight w:val="300"/>
        </w:trPr>
        <w:tc>
          <w:tcPr>
            <w:tcW w:w="2929" w:type="dxa"/>
            <w:shd w:val="clear" w:color="auto" w:fill="auto"/>
            <w:vAlign w:val="center"/>
          </w:tcPr>
          <w:p w14:paraId="7EC08BB4" w14:textId="77777777" w:rsidR="00860623" w:rsidRDefault="00860623" w:rsidP="29802A05">
            <w:pPr>
              <w:rPr>
                <w:rFonts w:cs="Arial"/>
                <w:lang w:eastAsia="en-GB"/>
              </w:rPr>
            </w:pPr>
            <w:r w:rsidRPr="29802A05">
              <w:rPr>
                <w:rFonts w:cs="Arial"/>
                <w:lang w:eastAsia="en-GB"/>
              </w:rPr>
              <w:t>Ophthalmology procedures per list</w:t>
            </w:r>
          </w:p>
        </w:tc>
        <w:tc>
          <w:tcPr>
            <w:tcW w:w="1420" w:type="dxa"/>
            <w:shd w:val="clear" w:color="auto" w:fill="auto"/>
          </w:tcPr>
          <w:p w14:paraId="4687D0AC" w14:textId="77777777" w:rsidR="00860623" w:rsidRDefault="00860623" w:rsidP="29802A05">
            <w:pPr>
              <w:jc w:val="center"/>
              <w:rPr>
                <w:rFonts w:ascii="Wingdings" w:hAnsi="Wingdings" w:cs="Segoe UI"/>
                <w:color w:val="FF0000"/>
                <w:lang w:eastAsia="en-GB"/>
              </w:rPr>
            </w:pPr>
            <w:r w:rsidRPr="29802A05">
              <w:rPr>
                <w:rFonts w:ascii="Wingdings" w:eastAsia="Wingdings" w:hAnsi="Wingdings" w:cs="Wingdings"/>
                <w:color w:val="FF0000"/>
                <w:lang w:eastAsia="en-GB"/>
              </w:rPr>
              <w:t></w:t>
            </w:r>
          </w:p>
        </w:tc>
        <w:tc>
          <w:tcPr>
            <w:tcW w:w="4997" w:type="dxa"/>
          </w:tcPr>
          <w:p w14:paraId="45555734" w14:textId="3039B411" w:rsidR="00860623" w:rsidRPr="29802A05" w:rsidRDefault="3E6F911A" w:rsidP="18F37D7D">
            <w:pPr>
              <w:rPr>
                <w:rFonts w:eastAsia="Arial" w:cs="Arial"/>
                <w:lang w:eastAsia="en-GB"/>
              </w:rPr>
            </w:pPr>
            <w:r w:rsidRPr="264CA4FB">
              <w:rPr>
                <w:rFonts w:eastAsia="Arial" w:cs="Arial"/>
                <w:lang w:eastAsia="en-GB"/>
              </w:rPr>
              <w:t>6.7 procedures per half day list</w:t>
            </w:r>
            <w:r w:rsidR="68C0E02E" w:rsidRPr="264CA4FB">
              <w:rPr>
                <w:rFonts w:eastAsia="Arial" w:cs="Arial"/>
                <w:lang w:eastAsia="en-GB"/>
              </w:rPr>
              <w:t xml:space="preserve"> against a target of </w:t>
            </w:r>
            <w:r w:rsidR="5875F3F3" w:rsidRPr="264CA4FB">
              <w:rPr>
                <w:rFonts w:eastAsia="Arial" w:cs="Arial"/>
                <w:lang w:eastAsia="en-GB"/>
              </w:rPr>
              <w:t>7.3</w:t>
            </w:r>
            <w:r w:rsidRPr="264CA4FB">
              <w:rPr>
                <w:rFonts w:eastAsia="Arial" w:cs="Arial"/>
                <w:lang w:eastAsia="en-GB"/>
              </w:rPr>
              <w:t>. No change from Jan 25</w:t>
            </w:r>
          </w:p>
        </w:tc>
      </w:tr>
      <w:tr w:rsidR="00860623" w14:paraId="055123E4" w14:textId="4648D32A" w:rsidTr="2D163A5A">
        <w:trPr>
          <w:trHeight w:val="300"/>
        </w:trPr>
        <w:tc>
          <w:tcPr>
            <w:tcW w:w="2929" w:type="dxa"/>
            <w:shd w:val="clear" w:color="auto" w:fill="auto"/>
            <w:vAlign w:val="center"/>
          </w:tcPr>
          <w:p w14:paraId="22E9872B" w14:textId="77777777" w:rsidR="00860623" w:rsidRDefault="00860623" w:rsidP="29802A05">
            <w:pPr>
              <w:rPr>
                <w:rFonts w:cs="Arial"/>
                <w:lang w:eastAsia="en-GB"/>
              </w:rPr>
            </w:pPr>
            <w:r w:rsidRPr="29802A05">
              <w:rPr>
                <w:rFonts w:cs="Arial"/>
                <w:lang w:eastAsia="en-GB"/>
              </w:rPr>
              <w:t>31 Day Cancer (Lung)</w:t>
            </w:r>
          </w:p>
        </w:tc>
        <w:tc>
          <w:tcPr>
            <w:tcW w:w="1420" w:type="dxa"/>
            <w:shd w:val="clear" w:color="auto" w:fill="auto"/>
          </w:tcPr>
          <w:p w14:paraId="57387E1F" w14:textId="77777777" w:rsidR="00860623" w:rsidRDefault="00860623" w:rsidP="29802A05">
            <w:pPr>
              <w:jc w:val="center"/>
              <w:rPr>
                <w:rFonts w:ascii="Wingdings" w:hAnsi="Wingdings" w:cs="Segoe UI"/>
                <w:color w:val="FF0000"/>
                <w:lang w:eastAsia="en-GB"/>
              </w:rPr>
            </w:pPr>
            <w:r w:rsidRPr="29802A05">
              <w:rPr>
                <w:rFonts w:ascii="Wingdings" w:eastAsia="Wingdings" w:hAnsi="Wingdings" w:cs="Wingdings"/>
                <w:color w:val="FF0000"/>
                <w:lang w:eastAsia="en-GB"/>
              </w:rPr>
              <w:t></w:t>
            </w:r>
          </w:p>
        </w:tc>
        <w:tc>
          <w:tcPr>
            <w:tcW w:w="4997" w:type="dxa"/>
          </w:tcPr>
          <w:p w14:paraId="72D9BBD6" w14:textId="4F14257D" w:rsidR="00860623" w:rsidRPr="29802A05" w:rsidRDefault="151D337B" w:rsidP="18F37D7D">
            <w:pPr>
              <w:rPr>
                <w:rFonts w:eastAsia="Arial" w:cs="Arial"/>
                <w:lang w:eastAsia="en-GB"/>
              </w:rPr>
            </w:pPr>
            <w:r w:rsidRPr="50038F02">
              <w:rPr>
                <w:rFonts w:eastAsia="Arial" w:cs="Arial"/>
                <w:lang w:eastAsia="en-GB"/>
              </w:rPr>
              <w:t>2 breaches out of 39 reported cases in Jan 25 (94.9%)</w:t>
            </w:r>
          </w:p>
        </w:tc>
      </w:tr>
      <w:tr w:rsidR="00860623" w14:paraId="17DF19A8" w14:textId="54CFA3F5" w:rsidTr="2D163A5A">
        <w:trPr>
          <w:trHeight w:val="300"/>
        </w:trPr>
        <w:tc>
          <w:tcPr>
            <w:tcW w:w="2929" w:type="dxa"/>
            <w:shd w:val="clear" w:color="auto" w:fill="auto"/>
            <w:vAlign w:val="center"/>
          </w:tcPr>
          <w:p w14:paraId="73094D18" w14:textId="77777777" w:rsidR="00860623" w:rsidRDefault="00860623" w:rsidP="29802A05">
            <w:pPr>
              <w:rPr>
                <w:rFonts w:cs="Arial"/>
                <w:lang w:eastAsia="en-GB"/>
              </w:rPr>
            </w:pPr>
            <w:r w:rsidRPr="29802A05">
              <w:rPr>
                <w:rFonts w:cs="Arial"/>
                <w:lang w:eastAsia="en-GB"/>
              </w:rPr>
              <w:t>Total bed occupancy</w:t>
            </w:r>
          </w:p>
        </w:tc>
        <w:tc>
          <w:tcPr>
            <w:tcW w:w="1420" w:type="dxa"/>
            <w:shd w:val="clear" w:color="auto" w:fill="auto"/>
            <w:vAlign w:val="center"/>
          </w:tcPr>
          <w:p w14:paraId="379E4004" w14:textId="77777777" w:rsidR="00860623" w:rsidRDefault="00860623" w:rsidP="29802A05">
            <w:pPr>
              <w:keepNext/>
              <w:jc w:val="center"/>
              <w:rPr>
                <w:rFonts w:ascii="Segoe UI" w:hAnsi="Segoe UI" w:cs="Segoe UI"/>
                <w:lang w:eastAsia="en-GB"/>
              </w:rPr>
            </w:pPr>
            <w:r w:rsidRPr="29802A05">
              <w:rPr>
                <w:rFonts w:ascii="Wingdings" w:eastAsia="Wingdings" w:hAnsi="Wingdings" w:cs="Wingdings"/>
                <w:color w:val="FFC000" w:themeColor="accent4"/>
                <w:lang w:eastAsia="en-GB"/>
              </w:rPr>
              <w:t></w:t>
            </w:r>
          </w:p>
        </w:tc>
        <w:tc>
          <w:tcPr>
            <w:tcW w:w="4997" w:type="dxa"/>
          </w:tcPr>
          <w:p w14:paraId="3CD1D8ED" w14:textId="543F6D9D" w:rsidR="00860623" w:rsidRPr="29802A05" w:rsidRDefault="478538D9" w:rsidP="18F37D7D">
            <w:pPr>
              <w:keepNext/>
              <w:rPr>
                <w:rFonts w:eastAsia="Arial" w:cs="Arial"/>
                <w:color w:val="FFC000" w:themeColor="accent4"/>
                <w:lang w:eastAsia="en-GB"/>
              </w:rPr>
            </w:pPr>
            <w:r w:rsidRPr="18F37D7D">
              <w:rPr>
                <w:rFonts w:eastAsia="Arial" w:cs="Arial"/>
                <w:lang w:eastAsia="en-GB"/>
              </w:rPr>
              <w:t>Bed Occupancy was 64% and at the lower edge of expected range</w:t>
            </w:r>
          </w:p>
        </w:tc>
      </w:tr>
    </w:tbl>
    <w:p w14:paraId="71C98CFD" w14:textId="511E8C04" w:rsidR="79A59D89" w:rsidRDefault="79A59D89" w:rsidP="29802A05">
      <w:pPr>
        <w:ind w:left="709"/>
      </w:pPr>
      <w:r>
        <w:tab/>
      </w:r>
      <w:r w:rsidRPr="2D163A5A">
        <w:t xml:space="preserve">Table </w:t>
      </w:r>
      <w:r w:rsidR="00B507B8" w:rsidRPr="2D163A5A">
        <w:t>3</w:t>
      </w:r>
      <w:r w:rsidRPr="2D163A5A">
        <w:t>: KPIs reported as RED or AMBER at February end 2025</w:t>
      </w:r>
    </w:p>
    <w:p w14:paraId="1B34EA37" w14:textId="7FF7EE87" w:rsidR="2D163A5A" w:rsidRDefault="2D163A5A" w:rsidP="2D163A5A">
      <w:pPr>
        <w:ind w:left="709"/>
        <w:rPr>
          <w:rFonts w:eastAsia="Arial" w:cs="Arial"/>
          <w:szCs w:val="24"/>
        </w:rPr>
      </w:pPr>
    </w:p>
    <w:p w14:paraId="7C4200A8" w14:textId="7E878331" w:rsidR="5C698173" w:rsidRDefault="5C698173" w:rsidP="2D163A5A">
      <w:pPr>
        <w:ind w:left="709"/>
        <w:rPr>
          <w:rFonts w:eastAsia="Arial" w:cs="Arial"/>
          <w:szCs w:val="24"/>
        </w:rPr>
      </w:pPr>
      <w:r w:rsidRPr="2D163A5A">
        <w:rPr>
          <w:rFonts w:eastAsia="Arial" w:cs="Arial"/>
          <w:szCs w:val="24"/>
        </w:rPr>
        <w:lastRenderedPageBreak/>
        <w:t>*For KPI “Inpatient admits within 12 weeks”, this is the national</w:t>
      </w:r>
      <w:r w:rsidR="32A4B01A" w:rsidRPr="2D163A5A">
        <w:rPr>
          <w:rFonts w:eastAsia="Arial" w:cs="Arial"/>
          <w:szCs w:val="24"/>
        </w:rPr>
        <w:t>ly</w:t>
      </w:r>
      <w:r w:rsidRPr="2D163A5A">
        <w:rPr>
          <w:rFonts w:eastAsia="Arial" w:cs="Arial"/>
          <w:szCs w:val="24"/>
        </w:rPr>
        <w:t xml:space="preserve"> reported position and represents the whole patient pathway including waits experienced at the referring health board. On receipt of referral to NHS GJ, the expected wait to procedure for the patient would be as follows; </w:t>
      </w:r>
    </w:p>
    <w:p w14:paraId="031DD776" w14:textId="6E460249" w:rsidR="5C698173" w:rsidRDefault="5C698173" w:rsidP="2D163A5A">
      <w:pPr>
        <w:ind w:left="709"/>
        <w:rPr>
          <w:rFonts w:eastAsia="Arial" w:cs="Arial"/>
          <w:szCs w:val="24"/>
        </w:rPr>
      </w:pPr>
      <w:r w:rsidRPr="2D163A5A">
        <w:rPr>
          <w:rFonts w:eastAsia="Arial" w:cs="Arial"/>
          <w:szCs w:val="24"/>
        </w:rPr>
        <w:t xml:space="preserve"> </w:t>
      </w:r>
    </w:p>
    <w:p w14:paraId="743972FD" w14:textId="36D53952" w:rsidR="5C698173" w:rsidRDefault="5C698173" w:rsidP="2D163A5A">
      <w:pPr>
        <w:pStyle w:val="ListParagraph"/>
        <w:numPr>
          <w:ilvl w:val="0"/>
          <w:numId w:val="1"/>
        </w:numPr>
        <w:ind w:left="1429"/>
        <w:rPr>
          <w:rFonts w:ascii="Arial" w:eastAsia="Arial" w:hAnsi="Arial" w:cs="Arial"/>
          <w:sz w:val="24"/>
          <w:szCs w:val="24"/>
        </w:rPr>
      </w:pPr>
      <w:r w:rsidRPr="2D163A5A">
        <w:rPr>
          <w:rFonts w:ascii="Arial" w:eastAsia="Arial" w:hAnsi="Arial" w:cs="Arial"/>
          <w:sz w:val="24"/>
          <w:szCs w:val="24"/>
        </w:rPr>
        <w:t>Orthopaedic joints 11 weeks</w:t>
      </w:r>
    </w:p>
    <w:p w14:paraId="4E89774C" w14:textId="7CD5E0CF" w:rsidR="5C698173" w:rsidRDefault="5C698173" w:rsidP="2D163A5A">
      <w:pPr>
        <w:pStyle w:val="ListParagraph"/>
        <w:numPr>
          <w:ilvl w:val="0"/>
          <w:numId w:val="1"/>
        </w:numPr>
        <w:ind w:left="1429"/>
        <w:rPr>
          <w:rFonts w:ascii="Arial" w:eastAsia="Arial" w:hAnsi="Arial" w:cs="Arial"/>
          <w:sz w:val="24"/>
          <w:szCs w:val="24"/>
        </w:rPr>
      </w:pPr>
      <w:r w:rsidRPr="2D163A5A">
        <w:rPr>
          <w:rFonts w:ascii="Arial" w:eastAsia="Arial" w:hAnsi="Arial" w:cs="Arial"/>
          <w:sz w:val="24"/>
          <w:szCs w:val="24"/>
        </w:rPr>
        <w:t>Orthopaedic foot and ankle 6 weeks</w:t>
      </w:r>
    </w:p>
    <w:p w14:paraId="001E7DAF" w14:textId="22A8F749" w:rsidR="5C698173" w:rsidRDefault="5C698173" w:rsidP="2D163A5A">
      <w:pPr>
        <w:pStyle w:val="ListParagraph"/>
        <w:numPr>
          <w:ilvl w:val="0"/>
          <w:numId w:val="1"/>
        </w:numPr>
        <w:ind w:left="1429"/>
        <w:rPr>
          <w:rFonts w:ascii="Arial" w:eastAsia="Arial" w:hAnsi="Arial" w:cs="Arial"/>
          <w:sz w:val="24"/>
          <w:szCs w:val="24"/>
        </w:rPr>
      </w:pPr>
      <w:r w:rsidRPr="2D163A5A">
        <w:rPr>
          <w:rFonts w:ascii="Arial" w:eastAsia="Arial" w:hAnsi="Arial" w:cs="Arial"/>
          <w:sz w:val="24"/>
          <w:szCs w:val="24"/>
        </w:rPr>
        <w:t xml:space="preserve">Orthopaedic hands 11 weeks </w:t>
      </w:r>
    </w:p>
    <w:p w14:paraId="3E77FFA3" w14:textId="0203F644" w:rsidR="5C698173" w:rsidRDefault="5C698173" w:rsidP="2D163A5A">
      <w:pPr>
        <w:pStyle w:val="ListParagraph"/>
        <w:numPr>
          <w:ilvl w:val="0"/>
          <w:numId w:val="1"/>
        </w:numPr>
        <w:ind w:left="1429"/>
        <w:rPr>
          <w:rFonts w:ascii="Arial" w:eastAsia="Arial" w:hAnsi="Arial" w:cs="Arial"/>
          <w:sz w:val="24"/>
          <w:szCs w:val="24"/>
        </w:rPr>
      </w:pPr>
      <w:r w:rsidRPr="2D163A5A">
        <w:rPr>
          <w:rFonts w:ascii="Arial" w:eastAsia="Arial" w:hAnsi="Arial" w:cs="Arial"/>
          <w:sz w:val="24"/>
          <w:szCs w:val="24"/>
        </w:rPr>
        <w:t>Ophthalmology 8 weeks</w:t>
      </w:r>
    </w:p>
    <w:p w14:paraId="53104C27" w14:textId="48D8A38F" w:rsidR="2D163A5A" w:rsidRPr="00677A38" w:rsidRDefault="5C698173" w:rsidP="00677A38">
      <w:pPr>
        <w:pStyle w:val="ListParagraph"/>
        <w:numPr>
          <w:ilvl w:val="0"/>
          <w:numId w:val="1"/>
        </w:numPr>
        <w:ind w:left="1429"/>
        <w:rPr>
          <w:rFonts w:ascii="Arial" w:eastAsia="Arial" w:hAnsi="Arial" w:cs="Arial"/>
          <w:sz w:val="24"/>
          <w:szCs w:val="24"/>
        </w:rPr>
      </w:pPr>
      <w:r w:rsidRPr="2D163A5A">
        <w:rPr>
          <w:rFonts w:ascii="Arial" w:eastAsia="Arial" w:hAnsi="Arial" w:cs="Arial"/>
          <w:sz w:val="24"/>
          <w:szCs w:val="24"/>
        </w:rPr>
        <w:t>General surgery 5 weeks</w:t>
      </w:r>
    </w:p>
    <w:p w14:paraId="1BEE4721" w14:textId="77777777" w:rsidR="006D7D93" w:rsidRDefault="006D7D93" w:rsidP="29802A05">
      <w:pPr>
        <w:ind w:left="709"/>
        <w:rPr>
          <w:szCs w:val="24"/>
        </w:rPr>
      </w:pPr>
    </w:p>
    <w:p w14:paraId="4F91329C" w14:textId="4B4C63F5" w:rsidR="00F3337D" w:rsidRPr="00CA74A8" w:rsidRDefault="00C87B62" w:rsidP="00F3337D">
      <w:pPr>
        <w:pStyle w:val="Heading3"/>
        <w:spacing w:line="276" w:lineRule="auto"/>
      </w:pPr>
      <w:r>
        <w:t>2</w:t>
      </w:r>
      <w:r w:rsidR="00BF3AF0">
        <w:t>.3.1</w:t>
      </w:r>
      <w:r w:rsidR="00BF3AF0">
        <w:tab/>
      </w:r>
      <w:r w:rsidR="00F3337D" w:rsidRPr="00CA74A8">
        <w:t>Quality/ Patient Care</w:t>
      </w:r>
    </w:p>
    <w:p w14:paraId="27BCBAD8" w14:textId="493CD0FD" w:rsidR="00F3337D" w:rsidRPr="00CA74A8" w:rsidRDefault="00CA74A8" w:rsidP="00B507B8">
      <w:pPr>
        <w:ind w:left="720"/>
        <w:rPr>
          <w:rStyle w:val="normaltextrun"/>
          <w:rFonts w:eastAsiaTheme="majorEastAsia" w:cs="Arial"/>
          <w:color w:val="000000"/>
          <w:bdr w:val="none" w:sz="0" w:space="0" w:color="auto" w:frame="1"/>
        </w:rPr>
      </w:pPr>
      <w:r w:rsidRPr="29802A05">
        <w:rPr>
          <w:rStyle w:val="normaltextrun"/>
          <w:rFonts w:eastAsiaTheme="majorEastAsia" w:cs="Arial"/>
          <w:color w:val="000000"/>
          <w:bdr w:val="none" w:sz="0" w:space="0" w:color="auto" w:frame="1"/>
        </w:rPr>
        <w:t xml:space="preserve">No direct impact – </w:t>
      </w:r>
      <w:r w:rsidR="02AE23CC" w:rsidRPr="29802A05">
        <w:rPr>
          <w:rStyle w:val="normaltextrun"/>
          <w:rFonts w:eastAsiaTheme="majorEastAsia" w:cs="Arial"/>
          <w:color w:val="000000"/>
          <w:bdr w:val="none" w:sz="0" w:space="0" w:color="auto" w:frame="1"/>
        </w:rPr>
        <w:t>this report is produced for the purpose of performance reporting and assurance.</w:t>
      </w:r>
    </w:p>
    <w:p w14:paraId="6BB9E253" w14:textId="612A47E2" w:rsidR="00CA74A8" w:rsidRPr="00CA74A8" w:rsidRDefault="00CA74A8" w:rsidP="00B507B8">
      <w:pPr>
        <w:rPr>
          <w:rFonts w:cs="Arial"/>
          <w:color w:val="000000" w:themeColor="text1"/>
          <w:szCs w:val="24"/>
        </w:rPr>
      </w:pPr>
    </w:p>
    <w:p w14:paraId="34E23241" w14:textId="77777777" w:rsidR="00AA77F7" w:rsidRPr="00CA74A8" w:rsidRDefault="00C87B62" w:rsidP="00AA77F7">
      <w:pPr>
        <w:pStyle w:val="Heading3"/>
        <w:spacing w:line="276" w:lineRule="auto"/>
      </w:pPr>
      <w:r w:rsidRPr="00CA74A8">
        <w:t>2</w:t>
      </w:r>
      <w:r w:rsidR="00BF3AF0" w:rsidRPr="00CA74A8">
        <w:t>.3.2</w:t>
      </w:r>
      <w:r w:rsidR="00BF3AF0" w:rsidRPr="00CA74A8">
        <w:tab/>
      </w:r>
      <w:r w:rsidR="00AA77F7" w:rsidRPr="00CA74A8">
        <w:t>Workforce</w:t>
      </w:r>
    </w:p>
    <w:p w14:paraId="27822E79" w14:textId="7F02A108" w:rsidR="00F3337D" w:rsidRDefault="00CA74A8" w:rsidP="00B507B8">
      <w:pPr>
        <w:ind w:left="720"/>
        <w:rPr>
          <w:rStyle w:val="normaltextrun"/>
          <w:rFonts w:eastAsiaTheme="majorEastAsia" w:cs="Arial"/>
          <w:color w:val="000000"/>
          <w:bdr w:val="none" w:sz="0" w:space="0" w:color="auto" w:frame="1"/>
        </w:rPr>
      </w:pPr>
      <w:r w:rsidRPr="29802A05">
        <w:rPr>
          <w:rStyle w:val="normaltextrun"/>
          <w:rFonts w:eastAsiaTheme="majorEastAsia" w:cs="Arial"/>
          <w:color w:val="000000"/>
          <w:bdr w:val="none" w:sz="0" w:space="0" w:color="auto" w:frame="1"/>
        </w:rPr>
        <w:t xml:space="preserve">No direct impact – </w:t>
      </w:r>
      <w:r w:rsidR="29802A05" w:rsidRPr="29802A05">
        <w:rPr>
          <w:rStyle w:val="normaltextrun"/>
          <w:rFonts w:eastAsiaTheme="majorEastAsia" w:cs="Arial"/>
          <w:color w:val="000000" w:themeColor="text1"/>
        </w:rPr>
        <w:t>this report is produced for the purpose of performance reporting and assurance.</w:t>
      </w:r>
    </w:p>
    <w:p w14:paraId="23DE523C" w14:textId="77777777" w:rsidR="00CA74A8" w:rsidRPr="00CA74A8" w:rsidRDefault="00CA74A8" w:rsidP="00CA74A8">
      <w:pPr>
        <w:ind w:firstLine="720"/>
        <w:rPr>
          <w:rFonts w:cs="Arial"/>
          <w:color w:val="000000"/>
          <w:szCs w:val="24"/>
        </w:rPr>
      </w:pPr>
    </w:p>
    <w:p w14:paraId="5A368E5F" w14:textId="77777777" w:rsidR="00F3337D" w:rsidRPr="00CA74A8" w:rsidRDefault="00C87B62" w:rsidP="00F3337D">
      <w:pPr>
        <w:pStyle w:val="Heading3"/>
        <w:spacing w:line="276" w:lineRule="auto"/>
      </w:pPr>
      <w:r w:rsidRPr="00CA74A8">
        <w:t>2</w:t>
      </w:r>
      <w:r w:rsidR="00BF3AF0" w:rsidRPr="00CA74A8">
        <w:t>.3.3</w:t>
      </w:r>
      <w:r w:rsidR="00BF3AF0" w:rsidRPr="00CA74A8">
        <w:tab/>
      </w:r>
      <w:r w:rsidR="00F3337D" w:rsidRPr="00CA74A8">
        <w:t>Financial</w:t>
      </w:r>
    </w:p>
    <w:p w14:paraId="67796D2A" w14:textId="44AF2FC1" w:rsidR="00F32A61" w:rsidRPr="00CA74A8" w:rsidRDefault="00CA74A8" w:rsidP="00B507B8">
      <w:pPr>
        <w:spacing w:before="40" w:after="40" w:line="276" w:lineRule="auto"/>
        <w:ind w:left="720"/>
        <w:rPr>
          <w:rStyle w:val="normaltextrun"/>
          <w:rFonts w:eastAsiaTheme="majorEastAsia" w:cs="Arial"/>
          <w:color w:val="000000"/>
        </w:rPr>
      </w:pPr>
      <w:r w:rsidRPr="29802A05">
        <w:rPr>
          <w:rStyle w:val="normaltextrun"/>
          <w:rFonts w:eastAsiaTheme="majorEastAsia" w:cs="Arial"/>
          <w:color w:val="000000"/>
          <w:bdr w:val="none" w:sz="0" w:space="0" w:color="auto" w:frame="1"/>
        </w:rPr>
        <w:t xml:space="preserve">No direct impact – </w:t>
      </w:r>
      <w:r w:rsidR="29802A05" w:rsidRPr="29802A05">
        <w:rPr>
          <w:rStyle w:val="normaltextrun"/>
          <w:rFonts w:eastAsiaTheme="majorEastAsia" w:cs="Arial"/>
          <w:color w:val="000000" w:themeColor="text1"/>
        </w:rPr>
        <w:t>this report is produced for the purpose of performance reporting and assurance.</w:t>
      </w:r>
    </w:p>
    <w:p w14:paraId="52E56223"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631F866C"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7A09F51F" w14:textId="77777777" w:rsidR="008805CA" w:rsidRDefault="00CA74A8" w:rsidP="79D53627">
      <w:pPr>
        <w:spacing w:before="40" w:after="40" w:line="276" w:lineRule="auto"/>
        <w:ind w:left="720"/>
        <w:rPr>
          <w:rStyle w:val="eop"/>
          <w:rFonts w:cs="Arial"/>
          <w:color w:val="000000"/>
          <w:shd w:val="clear" w:color="auto" w:fill="FFFFFF"/>
        </w:rPr>
      </w:pPr>
      <w:r w:rsidRPr="79D53627">
        <w:rPr>
          <w:rStyle w:val="normaltextrun"/>
          <w:rFonts w:eastAsiaTheme="majorEastAsia" w:cs="Arial"/>
          <w:color w:val="000000"/>
          <w:shd w:val="clear" w:color="auto" w:fill="FFFFFF"/>
        </w:rPr>
        <w:t>Risks will be assessed and managed locally within lead divisions / departments and appropriate governance committees. Where necessary risks will be escalated through existing risk escalation hierarchy. </w:t>
      </w:r>
      <w:r>
        <w:rPr>
          <w:rStyle w:val="eop"/>
          <w:rFonts w:cs="Arial"/>
          <w:color w:val="000000"/>
          <w:shd w:val="clear" w:color="auto" w:fill="FFFFFF"/>
        </w:rPr>
        <w:t> </w:t>
      </w:r>
    </w:p>
    <w:p w14:paraId="2ADFAAEB" w14:textId="77777777" w:rsidR="008805CA" w:rsidRDefault="008805CA" w:rsidP="79D53627">
      <w:pPr>
        <w:spacing w:before="40" w:after="40" w:line="276" w:lineRule="auto"/>
        <w:ind w:left="720"/>
        <w:rPr>
          <w:rStyle w:val="eop"/>
          <w:rFonts w:cs="Arial"/>
          <w:color w:val="000000"/>
          <w:shd w:val="clear" w:color="auto" w:fill="FFFFFF"/>
        </w:rPr>
      </w:pPr>
    </w:p>
    <w:p w14:paraId="3856C3AC" w14:textId="058A6F62" w:rsidR="5325856E" w:rsidRDefault="5325856E" w:rsidP="79D53627">
      <w:pPr>
        <w:spacing w:before="40" w:after="40" w:line="276" w:lineRule="auto"/>
        <w:ind w:left="720"/>
        <w:rPr>
          <w:rStyle w:val="eop"/>
          <w:rFonts w:cs="Arial"/>
          <w:color w:val="000000" w:themeColor="text1"/>
        </w:rPr>
      </w:pPr>
      <w:r w:rsidRPr="18F37D7D">
        <w:rPr>
          <w:rStyle w:val="eop"/>
          <w:rFonts w:cs="Arial"/>
          <w:color w:val="000000" w:themeColor="text1"/>
        </w:rPr>
        <w:t>A</w:t>
      </w:r>
      <w:r w:rsidR="45F30614" w:rsidRPr="18F37D7D">
        <w:rPr>
          <w:rStyle w:val="eop"/>
          <w:rFonts w:cs="Arial"/>
          <w:color w:val="000000" w:themeColor="text1"/>
        </w:rPr>
        <w:t xml:space="preserve"> </w:t>
      </w:r>
      <w:r w:rsidR="06AA3E21" w:rsidRPr="18F37D7D">
        <w:rPr>
          <w:rStyle w:val="eop"/>
          <w:rFonts w:cs="Arial"/>
          <w:color w:val="000000" w:themeColor="text1"/>
        </w:rPr>
        <w:t xml:space="preserve">new element of the report is the addition of a </w:t>
      </w:r>
      <w:r w:rsidR="45F30614" w:rsidRPr="18F37D7D">
        <w:rPr>
          <w:rStyle w:val="eop"/>
          <w:rFonts w:cs="Arial"/>
          <w:color w:val="000000" w:themeColor="text1"/>
        </w:rPr>
        <w:t xml:space="preserve">level of assurance </w:t>
      </w:r>
      <w:r w:rsidR="16B98521" w:rsidRPr="18F37D7D">
        <w:rPr>
          <w:rStyle w:val="eop"/>
          <w:rFonts w:cs="Arial"/>
          <w:color w:val="000000" w:themeColor="text1"/>
        </w:rPr>
        <w:t xml:space="preserve">assessment </w:t>
      </w:r>
      <w:r w:rsidR="45F30614" w:rsidRPr="18F37D7D">
        <w:rPr>
          <w:rStyle w:val="eop"/>
          <w:rFonts w:cs="Arial"/>
          <w:color w:val="000000" w:themeColor="text1"/>
        </w:rPr>
        <w:t>which indicates a view</w:t>
      </w:r>
      <w:r w:rsidR="2E9067F6" w:rsidRPr="18F37D7D">
        <w:rPr>
          <w:rStyle w:val="eop"/>
          <w:rFonts w:cs="Arial"/>
          <w:color w:val="000000" w:themeColor="text1"/>
        </w:rPr>
        <w:t>,</w:t>
      </w:r>
      <w:r w:rsidR="45F30614" w:rsidRPr="18F37D7D">
        <w:rPr>
          <w:rStyle w:val="eop"/>
          <w:rFonts w:cs="Arial"/>
          <w:color w:val="000000" w:themeColor="text1"/>
        </w:rPr>
        <w:t xml:space="preserve"> agreed with each Exec</w:t>
      </w:r>
      <w:r w:rsidR="2651879D" w:rsidRPr="18F37D7D">
        <w:rPr>
          <w:rStyle w:val="eop"/>
          <w:rFonts w:cs="Arial"/>
          <w:color w:val="000000" w:themeColor="text1"/>
        </w:rPr>
        <w:t xml:space="preserve">utive Lead for </w:t>
      </w:r>
      <w:r w:rsidR="662D4E83" w:rsidRPr="18F37D7D">
        <w:rPr>
          <w:rStyle w:val="eop"/>
          <w:rFonts w:cs="Arial"/>
          <w:color w:val="000000" w:themeColor="text1"/>
        </w:rPr>
        <w:t xml:space="preserve">the </w:t>
      </w:r>
      <w:r w:rsidR="2651879D" w:rsidRPr="18F37D7D">
        <w:rPr>
          <w:rStyle w:val="eop"/>
          <w:rFonts w:cs="Arial"/>
          <w:color w:val="000000" w:themeColor="text1"/>
        </w:rPr>
        <w:t>Board Committee</w:t>
      </w:r>
      <w:r w:rsidR="6B015E50" w:rsidRPr="18F37D7D">
        <w:rPr>
          <w:rStyle w:val="eop"/>
          <w:rFonts w:cs="Arial"/>
          <w:color w:val="000000" w:themeColor="text1"/>
        </w:rPr>
        <w:t>,</w:t>
      </w:r>
      <w:r w:rsidR="2651879D" w:rsidRPr="18F37D7D">
        <w:rPr>
          <w:rStyle w:val="eop"/>
          <w:rFonts w:cs="Arial"/>
          <w:color w:val="000000" w:themeColor="text1"/>
        </w:rPr>
        <w:t xml:space="preserve"> about the level of risk associated with delivery of each KPI</w:t>
      </w:r>
      <w:r w:rsidR="3AC50EC4" w:rsidRPr="18F37D7D">
        <w:rPr>
          <w:rStyle w:val="eop"/>
          <w:rFonts w:cs="Arial"/>
          <w:color w:val="000000" w:themeColor="text1"/>
        </w:rPr>
        <w:t>. This is a new element of governance reporting which will be added to a wider range of governance reports during the coming year.</w:t>
      </w:r>
    </w:p>
    <w:p w14:paraId="388383CB" w14:textId="0096E8AC" w:rsidR="00907493" w:rsidRDefault="00907493" w:rsidP="79D53627">
      <w:pPr>
        <w:spacing w:before="40" w:after="40" w:line="276" w:lineRule="auto"/>
        <w:ind w:left="720"/>
        <w:rPr>
          <w:rStyle w:val="eop"/>
          <w:rFonts w:cs="Arial"/>
          <w:color w:val="000000" w:themeColor="text1"/>
        </w:rPr>
      </w:pPr>
    </w:p>
    <w:p w14:paraId="45C087C8" w14:textId="7834D371" w:rsidR="00F3337D" w:rsidRPr="00CA74A8" w:rsidRDefault="00C87B62" w:rsidP="00CA74A8">
      <w:pPr>
        <w:pStyle w:val="Heading3"/>
        <w:spacing w:line="276" w:lineRule="auto"/>
        <w:ind w:left="720" w:hanging="720"/>
      </w:pPr>
      <w:r>
        <w:t>2</w:t>
      </w:r>
      <w:r w:rsidR="00BF3AF0">
        <w:t>.3.5</w:t>
      </w:r>
      <w:r w:rsidR="00BF3AF0">
        <w:tab/>
      </w:r>
      <w:r w:rsidR="00F3337D">
        <w:t>Equality and Diversity, including health inequalities</w:t>
      </w:r>
      <w:r w:rsidR="00CA74A8">
        <w:tab/>
      </w:r>
      <w:r w:rsidR="00446219" w:rsidRPr="00BF3AF0">
        <w:rPr>
          <w:rFonts w:cs="Arial"/>
          <w:color w:val="000000"/>
          <w:highlight w:val="lightGray"/>
        </w:rPr>
        <w:br/>
      </w:r>
      <w:proofErr w:type="gramStart"/>
      <w:r w:rsidR="006B2FED">
        <w:rPr>
          <w:rFonts w:cs="Arial"/>
          <w:b w:val="0"/>
          <w:color w:val="000000"/>
        </w:rPr>
        <w:t>A</w:t>
      </w:r>
      <w:r w:rsidR="006B2FED" w:rsidRPr="00CA74A8">
        <w:rPr>
          <w:rFonts w:cs="Arial"/>
          <w:b w:val="0"/>
          <w:color w:val="000000"/>
        </w:rPr>
        <w:t>n</w:t>
      </w:r>
      <w:proofErr w:type="gramEnd"/>
      <w:r w:rsidR="00F3337D" w:rsidRPr="00CA74A8">
        <w:rPr>
          <w:rFonts w:cs="Arial"/>
          <w:b w:val="0"/>
          <w:color w:val="000000"/>
        </w:rPr>
        <w:t xml:space="preserve"> impact assessment has not been completed because</w:t>
      </w:r>
      <w:r w:rsidR="00CA74A8" w:rsidRPr="00CA74A8">
        <w:rPr>
          <w:rFonts w:cs="Arial"/>
          <w:b w:val="0"/>
          <w:color w:val="000000"/>
        </w:rPr>
        <w:t xml:space="preserve"> this report describes routine “business as usual” KPI reporting</w:t>
      </w:r>
      <w:r w:rsidR="00567A40">
        <w:rPr>
          <w:rFonts w:cs="Arial"/>
          <w:b w:val="0"/>
          <w:color w:val="000000"/>
        </w:rPr>
        <w:t>.</w:t>
      </w:r>
    </w:p>
    <w:p w14:paraId="5043CB0F" w14:textId="77777777" w:rsidR="00BF3AF0" w:rsidRPr="00BF3AF0" w:rsidRDefault="00BF3AF0" w:rsidP="00BF3AF0">
      <w:pPr>
        <w:spacing w:before="40" w:after="40" w:line="276" w:lineRule="auto"/>
        <w:ind w:left="720"/>
        <w:rPr>
          <w:rFonts w:cs="Arial"/>
          <w:color w:val="000000"/>
          <w:szCs w:val="24"/>
          <w:highlight w:val="lightGray"/>
        </w:rPr>
      </w:pPr>
    </w:p>
    <w:p w14:paraId="7E39C2CD" w14:textId="77777777"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773F148E" w14:textId="7E9D2C78" w:rsidR="002843DF" w:rsidRDefault="595A72E7" w:rsidP="29802A05">
      <w:pPr>
        <w:spacing w:before="40" w:after="40" w:line="276" w:lineRule="auto"/>
        <w:ind w:left="709"/>
        <w:rPr>
          <w:rFonts w:cs="Arial"/>
          <w:color w:val="000000" w:themeColor="text1"/>
        </w:rPr>
      </w:pPr>
      <w:r w:rsidRPr="29802A05">
        <w:rPr>
          <w:rFonts w:cs="Arial"/>
          <w:color w:val="000000" w:themeColor="text1"/>
        </w:rPr>
        <w:t>Progress on Climate Change and Sustainability measures is reported through the formal public body reporting returns and does not form part of this report.</w:t>
      </w:r>
    </w:p>
    <w:p w14:paraId="07459315" w14:textId="77777777" w:rsidR="00AA77F7" w:rsidRPr="00F3337D" w:rsidRDefault="00AA77F7" w:rsidP="00F3337D">
      <w:pPr>
        <w:pStyle w:val="ListParagraph"/>
        <w:rPr>
          <w:rFonts w:ascii="Arial" w:hAnsi="Arial" w:cs="Arial"/>
          <w:color w:val="000000"/>
          <w:sz w:val="24"/>
          <w:szCs w:val="24"/>
        </w:rPr>
      </w:pPr>
    </w:p>
    <w:p w14:paraId="520D3AE9" w14:textId="77777777" w:rsidR="00446219" w:rsidRDefault="00446219" w:rsidP="00C87B62">
      <w:pPr>
        <w:pStyle w:val="Heading3"/>
        <w:numPr>
          <w:ilvl w:val="2"/>
          <w:numId w:val="17"/>
        </w:numPr>
        <w:rPr>
          <w:rFonts w:eastAsia="Times New Roman"/>
        </w:rPr>
      </w:pPr>
      <w:r>
        <w:rPr>
          <w:rFonts w:eastAsia="Times New Roman"/>
        </w:rPr>
        <w:t>Communication, involvement, engagement and consultation</w:t>
      </w:r>
    </w:p>
    <w:p w14:paraId="7114FBF3" w14:textId="77777777"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6537F28F" w14:textId="77777777" w:rsidR="00F3337D" w:rsidRDefault="00F3337D" w:rsidP="00F3337D">
      <w:pPr>
        <w:pStyle w:val="ListParagraph"/>
        <w:rPr>
          <w:rFonts w:ascii="Arial" w:hAnsi="Arial" w:cs="Arial"/>
          <w:color w:val="000000"/>
          <w:sz w:val="24"/>
          <w:szCs w:val="24"/>
        </w:rPr>
      </w:pPr>
    </w:p>
    <w:p w14:paraId="702F4D14" w14:textId="77777777" w:rsidR="00CA74A8" w:rsidRDefault="00A355C1" w:rsidP="00446219">
      <w:pPr>
        <w:pStyle w:val="ListParagraph"/>
        <w:numPr>
          <w:ilvl w:val="0"/>
          <w:numId w:val="5"/>
        </w:numPr>
        <w:spacing w:before="40" w:after="40" w:line="276" w:lineRule="auto"/>
        <w:rPr>
          <w:rFonts w:ascii="Arial" w:hAnsi="Arial" w:cs="Arial"/>
          <w:sz w:val="24"/>
          <w:szCs w:val="24"/>
        </w:rPr>
      </w:pPr>
      <w:r>
        <w:rPr>
          <w:rFonts w:ascii="Arial" w:hAnsi="Arial" w:cs="Arial"/>
          <w:sz w:val="24"/>
          <w:szCs w:val="24"/>
        </w:rPr>
        <w:t>KPI</w:t>
      </w:r>
      <w:r w:rsidR="00CA74A8">
        <w:rPr>
          <w:rFonts w:ascii="Arial" w:hAnsi="Arial" w:cs="Arial"/>
          <w:sz w:val="24"/>
          <w:szCs w:val="24"/>
        </w:rPr>
        <w:t xml:space="preserve"> review with key stakeholders in early 2025</w:t>
      </w:r>
    </w:p>
    <w:p w14:paraId="5F0D94E4" w14:textId="77777777" w:rsidR="00CA74A8" w:rsidRDefault="00CA74A8" w:rsidP="00CA74A8">
      <w:pPr>
        <w:pStyle w:val="ListParagraph"/>
        <w:numPr>
          <w:ilvl w:val="0"/>
          <w:numId w:val="5"/>
        </w:numPr>
        <w:spacing w:before="40" w:after="40" w:line="276" w:lineRule="auto"/>
        <w:rPr>
          <w:rFonts w:ascii="Arial" w:hAnsi="Arial" w:cs="Arial"/>
          <w:sz w:val="24"/>
          <w:szCs w:val="24"/>
        </w:rPr>
      </w:pPr>
      <w:r>
        <w:rPr>
          <w:rFonts w:ascii="Arial" w:hAnsi="Arial" w:cs="Arial"/>
          <w:sz w:val="24"/>
          <w:szCs w:val="24"/>
        </w:rPr>
        <w:lastRenderedPageBreak/>
        <w:t>Outcome and proposals from KPI review submitted and approved at each of the relevant governance committees</w:t>
      </w:r>
    </w:p>
    <w:p w14:paraId="7C09F0C5" w14:textId="258F432B" w:rsidR="00B10749" w:rsidRPr="00594434" w:rsidRDefault="00CA74A8" w:rsidP="00594434">
      <w:pPr>
        <w:pStyle w:val="ListParagraph"/>
        <w:numPr>
          <w:ilvl w:val="0"/>
          <w:numId w:val="5"/>
        </w:numPr>
        <w:spacing w:before="40" w:after="40" w:line="276" w:lineRule="auto"/>
        <w:rPr>
          <w:rFonts w:ascii="Arial" w:hAnsi="Arial" w:cs="Arial"/>
          <w:sz w:val="24"/>
          <w:szCs w:val="24"/>
        </w:rPr>
      </w:pPr>
      <w:r w:rsidRPr="29802A05">
        <w:rPr>
          <w:rFonts w:ascii="Arial" w:hAnsi="Arial" w:cs="Arial"/>
          <w:sz w:val="24"/>
          <w:szCs w:val="24"/>
        </w:rPr>
        <w:t>Specific narrative to support the action element of the drill down section</w:t>
      </w:r>
      <w:r w:rsidR="53EE7E0E" w:rsidRPr="29802A05">
        <w:rPr>
          <w:rFonts w:ascii="Arial" w:hAnsi="Arial" w:cs="Arial"/>
          <w:sz w:val="24"/>
          <w:szCs w:val="24"/>
        </w:rPr>
        <w:t>s</w:t>
      </w:r>
      <w:r w:rsidRPr="29802A05">
        <w:rPr>
          <w:rFonts w:ascii="Arial" w:hAnsi="Arial" w:cs="Arial"/>
          <w:sz w:val="24"/>
          <w:szCs w:val="24"/>
        </w:rPr>
        <w:t xml:space="preserve"> of the report </w:t>
      </w:r>
      <w:r w:rsidR="6E241A46" w:rsidRPr="29802A05">
        <w:rPr>
          <w:rFonts w:ascii="Arial" w:hAnsi="Arial" w:cs="Arial"/>
          <w:sz w:val="24"/>
          <w:szCs w:val="24"/>
        </w:rPr>
        <w:t xml:space="preserve">has been </w:t>
      </w:r>
      <w:r w:rsidRPr="29802A05">
        <w:rPr>
          <w:rFonts w:ascii="Arial" w:hAnsi="Arial" w:cs="Arial"/>
          <w:sz w:val="24"/>
          <w:szCs w:val="24"/>
        </w:rPr>
        <w:t>provided by org</w:t>
      </w:r>
      <w:r w:rsidR="00A355C1" w:rsidRPr="29802A05">
        <w:rPr>
          <w:rFonts w:ascii="Arial" w:hAnsi="Arial" w:cs="Arial"/>
          <w:sz w:val="24"/>
          <w:szCs w:val="24"/>
        </w:rPr>
        <w:t xml:space="preserve">anisational leads </w:t>
      </w:r>
      <w:r w:rsidR="00F00317" w:rsidRPr="29802A05">
        <w:rPr>
          <w:rFonts w:ascii="Arial" w:hAnsi="Arial" w:cs="Arial"/>
          <w:sz w:val="24"/>
          <w:szCs w:val="24"/>
        </w:rPr>
        <w:t>throughout March and April 2025</w:t>
      </w:r>
    </w:p>
    <w:p w14:paraId="18E3C056" w14:textId="77777777" w:rsidR="00B10749" w:rsidRPr="00446219" w:rsidRDefault="00B10749" w:rsidP="00B851FC">
      <w:pPr>
        <w:pStyle w:val="ListParagraph"/>
        <w:spacing w:before="40" w:after="40" w:line="276" w:lineRule="auto"/>
        <w:ind w:left="1080"/>
        <w:rPr>
          <w:rFonts w:ascii="Arial" w:hAnsi="Arial" w:cs="Arial"/>
          <w:sz w:val="24"/>
          <w:szCs w:val="24"/>
          <w:highlight w:val="lightGray"/>
        </w:rPr>
      </w:pPr>
    </w:p>
    <w:p w14:paraId="70DF9E56" w14:textId="6524CEB3" w:rsidR="00446219" w:rsidRPr="00446219" w:rsidRDefault="00446219" w:rsidP="00446219">
      <w:pPr>
        <w:pStyle w:val="Heading3"/>
        <w:numPr>
          <w:ilvl w:val="2"/>
          <w:numId w:val="17"/>
        </w:numPr>
      </w:pPr>
      <w:r>
        <w:t>Route to the Meeting</w:t>
      </w:r>
      <w:bookmarkStart w:id="0" w:name="_GoBack"/>
      <w:bookmarkEnd w:id="0"/>
    </w:p>
    <w:p w14:paraId="7BEB77AD"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4E871BC" w14:textId="77777777" w:rsidR="00FA1FC3" w:rsidRPr="00FA1FC3" w:rsidRDefault="00FA1FC3" w:rsidP="00FA1FC3">
      <w:pPr>
        <w:spacing w:line="276" w:lineRule="auto"/>
        <w:rPr>
          <w:rFonts w:cs="Arial"/>
        </w:rPr>
      </w:pPr>
    </w:p>
    <w:p w14:paraId="17E40745" w14:textId="77777777" w:rsidR="00446219" w:rsidRPr="00BD4D62" w:rsidRDefault="00BD4D62" w:rsidP="00446219">
      <w:pPr>
        <w:pStyle w:val="ListParagraph"/>
        <w:numPr>
          <w:ilvl w:val="0"/>
          <w:numId w:val="6"/>
        </w:numPr>
        <w:spacing w:line="276" w:lineRule="auto"/>
        <w:rPr>
          <w:rFonts w:ascii="Arial" w:hAnsi="Arial" w:cs="Arial"/>
          <w:sz w:val="24"/>
        </w:rPr>
      </w:pPr>
      <w:r w:rsidRPr="00BD4D62">
        <w:rPr>
          <w:rFonts w:ascii="Arial" w:hAnsi="Arial" w:cs="Arial"/>
          <w:sz w:val="24"/>
        </w:rPr>
        <w:t xml:space="preserve">Executive Leadership Team Meeting, </w:t>
      </w:r>
      <w:r>
        <w:rPr>
          <w:rFonts w:ascii="Arial" w:hAnsi="Arial" w:cs="Arial"/>
          <w:sz w:val="24"/>
        </w:rPr>
        <w:t>28 April 2025</w:t>
      </w:r>
    </w:p>
    <w:p w14:paraId="144A5D23" w14:textId="77777777" w:rsidR="00430C09" w:rsidRDefault="00430C09" w:rsidP="00430C09">
      <w:pPr>
        <w:pStyle w:val="Heading2"/>
        <w:spacing w:line="276" w:lineRule="auto"/>
      </w:pPr>
    </w:p>
    <w:p w14:paraId="458C61D0" w14:textId="77777777" w:rsidR="00BF3AF0" w:rsidRDefault="00C87B62" w:rsidP="00BF3AF0">
      <w:pPr>
        <w:pStyle w:val="Heading2"/>
      </w:pPr>
      <w:r>
        <w:t>2.</w:t>
      </w:r>
      <w:r w:rsidR="00BF3AF0">
        <w:t>4</w:t>
      </w:r>
      <w:r w:rsidR="00BF3AF0">
        <w:tab/>
        <w:t>Recommendation</w:t>
      </w:r>
    </w:p>
    <w:p w14:paraId="738610EB" w14:textId="77777777" w:rsidR="00BF3AF0" w:rsidRPr="00BF3AF0" w:rsidRDefault="00BF3AF0" w:rsidP="00BF3AF0"/>
    <w:p w14:paraId="1C87CF21" w14:textId="77777777" w:rsidR="00BF3AF0" w:rsidRPr="00FB6740" w:rsidRDefault="006B2FED" w:rsidP="00FB6740">
      <w:pPr>
        <w:spacing w:before="40" w:after="40" w:line="276" w:lineRule="auto"/>
        <w:ind w:left="720"/>
        <w:rPr>
          <w:rFonts w:cs="Arial"/>
          <w:color w:val="000000"/>
          <w:szCs w:val="24"/>
        </w:rPr>
      </w:pPr>
      <w:r w:rsidRPr="00FB6740">
        <w:rPr>
          <w:rFonts w:cs="Arial"/>
          <w:color w:val="000000"/>
          <w:szCs w:val="24"/>
        </w:rPr>
        <w:t xml:space="preserve">NHS Golden Jubilee Board members are asked to approve </w:t>
      </w:r>
      <w:r w:rsidR="00FB6740" w:rsidRPr="00FB6740">
        <w:rPr>
          <w:rFonts w:cs="Arial"/>
          <w:color w:val="000000"/>
          <w:szCs w:val="24"/>
        </w:rPr>
        <w:t>the Public Board Performance Report</w:t>
      </w:r>
    </w:p>
    <w:p w14:paraId="637805D2" w14:textId="77777777" w:rsidR="00C87B62" w:rsidRDefault="00C87B62" w:rsidP="00C87B62">
      <w:pPr>
        <w:spacing w:before="40" w:after="40" w:line="276" w:lineRule="auto"/>
        <w:rPr>
          <w:rFonts w:cs="Arial"/>
          <w:szCs w:val="24"/>
        </w:rPr>
      </w:pPr>
    </w:p>
    <w:p w14:paraId="6C1EB3DA" w14:textId="77777777" w:rsidR="00C87B62" w:rsidRDefault="00C87B62" w:rsidP="00FB6740">
      <w:pPr>
        <w:pStyle w:val="Heading2"/>
        <w:numPr>
          <w:ilvl w:val="0"/>
          <w:numId w:val="17"/>
        </w:numPr>
        <w:spacing w:line="276" w:lineRule="auto"/>
        <w:ind w:left="709" w:hanging="709"/>
      </w:pPr>
      <w:r>
        <w:t>List of appendices</w:t>
      </w:r>
    </w:p>
    <w:p w14:paraId="463F29E8" w14:textId="77777777" w:rsidR="00C87B62" w:rsidRDefault="00C87B62" w:rsidP="00C87B62">
      <w:pPr>
        <w:spacing w:before="40" w:after="40" w:line="276" w:lineRule="auto"/>
        <w:rPr>
          <w:rFonts w:cs="Arial"/>
          <w:color w:val="000000" w:themeColor="text1"/>
          <w:szCs w:val="24"/>
        </w:rPr>
      </w:pPr>
    </w:p>
    <w:p w14:paraId="58785AD8" w14:textId="77777777" w:rsidR="00C87B62" w:rsidRPr="00BF3AF0" w:rsidRDefault="00C87B62" w:rsidP="00FB6740">
      <w:pPr>
        <w:spacing w:before="40" w:after="40" w:line="276" w:lineRule="auto"/>
        <w:ind w:firstLine="709"/>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3B7B4B86"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3A0FF5F2" w14:textId="0F95A60B" w:rsidR="00C87B62" w:rsidRPr="00B77902" w:rsidRDefault="39E851AA" w:rsidP="4B194D52">
      <w:pPr>
        <w:pStyle w:val="ListParagraph"/>
        <w:numPr>
          <w:ilvl w:val="0"/>
          <w:numId w:val="18"/>
        </w:numPr>
        <w:spacing w:before="40" w:after="40" w:line="276" w:lineRule="auto"/>
        <w:ind w:left="993" w:hanging="284"/>
        <w:rPr>
          <w:rFonts w:ascii="Arial" w:hAnsi="Arial" w:cs="Arial"/>
          <w:color w:val="000000"/>
          <w:sz w:val="24"/>
          <w:szCs w:val="24"/>
        </w:rPr>
      </w:pPr>
      <w:r w:rsidRPr="4B194D52">
        <w:rPr>
          <w:rFonts w:ascii="Arial" w:hAnsi="Arial" w:cs="Arial"/>
          <w:color w:val="000000" w:themeColor="text1"/>
          <w:sz w:val="24"/>
          <w:szCs w:val="24"/>
        </w:rPr>
        <w:t xml:space="preserve">Appendix </w:t>
      </w:r>
      <w:r w:rsidR="45DA3131" w:rsidRPr="4B194D52">
        <w:rPr>
          <w:rFonts w:ascii="Arial" w:hAnsi="Arial" w:cs="Arial"/>
          <w:color w:val="000000" w:themeColor="text1"/>
          <w:sz w:val="24"/>
          <w:szCs w:val="24"/>
        </w:rPr>
        <w:t>1</w:t>
      </w:r>
      <w:r w:rsidRPr="4B194D52">
        <w:rPr>
          <w:rFonts w:ascii="Arial" w:hAnsi="Arial" w:cs="Arial"/>
          <w:color w:val="000000" w:themeColor="text1"/>
          <w:sz w:val="24"/>
          <w:szCs w:val="24"/>
        </w:rPr>
        <w:t xml:space="preserve">, </w:t>
      </w:r>
      <w:r w:rsidR="287DB6BD" w:rsidRPr="4B194D52">
        <w:rPr>
          <w:rFonts w:ascii="Arial" w:hAnsi="Arial" w:cs="Arial"/>
          <w:color w:val="000000" w:themeColor="text1"/>
          <w:sz w:val="24"/>
          <w:szCs w:val="24"/>
        </w:rPr>
        <w:t xml:space="preserve">Public </w:t>
      </w:r>
      <w:r w:rsidR="45DA3131" w:rsidRPr="4B194D52">
        <w:rPr>
          <w:rFonts w:ascii="Arial" w:hAnsi="Arial" w:cs="Arial"/>
          <w:color w:val="000000" w:themeColor="text1"/>
          <w:sz w:val="24"/>
          <w:szCs w:val="24"/>
        </w:rPr>
        <w:t>Board Performance Report</w:t>
      </w:r>
    </w:p>
    <w:sectPr w:rsidR="00C87B62" w:rsidRPr="00B77902" w:rsidSect="00907493">
      <w:pgSz w:w="11906" w:h="16838"/>
      <w:pgMar w:top="828" w:right="851" w:bottom="851" w:left="992" w:header="573" w:footer="641"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E424" w14:textId="77777777" w:rsidR="00C4151F" w:rsidRDefault="00C4151F">
      <w:r>
        <w:separator/>
      </w:r>
    </w:p>
  </w:endnote>
  <w:endnote w:type="continuationSeparator" w:id="0">
    <w:p w14:paraId="54B6FEEC" w14:textId="77777777" w:rsidR="00C4151F" w:rsidRDefault="00C4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B5B7" w14:textId="77777777" w:rsidR="00610728" w:rsidRDefault="00610728" w:rsidP="003F7F61">
    <w:pPr>
      <w:pStyle w:val="Footer"/>
      <w:jc w:val="center"/>
      <w:rPr>
        <w:rFonts w:cs="Arial"/>
        <w:sz w:val="16"/>
        <w:szCs w:val="16"/>
      </w:rPr>
    </w:pPr>
  </w:p>
  <w:p w14:paraId="45C48B8F" w14:textId="6DB0D4EA"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F701C">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F701C">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C203B" w14:textId="77777777" w:rsidR="00C4151F" w:rsidRDefault="00C4151F">
      <w:r>
        <w:separator/>
      </w:r>
    </w:p>
  </w:footnote>
  <w:footnote w:type="continuationSeparator" w:id="0">
    <w:p w14:paraId="0300A212" w14:textId="77777777" w:rsidR="00C4151F" w:rsidRDefault="00C4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EBF6" w14:textId="19A59363" w:rsidR="00610728" w:rsidRPr="00125A9E" w:rsidRDefault="008F701C"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3.4.5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4E67B"/>
    <w:multiLevelType w:val="hybridMultilevel"/>
    <w:tmpl w:val="405A3A2A"/>
    <w:lvl w:ilvl="0" w:tplc="C338B9DC">
      <w:start w:val="1"/>
      <w:numFmt w:val="bullet"/>
      <w:lvlText w:val="·"/>
      <w:lvlJc w:val="left"/>
      <w:pPr>
        <w:ind w:left="720" w:hanging="360"/>
      </w:pPr>
      <w:rPr>
        <w:rFonts w:ascii="Symbol" w:hAnsi="Symbol" w:hint="default"/>
      </w:rPr>
    </w:lvl>
    <w:lvl w:ilvl="1" w:tplc="B28AC3D0">
      <w:start w:val="1"/>
      <w:numFmt w:val="bullet"/>
      <w:lvlText w:val="o"/>
      <w:lvlJc w:val="left"/>
      <w:pPr>
        <w:ind w:left="1440" w:hanging="360"/>
      </w:pPr>
      <w:rPr>
        <w:rFonts w:ascii="Courier New" w:hAnsi="Courier New" w:hint="default"/>
      </w:rPr>
    </w:lvl>
    <w:lvl w:ilvl="2" w:tplc="A9FCB02C">
      <w:start w:val="1"/>
      <w:numFmt w:val="bullet"/>
      <w:lvlText w:val=""/>
      <w:lvlJc w:val="left"/>
      <w:pPr>
        <w:ind w:left="2160" w:hanging="360"/>
      </w:pPr>
      <w:rPr>
        <w:rFonts w:ascii="Wingdings" w:hAnsi="Wingdings" w:hint="default"/>
      </w:rPr>
    </w:lvl>
    <w:lvl w:ilvl="3" w:tplc="1B70EAAE">
      <w:start w:val="1"/>
      <w:numFmt w:val="bullet"/>
      <w:lvlText w:val=""/>
      <w:lvlJc w:val="left"/>
      <w:pPr>
        <w:ind w:left="2880" w:hanging="360"/>
      </w:pPr>
      <w:rPr>
        <w:rFonts w:ascii="Symbol" w:hAnsi="Symbol" w:hint="default"/>
      </w:rPr>
    </w:lvl>
    <w:lvl w:ilvl="4" w:tplc="D500F012">
      <w:start w:val="1"/>
      <w:numFmt w:val="bullet"/>
      <w:lvlText w:val="o"/>
      <w:lvlJc w:val="left"/>
      <w:pPr>
        <w:ind w:left="3600" w:hanging="360"/>
      </w:pPr>
      <w:rPr>
        <w:rFonts w:ascii="Courier New" w:hAnsi="Courier New" w:hint="default"/>
      </w:rPr>
    </w:lvl>
    <w:lvl w:ilvl="5" w:tplc="726ACC26">
      <w:start w:val="1"/>
      <w:numFmt w:val="bullet"/>
      <w:lvlText w:val=""/>
      <w:lvlJc w:val="left"/>
      <w:pPr>
        <w:ind w:left="4320" w:hanging="360"/>
      </w:pPr>
      <w:rPr>
        <w:rFonts w:ascii="Wingdings" w:hAnsi="Wingdings" w:hint="default"/>
      </w:rPr>
    </w:lvl>
    <w:lvl w:ilvl="6" w:tplc="5DCE4168">
      <w:start w:val="1"/>
      <w:numFmt w:val="bullet"/>
      <w:lvlText w:val=""/>
      <w:lvlJc w:val="left"/>
      <w:pPr>
        <w:ind w:left="5040" w:hanging="360"/>
      </w:pPr>
      <w:rPr>
        <w:rFonts w:ascii="Symbol" w:hAnsi="Symbol" w:hint="default"/>
      </w:rPr>
    </w:lvl>
    <w:lvl w:ilvl="7" w:tplc="8D1A8862">
      <w:start w:val="1"/>
      <w:numFmt w:val="bullet"/>
      <w:lvlText w:val="o"/>
      <w:lvlJc w:val="left"/>
      <w:pPr>
        <w:ind w:left="5760" w:hanging="360"/>
      </w:pPr>
      <w:rPr>
        <w:rFonts w:ascii="Courier New" w:hAnsi="Courier New" w:hint="default"/>
      </w:rPr>
    </w:lvl>
    <w:lvl w:ilvl="8" w:tplc="7C4E1F5C">
      <w:start w:val="1"/>
      <w:numFmt w:val="bullet"/>
      <w:lvlText w:val=""/>
      <w:lvlJc w:val="left"/>
      <w:pPr>
        <w:ind w:left="6480" w:hanging="360"/>
      </w:pPr>
      <w:rPr>
        <w:rFonts w:ascii="Wingdings" w:hAnsi="Wingdings" w:hint="default"/>
      </w:r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
  </w:num>
  <w:num w:numId="4">
    <w:abstractNumId w:val="11"/>
  </w:num>
  <w:num w:numId="5">
    <w:abstractNumId w:val="18"/>
  </w:num>
  <w:num w:numId="6">
    <w:abstractNumId w:val="9"/>
  </w:num>
  <w:num w:numId="7">
    <w:abstractNumId w:val="6"/>
  </w:num>
  <w:num w:numId="8">
    <w:abstractNumId w:val="12"/>
  </w:num>
  <w:num w:numId="9">
    <w:abstractNumId w:val="5"/>
  </w:num>
  <w:num w:numId="10">
    <w:abstractNumId w:val="14"/>
  </w:num>
  <w:num w:numId="11">
    <w:abstractNumId w:val="3"/>
  </w:num>
  <w:num w:numId="12">
    <w:abstractNumId w:val="15"/>
  </w:num>
  <w:num w:numId="13">
    <w:abstractNumId w:val="2"/>
  </w:num>
  <w:num w:numId="14">
    <w:abstractNumId w:val="4"/>
  </w:num>
  <w:num w:numId="15">
    <w:abstractNumId w:val="7"/>
  </w:num>
  <w:num w:numId="16">
    <w:abstractNumId w:val="10"/>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6092D"/>
    <w:rsid w:val="00071B62"/>
    <w:rsid w:val="00077024"/>
    <w:rsid w:val="00091974"/>
    <w:rsid w:val="000945DB"/>
    <w:rsid w:val="000F3D69"/>
    <w:rsid w:val="000F7706"/>
    <w:rsid w:val="00125A9E"/>
    <w:rsid w:val="00140DB3"/>
    <w:rsid w:val="002205E1"/>
    <w:rsid w:val="0023473B"/>
    <w:rsid w:val="002843DF"/>
    <w:rsid w:val="002A0C81"/>
    <w:rsid w:val="002A5AE1"/>
    <w:rsid w:val="002C775C"/>
    <w:rsid w:val="003325A7"/>
    <w:rsid w:val="0033790B"/>
    <w:rsid w:val="00350B9D"/>
    <w:rsid w:val="00352B65"/>
    <w:rsid w:val="003807B4"/>
    <w:rsid w:val="003D47EE"/>
    <w:rsid w:val="003E5654"/>
    <w:rsid w:val="003E6ADE"/>
    <w:rsid w:val="003F7F61"/>
    <w:rsid w:val="00422161"/>
    <w:rsid w:val="0042459C"/>
    <w:rsid w:val="00430C09"/>
    <w:rsid w:val="00430D8D"/>
    <w:rsid w:val="00446219"/>
    <w:rsid w:val="00494A1B"/>
    <w:rsid w:val="00495B36"/>
    <w:rsid w:val="004A39D0"/>
    <w:rsid w:val="004C24DE"/>
    <w:rsid w:val="004C44B1"/>
    <w:rsid w:val="004E70B3"/>
    <w:rsid w:val="004F07BD"/>
    <w:rsid w:val="004F0C2F"/>
    <w:rsid w:val="00516A6F"/>
    <w:rsid w:val="00563547"/>
    <w:rsid w:val="00567A40"/>
    <w:rsid w:val="00591C18"/>
    <w:rsid w:val="00593821"/>
    <w:rsid w:val="00594434"/>
    <w:rsid w:val="005F3C93"/>
    <w:rsid w:val="00610728"/>
    <w:rsid w:val="006173A9"/>
    <w:rsid w:val="00654232"/>
    <w:rsid w:val="00661A25"/>
    <w:rsid w:val="00677A38"/>
    <w:rsid w:val="006A01A8"/>
    <w:rsid w:val="006B22A7"/>
    <w:rsid w:val="006B2FED"/>
    <w:rsid w:val="006C5C9F"/>
    <w:rsid w:val="006D1343"/>
    <w:rsid w:val="006D6D61"/>
    <w:rsid w:val="006D7D93"/>
    <w:rsid w:val="007066C5"/>
    <w:rsid w:val="007225DB"/>
    <w:rsid w:val="007852FF"/>
    <w:rsid w:val="007B7877"/>
    <w:rsid w:val="007F32CF"/>
    <w:rsid w:val="008145BE"/>
    <w:rsid w:val="00816E22"/>
    <w:rsid w:val="00835E59"/>
    <w:rsid w:val="0084355D"/>
    <w:rsid w:val="00845D52"/>
    <w:rsid w:val="008460D3"/>
    <w:rsid w:val="00860623"/>
    <w:rsid w:val="008805CA"/>
    <w:rsid w:val="00880779"/>
    <w:rsid w:val="008E220C"/>
    <w:rsid w:val="008E29BA"/>
    <w:rsid w:val="008F701C"/>
    <w:rsid w:val="00907493"/>
    <w:rsid w:val="00927C6C"/>
    <w:rsid w:val="00945E79"/>
    <w:rsid w:val="009807B4"/>
    <w:rsid w:val="0098253F"/>
    <w:rsid w:val="009828B9"/>
    <w:rsid w:val="009B1BFA"/>
    <w:rsid w:val="009C1B9D"/>
    <w:rsid w:val="00A1058A"/>
    <w:rsid w:val="00A2680C"/>
    <w:rsid w:val="00A355C1"/>
    <w:rsid w:val="00A62B58"/>
    <w:rsid w:val="00A63504"/>
    <w:rsid w:val="00A84C97"/>
    <w:rsid w:val="00AA77F7"/>
    <w:rsid w:val="00AE522B"/>
    <w:rsid w:val="00AF0530"/>
    <w:rsid w:val="00AF356A"/>
    <w:rsid w:val="00B00CE8"/>
    <w:rsid w:val="00B077D8"/>
    <w:rsid w:val="00B10749"/>
    <w:rsid w:val="00B14552"/>
    <w:rsid w:val="00B178D4"/>
    <w:rsid w:val="00B507B8"/>
    <w:rsid w:val="00B546C8"/>
    <w:rsid w:val="00B562FA"/>
    <w:rsid w:val="00B7445F"/>
    <w:rsid w:val="00B77902"/>
    <w:rsid w:val="00B851FC"/>
    <w:rsid w:val="00BA6977"/>
    <w:rsid w:val="00BB1D18"/>
    <w:rsid w:val="00BC231E"/>
    <w:rsid w:val="00BD4D62"/>
    <w:rsid w:val="00BF2637"/>
    <w:rsid w:val="00BF3AF0"/>
    <w:rsid w:val="00C4151F"/>
    <w:rsid w:val="00C55DD3"/>
    <w:rsid w:val="00C75547"/>
    <w:rsid w:val="00C87B62"/>
    <w:rsid w:val="00C92E76"/>
    <w:rsid w:val="00C94BF7"/>
    <w:rsid w:val="00CA74A8"/>
    <w:rsid w:val="00CB75AC"/>
    <w:rsid w:val="00CE0ACD"/>
    <w:rsid w:val="00D16591"/>
    <w:rsid w:val="00D17B29"/>
    <w:rsid w:val="00D44007"/>
    <w:rsid w:val="00DC19C2"/>
    <w:rsid w:val="00DD2D3D"/>
    <w:rsid w:val="00DD6252"/>
    <w:rsid w:val="00DF1BE0"/>
    <w:rsid w:val="00E10885"/>
    <w:rsid w:val="00E55D65"/>
    <w:rsid w:val="00E71CD2"/>
    <w:rsid w:val="00EB410D"/>
    <w:rsid w:val="00ED78D2"/>
    <w:rsid w:val="00EF7A3B"/>
    <w:rsid w:val="00F00317"/>
    <w:rsid w:val="00F32A61"/>
    <w:rsid w:val="00F3337D"/>
    <w:rsid w:val="00F4590A"/>
    <w:rsid w:val="00F6C15C"/>
    <w:rsid w:val="00FA1FC3"/>
    <w:rsid w:val="00FA72B1"/>
    <w:rsid w:val="00FB6740"/>
    <w:rsid w:val="00FE3584"/>
    <w:rsid w:val="025B1CE2"/>
    <w:rsid w:val="025EC19A"/>
    <w:rsid w:val="02AE23CC"/>
    <w:rsid w:val="046B9D52"/>
    <w:rsid w:val="04FA50CF"/>
    <w:rsid w:val="0508DA06"/>
    <w:rsid w:val="05AADE0D"/>
    <w:rsid w:val="067804FC"/>
    <w:rsid w:val="06AA3E21"/>
    <w:rsid w:val="0797A570"/>
    <w:rsid w:val="08926952"/>
    <w:rsid w:val="0899CBB4"/>
    <w:rsid w:val="0A8CCD45"/>
    <w:rsid w:val="0AE7C44F"/>
    <w:rsid w:val="0AF17FF4"/>
    <w:rsid w:val="0B7F3F9D"/>
    <w:rsid w:val="0BA51F77"/>
    <w:rsid w:val="0D2CE72C"/>
    <w:rsid w:val="0D3CC7C5"/>
    <w:rsid w:val="0F090ADE"/>
    <w:rsid w:val="0F36C787"/>
    <w:rsid w:val="0F60F77E"/>
    <w:rsid w:val="10E8273F"/>
    <w:rsid w:val="12A2BA30"/>
    <w:rsid w:val="12FA44CC"/>
    <w:rsid w:val="130432E9"/>
    <w:rsid w:val="14DCC075"/>
    <w:rsid w:val="151D337B"/>
    <w:rsid w:val="16523CB1"/>
    <w:rsid w:val="16B98521"/>
    <w:rsid w:val="1798665F"/>
    <w:rsid w:val="17AA4E8D"/>
    <w:rsid w:val="1806C079"/>
    <w:rsid w:val="182D9810"/>
    <w:rsid w:val="18CA07E0"/>
    <w:rsid w:val="18E0E9C7"/>
    <w:rsid w:val="18F37D7D"/>
    <w:rsid w:val="18F50D82"/>
    <w:rsid w:val="19F08637"/>
    <w:rsid w:val="1A5A96BF"/>
    <w:rsid w:val="1C242725"/>
    <w:rsid w:val="1C674BAD"/>
    <w:rsid w:val="1CF76181"/>
    <w:rsid w:val="1DD452E7"/>
    <w:rsid w:val="1E7A739A"/>
    <w:rsid w:val="205DB083"/>
    <w:rsid w:val="22AA6F87"/>
    <w:rsid w:val="2424423C"/>
    <w:rsid w:val="2592DE6C"/>
    <w:rsid w:val="264CA4FB"/>
    <w:rsid w:val="2651879D"/>
    <w:rsid w:val="287DB6BD"/>
    <w:rsid w:val="28BD82D9"/>
    <w:rsid w:val="2933A7E4"/>
    <w:rsid w:val="29802A05"/>
    <w:rsid w:val="2A0D0020"/>
    <w:rsid w:val="2AC27413"/>
    <w:rsid w:val="2AD57E81"/>
    <w:rsid w:val="2AE91715"/>
    <w:rsid w:val="2BA2419D"/>
    <w:rsid w:val="2CC8A5C7"/>
    <w:rsid w:val="2CF5ED64"/>
    <w:rsid w:val="2D163A5A"/>
    <w:rsid w:val="2D854424"/>
    <w:rsid w:val="2E84B0F9"/>
    <w:rsid w:val="2E9067F6"/>
    <w:rsid w:val="2EFF5F5F"/>
    <w:rsid w:val="3037F47C"/>
    <w:rsid w:val="317C8D92"/>
    <w:rsid w:val="31CD4029"/>
    <w:rsid w:val="32478E02"/>
    <w:rsid w:val="32A4B01A"/>
    <w:rsid w:val="33204679"/>
    <w:rsid w:val="335C82AA"/>
    <w:rsid w:val="343C4976"/>
    <w:rsid w:val="3445C7E7"/>
    <w:rsid w:val="35EC781C"/>
    <w:rsid w:val="3796491D"/>
    <w:rsid w:val="3925F5EB"/>
    <w:rsid w:val="39E851AA"/>
    <w:rsid w:val="3A532107"/>
    <w:rsid w:val="3AC50EC4"/>
    <w:rsid w:val="3B2942BE"/>
    <w:rsid w:val="3D507889"/>
    <w:rsid w:val="3E003056"/>
    <w:rsid w:val="3E6F911A"/>
    <w:rsid w:val="3E83DA54"/>
    <w:rsid w:val="3F69285B"/>
    <w:rsid w:val="3F85FD54"/>
    <w:rsid w:val="40472EEB"/>
    <w:rsid w:val="407A8C3C"/>
    <w:rsid w:val="411171D1"/>
    <w:rsid w:val="41698563"/>
    <w:rsid w:val="419B3FB1"/>
    <w:rsid w:val="43065BE5"/>
    <w:rsid w:val="43080151"/>
    <w:rsid w:val="438E320B"/>
    <w:rsid w:val="452E0012"/>
    <w:rsid w:val="45820F6C"/>
    <w:rsid w:val="45DA3131"/>
    <w:rsid w:val="45F30614"/>
    <w:rsid w:val="46838F90"/>
    <w:rsid w:val="4701C861"/>
    <w:rsid w:val="478538D9"/>
    <w:rsid w:val="48598216"/>
    <w:rsid w:val="4936E93B"/>
    <w:rsid w:val="4AE9BA4F"/>
    <w:rsid w:val="4B194D52"/>
    <w:rsid w:val="4E37B9D0"/>
    <w:rsid w:val="4E94A759"/>
    <w:rsid w:val="4F57B8AF"/>
    <w:rsid w:val="4F95AAFD"/>
    <w:rsid w:val="50038F02"/>
    <w:rsid w:val="50176038"/>
    <w:rsid w:val="51A17CB1"/>
    <w:rsid w:val="529B3E1F"/>
    <w:rsid w:val="5325856E"/>
    <w:rsid w:val="53475E89"/>
    <w:rsid w:val="53C8F179"/>
    <w:rsid w:val="53EE7E0E"/>
    <w:rsid w:val="54461322"/>
    <w:rsid w:val="560E86BC"/>
    <w:rsid w:val="566BA169"/>
    <w:rsid w:val="57A7B33B"/>
    <w:rsid w:val="57E74BC9"/>
    <w:rsid w:val="5875F3F3"/>
    <w:rsid w:val="595A72E7"/>
    <w:rsid w:val="59C1F161"/>
    <w:rsid w:val="59D0F768"/>
    <w:rsid w:val="5C698173"/>
    <w:rsid w:val="5F7012B0"/>
    <w:rsid w:val="5FC6DDF0"/>
    <w:rsid w:val="63C44652"/>
    <w:rsid w:val="64061BD3"/>
    <w:rsid w:val="65760ABE"/>
    <w:rsid w:val="6588752F"/>
    <w:rsid w:val="660F3892"/>
    <w:rsid w:val="662D4E83"/>
    <w:rsid w:val="6634E9E8"/>
    <w:rsid w:val="66940F97"/>
    <w:rsid w:val="66CC1EBC"/>
    <w:rsid w:val="66DF6112"/>
    <w:rsid w:val="671C2704"/>
    <w:rsid w:val="67367A32"/>
    <w:rsid w:val="685D0152"/>
    <w:rsid w:val="68C0E02E"/>
    <w:rsid w:val="68D2CC2C"/>
    <w:rsid w:val="68F855F0"/>
    <w:rsid w:val="6971629A"/>
    <w:rsid w:val="6B015E50"/>
    <w:rsid w:val="6CA87777"/>
    <w:rsid w:val="6CF5DCC8"/>
    <w:rsid w:val="6E241A46"/>
    <w:rsid w:val="6ED8BD4E"/>
    <w:rsid w:val="6F437581"/>
    <w:rsid w:val="6FCC63F2"/>
    <w:rsid w:val="71B6D5E7"/>
    <w:rsid w:val="725E1735"/>
    <w:rsid w:val="727A7145"/>
    <w:rsid w:val="729B55CC"/>
    <w:rsid w:val="72E9F7F5"/>
    <w:rsid w:val="72EECF32"/>
    <w:rsid w:val="73684142"/>
    <w:rsid w:val="73826447"/>
    <w:rsid w:val="76BDF3CF"/>
    <w:rsid w:val="7799C0BE"/>
    <w:rsid w:val="79A59D89"/>
    <w:rsid w:val="79D53627"/>
    <w:rsid w:val="7A09EB1E"/>
    <w:rsid w:val="7AA83022"/>
    <w:rsid w:val="7E1E3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08C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normaltextrun">
    <w:name w:val="normaltextrun"/>
    <w:basedOn w:val="DefaultParagraphFont"/>
    <w:rsid w:val="00BD4D62"/>
  </w:style>
  <w:style w:type="character" w:customStyle="1" w:styleId="eop">
    <w:name w:val="eop"/>
    <w:basedOn w:val="DefaultParagraphFont"/>
    <w:rsid w:val="00BD4D62"/>
  </w:style>
  <w:style w:type="paragraph" w:styleId="Caption">
    <w:name w:val="caption"/>
    <w:basedOn w:val="Normal"/>
    <w:next w:val="Normal"/>
    <w:uiPriority w:val="35"/>
    <w:unhideWhenUsed/>
    <w:qFormat/>
    <w:rsid w:val="00BA6977"/>
    <w:pPr>
      <w:spacing w:after="200"/>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3365">
      <w:bodyDiv w:val="1"/>
      <w:marLeft w:val="0"/>
      <w:marRight w:val="0"/>
      <w:marTop w:val="0"/>
      <w:marBottom w:val="0"/>
      <w:divBdr>
        <w:top w:val="none" w:sz="0" w:space="0" w:color="auto"/>
        <w:left w:val="none" w:sz="0" w:space="0" w:color="auto"/>
        <w:bottom w:val="none" w:sz="0" w:space="0" w:color="auto"/>
        <w:right w:val="none" w:sz="0" w:space="0" w:color="auto"/>
      </w:divBdr>
      <w:divsChild>
        <w:div w:id="1259828230">
          <w:marLeft w:val="0"/>
          <w:marRight w:val="0"/>
          <w:marTop w:val="0"/>
          <w:marBottom w:val="0"/>
          <w:divBdr>
            <w:top w:val="none" w:sz="0" w:space="0" w:color="auto"/>
            <w:left w:val="none" w:sz="0" w:space="0" w:color="auto"/>
            <w:bottom w:val="none" w:sz="0" w:space="0" w:color="auto"/>
            <w:right w:val="none" w:sz="0" w:space="0" w:color="auto"/>
          </w:divBdr>
          <w:divsChild>
            <w:div w:id="2017414852">
              <w:marLeft w:val="0"/>
              <w:marRight w:val="0"/>
              <w:marTop w:val="0"/>
              <w:marBottom w:val="0"/>
              <w:divBdr>
                <w:top w:val="none" w:sz="0" w:space="0" w:color="auto"/>
                <w:left w:val="none" w:sz="0" w:space="0" w:color="auto"/>
                <w:bottom w:val="none" w:sz="0" w:space="0" w:color="auto"/>
                <w:right w:val="none" w:sz="0" w:space="0" w:color="auto"/>
              </w:divBdr>
            </w:div>
          </w:divsChild>
        </w:div>
        <w:div w:id="718548893">
          <w:marLeft w:val="0"/>
          <w:marRight w:val="0"/>
          <w:marTop w:val="0"/>
          <w:marBottom w:val="0"/>
          <w:divBdr>
            <w:top w:val="none" w:sz="0" w:space="0" w:color="auto"/>
            <w:left w:val="none" w:sz="0" w:space="0" w:color="auto"/>
            <w:bottom w:val="none" w:sz="0" w:space="0" w:color="auto"/>
            <w:right w:val="none" w:sz="0" w:space="0" w:color="auto"/>
          </w:divBdr>
          <w:divsChild>
            <w:div w:id="686560515">
              <w:marLeft w:val="0"/>
              <w:marRight w:val="0"/>
              <w:marTop w:val="0"/>
              <w:marBottom w:val="0"/>
              <w:divBdr>
                <w:top w:val="none" w:sz="0" w:space="0" w:color="auto"/>
                <w:left w:val="none" w:sz="0" w:space="0" w:color="auto"/>
                <w:bottom w:val="none" w:sz="0" w:space="0" w:color="auto"/>
                <w:right w:val="none" w:sz="0" w:space="0" w:color="auto"/>
              </w:divBdr>
            </w:div>
          </w:divsChild>
        </w:div>
        <w:div w:id="30419498">
          <w:marLeft w:val="0"/>
          <w:marRight w:val="0"/>
          <w:marTop w:val="0"/>
          <w:marBottom w:val="0"/>
          <w:divBdr>
            <w:top w:val="none" w:sz="0" w:space="0" w:color="auto"/>
            <w:left w:val="none" w:sz="0" w:space="0" w:color="auto"/>
            <w:bottom w:val="none" w:sz="0" w:space="0" w:color="auto"/>
            <w:right w:val="none" w:sz="0" w:space="0" w:color="auto"/>
          </w:divBdr>
          <w:divsChild>
            <w:div w:id="811598825">
              <w:marLeft w:val="0"/>
              <w:marRight w:val="0"/>
              <w:marTop w:val="0"/>
              <w:marBottom w:val="0"/>
              <w:divBdr>
                <w:top w:val="none" w:sz="0" w:space="0" w:color="auto"/>
                <w:left w:val="none" w:sz="0" w:space="0" w:color="auto"/>
                <w:bottom w:val="none" w:sz="0" w:space="0" w:color="auto"/>
                <w:right w:val="none" w:sz="0" w:space="0" w:color="auto"/>
              </w:divBdr>
            </w:div>
          </w:divsChild>
        </w:div>
        <w:div w:id="134220024">
          <w:marLeft w:val="0"/>
          <w:marRight w:val="0"/>
          <w:marTop w:val="0"/>
          <w:marBottom w:val="0"/>
          <w:divBdr>
            <w:top w:val="none" w:sz="0" w:space="0" w:color="auto"/>
            <w:left w:val="none" w:sz="0" w:space="0" w:color="auto"/>
            <w:bottom w:val="none" w:sz="0" w:space="0" w:color="auto"/>
            <w:right w:val="none" w:sz="0" w:space="0" w:color="auto"/>
          </w:divBdr>
          <w:divsChild>
            <w:div w:id="349918908">
              <w:marLeft w:val="0"/>
              <w:marRight w:val="0"/>
              <w:marTop w:val="0"/>
              <w:marBottom w:val="0"/>
              <w:divBdr>
                <w:top w:val="none" w:sz="0" w:space="0" w:color="auto"/>
                <w:left w:val="none" w:sz="0" w:space="0" w:color="auto"/>
                <w:bottom w:val="none" w:sz="0" w:space="0" w:color="auto"/>
                <w:right w:val="none" w:sz="0" w:space="0" w:color="auto"/>
              </w:divBdr>
            </w:div>
          </w:divsChild>
        </w:div>
        <w:div w:id="1719933427">
          <w:marLeft w:val="0"/>
          <w:marRight w:val="0"/>
          <w:marTop w:val="0"/>
          <w:marBottom w:val="0"/>
          <w:divBdr>
            <w:top w:val="none" w:sz="0" w:space="0" w:color="auto"/>
            <w:left w:val="none" w:sz="0" w:space="0" w:color="auto"/>
            <w:bottom w:val="none" w:sz="0" w:space="0" w:color="auto"/>
            <w:right w:val="none" w:sz="0" w:space="0" w:color="auto"/>
          </w:divBdr>
          <w:divsChild>
            <w:div w:id="690303793">
              <w:marLeft w:val="0"/>
              <w:marRight w:val="0"/>
              <w:marTop w:val="0"/>
              <w:marBottom w:val="0"/>
              <w:divBdr>
                <w:top w:val="none" w:sz="0" w:space="0" w:color="auto"/>
                <w:left w:val="none" w:sz="0" w:space="0" w:color="auto"/>
                <w:bottom w:val="none" w:sz="0" w:space="0" w:color="auto"/>
                <w:right w:val="none" w:sz="0" w:space="0" w:color="auto"/>
              </w:divBdr>
            </w:div>
          </w:divsChild>
        </w:div>
        <w:div w:id="233131505">
          <w:marLeft w:val="0"/>
          <w:marRight w:val="0"/>
          <w:marTop w:val="0"/>
          <w:marBottom w:val="0"/>
          <w:divBdr>
            <w:top w:val="none" w:sz="0" w:space="0" w:color="auto"/>
            <w:left w:val="none" w:sz="0" w:space="0" w:color="auto"/>
            <w:bottom w:val="none" w:sz="0" w:space="0" w:color="auto"/>
            <w:right w:val="none" w:sz="0" w:space="0" w:color="auto"/>
          </w:divBdr>
          <w:divsChild>
            <w:div w:id="86193816">
              <w:marLeft w:val="0"/>
              <w:marRight w:val="0"/>
              <w:marTop w:val="0"/>
              <w:marBottom w:val="0"/>
              <w:divBdr>
                <w:top w:val="none" w:sz="0" w:space="0" w:color="auto"/>
                <w:left w:val="none" w:sz="0" w:space="0" w:color="auto"/>
                <w:bottom w:val="none" w:sz="0" w:space="0" w:color="auto"/>
                <w:right w:val="none" w:sz="0" w:space="0" w:color="auto"/>
              </w:divBdr>
            </w:div>
          </w:divsChild>
        </w:div>
        <w:div w:id="1869949492">
          <w:marLeft w:val="0"/>
          <w:marRight w:val="0"/>
          <w:marTop w:val="0"/>
          <w:marBottom w:val="0"/>
          <w:divBdr>
            <w:top w:val="none" w:sz="0" w:space="0" w:color="auto"/>
            <w:left w:val="none" w:sz="0" w:space="0" w:color="auto"/>
            <w:bottom w:val="none" w:sz="0" w:space="0" w:color="auto"/>
            <w:right w:val="none" w:sz="0" w:space="0" w:color="auto"/>
          </w:divBdr>
          <w:divsChild>
            <w:div w:id="838690823">
              <w:marLeft w:val="0"/>
              <w:marRight w:val="0"/>
              <w:marTop w:val="0"/>
              <w:marBottom w:val="0"/>
              <w:divBdr>
                <w:top w:val="none" w:sz="0" w:space="0" w:color="auto"/>
                <w:left w:val="none" w:sz="0" w:space="0" w:color="auto"/>
                <w:bottom w:val="none" w:sz="0" w:space="0" w:color="auto"/>
                <w:right w:val="none" w:sz="0" w:space="0" w:color="auto"/>
              </w:divBdr>
            </w:div>
          </w:divsChild>
        </w:div>
        <w:div w:id="498040791">
          <w:marLeft w:val="0"/>
          <w:marRight w:val="0"/>
          <w:marTop w:val="0"/>
          <w:marBottom w:val="0"/>
          <w:divBdr>
            <w:top w:val="none" w:sz="0" w:space="0" w:color="auto"/>
            <w:left w:val="none" w:sz="0" w:space="0" w:color="auto"/>
            <w:bottom w:val="none" w:sz="0" w:space="0" w:color="auto"/>
            <w:right w:val="none" w:sz="0" w:space="0" w:color="auto"/>
          </w:divBdr>
          <w:divsChild>
            <w:div w:id="476381849">
              <w:marLeft w:val="0"/>
              <w:marRight w:val="0"/>
              <w:marTop w:val="0"/>
              <w:marBottom w:val="0"/>
              <w:divBdr>
                <w:top w:val="none" w:sz="0" w:space="0" w:color="auto"/>
                <w:left w:val="none" w:sz="0" w:space="0" w:color="auto"/>
                <w:bottom w:val="none" w:sz="0" w:space="0" w:color="auto"/>
                <w:right w:val="none" w:sz="0" w:space="0" w:color="auto"/>
              </w:divBdr>
            </w:div>
          </w:divsChild>
        </w:div>
        <w:div w:id="838038504">
          <w:marLeft w:val="0"/>
          <w:marRight w:val="0"/>
          <w:marTop w:val="0"/>
          <w:marBottom w:val="0"/>
          <w:divBdr>
            <w:top w:val="none" w:sz="0" w:space="0" w:color="auto"/>
            <w:left w:val="none" w:sz="0" w:space="0" w:color="auto"/>
            <w:bottom w:val="none" w:sz="0" w:space="0" w:color="auto"/>
            <w:right w:val="none" w:sz="0" w:space="0" w:color="auto"/>
          </w:divBdr>
          <w:divsChild>
            <w:div w:id="165098234">
              <w:marLeft w:val="0"/>
              <w:marRight w:val="0"/>
              <w:marTop w:val="0"/>
              <w:marBottom w:val="0"/>
              <w:divBdr>
                <w:top w:val="none" w:sz="0" w:space="0" w:color="auto"/>
                <w:left w:val="none" w:sz="0" w:space="0" w:color="auto"/>
                <w:bottom w:val="none" w:sz="0" w:space="0" w:color="auto"/>
                <w:right w:val="none" w:sz="0" w:space="0" w:color="auto"/>
              </w:divBdr>
            </w:div>
          </w:divsChild>
        </w:div>
        <w:div w:id="1180582369">
          <w:marLeft w:val="0"/>
          <w:marRight w:val="0"/>
          <w:marTop w:val="0"/>
          <w:marBottom w:val="0"/>
          <w:divBdr>
            <w:top w:val="none" w:sz="0" w:space="0" w:color="auto"/>
            <w:left w:val="none" w:sz="0" w:space="0" w:color="auto"/>
            <w:bottom w:val="none" w:sz="0" w:space="0" w:color="auto"/>
            <w:right w:val="none" w:sz="0" w:space="0" w:color="auto"/>
          </w:divBdr>
          <w:divsChild>
            <w:div w:id="807357881">
              <w:marLeft w:val="0"/>
              <w:marRight w:val="0"/>
              <w:marTop w:val="0"/>
              <w:marBottom w:val="0"/>
              <w:divBdr>
                <w:top w:val="none" w:sz="0" w:space="0" w:color="auto"/>
                <w:left w:val="none" w:sz="0" w:space="0" w:color="auto"/>
                <w:bottom w:val="none" w:sz="0" w:space="0" w:color="auto"/>
                <w:right w:val="none" w:sz="0" w:space="0" w:color="auto"/>
              </w:divBdr>
            </w:div>
          </w:divsChild>
        </w:div>
        <w:div w:id="651713174">
          <w:marLeft w:val="0"/>
          <w:marRight w:val="0"/>
          <w:marTop w:val="0"/>
          <w:marBottom w:val="0"/>
          <w:divBdr>
            <w:top w:val="none" w:sz="0" w:space="0" w:color="auto"/>
            <w:left w:val="none" w:sz="0" w:space="0" w:color="auto"/>
            <w:bottom w:val="none" w:sz="0" w:space="0" w:color="auto"/>
            <w:right w:val="none" w:sz="0" w:space="0" w:color="auto"/>
          </w:divBdr>
          <w:divsChild>
            <w:div w:id="2089958872">
              <w:marLeft w:val="0"/>
              <w:marRight w:val="0"/>
              <w:marTop w:val="0"/>
              <w:marBottom w:val="0"/>
              <w:divBdr>
                <w:top w:val="none" w:sz="0" w:space="0" w:color="auto"/>
                <w:left w:val="none" w:sz="0" w:space="0" w:color="auto"/>
                <w:bottom w:val="none" w:sz="0" w:space="0" w:color="auto"/>
                <w:right w:val="none" w:sz="0" w:space="0" w:color="auto"/>
              </w:divBdr>
            </w:div>
          </w:divsChild>
        </w:div>
        <w:div w:id="1565532539">
          <w:marLeft w:val="0"/>
          <w:marRight w:val="0"/>
          <w:marTop w:val="0"/>
          <w:marBottom w:val="0"/>
          <w:divBdr>
            <w:top w:val="none" w:sz="0" w:space="0" w:color="auto"/>
            <w:left w:val="none" w:sz="0" w:space="0" w:color="auto"/>
            <w:bottom w:val="none" w:sz="0" w:space="0" w:color="auto"/>
            <w:right w:val="none" w:sz="0" w:space="0" w:color="auto"/>
          </w:divBdr>
          <w:divsChild>
            <w:div w:id="1250583932">
              <w:marLeft w:val="0"/>
              <w:marRight w:val="0"/>
              <w:marTop w:val="0"/>
              <w:marBottom w:val="0"/>
              <w:divBdr>
                <w:top w:val="none" w:sz="0" w:space="0" w:color="auto"/>
                <w:left w:val="none" w:sz="0" w:space="0" w:color="auto"/>
                <w:bottom w:val="none" w:sz="0" w:space="0" w:color="auto"/>
                <w:right w:val="none" w:sz="0" w:space="0" w:color="auto"/>
              </w:divBdr>
            </w:div>
          </w:divsChild>
        </w:div>
        <w:div w:id="1658262663">
          <w:marLeft w:val="0"/>
          <w:marRight w:val="0"/>
          <w:marTop w:val="0"/>
          <w:marBottom w:val="0"/>
          <w:divBdr>
            <w:top w:val="none" w:sz="0" w:space="0" w:color="auto"/>
            <w:left w:val="none" w:sz="0" w:space="0" w:color="auto"/>
            <w:bottom w:val="none" w:sz="0" w:space="0" w:color="auto"/>
            <w:right w:val="none" w:sz="0" w:space="0" w:color="auto"/>
          </w:divBdr>
          <w:divsChild>
            <w:div w:id="2071492422">
              <w:marLeft w:val="0"/>
              <w:marRight w:val="0"/>
              <w:marTop w:val="0"/>
              <w:marBottom w:val="0"/>
              <w:divBdr>
                <w:top w:val="none" w:sz="0" w:space="0" w:color="auto"/>
                <w:left w:val="none" w:sz="0" w:space="0" w:color="auto"/>
                <w:bottom w:val="none" w:sz="0" w:space="0" w:color="auto"/>
                <w:right w:val="none" w:sz="0" w:space="0" w:color="auto"/>
              </w:divBdr>
            </w:div>
          </w:divsChild>
        </w:div>
        <w:div w:id="220291359">
          <w:marLeft w:val="0"/>
          <w:marRight w:val="0"/>
          <w:marTop w:val="0"/>
          <w:marBottom w:val="0"/>
          <w:divBdr>
            <w:top w:val="none" w:sz="0" w:space="0" w:color="auto"/>
            <w:left w:val="none" w:sz="0" w:space="0" w:color="auto"/>
            <w:bottom w:val="none" w:sz="0" w:space="0" w:color="auto"/>
            <w:right w:val="none" w:sz="0" w:space="0" w:color="auto"/>
          </w:divBdr>
          <w:divsChild>
            <w:div w:id="2088570397">
              <w:marLeft w:val="0"/>
              <w:marRight w:val="0"/>
              <w:marTop w:val="0"/>
              <w:marBottom w:val="0"/>
              <w:divBdr>
                <w:top w:val="none" w:sz="0" w:space="0" w:color="auto"/>
                <w:left w:val="none" w:sz="0" w:space="0" w:color="auto"/>
                <w:bottom w:val="none" w:sz="0" w:space="0" w:color="auto"/>
                <w:right w:val="none" w:sz="0" w:space="0" w:color="auto"/>
              </w:divBdr>
            </w:div>
          </w:divsChild>
        </w:div>
        <w:div w:id="2100787074">
          <w:marLeft w:val="0"/>
          <w:marRight w:val="0"/>
          <w:marTop w:val="0"/>
          <w:marBottom w:val="0"/>
          <w:divBdr>
            <w:top w:val="none" w:sz="0" w:space="0" w:color="auto"/>
            <w:left w:val="none" w:sz="0" w:space="0" w:color="auto"/>
            <w:bottom w:val="none" w:sz="0" w:space="0" w:color="auto"/>
            <w:right w:val="none" w:sz="0" w:space="0" w:color="auto"/>
          </w:divBdr>
          <w:divsChild>
            <w:div w:id="383912650">
              <w:marLeft w:val="0"/>
              <w:marRight w:val="0"/>
              <w:marTop w:val="0"/>
              <w:marBottom w:val="0"/>
              <w:divBdr>
                <w:top w:val="none" w:sz="0" w:space="0" w:color="auto"/>
                <w:left w:val="none" w:sz="0" w:space="0" w:color="auto"/>
                <w:bottom w:val="none" w:sz="0" w:space="0" w:color="auto"/>
                <w:right w:val="none" w:sz="0" w:space="0" w:color="auto"/>
              </w:divBdr>
            </w:div>
          </w:divsChild>
        </w:div>
        <w:div w:id="595527229">
          <w:marLeft w:val="0"/>
          <w:marRight w:val="0"/>
          <w:marTop w:val="0"/>
          <w:marBottom w:val="0"/>
          <w:divBdr>
            <w:top w:val="none" w:sz="0" w:space="0" w:color="auto"/>
            <w:left w:val="none" w:sz="0" w:space="0" w:color="auto"/>
            <w:bottom w:val="none" w:sz="0" w:space="0" w:color="auto"/>
            <w:right w:val="none" w:sz="0" w:space="0" w:color="auto"/>
          </w:divBdr>
          <w:divsChild>
            <w:div w:id="1612393242">
              <w:marLeft w:val="0"/>
              <w:marRight w:val="0"/>
              <w:marTop w:val="0"/>
              <w:marBottom w:val="0"/>
              <w:divBdr>
                <w:top w:val="none" w:sz="0" w:space="0" w:color="auto"/>
                <w:left w:val="none" w:sz="0" w:space="0" w:color="auto"/>
                <w:bottom w:val="none" w:sz="0" w:space="0" w:color="auto"/>
                <w:right w:val="none" w:sz="0" w:space="0" w:color="auto"/>
              </w:divBdr>
            </w:div>
          </w:divsChild>
        </w:div>
        <w:div w:id="1127309338">
          <w:marLeft w:val="0"/>
          <w:marRight w:val="0"/>
          <w:marTop w:val="0"/>
          <w:marBottom w:val="0"/>
          <w:divBdr>
            <w:top w:val="none" w:sz="0" w:space="0" w:color="auto"/>
            <w:left w:val="none" w:sz="0" w:space="0" w:color="auto"/>
            <w:bottom w:val="none" w:sz="0" w:space="0" w:color="auto"/>
            <w:right w:val="none" w:sz="0" w:space="0" w:color="auto"/>
          </w:divBdr>
          <w:divsChild>
            <w:div w:id="1405447264">
              <w:marLeft w:val="0"/>
              <w:marRight w:val="0"/>
              <w:marTop w:val="0"/>
              <w:marBottom w:val="0"/>
              <w:divBdr>
                <w:top w:val="none" w:sz="0" w:space="0" w:color="auto"/>
                <w:left w:val="none" w:sz="0" w:space="0" w:color="auto"/>
                <w:bottom w:val="none" w:sz="0" w:space="0" w:color="auto"/>
                <w:right w:val="none" w:sz="0" w:space="0" w:color="auto"/>
              </w:divBdr>
            </w:div>
          </w:divsChild>
        </w:div>
        <w:div w:id="1222786641">
          <w:marLeft w:val="0"/>
          <w:marRight w:val="0"/>
          <w:marTop w:val="0"/>
          <w:marBottom w:val="0"/>
          <w:divBdr>
            <w:top w:val="none" w:sz="0" w:space="0" w:color="auto"/>
            <w:left w:val="none" w:sz="0" w:space="0" w:color="auto"/>
            <w:bottom w:val="none" w:sz="0" w:space="0" w:color="auto"/>
            <w:right w:val="none" w:sz="0" w:space="0" w:color="auto"/>
          </w:divBdr>
          <w:divsChild>
            <w:div w:id="1732463470">
              <w:marLeft w:val="0"/>
              <w:marRight w:val="0"/>
              <w:marTop w:val="0"/>
              <w:marBottom w:val="0"/>
              <w:divBdr>
                <w:top w:val="none" w:sz="0" w:space="0" w:color="auto"/>
                <w:left w:val="none" w:sz="0" w:space="0" w:color="auto"/>
                <w:bottom w:val="none" w:sz="0" w:space="0" w:color="auto"/>
                <w:right w:val="none" w:sz="0" w:space="0" w:color="auto"/>
              </w:divBdr>
            </w:div>
          </w:divsChild>
        </w:div>
        <w:div w:id="1436707787">
          <w:marLeft w:val="0"/>
          <w:marRight w:val="0"/>
          <w:marTop w:val="0"/>
          <w:marBottom w:val="0"/>
          <w:divBdr>
            <w:top w:val="none" w:sz="0" w:space="0" w:color="auto"/>
            <w:left w:val="none" w:sz="0" w:space="0" w:color="auto"/>
            <w:bottom w:val="none" w:sz="0" w:space="0" w:color="auto"/>
            <w:right w:val="none" w:sz="0" w:space="0" w:color="auto"/>
          </w:divBdr>
          <w:divsChild>
            <w:div w:id="1307124097">
              <w:marLeft w:val="0"/>
              <w:marRight w:val="0"/>
              <w:marTop w:val="0"/>
              <w:marBottom w:val="0"/>
              <w:divBdr>
                <w:top w:val="none" w:sz="0" w:space="0" w:color="auto"/>
                <w:left w:val="none" w:sz="0" w:space="0" w:color="auto"/>
                <w:bottom w:val="none" w:sz="0" w:space="0" w:color="auto"/>
                <w:right w:val="none" w:sz="0" w:space="0" w:color="auto"/>
              </w:divBdr>
            </w:div>
          </w:divsChild>
        </w:div>
        <w:div w:id="1945112782">
          <w:marLeft w:val="0"/>
          <w:marRight w:val="0"/>
          <w:marTop w:val="0"/>
          <w:marBottom w:val="0"/>
          <w:divBdr>
            <w:top w:val="none" w:sz="0" w:space="0" w:color="auto"/>
            <w:left w:val="none" w:sz="0" w:space="0" w:color="auto"/>
            <w:bottom w:val="none" w:sz="0" w:space="0" w:color="auto"/>
            <w:right w:val="none" w:sz="0" w:space="0" w:color="auto"/>
          </w:divBdr>
          <w:divsChild>
            <w:div w:id="1759477305">
              <w:marLeft w:val="0"/>
              <w:marRight w:val="0"/>
              <w:marTop w:val="0"/>
              <w:marBottom w:val="0"/>
              <w:divBdr>
                <w:top w:val="none" w:sz="0" w:space="0" w:color="auto"/>
                <w:left w:val="none" w:sz="0" w:space="0" w:color="auto"/>
                <w:bottom w:val="none" w:sz="0" w:space="0" w:color="auto"/>
                <w:right w:val="none" w:sz="0" w:space="0" w:color="auto"/>
              </w:divBdr>
            </w:div>
          </w:divsChild>
        </w:div>
        <w:div w:id="225729896">
          <w:marLeft w:val="0"/>
          <w:marRight w:val="0"/>
          <w:marTop w:val="0"/>
          <w:marBottom w:val="0"/>
          <w:divBdr>
            <w:top w:val="none" w:sz="0" w:space="0" w:color="auto"/>
            <w:left w:val="none" w:sz="0" w:space="0" w:color="auto"/>
            <w:bottom w:val="none" w:sz="0" w:space="0" w:color="auto"/>
            <w:right w:val="none" w:sz="0" w:space="0" w:color="auto"/>
          </w:divBdr>
          <w:divsChild>
            <w:div w:id="920600154">
              <w:marLeft w:val="0"/>
              <w:marRight w:val="0"/>
              <w:marTop w:val="0"/>
              <w:marBottom w:val="0"/>
              <w:divBdr>
                <w:top w:val="none" w:sz="0" w:space="0" w:color="auto"/>
                <w:left w:val="none" w:sz="0" w:space="0" w:color="auto"/>
                <w:bottom w:val="none" w:sz="0" w:space="0" w:color="auto"/>
                <w:right w:val="none" w:sz="0" w:space="0" w:color="auto"/>
              </w:divBdr>
            </w:div>
          </w:divsChild>
        </w:div>
        <w:div w:id="907807430">
          <w:marLeft w:val="0"/>
          <w:marRight w:val="0"/>
          <w:marTop w:val="0"/>
          <w:marBottom w:val="0"/>
          <w:divBdr>
            <w:top w:val="none" w:sz="0" w:space="0" w:color="auto"/>
            <w:left w:val="none" w:sz="0" w:space="0" w:color="auto"/>
            <w:bottom w:val="none" w:sz="0" w:space="0" w:color="auto"/>
            <w:right w:val="none" w:sz="0" w:space="0" w:color="auto"/>
          </w:divBdr>
          <w:divsChild>
            <w:div w:id="363094438">
              <w:marLeft w:val="0"/>
              <w:marRight w:val="0"/>
              <w:marTop w:val="0"/>
              <w:marBottom w:val="0"/>
              <w:divBdr>
                <w:top w:val="none" w:sz="0" w:space="0" w:color="auto"/>
                <w:left w:val="none" w:sz="0" w:space="0" w:color="auto"/>
                <w:bottom w:val="none" w:sz="0" w:space="0" w:color="auto"/>
                <w:right w:val="none" w:sz="0" w:space="0" w:color="auto"/>
              </w:divBdr>
            </w:div>
          </w:divsChild>
        </w:div>
        <w:div w:id="1864782939">
          <w:marLeft w:val="0"/>
          <w:marRight w:val="0"/>
          <w:marTop w:val="0"/>
          <w:marBottom w:val="0"/>
          <w:divBdr>
            <w:top w:val="none" w:sz="0" w:space="0" w:color="auto"/>
            <w:left w:val="none" w:sz="0" w:space="0" w:color="auto"/>
            <w:bottom w:val="none" w:sz="0" w:space="0" w:color="auto"/>
            <w:right w:val="none" w:sz="0" w:space="0" w:color="auto"/>
          </w:divBdr>
          <w:divsChild>
            <w:div w:id="1690905916">
              <w:marLeft w:val="0"/>
              <w:marRight w:val="0"/>
              <w:marTop w:val="0"/>
              <w:marBottom w:val="0"/>
              <w:divBdr>
                <w:top w:val="none" w:sz="0" w:space="0" w:color="auto"/>
                <w:left w:val="none" w:sz="0" w:space="0" w:color="auto"/>
                <w:bottom w:val="none" w:sz="0" w:space="0" w:color="auto"/>
                <w:right w:val="none" w:sz="0" w:space="0" w:color="auto"/>
              </w:divBdr>
            </w:div>
          </w:divsChild>
        </w:div>
        <w:div w:id="1329017763">
          <w:marLeft w:val="0"/>
          <w:marRight w:val="0"/>
          <w:marTop w:val="0"/>
          <w:marBottom w:val="0"/>
          <w:divBdr>
            <w:top w:val="none" w:sz="0" w:space="0" w:color="auto"/>
            <w:left w:val="none" w:sz="0" w:space="0" w:color="auto"/>
            <w:bottom w:val="none" w:sz="0" w:space="0" w:color="auto"/>
            <w:right w:val="none" w:sz="0" w:space="0" w:color="auto"/>
          </w:divBdr>
          <w:divsChild>
            <w:div w:id="892621989">
              <w:marLeft w:val="0"/>
              <w:marRight w:val="0"/>
              <w:marTop w:val="0"/>
              <w:marBottom w:val="0"/>
              <w:divBdr>
                <w:top w:val="none" w:sz="0" w:space="0" w:color="auto"/>
                <w:left w:val="none" w:sz="0" w:space="0" w:color="auto"/>
                <w:bottom w:val="none" w:sz="0" w:space="0" w:color="auto"/>
                <w:right w:val="none" w:sz="0" w:space="0" w:color="auto"/>
              </w:divBdr>
            </w:div>
          </w:divsChild>
        </w:div>
        <w:div w:id="20908858">
          <w:marLeft w:val="0"/>
          <w:marRight w:val="0"/>
          <w:marTop w:val="0"/>
          <w:marBottom w:val="0"/>
          <w:divBdr>
            <w:top w:val="none" w:sz="0" w:space="0" w:color="auto"/>
            <w:left w:val="none" w:sz="0" w:space="0" w:color="auto"/>
            <w:bottom w:val="none" w:sz="0" w:space="0" w:color="auto"/>
            <w:right w:val="none" w:sz="0" w:space="0" w:color="auto"/>
          </w:divBdr>
          <w:divsChild>
            <w:div w:id="415244357">
              <w:marLeft w:val="0"/>
              <w:marRight w:val="0"/>
              <w:marTop w:val="0"/>
              <w:marBottom w:val="0"/>
              <w:divBdr>
                <w:top w:val="none" w:sz="0" w:space="0" w:color="auto"/>
                <w:left w:val="none" w:sz="0" w:space="0" w:color="auto"/>
                <w:bottom w:val="none" w:sz="0" w:space="0" w:color="auto"/>
                <w:right w:val="none" w:sz="0" w:space="0" w:color="auto"/>
              </w:divBdr>
            </w:div>
          </w:divsChild>
        </w:div>
        <w:div w:id="1027175843">
          <w:marLeft w:val="0"/>
          <w:marRight w:val="0"/>
          <w:marTop w:val="0"/>
          <w:marBottom w:val="0"/>
          <w:divBdr>
            <w:top w:val="none" w:sz="0" w:space="0" w:color="auto"/>
            <w:left w:val="none" w:sz="0" w:space="0" w:color="auto"/>
            <w:bottom w:val="none" w:sz="0" w:space="0" w:color="auto"/>
            <w:right w:val="none" w:sz="0" w:space="0" w:color="auto"/>
          </w:divBdr>
          <w:divsChild>
            <w:div w:id="870268133">
              <w:marLeft w:val="0"/>
              <w:marRight w:val="0"/>
              <w:marTop w:val="0"/>
              <w:marBottom w:val="0"/>
              <w:divBdr>
                <w:top w:val="none" w:sz="0" w:space="0" w:color="auto"/>
                <w:left w:val="none" w:sz="0" w:space="0" w:color="auto"/>
                <w:bottom w:val="none" w:sz="0" w:space="0" w:color="auto"/>
                <w:right w:val="none" w:sz="0" w:space="0" w:color="auto"/>
              </w:divBdr>
            </w:div>
          </w:divsChild>
        </w:div>
        <w:div w:id="218635499">
          <w:marLeft w:val="0"/>
          <w:marRight w:val="0"/>
          <w:marTop w:val="0"/>
          <w:marBottom w:val="0"/>
          <w:divBdr>
            <w:top w:val="none" w:sz="0" w:space="0" w:color="auto"/>
            <w:left w:val="none" w:sz="0" w:space="0" w:color="auto"/>
            <w:bottom w:val="none" w:sz="0" w:space="0" w:color="auto"/>
            <w:right w:val="none" w:sz="0" w:space="0" w:color="auto"/>
          </w:divBdr>
          <w:divsChild>
            <w:div w:id="497966377">
              <w:marLeft w:val="0"/>
              <w:marRight w:val="0"/>
              <w:marTop w:val="0"/>
              <w:marBottom w:val="0"/>
              <w:divBdr>
                <w:top w:val="none" w:sz="0" w:space="0" w:color="auto"/>
                <w:left w:val="none" w:sz="0" w:space="0" w:color="auto"/>
                <w:bottom w:val="none" w:sz="0" w:space="0" w:color="auto"/>
                <w:right w:val="none" w:sz="0" w:space="0" w:color="auto"/>
              </w:divBdr>
            </w:div>
          </w:divsChild>
        </w:div>
        <w:div w:id="1482693411">
          <w:marLeft w:val="0"/>
          <w:marRight w:val="0"/>
          <w:marTop w:val="0"/>
          <w:marBottom w:val="0"/>
          <w:divBdr>
            <w:top w:val="none" w:sz="0" w:space="0" w:color="auto"/>
            <w:left w:val="none" w:sz="0" w:space="0" w:color="auto"/>
            <w:bottom w:val="none" w:sz="0" w:space="0" w:color="auto"/>
            <w:right w:val="none" w:sz="0" w:space="0" w:color="auto"/>
          </w:divBdr>
          <w:divsChild>
            <w:div w:id="1869175259">
              <w:marLeft w:val="0"/>
              <w:marRight w:val="0"/>
              <w:marTop w:val="0"/>
              <w:marBottom w:val="0"/>
              <w:divBdr>
                <w:top w:val="none" w:sz="0" w:space="0" w:color="auto"/>
                <w:left w:val="none" w:sz="0" w:space="0" w:color="auto"/>
                <w:bottom w:val="none" w:sz="0" w:space="0" w:color="auto"/>
                <w:right w:val="none" w:sz="0" w:space="0" w:color="auto"/>
              </w:divBdr>
            </w:div>
          </w:divsChild>
        </w:div>
        <w:div w:id="879708056">
          <w:marLeft w:val="0"/>
          <w:marRight w:val="0"/>
          <w:marTop w:val="0"/>
          <w:marBottom w:val="0"/>
          <w:divBdr>
            <w:top w:val="none" w:sz="0" w:space="0" w:color="auto"/>
            <w:left w:val="none" w:sz="0" w:space="0" w:color="auto"/>
            <w:bottom w:val="none" w:sz="0" w:space="0" w:color="auto"/>
            <w:right w:val="none" w:sz="0" w:space="0" w:color="auto"/>
          </w:divBdr>
          <w:divsChild>
            <w:div w:id="4187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93f0f919b208479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503AF-4692-473A-BDAE-2B8785F176AC}">
  <ds:schemaRefs>
    <ds:schemaRef ds:uri="http://schemas.microsoft.com/sharepoint/v3/contenttype/forms"/>
  </ds:schemaRefs>
</ds:datastoreItem>
</file>

<file path=customXml/itemProps2.xml><?xml version="1.0" encoding="utf-8"?>
<ds:datastoreItem xmlns:ds="http://schemas.openxmlformats.org/officeDocument/2006/customXml" ds:itemID="{8C90AB6D-ABAD-4592-A1F7-60C049566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2BDB8-090D-4A6C-AD3D-BECFBF48D6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100</cp:revision>
  <cp:lastPrinted>2019-10-07T12:25:00Z</cp:lastPrinted>
  <dcterms:created xsi:type="dcterms:W3CDTF">2025-04-23T09:44:00Z</dcterms:created>
  <dcterms:modified xsi:type="dcterms:W3CDTF">2025-05-27T15:07:00Z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