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513C5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5BEDE0B3" wp14:editId="4FD21CAD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46008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EA4E94D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  <w:bookmarkStart w:id="0" w:name="_GoBack"/>
      <w:bookmarkEnd w:id="0"/>
    </w:p>
    <w:p w14:paraId="6796F301" w14:textId="61D75281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AF077D">
        <w:rPr>
          <w:rStyle w:val="Heading3Char"/>
          <w:b/>
        </w:rPr>
        <w:t>2</w:t>
      </w:r>
      <w:r w:rsidR="00E50474">
        <w:rPr>
          <w:rStyle w:val="Heading3Char"/>
          <w:b/>
        </w:rPr>
        <w:t>9</w:t>
      </w:r>
      <w:r w:rsidR="00B41BB0">
        <w:rPr>
          <w:rStyle w:val="Heading3Char"/>
          <w:b/>
        </w:rPr>
        <w:t xml:space="preserve"> May</w:t>
      </w:r>
      <w:r w:rsidR="00D45DE4">
        <w:rPr>
          <w:rStyle w:val="Heading3Char"/>
          <w:b/>
        </w:rPr>
        <w:t xml:space="preserve"> 2025</w:t>
      </w:r>
    </w:p>
    <w:p w14:paraId="24F56ADF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2E7A32">
        <w:rPr>
          <w:rFonts w:cs="Arial"/>
          <w:bCs/>
        </w:rPr>
        <w:t xml:space="preserve">Committee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7611AA00" w14:textId="77777777"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765E87">
        <w:rPr>
          <w:rStyle w:val="Heading3Char"/>
          <w:b/>
        </w:rPr>
        <w:t>Jonny Gamble,</w:t>
      </w:r>
      <w:r w:rsidR="004A249F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 xml:space="preserve">Director </w:t>
      </w:r>
      <w:r w:rsidR="004A249F">
        <w:rPr>
          <w:rStyle w:val="Heading3Char"/>
          <w:b/>
        </w:rPr>
        <w:t>of Finance</w:t>
      </w:r>
      <w:r w:rsidR="00022EE5">
        <w:rPr>
          <w:rStyle w:val="Heading3Char"/>
          <w:b/>
        </w:rPr>
        <w:t xml:space="preserve"> </w:t>
      </w:r>
    </w:p>
    <w:p w14:paraId="1EB3BCA9" w14:textId="77777777" w:rsidR="0003098A" w:rsidRPr="00F3337D" w:rsidRDefault="00B312CF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14:paraId="70596034" w14:textId="77777777" w:rsidR="00430C09" w:rsidRDefault="00430C09" w:rsidP="00C81C3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765E87">
        <w:rPr>
          <w:rStyle w:val="Heading3Char"/>
          <w:b/>
        </w:rPr>
        <w:t>Nicki Hamer</w:t>
      </w:r>
      <w:r w:rsidR="00107B3E">
        <w:rPr>
          <w:rStyle w:val="Heading3Char"/>
          <w:b/>
        </w:rPr>
        <w:t>, Head of Corporate Governance</w:t>
      </w:r>
      <w:r w:rsidR="00765E87">
        <w:rPr>
          <w:rStyle w:val="Heading3Char"/>
          <w:b/>
        </w:rPr>
        <w:t xml:space="preserve"> and Board Secretary</w:t>
      </w:r>
      <w:r w:rsidR="00107B3E">
        <w:rPr>
          <w:rStyle w:val="Heading3Char"/>
          <w:b/>
        </w:rPr>
        <w:t xml:space="preserve"> </w:t>
      </w:r>
    </w:p>
    <w:p w14:paraId="2FCCAFAA" w14:textId="77777777" w:rsidR="00B77902" w:rsidRDefault="00B77902" w:rsidP="00B77902"/>
    <w:p w14:paraId="5A7BE180" w14:textId="77777777" w:rsidR="00C81C30" w:rsidRPr="00B77902" w:rsidRDefault="00C81C30" w:rsidP="00B77902"/>
    <w:p w14:paraId="5D86D60C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18CE6F71" w14:textId="77777777" w:rsidR="003D757C" w:rsidRPr="003D757C" w:rsidRDefault="003D757C" w:rsidP="003D757C">
      <w:pPr>
        <w:ind w:left="709"/>
      </w:pPr>
    </w:p>
    <w:p w14:paraId="4295F6CD" w14:textId="77777777" w:rsidR="00A43898" w:rsidRDefault="007D1AAE" w:rsidP="00A43898">
      <w:pPr>
        <w:pStyle w:val="Heading3"/>
        <w:spacing w:line="276" w:lineRule="auto"/>
        <w:ind w:left="720"/>
        <w:rPr>
          <w:lang w:eastAsia="en-GB"/>
        </w:rPr>
      </w:pPr>
      <w:r>
        <w:rPr>
          <w:lang w:eastAsia="en-GB"/>
        </w:rPr>
        <w:t>This is presented to NHS Golden Jubilee</w:t>
      </w:r>
      <w:r w:rsidR="00A43898" w:rsidRPr="009807B4">
        <w:rPr>
          <w:lang w:eastAsia="en-GB"/>
        </w:rPr>
        <w:t xml:space="preserve"> Board for: </w:t>
      </w:r>
    </w:p>
    <w:p w14:paraId="0E29EB85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793D0702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3542D2AF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5F996042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14:paraId="1A0EB845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41BFDEF2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78D8C65F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2F3F3043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262B36A9" w14:textId="77777777" w:rsidR="00430C09" w:rsidRDefault="00430C09" w:rsidP="009807B4">
      <w:pPr>
        <w:spacing w:line="276" w:lineRule="auto"/>
      </w:pPr>
    </w:p>
    <w:p w14:paraId="62DCAD56" w14:textId="77777777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46F2A212" w14:textId="77777777" w:rsidR="00264B09" w:rsidRDefault="00264B09" w:rsidP="00264B09">
      <w:pPr>
        <w:ind w:left="709" w:right="183"/>
        <w:rPr>
          <w:rFonts w:cs="Arial"/>
          <w:b/>
          <w:bCs/>
          <w:color w:val="FF0000"/>
        </w:rPr>
      </w:pPr>
    </w:p>
    <w:p w14:paraId="6540609B" w14:textId="77777777" w:rsidR="00264B09" w:rsidRPr="00013107" w:rsidRDefault="00264B09" w:rsidP="00264B09">
      <w:pPr>
        <w:ind w:left="982" w:right="183" w:firstLine="11"/>
        <w:rPr>
          <w:rFonts w:cs="Arial"/>
          <w:b/>
          <w:bCs/>
          <w:color w:val="FF0000"/>
        </w:rPr>
      </w:pPr>
      <w:r w:rsidRPr="00013107">
        <w:rPr>
          <w:rFonts w:cs="Arial"/>
          <w:b/>
          <w:bCs/>
          <w:color w:val="FF0000"/>
        </w:rPr>
        <w:t>There were no issues of concern raised at the meeting.</w:t>
      </w:r>
    </w:p>
    <w:p w14:paraId="71C712DE" w14:textId="77777777" w:rsidR="00264B09" w:rsidRDefault="00264B09" w:rsidP="005F4D65">
      <w:pPr>
        <w:ind w:left="993" w:right="183"/>
        <w:rPr>
          <w:rFonts w:cs="Arial"/>
          <w:bCs/>
        </w:rPr>
      </w:pPr>
    </w:p>
    <w:p w14:paraId="7D2BB273" w14:textId="6B481A1B"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>Committee</w:t>
      </w:r>
      <w:r w:rsidR="00050D76">
        <w:rPr>
          <w:rFonts w:cs="Arial"/>
          <w:bCs/>
        </w:rPr>
        <w:t xml:space="preserve"> was held on </w:t>
      </w:r>
      <w:r w:rsidR="00961E4D">
        <w:rPr>
          <w:rFonts w:cs="Arial"/>
          <w:bCs/>
        </w:rPr>
        <w:t>1</w:t>
      </w:r>
      <w:r w:rsidR="00AF077D">
        <w:rPr>
          <w:rFonts w:cs="Arial"/>
          <w:bCs/>
        </w:rPr>
        <w:t>3 May</w:t>
      </w:r>
      <w:r w:rsidR="00961E4D">
        <w:rPr>
          <w:rFonts w:cs="Arial"/>
          <w:bCs/>
        </w:rPr>
        <w:t xml:space="preserve"> </w:t>
      </w:r>
      <w:r w:rsidR="00DE04A0">
        <w:rPr>
          <w:rFonts w:cs="Arial"/>
          <w:bCs/>
        </w:rPr>
        <w:t>202</w:t>
      </w:r>
      <w:r w:rsidR="00AF077D">
        <w:rPr>
          <w:rFonts w:cs="Arial"/>
          <w:bCs/>
        </w:rPr>
        <w:t>5.</w:t>
      </w:r>
      <w:r w:rsidR="00050D76">
        <w:rPr>
          <w:rFonts w:cs="Arial"/>
          <w:bCs/>
        </w:rPr>
        <w:t xml:space="preserve"> </w:t>
      </w:r>
      <w:r w:rsidR="00AF077D">
        <w:rPr>
          <w:rFonts w:cs="Arial"/>
          <w:bCs/>
        </w:rPr>
        <w:t>T</w:t>
      </w:r>
      <w:r w:rsidR="00050D76">
        <w:rPr>
          <w:rFonts w:cs="Arial"/>
          <w:bCs/>
        </w:rPr>
        <w:t xml:space="preserve">he following key points were noted at the meeting.  </w:t>
      </w:r>
    </w:p>
    <w:p w14:paraId="1069E3E3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47B975B7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4958238D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5558B8E1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2E94A574" w14:textId="77777777" w:rsidTr="00022EE5">
        <w:tc>
          <w:tcPr>
            <w:tcW w:w="1251" w:type="dxa"/>
            <w:gridSpan w:val="2"/>
          </w:tcPr>
          <w:p w14:paraId="30E5CF7D" w14:textId="77777777" w:rsidR="00666AAB" w:rsidRPr="00961E4D" w:rsidRDefault="00666AAB" w:rsidP="00CC1AD7">
            <w:pPr>
              <w:rPr>
                <w:rFonts w:cs="Arial"/>
                <w:b/>
                <w:bCs/>
                <w:lang w:val="en-US"/>
              </w:rPr>
            </w:pPr>
            <w:r w:rsidRPr="00961E4D">
              <w:rPr>
                <w:rFonts w:cs="Arial"/>
                <w:b/>
                <w:bCs/>
                <w:lang w:val="en-US"/>
              </w:rPr>
              <w:t>Effective</w:t>
            </w:r>
          </w:p>
          <w:p w14:paraId="7B55B85C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228EAC57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56765674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14DF799C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5C490480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783E907E" w14:textId="77777777" w:rsidR="00666AAB" w:rsidRPr="00264B09" w:rsidRDefault="00666AAB" w:rsidP="00666AAB">
            <w:pPr>
              <w:rPr>
                <w:rFonts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14:paraId="133A247E" w14:textId="3F6455C9" w:rsidR="005F3696" w:rsidRPr="00720C15" w:rsidRDefault="001B5F9F" w:rsidP="00720C15">
            <w:pPr>
              <w:spacing w:line="259" w:lineRule="auto"/>
              <w:rPr>
                <w:rFonts w:cs="Arial"/>
                <w:color w:val="1A1C1E"/>
                <w:szCs w:val="21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 the </w:t>
            </w:r>
            <w:r w:rsidR="00A769F3">
              <w:rPr>
                <w:rFonts w:eastAsiaTheme="minorHAnsi" w:cs="Arial"/>
                <w:spacing w:val="0"/>
                <w:szCs w:val="24"/>
                <w:lang w:val="en-US"/>
              </w:rPr>
              <w:t>O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perational Performa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 xml:space="preserve">nce Report 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 xml:space="preserve">for 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 xml:space="preserve">Month 11. In 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>g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>eneral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>,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 xml:space="preserve"> all areas </w:t>
            </w:r>
            <w:r w:rsidR="006800F7">
              <w:rPr>
                <w:rFonts w:eastAsiaTheme="minorHAnsi" w:cs="Arial"/>
                <w:spacing w:val="0"/>
                <w:szCs w:val="24"/>
                <w:lang w:val="en-US"/>
              </w:rPr>
              <w:t>performed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 xml:space="preserve"> well and maintain</w:t>
            </w:r>
            <w:r w:rsidR="00720C15">
              <w:rPr>
                <w:rFonts w:eastAsiaTheme="minorHAnsi" w:cs="Arial"/>
                <w:spacing w:val="0"/>
                <w:szCs w:val="24"/>
                <w:lang w:val="en-US"/>
              </w:rPr>
              <w:t>ed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 xml:space="preserve"> a level which was close to the stated A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 xml:space="preserve">nnual 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>D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>elivery Plan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 xml:space="preserve"> target despite challenges such as Storm Eowyn and 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>delay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09560D">
              <w:rPr>
                <w:rFonts w:eastAsiaTheme="minorHAnsi" w:cs="Arial"/>
                <w:spacing w:val="0"/>
                <w:szCs w:val="24"/>
                <w:lang w:val="en-US"/>
              </w:rPr>
              <w:t xml:space="preserve">to 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>the opening of P</w:t>
            </w:r>
            <w:r w:rsidR="001C259F">
              <w:rPr>
                <w:rFonts w:eastAsiaTheme="minorHAnsi" w:cs="Arial"/>
                <w:spacing w:val="0"/>
                <w:szCs w:val="24"/>
                <w:lang w:val="en-US"/>
              </w:rPr>
              <w:t>hase 2.</w:t>
            </w:r>
            <w:r w:rsidR="00720C15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14:paraId="3896ACD9" w14:textId="77777777" w:rsidR="00A769F3" w:rsidRDefault="00A769F3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0771C7B8" w14:textId="21107169" w:rsidR="005F3696" w:rsidRPr="00C3473A" w:rsidRDefault="006413DF" w:rsidP="00C3473A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 the Financial </w:t>
            </w:r>
            <w:r w:rsidR="001B6E8A">
              <w:rPr>
                <w:rFonts w:eastAsiaTheme="minorHAnsi" w:cs="Arial"/>
                <w:spacing w:val="0"/>
                <w:szCs w:val="24"/>
                <w:lang w:val="en-US"/>
              </w:rPr>
              <w:t>S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ummary R</w:t>
            </w:r>
            <w:r w:rsidR="001B6E8A">
              <w:rPr>
                <w:rFonts w:eastAsiaTheme="minorHAnsi" w:cs="Arial"/>
                <w:spacing w:val="0"/>
                <w:szCs w:val="24"/>
                <w:lang w:val="en-US"/>
              </w:rPr>
              <w:t>eport</w:t>
            </w:r>
            <w:r w:rsidR="00720C15"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14:paraId="33078AE0" w14:textId="77777777" w:rsidR="00A93636" w:rsidRDefault="00A93636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43679395" w14:textId="1C73015A" w:rsidR="005F3696" w:rsidRPr="005D5252" w:rsidRDefault="006D5E30" w:rsidP="005D5252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lastRenderedPageBreak/>
              <w:t xml:space="preserve">The 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>Committee approved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the </w:t>
            </w:r>
            <w:r w:rsidR="003B70F4">
              <w:rPr>
                <w:rFonts w:eastAsiaTheme="minorHAnsi" w:cs="Arial"/>
                <w:spacing w:val="0"/>
                <w:szCs w:val="24"/>
                <w:lang w:val="en-US"/>
              </w:rPr>
              <w:t>C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 xml:space="preserve">apital </w:t>
            </w:r>
            <w:r w:rsidR="003B70F4">
              <w:rPr>
                <w:rFonts w:eastAsiaTheme="minorHAnsi" w:cs="Arial"/>
                <w:spacing w:val="0"/>
                <w:szCs w:val="24"/>
                <w:lang w:val="en-US"/>
              </w:rPr>
              <w:t>P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>lan</w:t>
            </w:r>
            <w:r w:rsidR="003B70F4">
              <w:rPr>
                <w:rFonts w:eastAsiaTheme="minorHAnsi" w:cs="Arial"/>
                <w:spacing w:val="0"/>
                <w:szCs w:val="24"/>
                <w:lang w:val="en-US"/>
              </w:rPr>
              <w:t xml:space="preserve"> Update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14:paraId="77959DA8" w14:textId="77777777" w:rsidR="005F3696" w:rsidRDefault="005F3696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41CE30C4" w14:textId="3EAC13D9" w:rsidR="005F3696" w:rsidRPr="00256F61" w:rsidRDefault="008A0F61" w:rsidP="00256F61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 the 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>Golden Jubil</w:t>
            </w:r>
            <w:r w:rsidR="00256F61">
              <w:rPr>
                <w:rFonts w:eastAsiaTheme="minorHAnsi" w:cs="Arial"/>
                <w:spacing w:val="0"/>
                <w:szCs w:val="24"/>
                <w:lang w:val="en-US"/>
              </w:rPr>
              <w:t xml:space="preserve">ee Research Institute Annual 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>R</w:t>
            </w:r>
            <w:r w:rsidR="005D1EF1">
              <w:rPr>
                <w:rFonts w:eastAsiaTheme="minorHAnsi" w:cs="Arial"/>
                <w:spacing w:val="0"/>
                <w:szCs w:val="24"/>
                <w:lang w:val="en-US"/>
              </w:rPr>
              <w:t>eport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>, noting the increase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621216">
              <w:rPr>
                <w:rFonts w:eastAsiaTheme="minorHAnsi" w:cs="Arial"/>
                <w:spacing w:val="0"/>
                <w:szCs w:val="24"/>
                <w:lang w:val="en-US"/>
              </w:rPr>
              <w:t>in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 xml:space="preserve"> research projects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 xml:space="preserve"> currently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 xml:space="preserve"> underway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14:paraId="1E319710" w14:textId="77777777" w:rsidR="005F3696" w:rsidRDefault="005F3696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6F7CFBB4" w14:textId="30E4EF43" w:rsidR="005D1EF1" w:rsidRDefault="008A0F61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 the </w:t>
            </w:r>
            <w:r w:rsidR="00A93636">
              <w:rPr>
                <w:rFonts w:eastAsiaTheme="minorHAnsi" w:cs="Arial"/>
                <w:spacing w:val="0"/>
                <w:szCs w:val="24"/>
                <w:lang w:val="en-US"/>
              </w:rPr>
              <w:t>Year End Activity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 xml:space="preserve"> Report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14:paraId="28D11FC1" w14:textId="77777777" w:rsidR="005F3696" w:rsidRPr="00883EA7" w:rsidRDefault="005F3696" w:rsidP="005F3696">
            <w:pPr>
              <w:pStyle w:val="ng-star-inserted"/>
              <w:shd w:val="clear" w:color="auto" w:fill="FFFFFF"/>
              <w:tabs>
                <w:tab w:val="num" w:pos="1418"/>
              </w:tabs>
              <w:spacing w:before="0" w:beforeAutospacing="0" w:after="45" w:afterAutospacing="0" w:line="300" w:lineRule="atLeast"/>
              <w:rPr>
                <w:rFonts w:ascii="Arial" w:hAnsi="Arial" w:cs="Arial"/>
                <w:color w:val="1A1C1E"/>
                <w:szCs w:val="21"/>
              </w:rPr>
            </w:pPr>
          </w:p>
          <w:p w14:paraId="79BBF039" w14:textId="22656578" w:rsidR="00AB7B47" w:rsidRPr="00504D01" w:rsidRDefault="002A5094" w:rsidP="00504D01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 the </w:t>
            </w:r>
            <w:r w:rsidR="00A93636">
              <w:rPr>
                <w:rFonts w:eastAsiaTheme="minorHAnsi" w:cs="Arial"/>
                <w:spacing w:val="0"/>
                <w:szCs w:val="24"/>
                <w:lang w:val="en-US"/>
              </w:rPr>
              <w:t>Strategic Risk Register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 xml:space="preserve">, noting the improvement work on </w:t>
            </w:r>
            <w:r w:rsidR="0009560D">
              <w:rPr>
                <w:rFonts w:eastAsiaTheme="minorHAnsi" w:cs="Arial"/>
                <w:spacing w:val="0"/>
                <w:szCs w:val="24"/>
                <w:lang w:val="en-US"/>
              </w:rPr>
              <w:t xml:space="preserve">aligning 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>r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>isks</w:t>
            </w:r>
            <w:r w:rsidR="0009560D">
              <w:rPr>
                <w:rFonts w:eastAsiaTheme="minorHAnsi" w:cs="Arial"/>
                <w:spacing w:val="0"/>
                <w:szCs w:val="24"/>
                <w:lang w:val="en-US"/>
              </w:rPr>
              <w:t xml:space="preserve"> to objectives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 xml:space="preserve"> and the establish</w:t>
            </w:r>
            <w:r w:rsidR="0009560D">
              <w:rPr>
                <w:rFonts w:eastAsiaTheme="minorHAnsi" w:cs="Arial"/>
                <w:spacing w:val="0"/>
                <w:szCs w:val="24"/>
                <w:lang w:val="en-US"/>
              </w:rPr>
              <w:t>ment of the Executive</w:t>
            </w:r>
            <w:r w:rsidR="00477C21">
              <w:rPr>
                <w:rFonts w:eastAsiaTheme="minorHAnsi" w:cs="Arial"/>
                <w:spacing w:val="0"/>
                <w:szCs w:val="24"/>
                <w:lang w:val="en-US"/>
              </w:rPr>
              <w:t xml:space="preserve"> Risk Group</w:t>
            </w:r>
            <w:r w:rsidR="00AB7B47" w:rsidRPr="00883EA7">
              <w:rPr>
                <w:rStyle w:val="ng-star-inserted1"/>
                <w:rFonts w:cs="Arial"/>
                <w:color w:val="1A1C1E"/>
                <w:szCs w:val="21"/>
              </w:rPr>
              <w:t>.</w:t>
            </w:r>
            <w:r w:rsidR="00504D01">
              <w:rPr>
                <w:rStyle w:val="ng-star-inserted1"/>
                <w:rFonts w:cs="Arial"/>
                <w:color w:val="1A1C1E"/>
                <w:szCs w:val="21"/>
              </w:rPr>
              <w:t xml:space="preserve"> </w:t>
            </w:r>
          </w:p>
          <w:p w14:paraId="39FBB4FE" w14:textId="77777777" w:rsidR="00A93636" w:rsidRDefault="00A93636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37A2CAD4" w14:textId="36FB6A9A" w:rsidR="00A93636" w:rsidRDefault="00A93636" w:rsidP="00477C21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>C</w:t>
            </w:r>
            <w:r w:rsidR="00E50474">
              <w:rPr>
                <w:rFonts w:eastAsiaTheme="minorHAnsi"/>
                <w:spacing w:val="0"/>
                <w:szCs w:val="24"/>
                <w:lang w:val="en-US"/>
              </w:rPr>
              <w:t>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 </w:t>
            </w:r>
            <w:r w:rsidR="009359AA">
              <w:rPr>
                <w:rFonts w:eastAsiaTheme="minorHAnsi" w:cs="Arial"/>
                <w:spacing w:val="0"/>
                <w:szCs w:val="24"/>
                <w:lang w:val="en-US"/>
              </w:rPr>
              <w:t>th</w:t>
            </w:r>
            <w:r w:rsidR="00E50474">
              <w:rPr>
                <w:rFonts w:eastAsiaTheme="minorHAnsi" w:cs="Arial"/>
                <w:spacing w:val="0"/>
                <w:szCs w:val="24"/>
                <w:lang w:val="en-US"/>
              </w:rPr>
              <w:t>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Annual Governance Report</w:t>
            </w:r>
            <w:r w:rsidR="009359AA"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14:paraId="085B3889" w14:textId="47BC058D" w:rsidR="00E50474" w:rsidRPr="00A769F3" w:rsidRDefault="00E50474" w:rsidP="00477C21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</w:tc>
      </w:tr>
    </w:tbl>
    <w:p w14:paraId="179C2A23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5D092FC5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447A751A" w14:textId="7F31562A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A93636">
        <w:rPr>
          <w:rFonts w:hAnsi="Arial" w:cs="Arial"/>
          <w:lang w:val="en-US"/>
        </w:rPr>
        <w:t>Wedn</w:t>
      </w:r>
      <w:r w:rsidR="00B312CF">
        <w:rPr>
          <w:rFonts w:hAnsi="Arial" w:cs="Arial"/>
          <w:lang w:val="en-US"/>
        </w:rPr>
        <w:t xml:space="preserve">esday </w:t>
      </w:r>
      <w:r w:rsidR="00A93636">
        <w:rPr>
          <w:rFonts w:hAnsi="Arial" w:cs="Arial"/>
          <w:lang w:val="en-US"/>
        </w:rPr>
        <w:t>13 Aug</w:t>
      </w:r>
      <w:r w:rsidR="00E50474">
        <w:rPr>
          <w:rFonts w:hAnsi="Arial" w:cs="Arial"/>
          <w:lang w:val="en-US"/>
        </w:rPr>
        <w:t>ust</w:t>
      </w:r>
      <w:r w:rsidR="00264B09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</w:t>
      </w:r>
      <w:r w:rsidR="00C5598D">
        <w:rPr>
          <w:rFonts w:hAnsi="Arial" w:cs="Arial"/>
          <w:lang w:val="en-US"/>
        </w:rPr>
        <w:t>5</w:t>
      </w:r>
      <w:r>
        <w:rPr>
          <w:rFonts w:hAnsi="Arial" w:cs="Arial"/>
          <w:lang w:val="en-US"/>
        </w:rPr>
        <w:t>.</w:t>
      </w:r>
    </w:p>
    <w:p w14:paraId="28EB4CCD" w14:textId="77777777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65EE0C98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7865FEEE" w14:textId="77777777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7BF1D6E2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07CDA7FF" w14:textId="77777777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864E4">
        <w:rPr>
          <w:rFonts w:cs="Arial"/>
        </w:rPr>
        <w:t>Finance and Performance</w:t>
      </w:r>
      <w:r w:rsidR="007E133D">
        <w:rPr>
          <w:rFonts w:cs="Arial"/>
        </w:rPr>
        <w:t xml:space="preserve"> </w:t>
      </w:r>
      <w:r w:rsidR="00583508">
        <w:rPr>
          <w:rFonts w:cs="Arial"/>
        </w:rPr>
        <w:t xml:space="preserve">Committee </w:t>
      </w:r>
      <w:r w:rsidR="007E133D">
        <w:rPr>
          <w:rFonts w:cs="Arial"/>
        </w:rPr>
        <w:t>Update.</w:t>
      </w:r>
    </w:p>
    <w:p w14:paraId="77B299E8" w14:textId="77777777" w:rsidR="003D757C" w:rsidRDefault="003D757C" w:rsidP="007E133D">
      <w:pPr>
        <w:ind w:right="183"/>
        <w:rPr>
          <w:rFonts w:cs="Arial"/>
        </w:rPr>
      </w:pPr>
    </w:p>
    <w:p w14:paraId="3F2A6BE5" w14:textId="77777777" w:rsidR="00E50474" w:rsidRDefault="00E50474" w:rsidP="007E133D">
      <w:pPr>
        <w:ind w:right="183"/>
        <w:rPr>
          <w:rFonts w:cs="Arial"/>
        </w:rPr>
      </w:pPr>
    </w:p>
    <w:p w14:paraId="39AEC8C7" w14:textId="77777777" w:rsidR="00E50474" w:rsidRDefault="00E50474" w:rsidP="007E133D">
      <w:pPr>
        <w:ind w:right="183"/>
        <w:rPr>
          <w:rFonts w:cs="Arial"/>
        </w:rPr>
      </w:pPr>
    </w:p>
    <w:p w14:paraId="19C742EF" w14:textId="77777777" w:rsidR="003D757C" w:rsidRDefault="003D757C" w:rsidP="007E133D">
      <w:pPr>
        <w:ind w:right="183"/>
        <w:rPr>
          <w:rFonts w:cs="Arial"/>
        </w:rPr>
      </w:pPr>
    </w:p>
    <w:p w14:paraId="0C5F82CD" w14:textId="77777777" w:rsidR="007E133D" w:rsidRDefault="00AD3B8D" w:rsidP="00B41BB0">
      <w:pPr>
        <w:ind w:left="360" w:right="183" w:firstLine="72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14:paraId="472999E3" w14:textId="77777777"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AD3B8D">
        <w:rPr>
          <w:rFonts w:cs="Arial"/>
          <w:b/>
          <w:bCs/>
        </w:rPr>
        <w:t>Finance and Performance Committee</w:t>
      </w:r>
    </w:p>
    <w:p w14:paraId="220161C6" w14:textId="77777777" w:rsidR="007E133D" w:rsidRDefault="00B41BB0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May</w:t>
      </w:r>
      <w:r w:rsidR="00264B09">
        <w:rPr>
          <w:rFonts w:cs="Arial"/>
          <w:b/>
          <w:bCs/>
        </w:rPr>
        <w:t xml:space="preserve"> </w:t>
      </w:r>
      <w:r w:rsidR="009E3B47">
        <w:rPr>
          <w:rFonts w:cs="Arial"/>
          <w:b/>
          <w:bCs/>
        </w:rPr>
        <w:t>2025</w:t>
      </w:r>
    </w:p>
    <w:p w14:paraId="2A10A746" w14:textId="77777777" w:rsidR="007E133D" w:rsidRPr="00050D76" w:rsidRDefault="007E133D" w:rsidP="00050D76"/>
    <w:sectPr w:rsidR="007E133D" w:rsidRPr="00050D76" w:rsidSect="00995D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F05C6" w14:textId="77777777" w:rsidR="00D731F4" w:rsidRDefault="00D731F4">
      <w:r>
        <w:separator/>
      </w:r>
    </w:p>
  </w:endnote>
  <w:endnote w:type="continuationSeparator" w:id="0">
    <w:p w14:paraId="0B63FBD6" w14:textId="77777777" w:rsidR="00D731F4" w:rsidRDefault="00D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B8E0" w14:textId="77777777" w:rsidR="00E2008C" w:rsidRDefault="00E20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EEA5A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52B16306" w14:textId="5B20ACBF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E2008C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E2008C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FB505" w14:textId="77777777" w:rsidR="00E2008C" w:rsidRDefault="00E20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EBE3" w14:textId="77777777" w:rsidR="00D731F4" w:rsidRDefault="00D731F4">
      <w:r>
        <w:separator/>
      </w:r>
    </w:p>
  </w:footnote>
  <w:footnote w:type="continuationSeparator" w:id="0">
    <w:p w14:paraId="5204A4BE" w14:textId="77777777" w:rsidR="00D731F4" w:rsidRDefault="00D7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B2DF" w14:textId="77777777" w:rsidR="00E2008C" w:rsidRDefault="00E20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8EFE" w14:textId="05D1C2E1" w:rsidR="000369E6" w:rsidRDefault="000369E6">
    <w:pPr>
      <w:pStyle w:val="Header"/>
    </w:pPr>
    <w:r>
      <w:tab/>
    </w:r>
    <w:r>
      <w:tab/>
    </w:r>
    <w:r w:rsidR="00E2008C">
      <w:t>Board Item 4.3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D2E9E" w14:textId="77777777" w:rsidR="00E2008C" w:rsidRDefault="00E20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E474D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765E"/>
    <w:multiLevelType w:val="multilevel"/>
    <w:tmpl w:val="7D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3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2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12BE4"/>
    <w:rsid w:val="00013107"/>
    <w:rsid w:val="00022EE5"/>
    <w:rsid w:val="0003098A"/>
    <w:rsid w:val="000369E6"/>
    <w:rsid w:val="000451B7"/>
    <w:rsid w:val="00047714"/>
    <w:rsid w:val="00050D76"/>
    <w:rsid w:val="00053E01"/>
    <w:rsid w:val="0006550E"/>
    <w:rsid w:val="00070BE9"/>
    <w:rsid w:val="00072A23"/>
    <w:rsid w:val="00076AA5"/>
    <w:rsid w:val="00076EF2"/>
    <w:rsid w:val="00085465"/>
    <w:rsid w:val="00091974"/>
    <w:rsid w:val="000945DB"/>
    <w:rsid w:val="0009560D"/>
    <w:rsid w:val="000C561F"/>
    <w:rsid w:val="000E2BDE"/>
    <w:rsid w:val="000E316C"/>
    <w:rsid w:val="000F7706"/>
    <w:rsid w:val="00100F2A"/>
    <w:rsid w:val="00102D33"/>
    <w:rsid w:val="00107B3E"/>
    <w:rsid w:val="00123730"/>
    <w:rsid w:val="00125A9E"/>
    <w:rsid w:val="00132AF3"/>
    <w:rsid w:val="0013648C"/>
    <w:rsid w:val="00140DB3"/>
    <w:rsid w:val="00141701"/>
    <w:rsid w:val="00155A30"/>
    <w:rsid w:val="001B5F9F"/>
    <w:rsid w:val="001B6E8A"/>
    <w:rsid w:val="001C259F"/>
    <w:rsid w:val="001D05E4"/>
    <w:rsid w:val="001D0FFB"/>
    <w:rsid w:val="001D11B6"/>
    <w:rsid w:val="001E7464"/>
    <w:rsid w:val="00212532"/>
    <w:rsid w:val="0023473B"/>
    <w:rsid w:val="0023724F"/>
    <w:rsid w:val="00256F61"/>
    <w:rsid w:val="00262DD5"/>
    <w:rsid w:val="00264B09"/>
    <w:rsid w:val="00276D25"/>
    <w:rsid w:val="00286AFE"/>
    <w:rsid w:val="002A5094"/>
    <w:rsid w:val="002B54EF"/>
    <w:rsid w:val="002B72F8"/>
    <w:rsid w:val="002D7616"/>
    <w:rsid w:val="002E7A32"/>
    <w:rsid w:val="002F4B67"/>
    <w:rsid w:val="00301BBF"/>
    <w:rsid w:val="0033790B"/>
    <w:rsid w:val="00346269"/>
    <w:rsid w:val="003473AE"/>
    <w:rsid w:val="0035325C"/>
    <w:rsid w:val="0037117A"/>
    <w:rsid w:val="00372380"/>
    <w:rsid w:val="003751DE"/>
    <w:rsid w:val="003A6569"/>
    <w:rsid w:val="003B70F4"/>
    <w:rsid w:val="003D757C"/>
    <w:rsid w:val="003F7F61"/>
    <w:rsid w:val="00430C09"/>
    <w:rsid w:val="004338E5"/>
    <w:rsid w:val="0044188F"/>
    <w:rsid w:val="00442876"/>
    <w:rsid w:val="00446219"/>
    <w:rsid w:val="00446937"/>
    <w:rsid w:val="00450D06"/>
    <w:rsid w:val="00466A7E"/>
    <w:rsid w:val="00471A44"/>
    <w:rsid w:val="00477C21"/>
    <w:rsid w:val="00480CBB"/>
    <w:rsid w:val="00482C25"/>
    <w:rsid w:val="00495B36"/>
    <w:rsid w:val="004A249F"/>
    <w:rsid w:val="004C24DE"/>
    <w:rsid w:val="004C4472"/>
    <w:rsid w:val="00504D01"/>
    <w:rsid w:val="0052127A"/>
    <w:rsid w:val="00523880"/>
    <w:rsid w:val="00527F04"/>
    <w:rsid w:val="005537D8"/>
    <w:rsid w:val="00556E5B"/>
    <w:rsid w:val="00563DB7"/>
    <w:rsid w:val="0057052A"/>
    <w:rsid w:val="005814A6"/>
    <w:rsid w:val="00583508"/>
    <w:rsid w:val="00591C18"/>
    <w:rsid w:val="005A04F7"/>
    <w:rsid w:val="005A2580"/>
    <w:rsid w:val="005A5BBA"/>
    <w:rsid w:val="005C727E"/>
    <w:rsid w:val="005D1EF1"/>
    <w:rsid w:val="005D4E7B"/>
    <w:rsid w:val="005D5252"/>
    <w:rsid w:val="005E159E"/>
    <w:rsid w:val="005F3696"/>
    <w:rsid w:val="005F4D65"/>
    <w:rsid w:val="005F78F7"/>
    <w:rsid w:val="00602E36"/>
    <w:rsid w:val="00610728"/>
    <w:rsid w:val="006173A9"/>
    <w:rsid w:val="00621216"/>
    <w:rsid w:val="00626CD1"/>
    <w:rsid w:val="0064075B"/>
    <w:rsid w:val="006413DF"/>
    <w:rsid w:val="0064270C"/>
    <w:rsid w:val="00666AAB"/>
    <w:rsid w:val="00666F4B"/>
    <w:rsid w:val="0067497B"/>
    <w:rsid w:val="006800F7"/>
    <w:rsid w:val="00681C8C"/>
    <w:rsid w:val="00682DC0"/>
    <w:rsid w:val="006A7123"/>
    <w:rsid w:val="006C1535"/>
    <w:rsid w:val="006C6D4B"/>
    <w:rsid w:val="006D1343"/>
    <w:rsid w:val="006D5E30"/>
    <w:rsid w:val="006D7F5A"/>
    <w:rsid w:val="006F440B"/>
    <w:rsid w:val="00711517"/>
    <w:rsid w:val="00720C15"/>
    <w:rsid w:val="00736213"/>
    <w:rsid w:val="00743501"/>
    <w:rsid w:val="00745E01"/>
    <w:rsid w:val="00756413"/>
    <w:rsid w:val="00765E87"/>
    <w:rsid w:val="00780A47"/>
    <w:rsid w:val="00785B8C"/>
    <w:rsid w:val="00785DD1"/>
    <w:rsid w:val="007865D9"/>
    <w:rsid w:val="007C3634"/>
    <w:rsid w:val="007D1AAE"/>
    <w:rsid w:val="007E133D"/>
    <w:rsid w:val="007E201D"/>
    <w:rsid w:val="007F32CF"/>
    <w:rsid w:val="007F769B"/>
    <w:rsid w:val="00814754"/>
    <w:rsid w:val="00816E22"/>
    <w:rsid w:val="0086787C"/>
    <w:rsid w:val="008763F0"/>
    <w:rsid w:val="008A0F61"/>
    <w:rsid w:val="008A168D"/>
    <w:rsid w:val="008A1BD5"/>
    <w:rsid w:val="008B2B52"/>
    <w:rsid w:val="008B6462"/>
    <w:rsid w:val="008C10D0"/>
    <w:rsid w:val="008D20C7"/>
    <w:rsid w:val="008F1E59"/>
    <w:rsid w:val="00927C6C"/>
    <w:rsid w:val="009359AA"/>
    <w:rsid w:val="009615FE"/>
    <w:rsid w:val="00961E4D"/>
    <w:rsid w:val="00977EA6"/>
    <w:rsid w:val="009807B4"/>
    <w:rsid w:val="0098106F"/>
    <w:rsid w:val="00982384"/>
    <w:rsid w:val="00984AC2"/>
    <w:rsid w:val="009864F9"/>
    <w:rsid w:val="00995D91"/>
    <w:rsid w:val="00996603"/>
    <w:rsid w:val="009B4A0A"/>
    <w:rsid w:val="009D4C83"/>
    <w:rsid w:val="009E3B47"/>
    <w:rsid w:val="009E630D"/>
    <w:rsid w:val="00A0382B"/>
    <w:rsid w:val="00A24ED0"/>
    <w:rsid w:val="00A2680C"/>
    <w:rsid w:val="00A314F6"/>
    <w:rsid w:val="00A32685"/>
    <w:rsid w:val="00A43898"/>
    <w:rsid w:val="00A62B58"/>
    <w:rsid w:val="00A62E56"/>
    <w:rsid w:val="00A72814"/>
    <w:rsid w:val="00A769F3"/>
    <w:rsid w:val="00A84C97"/>
    <w:rsid w:val="00A87CEB"/>
    <w:rsid w:val="00A93636"/>
    <w:rsid w:val="00A95257"/>
    <w:rsid w:val="00A95ECB"/>
    <w:rsid w:val="00AA77F7"/>
    <w:rsid w:val="00AB7B47"/>
    <w:rsid w:val="00AD01F4"/>
    <w:rsid w:val="00AD3B8D"/>
    <w:rsid w:val="00AE522B"/>
    <w:rsid w:val="00AE69C2"/>
    <w:rsid w:val="00AF0530"/>
    <w:rsid w:val="00AF077D"/>
    <w:rsid w:val="00AF314A"/>
    <w:rsid w:val="00AF356A"/>
    <w:rsid w:val="00B008DF"/>
    <w:rsid w:val="00B06E59"/>
    <w:rsid w:val="00B11D0E"/>
    <w:rsid w:val="00B159C0"/>
    <w:rsid w:val="00B178D4"/>
    <w:rsid w:val="00B312CF"/>
    <w:rsid w:val="00B41BB0"/>
    <w:rsid w:val="00B422D3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D7CA4"/>
    <w:rsid w:val="00BE01E8"/>
    <w:rsid w:val="00BF3AF0"/>
    <w:rsid w:val="00BF6FFA"/>
    <w:rsid w:val="00C3473A"/>
    <w:rsid w:val="00C3506D"/>
    <w:rsid w:val="00C5598D"/>
    <w:rsid w:val="00C667CB"/>
    <w:rsid w:val="00C81C30"/>
    <w:rsid w:val="00C8524E"/>
    <w:rsid w:val="00C86992"/>
    <w:rsid w:val="00C87B62"/>
    <w:rsid w:val="00C94BF7"/>
    <w:rsid w:val="00CA0845"/>
    <w:rsid w:val="00CB6644"/>
    <w:rsid w:val="00CC1AD7"/>
    <w:rsid w:val="00CC3CDA"/>
    <w:rsid w:val="00CE0398"/>
    <w:rsid w:val="00D11444"/>
    <w:rsid w:val="00D31495"/>
    <w:rsid w:val="00D45DE4"/>
    <w:rsid w:val="00D55622"/>
    <w:rsid w:val="00D61B91"/>
    <w:rsid w:val="00D704CD"/>
    <w:rsid w:val="00D731F4"/>
    <w:rsid w:val="00D75DFF"/>
    <w:rsid w:val="00DA0BFA"/>
    <w:rsid w:val="00DA3DD2"/>
    <w:rsid w:val="00DA5010"/>
    <w:rsid w:val="00DB0560"/>
    <w:rsid w:val="00DB4877"/>
    <w:rsid w:val="00DD2D3D"/>
    <w:rsid w:val="00DD6252"/>
    <w:rsid w:val="00DE04A0"/>
    <w:rsid w:val="00DF1BE0"/>
    <w:rsid w:val="00DF2ADD"/>
    <w:rsid w:val="00E067D1"/>
    <w:rsid w:val="00E16549"/>
    <w:rsid w:val="00E2008C"/>
    <w:rsid w:val="00E2314A"/>
    <w:rsid w:val="00E24B27"/>
    <w:rsid w:val="00E330E8"/>
    <w:rsid w:val="00E34294"/>
    <w:rsid w:val="00E37E2C"/>
    <w:rsid w:val="00E50474"/>
    <w:rsid w:val="00E520BA"/>
    <w:rsid w:val="00E555A5"/>
    <w:rsid w:val="00E611DD"/>
    <w:rsid w:val="00E62D19"/>
    <w:rsid w:val="00E657F3"/>
    <w:rsid w:val="00E71CD2"/>
    <w:rsid w:val="00E82894"/>
    <w:rsid w:val="00E84B9D"/>
    <w:rsid w:val="00E864E4"/>
    <w:rsid w:val="00EA13D7"/>
    <w:rsid w:val="00EA2579"/>
    <w:rsid w:val="00EA30AC"/>
    <w:rsid w:val="00EA5DBA"/>
    <w:rsid w:val="00EB2B54"/>
    <w:rsid w:val="00ED4F12"/>
    <w:rsid w:val="00EE008B"/>
    <w:rsid w:val="00EF7713"/>
    <w:rsid w:val="00F04DF8"/>
    <w:rsid w:val="00F1405E"/>
    <w:rsid w:val="00F3337D"/>
    <w:rsid w:val="00F36928"/>
    <w:rsid w:val="00F76E34"/>
    <w:rsid w:val="00F774FD"/>
    <w:rsid w:val="00F91990"/>
    <w:rsid w:val="00FB0DBB"/>
    <w:rsid w:val="00FB0DF4"/>
    <w:rsid w:val="00FB3B8C"/>
    <w:rsid w:val="00FB5D47"/>
    <w:rsid w:val="00FC3647"/>
    <w:rsid w:val="00FC4710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6373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B11D0E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customStyle="1" w:styleId="ng-star-inserted">
    <w:name w:val="ng-star-inserted"/>
    <w:basedOn w:val="Normal"/>
    <w:rsid w:val="00A93636"/>
    <w:pPr>
      <w:spacing w:before="100" w:beforeAutospacing="1" w:after="100" w:afterAutospacing="1"/>
    </w:pPr>
    <w:rPr>
      <w:rFonts w:ascii="Times New Roman" w:hAnsi="Times New Roman"/>
      <w:spacing w:val="0"/>
      <w:szCs w:val="24"/>
      <w:lang w:eastAsia="en-GB"/>
    </w:rPr>
  </w:style>
  <w:style w:type="character" w:customStyle="1" w:styleId="ng-star-inserted1">
    <w:name w:val="ng-star-inserted1"/>
    <w:basedOn w:val="DefaultParagraphFont"/>
    <w:rsid w:val="00A9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B74A-7265-4FA5-AC4B-1B2FA506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2024-11-22T15:57:00Z</cp:lastPrinted>
  <dcterms:created xsi:type="dcterms:W3CDTF">2025-05-21T13:24:00Z</dcterms:created>
  <dcterms:modified xsi:type="dcterms:W3CDTF">2025-05-22T15:27:00Z</dcterms:modified>
</cp:coreProperties>
</file>