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BB049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D0EBC0D" wp14:editId="29510F0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BCE8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2A69E8B3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3C10DB64" w14:textId="7777777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560C39">
        <w:rPr>
          <w:rStyle w:val="Heading3Char"/>
          <w:b/>
        </w:rPr>
        <w:t>29 May 2025</w:t>
      </w:r>
    </w:p>
    <w:p w14:paraId="6DBD664A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3055F8">
        <w:rPr>
          <w:rStyle w:val="Heading3Char"/>
          <w:b/>
        </w:rPr>
        <w:t>Strategic Portfolio Governance Committee Board Update</w:t>
      </w:r>
    </w:p>
    <w:p w14:paraId="160A125B" w14:textId="77777777" w:rsidR="003055F8" w:rsidRDefault="0003098A" w:rsidP="003055F8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3055F8">
        <w:rPr>
          <w:rStyle w:val="Heading3Char"/>
          <w:b/>
        </w:rPr>
        <w:t xml:space="preserve">Carole Anderson, </w:t>
      </w:r>
      <w:r w:rsidR="003055F8" w:rsidRPr="003055F8">
        <w:rPr>
          <w:rStyle w:val="Heading3Char"/>
          <w:b/>
        </w:rPr>
        <w:t>Director of Transformation, Strategy, Planning and Performance</w:t>
      </w:r>
    </w:p>
    <w:p w14:paraId="1B6EEF13" w14:textId="77777777" w:rsidR="003055F8" w:rsidRPr="003055F8" w:rsidRDefault="003055F8" w:rsidP="003055F8">
      <w:pPr>
        <w:rPr>
          <w:rFonts w:eastAsiaTheme="majorEastAsia"/>
          <w:b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  <w:t xml:space="preserve">    </w:t>
      </w:r>
      <w:r w:rsidRPr="003055F8">
        <w:rPr>
          <w:rFonts w:eastAsiaTheme="majorEastAsia"/>
          <w:b/>
        </w:rPr>
        <w:t>Linda Semple, Non-Executive Director</w:t>
      </w:r>
    </w:p>
    <w:p w14:paraId="09D6605B" w14:textId="77777777" w:rsidR="003055F8" w:rsidRPr="003055F8" w:rsidRDefault="003055F8" w:rsidP="003055F8">
      <w:pPr>
        <w:rPr>
          <w:rFonts w:eastAsiaTheme="majorEastAsia"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</w:p>
    <w:p w14:paraId="55B3F322" w14:textId="77777777"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14:paraId="73833225" w14:textId="77777777" w:rsidR="00B77902" w:rsidRDefault="00B77902" w:rsidP="00B77902"/>
    <w:p w14:paraId="0B27AAA2" w14:textId="77777777" w:rsidR="00961989" w:rsidRPr="00B77902" w:rsidRDefault="00961989" w:rsidP="00B77902"/>
    <w:p w14:paraId="0BC9BFA1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55C92E7F" w14:textId="77777777" w:rsidR="003D757C" w:rsidRPr="003D757C" w:rsidRDefault="003D757C" w:rsidP="003D757C">
      <w:pPr>
        <w:ind w:left="709"/>
      </w:pPr>
    </w:p>
    <w:p w14:paraId="2209A205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14:paraId="66995229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  <w:bookmarkStart w:id="0" w:name="_GoBack"/>
      <w:bookmarkEnd w:id="0"/>
    </w:p>
    <w:p w14:paraId="22F1DF84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34187EA8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2ABFB33F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174C44EA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63FC945B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BD44E9B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4AD8918F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71550186" w14:textId="77777777" w:rsidR="00430C09" w:rsidRDefault="00430C09" w:rsidP="009807B4">
      <w:pPr>
        <w:spacing w:line="276" w:lineRule="auto"/>
      </w:pPr>
    </w:p>
    <w:p w14:paraId="65286511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59BA32E3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573F1604" w14:textId="77777777" w:rsidR="00050D76" w:rsidRDefault="003055F8" w:rsidP="003D757C">
      <w:pPr>
        <w:ind w:left="709" w:right="183"/>
        <w:rPr>
          <w:rFonts w:cs="Arial"/>
          <w:bCs/>
        </w:rPr>
      </w:pPr>
      <w:r>
        <w:rPr>
          <w:rFonts w:cs="Arial"/>
        </w:rPr>
        <w:t>Strategic Portfolio Governance Committee</w:t>
      </w:r>
      <w:r w:rsidR="0061640C">
        <w:rPr>
          <w:rFonts w:cs="Arial"/>
          <w:bCs/>
        </w:rPr>
        <w:t xml:space="preserve"> Meeting</w:t>
      </w:r>
      <w:r w:rsidR="00050D76">
        <w:rPr>
          <w:rFonts w:cs="Arial"/>
          <w:bCs/>
        </w:rPr>
        <w:t xml:space="preserve"> was held on </w:t>
      </w:r>
      <w:r>
        <w:rPr>
          <w:rFonts w:cs="Arial"/>
          <w:bCs/>
        </w:rPr>
        <w:t>1 May 2025</w:t>
      </w:r>
      <w:r w:rsidR="00116EFD">
        <w:rPr>
          <w:rFonts w:cs="Arial"/>
          <w:bCs/>
        </w:rPr>
        <w:t xml:space="preserve"> and</w:t>
      </w:r>
      <w:r w:rsidR="002E28E4">
        <w:rPr>
          <w:rFonts w:cs="Arial"/>
          <w:bCs/>
        </w:rPr>
        <w:t xml:space="preserve"> the following key point</w:t>
      </w:r>
      <w:r w:rsidR="00395844">
        <w:rPr>
          <w:rFonts w:cs="Arial"/>
          <w:bCs/>
        </w:rPr>
        <w:t>s</w:t>
      </w:r>
      <w:r w:rsidR="002E28E4">
        <w:rPr>
          <w:rFonts w:cs="Arial"/>
          <w:bCs/>
        </w:rPr>
        <w:t xml:space="preserve"> </w:t>
      </w:r>
      <w:r w:rsidR="00395844">
        <w:rPr>
          <w:rFonts w:cs="Arial"/>
          <w:bCs/>
        </w:rPr>
        <w:t>were</w:t>
      </w:r>
      <w:r w:rsidR="00050D76">
        <w:rPr>
          <w:rFonts w:cs="Arial"/>
          <w:bCs/>
        </w:rPr>
        <w:t xml:space="preserve"> noted at the meeting.  </w:t>
      </w:r>
    </w:p>
    <w:p w14:paraId="469AC72E" w14:textId="77777777" w:rsidR="00F7189F" w:rsidRDefault="00F7189F" w:rsidP="003D757C">
      <w:pPr>
        <w:ind w:left="709" w:right="183"/>
        <w:rPr>
          <w:rFonts w:cs="Arial"/>
          <w:bCs/>
        </w:rPr>
      </w:pPr>
    </w:p>
    <w:p w14:paraId="02EA2ED8" w14:textId="77777777" w:rsidR="00F7189F" w:rsidRPr="00013107" w:rsidRDefault="00F7189F" w:rsidP="00F7189F">
      <w:pPr>
        <w:ind w:left="982" w:right="183" w:firstLine="11"/>
        <w:rPr>
          <w:rFonts w:cs="Arial"/>
          <w:b/>
          <w:bCs/>
          <w:color w:val="FF0000"/>
        </w:rPr>
      </w:pPr>
      <w:r w:rsidRPr="00013107">
        <w:rPr>
          <w:rFonts w:cs="Arial"/>
          <w:b/>
          <w:bCs/>
          <w:color w:val="FF0000"/>
        </w:rPr>
        <w:t>There were no issues of concern raised at the meeting.</w:t>
      </w:r>
    </w:p>
    <w:p w14:paraId="0F491CFF" w14:textId="77777777" w:rsidR="00F7189F" w:rsidRDefault="00F7189F" w:rsidP="003D757C">
      <w:pPr>
        <w:ind w:left="709" w:right="183"/>
        <w:rPr>
          <w:rFonts w:cs="Arial"/>
          <w:bCs/>
        </w:rPr>
      </w:pPr>
    </w:p>
    <w:p w14:paraId="2A3C7258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4"/>
        <w:gridCol w:w="7734"/>
      </w:tblGrid>
      <w:tr w:rsidR="00050D76" w:rsidRPr="00C30F3E" w14:paraId="74DB6CFA" w14:textId="77777777" w:rsidTr="00232E73">
        <w:trPr>
          <w:trHeight w:val="388"/>
          <w:tblHeader/>
        </w:trPr>
        <w:tc>
          <w:tcPr>
            <w:tcW w:w="1412" w:type="dxa"/>
            <w:shd w:val="clear" w:color="auto" w:fill="002060"/>
          </w:tcPr>
          <w:p w14:paraId="6BFB5A1B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768" w:type="dxa"/>
            <w:gridSpan w:val="2"/>
            <w:shd w:val="clear" w:color="auto" w:fill="002060"/>
          </w:tcPr>
          <w:p w14:paraId="24BCAA3B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14:paraId="3D82A2A9" w14:textId="77777777" w:rsidTr="00232E73">
        <w:tc>
          <w:tcPr>
            <w:tcW w:w="1446" w:type="dxa"/>
            <w:gridSpan w:val="2"/>
          </w:tcPr>
          <w:p w14:paraId="20F0A0F8" w14:textId="77777777" w:rsidR="00733D1F" w:rsidRDefault="00162B64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NHS GJ Strategic Updates</w:t>
            </w:r>
          </w:p>
        </w:tc>
        <w:tc>
          <w:tcPr>
            <w:tcW w:w="7734" w:type="dxa"/>
            <w:shd w:val="clear" w:color="auto" w:fill="auto"/>
          </w:tcPr>
          <w:p w14:paraId="4A5BFE2B" w14:textId="70EF66CB" w:rsidR="005B77BC" w:rsidRDefault="00EF604B" w:rsidP="00232E73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Strategic Programme Up</w:t>
            </w:r>
            <w:r w:rsidR="005B77BC">
              <w:rPr>
                <w:rFonts w:cs="Arial"/>
                <w:szCs w:val="24"/>
              </w:rPr>
              <w:t>date</w:t>
            </w:r>
            <w:r w:rsidR="00F7189F">
              <w:rPr>
                <w:rFonts w:cs="Arial"/>
                <w:szCs w:val="24"/>
              </w:rPr>
              <w:t xml:space="preserve"> which </w:t>
            </w:r>
            <w:r w:rsidR="005B77BC">
              <w:rPr>
                <w:rFonts w:cs="Arial"/>
                <w:szCs w:val="24"/>
              </w:rPr>
              <w:t>included news o</w:t>
            </w:r>
            <w:r w:rsidR="00F7189F">
              <w:rPr>
                <w:rFonts w:cs="Arial"/>
                <w:szCs w:val="24"/>
              </w:rPr>
              <w:t>n</w:t>
            </w:r>
            <w:r w:rsidR="005B77BC">
              <w:rPr>
                <w:rFonts w:cs="Arial"/>
                <w:szCs w:val="24"/>
              </w:rPr>
              <w:t xml:space="preserve"> the conclusion of the Safe Staffing Programme and the introduction of the Culture Programme, entitled “Kindness Matters.</w:t>
            </w:r>
          </w:p>
          <w:p w14:paraId="46329AAD" w14:textId="77777777" w:rsidR="00232E73" w:rsidRDefault="00232E73" w:rsidP="00232E73">
            <w:pPr>
              <w:contextualSpacing/>
              <w:rPr>
                <w:rFonts w:cs="Arial"/>
                <w:szCs w:val="24"/>
              </w:rPr>
            </w:pPr>
          </w:p>
          <w:p w14:paraId="1E64BDA2" w14:textId="60C00FFA" w:rsidR="005B77BC" w:rsidRDefault="005B77BC" w:rsidP="00232E73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The Committee thanked Laura Fulton, the outgoing Director of Pharmacy for her work with HEPMA and wished her well for her new role with</w:t>
            </w:r>
            <w:r w:rsidR="00F7189F">
              <w:rPr>
                <w:rFonts w:cs="Arial"/>
                <w:szCs w:val="24"/>
              </w:rPr>
              <w:t>in</w:t>
            </w:r>
            <w:r>
              <w:rPr>
                <w:rFonts w:cs="Arial"/>
                <w:szCs w:val="24"/>
              </w:rPr>
              <w:t xml:space="preserve"> Healthcare Improvement Scotland. </w:t>
            </w:r>
          </w:p>
          <w:p w14:paraId="6F43BADA" w14:textId="77777777" w:rsidR="00F7189F" w:rsidRDefault="00F7189F" w:rsidP="00232E73">
            <w:pPr>
              <w:contextualSpacing/>
              <w:rPr>
                <w:rFonts w:cs="Arial"/>
                <w:szCs w:val="24"/>
              </w:rPr>
            </w:pPr>
          </w:p>
          <w:p w14:paraId="19CBC114" w14:textId="7391206A" w:rsidR="00232E73" w:rsidRDefault="005B77BC" w:rsidP="00232E73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noted the Digital Improvement Plan and </w:t>
            </w:r>
            <w:r w:rsidR="00F7189F">
              <w:rPr>
                <w:rFonts w:cs="Arial"/>
                <w:szCs w:val="24"/>
              </w:rPr>
              <w:t>commended the work undertaken by</w:t>
            </w:r>
            <w:r>
              <w:rPr>
                <w:rFonts w:cs="Arial"/>
                <w:szCs w:val="24"/>
              </w:rPr>
              <w:t xml:space="preserve"> Stuart Graham and the </w:t>
            </w:r>
            <w:r w:rsidR="00F7189F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>Health team.</w:t>
            </w:r>
          </w:p>
          <w:p w14:paraId="38BACBD9" w14:textId="77777777" w:rsidR="00232E73" w:rsidRDefault="00232E73" w:rsidP="00232E73">
            <w:pPr>
              <w:contextualSpacing/>
              <w:rPr>
                <w:rFonts w:cs="Arial"/>
                <w:szCs w:val="24"/>
              </w:rPr>
            </w:pPr>
          </w:p>
          <w:p w14:paraId="712B046B" w14:textId="77777777" w:rsidR="005B77BC" w:rsidRDefault="005B77BC" w:rsidP="00232E73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CT Scanner Update.</w:t>
            </w:r>
          </w:p>
          <w:p w14:paraId="1A556CBE" w14:textId="77777777" w:rsidR="005B77BC" w:rsidRDefault="005B77BC" w:rsidP="00232E73">
            <w:pPr>
              <w:contextualSpacing/>
              <w:rPr>
                <w:rFonts w:cs="Arial"/>
                <w:szCs w:val="24"/>
              </w:rPr>
            </w:pPr>
          </w:p>
          <w:p w14:paraId="5A396FD7" w14:textId="14DCA4A1" w:rsidR="005B77BC" w:rsidRDefault="005B77BC" w:rsidP="00232E73">
            <w:pPr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F7189F">
              <w:rPr>
                <w:rFonts w:cs="Arial"/>
                <w:szCs w:val="24"/>
              </w:rPr>
              <w:t xml:space="preserve">received </w:t>
            </w:r>
            <w:r>
              <w:rPr>
                <w:rFonts w:cs="Arial"/>
                <w:szCs w:val="24"/>
              </w:rPr>
              <w:t xml:space="preserve">an update on the </w:t>
            </w:r>
            <w:r w:rsidR="00F7189F">
              <w:rPr>
                <w:rFonts w:cs="Arial"/>
                <w:szCs w:val="24"/>
              </w:rPr>
              <w:t>p</w:t>
            </w:r>
            <w:r>
              <w:rPr>
                <w:rFonts w:cs="Arial"/>
                <w:szCs w:val="24"/>
              </w:rPr>
              <w:t xml:space="preserve">roposed Diagnostic Centre which included </w:t>
            </w:r>
            <w:r w:rsidR="00F7189F">
              <w:rPr>
                <w:rFonts w:cs="Arial"/>
                <w:szCs w:val="24"/>
              </w:rPr>
              <w:t>p</w:t>
            </w:r>
            <w:r>
              <w:rPr>
                <w:rFonts w:cs="Arial"/>
                <w:szCs w:val="24"/>
              </w:rPr>
              <w:t xml:space="preserve">roject </w:t>
            </w:r>
            <w:r w:rsidR="00F7189F">
              <w:rPr>
                <w:rFonts w:cs="Arial"/>
                <w:szCs w:val="24"/>
              </w:rPr>
              <w:t>ma</w:t>
            </w:r>
            <w:r>
              <w:rPr>
                <w:rFonts w:cs="Arial"/>
                <w:szCs w:val="24"/>
              </w:rPr>
              <w:t>nagement arrangement</w:t>
            </w:r>
            <w:r w:rsidR="00F7189F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and the agreed </w:t>
            </w:r>
            <w:r w:rsidR="00F7189F">
              <w:rPr>
                <w:rFonts w:cs="Arial"/>
                <w:szCs w:val="24"/>
              </w:rPr>
              <w:t>go</w:t>
            </w:r>
            <w:r>
              <w:rPr>
                <w:rFonts w:cs="Arial"/>
                <w:szCs w:val="24"/>
              </w:rPr>
              <w:t xml:space="preserve">vernance </w:t>
            </w:r>
            <w:r w:rsidR="00F7189F">
              <w:rPr>
                <w:rFonts w:cs="Arial"/>
                <w:szCs w:val="24"/>
              </w:rPr>
              <w:t>pr</w:t>
            </w:r>
            <w:r>
              <w:rPr>
                <w:rFonts w:cs="Arial"/>
                <w:szCs w:val="24"/>
              </w:rPr>
              <w:t xml:space="preserve">ocedures. </w:t>
            </w:r>
            <w:r w:rsidR="00F7189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The Committee expressed concern over the proposed timeline</w:t>
            </w:r>
            <w:r w:rsidR="00F7189F">
              <w:rPr>
                <w:rFonts w:cs="Arial"/>
                <w:szCs w:val="24"/>
              </w:rPr>
              <w:t xml:space="preserve"> and</w:t>
            </w:r>
            <w:r>
              <w:rPr>
                <w:rFonts w:cs="Arial"/>
                <w:szCs w:val="24"/>
              </w:rPr>
              <w:t xml:space="preserve"> Gordon James </w:t>
            </w:r>
            <w:r w:rsidR="00F7189F">
              <w:rPr>
                <w:rFonts w:cs="Arial"/>
                <w:szCs w:val="24"/>
              </w:rPr>
              <w:t>advised</w:t>
            </w:r>
            <w:r>
              <w:rPr>
                <w:rFonts w:cs="Arial"/>
                <w:szCs w:val="24"/>
              </w:rPr>
              <w:t xml:space="preserve"> this had been expressed to Alan Morrison and the Policy Team within Scottish Government. </w:t>
            </w:r>
          </w:p>
          <w:p w14:paraId="68847B7F" w14:textId="77777777" w:rsidR="008856AC" w:rsidRPr="00232E73" w:rsidRDefault="008856AC" w:rsidP="005B77BC">
            <w:pPr>
              <w:contextualSpacing/>
              <w:rPr>
                <w:rFonts w:cs="Arial"/>
                <w:b/>
                <w:szCs w:val="24"/>
              </w:rPr>
            </w:pPr>
          </w:p>
        </w:tc>
      </w:tr>
      <w:tr w:rsidR="00162B64" w:rsidRPr="00973522" w14:paraId="73E5725E" w14:textId="77777777" w:rsidTr="00232E73">
        <w:tc>
          <w:tcPr>
            <w:tcW w:w="1446" w:type="dxa"/>
            <w:gridSpan w:val="2"/>
          </w:tcPr>
          <w:p w14:paraId="408F5C6A" w14:textId="77777777" w:rsidR="00AD6ABF" w:rsidRDefault="00162B64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Centre for Sustainable Delivery</w:t>
            </w:r>
            <w:r w:rsidR="00232E73">
              <w:rPr>
                <w:rFonts w:cs="Arial"/>
                <w:bCs/>
                <w:lang w:val="en-US"/>
              </w:rPr>
              <w:t xml:space="preserve"> </w:t>
            </w:r>
          </w:p>
          <w:p w14:paraId="61782C53" w14:textId="77777777" w:rsidR="00AD6ABF" w:rsidRDefault="00AD6ABF" w:rsidP="00C4455B">
            <w:pPr>
              <w:rPr>
                <w:rFonts w:cs="Arial"/>
                <w:bCs/>
                <w:lang w:val="en-US"/>
              </w:rPr>
            </w:pPr>
          </w:p>
          <w:p w14:paraId="57A6F9F8" w14:textId="540A6EE3" w:rsidR="00162B64" w:rsidRDefault="00232E73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NHS Scotland Academy</w:t>
            </w:r>
          </w:p>
        </w:tc>
        <w:tc>
          <w:tcPr>
            <w:tcW w:w="7734" w:type="dxa"/>
            <w:shd w:val="clear" w:color="auto" w:fill="auto"/>
          </w:tcPr>
          <w:p w14:paraId="3BD0915C" w14:textId="77777777" w:rsidR="00AA5BEB" w:rsidRDefault="00AA5BEB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heard updates from the Centre for Sustainable Delivery (CfSD) and NHS Scotland Academy. </w:t>
            </w:r>
          </w:p>
          <w:p w14:paraId="4B655056" w14:textId="77777777" w:rsidR="00AA5BEB" w:rsidRDefault="00AA5BEB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  <w:p w14:paraId="344B058C" w14:textId="77777777" w:rsidR="00AD6ABF" w:rsidRDefault="00AD6ABF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  <w:p w14:paraId="28A6F405" w14:textId="24B168BC" w:rsidR="00162B64" w:rsidRDefault="00AA5BEB" w:rsidP="000C4636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concerns from NHS Scotland Academy around annualised budgets and the associated impact on staff wellbeing and retention</w:t>
            </w:r>
            <w:r w:rsidR="000C4636">
              <w:rPr>
                <w:rFonts w:cs="Arial"/>
                <w:szCs w:val="24"/>
              </w:rPr>
              <w:t>. Gordon James confirmed this would be escalated with Scottish Government.</w:t>
            </w:r>
          </w:p>
          <w:p w14:paraId="08C7CBE3" w14:textId="77777777" w:rsidR="00AD6ABF" w:rsidRPr="000C4636" w:rsidRDefault="00AD6ABF" w:rsidP="000C4636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</w:tc>
      </w:tr>
    </w:tbl>
    <w:p w14:paraId="4461751D" w14:textId="77777777" w:rsidR="00156B76" w:rsidRDefault="00156B76" w:rsidP="00050D76"/>
    <w:p w14:paraId="69D6A1D7" w14:textId="77777777"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3055F8">
        <w:rPr>
          <w:rFonts w:cs="Arial"/>
        </w:rPr>
        <w:t>Strategic Portfolio Governance Committee</w:t>
      </w:r>
      <w:r w:rsidR="0061640C">
        <w:rPr>
          <w:rFonts w:hAnsi="Arial" w:cs="Arial"/>
          <w:lang w:val="en-US"/>
        </w:rPr>
        <w:t xml:space="preserve"> </w:t>
      </w:r>
      <w:r w:rsidR="00E7372F">
        <w:rPr>
          <w:rFonts w:hAnsi="Arial" w:cs="Arial"/>
          <w:lang w:val="en-US"/>
        </w:rPr>
        <w:t xml:space="preserve">meeting is scheduled for </w:t>
      </w:r>
      <w:r w:rsidR="003055F8">
        <w:rPr>
          <w:rFonts w:hAnsi="Arial" w:cs="Arial"/>
          <w:lang w:val="en-US"/>
        </w:rPr>
        <w:t>4 November</w:t>
      </w:r>
      <w:r w:rsidR="00262D6A">
        <w:rPr>
          <w:rFonts w:hAnsi="Arial" w:cs="Arial"/>
          <w:lang w:val="en-US"/>
        </w:rPr>
        <w:t xml:space="preserve"> </w:t>
      </w:r>
      <w:r w:rsidR="003055F8">
        <w:rPr>
          <w:rFonts w:hAnsi="Arial" w:cs="Arial"/>
          <w:lang w:val="en-US"/>
        </w:rPr>
        <w:t>2025</w:t>
      </w:r>
      <w:r w:rsidR="00793A83">
        <w:rPr>
          <w:rFonts w:hAnsi="Arial" w:cs="Arial"/>
          <w:lang w:val="en-US"/>
        </w:rPr>
        <w:t>.</w:t>
      </w:r>
    </w:p>
    <w:p w14:paraId="7054AD5E" w14:textId="77777777" w:rsidR="00AD6ABF" w:rsidRDefault="00AD6ABF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6A0B99CF" w14:textId="77777777"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5A1878D5" w14:textId="77777777"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77E06D06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77C383BA" w14:textId="77777777"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3055F8">
        <w:rPr>
          <w:rFonts w:cs="Arial"/>
        </w:rPr>
        <w:t>Strategic Portfolio Governance Committee</w:t>
      </w:r>
      <w:r w:rsidR="0061640C">
        <w:rPr>
          <w:rFonts w:cs="Arial"/>
        </w:rPr>
        <w:t xml:space="preserve"> Meeting </w:t>
      </w:r>
      <w:r w:rsidR="007E133D">
        <w:rPr>
          <w:rFonts w:cs="Arial"/>
        </w:rPr>
        <w:t>Update.</w:t>
      </w:r>
    </w:p>
    <w:p w14:paraId="22A15CD9" w14:textId="77777777" w:rsidR="005738FA" w:rsidRDefault="005738FA" w:rsidP="007E133D">
      <w:pPr>
        <w:ind w:right="183"/>
        <w:rPr>
          <w:rFonts w:cs="Arial"/>
        </w:rPr>
      </w:pPr>
    </w:p>
    <w:p w14:paraId="2373C86D" w14:textId="77777777" w:rsidR="003D757C" w:rsidRDefault="003D757C" w:rsidP="007E133D">
      <w:pPr>
        <w:ind w:right="183"/>
        <w:rPr>
          <w:rFonts w:cs="Arial"/>
        </w:rPr>
      </w:pPr>
    </w:p>
    <w:p w14:paraId="4133AF69" w14:textId="77777777" w:rsidR="00AD6ABF" w:rsidRDefault="00AD6ABF" w:rsidP="007E133D">
      <w:pPr>
        <w:ind w:right="183"/>
        <w:rPr>
          <w:rFonts w:cs="Arial"/>
        </w:rPr>
      </w:pPr>
    </w:p>
    <w:p w14:paraId="1C2CAC39" w14:textId="77777777" w:rsidR="00AD6ABF" w:rsidRDefault="00AD6ABF" w:rsidP="007E133D">
      <w:pPr>
        <w:ind w:right="183"/>
        <w:rPr>
          <w:rFonts w:cs="Arial"/>
        </w:rPr>
      </w:pPr>
    </w:p>
    <w:p w14:paraId="2BDCBE0A" w14:textId="77777777" w:rsidR="007E133D" w:rsidRDefault="000C4636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Linda Semple</w:t>
      </w:r>
    </w:p>
    <w:p w14:paraId="4E734133" w14:textId="77777777" w:rsidR="007E133D" w:rsidRPr="003055F8" w:rsidRDefault="000C4636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</w:t>
      </w:r>
      <w:r w:rsidR="007E133D" w:rsidRPr="003055F8">
        <w:rPr>
          <w:rFonts w:cs="Arial"/>
          <w:b/>
          <w:bCs/>
        </w:rPr>
        <w:t xml:space="preserve">– </w:t>
      </w:r>
      <w:r w:rsidR="003055F8" w:rsidRPr="003055F8">
        <w:rPr>
          <w:rFonts w:cs="Arial"/>
          <w:b/>
        </w:rPr>
        <w:t>Strategic Portfolio Governance Committee</w:t>
      </w:r>
    </w:p>
    <w:p w14:paraId="36992AE1" w14:textId="77777777" w:rsidR="007E133D" w:rsidRPr="005F1768" w:rsidRDefault="003055F8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May 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1AB2" w14:textId="77777777" w:rsidR="00F842BF" w:rsidRDefault="00F842BF">
      <w:r>
        <w:separator/>
      </w:r>
    </w:p>
  </w:endnote>
  <w:endnote w:type="continuationSeparator" w:id="0">
    <w:p w14:paraId="3ABECDA8" w14:textId="77777777" w:rsidR="00F842BF" w:rsidRDefault="00F8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6E051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4B887CF6" w14:textId="1984E568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BB410A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BB410A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49DD3" w14:textId="77777777" w:rsidR="00F842BF" w:rsidRDefault="00F842BF">
      <w:r>
        <w:separator/>
      </w:r>
    </w:p>
  </w:footnote>
  <w:footnote w:type="continuationSeparator" w:id="0">
    <w:p w14:paraId="0CA07467" w14:textId="77777777" w:rsidR="00F842BF" w:rsidRDefault="00F8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5015E" w14:textId="279C62E7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BB410A">
      <w:rPr>
        <w:rFonts w:cs="Arial"/>
        <w:b/>
        <w:color w:val="2E74B5" w:themeColor="accent1" w:themeShade="BF"/>
        <w:sz w:val="20"/>
      </w:rPr>
      <w:t>4.5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8"/>
  </w:num>
  <w:num w:numId="5">
    <w:abstractNumId w:val="13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3"/>
  </w:num>
  <w:num w:numId="22">
    <w:abstractNumId w:val="16"/>
  </w:num>
  <w:num w:numId="23">
    <w:abstractNumId w:val="2"/>
  </w:num>
  <w:num w:numId="24">
    <w:abstractNumId w:val="24"/>
  </w:num>
  <w:num w:numId="25">
    <w:abstractNumId w:val="15"/>
  </w:num>
  <w:num w:numId="26">
    <w:abstractNumId w:val="6"/>
  </w:num>
  <w:num w:numId="27">
    <w:abstractNumId w:val="19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4246B"/>
    <w:rsid w:val="00047714"/>
    <w:rsid w:val="00050D76"/>
    <w:rsid w:val="0006530B"/>
    <w:rsid w:val="00072A23"/>
    <w:rsid w:val="00075289"/>
    <w:rsid w:val="00090340"/>
    <w:rsid w:val="00091974"/>
    <w:rsid w:val="000945DB"/>
    <w:rsid w:val="000A2C62"/>
    <w:rsid w:val="000C1A96"/>
    <w:rsid w:val="000C4636"/>
    <w:rsid w:val="000F0454"/>
    <w:rsid w:val="000F44C6"/>
    <w:rsid w:val="000F7706"/>
    <w:rsid w:val="00100233"/>
    <w:rsid w:val="00111469"/>
    <w:rsid w:val="00112CC1"/>
    <w:rsid w:val="00115D50"/>
    <w:rsid w:val="00116EFD"/>
    <w:rsid w:val="00125A9E"/>
    <w:rsid w:val="00140DB3"/>
    <w:rsid w:val="00156B76"/>
    <w:rsid w:val="00162B64"/>
    <w:rsid w:val="00162FD2"/>
    <w:rsid w:val="0018377D"/>
    <w:rsid w:val="00192A22"/>
    <w:rsid w:val="001D250F"/>
    <w:rsid w:val="001E6915"/>
    <w:rsid w:val="001F1F8D"/>
    <w:rsid w:val="001F7C44"/>
    <w:rsid w:val="00217C9B"/>
    <w:rsid w:val="00221CC2"/>
    <w:rsid w:val="002236A4"/>
    <w:rsid w:val="00232E73"/>
    <w:rsid w:val="0023473B"/>
    <w:rsid w:val="00241E41"/>
    <w:rsid w:val="00244F6F"/>
    <w:rsid w:val="00245140"/>
    <w:rsid w:val="002459C1"/>
    <w:rsid w:val="00262D6A"/>
    <w:rsid w:val="002858CD"/>
    <w:rsid w:val="00287DCE"/>
    <w:rsid w:val="002A0B5F"/>
    <w:rsid w:val="002E28E4"/>
    <w:rsid w:val="0030362F"/>
    <w:rsid w:val="003055F8"/>
    <w:rsid w:val="0030733C"/>
    <w:rsid w:val="00311DF5"/>
    <w:rsid w:val="003175D5"/>
    <w:rsid w:val="0033790B"/>
    <w:rsid w:val="00340810"/>
    <w:rsid w:val="00346269"/>
    <w:rsid w:val="00346655"/>
    <w:rsid w:val="003635FA"/>
    <w:rsid w:val="00377F9B"/>
    <w:rsid w:val="00395844"/>
    <w:rsid w:val="003B54F5"/>
    <w:rsid w:val="003B7BD0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66281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40A1"/>
    <w:rsid w:val="00560C39"/>
    <w:rsid w:val="00563B5B"/>
    <w:rsid w:val="00566EE1"/>
    <w:rsid w:val="005738FA"/>
    <w:rsid w:val="00591C18"/>
    <w:rsid w:val="005A2E47"/>
    <w:rsid w:val="005B1021"/>
    <w:rsid w:val="005B31BE"/>
    <w:rsid w:val="005B5ED3"/>
    <w:rsid w:val="005B77BC"/>
    <w:rsid w:val="005C0495"/>
    <w:rsid w:val="005C3D64"/>
    <w:rsid w:val="005D7A85"/>
    <w:rsid w:val="005E6C98"/>
    <w:rsid w:val="005F1768"/>
    <w:rsid w:val="005F7CD2"/>
    <w:rsid w:val="00603CAF"/>
    <w:rsid w:val="00610728"/>
    <w:rsid w:val="0061640C"/>
    <w:rsid w:val="006173A9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1CA9"/>
    <w:rsid w:val="00732C86"/>
    <w:rsid w:val="007337CC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856AC"/>
    <w:rsid w:val="00891956"/>
    <w:rsid w:val="008A0019"/>
    <w:rsid w:val="008A527A"/>
    <w:rsid w:val="008C3814"/>
    <w:rsid w:val="008C7F7E"/>
    <w:rsid w:val="008E1DD5"/>
    <w:rsid w:val="00927C6C"/>
    <w:rsid w:val="00930CED"/>
    <w:rsid w:val="00931E82"/>
    <w:rsid w:val="00931E9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1FD2"/>
    <w:rsid w:val="00A128CD"/>
    <w:rsid w:val="00A13988"/>
    <w:rsid w:val="00A2680C"/>
    <w:rsid w:val="00A27D8F"/>
    <w:rsid w:val="00A41666"/>
    <w:rsid w:val="00A43514"/>
    <w:rsid w:val="00A43898"/>
    <w:rsid w:val="00A4610C"/>
    <w:rsid w:val="00A62B58"/>
    <w:rsid w:val="00A84C97"/>
    <w:rsid w:val="00A93BD8"/>
    <w:rsid w:val="00AA5BEB"/>
    <w:rsid w:val="00AA77F7"/>
    <w:rsid w:val="00AD6ABF"/>
    <w:rsid w:val="00AE522B"/>
    <w:rsid w:val="00AF0530"/>
    <w:rsid w:val="00AF2D41"/>
    <w:rsid w:val="00AF356A"/>
    <w:rsid w:val="00AF47A3"/>
    <w:rsid w:val="00B0075A"/>
    <w:rsid w:val="00B00FF3"/>
    <w:rsid w:val="00B178D4"/>
    <w:rsid w:val="00B20ED9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B410A"/>
    <w:rsid w:val="00BD508C"/>
    <w:rsid w:val="00BD5F51"/>
    <w:rsid w:val="00BE793D"/>
    <w:rsid w:val="00BF3AF0"/>
    <w:rsid w:val="00C1128C"/>
    <w:rsid w:val="00C133F3"/>
    <w:rsid w:val="00C33F1F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372DD"/>
    <w:rsid w:val="00D40B26"/>
    <w:rsid w:val="00D43DFF"/>
    <w:rsid w:val="00D61B91"/>
    <w:rsid w:val="00D65364"/>
    <w:rsid w:val="00D73876"/>
    <w:rsid w:val="00DB46A0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906A9"/>
    <w:rsid w:val="00E92930"/>
    <w:rsid w:val="00E979D1"/>
    <w:rsid w:val="00EB5480"/>
    <w:rsid w:val="00EC596E"/>
    <w:rsid w:val="00ED2CF9"/>
    <w:rsid w:val="00ED38F7"/>
    <w:rsid w:val="00EE2992"/>
    <w:rsid w:val="00EE712B"/>
    <w:rsid w:val="00EF604B"/>
    <w:rsid w:val="00F05FA1"/>
    <w:rsid w:val="00F109DE"/>
    <w:rsid w:val="00F3337D"/>
    <w:rsid w:val="00F360BE"/>
    <w:rsid w:val="00F42A7C"/>
    <w:rsid w:val="00F57E40"/>
    <w:rsid w:val="00F66B09"/>
    <w:rsid w:val="00F7189F"/>
    <w:rsid w:val="00F842BF"/>
    <w:rsid w:val="00F87828"/>
    <w:rsid w:val="00F90519"/>
    <w:rsid w:val="00F9163B"/>
    <w:rsid w:val="00F95D11"/>
    <w:rsid w:val="00FA1EBE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AC60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2024-09-10T08:46:00Z</cp:lastPrinted>
  <dcterms:created xsi:type="dcterms:W3CDTF">2025-05-21T12:45:00Z</dcterms:created>
  <dcterms:modified xsi:type="dcterms:W3CDTF">2025-05-21T13:00:00Z</dcterms:modified>
</cp:coreProperties>
</file>