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C33BDD">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288C2A4D">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Pr="00775051" w:rsidRDefault="00446219" w:rsidP="00C33BDD">
      <w:pPr>
        <w:pStyle w:val="Heading2"/>
        <w:rPr>
          <w:rStyle w:val="Heading3Char"/>
          <w:b/>
        </w:rPr>
      </w:pPr>
    </w:p>
    <w:p w14:paraId="6F41DA19" w14:textId="070882B5" w:rsidR="009807B4" w:rsidRPr="00775051" w:rsidRDefault="0023473B" w:rsidP="00C33BDD">
      <w:pPr>
        <w:pStyle w:val="Heading3"/>
        <w:spacing w:line="360" w:lineRule="auto"/>
        <w:ind w:left="4536" w:hanging="4536"/>
      </w:pPr>
      <w:r w:rsidRPr="00775051">
        <w:rPr>
          <w:rStyle w:val="Heading3Char"/>
          <w:b/>
        </w:rPr>
        <w:t>Meeting:</w:t>
      </w:r>
      <w:r w:rsidR="00B77902" w:rsidRPr="00775051">
        <w:rPr>
          <w:rStyle w:val="Heading3Char"/>
          <w:b/>
        </w:rPr>
        <w:tab/>
      </w:r>
      <w:r w:rsidR="00E30CF5">
        <w:rPr>
          <w:rStyle w:val="Heading3Char"/>
          <w:b/>
        </w:rPr>
        <w:t>NHS Golden Jubilee Board</w:t>
      </w:r>
    </w:p>
    <w:p w14:paraId="4C58DF73" w14:textId="0ABB8566" w:rsidR="00430C09" w:rsidRPr="00775051" w:rsidRDefault="00430C09" w:rsidP="00C33BDD">
      <w:pPr>
        <w:pStyle w:val="Heading3"/>
        <w:spacing w:line="360" w:lineRule="auto"/>
        <w:ind w:left="4536" w:hanging="4536"/>
      </w:pPr>
      <w:r w:rsidRPr="00775051">
        <w:rPr>
          <w:rStyle w:val="Heading3Char"/>
          <w:b/>
        </w:rPr>
        <w:t>Meeting dat</w:t>
      </w:r>
      <w:r w:rsidR="0023473B" w:rsidRPr="00775051">
        <w:rPr>
          <w:rStyle w:val="Heading3Char"/>
          <w:b/>
        </w:rPr>
        <w:t>e:</w:t>
      </w:r>
      <w:r w:rsidR="00B77902" w:rsidRPr="00775051">
        <w:rPr>
          <w:rStyle w:val="Heading3Char"/>
          <w:b/>
        </w:rPr>
        <w:tab/>
      </w:r>
      <w:r w:rsidR="00953EFB">
        <w:rPr>
          <w:rStyle w:val="Heading3Char"/>
          <w:b/>
        </w:rPr>
        <w:t>29</w:t>
      </w:r>
      <w:r w:rsidR="00CA4567" w:rsidRPr="00775051">
        <w:rPr>
          <w:rStyle w:val="Heading3Char"/>
          <w:b/>
        </w:rPr>
        <w:t xml:space="preserve"> May </w:t>
      </w:r>
      <w:r w:rsidR="00646F56">
        <w:rPr>
          <w:rStyle w:val="Heading3Char"/>
          <w:b/>
        </w:rPr>
        <w:t>2025</w:t>
      </w:r>
    </w:p>
    <w:p w14:paraId="08812E0D" w14:textId="635DF7B7" w:rsidR="00B77902" w:rsidRDefault="00430C09" w:rsidP="00C33BDD">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CA4567">
        <w:rPr>
          <w:rStyle w:val="Heading3Char"/>
          <w:b/>
        </w:rPr>
        <w:t>Year-end Activity Report</w:t>
      </w:r>
    </w:p>
    <w:p w14:paraId="5ED05215" w14:textId="772DE5FA" w:rsidR="0003098A" w:rsidRPr="00F3337D" w:rsidRDefault="0003098A" w:rsidP="0084479A">
      <w:pPr>
        <w:pStyle w:val="Heading3"/>
        <w:spacing w:before="0"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CA4567">
        <w:rPr>
          <w:rStyle w:val="Heading3Char"/>
          <w:b/>
        </w:rPr>
        <w:t>Carole Anderson, Director of Transformation, Strategy, Plan</w:t>
      </w:r>
      <w:bookmarkStart w:id="0" w:name="_GoBack"/>
      <w:bookmarkEnd w:id="0"/>
      <w:r w:rsidR="00CA4567">
        <w:rPr>
          <w:rStyle w:val="Heading3Char"/>
          <w:b/>
        </w:rPr>
        <w:t>ning and Performance</w:t>
      </w:r>
    </w:p>
    <w:p w14:paraId="78E9D3A8" w14:textId="19C39EDF" w:rsidR="00430C09" w:rsidRDefault="00430C09" w:rsidP="00C33BDD">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CA4567">
        <w:rPr>
          <w:rStyle w:val="Heading3Char"/>
          <w:b/>
        </w:rPr>
        <w:t>James Mackie, Head of Performance</w:t>
      </w:r>
    </w:p>
    <w:p w14:paraId="00B29DD1" w14:textId="67574505" w:rsidR="00CA4567" w:rsidRDefault="00CA4567" w:rsidP="00C33BDD">
      <w:pPr>
        <w:ind w:left="4536"/>
        <w:rPr>
          <w:rStyle w:val="Heading3Char"/>
        </w:rPr>
      </w:pPr>
      <w:r w:rsidRPr="00CA4567">
        <w:rPr>
          <w:rStyle w:val="Heading3Char"/>
        </w:rPr>
        <w:t>Carole Anderson, Director of Transformation, Strategy, Planning and Performance</w:t>
      </w:r>
    </w:p>
    <w:p w14:paraId="19FFB8D2" w14:textId="40B4E98B" w:rsidR="0045670C" w:rsidRPr="00CA4567" w:rsidRDefault="0045670C" w:rsidP="00C33BDD">
      <w:pPr>
        <w:ind w:left="4536"/>
        <w:rPr>
          <w:rFonts w:eastAsiaTheme="majorEastAsia"/>
        </w:rPr>
      </w:pPr>
      <w:r>
        <w:rPr>
          <w:rStyle w:val="Heading3Char"/>
        </w:rPr>
        <w:t>Zaid Tariq, Deputy Director of Quality, Performance, Planning and Programmes</w:t>
      </w:r>
    </w:p>
    <w:p w14:paraId="3D69C0AE" w14:textId="77777777" w:rsidR="00B77902" w:rsidRPr="00B77902" w:rsidRDefault="00B77902" w:rsidP="00C33BDD"/>
    <w:p w14:paraId="1D119560" w14:textId="77777777" w:rsidR="00430C09" w:rsidRDefault="00BF3AF0" w:rsidP="00C33BDD">
      <w:pPr>
        <w:pStyle w:val="Heading2"/>
        <w:spacing w:line="276" w:lineRule="auto"/>
      </w:pPr>
      <w:r>
        <w:t>1</w:t>
      </w:r>
      <w:r>
        <w:tab/>
      </w:r>
      <w:r w:rsidR="00430C09" w:rsidRPr="00F05C63">
        <w:t>Purpose</w:t>
      </w:r>
    </w:p>
    <w:p w14:paraId="74404FA1" w14:textId="77777777" w:rsidR="009807B4" w:rsidRDefault="009807B4" w:rsidP="00C33BDD">
      <w:pPr>
        <w:autoSpaceDE w:val="0"/>
        <w:autoSpaceDN w:val="0"/>
        <w:adjustRightInd w:val="0"/>
        <w:spacing w:before="40" w:after="40" w:line="276" w:lineRule="auto"/>
        <w:ind w:left="720"/>
        <w:rPr>
          <w:rFonts w:cs="Arial"/>
          <w:color w:val="000000"/>
          <w:szCs w:val="24"/>
          <w:lang w:eastAsia="en-GB"/>
        </w:rPr>
      </w:pPr>
    </w:p>
    <w:p w14:paraId="623BC4C7" w14:textId="7534581F" w:rsidR="009807B4" w:rsidRPr="00775051" w:rsidRDefault="00430C09" w:rsidP="00C33BDD">
      <w:pPr>
        <w:pStyle w:val="Heading3"/>
        <w:spacing w:line="276" w:lineRule="auto"/>
        <w:ind w:left="720"/>
        <w:rPr>
          <w:lang w:eastAsia="en-GB"/>
        </w:rPr>
      </w:pPr>
      <w:r w:rsidRPr="00775051">
        <w:rPr>
          <w:lang w:eastAsia="en-GB"/>
        </w:rPr>
        <w:t>This</w:t>
      </w:r>
      <w:r w:rsidR="00446219" w:rsidRPr="00775051">
        <w:rPr>
          <w:lang w:eastAsia="en-GB"/>
        </w:rPr>
        <w:t xml:space="preserve"> is presented to </w:t>
      </w:r>
      <w:r w:rsidR="00E30CF5">
        <w:rPr>
          <w:lang w:eastAsia="en-GB"/>
        </w:rPr>
        <w:t>NHS GJ Board</w:t>
      </w:r>
      <w:r w:rsidR="00446219" w:rsidRPr="00775051">
        <w:rPr>
          <w:lang w:eastAsia="en-GB"/>
        </w:rPr>
        <w:t xml:space="preserve"> for: </w:t>
      </w:r>
    </w:p>
    <w:p w14:paraId="354B4DB5" w14:textId="77777777" w:rsidR="00430C09" w:rsidRPr="00775051" w:rsidRDefault="009807B4" w:rsidP="00C33BDD">
      <w:pPr>
        <w:pStyle w:val="Heading3"/>
        <w:numPr>
          <w:ilvl w:val="0"/>
          <w:numId w:val="9"/>
        </w:numPr>
        <w:spacing w:line="276" w:lineRule="auto"/>
        <w:ind w:left="1080"/>
        <w:rPr>
          <w:b w:val="0"/>
          <w:lang w:eastAsia="en-GB"/>
        </w:rPr>
      </w:pPr>
      <w:r w:rsidRPr="00775051">
        <w:rPr>
          <w:b w:val="0"/>
          <w:lang w:eastAsia="en-GB"/>
        </w:rPr>
        <w:t>Discussion</w:t>
      </w:r>
    </w:p>
    <w:p w14:paraId="24F0EEC6" w14:textId="77777777" w:rsidR="00430C09" w:rsidRPr="00775051" w:rsidRDefault="00430C09" w:rsidP="00C33BDD">
      <w:pPr>
        <w:autoSpaceDE w:val="0"/>
        <w:autoSpaceDN w:val="0"/>
        <w:adjustRightInd w:val="0"/>
        <w:spacing w:before="40" w:after="40" w:line="276" w:lineRule="auto"/>
        <w:ind w:left="720"/>
        <w:rPr>
          <w:rFonts w:cs="Arial"/>
          <w:color w:val="000000"/>
          <w:szCs w:val="24"/>
          <w:lang w:eastAsia="en-GB"/>
        </w:rPr>
      </w:pPr>
    </w:p>
    <w:p w14:paraId="4A04E97C" w14:textId="77777777" w:rsidR="00430C09" w:rsidRPr="00775051" w:rsidRDefault="00430C09" w:rsidP="00C33BDD">
      <w:pPr>
        <w:pStyle w:val="Heading3"/>
        <w:ind w:left="720"/>
        <w:rPr>
          <w:lang w:eastAsia="en-GB"/>
        </w:rPr>
      </w:pPr>
      <w:r w:rsidRPr="00775051">
        <w:rPr>
          <w:lang w:eastAsia="en-GB"/>
        </w:rPr>
        <w:t>This report relates to</w:t>
      </w:r>
      <w:r w:rsidR="00AA77F7" w:rsidRPr="00775051">
        <w:rPr>
          <w:lang w:eastAsia="en-GB"/>
        </w:rPr>
        <w:t xml:space="preserve"> a</w:t>
      </w:r>
      <w:r w:rsidRPr="00775051">
        <w:rPr>
          <w:lang w:eastAsia="en-GB"/>
        </w:rPr>
        <w:t>:</w:t>
      </w:r>
    </w:p>
    <w:p w14:paraId="397E25CB" w14:textId="77777777" w:rsidR="009807B4" w:rsidRPr="00775051" w:rsidRDefault="009807B4" w:rsidP="00C33BD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775051">
        <w:rPr>
          <w:rFonts w:ascii="Arial" w:hAnsi="Arial" w:cs="Arial"/>
          <w:color w:val="000000"/>
          <w:sz w:val="24"/>
          <w:szCs w:val="24"/>
        </w:rPr>
        <w:t>Annual Operation Plan</w:t>
      </w:r>
    </w:p>
    <w:p w14:paraId="6C7188CB" w14:textId="2CB2C99A" w:rsidR="009807B4" w:rsidRPr="00775051" w:rsidRDefault="009807B4" w:rsidP="00C33BDD">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775051">
        <w:rPr>
          <w:rFonts w:ascii="Arial" w:hAnsi="Arial" w:cs="Arial"/>
          <w:color w:val="000000"/>
          <w:sz w:val="24"/>
          <w:szCs w:val="24"/>
        </w:rPr>
        <w:t xml:space="preserve">NHS </w:t>
      </w:r>
      <w:r w:rsidR="00CA4567" w:rsidRPr="00775051">
        <w:rPr>
          <w:rFonts w:ascii="Arial" w:hAnsi="Arial" w:cs="Arial"/>
          <w:color w:val="000000"/>
          <w:sz w:val="24"/>
          <w:szCs w:val="24"/>
        </w:rPr>
        <w:t>GJ Board</w:t>
      </w:r>
      <w:r w:rsidRPr="00775051">
        <w:rPr>
          <w:rFonts w:ascii="Arial" w:hAnsi="Arial" w:cs="Arial"/>
          <w:color w:val="000000"/>
          <w:sz w:val="24"/>
          <w:szCs w:val="24"/>
        </w:rPr>
        <w:t xml:space="preserve"> Strategy</w:t>
      </w:r>
      <w:r w:rsidR="003F7F61" w:rsidRPr="00775051">
        <w:rPr>
          <w:rFonts w:ascii="Arial" w:hAnsi="Arial" w:cs="Arial"/>
          <w:color w:val="000000"/>
          <w:sz w:val="24"/>
          <w:szCs w:val="24"/>
        </w:rPr>
        <w:t xml:space="preserve"> </w:t>
      </w:r>
    </w:p>
    <w:p w14:paraId="5A99CE54" w14:textId="77777777" w:rsidR="00430C09" w:rsidRPr="00775051" w:rsidRDefault="00430C09" w:rsidP="00C33BDD">
      <w:pPr>
        <w:autoSpaceDE w:val="0"/>
        <w:autoSpaceDN w:val="0"/>
        <w:adjustRightInd w:val="0"/>
        <w:spacing w:before="40" w:after="40" w:line="276" w:lineRule="auto"/>
        <w:ind w:left="720"/>
        <w:rPr>
          <w:rFonts w:cs="Arial"/>
          <w:color w:val="000000"/>
          <w:szCs w:val="24"/>
          <w:lang w:eastAsia="en-GB"/>
        </w:rPr>
      </w:pPr>
    </w:p>
    <w:p w14:paraId="598D4CA6" w14:textId="5C01B898" w:rsidR="00430C09" w:rsidRPr="00775051" w:rsidRDefault="00430C09" w:rsidP="00C33BDD">
      <w:pPr>
        <w:pStyle w:val="Heading3"/>
        <w:ind w:left="720"/>
        <w:rPr>
          <w:lang w:eastAsia="en-GB"/>
        </w:rPr>
      </w:pPr>
      <w:r w:rsidRPr="00775051">
        <w:rPr>
          <w:lang w:eastAsia="en-GB"/>
        </w:rPr>
        <w:t>This aligns to the following</w:t>
      </w:r>
      <w:r w:rsidR="00047714" w:rsidRPr="00775051">
        <w:rPr>
          <w:lang w:eastAsia="en-GB"/>
        </w:rPr>
        <w:t xml:space="preserve"> NHS</w:t>
      </w:r>
      <w:r w:rsidR="00646F56">
        <w:rPr>
          <w:lang w:eastAsia="en-GB"/>
        </w:rPr>
        <w:t xml:space="preserve"> </w:t>
      </w:r>
      <w:r w:rsidR="00047714" w:rsidRPr="00775051">
        <w:rPr>
          <w:lang w:eastAsia="en-GB"/>
        </w:rPr>
        <w:t>Scotland</w:t>
      </w:r>
      <w:r w:rsidRPr="00775051">
        <w:rPr>
          <w:lang w:eastAsia="en-GB"/>
        </w:rPr>
        <w:t xml:space="preserve"> quality </w:t>
      </w:r>
      <w:r w:rsidR="009807B4" w:rsidRPr="00775051">
        <w:rPr>
          <w:lang w:eastAsia="en-GB"/>
        </w:rPr>
        <w:t>ambition(s)</w:t>
      </w:r>
      <w:r w:rsidRPr="00775051">
        <w:rPr>
          <w:lang w:eastAsia="en-GB"/>
        </w:rPr>
        <w:t>:</w:t>
      </w:r>
    </w:p>
    <w:p w14:paraId="1CC257DF" w14:textId="77777777" w:rsidR="003F7F61" w:rsidRPr="00775051" w:rsidRDefault="003F7F61" w:rsidP="00C33BD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75051">
        <w:rPr>
          <w:rFonts w:ascii="Arial" w:hAnsi="Arial" w:cs="Arial"/>
          <w:color w:val="000000"/>
          <w:sz w:val="24"/>
          <w:szCs w:val="24"/>
        </w:rPr>
        <w:t>Safe</w:t>
      </w:r>
    </w:p>
    <w:p w14:paraId="66B1B823" w14:textId="77777777" w:rsidR="009807B4" w:rsidRPr="00775051" w:rsidRDefault="009807B4" w:rsidP="00C33BD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75051">
        <w:rPr>
          <w:rFonts w:ascii="Arial" w:hAnsi="Arial" w:cs="Arial"/>
          <w:color w:val="000000"/>
          <w:sz w:val="24"/>
          <w:szCs w:val="24"/>
        </w:rPr>
        <w:t>Effective</w:t>
      </w:r>
    </w:p>
    <w:p w14:paraId="4AF20469" w14:textId="362327B5" w:rsidR="009807B4" w:rsidRPr="00775051" w:rsidRDefault="009807B4" w:rsidP="00C33BDD">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75051">
        <w:rPr>
          <w:rFonts w:ascii="Arial" w:hAnsi="Arial" w:cs="Arial"/>
          <w:color w:val="000000"/>
          <w:sz w:val="24"/>
          <w:szCs w:val="24"/>
        </w:rPr>
        <w:t>Person Centred</w:t>
      </w:r>
    </w:p>
    <w:p w14:paraId="7DB70AAA" w14:textId="2AF7D19E" w:rsidR="00B546C8" w:rsidRDefault="00B546C8" w:rsidP="00C33BDD">
      <w:pPr>
        <w:autoSpaceDE w:val="0"/>
        <w:autoSpaceDN w:val="0"/>
        <w:adjustRightInd w:val="0"/>
        <w:spacing w:before="40" w:after="40" w:line="276" w:lineRule="auto"/>
        <w:ind w:left="720"/>
        <w:rPr>
          <w:rFonts w:cs="Arial"/>
          <w:color w:val="000000"/>
          <w:szCs w:val="24"/>
          <w:highlight w:val="lightGray"/>
        </w:rPr>
      </w:pPr>
    </w:p>
    <w:p w14:paraId="00315213" w14:textId="65ADABC1" w:rsidR="00B546C8" w:rsidRPr="00B546C8" w:rsidRDefault="00B546C8" w:rsidP="00C33BDD">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tbl>
      <w:tblPr>
        <w:tblStyle w:val="TableGrid"/>
        <w:tblW w:w="5000" w:type="pct"/>
        <w:tblInd w:w="0" w:type="dxa"/>
        <w:tblLook w:val="04A0" w:firstRow="1" w:lastRow="0" w:firstColumn="1" w:lastColumn="0" w:noHBand="0" w:noVBand="1"/>
      </w:tblPr>
      <w:tblGrid>
        <w:gridCol w:w="3115"/>
        <w:gridCol w:w="6939"/>
      </w:tblGrid>
      <w:tr w:rsidR="00CA4567" w14:paraId="50A7C4C6" w14:textId="77777777" w:rsidTr="00CA4567">
        <w:tc>
          <w:tcPr>
            <w:tcW w:w="1549" w:type="pct"/>
            <w:tcBorders>
              <w:top w:val="single" w:sz="4" w:space="0" w:color="auto"/>
              <w:left w:val="single" w:sz="4" w:space="0" w:color="auto"/>
              <w:bottom w:val="single" w:sz="4" w:space="0" w:color="auto"/>
              <w:right w:val="single" w:sz="4" w:space="0" w:color="auto"/>
            </w:tcBorders>
            <w:hideMark/>
          </w:tcPr>
          <w:p w14:paraId="38D5121C" w14:textId="77777777" w:rsidR="00CA4567" w:rsidRDefault="00CA4567" w:rsidP="00C33BDD">
            <w:pPr>
              <w:rPr>
                <w:rFonts w:cs="Arial"/>
                <w:szCs w:val="24"/>
              </w:rPr>
            </w:pPr>
            <w:r>
              <w:rPr>
                <w:rFonts w:cs="Arial"/>
                <w:szCs w:val="24"/>
              </w:rPr>
              <w:t>Leadership, Strategy &amp; Risk</w:t>
            </w:r>
          </w:p>
        </w:tc>
        <w:tc>
          <w:tcPr>
            <w:tcW w:w="3451" w:type="pct"/>
            <w:tcBorders>
              <w:top w:val="single" w:sz="4" w:space="0" w:color="auto"/>
              <w:left w:val="single" w:sz="4" w:space="0" w:color="auto"/>
              <w:bottom w:val="single" w:sz="4" w:space="0" w:color="auto"/>
              <w:right w:val="single" w:sz="4" w:space="0" w:color="auto"/>
            </w:tcBorders>
            <w:hideMark/>
          </w:tcPr>
          <w:p w14:paraId="6124824E" w14:textId="77777777" w:rsidR="00CA4567" w:rsidRDefault="00CA4567" w:rsidP="00C33BDD">
            <w:pPr>
              <w:rPr>
                <w:rFonts w:cs="Arial"/>
              </w:rPr>
            </w:pPr>
            <w:r>
              <w:rPr>
                <w:rFonts w:cs="Arial"/>
              </w:rPr>
              <w:t>Effective Executive Leadership and Corporate Governance for a High Performing Organisation.</w:t>
            </w:r>
          </w:p>
        </w:tc>
      </w:tr>
      <w:tr w:rsidR="00CA4567" w14:paraId="02604D64" w14:textId="77777777" w:rsidTr="00CA4567">
        <w:tc>
          <w:tcPr>
            <w:tcW w:w="1549" w:type="pct"/>
            <w:tcBorders>
              <w:top w:val="single" w:sz="4" w:space="0" w:color="auto"/>
              <w:left w:val="single" w:sz="4" w:space="0" w:color="auto"/>
              <w:bottom w:val="single" w:sz="4" w:space="0" w:color="auto"/>
              <w:right w:val="single" w:sz="4" w:space="0" w:color="auto"/>
            </w:tcBorders>
          </w:tcPr>
          <w:p w14:paraId="4F34C2FC" w14:textId="77777777" w:rsidR="00CA4567" w:rsidRDefault="00CA4567" w:rsidP="00C33BDD">
            <w:pPr>
              <w:rPr>
                <w:rFonts w:cs="Arial"/>
                <w:szCs w:val="24"/>
              </w:rPr>
            </w:pPr>
            <w:r>
              <w:rPr>
                <w:rFonts w:cs="Arial"/>
                <w:szCs w:val="24"/>
              </w:rPr>
              <w:t>High Performing Organisation</w:t>
            </w:r>
          </w:p>
          <w:p w14:paraId="36291C55" w14:textId="77777777" w:rsidR="00CA4567" w:rsidRDefault="00CA4567" w:rsidP="00C33BDD">
            <w:pPr>
              <w:rPr>
                <w:rFonts w:cs="Arial"/>
                <w:szCs w:val="24"/>
              </w:rPr>
            </w:pPr>
          </w:p>
        </w:tc>
        <w:tc>
          <w:tcPr>
            <w:tcW w:w="3451" w:type="pct"/>
            <w:tcBorders>
              <w:top w:val="single" w:sz="4" w:space="0" w:color="auto"/>
              <w:left w:val="single" w:sz="4" w:space="0" w:color="auto"/>
              <w:bottom w:val="single" w:sz="4" w:space="0" w:color="auto"/>
              <w:right w:val="single" w:sz="4" w:space="0" w:color="auto"/>
            </w:tcBorders>
            <w:hideMark/>
          </w:tcPr>
          <w:p w14:paraId="6230BA19" w14:textId="77777777" w:rsidR="00CA4567" w:rsidRDefault="00CA4567" w:rsidP="00C33BDD">
            <w:pPr>
              <w:rPr>
                <w:rFonts w:cs="Arial"/>
              </w:rPr>
            </w:pPr>
            <w:r>
              <w:rPr>
                <w:rFonts w:cs="Arial"/>
              </w:rPr>
              <w:t>High Performing Organisation – Establishing the conditions for success to enable excellent outcomes and experience for patients and staff.</w:t>
            </w:r>
          </w:p>
        </w:tc>
      </w:tr>
      <w:tr w:rsidR="00CA4567" w14:paraId="72C6D87B" w14:textId="77777777" w:rsidTr="00CA4567">
        <w:tc>
          <w:tcPr>
            <w:tcW w:w="1549" w:type="pct"/>
            <w:tcBorders>
              <w:top w:val="single" w:sz="4" w:space="0" w:color="auto"/>
              <w:left w:val="single" w:sz="4" w:space="0" w:color="auto"/>
              <w:bottom w:val="single" w:sz="4" w:space="0" w:color="auto"/>
              <w:right w:val="single" w:sz="4" w:space="0" w:color="auto"/>
            </w:tcBorders>
            <w:hideMark/>
          </w:tcPr>
          <w:p w14:paraId="2211C37B" w14:textId="77777777" w:rsidR="00CA4567" w:rsidRDefault="00CA4567" w:rsidP="00C33BDD">
            <w:pPr>
              <w:rPr>
                <w:rFonts w:cs="Arial"/>
                <w:szCs w:val="24"/>
              </w:rPr>
            </w:pPr>
            <w:r>
              <w:rPr>
                <w:rFonts w:cs="Arial"/>
                <w:szCs w:val="24"/>
              </w:rPr>
              <w:t>Facilities Expansion &amp; Use</w:t>
            </w:r>
          </w:p>
        </w:tc>
        <w:tc>
          <w:tcPr>
            <w:tcW w:w="3451" w:type="pct"/>
            <w:tcBorders>
              <w:top w:val="single" w:sz="4" w:space="0" w:color="auto"/>
              <w:left w:val="single" w:sz="4" w:space="0" w:color="auto"/>
              <w:bottom w:val="single" w:sz="4" w:space="0" w:color="auto"/>
              <w:right w:val="single" w:sz="4" w:space="0" w:color="auto"/>
            </w:tcBorders>
            <w:hideMark/>
          </w:tcPr>
          <w:p w14:paraId="1E8516C2" w14:textId="77777777" w:rsidR="00CA4567" w:rsidRDefault="00CA4567" w:rsidP="00C33BDD">
            <w:pPr>
              <w:rPr>
                <w:rFonts w:cs="Arial"/>
              </w:rPr>
            </w:pPr>
            <w:r>
              <w:rPr>
                <w:rFonts w:cs="Arial"/>
              </w:rPr>
              <w:t>Expansion, development and optimal utilisation of facilities including Phase 2 Expansion and effective utilisation of all NHS Golden Jubilee facilities.</w:t>
            </w:r>
          </w:p>
        </w:tc>
      </w:tr>
    </w:tbl>
    <w:p w14:paraId="52A2F8E2" w14:textId="77777777" w:rsidR="00B546C8" w:rsidRPr="00B546C8" w:rsidRDefault="00B546C8" w:rsidP="00C33BDD">
      <w:pPr>
        <w:autoSpaceDE w:val="0"/>
        <w:autoSpaceDN w:val="0"/>
        <w:adjustRightInd w:val="0"/>
        <w:spacing w:before="40" w:after="40" w:line="276" w:lineRule="auto"/>
        <w:ind w:left="720"/>
        <w:rPr>
          <w:rFonts w:cs="Arial"/>
          <w:color w:val="000000"/>
          <w:szCs w:val="24"/>
          <w:highlight w:val="lightGray"/>
        </w:rPr>
      </w:pPr>
    </w:p>
    <w:p w14:paraId="41A006FD" w14:textId="77777777" w:rsidR="00430C09" w:rsidRDefault="00430C09" w:rsidP="00C33BDD">
      <w:pPr>
        <w:spacing w:line="276" w:lineRule="auto"/>
      </w:pPr>
    </w:p>
    <w:p w14:paraId="3338DF65" w14:textId="77777777" w:rsidR="00430C09" w:rsidRDefault="00C94BF7" w:rsidP="00C33BDD">
      <w:pPr>
        <w:pStyle w:val="Heading2"/>
        <w:spacing w:line="276" w:lineRule="auto"/>
      </w:pPr>
      <w:r>
        <w:lastRenderedPageBreak/>
        <w:t>2</w:t>
      </w:r>
      <w:r w:rsidR="00BF3AF0">
        <w:tab/>
      </w:r>
      <w:r w:rsidR="00430C09">
        <w:t>Report summary</w:t>
      </w:r>
      <w:r w:rsidR="00430C09">
        <w:tab/>
      </w:r>
    </w:p>
    <w:p w14:paraId="27DEE41C" w14:textId="77777777" w:rsidR="0003098A" w:rsidRDefault="0003098A" w:rsidP="00C33BDD">
      <w:pPr>
        <w:pStyle w:val="Heading3"/>
        <w:spacing w:line="276" w:lineRule="auto"/>
      </w:pPr>
    </w:p>
    <w:p w14:paraId="2CE1C56A" w14:textId="77777777" w:rsidR="00430C09" w:rsidRDefault="00C94BF7" w:rsidP="00C33BDD">
      <w:pPr>
        <w:pStyle w:val="Heading2"/>
      </w:pPr>
      <w:r>
        <w:t>2</w:t>
      </w:r>
      <w:r w:rsidR="00BF3AF0">
        <w:t>.1</w:t>
      </w:r>
      <w:r w:rsidR="00BF3AF0">
        <w:tab/>
      </w:r>
      <w:r w:rsidR="00430C09" w:rsidRPr="00DA354A">
        <w:t>Situation</w:t>
      </w:r>
    </w:p>
    <w:p w14:paraId="3BF19EAC" w14:textId="77777777" w:rsidR="00CA4567" w:rsidRDefault="00CA4567" w:rsidP="00C33BDD">
      <w:pPr>
        <w:spacing w:before="40" w:after="40" w:line="276" w:lineRule="auto"/>
        <w:ind w:left="686" w:firstLine="34"/>
        <w:rPr>
          <w:rFonts w:cs="Arial"/>
          <w:color w:val="000000"/>
          <w:szCs w:val="24"/>
        </w:rPr>
      </w:pPr>
    </w:p>
    <w:p w14:paraId="1B27CF0C" w14:textId="6FD7B02D" w:rsidR="00430C09" w:rsidRDefault="0045670C" w:rsidP="00C33BDD">
      <w:pPr>
        <w:spacing w:before="40" w:after="40" w:line="276" w:lineRule="auto"/>
        <w:rPr>
          <w:rFonts w:cs="Arial"/>
          <w:color w:val="000000"/>
          <w:szCs w:val="24"/>
        </w:rPr>
      </w:pPr>
      <w:r>
        <w:rPr>
          <w:rFonts w:cs="Arial"/>
          <w:color w:val="000000"/>
          <w:szCs w:val="24"/>
        </w:rPr>
        <w:t>This year-end activity report outlines NHS Golden Jubilee’s (GJ) performance against the planned levels of patient activity set out in the Annual Delivery Plan (ADP) for 2024-25.  The Finance and Performance Committee is invited to discuss performance in relation to the agreed targets</w:t>
      </w:r>
      <w:r w:rsidR="009256FD">
        <w:rPr>
          <w:rFonts w:cs="Arial"/>
          <w:color w:val="000000"/>
          <w:szCs w:val="24"/>
        </w:rPr>
        <w:t>.</w:t>
      </w:r>
    </w:p>
    <w:p w14:paraId="2DB6C08D" w14:textId="77777777" w:rsidR="0054121D" w:rsidRDefault="0054121D" w:rsidP="00C33BDD">
      <w:pPr>
        <w:spacing w:before="40" w:after="40" w:line="276" w:lineRule="auto"/>
        <w:rPr>
          <w:rFonts w:cs="Arial"/>
          <w:color w:val="000000"/>
          <w:szCs w:val="24"/>
        </w:rPr>
      </w:pPr>
    </w:p>
    <w:p w14:paraId="613EBBD3" w14:textId="77777777" w:rsidR="00430C09" w:rsidRDefault="00C87B62" w:rsidP="00C33BDD">
      <w:pPr>
        <w:pStyle w:val="Heading2"/>
        <w:ind w:left="686" w:hanging="686"/>
      </w:pPr>
      <w:r>
        <w:t>2</w:t>
      </w:r>
      <w:r w:rsidR="00BF3AF0">
        <w:t>.2</w:t>
      </w:r>
      <w:r w:rsidR="00BF3AF0">
        <w:tab/>
      </w:r>
      <w:r w:rsidR="00430C09">
        <w:t>Background</w:t>
      </w:r>
    </w:p>
    <w:p w14:paraId="1F0098BC" w14:textId="77777777" w:rsidR="00E21EBC" w:rsidRDefault="00CA4567" w:rsidP="00C33BDD">
      <w:pPr>
        <w:spacing w:before="40" w:after="40" w:line="276" w:lineRule="auto"/>
        <w:rPr>
          <w:rFonts w:cs="Arial"/>
          <w:color w:val="000000"/>
          <w:szCs w:val="24"/>
        </w:rPr>
      </w:pPr>
      <w:r>
        <w:rPr>
          <w:rFonts w:cs="Arial"/>
          <w:color w:val="000000"/>
          <w:szCs w:val="24"/>
        </w:rPr>
        <w:tab/>
      </w:r>
    </w:p>
    <w:p w14:paraId="59425622" w14:textId="77777777" w:rsidR="0045670C" w:rsidRPr="0045670C" w:rsidRDefault="0045670C" w:rsidP="00C33BDD">
      <w:pPr>
        <w:spacing w:before="40" w:after="40" w:line="276" w:lineRule="auto"/>
        <w:rPr>
          <w:rFonts w:cs="Arial"/>
          <w:color w:val="000000"/>
          <w:szCs w:val="24"/>
        </w:rPr>
      </w:pPr>
      <w:r w:rsidRPr="0045670C">
        <w:rPr>
          <w:rFonts w:cs="Arial"/>
          <w:color w:val="000000"/>
          <w:szCs w:val="24"/>
        </w:rPr>
        <w:t xml:space="preserve">The NHS GJ activity plan, submitted as part of the ADP to the Scottish Government, covered in-patient, day case and diagnostic procedures, including those delivered through service level agreements (SLAs) in Radiology (CT, MRI, Ultrasound, </w:t>
      </w:r>
      <w:proofErr w:type="spellStart"/>
      <w:r w:rsidRPr="0045670C">
        <w:rPr>
          <w:rFonts w:cs="Arial"/>
          <w:color w:val="000000"/>
          <w:szCs w:val="24"/>
        </w:rPr>
        <w:t>Dexa</w:t>
      </w:r>
      <w:proofErr w:type="spellEnd"/>
      <w:r w:rsidRPr="0045670C">
        <w:rPr>
          <w:rFonts w:cs="Arial"/>
          <w:color w:val="000000"/>
          <w:szCs w:val="24"/>
        </w:rPr>
        <w:t>). Additional activities funded through the £30 million Planned Care investment were also included, covering Cardiology (TAVI, Electrophysiology [EP], Coronary) and Diagnostics (Cardiac CT, Cardiac MRI, Ultrasound).</w:t>
      </w:r>
    </w:p>
    <w:p w14:paraId="60EF40E6" w14:textId="0DCE3EBF" w:rsidR="0045670C" w:rsidRPr="0045670C" w:rsidRDefault="0045670C" w:rsidP="00C33BDD">
      <w:pPr>
        <w:spacing w:before="40" w:after="40" w:line="276" w:lineRule="auto"/>
        <w:rPr>
          <w:rFonts w:cs="Arial"/>
          <w:color w:val="000000"/>
          <w:szCs w:val="24"/>
        </w:rPr>
      </w:pPr>
      <w:r w:rsidRPr="0045670C">
        <w:rPr>
          <w:rFonts w:cs="Arial"/>
          <w:color w:val="000000"/>
          <w:szCs w:val="24"/>
        </w:rPr>
        <w:t>Further</w:t>
      </w:r>
      <w:r w:rsidR="00D64E4D">
        <w:rPr>
          <w:rFonts w:cs="Arial"/>
          <w:color w:val="000000"/>
          <w:szCs w:val="24"/>
        </w:rPr>
        <w:t xml:space="preserve"> planned care/ cancer wait times</w:t>
      </w:r>
      <w:r w:rsidRPr="0045670C">
        <w:rPr>
          <w:rFonts w:cs="Arial"/>
          <w:color w:val="000000"/>
          <w:szCs w:val="24"/>
        </w:rPr>
        <w:t xml:space="preserve"> trajectories were submitted for:</w:t>
      </w:r>
    </w:p>
    <w:p w14:paraId="55999CA2" w14:textId="77777777" w:rsidR="0045670C" w:rsidRPr="0045670C" w:rsidRDefault="0045670C" w:rsidP="00C33BDD">
      <w:pPr>
        <w:numPr>
          <w:ilvl w:val="0"/>
          <w:numId w:val="18"/>
        </w:numPr>
        <w:spacing w:before="40" w:after="40" w:line="276" w:lineRule="auto"/>
        <w:rPr>
          <w:rFonts w:cs="Arial"/>
          <w:color w:val="000000"/>
          <w:szCs w:val="24"/>
        </w:rPr>
      </w:pPr>
      <w:r w:rsidRPr="0045670C">
        <w:rPr>
          <w:rFonts w:cs="Arial"/>
          <w:color w:val="000000"/>
          <w:szCs w:val="24"/>
        </w:rPr>
        <w:t>Orthopaedics: percentage of 4 Joint lists</w:t>
      </w:r>
    </w:p>
    <w:p w14:paraId="011ACDF8" w14:textId="77777777" w:rsidR="0045670C" w:rsidRPr="0045670C" w:rsidRDefault="0045670C" w:rsidP="00C33BDD">
      <w:pPr>
        <w:numPr>
          <w:ilvl w:val="0"/>
          <w:numId w:val="18"/>
        </w:numPr>
        <w:spacing w:before="40" w:after="40" w:line="276" w:lineRule="auto"/>
        <w:rPr>
          <w:rFonts w:cs="Arial"/>
          <w:color w:val="000000"/>
          <w:szCs w:val="24"/>
        </w:rPr>
      </w:pPr>
      <w:r w:rsidRPr="0045670C">
        <w:rPr>
          <w:rFonts w:cs="Arial"/>
          <w:color w:val="000000"/>
          <w:szCs w:val="24"/>
        </w:rPr>
        <w:t>Ophthalmology: average cataracts per half-day session</w:t>
      </w:r>
    </w:p>
    <w:p w14:paraId="7C5C51C5" w14:textId="77777777" w:rsidR="0045670C" w:rsidRPr="0045670C" w:rsidRDefault="0045670C" w:rsidP="00C33BDD">
      <w:pPr>
        <w:numPr>
          <w:ilvl w:val="0"/>
          <w:numId w:val="18"/>
        </w:numPr>
        <w:spacing w:before="40" w:after="40" w:line="276" w:lineRule="auto"/>
        <w:rPr>
          <w:rFonts w:cs="Arial"/>
          <w:color w:val="000000"/>
          <w:szCs w:val="24"/>
        </w:rPr>
      </w:pPr>
      <w:r w:rsidRPr="0045670C">
        <w:rPr>
          <w:rFonts w:cs="Arial"/>
          <w:color w:val="000000"/>
          <w:szCs w:val="24"/>
        </w:rPr>
        <w:t>Same-day arthroplasty rates (hip and knee)</w:t>
      </w:r>
    </w:p>
    <w:p w14:paraId="7CB9F8FC" w14:textId="77777777" w:rsidR="0045670C" w:rsidRPr="0045670C" w:rsidRDefault="0045670C" w:rsidP="00C33BDD">
      <w:pPr>
        <w:numPr>
          <w:ilvl w:val="0"/>
          <w:numId w:val="18"/>
        </w:numPr>
        <w:spacing w:before="40" w:after="40" w:line="276" w:lineRule="auto"/>
        <w:rPr>
          <w:rFonts w:cs="Arial"/>
          <w:color w:val="000000"/>
          <w:szCs w:val="24"/>
        </w:rPr>
      </w:pPr>
      <w:r w:rsidRPr="0045670C">
        <w:rPr>
          <w:rFonts w:cs="Arial"/>
          <w:color w:val="000000"/>
          <w:szCs w:val="24"/>
        </w:rPr>
        <w:t>Lung cancer 31-day target</w:t>
      </w:r>
    </w:p>
    <w:p w14:paraId="0591E20C" w14:textId="77777777" w:rsidR="0045670C" w:rsidRPr="0045670C" w:rsidRDefault="0045670C" w:rsidP="00C33BDD">
      <w:pPr>
        <w:spacing w:before="40" w:after="40" w:line="276" w:lineRule="auto"/>
        <w:rPr>
          <w:rFonts w:cs="Arial"/>
          <w:color w:val="000000"/>
          <w:szCs w:val="24"/>
        </w:rPr>
      </w:pPr>
      <w:r w:rsidRPr="0045670C">
        <w:rPr>
          <w:rFonts w:cs="Arial"/>
          <w:color w:val="000000"/>
          <w:szCs w:val="24"/>
        </w:rPr>
        <w:t>The data in this report reflects final year-end positions up to March 2025. A full update on these outcomes will be presented by the Director of Operations at the next Committee meeting, following the divisional Confirm and Challenge sessions.</w:t>
      </w:r>
    </w:p>
    <w:p w14:paraId="71422732" w14:textId="77777777" w:rsidR="0054121D" w:rsidRPr="00CE4A9E" w:rsidRDefault="0054121D" w:rsidP="00C33BDD">
      <w:pPr>
        <w:spacing w:before="40" w:after="40" w:line="276" w:lineRule="auto"/>
        <w:rPr>
          <w:rFonts w:cs="Arial"/>
          <w:color w:val="000000"/>
          <w:szCs w:val="24"/>
        </w:rPr>
      </w:pPr>
    </w:p>
    <w:p w14:paraId="3245821D" w14:textId="77777777" w:rsidR="00F3337D" w:rsidRDefault="00C87B62" w:rsidP="00C33BDD">
      <w:pPr>
        <w:pStyle w:val="Heading2"/>
      </w:pPr>
      <w:r>
        <w:t>2</w:t>
      </w:r>
      <w:r w:rsidR="00BF3AF0">
        <w:t>.3</w:t>
      </w:r>
      <w:r w:rsidR="00BF3AF0">
        <w:tab/>
      </w:r>
      <w:r w:rsidR="00F3337D">
        <w:t>Assessment</w:t>
      </w:r>
    </w:p>
    <w:p w14:paraId="11CA9BC6" w14:textId="77777777" w:rsidR="00CE4A9E" w:rsidRDefault="00CE4A9E" w:rsidP="00C33BDD">
      <w:pPr>
        <w:spacing w:before="40" w:after="40" w:line="276" w:lineRule="auto"/>
        <w:rPr>
          <w:rFonts w:cs="Arial"/>
          <w:color w:val="000000"/>
          <w:szCs w:val="24"/>
        </w:rPr>
      </w:pPr>
    </w:p>
    <w:p w14:paraId="521BC8E2" w14:textId="151AC7DF" w:rsidR="0045670C" w:rsidRPr="0045670C" w:rsidRDefault="0045670C" w:rsidP="00C33BDD">
      <w:pPr>
        <w:spacing w:before="40" w:after="40" w:line="276" w:lineRule="auto"/>
        <w:rPr>
          <w:rFonts w:cs="Arial"/>
          <w:szCs w:val="24"/>
        </w:rPr>
      </w:pPr>
      <w:r>
        <w:rPr>
          <w:rFonts w:cs="Arial"/>
          <w:b/>
          <w:szCs w:val="24"/>
        </w:rPr>
        <w:t>Overall Performance</w:t>
      </w:r>
    </w:p>
    <w:p w14:paraId="494DF6E0" w14:textId="77777777" w:rsidR="0045670C" w:rsidRDefault="0045670C" w:rsidP="00C33BDD">
      <w:pPr>
        <w:spacing w:before="40" w:after="40" w:line="276" w:lineRule="auto"/>
        <w:rPr>
          <w:rFonts w:cs="Arial"/>
          <w:szCs w:val="24"/>
        </w:rPr>
      </w:pPr>
    </w:p>
    <w:p w14:paraId="33B4AD91" w14:textId="6E21293F" w:rsidR="00313633" w:rsidRDefault="0045670C" w:rsidP="00C33BDD">
      <w:pPr>
        <w:spacing w:before="40" w:after="40" w:line="276" w:lineRule="auto"/>
        <w:rPr>
          <w:rFonts w:cs="Arial"/>
          <w:szCs w:val="24"/>
        </w:rPr>
      </w:pPr>
      <w:r>
        <w:rPr>
          <w:rFonts w:cs="Arial"/>
          <w:szCs w:val="24"/>
        </w:rPr>
        <w:t xml:space="preserve">NHS GJ concluded the year at 99.6% of the plan being delivered, with </w:t>
      </w:r>
      <w:r w:rsidR="002618B3" w:rsidRPr="002618B3">
        <w:rPr>
          <w:rFonts w:cs="Arial"/>
          <w:szCs w:val="24"/>
        </w:rPr>
        <w:t>119</w:t>
      </w:r>
      <w:r w:rsidR="00CE4A9E" w:rsidRPr="002618B3">
        <w:rPr>
          <w:rFonts w:cs="Arial"/>
          <w:szCs w:val="24"/>
        </w:rPr>
        <w:t>,8</w:t>
      </w:r>
      <w:r w:rsidR="002618B3" w:rsidRPr="002618B3">
        <w:rPr>
          <w:rFonts w:cs="Arial"/>
          <w:szCs w:val="24"/>
        </w:rPr>
        <w:t xml:space="preserve">48 </w:t>
      </w:r>
      <w:r w:rsidR="00CE4A9E" w:rsidRPr="002618B3">
        <w:rPr>
          <w:rFonts w:cs="Arial"/>
          <w:szCs w:val="24"/>
        </w:rPr>
        <w:t>in-patient, day case and diagnostic procedures</w:t>
      </w:r>
      <w:r>
        <w:rPr>
          <w:rFonts w:cs="Arial"/>
          <w:szCs w:val="24"/>
        </w:rPr>
        <w:t xml:space="preserve"> delivered</w:t>
      </w:r>
      <w:r w:rsidR="00CE4A9E" w:rsidRPr="002618B3">
        <w:rPr>
          <w:rFonts w:cs="Arial"/>
          <w:szCs w:val="24"/>
        </w:rPr>
        <w:t xml:space="preserve"> in the full year </w:t>
      </w:r>
      <w:r w:rsidR="00CE4A9E" w:rsidRPr="00F4778D">
        <w:rPr>
          <w:rFonts w:cs="Arial"/>
          <w:szCs w:val="24"/>
        </w:rPr>
        <w:t>against the</w:t>
      </w:r>
      <w:r w:rsidR="000938E2">
        <w:rPr>
          <w:rFonts w:cs="Arial"/>
          <w:szCs w:val="24"/>
        </w:rPr>
        <w:t xml:space="preserve"> submitted </w:t>
      </w:r>
      <w:r w:rsidR="00CE4A9E" w:rsidRPr="00F4778D">
        <w:rPr>
          <w:rFonts w:cs="Arial"/>
          <w:szCs w:val="24"/>
        </w:rPr>
        <w:t xml:space="preserve">plan of </w:t>
      </w:r>
      <w:r w:rsidR="002618B3" w:rsidRPr="00F4778D">
        <w:rPr>
          <w:rFonts w:cs="Arial"/>
          <w:szCs w:val="24"/>
        </w:rPr>
        <w:t xml:space="preserve">120,274 </w:t>
      </w:r>
      <w:r w:rsidR="00CE4A9E" w:rsidRPr="00F4778D">
        <w:rPr>
          <w:rFonts w:cs="Arial"/>
          <w:szCs w:val="24"/>
        </w:rPr>
        <w:t>procedures.</w:t>
      </w:r>
      <w:r w:rsidR="00CE21A2" w:rsidRPr="00F4778D">
        <w:rPr>
          <w:rFonts w:cs="Arial"/>
          <w:szCs w:val="24"/>
        </w:rPr>
        <w:t xml:space="preserve"> </w:t>
      </w:r>
    </w:p>
    <w:p w14:paraId="692D5EFB" w14:textId="1DB7E1F6" w:rsidR="00CE4A9E" w:rsidRPr="00F4778D" w:rsidRDefault="00CE21A2" w:rsidP="00C33BDD">
      <w:pPr>
        <w:spacing w:before="40" w:after="40" w:line="276" w:lineRule="auto"/>
        <w:rPr>
          <w:rFonts w:cs="Arial"/>
          <w:szCs w:val="24"/>
        </w:rPr>
      </w:pPr>
      <w:r w:rsidRPr="00F4778D">
        <w:rPr>
          <w:rFonts w:cs="Arial"/>
          <w:szCs w:val="24"/>
        </w:rPr>
        <w:t xml:space="preserve">For in-patient and day case procedures, </w:t>
      </w:r>
      <w:r w:rsidR="00C84F0D">
        <w:rPr>
          <w:rFonts w:cs="Arial"/>
          <w:szCs w:val="24"/>
        </w:rPr>
        <w:t>planned activity fell short by</w:t>
      </w:r>
      <w:r w:rsidRPr="00F4778D">
        <w:rPr>
          <w:rFonts w:cs="Arial"/>
          <w:szCs w:val="24"/>
        </w:rPr>
        <w:t xml:space="preserve"> </w:t>
      </w:r>
      <w:r w:rsidR="002618B3" w:rsidRPr="00F4778D">
        <w:rPr>
          <w:rFonts w:cs="Arial"/>
          <w:szCs w:val="24"/>
        </w:rPr>
        <w:t>-3.0</w:t>
      </w:r>
      <w:r w:rsidRPr="00F4778D">
        <w:rPr>
          <w:rFonts w:cs="Arial"/>
          <w:szCs w:val="24"/>
        </w:rPr>
        <w:t>%</w:t>
      </w:r>
      <w:r w:rsidR="00C84F0D">
        <w:rPr>
          <w:rFonts w:cs="Arial"/>
          <w:szCs w:val="24"/>
        </w:rPr>
        <w:t>.</w:t>
      </w:r>
    </w:p>
    <w:p w14:paraId="209BF32D" w14:textId="3C86FF46" w:rsidR="00CE4A9E" w:rsidRDefault="00CE4A9E" w:rsidP="00C33BDD">
      <w:pPr>
        <w:spacing w:before="40" w:after="40" w:line="276" w:lineRule="auto"/>
        <w:rPr>
          <w:rFonts w:cs="Arial"/>
          <w:szCs w:val="24"/>
        </w:rPr>
      </w:pPr>
    </w:p>
    <w:p w14:paraId="21FBE2F8" w14:textId="38C01978" w:rsidR="00036854" w:rsidRDefault="00036854" w:rsidP="00C33BDD">
      <w:pPr>
        <w:spacing w:before="40" w:after="40" w:line="276" w:lineRule="auto"/>
        <w:rPr>
          <w:rFonts w:cs="Arial"/>
          <w:szCs w:val="24"/>
        </w:rPr>
      </w:pPr>
      <w:r>
        <w:rPr>
          <w:rFonts w:cs="Arial"/>
          <w:b/>
          <w:szCs w:val="24"/>
        </w:rPr>
        <w:t>Contextual Challenges</w:t>
      </w:r>
    </w:p>
    <w:p w14:paraId="3C9DD8FA" w14:textId="1E49E79A" w:rsidR="00036854" w:rsidRDefault="00036854" w:rsidP="00C33BDD">
      <w:pPr>
        <w:spacing w:before="40" w:after="40" w:line="276" w:lineRule="auto"/>
        <w:rPr>
          <w:rFonts w:cs="Arial"/>
          <w:szCs w:val="24"/>
        </w:rPr>
      </w:pPr>
    </w:p>
    <w:p w14:paraId="721B0F36" w14:textId="77777777" w:rsidR="007B74B3" w:rsidRPr="007B74B3" w:rsidRDefault="007B74B3" w:rsidP="00C33BDD">
      <w:pPr>
        <w:spacing w:before="40" w:after="40" w:line="276" w:lineRule="auto"/>
        <w:rPr>
          <w:rFonts w:cs="Arial"/>
          <w:szCs w:val="24"/>
        </w:rPr>
      </w:pPr>
      <w:r w:rsidRPr="007B74B3">
        <w:rPr>
          <w:rFonts w:cs="Arial"/>
          <w:szCs w:val="24"/>
        </w:rPr>
        <w:t>The delivery of planned care during 2024/25 was shaped by several contextual challenges. For the National Elective Services (NES) Division, patient geography continued to pose barriers in Q2 and Q3, particularly for day surgery, where patients often presented with co-morbidities that necessitated conversion to inpatient care.</w:t>
      </w:r>
    </w:p>
    <w:p w14:paraId="7BABCDB1" w14:textId="77777777" w:rsidR="007B74B3" w:rsidRDefault="007B74B3" w:rsidP="00C33BDD">
      <w:pPr>
        <w:spacing w:before="40" w:after="40" w:line="276" w:lineRule="auto"/>
        <w:rPr>
          <w:rFonts w:cs="Arial"/>
          <w:szCs w:val="24"/>
        </w:rPr>
      </w:pPr>
    </w:p>
    <w:p w14:paraId="13237FE2" w14:textId="055B3E96" w:rsidR="007B74B3" w:rsidRPr="007B74B3" w:rsidRDefault="007B74B3" w:rsidP="00C33BDD">
      <w:pPr>
        <w:spacing w:before="40" w:after="40" w:line="276" w:lineRule="auto"/>
        <w:rPr>
          <w:rFonts w:cs="Arial"/>
          <w:szCs w:val="24"/>
        </w:rPr>
      </w:pPr>
      <w:r w:rsidRPr="007B74B3">
        <w:rPr>
          <w:rFonts w:cs="Arial"/>
          <w:szCs w:val="24"/>
        </w:rPr>
        <w:lastRenderedPageBreak/>
        <w:t xml:space="preserve">In Endoscopy, progress was affected by delays to </w:t>
      </w:r>
      <w:r w:rsidR="00D64E4D">
        <w:rPr>
          <w:rFonts w:cs="Arial"/>
          <w:szCs w:val="24"/>
        </w:rPr>
        <w:t xml:space="preserve">the opening of the </w:t>
      </w:r>
      <w:r w:rsidRPr="007B74B3">
        <w:rPr>
          <w:rFonts w:cs="Arial"/>
          <w:szCs w:val="24"/>
        </w:rPr>
        <w:t xml:space="preserve">Phase 2 Endoscopy Decontamination Unit along with </w:t>
      </w:r>
      <w:r w:rsidR="00D64E4D">
        <w:rPr>
          <w:rFonts w:cs="Arial"/>
          <w:szCs w:val="24"/>
        </w:rPr>
        <w:t xml:space="preserve">an inability to achieve </w:t>
      </w:r>
      <w:r w:rsidRPr="007B74B3">
        <w:rPr>
          <w:rFonts w:cs="Arial"/>
          <w:szCs w:val="24"/>
        </w:rPr>
        <w:t>sustainable improvement in the same day cancellation rate despite different improvements to the pathway.</w:t>
      </w:r>
    </w:p>
    <w:p w14:paraId="53EDBEEB" w14:textId="77777777" w:rsidR="007B74B3" w:rsidRPr="007B74B3" w:rsidRDefault="007B74B3" w:rsidP="00C33BDD">
      <w:pPr>
        <w:spacing w:before="40" w:after="40" w:line="276" w:lineRule="auto"/>
        <w:rPr>
          <w:rFonts w:cs="Arial"/>
          <w:szCs w:val="24"/>
        </w:rPr>
      </w:pPr>
      <w:r w:rsidRPr="007B74B3">
        <w:rPr>
          <w:rFonts w:cs="Arial"/>
          <w:szCs w:val="24"/>
        </w:rPr>
        <w:t>For NES specialties, maintaining required levels of referrals to deliver Health Board allocations was a consistent challenge.</w:t>
      </w:r>
    </w:p>
    <w:p w14:paraId="6DB5551C" w14:textId="77777777" w:rsidR="007B74B3" w:rsidRDefault="007B74B3" w:rsidP="00C33BDD">
      <w:pPr>
        <w:spacing w:before="40" w:after="40" w:line="276" w:lineRule="auto"/>
        <w:rPr>
          <w:rFonts w:cs="Arial"/>
          <w:szCs w:val="24"/>
        </w:rPr>
      </w:pPr>
    </w:p>
    <w:p w14:paraId="62C21197" w14:textId="6431BEE9" w:rsidR="007B74B3" w:rsidRPr="007B74B3" w:rsidRDefault="007B74B3" w:rsidP="00C33BDD">
      <w:pPr>
        <w:spacing w:before="40" w:after="40" w:line="276" w:lineRule="auto"/>
        <w:rPr>
          <w:rFonts w:cs="Arial"/>
          <w:szCs w:val="24"/>
        </w:rPr>
      </w:pPr>
      <w:r w:rsidRPr="007B74B3">
        <w:rPr>
          <w:rFonts w:cs="Arial"/>
          <w:szCs w:val="24"/>
        </w:rPr>
        <w:t>Within the Heart, Lung and Diagnostics (HLD) Division ongoing theatre capacity pressures continued to affect NHS GJ’s ability to consistently meet the 31-day lung cancer treatment target</w:t>
      </w:r>
      <w:r w:rsidR="00D64E4D">
        <w:rPr>
          <w:rFonts w:cs="Arial"/>
          <w:szCs w:val="24"/>
        </w:rPr>
        <w:t>;</w:t>
      </w:r>
      <w:r w:rsidRPr="007B74B3">
        <w:rPr>
          <w:rFonts w:cs="Arial"/>
          <w:szCs w:val="24"/>
        </w:rPr>
        <w:t xml:space="preserve"> however the target is projected to be achieved for the financial year.</w:t>
      </w:r>
    </w:p>
    <w:p w14:paraId="5251174A" w14:textId="77777777" w:rsidR="007B74B3" w:rsidRDefault="007B74B3" w:rsidP="00C33BDD">
      <w:pPr>
        <w:spacing w:before="40" w:after="40" w:line="276" w:lineRule="auto"/>
        <w:rPr>
          <w:rFonts w:cs="Arial"/>
          <w:szCs w:val="24"/>
        </w:rPr>
      </w:pPr>
    </w:p>
    <w:p w14:paraId="3C049E79" w14:textId="571AD22B" w:rsidR="007B74B3" w:rsidRPr="007B74B3" w:rsidRDefault="007B74B3" w:rsidP="00C33BDD">
      <w:pPr>
        <w:spacing w:before="40" w:after="40" w:line="276" w:lineRule="auto"/>
        <w:rPr>
          <w:rFonts w:cs="Arial"/>
          <w:szCs w:val="24"/>
        </w:rPr>
      </w:pPr>
      <w:r w:rsidRPr="007B74B3">
        <w:rPr>
          <w:rFonts w:cs="Arial"/>
          <w:szCs w:val="24"/>
        </w:rPr>
        <w:t>Both Clinical Divisions were affected by shortages in medical and nursing staffing which required creative solutions throughout the year but are reflected in difficulties achieving productivity targets.</w:t>
      </w:r>
      <w:r>
        <w:rPr>
          <w:rFonts w:cs="Arial"/>
          <w:szCs w:val="24"/>
        </w:rPr>
        <w:t xml:space="preserve">  </w:t>
      </w:r>
      <w:r w:rsidRPr="007B74B3">
        <w:rPr>
          <w:rFonts w:cs="Arial"/>
          <w:szCs w:val="24"/>
        </w:rPr>
        <w:t>Several unforeseen events such as Storm Eowyn resulted in disruptions to planned elective activity.</w:t>
      </w:r>
    </w:p>
    <w:p w14:paraId="1D2353F4" w14:textId="77777777" w:rsidR="00036854" w:rsidRPr="00F4778D" w:rsidRDefault="00036854" w:rsidP="00C33BDD">
      <w:pPr>
        <w:spacing w:before="40" w:after="40" w:line="276" w:lineRule="auto"/>
        <w:rPr>
          <w:rFonts w:cs="Arial"/>
          <w:szCs w:val="24"/>
        </w:rPr>
      </w:pPr>
    </w:p>
    <w:p w14:paraId="32DCAD31" w14:textId="77777777" w:rsidR="00CE4A9E" w:rsidRPr="00F4778D" w:rsidRDefault="00CE4A9E" w:rsidP="00C33BDD">
      <w:pPr>
        <w:spacing w:after="160" w:line="259" w:lineRule="auto"/>
        <w:rPr>
          <w:rFonts w:eastAsiaTheme="minorHAnsi" w:cs="Arial"/>
          <w:b/>
          <w:spacing w:val="0"/>
          <w:szCs w:val="24"/>
        </w:rPr>
      </w:pPr>
      <w:r w:rsidRPr="00F4778D">
        <w:rPr>
          <w:rFonts w:eastAsiaTheme="minorHAnsi" w:cs="Arial"/>
          <w:b/>
          <w:spacing w:val="0"/>
          <w:szCs w:val="24"/>
        </w:rPr>
        <w:t>National Elective Services Division</w:t>
      </w:r>
    </w:p>
    <w:p w14:paraId="2523FD2C" w14:textId="4530FEC4" w:rsidR="002618B3" w:rsidRDefault="00CE4A9E" w:rsidP="00C33BDD">
      <w:pPr>
        <w:spacing w:after="160" w:line="259" w:lineRule="auto"/>
        <w:rPr>
          <w:rFonts w:eastAsiaTheme="minorHAnsi" w:cs="Arial"/>
          <w:spacing w:val="0"/>
          <w:szCs w:val="24"/>
        </w:rPr>
      </w:pPr>
      <w:r w:rsidRPr="002618B3">
        <w:rPr>
          <w:rFonts w:eastAsiaTheme="minorHAnsi" w:cs="Arial"/>
          <w:spacing w:val="0"/>
          <w:szCs w:val="24"/>
        </w:rPr>
        <w:t>At the end of March 202</w:t>
      </w:r>
      <w:r w:rsidR="002618B3" w:rsidRPr="002618B3">
        <w:rPr>
          <w:rFonts w:eastAsiaTheme="minorHAnsi" w:cs="Arial"/>
          <w:spacing w:val="0"/>
          <w:szCs w:val="24"/>
        </w:rPr>
        <w:t>5</w:t>
      </w:r>
      <w:r w:rsidRPr="002618B3">
        <w:rPr>
          <w:rFonts w:eastAsiaTheme="minorHAnsi" w:cs="Arial"/>
          <w:spacing w:val="0"/>
          <w:szCs w:val="24"/>
        </w:rPr>
        <w:t xml:space="preserve">, </w:t>
      </w:r>
      <w:r w:rsidR="008F5EBB">
        <w:rPr>
          <w:rFonts w:eastAsiaTheme="minorHAnsi" w:cs="Arial"/>
          <w:spacing w:val="0"/>
          <w:szCs w:val="24"/>
        </w:rPr>
        <w:t xml:space="preserve">the </w:t>
      </w:r>
      <w:r w:rsidRPr="002618B3">
        <w:rPr>
          <w:rFonts w:eastAsiaTheme="minorHAnsi" w:cs="Arial"/>
          <w:spacing w:val="0"/>
          <w:szCs w:val="24"/>
        </w:rPr>
        <w:t>NES Division</w:t>
      </w:r>
      <w:r w:rsidR="00036854">
        <w:rPr>
          <w:rFonts w:eastAsiaTheme="minorHAnsi" w:cs="Arial"/>
          <w:spacing w:val="0"/>
          <w:szCs w:val="24"/>
        </w:rPr>
        <w:t xml:space="preserve"> </w:t>
      </w:r>
      <w:r w:rsidR="00826B02" w:rsidRPr="00826B02">
        <w:rPr>
          <w:rFonts w:eastAsiaTheme="minorHAnsi" w:cs="Arial"/>
          <w:spacing w:val="0"/>
          <w:szCs w:val="24"/>
        </w:rPr>
        <w:t>had delivered 28,605 procedures, which represents a 3.4% shortfall compared to the submitted annual target of 29,600 procedures. Within this, the Orthopaedics specialty concluded the year 3.5% below plan, having carried out 6,223 procedures against a target of 6,448.</w:t>
      </w:r>
      <w:r w:rsidRPr="002618B3">
        <w:rPr>
          <w:rFonts w:eastAsiaTheme="minorHAnsi" w:cs="Arial"/>
          <w:spacing w:val="0"/>
          <w:szCs w:val="24"/>
        </w:rPr>
        <w:t xml:space="preserve"> </w:t>
      </w:r>
    </w:p>
    <w:p w14:paraId="13C95DE6" w14:textId="77777777"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A more pronounced variance was noted in Orthopaedic Joint procedures, with a total of 4,771 procedures completed against the original projection of 5,219 – a shortfall of 8.6%. However, it is important to note that the activity plan for this service was adjusted several times throughout the year due to changes in the Phase 2 expansion timeline. The final revised projection was 4,719 cases, meaning the actual number delivered exceeded this by 52 procedures (a positive variance of 1.1%).</w:t>
      </w:r>
    </w:p>
    <w:p w14:paraId="2F23FB60" w14:textId="77777777"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Certain Orthopaedic sub-specialties performed significantly above expectations. Procedures related to soft tissue knees were up by 128%, and hand and wrist procedures exceeded plan by 27%.</w:t>
      </w:r>
    </w:p>
    <w:p w14:paraId="126F5BE8" w14:textId="77777777"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Despite challenges during the year, there were improvements in operational metrics. The percentage of Orthopaedic sessions conducted as four-joint lists stood at 48% for the year, which fell short of the March 2025 trajectory of 75%. However, performance in March showed a notable increase, with 61% of sessions delivered as four-joint lists—the highest monthly figure achieved.</w:t>
      </w:r>
    </w:p>
    <w:p w14:paraId="55259870" w14:textId="77777777"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In terms of same-day procedures, Knee Arthroplasty performance reached an annual rate of 2.8% against a final trajectory of 3%. October 2024 represented the peak of performance in this area, with 6.4% of knee arthroplasties conducted on a same-day basis. Hip Arthroplasty same-day procedures followed a similar trend, achieving an annual rate of 4.7% against a 5% target. The highest monthly figure was observed in December 2024 at 6.9%.</w:t>
      </w:r>
    </w:p>
    <w:p w14:paraId="1E55F3A1" w14:textId="77777777"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 xml:space="preserve">Ophthalmology activity also fell slightly short of target, concluding the year 3.6% below plan. A total of 11,889 procedures were performed, compared to a planned figure of 12,327. Productivity per half-day session averaged 6.9 cataract procedures across the financial year. In March 2025, this figure rose slightly to 7.0, with the highest level of productivity recorded in </w:t>
      </w:r>
      <w:r w:rsidRPr="00826B02">
        <w:rPr>
          <w:rFonts w:eastAsiaTheme="minorHAnsi" w:cs="Arial"/>
          <w:spacing w:val="0"/>
          <w:szCs w:val="24"/>
        </w:rPr>
        <w:lastRenderedPageBreak/>
        <w:t>July 2024, at 7.3 cataracts per session. The final quarter trajectory had set a target average of 7.3.</w:t>
      </w:r>
    </w:p>
    <w:p w14:paraId="62703364" w14:textId="17BC64D2" w:rsidR="00826B02" w:rsidRPr="00826B02" w:rsidRDefault="00826B02" w:rsidP="00C33BDD">
      <w:pPr>
        <w:spacing w:after="160" w:line="259" w:lineRule="auto"/>
        <w:rPr>
          <w:rFonts w:eastAsiaTheme="minorHAnsi" w:cs="Arial"/>
          <w:spacing w:val="0"/>
          <w:szCs w:val="24"/>
        </w:rPr>
      </w:pPr>
      <w:r w:rsidRPr="00826B02">
        <w:rPr>
          <w:rFonts w:eastAsiaTheme="minorHAnsi" w:cs="Arial"/>
          <w:spacing w:val="0"/>
          <w:szCs w:val="24"/>
        </w:rPr>
        <w:t xml:space="preserve">General Surgery, which includes </w:t>
      </w:r>
      <w:r w:rsidR="00602E67" w:rsidRPr="00826B02">
        <w:rPr>
          <w:rFonts w:eastAsiaTheme="minorHAnsi" w:cs="Arial"/>
          <w:spacing w:val="0"/>
          <w:szCs w:val="24"/>
        </w:rPr>
        <w:t>colorectal</w:t>
      </w:r>
      <w:r w:rsidRPr="00826B02">
        <w:rPr>
          <w:rFonts w:eastAsiaTheme="minorHAnsi" w:cs="Arial"/>
          <w:spacing w:val="0"/>
          <w:szCs w:val="24"/>
        </w:rPr>
        <w:t xml:space="preserve"> procedures, ended the year 1.8% below plan, with 1,651 procedures completed out of a planned 1,680. </w:t>
      </w:r>
      <w:r w:rsidR="00D64E4D">
        <w:rPr>
          <w:rFonts w:eastAsiaTheme="minorHAnsi" w:cs="Arial"/>
          <w:spacing w:val="0"/>
          <w:szCs w:val="24"/>
        </w:rPr>
        <w:t>There have been recent challenges in receiving sufficient referrals for major colorectal procedures</w:t>
      </w:r>
      <w:r w:rsidR="0016491B">
        <w:rPr>
          <w:rFonts w:eastAsiaTheme="minorHAnsi" w:cs="Arial"/>
          <w:spacing w:val="0"/>
          <w:szCs w:val="24"/>
        </w:rPr>
        <w:t>.</w:t>
      </w:r>
      <w:r w:rsidR="00602E67">
        <w:rPr>
          <w:rFonts w:eastAsiaTheme="minorHAnsi" w:cs="Arial"/>
          <w:spacing w:val="0"/>
          <w:szCs w:val="24"/>
        </w:rPr>
        <w:t xml:space="preserve">  </w:t>
      </w:r>
      <w:r w:rsidRPr="00826B02">
        <w:rPr>
          <w:rFonts w:eastAsiaTheme="minorHAnsi" w:cs="Arial"/>
          <w:spacing w:val="0"/>
          <w:szCs w:val="24"/>
        </w:rPr>
        <w:t>Similarly, Endoscopy activity reached 8,842 procedures, falling 3.3% short of the planned 9,145.</w:t>
      </w:r>
    </w:p>
    <w:p w14:paraId="21A86550" w14:textId="478C572D" w:rsidR="0054121D" w:rsidRPr="00803AB7" w:rsidRDefault="00CE4A9E" w:rsidP="00C33BDD">
      <w:pPr>
        <w:spacing w:after="160" w:line="259" w:lineRule="auto"/>
        <w:rPr>
          <w:rFonts w:eastAsiaTheme="minorHAnsi" w:cs="Arial"/>
          <w:spacing w:val="0"/>
          <w:szCs w:val="24"/>
        </w:rPr>
      </w:pPr>
      <w:r w:rsidRPr="0093611B">
        <w:rPr>
          <w:rFonts w:eastAsiaTheme="minorHAnsi" w:cs="Arial"/>
          <w:spacing w:val="0"/>
          <w:szCs w:val="24"/>
        </w:rPr>
        <w:t xml:space="preserve"> </w:t>
      </w:r>
    </w:p>
    <w:p w14:paraId="080E22AF" w14:textId="4EAEC42A" w:rsidR="0054121D" w:rsidRPr="0054121D" w:rsidRDefault="0054121D" w:rsidP="00C33BDD">
      <w:pPr>
        <w:spacing w:after="160" w:line="259" w:lineRule="auto"/>
        <w:rPr>
          <w:rFonts w:eastAsiaTheme="minorHAnsi" w:cs="Arial"/>
          <w:b/>
          <w:spacing w:val="0"/>
          <w:szCs w:val="24"/>
        </w:rPr>
      </w:pPr>
      <w:r w:rsidRPr="0054121D">
        <w:rPr>
          <w:rFonts w:eastAsiaTheme="minorHAnsi" w:cs="Arial"/>
          <w:b/>
          <w:spacing w:val="0"/>
          <w:szCs w:val="24"/>
        </w:rPr>
        <w:t>Heart, Lung and Diagnostic Division</w:t>
      </w:r>
    </w:p>
    <w:p w14:paraId="05940F0B" w14:textId="36E7DA40" w:rsidR="00775051" w:rsidRPr="00813863" w:rsidRDefault="00775051" w:rsidP="00C33BDD">
      <w:pPr>
        <w:spacing w:after="160" w:line="259" w:lineRule="auto"/>
        <w:rPr>
          <w:rFonts w:eastAsiaTheme="minorHAnsi" w:cs="Arial"/>
          <w:spacing w:val="0"/>
          <w:szCs w:val="24"/>
        </w:rPr>
      </w:pPr>
      <w:r w:rsidRPr="00813863">
        <w:rPr>
          <w:rFonts w:eastAsiaTheme="minorHAnsi" w:cs="Arial"/>
          <w:spacing w:val="0"/>
          <w:szCs w:val="24"/>
        </w:rPr>
        <w:t>At the end of March 202</w:t>
      </w:r>
      <w:r w:rsidR="0093611B" w:rsidRPr="00813863">
        <w:rPr>
          <w:rFonts w:eastAsiaTheme="minorHAnsi" w:cs="Arial"/>
          <w:spacing w:val="0"/>
          <w:szCs w:val="24"/>
        </w:rPr>
        <w:t>5</w:t>
      </w:r>
      <w:r w:rsidRPr="00813863">
        <w:rPr>
          <w:rFonts w:eastAsiaTheme="minorHAnsi" w:cs="Arial"/>
          <w:spacing w:val="0"/>
          <w:szCs w:val="24"/>
        </w:rPr>
        <w:t xml:space="preserve">, </w:t>
      </w:r>
      <w:r w:rsidR="008F5EBB">
        <w:rPr>
          <w:rFonts w:eastAsiaTheme="minorHAnsi" w:cs="Arial"/>
          <w:spacing w:val="0"/>
          <w:szCs w:val="24"/>
        </w:rPr>
        <w:t xml:space="preserve">the </w:t>
      </w:r>
      <w:r w:rsidRPr="00813863">
        <w:rPr>
          <w:rFonts w:eastAsiaTheme="minorHAnsi" w:cs="Arial"/>
          <w:spacing w:val="0"/>
          <w:szCs w:val="24"/>
        </w:rPr>
        <w:t xml:space="preserve">HLD Division </w:t>
      </w:r>
      <w:r w:rsidR="00826B02">
        <w:rPr>
          <w:rFonts w:eastAsiaTheme="minorHAnsi" w:cs="Arial"/>
          <w:spacing w:val="0"/>
          <w:szCs w:val="24"/>
        </w:rPr>
        <w:t xml:space="preserve">slightly exceeded planned expectations, finishing </w:t>
      </w:r>
      <w:r w:rsidR="0093611B" w:rsidRPr="00813863">
        <w:rPr>
          <w:rFonts w:eastAsiaTheme="minorHAnsi" w:cs="Arial"/>
          <w:spacing w:val="0"/>
          <w:szCs w:val="24"/>
        </w:rPr>
        <w:t>0.</w:t>
      </w:r>
      <w:r w:rsidR="00813863" w:rsidRPr="00813863">
        <w:rPr>
          <w:rFonts w:eastAsiaTheme="minorHAnsi" w:cs="Arial"/>
          <w:spacing w:val="0"/>
          <w:szCs w:val="24"/>
        </w:rPr>
        <w:t>6</w:t>
      </w:r>
      <w:r w:rsidRPr="00813863">
        <w:rPr>
          <w:rFonts w:eastAsiaTheme="minorHAnsi" w:cs="Arial"/>
          <w:spacing w:val="0"/>
          <w:szCs w:val="24"/>
        </w:rPr>
        <w:t>%</w:t>
      </w:r>
      <w:r w:rsidR="0093611B" w:rsidRPr="00813863">
        <w:rPr>
          <w:rFonts w:eastAsiaTheme="minorHAnsi" w:cs="Arial"/>
          <w:spacing w:val="0"/>
          <w:szCs w:val="24"/>
        </w:rPr>
        <w:t xml:space="preserve"> ahead of</w:t>
      </w:r>
      <w:r w:rsidRPr="00813863">
        <w:rPr>
          <w:rFonts w:eastAsiaTheme="minorHAnsi" w:cs="Arial"/>
          <w:spacing w:val="0"/>
          <w:szCs w:val="24"/>
        </w:rPr>
        <w:t xml:space="preserve"> plan </w:t>
      </w:r>
      <w:r w:rsidR="00826B02">
        <w:rPr>
          <w:rFonts w:eastAsiaTheme="minorHAnsi" w:cs="Arial"/>
          <w:spacing w:val="0"/>
          <w:szCs w:val="24"/>
        </w:rPr>
        <w:t>with a total of</w:t>
      </w:r>
      <w:r w:rsidRPr="00813863">
        <w:rPr>
          <w:rFonts w:eastAsiaTheme="minorHAnsi" w:cs="Arial"/>
          <w:spacing w:val="0"/>
          <w:szCs w:val="24"/>
        </w:rPr>
        <w:t xml:space="preserve"> </w:t>
      </w:r>
      <w:r w:rsidR="00813863" w:rsidRPr="00813863">
        <w:rPr>
          <w:rFonts w:eastAsiaTheme="minorHAnsi" w:cs="Arial"/>
          <w:spacing w:val="0"/>
          <w:szCs w:val="24"/>
        </w:rPr>
        <w:t>91,243</w:t>
      </w:r>
      <w:r w:rsidRPr="00813863">
        <w:rPr>
          <w:rFonts w:eastAsiaTheme="minorHAnsi" w:cs="Arial"/>
          <w:spacing w:val="0"/>
          <w:szCs w:val="24"/>
        </w:rPr>
        <w:t xml:space="preserve"> procedures </w:t>
      </w:r>
      <w:r w:rsidR="00826B02">
        <w:rPr>
          <w:rFonts w:eastAsiaTheme="minorHAnsi" w:cs="Arial"/>
          <w:spacing w:val="0"/>
          <w:szCs w:val="24"/>
        </w:rPr>
        <w:t xml:space="preserve">delivered </w:t>
      </w:r>
      <w:r w:rsidRPr="00813863">
        <w:rPr>
          <w:rFonts w:eastAsiaTheme="minorHAnsi" w:cs="Arial"/>
          <w:spacing w:val="0"/>
          <w:szCs w:val="24"/>
        </w:rPr>
        <w:t xml:space="preserve">against a plan of </w:t>
      </w:r>
      <w:r w:rsidR="00813863" w:rsidRPr="00813863">
        <w:rPr>
          <w:rFonts w:eastAsiaTheme="minorHAnsi" w:cs="Arial"/>
          <w:spacing w:val="0"/>
          <w:szCs w:val="24"/>
        </w:rPr>
        <w:t>90,675</w:t>
      </w:r>
      <w:r w:rsidRPr="00813863">
        <w:rPr>
          <w:rFonts w:eastAsiaTheme="minorHAnsi" w:cs="Arial"/>
          <w:spacing w:val="0"/>
          <w:szCs w:val="24"/>
        </w:rPr>
        <w:t>.</w:t>
      </w:r>
    </w:p>
    <w:p w14:paraId="06128BB8" w14:textId="362EC425" w:rsidR="00E331C0" w:rsidRDefault="00826B02" w:rsidP="00C33BDD">
      <w:pPr>
        <w:spacing w:after="160" w:line="259" w:lineRule="auto"/>
        <w:rPr>
          <w:rFonts w:eastAsiaTheme="minorHAnsi" w:cs="Arial"/>
          <w:spacing w:val="0"/>
          <w:szCs w:val="24"/>
        </w:rPr>
      </w:pPr>
      <w:r w:rsidRPr="00826B02">
        <w:rPr>
          <w:rFonts w:eastAsiaTheme="minorHAnsi" w:cs="Arial"/>
          <w:spacing w:val="0"/>
          <w:szCs w:val="24"/>
        </w:rPr>
        <w:t>Within this division, Cardiac Surgery completed 1,388 procedures, which was marginally below the planned total of 1,393 (a variance of -0.4%). Thoracic Surgery, on the other hand, performed strongly, with 1,320 procedures carried out—exceeding the plan of 1,277 by 3.4%.Cardiology activity concluded the year 3.4% behind plan, with 6,725 procedures delivered out of a projected 6,963. Despite this, specific areas within Cardiology demonstrated notable success. The Transcatheter Aortic Valve Implantation (TAVI) service met its baseline target of 229 procedures and, with additional investment under the Planned Care initiative, delivered a further 220 cases. This was slightly below the additional target of 232</w:t>
      </w:r>
      <w:r>
        <w:rPr>
          <w:rFonts w:eastAsiaTheme="minorHAnsi" w:cs="Arial"/>
          <w:spacing w:val="0"/>
          <w:szCs w:val="24"/>
        </w:rPr>
        <w:t>.</w:t>
      </w:r>
    </w:p>
    <w:p w14:paraId="052985FB" w14:textId="77777777" w:rsidR="00E331C0" w:rsidRPr="00E331C0" w:rsidRDefault="00E331C0" w:rsidP="00C33BDD">
      <w:pPr>
        <w:spacing w:after="160" w:line="259" w:lineRule="auto"/>
        <w:rPr>
          <w:rFonts w:eastAsiaTheme="minorHAnsi" w:cs="Arial"/>
          <w:spacing w:val="0"/>
          <w:szCs w:val="24"/>
        </w:rPr>
      </w:pPr>
      <w:r w:rsidRPr="00E331C0">
        <w:rPr>
          <w:rFonts w:eastAsiaTheme="minorHAnsi" w:cs="Arial"/>
          <w:spacing w:val="0"/>
          <w:szCs w:val="24"/>
        </w:rPr>
        <w:t>Two further initiatives funded under the £30 million Planned Care investment also yielded strong results. Electrophysiology (EP) delivered 72 cases, exceeding its planned volume of 64. The Coronary service met its planned 70-case target in full.</w:t>
      </w:r>
    </w:p>
    <w:p w14:paraId="250594EC" w14:textId="77777777" w:rsidR="00E331C0" w:rsidRPr="00E331C0" w:rsidRDefault="00E331C0" w:rsidP="00C33BDD">
      <w:pPr>
        <w:spacing w:after="160" w:line="259" w:lineRule="auto"/>
        <w:rPr>
          <w:rFonts w:eastAsiaTheme="minorHAnsi" w:cs="Arial"/>
          <w:spacing w:val="0"/>
          <w:szCs w:val="24"/>
        </w:rPr>
      </w:pPr>
      <w:r w:rsidRPr="00E331C0">
        <w:rPr>
          <w:rFonts w:eastAsiaTheme="minorHAnsi" w:cs="Arial"/>
          <w:spacing w:val="0"/>
          <w:szCs w:val="24"/>
        </w:rPr>
        <w:t>Additionally, the Advanced Heart Failure Service undertook 29 heart transplants during the 2024/25 financial year, reinforcing NHS GJ’s role as a key provider of specialist cardiac care.</w:t>
      </w:r>
    </w:p>
    <w:p w14:paraId="1229FEEB" w14:textId="54E20A91" w:rsidR="008956F8" w:rsidRDefault="008956F8" w:rsidP="00C33BDD">
      <w:pPr>
        <w:spacing w:after="160" w:line="259" w:lineRule="auto"/>
        <w:rPr>
          <w:rFonts w:eastAsiaTheme="minorHAnsi" w:cs="Arial"/>
          <w:b/>
          <w:spacing w:val="0"/>
          <w:szCs w:val="24"/>
        </w:rPr>
      </w:pPr>
    </w:p>
    <w:p w14:paraId="24338F50" w14:textId="51890FA5" w:rsidR="0054121D" w:rsidRPr="008956F8" w:rsidRDefault="0054121D" w:rsidP="00C33BDD">
      <w:pPr>
        <w:spacing w:after="160" w:line="259" w:lineRule="auto"/>
        <w:rPr>
          <w:rFonts w:eastAsiaTheme="minorHAnsi" w:cs="Arial"/>
          <w:b/>
          <w:spacing w:val="0"/>
          <w:szCs w:val="24"/>
        </w:rPr>
      </w:pPr>
      <w:r w:rsidRPr="008956F8">
        <w:rPr>
          <w:rFonts w:eastAsiaTheme="minorHAnsi" w:cs="Arial"/>
          <w:b/>
          <w:spacing w:val="0"/>
          <w:szCs w:val="24"/>
        </w:rPr>
        <w:t>Cancer Performance</w:t>
      </w:r>
    </w:p>
    <w:p w14:paraId="690DBD16" w14:textId="076666C9" w:rsidR="0054121D" w:rsidRPr="008956F8" w:rsidRDefault="0054121D" w:rsidP="00C33BDD">
      <w:pPr>
        <w:spacing w:after="160" w:line="259" w:lineRule="auto"/>
        <w:rPr>
          <w:rFonts w:eastAsiaTheme="minorHAnsi" w:cs="Arial"/>
          <w:spacing w:val="0"/>
          <w:szCs w:val="24"/>
        </w:rPr>
      </w:pPr>
      <w:r w:rsidRPr="008956F8">
        <w:rPr>
          <w:rFonts w:eastAsiaTheme="minorHAnsi" w:cs="Arial"/>
          <w:spacing w:val="0"/>
          <w:szCs w:val="24"/>
        </w:rPr>
        <w:t xml:space="preserve">NHS GJ </w:t>
      </w:r>
      <w:r w:rsidR="00E345A6">
        <w:rPr>
          <w:rFonts w:eastAsiaTheme="minorHAnsi" w:cs="Arial"/>
          <w:spacing w:val="0"/>
          <w:szCs w:val="24"/>
        </w:rPr>
        <w:t>delivers</w:t>
      </w:r>
      <w:r w:rsidRPr="008956F8">
        <w:rPr>
          <w:rFonts w:eastAsiaTheme="minorHAnsi" w:cs="Arial"/>
          <w:spacing w:val="0"/>
          <w:szCs w:val="24"/>
        </w:rPr>
        <w:t xml:space="preserve"> lung cancer procedures</w:t>
      </w:r>
      <w:r w:rsidR="00E345A6">
        <w:rPr>
          <w:rFonts w:eastAsiaTheme="minorHAnsi" w:cs="Arial"/>
          <w:spacing w:val="0"/>
          <w:szCs w:val="24"/>
        </w:rPr>
        <w:t xml:space="preserve"> which are</w:t>
      </w:r>
      <w:r w:rsidRPr="008956F8">
        <w:rPr>
          <w:rFonts w:eastAsiaTheme="minorHAnsi" w:cs="Arial"/>
          <w:spacing w:val="0"/>
          <w:szCs w:val="24"/>
        </w:rPr>
        <w:t xml:space="preserve"> reported under the 31-day cancer target. </w:t>
      </w:r>
    </w:p>
    <w:p w14:paraId="0AE16AA4" w14:textId="5786D632" w:rsidR="00CE4A9E" w:rsidRPr="008956F8" w:rsidRDefault="008956F8" w:rsidP="00C33BDD">
      <w:pPr>
        <w:spacing w:after="160" w:line="259" w:lineRule="auto"/>
        <w:rPr>
          <w:rFonts w:eastAsiaTheme="minorHAnsi" w:cs="Arial"/>
          <w:spacing w:val="0"/>
          <w:szCs w:val="24"/>
        </w:rPr>
      </w:pPr>
      <w:r w:rsidRPr="008956F8">
        <w:rPr>
          <w:rFonts w:eastAsiaTheme="minorHAnsi" w:cs="Arial"/>
          <w:spacing w:val="0"/>
          <w:szCs w:val="24"/>
        </w:rPr>
        <w:t xml:space="preserve">Current national reporting is </w:t>
      </w:r>
      <w:r w:rsidR="00AB30FB">
        <w:rPr>
          <w:rFonts w:eastAsiaTheme="minorHAnsi" w:cs="Arial"/>
          <w:spacing w:val="0"/>
          <w:szCs w:val="24"/>
        </w:rPr>
        <w:t>available up</w:t>
      </w:r>
      <w:r w:rsidR="00AB30FB" w:rsidRPr="008956F8">
        <w:rPr>
          <w:rFonts w:eastAsiaTheme="minorHAnsi" w:cs="Arial"/>
          <w:spacing w:val="0"/>
          <w:szCs w:val="24"/>
        </w:rPr>
        <w:t xml:space="preserve"> </w:t>
      </w:r>
      <w:r w:rsidRPr="008956F8">
        <w:rPr>
          <w:rFonts w:eastAsiaTheme="minorHAnsi" w:cs="Arial"/>
          <w:spacing w:val="0"/>
          <w:szCs w:val="24"/>
        </w:rPr>
        <w:t>to February 2025</w:t>
      </w:r>
      <w:r w:rsidR="00E345A6">
        <w:rPr>
          <w:rFonts w:eastAsiaTheme="minorHAnsi" w:cs="Arial"/>
          <w:spacing w:val="0"/>
          <w:szCs w:val="24"/>
        </w:rPr>
        <w:t>,</w:t>
      </w:r>
      <w:r w:rsidRPr="008956F8">
        <w:rPr>
          <w:rFonts w:eastAsiaTheme="minorHAnsi" w:cs="Arial"/>
          <w:spacing w:val="0"/>
          <w:szCs w:val="24"/>
        </w:rPr>
        <w:t xml:space="preserve"> with performance </w:t>
      </w:r>
      <w:r w:rsidR="00E345A6">
        <w:rPr>
          <w:rFonts w:eastAsiaTheme="minorHAnsi" w:cs="Arial"/>
          <w:spacing w:val="0"/>
          <w:szCs w:val="24"/>
        </w:rPr>
        <w:t xml:space="preserve">recorded </w:t>
      </w:r>
      <w:r w:rsidRPr="008956F8">
        <w:rPr>
          <w:rFonts w:eastAsiaTheme="minorHAnsi" w:cs="Arial"/>
          <w:spacing w:val="0"/>
          <w:szCs w:val="24"/>
        </w:rPr>
        <w:t>at 100% (24</w:t>
      </w:r>
      <w:r w:rsidR="00E345A6">
        <w:rPr>
          <w:rFonts w:eastAsiaTheme="minorHAnsi" w:cs="Arial"/>
          <w:spacing w:val="0"/>
          <w:szCs w:val="24"/>
        </w:rPr>
        <w:t xml:space="preserve"> out of 24 cases</w:t>
      </w:r>
      <w:r w:rsidRPr="008956F8">
        <w:rPr>
          <w:rFonts w:eastAsiaTheme="minorHAnsi" w:cs="Arial"/>
          <w:spacing w:val="0"/>
          <w:szCs w:val="24"/>
        </w:rPr>
        <w:t xml:space="preserve">). </w:t>
      </w:r>
      <w:r w:rsidR="00E345A6">
        <w:rPr>
          <w:rFonts w:eastAsiaTheme="minorHAnsi" w:cs="Arial"/>
          <w:spacing w:val="0"/>
          <w:szCs w:val="24"/>
        </w:rPr>
        <w:t>The y</w:t>
      </w:r>
      <w:r w:rsidRPr="008956F8">
        <w:rPr>
          <w:rFonts w:eastAsiaTheme="minorHAnsi" w:cs="Arial"/>
          <w:spacing w:val="0"/>
          <w:szCs w:val="24"/>
        </w:rPr>
        <w:t>ear</w:t>
      </w:r>
      <w:r w:rsidR="00E345A6">
        <w:rPr>
          <w:rFonts w:eastAsiaTheme="minorHAnsi" w:cs="Arial"/>
          <w:spacing w:val="0"/>
          <w:szCs w:val="24"/>
        </w:rPr>
        <w:t>-</w:t>
      </w:r>
      <w:r w:rsidRPr="008956F8">
        <w:rPr>
          <w:rFonts w:eastAsiaTheme="minorHAnsi" w:cs="Arial"/>
          <w:spacing w:val="0"/>
          <w:szCs w:val="24"/>
        </w:rPr>
        <w:t>to</w:t>
      </w:r>
      <w:r w:rsidR="00E345A6">
        <w:rPr>
          <w:rFonts w:eastAsiaTheme="minorHAnsi" w:cs="Arial"/>
          <w:spacing w:val="0"/>
          <w:szCs w:val="24"/>
        </w:rPr>
        <w:t>-</w:t>
      </w:r>
      <w:r w:rsidRPr="008956F8">
        <w:rPr>
          <w:rFonts w:eastAsiaTheme="minorHAnsi" w:cs="Arial"/>
          <w:spacing w:val="0"/>
          <w:szCs w:val="24"/>
        </w:rPr>
        <w:t xml:space="preserve">date aggregated position for 2024/2025 </w:t>
      </w:r>
      <w:r w:rsidR="00E345A6">
        <w:rPr>
          <w:rFonts w:eastAsiaTheme="minorHAnsi" w:cs="Arial"/>
          <w:spacing w:val="0"/>
          <w:szCs w:val="24"/>
        </w:rPr>
        <w:t>stands at</w:t>
      </w:r>
      <w:r w:rsidRPr="008956F8">
        <w:rPr>
          <w:rFonts w:eastAsiaTheme="minorHAnsi" w:cs="Arial"/>
          <w:spacing w:val="0"/>
          <w:szCs w:val="24"/>
        </w:rPr>
        <w:t xml:space="preserve"> 98.9% </w:t>
      </w:r>
      <w:r w:rsidR="00E345A6">
        <w:rPr>
          <w:rFonts w:eastAsiaTheme="minorHAnsi" w:cs="Arial"/>
          <w:spacing w:val="0"/>
          <w:szCs w:val="24"/>
        </w:rPr>
        <w:t>with 346 out of 350 patients treated within target timescales</w:t>
      </w:r>
      <w:proofErr w:type="gramStart"/>
      <w:r w:rsidR="00E345A6">
        <w:rPr>
          <w:rFonts w:eastAsiaTheme="minorHAnsi" w:cs="Arial"/>
          <w:spacing w:val="0"/>
          <w:szCs w:val="24"/>
        </w:rPr>
        <w:t>.</w:t>
      </w:r>
      <w:r w:rsidRPr="008956F8">
        <w:rPr>
          <w:rFonts w:eastAsiaTheme="minorHAnsi" w:cs="Arial"/>
          <w:spacing w:val="0"/>
          <w:szCs w:val="24"/>
        </w:rPr>
        <w:t>.</w:t>
      </w:r>
      <w:proofErr w:type="gramEnd"/>
    </w:p>
    <w:p w14:paraId="772647C9" w14:textId="77777777" w:rsidR="00CE21A2" w:rsidRPr="0006120B" w:rsidRDefault="00CE21A2" w:rsidP="00C33BDD">
      <w:pPr>
        <w:spacing w:after="160" w:line="259" w:lineRule="auto"/>
        <w:rPr>
          <w:rFonts w:eastAsiaTheme="minorHAnsi" w:cs="Arial"/>
          <w:spacing w:val="0"/>
          <w:szCs w:val="24"/>
        </w:rPr>
      </w:pPr>
    </w:p>
    <w:p w14:paraId="50573968" w14:textId="1C298819" w:rsidR="00CD49F6" w:rsidRPr="00C33BDD" w:rsidRDefault="00C87B62" w:rsidP="00C33BDD">
      <w:pPr>
        <w:pStyle w:val="Heading3"/>
        <w:spacing w:line="276" w:lineRule="auto"/>
        <w:rPr>
          <w:color w:val="auto"/>
        </w:rPr>
      </w:pPr>
      <w:r w:rsidRPr="0006120B">
        <w:rPr>
          <w:color w:val="auto"/>
        </w:rPr>
        <w:t>2</w:t>
      </w:r>
      <w:r w:rsidR="00BF3AF0" w:rsidRPr="0006120B">
        <w:rPr>
          <w:color w:val="auto"/>
        </w:rPr>
        <w:t>.3.1</w:t>
      </w:r>
      <w:r w:rsidR="00BF3AF0" w:rsidRPr="0006120B">
        <w:rPr>
          <w:color w:val="auto"/>
        </w:rPr>
        <w:tab/>
      </w:r>
      <w:r w:rsidR="00F3337D" w:rsidRPr="0006120B">
        <w:rPr>
          <w:color w:val="auto"/>
        </w:rPr>
        <w:t>Quality/ Patient Care</w:t>
      </w:r>
    </w:p>
    <w:p w14:paraId="0D9DF1BC" w14:textId="7B122695" w:rsidR="00F3337D" w:rsidRPr="0006120B" w:rsidRDefault="00CD49F6" w:rsidP="00C33BDD">
      <w:pPr>
        <w:spacing w:before="40" w:after="40" w:line="276" w:lineRule="auto"/>
        <w:rPr>
          <w:rFonts w:cs="Arial"/>
          <w:szCs w:val="24"/>
        </w:rPr>
      </w:pPr>
      <w:r w:rsidRPr="0006120B">
        <w:rPr>
          <w:rFonts w:cs="Arial"/>
          <w:szCs w:val="24"/>
        </w:rPr>
        <w:t>Delivery of the 202</w:t>
      </w:r>
      <w:r w:rsidR="0006120B" w:rsidRPr="0006120B">
        <w:rPr>
          <w:rFonts w:cs="Arial"/>
          <w:szCs w:val="24"/>
        </w:rPr>
        <w:t>4</w:t>
      </w:r>
      <w:r w:rsidRPr="0006120B">
        <w:rPr>
          <w:rFonts w:cs="Arial"/>
          <w:szCs w:val="24"/>
        </w:rPr>
        <w:t>/2</w:t>
      </w:r>
      <w:r w:rsidR="0006120B" w:rsidRPr="0006120B">
        <w:rPr>
          <w:rFonts w:cs="Arial"/>
          <w:szCs w:val="24"/>
        </w:rPr>
        <w:t>5</w:t>
      </w:r>
      <w:r w:rsidRPr="0006120B">
        <w:rPr>
          <w:rFonts w:cs="Arial"/>
          <w:szCs w:val="24"/>
        </w:rPr>
        <w:t xml:space="preserve"> activity plan is a key focus to optimise quality services and patient care.</w:t>
      </w:r>
    </w:p>
    <w:p w14:paraId="7F4F84BF" w14:textId="77777777" w:rsidR="00F3337D" w:rsidRPr="0006120B" w:rsidRDefault="00F3337D" w:rsidP="00C33BDD">
      <w:pPr>
        <w:pStyle w:val="ListParagraph"/>
        <w:ind w:left="1440"/>
        <w:rPr>
          <w:rFonts w:ascii="Arial" w:hAnsi="Arial" w:cs="Arial"/>
          <w:sz w:val="24"/>
          <w:szCs w:val="24"/>
        </w:rPr>
      </w:pPr>
    </w:p>
    <w:p w14:paraId="6E510C17" w14:textId="3BEC2BCC" w:rsidR="00F3337D" w:rsidRPr="00C33BDD" w:rsidRDefault="00C87B62" w:rsidP="00C33BDD">
      <w:pPr>
        <w:pStyle w:val="Heading3"/>
        <w:spacing w:line="276" w:lineRule="auto"/>
        <w:rPr>
          <w:color w:val="auto"/>
        </w:rPr>
      </w:pPr>
      <w:r w:rsidRPr="0006120B">
        <w:rPr>
          <w:color w:val="auto"/>
        </w:rPr>
        <w:t>2</w:t>
      </w:r>
      <w:r w:rsidR="00BF3AF0" w:rsidRPr="0006120B">
        <w:rPr>
          <w:color w:val="auto"/>
        </w:rPr>
        <w:t>.3.2</w:t>
      </w:r>
      <w:r w:rsidR="00BF3AF0" w:rsidRPr="0006120B">
        <w:rPr>
          <w:color w:val="auto"/>
        </w:rPr>
        <w:tab/>
      </w:r>
      <w:r w:rsidR="00AA77F7" w:rsidRPr="0006120B">
        <w:rPr>
          <w:color w:val="auto"/>
        </w:rPr>
        <w:t>Workforce</w:t>
      </w:r>
    </w:p>
    <w:p w14:paraId="024FA7DB" w14:textId="15FAAD7C" w:rsidR="00CD49F6" w:rsidRPr="0006120B" w:rsidRDefault="00CD49F6" w:rsidP="00C33BDD">
      <w:pPr>
        <w:rPr>
          <w:rFonts w:cs="Arial"/>
          <w:szCs w:val="24"/>
        </w:rPr>
      </w:pPr>
      <w:r w:rsidRPr="0006120B">
        <w:rPr>
          <w:rFonts w:cs="Arial"/>
          <w:szCs w:val="24"/>
        </w:rPr>
        <w:t xml:space="preserve">Delivery of the </w:t>
      </w:r>
      <w:r w:rsidR="0006120B" w:rsidRPr="0006120B">
        <w:rPr>
          <w:rFonts w:cs="Arial"/>
          <w:szCs w:val="24"/>
        </w:rPr>
        <w:t xml:space="preserve">2024/25 </w:t>
      </w:r>
      <w:r w:rsidRPr="0006120B">
        <w:rPr>
          <w:rFonts w:cs="Arial"/>
          <w:szCs w:val="24"/>
        </w:rPr>
        <w:t>activity plan is underpinned by robust workforce planning.</w:t>
      </w:r>
    </w:p>
    <w:p w14:paraId="7BC6039A" w14:textId="2D38FDA6" w:rsidR="00CD49F6" w:rsidRPr="0006120B" w:rsidRDefault="00CD49F6" w:rsidP="00C33BDD">
      <w:pPr>
        <w:rPr>
          <w:rFonts w:cs="Arial"/>
          <w:szCs w:val="24"/>
        </w:rPr>
      </w:pPr>
    </w:p>
    <w:p w14:paraId="7E678937" w14:textId="77777777" w:rsidR="00CD49F6" w:rsidRPr="0006120B" w:rsidRDefault="00CD49F6" w:rsidP="00C33BDD">
      <w:pPr>
        <w:rPr>
          <w:rFonts w:cs="Arial"/>
          <w:szCs w:val="24"/>
        </w:rPr>
      </w:pPr>
    </w:p>
    <w:p w14:paraId="39646F32" w14:textId="47ABFF81" w:rsidR="00CD49F6" w:rsidRPr="00C33BDD" w:rsidRDefault="00C87B62" w:rsidP="00C33BDD">
      <w:pPr>
        <w:pStyle w:val="Heading3"/>
        <w:spacing w:line="276" w:lineRule="auto"/>
        <w:rPr>
          <w:color w:val="auto"/>
        </w:rPr>
      </w:pPr>
      <w:r w:rsidRPr="0006120B">
        <w:rPr>
          <w:color w:val="auto"/>
        </w:rPr>
        <w:t>2</w:t>
      </w:r>
      <w:r w:rsidR="00BF3AF0" w:rsidRPr="0006120B">
        <w:rPr>
          <w:color w:val="auto"/>
        </w:rPr>
        <w:t>.3.3</w:t>
      </w:r>
      <w:r w:rsidR="00BF3AF0" w:rsidRPr="0006120B">
        <w:rPr>
          <w:color w:val="auto"/>
        </w:rPr>
        <w:tab/>
      </w:r>
      <w:r w:rsidR="00C33BDD">
        <w:rPr>
          <w:color w:val="auto"/>
        </w:rPr>
        <w:t>F</w:t>
      </w:r>
      <w:r w:rsidR="00F3337D" w:rsidRPr="0006120B">
        <w:rPr>
          <w:color w:val="auto"/>
        </w:rPr>
        <w:t>inancial</w:t>
      </w:r>
    </w:p>
    <w:p w14:paraId="497766A6" w14:textId="389884F8" w:rsidR="00CD49F6" w:rsidRPr="0006120B" w:rsidRDefault="00CD49F6" w:rsidP="00C33BDD">
      <w:pPr>
        <w:spacing w:before="40" w:after="40" w:line="276" w:lineRule="auto"/>
        <w:rPr>
          <w:rFonts w:cs="Arial"/>
          <w:szCs w:val="24"/>
        </w:rPr>
      </w:pPr>
      <w:r w:rsidRPr="0006120B">
        <w:rPr>
          <w:rFonts w:cs="Arial"/>
          <w:szCs w:val="24"/>
        </w:rPr>
        <w:t xml:space="preserve">Delivery of the </w:t>
      </w:r>
      <w:r w:rsidR="0006120B" w:rsidRPr="0006120B">
        <w:rPr>
          <w:rFonts w:cs="Arial"/>
          <w:szCs w:val="24"/>
        </w:rPr>
        <w:t xml:space="preserve">2024/25 </w:t>
      </w:r>
      <w:r w:rsidRPr="0006120B">
        <w:rPr>
          <w:rFonts w:cs="Arial"/>
          <w:szCs w:val="24"/>
        </w:rPr>
        <w:t>activity plan is managed in line with the Board Financial Plan.</w:t>
      </w:r>
    </w:p>
    <w:p w14:paraId="63DD22C6" w14:textId="77777777" w:rsidR="00CD49F6" w:rsidRPr="0006120B" w:rsidRDefault="00CD49F6" w:rsidP="00C33BDD">
      <w:pPr>
        <w:spacing w:before="40" w:after="40" w:line="276" w:lineRule="auto"/>
        <w:rPr>
          <w:rFonts w:cs="Arial"/>
          <w:szCs w:val="24"/>
        </w:rPr>
      </w:pPr>
    </w:p>
    <w:p w14:paraId="46FDCAB4" w14:textId="044B24EE" w:rsidR="00F3337D" w:rsidRPr="00C33BDD" w:rsidRDefault="00C87B62" w:rsidP="00C33BDD">
      <w:pPr>
        <w:pStyle w:val="Heading3"/>
        <w:spacing w:line="276" w:lineRule="auto"/>
        <w:rPr>
          <w:color w:val="auto"/>
        </w:rPr>
      </w:pPr>
      <w:r w:rsidRPr="0006120B">
        <w:rPr>
          <w:color w:val="auto"/>
        </w:rPr>
        <w:lastRenderedPageBreak/>
        <w:t>2</w:t>
      </w:r>
      <w:r w:rsidR="00BF3AF0" w:rsidRPr="0006120B">
        <w:rPr>
          <w:color w:val="auto"/>
        </w:rPr>
        <w:t>.3.4</w:t>
      </w:r>
      <w:r w:rsidR="00BF3AF0" w:rsidRPr="0006120B">
        <w:rPr>
          <w:color w:val="auto"/>
        </w:rPr>
        <w:tab/>
      </w:r>
      <w:r w:rsidR="00F3337D" w:rsidRPr="0006120B">
        <w:rPr>
          <w:color w:val="auto"/>
        </w:rPr>
        <w:t>Risk Assessment</w:t>
      </w:r>
      <w:r w:rsidR="00BF3AF0" w:rsidRPr="0006120B">
        <w:rPr>
          <w:color w:val="auto"/>
        </w:rPr>
        <w:t>/</w:t>
      </w:r>
      <w:r w:rsidR="00F3337D" w:rsidRPr="0006120B">
        <w:rPr>
          <w:color w:val="auto"/>
        </w:rPr>
        <w:t>Management</w:t>
      </w:r>
    </w:p>
    <w:p w14:paraId="3EB0E701" w14:textId="5458CDB5" w:rsidR="00CD49F6" w:rsidRPr="0006120B" w:rsidRDefault="00CD49F6" w:rsidP="00C33BDD">
      <w:pPr>
        <w:spacing w:before="40" w:after="40" w:line="276" w:lineRule="auto"/>
        <w:rPr>
          <w:rFonts w:cs="Arial"/>
          <w:szCs w:val="24"/>
        </w:rPr>
      </w:pPr>
      <w:r w:rsidRPr="0006120B">
        <w:rPr>
          <w:rFonts w:cs="Arial"/>
          <w:szCs w:val="24"/>
        </w:rPr>
        <w:t>Delivery risks associated with the activity plan are considered during monthly Confirm and Challenge meetings.</w:t>
      </w:r>
    </w:p>
    <w:p w14:paraId="6DD876B6" w14:textId="77777777" w:rsidR="00CD49F6" w:rsidRPr="0006120B" w:rsidRDefault="00CD49F6" w:rsidP="00C33BDD">
      <w:pPr>
        <w:spacing w:before="40" w:after="40" w:line="276" w:lineRule="auto"/>
        <w:rPr>
          <w:rFonts w:cs="Arial"/>
          <w:szCs w:val="24"/>
        </w:rPr>
      </w:pPr>
    </w:p>
    <w:p w14:paraId="5C80C0D5" w14:textId="6BF1A640" w:rsidR="00F3337D" w:rsidRPr="00C33BDD" w:rsidRDefault="00C87B62" w:rsidP="00C33BDD">
      <w:pPr>
        <w:pStyle w:val="Heading3"/>
        <w:spacing w:line="276" w:lineRule="auto"/>
        <w:rPr>
          <w:color w:val="auto"/>
        </w:rPr>
      </w:pPr>
      <w:r w:rsidRPr="0006120B">
        <w:rPr>
          <w:color w:val="auto"/>
        </w:rPr>
        <w:t>2</w:t>
      </w:r>
      <w:r w:rsidR="00BF3AF0" w:rsidRPr="0006120B">
        <w:rPr>
          <w:color w:val="auto"/>
        </w:rPr>
        <w:t>.3.5</w:t>
      </w:r>
      <w:r w:rsidR="00BF3AF0" w:rsidRPr="0006120B">
        <w:rPr>
          <w:color w:val="auto"/>
        </w:rPr>
        <w:tab/>
      </w:r>
      <w:r w:rsidR="00F3337D" w:rsidRPr="0006120B">
        <w:rPr>
          <w:color w:val="auto"/>
        </w:rPr>
        <w:t>Equality and Diversity, including health inequalities</w:t>
      </w:r>
    </w:p>
    <w:p w14:paraId="527290C2" w14:textId="5B03849F" w:rsidR="00F3337D" w:rsidRPr="0006120B" w:rsidRDefault="00F3337D" w:rsidP="00C33BDD">
      <w:pPr>
        <w:spacing w:before="40" w:after="40" w:line="276" w:lineRule="auto"/>
        <w:rPr>
          <w:rFonts w:cs="Arial"/>
          <w:szCs w:val="24"/>
        </w:rPr>
      </w:pPr>
      <w:r w:rsidRPr="0006120B">
        <w:rPr>
          <w:rFonts w:cs="Arial"/>
          <w:szCs w:val="24"/>
        </w:rPr>
        <w:t>An impact assessment has not been completed because</w:t>
      </w:r>
      <w:r w:rsidR="00775051" w:rsidRPr="0006120B">
        <w:rPr>
          <w:rFonts w:cs="Arial"/>
          <w:szCs w:val="24"/>
        </w:rPr>
        <w:t xml:space="preserve"> this report describes routine “business as usual” activity reporting.</w:t>
      </w:r>
    </w:p>
    <w:p w14:paraId="1028331A" w14:textId="77777777" w:rsidR="00BF3AF0" w:rsidRPr="0006120B" w:rsidRDefault="00BF3AF0" w:rsidP="00C33BDD">
      <w:pPr>
        <w:spacing w:before="40" w:after="40" w:line="276" w:lineRule="auto"/>
        <w:ind w:left="720"/>
        <w:rPr>
          <w:rFonts w:cs="Arial"/>
          <w:szCs w:val="24"/>
          <w:highlight w:val="lightGray"/>
        </w:rPr>
      </w:pPr>
    </w:p>
    <w:p w14:paraId="032E2865" w14:textId="77777777" w:rsidR="00446219" w:rsidRPr="0006120B" w:rsidRDefault="00C87B62" w:rsidP="00C33BDD">
      <w:pPr>
        <w:pStyle w:val="Heading3"/>
        <w:rPr>
          <w:color w:val="auto"/>
        </w:rPr>
      </w:pPr>
      <w:r w:rsidRPr="0006120B">
        <w:rPr>
          <w:color w:val="auto"/>
        </w:rPr>
        <w:t>2</w:t>
      </w:r>
      <w:r w:rsidR="00BF3AF0" w:rsidRPr="0006120B">
        <w:rPr>
          <w:color w:val="auto"/>
        </w:rPr>
        <w:t>.3.6</w:t>
      </w:r>
      <w:r w:rsidR="00BF3AF0" w:rsidRPr="0006120B">
        <w:rPr>
          <w:color w:val="auto"/>
        </w:rPr>
        <w:tab/>
      </w:r>
      <w:r w:rsidR="00446219" w:rsidRPr="0006120B">
        <w:rPr>
          <w:color w:val="auto"/>
        </w:rPr>
        <w:t>Other</w:t>
      </w:r>
      <w:r w:rsidR="00BF3AF0" w:rsidRPr="0006120B">
        <w:rPr>
          <w:color w:val="auto"/>
        </w:rPr>
        <w:t xml:space="preserve"> impacts</w:t>
      </w:r>
    </w:p>
    <w:p w14:paraId="025FF64A" w14:textId="0C690358" w:rsidR="00AA77F7" w:rsidRPr="00C33BDD" w:rsidRDefault="006C5C9F" w:rsidP="00C33BDD">
      <w:pPr>
        <w:autoSpaceDE w:val="0"/>
        <w:autoSpaceDN w:val="0"/>
        <w:adjustRightInd w:val="0"/>
        <w:ind w:firstLine="720"/>
        <w:rPr>
          <w:rFonts w:eastAsiaTheme="minorHAnsi" w:cs="Arial"/>
          <w:spacing w:val="0"/>
          <w:szCs w:val="23"/>
        </w:rPr>
      </w:pPr>
      <w:r w:rsidRPr="0006120B">
        <w:rPr>
          <w:rFonts w:eastAsiaTheme="minorHAnsi" w:cs="Arial"/>
          <w:b/>
          <w:bCs/>
          <w:spacing w:val="0"/>
          <w:szCs w:val="23"/>
        </w:rPr>
        <w:t xml:space="preserve">Climate Emergency and Sustainability </w:t>
      </w:r>
    </w:p>
    <w:p w14:paraId="7FB6450A" w14:textId="3B5967E4" w:rsidR="00775051" w:rsidRDefault="00775051" w:rsidP="00C33BDD">
      <w:pPr>
        <w:rPr>
          <w:rFonts w:cs="Arial"/>
          <w:szCs w:val="24"/>
        </w:rPr>
      </w:pPr>
      <w:r w:rsidRPr="0006120B">
        <w:rPr>
          <w:rFonts w:cs="Arial"/>
          <w:szCs w:val="24"/>
        </w:rPr>
        <w:t>N/A</w:t>
      </w:r>
    </w:p>
    <w:p w14:paraId="6FF3695F" w14:textId="77777777" w:rsidR="00C33BDD" w:rsidRPr="0006120B" w:rsidRDefault="00C33BDD" w:rsidP="00C33BDD">
      <w:pPr>
        <w:rPr>
          <w:rFonts w:cs="Arial"/>
          <w:szCs w:val="24"/>
        </w:rPr>
      </w:pPr>
    </w:p>
    <w:p w14:paraId="3986308C" w14:textId="05BCF726" w:rsidR="00F3337D" w:rsidRPr="00C33BDD" w:rsidRDefault="00446219" w:rsidP="00C33BDD">
      <w:pPr>
        <w:pStyle w:val="Heading3"/>
        <w:numPr>
          <w:ilvl w:val="2"/>
          <w:numId w:val="16"/>
        </w:numPr>
        <w:rPr>
          <w:rFonts w:eastAsia="Times New Roman"/>
          <w:color w:val="auto"/>
        </w:rPr>
      </w:pPr>
      <w:r w:rsidRPr="0006120B">
        <w:rPr>
          <w:rFonts w:eastAsia="Times New Roman"/>
          <w:color w:val="auto"/>
        </w:rPr>
        <w:t>Communication, involvement, engagement and consultation</w:t>
      </w:r>
    </w:p>
    <w:p w14:paraId="694C1A74" w14:textId="26451F22" w:rsidR="00AF0530" w:rsidRPr="0006120B" w:rsidRDefault="00446219" w:rsidP="00C33BDD">
      <w:pPr>
        <w:spacing w:before="40" w:after="40" w:line="276" w:lineRule="auto"/>
        <w:rPr>
          <w:rFonts w:cs="Arial"/>
          <w:szCs w:val="24"/>
        </w:rPr>
      </w:pPr>
      <w:r w:rsidRPr="0006120B">
        <w:rPr>
          <w:rFonts w:cs="Arial"/>
          <w:szCs w:val="24"/>
        </w:rPr>
        <w:t xml:space="preserve">The Board has carried out its duties to involve and engage </w:t>
      </w:r>
      <w:r w:rsidR="00AF0530" w:rsidRPr="0006120B">
        <w:rPr>
          <w:rFonts w:cs="Arial"/>
          <w:szCs w:val="24"/>
        </w:rPr>
        <w:t xml:space="preserve">external </w:t>
      </w:r>
      <w:r w:rsidRPr="0006120B">
        <w:rPr>
          <w:rFonts w:cs="Arial"/>
          <w:szCs w:val="24"/>
        </w:rPr>
        <w:t>stakeholders</w:t>
      </w:r>
      <w:r w:rsidR="00AF0530" w:rsidRPr="0006120B">
        <w:rPr>
          <w:rFonts w:cs="Arial"/>
          <w:szCs w:val="24"/>
        </w:rPr>
        <w:t xml:space="preserve"> where appropriate</w:t>
      </w:r>
      <w:r w:rsidRPr="0006120B">
        <w:rPr>
          <w:rFonts w:cs="Arial"/>
          <w:szCs w:val="24"/>
        </w:rPr>
        <w:t>:</w:t>
      </w:r>
    </w:p>
    <w:p w14:paraId="5743C3F0" w14:textId="696D26B9" w:rsidR="00446219" w:rsidRPr="0006120B" w:rsidRDefault="00775051" w:rsidP="00C33BDD">
      <w:pPr>
        <w:pStyle w:val="ListParagraph"/>
        <w:numPr>
          <w:ilvl w:val="0"/>
          <w:numId w:val="4"/>
        </w:numPr>
        <w:spacing w:before="40" w:after="40" w:line="276" w:lineRule="auto"/>
        <w:rPr>
          <w:rFonts w:ascii="Arial" w:hAnsi="Arial" w:cs="Arial"/>
          <w:sz w:val="24"/>
          <w:szCs w:val="24"/>
        </w:rPr>
      </w:pPr>
      <w:r w:rsidRPr="0006120B">
        <w:rPr>
          <w:rFonts w:ascii="Arial" w:hAnsi="Arial" w:cs="Arial"/>
          <w:sz w:val="24"/>
          <w:szCs w:val="24"/>
        </w:rPr>
        <w:t>Month 12 data provided to Divisional Teams and Director of Operations in April 202</w:t>
      </w:r>
      <w:r w:rsidR="0006120B" w:rsidRPr="0006120B">
        <w:rPr>
          <w:rFonts w:ascii="Arial" w:hAnsi="Arial" w:cs="Arial"/>
          <w:sz w:val="24"/>
          <w:szCs w:val="24"/>
        </w:rPr>
        <w:t>5</w:t>
      </w:r>
      <w:r w:rsidRPr="0006120B">
        <w:rPr>
          <w:rFonts w:ascii="Arial" w:hAnsi="Arial" w:cs="Arial"/>
          <w:sz w:val="24"/>
          <w:szCs w:val="24"/>
        </w:rPr>
        <w:t>.</w:t>
      </w:r>
    </w:p>
    <w:p w14:paraId="46E05957" w14:textId="77777777" w:rsidR="00B851FC" w:rsidRPr="0006120B" w:rsidRDefault="00B851FC" w:rsidP="00C33BDD">
      <w:pPr>
        <w:pStyle w:val="ListParagraph"/>
        <w:spacing w:before="40" w:after="40" w:line="276" w:lineRule="auto"/>
        <w:ind w:left="1080"/>
        <w:rPr>
          <w:rFonts w:ascii="Arial" w:hAnsi="Arial" w:cs="Arial"/>
          <w:sz w:val="24"/>
          <w:szCs w:val="24"/>
          <w:highlight w:val="lightGray"/>
        </w:rPr>
      </w:pPr>
    </w:p>
    <w:p w14:paraId="786BB218" w14:textId="652F1380" w:rsidR="00446219" w:rsidRPr="00C33BDD" w:rsidRDefault="00446219" w:rsidP="00C33BDD">
      <w:pPr>
        <w:pStyle w:val="Heading3"/>
        <w:numPr>
          <w:ilvl w:val="2"/>
          <w:numId w:val="16"/>
        </w:numPr>
        <w:rPr>
          <w:color w:val="auto"/>
        </w:rPr>
      </w:pPr>
      <w:r w:rsidRPr="0006120B">
        <w:rPr>
          <w:color w:val="auto"/>
        </w:rPr>
        <w:t>Route to the Meeting</w:t>
      </w:r>
    </w:p>
    <w:p w14:paraId="3BE45714" w14:textId="7C33D245" w:rsidR="00446219" w:rsidRPr="0006120B" w:rsidRDefault="00E30CF5" w:rsidP="00C33BDD">
      <w:pPr>
        <w:pStyle w:val="ListParagraph"/>
        <w:numPr>
          <w:ilvl w:val="0"/>
          <w:numId w:val="5"/>
        </w:numPr>
        <w:spacing w:line="276" w:lineRule="auto"/>
        <w:rPr>
          <w:rFonts w:ascii="Arial" w:hAnsi="Arial" w:cs="Arial"/>
          <w:sz w:val="24"/>
        </w:rPr>
      </w:pPr>
      <w:r>
        <w:rPr>
          <w:rFonts w:ascii="Arial" w:hAnsi="Arial" w:cs="Arial"/>
          <w:sz w:val="24"/>
          <w:szCs w:val="24"/>
        </w:rPr>
        <w:t>Finance and Performance Committee</w:t>
      </w:r>
    </w:p>
    <w:p w14:paraId="41ED7514" w14:textId="77777777" w:rsidR="00430C09" w:rsidRPr="0006120B" w:rsidRDefault="00430C09" w:rsidP="00C33BDD">
      <w:pPr>
        <w:pStyle w:val="Heading2"/>
        <w:spacing w:line="276" w:lineRule="auto"/>
        <w:rPr>
          <w:color w:val="auto"/>
        </w:rPr>
      </w:pPr>
    </w:p>
    <w:p w14:paraId="4DB15FCC" w14:textId="219F148C" w:rsidR="00BF3AF0" w:rsidRDefault="00BF3AF0" w:rsidP="00C33BDD">
      <w:pPr>
        <w:pStyle w:val="Heading2"/>
        <w:numPr>
          <w:ilvl w:val="1"/>
          <w:numId w:val="16"/>
        </w:numPr>
        <w:rPr>
          <w:color w:val="auto"/>
        </w:rPr>
      </w:pPr>
      <w:r w:rsidRPr="0006120B">
        <w:rPr>
          <w:color w:val="auto"/>
        </w:rPr>
        <w:t>Recommendation</w:t>
      </w:r>
    </w:p>
    <w:p w14:paraId="1C305F7C" w14:textId="77777777" w:rsidR="00C33BDD" w:rsidRPr="00C33BDD" w:rsidRDefault="00C33BDD" w:rsidP="00C33BDD">
      <w:pPr>
        <w:pStyle w:val="ListParagraph"/>
        <w:ind w:left="525"/>
      </w:pPr>
    </w:p>
    <w:p w14:paraId="206E10F8" w14:textId="4E71DBF7" w:rsidR="00446219" w:rsidRPr="00E30CF5" w:rsidRDefault="00BF3AF0" w:rsidP="00E30CF5">
      <w:pPr>
        <w:numPr>
          <w:ilvl w:val="0"/>
          <w:numId w:val="1"/>
        </w:numPr>
        <w:spacing w:before="40" w:after="40" w:line="276" w:lineRule="auto"/>
        <w:ind w:hanging="252"/>
        <w:rPr>
          <w:rFonts w:cs="Arial"/>
          <w:szCs w:val="24"/>
        </w:rPr>
      </w:pPr>
      <w:r w:rsidRPr="0006120B">
        <w:rPr>
          <w:rFonts w:cs="Arial"/>
          <w:b/>
          <w:szCs w:val="24"/>
        </w:rPr>
        <w:t>Discussion</w:t>
      </w:r>
      <w:r w:rsidRPr="0006120B">
        <w:rPr>
          <w:rFonts w:cs="Arial"/>
          <w:szCs w:val="24"/>
        </w:rPr>
        <w:t xml:space="preserve"> – </w:t>
      </w:r>
      <w:r w:rsidR="00E30CF5">
        <w:rPr>
          <w:rFonts w:cs="Arial"/>
          <w:szCs w:val="24"/>
        </w:rPr>
        <w:t>NHS GJ Board is</w:t>
      </w:r>
      <w:r w:rsidR="00775051" w:rsidRPr="00E30CF5">
        <w:rPr>
          <w:rFonts w:cs="Arial"/>
          <w:szCs w:val="24"/>
        </w:rPr>
        <w:t xml:space="preserve"> invited to discuss this report.</w:t>
      </w:r>
    </w:p>
    <w:p w14:paraId="398DB07E" w14:textId="77777777" w:rsidR="00C87B62" w:rsidRPr="0006120B" w:rsidRDefault="00C87B62" w:rsidP="00C33BDD">
      <w:pPr>
        <w:spacing w:before="40" w:after="40" w:line="276" w:lineRule="auto"/>
        <w:rPr>
          <w:rFonts w:cs="Arial"/>
          <w:szCs w:val="24"/>
        </w:rPr>
      </w:pPr>
    </w:p>
    <w:p w14:paraId="0BB8A6AC" w14:textId="77777777" w:rsidR="00C87B62" w:rsidRPr="0006120B" w:rsidRDefault="00C87B62" w:rsidP="00C33BDD">
      <w:pPr>
        <w:pStyle w:val="Heading2"/>
        <w:numPr>
          <w:ilvl w:val="0"/>
          <w:numId w:val="16"/>
        </w:numPr>
        <w:spacing w:line="276" w:lineRule="auto"/>
        <w:rPr>
          <w:color w:val="auto"/>
        </w:rPr>
      </w:pPr>
      <w:r w:rsidRPr="0006120B">
        <w:rPr>
          <w:color w:val="auto"/>
        </w:rPr>
        <w:t>List of appendices</w:t>
      </w:r>
    </w:p>
    <w:p w14:paraId="45DEC03E" w14:textId="77777777" w:rsidR="00C87B62" w:rsidRPr="0006120B" w:rsidRDefault="00C87B62" w:rsidP="00C33BDD">
      <w:pPr>
        <w:spacing w:before="40" w:after="40" w:line="276" w:lineRule="auto"/>
        <w:rPr>
          <w:rFonts w:cs="Arial"/>
          <w:szCs w:val="24"/>
        </w:rPr>
      </w:pPr>
    </w:p>
    <w:p w14:paraId="0D81E75D" w14:textId="406BE939" w:rsidR="00C87B62" w:rsidRPr="0006120B" w:rsidRDefault="00C87B62" w:rsidP="00C33BDD">
      <w:pPr>
        <w:spacing w:before="40" w:after="40" w:line="276" w:lineRule="auto"/>
        <w:ind w:firstLine="525"/>
        <w:rPr>
          <w:rFonts w:cs="Arial"/>
          <w:szCs w:val="24"/>
        </w:rPr>
      </w:pPr>
      <w:r w:rsidRPr="0006120B">
        <w:rPr>
          <w:rFonts w:cs="Arial"/>
          <w:szCs w:val="24"/>
        </w:rPr>
        <w:t xml:space="preserve">The following appendices are included with this </w:t>
      </w:r>
      <w:r w:rsidR="00610728" w:rsidRPr="0006120B">
        <w:rPr>
          <w:rFonts w:cs="Arial"/>
          <w:szCs w:val="24"/>
        </w:rPr>
        <w:t>report</w:t>
      </w:r>
      <w:r w:rsidRPr="0006120B">
        <w:rPr>
          <w:rFonts w:cs="Arial"/>
          <w:szCs w:val="24"/>
        </w:rPr>
        <w:t>:</w:t>
      </w:r>
    </w:p>
    <w:p w14:paraId="4B959049" w14:textId="77777777" w:rsidR="00C87B62" w:rsidRPr="0006120B" w:rsidRDefault="00C87B62" w:rsidP="00C33BDD">
      <w:pPr>
        <w:pStyle w:val="ListParagraph"/>
        <w:spacing w:before="40" w:after="40" w:line="276" w:lineRule="auto"/>
        <w:ind w:left="1253"/>
        <w:rPr>
          <w:rFonts w:ascii="Arial" w:hAnsi="Arial" w:cs="Arial"/>
          <w:sz w:val="24"/>
          <w:szCs w:val="24"/>
        </w:rPr>
      </w:pPr>
    </w:p>
    <w:p w14:paraId="66811F5C" w14:textId="1854BE87" w:rsidR="00C87B62" w:rsidRPr="0006120B" w:rsidRDefault="00C87B62" w:rsidP="00C33BDD">
      <w:pPr>
        <w:pStyle w:val="ListParagraph"/>
        <w:numPr>
          <w:ilvl w:val="0"/>
          <w:numId w:val="17"/>
        </w:numPr>
        <w:spacing w:before="40" w:after="40" w:line="276" w:lineRule="auto"/>
        <w:rPr>
          <w:rFonts w:cs="Arial"/>
          <w:szCs w:val="24"/>
        </w:rPr>
      </w:pPr>
      <w:r w:rsidRPr="0006120B">
        <w:rPr>
          <w:rFonts w:ascii="Arial" w:hAnsi="Arial" w:cs="Arial"/>
          <w:sz w:val="24"/>
          <w:szCs w:val="24"/>
        </w:rPr>
        <w:t>Appendix No</w:t>
      </w:r>
      <w:r w:rsidR="00775051" w:rsidRPr="0006120B">
        <w:rPr>
          <w:rFonts w:ascii="Arial" w:hAnsi="Arial" w:cs="Arial"/>
          <w:sz w:val="24"/>
          <w:szCs w:val="24"/>
        </w:rPr>
        <w:t xml:space="preserve"> 1</w:t>
      </w:r>
      <w:r w:rsidR="00CE21A2" w:rsidRPr="0006120B">
        <w:rPr>
          <w:rFonts w:ascii="Arial" w:hAnsi="Arial" w:cs="Arial"/>
          <w:sz w:val="24"/>
          <w:szCs w:val="24"/>
        </w:rPr>
        <w:t xml:space="preserve"> 202</w:t>
      </w:r>
      <w:r w:rsidR="0006120B" w:rsidRPr="0006120B">
        <w:rPr>
          <w:rFonts w:ascii="Arial" w:hAnsi="Arial" w:cs="Arial"/>
          <w:sz w:val="24"/>
          <w:szCs w:val="24"/>
        </w:rPr>
        <w:t>4</w:t>
      </w:r>
      <w:r w:rsidR="00CE21A2" w:rsidRPr="0006120B">
        <w:rPr>
          <w:rFonts w:ascii="Arial" w:hAnsi="Arial" w:cs="Arial"/>
          <w:sz w:val="24"/>
          <w:szCs w:val="24"/>
        </w:rPr>
        <w:t>/2</w:t>
      </w:r>
      <w:r w:rsidR="0006120B" w:rsidRPr="0006120B">
        <w:rPr>
          <w:rFonts w:ascii="Arial" w:hAnsi="Arial" w:cs="Arial"/>
          <w:sz w:val="24"/>
          <w:szCs w:val="24"/>
        </w:rPr>
        <w:t>5</w:t>
      </w:r>
      <w:r w:rsidR="00CE21A2" w:rsidRPr="0006120B">
        <w:rPr>
          <w:rFonts w:ascii="Arial" w:hAnsi="Arial" w:cs="Arial"/>
          <w:sz w:val="24"/>
          <w:szCs w:val="24"/>
        </w:rPr>
        <w:t xml:space="preserve"> End of year activity position</w:t>
      </w:r>
      <w:r w:rsidR="00732812">
        <w:rPr>
          <w:rFonts w:ascii="Arial" w:hAnsi="Arial" w:cs="Arial"/>
          <w:sz w:val="24"/>
          <w:szCs w:val="24"/>
        </w:rPr>
        <w:t xml:space="preserve"> and Planned Care profiles 24/25</w:t>
      </w:r>
    </w:p>
    <w:sectPr w:rsidR="00C87B62" w:rsidRPr="0006120B"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6D701" w14:textId="77777777" w:rsidR="00B37B6C" w:rsidRDefault="00B37B6C">
      <w:r>
        <w:separator/>
      </w:r>
    </w:p>
  </w:endnote>
  <w:endnote w:type="continuationSeparator" w:id="0">
    <w:p w14:paraId="0944FDAC" w14:textId="77777777" w:rsidR="00B37B6C" w:rsidRDefault="00B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1D0F8459"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953EFB">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953EFB">
      <w:rPr>
        <w:rFonts w:cs="Arial"/>
        <w:noProof/>
        <w:sz w:val="16"/>
        <w:szCs w:val="16"/>
      </w:rPr>
      <w:t>5</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D8F91" w14:textId="77777777" w:rsidR="00B37B6C" w:rsidRDefault="00B37B6C">
      <w:r>
        <w:separator/>
      </w:r>
    </w:p>
  </w:footnote>
  <w:footnote w:type="continuationSeparator" w:id="0">
    <w:p w14:paraId="1A3ABF87" w14:textId="77777777" w:rsidR="00B37B6C" w:rsidRDefault="00B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4DE9" w14:textId="64AB46AE" w:rsidR="00C33BDD" w:rsidRDefault="00953EFB" w:rsidP="00953EFB">
    <w:pPr>
      <w:pStyle w:val="Header"/>
      <w:jc w:val="right"/>
    </w:pPr>
    <w:r>
      <w:tab/>
    </w:r>
    <w:r>
      <w:tab/>
      <w:t>Item 3.4.4</w:t>
    </w:r>
    <w:r w:rsidR="0084479A">
      <w:tab/>
    </w:r>
    <w:r w:rsidR="0084479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6D375FC"/>
    <w:multiLevelType w:val="multilevel"/>
    <w:tmpl w:val="143A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0"/>
  </w:num>
  <w:num w:numId="4">
    <w:abstractNumId w:val="17"/>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36854"/>
    <w:rsid w:val="00047714"/>
    <w:rsid w:val="0006120B"/>
    <w:rsid w:val="00091974"/>
    <w:rsid w:val="000938E2"/>
    <w:rsid w:val="000945DB"/>
    <w:rsid w:val="000A6ABF"/>
    <w:rsid w:val="000F7706"/>
    <w:rsid w:val="00125A9E"/>
    <w:rsid w:val="00140DB3"/>
    <w:rsid w:val="0016491B"/>
    <w:rsid w:val="001A729F"/>
    <w:rsid w:val="0023473B"/>
    <w:rsid w:val="00245992"/>
    <w:rsid w:val="002618B3"/>
    <w:rsid w:val="00273DE0"/>
    <w:rsid w:val="00313633"/>
    <w:rsid w:val="0033790B"/>
    <w:rsid w:val="003F7F61"/>
    <w:rsid w:val="00430C09"/>
    <w:rsid w:val="00446219"/>
    <w:rsid w:val="0045670C"/>
    <w:rsid w:val="00495B36"/>
    <w:rsid w:val="004A39D0"/>
    <w:rsid w:val="004C24DE"/>
    <w:rsid w:val="0054121D"/>
    <w:rsid w:val="00591C18"/>
    <w:rsid w:val="00602E67"/>
    <w:rsid w:val="00610728"/>
    <w:rsid w:val="006173A9"/>
    <w:rsid w:val="00646F56"/>
    <w:rsid w:val="00651BB1"/>
    <w:rsid w:val="00680390"/>
    <w:rsid w:val="006C5C9F"/>
    <w:rsid w:val="006D1343"/>
    <w:rsid w:val="00732812"/>
    <w:rsid w:val="00775051"/>
    <w:rsid w:val="007B74B3"/>
    <w:rsid w:val="007C0E97"/>
    <w:rsid w:val="007F32CF"/>
    <w:rsid w:val="00803AB7"/>
    <w:rsid w:val="00813863"/>
    <w:rsid w:val="00816E22"/>
    <w:rsid w:val="00826B02"/>
    <w:rsid w:val="0084479A"/>
    <w:rsid w:val="008956F8"/>
    <w:rsid w:val="008F5EBB"/>
    <w:rsid w:val="009256FD"/>
    <w:rsid w:val="00927C6C"/>
    <w:rsid w:val="0093611B"/>
    <w:rsid w:val="00941473"/>
    <w:rsid w:val="00953EFB"/>
    <w:rsid w:val="009807B4"/>
    <w:rsid w:val="00A00347"/>
    <w:rsid w:val="00A2680C"/>
    <w:rsid w:val="00A27587"/>
    <w:rsid w:val="00A3493E"/>
    <w:rsid w:val="00A62B58"/>
    <w:rsid w:val="00A84C97"/>
    <w:rsid w:val="00A84F4B"/>
    <w:rsid w:val="00AA77F7"/>
    <w:rsid w:val="00AB30FB"/>
    <w:rsid w:val="00AE4614"/>
    <w:rsid w:val="00AE522B"/>
    <w:rsid w:val="00AF0530"/>
    <w:rsid w:val="00AF20DE"/>
    <w:rsid w:val="00AF356A"/>
    <w:rsid w:val="00B178D4"/>
    <w:rsid w:val="00B37B6C"/>
    <w:rsid w:val="00B546C8"/>
    <w:rsid w:val="00B562FA"/>
    <w:rsid w:val="00B62987"/>
    <w:rsid w:val="00B7445F"/>
    <w:rsid w:val="00B77902"/>
    <w:rsid w:val="00B851FC"/>
    <w:rsid w:val="00BB4794"/>
    <w:rsid w:val="00BF3AF0"/>
    <w:rsid w:val="00C33BDD"/>
    <w:rsid w:val="00C84F0D"/>
    <w:rsid w:val="00C87B62"/>
    <w:rsid w:val="00C94BF7"/>
    <w:rsid w:val="00CA4567"/>
    <w:rsid w:val="00CA65F1"/>
    <w:rsid w:val="00CD49F6"/>
    <w:rsid w:val="00CE21A2"/>
    <w:rsid w:val="00CE4A9E"/>
    <w:rsid w:val="00D21327"/>
    <w:rsid w:val="00D64E4D"/>
    <w:rsid w:val="00DB6F7B"/>
    <w:rsid w:val="00DD2D3D"/>
    <w:rsid w:val="00DD6252"/>
    <w:rsid w:val="00DF1BE0"/>
    <w:rsid w:val="00E21EBC"/>
    <w:rsid w:val="00E30CF5"/>
    <w:rsid w:val="00E331C0"/>
    <w:rsid w:val="00E345A6"/>
    <w:rsid w:val="00E71CD2"/>
    <w:rsid w:val="00EE6E20"/>
    <w:rsid w:val="00EF2558"/>
    <w:rsid w:val="00F220C3"/>
    <w:rsid w:val="00F3337D"/>
    <w:rsid w:val="00F42F7D"/>
    <w:rsid w:val="00F47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39"/>
    <w:rsid w:val="00CA45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4454">
      <w:bodyDiv w:val="1"/>
      <w:marLeft w:val="0"/>
      <w:marRight w:val="0"/>
      <w:marTop w:val="0"/>
      <w:marBottom w:val="0"/>
      <w:divBdr>
        <w:top w:val="none" w:sz="0" w:space="0" w:color="auto"/>
        <w:left w:val="none" w:sz="0" w:space="0" w:color="auto"/>
        <w:bottom w:val="none" w:sz="0" w:space="0" w:color="auto"/>
        <w:right w:val="none" w:sz="0" w:space="0" w:color="auto"/>
      </w:divBdr>
    </w:div>
    <w:div w:id="493381492">
      <w:bodyDiv w:val="1"/>
      <w:marLeft w:val="0"/>
      <w:marRight w:val="0"/>
      <w:marTop w:val="0"/>
      <w:marBottom w:val="0"/>
      <w:divBdr>
        <w:top w:val="none" w:sz="0" w:space="0" w:color="auto"/>
        <w:left w:val="none" w:sz="0" w:space="0" w:color="auto"/>
        <w:bottom w:val="none" w:sz="0" w:space="0" w:color="auto"/>
        <w:right w:val="none" w:sz="0" w:space="0" w:color="auto"/>
      </w:divBdr>
    </w:div>
    <w:div w:id="1459953175">
      <w:bodyDiv w:val="1"/>
      <w:marLeft w:val="0"/>
      <w:marRight w:val="0"/>
      <w:marTop w:val="0"/>
      <w:marBottom w:val="0"/>
      <w:divBdr>
        <w:top w:val="none" w:sz="0" w:space="0" w:color="auto"/>
        <w:left w:val="none" w:sz="0" w:space="0" w:color="auto"/>
        <w:bottom w:val="none" w:sz="0" w:space="0" w:color="auto"/>
        <w:right w:val="none" w:sz="0" w:space="0" w:color="auto"/>
      </w:divBdr>
    </w:div>
    <w:div w:id="1942713834">
      <w:bodyDiv w:val="1"/>
      <w:marLeft w:val="0"/>
      <w:marRight w:val="0"/>
      <w:marTop w:val="0"/>
      <w:marBottom w:val="0"/>
      <w:divBdr>
        <w:top w:val="none" w:sz="0" w:space="0" w:color="auto"/>
        <w:left w:val="none" w:sz="0" w:space="0" w:color="auto"/>
        <w:bottom w:val="none" w:sz="0" w:space="0" w:color="auto"/>
        <w:right w:val="none" w:sz="0" w:space="0" w:color="auto"/>
      </w:divBdr>
    </w:div>
    <w:div w:id="208024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5</Pages>
  <Words>1455</Words>
  <Characters>8296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13</cp:revision>
  <cp:lastPrinted>2019-10-07T12:25:00Z</cp:lastPrinted>
  <dcterms:created xsi:type="dcterms:W3CDTF">2025-04-24T10:01:00Z</dcterms:created>
  <dcterms:modified xsi:type="dcterms:W3CDTF">2025-05-21T12:55:00Z</dcterms:modified>
</cp:coreProperties>
</file>