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89E34" w14:textId="77777777" w:rsidR="005C2A43" w:rsidRDefault="005C2A43" w:rsidP="005C2A43">
      <w:pPr>
        <w:jc w:val="center"/>
        <w:rPr>
          <w:rFonts w:ascii="Arial" w:hAnsi="Arial" w:cs="Arial"/>
          <w:b/>
          <w:color w:val="17365D" w:themeColor="text2" w:themeShade="BF"/>
          <w:sz w:val="28"/>
          <w:szCs w:val="28"/>
        </w:rPr>
      </w:pPr>
      <w:bookmarkStart w:id="0" w:name="_Toc169451036"/>
    </w:p>
    <w:p w14:paraId="48F340C9" w14:textId="3BC1312F" w:rsidR="005C2A43" w:rsidRPr="005C2A43" w:rsidRDefault="005C2A43" w:rsidP="005C2A43">
      <w:pPr>
        <w:jc w:val="center"/>
        <w:rPr>
          <w:rFonts w:ascii="Arial" w:hAnsi="Arial" w:cs="Arial"/>
          <w:b/>
          <w:color w:val="17365D" w:themeColor="text2" w:themeShade="BF"/>
          <w:sz w:val="28"/>
          <w:szCs w:val="28"/>
        </w:rPr>
      </w:pPr>
      <w:r w:rsidRPr="005C2A43">
        <w:rPr>
          <w:rFonts w:ascii="Arial" w:hAnsi="Arial" w:cs="Arial"/>
          <w:b/>
          <w:color w:val="17365D" w:themeColor="text2" w:themeShade="BF"/>
          <w:sz w:val="28"/>
          <w:szCs w:val="28"/>
        </w:rPr>
        <w:t xml:space="preserve">Duty of Candour Annual Report </w:t>
      </w:r>
    </w:p>
    <w:p w14:paraId="37094BE4" w14:textId="77777777" w:rsidR="005C2A43" w:rsidRPr="00E55781" w:rsidRDefault="005C2A43" w:rsidP="005C2A43">
      <w:pPr>
        <w:rPr>
          <w:rFonts w:ascii="Arial Narrow" w:hAnsi="Arial Narrow"/>
          <w:b/>
        </w:rPr>
      </w:pPr>
    </w:p>
    <w:p w14:paraId="7AB140BE" w14:textId="77777777" w:rsidR="005C2A43" w:rsidRPr="00E55781" w:rsidRDefault="005C2A43" w:rsidP="005C2A43">
      <w:pPr>
        <w:rPr>
          <w:rFonts w:ascii="Arial Narrow" w:hAnsi="Arial Narrow"/>
        </w:rPr>
      </w:pPr>
    </w:p>
    <w:p w14:paraId="7D0DADD5" w14:textId="77777777" w:rsidR="005C2A43" w:rsidRPr="00E55781" w:rsidRDefault="005C2A43" w:rsidP="005C2A43">
      <w:pPr>
        <w:rPr>
          <w:rFonts w:ascii="Arial Narrow" w:hAnsi="Arial Narrow"/>
        </w:rPr>
      </w:pPr>
    </w:p>
    <w:p w14:paraId="10D2CB7A" w14:textId="77777777" w:rsidR="005C2A43" w:rsidRPr="00E55781" w:rsidRDefault="005C2A43" w:rsidP="005C2A43">
      <w:pPr>
        <w:rPr>
          <w:rFonts w:ascii="Arial Narrow" w:hAnsi="Arial Narrow"/>
        </w:rPr>
      </w:pPr>
    </w:p>
    <w:p w14:paraId="01D4CDFB" w14:textId="77777777" w:rsidR="005C2A43" w:rsidRPr="00E55781" w:rsidRDefault="005C2A43" w:rsidP="005C2A43">
      <w:pPr>
        <w:jc w:val="center"/>
        <w:rPr>
          <w:rFonts w:ascii="Arial Narrow" w:hAnsi="Arial Narrow"/>
        </w:rPr>
      </w:pPr>
      <w:r w:rsidRPr="00E55781">
        <w:rPr>
          <w:rFonts w:ascii="Arial Narrow" w:hAnsi="Arial Narrow"/>
          <w:noProof/>
          <w:lang w:val="en-GB" w:eastAsia="en-GB"/>
        </w:rPr>
        <w:drawing>
          <wp:inline distT="0" distB="0" distL="0" distR="0" wp14:anchorId="44E5C5D9" wp14:editId="3DE3F6F1">
            <wp:extent cx="4180205" cy="2386965"/>
            <wp:effectExtent l="57150" t="38100" r="29845" b="13335"/>
            <wp:docPr id="3" name="Picture 50" descr="DSC_0014_New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SC_0014_New Entrance"/>
                    <pic:cNvPicPr>
                      <a:picLocks noChangeAspect="1" noChangeArrowheads="1"/>
                    </pic:cNvPicPr>
                  </pic:nvPicPr>
                  <pic:blipFill>
                    <a:blip r:embed="rId11" cstate="print"/>
                    <a:srcRect/>
                    <a:stretch>
                      <a:fillRect/>
                    </a:stretch>
                  </pic:blipFill>
                  <pic:spPr bwMode="auto">
                    <a:xfrm>
                      <a:off x="0" y="0"/>
                      <a:ext cx="4180205" cy="2386965"/>
                    </a:xfrm>
                    <a:prstGeom prst="rect">
                      <a:avLst/>
                    </a:prstGeom>
                    <a:solidFill>
                      <a:srgbClr val="CCFFFF"/>
                    </a:solidFill>
                    <a:ln w="38100" cmpd="dbl">
                      <a:solidFill>
                        <a:srgbClr val="CCFFFF"/>
                      </a:solidFill>
                      <a:miter lim="800000"/>
                      <a:headEnd/>
                      <a:tailEnd/>
                    </a:ln>
                    <a:effectLst/>
                  </pic:spPr>
                </pic:pic>
              </a:graphicData>
            </a:graphic>
          </wp:inline>
        </w:drawing>
      </w:r>
    </w:p>
    <w:p w14:paraId="5BEED4AC" w14:textId="77777777" w:rsidR="005C2A43" w:rsidRPr="00E55781" w:rsidRDefault="005C2A43" w:rsidP="005C2A43">
      <w:pPr>
        <w:rPr>
          <w:rFonts w:ascii="Arial Narrow" w:hAnsi="Arial Narrow"/>
        </w:rPr>
      </w:pPr>
    </w:p>
    <w:p w14:paraId="7461B70E" w14:textId="77777777" w:rsidR="005C2A43" w:rsidRPr="00E55781" w:rsidRDefault="005C2A43" w:rsidP="005C2A43">
      <w:pPr>
        <w:rPr>
          <w:rFonts w:ascii="Arial" w:hAnsi="Arial" w:cs="Arial"/>
        </w:rPr>
      </w:pPr>
    </w:p>
    <w:p w14:paraId="63B88C7E" w14:textId="77777777" w:rsidR="005C2A43" w:rsidRPr="00E55781" w:rsidRDefault="005C2A43" w:rsidP="005C2A43">
      <w:pPr>
        <w:rPr>
          <w:rFonts w:ascii="Arial" w:hAnsi="Arial" w:cs="Arial"/>
        </w:rPr>
      </w:pPr>
    </w:p>
    <w:p w14:paraId="39F2BA15" w14:textId="77777777" w:rsidR="005C2A43" w:rsidRPr="00E55781" w:rsidRDefault="005C2A43" w:rsidP="005C2A43">
      <w:pPr>
        <w:rPr>
          <w:rFonts w:ascii="Arial" w:hAnsi="Arial" w:cs="Arial"/>
        </w:rPr>
      </w:pPr>
    </w:p>
    <w:p w14:paraId="2FD97838" w14:textId="755F8250" w:rsidR="005C2A43" w:rsidRPr="005C2A43" w:rsidRDefault="004901D1" w:rsidP="005C2A43">
      <w:pPr>
        <w:jc w:val="center"/>
        <w:rPr>
          <w:rFonts w:ascii="Arial" w:hAnsi="Arial" w:cs="Arial"/>
          <w:b/>
          <w:color w:val="17365D" w:themeColor="text2" w:themeShade="BF"/>
          <w:sz w:val="28"/>
          <w:szCs w:val="28"/>
        </w:rPr>
      </w:pPr>
      <w:r w:rsidRPr="00BC52C9">
        <w:rPr>
          <w:rFonts w:ascii="Arial" w:hAnsi="Arial" w:cs="Arial"/>
          <w:b/>
          <w:color w:val="17365D" w:themeColor="text2" w:themeShade="BF"/>
          <w:sz w:val="28"/>
          <w:szCs w:val="28"/>
        </w:rPr>
        <w:t>2024 - 2025</w:t>
      </w:r>
    </w:p>
    <w:p w14:paraId="35012DB7" w14:textId="42E65C40" w:rsidR="005C2A43" w:rsidRDefault="005C2A43" w:rsidP="005C2A43">
      <w:pPr>
        <w:pStyle w:val="Heading1"/>
        <w:spacing w:line="276" w:lineRule="auto"/>
        <w:ind w:right="-286"/>
        <w:rPr>
          <w:color w:val="002060"/>
        </w:rPr>
      </w:pPr>
    </w:p>
    <w:p w14:paraId="1A6DE290" w14:textId="77777777" w:rsidR="005C2A43" w:rsidRPr="005C2A43" w:rsidRDefault="005C2A43" w:rsidP="005C2A43">
      <w:pPr>
        <w:rPr>
          <w:lang w:val="en-GB"/>
        </w:rPr>
      </w:pPr>
    </w:p>
    <w:bookmarkEnd w:id="0"/>
    <w:p w14:paraId="4D2ABC0B" w14:textId="17DFBB41" w:rsidR="00F007D8" w:rsidRPr="00E55781" w:rsidRDefault="00F007D8" w:rsidP="005C2A43">
      <w:pPr>
        <w:rPr>
          <w:rStyle w:val="Heading3Char"/>
          <w:b w:val="0"/>
        </w:rPr>
      </w:pPr>
    </w:p>
    <w:p w14:paraId="7B7CD785" w14:textId="77777777" w:rsidR="00F007D8" w:rsidRPr="00E55781" w:rsidRDefault="00F007D8" w:rsidP="00F007D8">
      <w:pPr>
        <w:pStyle w:val="Heading3"/>
        <w:spacing w:line="360" w:lineRule="auto"/>
        <w:ind w:left="4536" w:hanging="4536"/>
        <w:rPr>
          <w:b w:val="0"/>
          <w:sz w:val="24"/>
          <w:szCs w:val="24"/>
        </w:rPr>
      </w:pPr>
      <w:bookmarkStart w:id="1" w:name="_Toc169451037"/>
      <w:r w:rsidRPr="00E55781">
        <w:rPr>
          <w:rStyle w:val="Heading3Char"/>
          <w:b/>
          <w:sz w:val="24"/>
          <w:szCs w:val="24"/>
        </w:rPr>
        <w:t>Meeting:</w:t>
      </w:r>
      <w:r w:rsidRPr="00E55781">
        <w:rPr>
          <w:rStyle w:val="Heading3Char"/>
          <w:sz w:val="24"/>
          <w:szCs w:val="24"/>
        </w:rPr>
        <w:tab/>
        <w:t>Clinical Governance Risk Management Group</w:t>
      </w:r>
      <w:bookmarkEnd w:id="1"/>
    </w:p>
    <w:p w14:paraId="7F650E3C" w14:textId="6C2F15D0" w:rsidR="00F007D8" w:rsidRPr="00E55781" w:rsidRDefault="00F007D8" w:rsidP="00F007D8">
      <w:pPr>
        <w:pStyle w:val="Heading3"/>
        <w:spacing w:line="360" w:lineRule="auto"/>
        <w:ind w:left="4536" w:hanging="4536"/>
        <w:rPr>
          <w:rStyle w:val="Heading3Char"/>
          <w:b/>
          <w:sz w:val="24"/>
          <w:szCs w:val="24"/>
        </w:rPr>
      </w:pPr>
      <w:bookmarkStart w:id="2" w:name="_Toc169451038"/>
      <w:r w:rsidRPr="00E55781">
        <w:rPr>
          <w:rStyle w:val="Heading3Char"/>
          <w:b/>
          <w:sz w:val="24"/>
          <w:szCs w:val="24"/>
        </w:rPr>
        <w:t>Meeting date:</w:t>
      </w:r>
      <w:r w:rsidRPr="00E55781">
        <w:rPr>
          <w:rStyle w:val="Heading3Char"/>
          <w:sz w:val="24"/>
          <w:szCs w:val="24"/>
        </w:rPr>
        <w:tab/>
      </w:r>
      <w:r w:rsidRPr="00BC52C9">
        <w:rPr>
          <w:rStyle w:val="Heading3Char"/>
          <w:sz w:val="24"/>
          <w:szCs w:val="24"/>
        </w:rPr>
        <w:t>2</w:t>
      </w:r>
      <w:r w:rsidR="004901D1" w:rsidRPr="00BC52C9">
        <w:rPr>
          <w:rStyle w:val="Heading3Char"/>
          <w:sz w:val="24"/>
          <w:szCs w:val="24"/>
        </w:rPr>
        <w:t>0 May</w:t>
      </w:r>
      <w:r w:rsidRPr="00BC52C9">
        <w:rPr>
          <w:rStyle w:val="Heading3Char"/>
          <w:sz w:val="24"/>
          <w:szCs w:val="24"/>
        </w:rPr>
        <w:t xml:space="preserve"> 202</w:t>
      </w:r>
      <w:bookmarkEnd w:id="2"/>
      <w:r w:rsidR="004901D1" w:rsidRPr="00BC52C9">
        <w:rPr>
          <w:rStyle w:val="Heading3Char"/>
          <w:sz w:val="24"/>
          <w:szCs w:val="24"/>
        </w:rPr>
        <w:t>5</w:t>
      </w:r>
    </w:p>
    <w:p w14:paraId="62E01CFD" w14:textId="77777777" w:rsidR="00F007D8" w:rsidRPr="00E55781" w:rsidRDefault="00F007D8" w:rsidP="00F007D8">
      <w:pPr>
        <w:pStyle w:val="Heading3"/>
        <w:spacing w:line="360" w:lineRule="auto"/>
        <w:ind w:left="4536" w:hanging="4536"/>
        <w:rPr>
          <w:b w:val="0"/>
          <w:sz w:val="24"/>
          <w:szCs w:val="24"/>
        </w:rPr>
      </w:pPr>
      <w:bookmarkStart w:id="3" w:name="_Toc169451039"/>
      <w:r w:rsidRPr="00E55781">
        <w:rPr>
          <w:rStyle w:val="Heading3Char"/>
          <w:b/>
          <w:sz w:val="24"/>
          <w:szCs w:val="24"/>
        </w:rPr>
        <w:t>Title:</w:t>
      </w:r>
      <w:r w:rsidRPr="00E55781">
        <w:rPr>
          <w:rStyle w:val="Heading3Char"/>
          <w:sz w:val="24"/>
          <w:szCs w:val="24"/>
        </w:rPr>
        <w:tab/>
        <w:t>Duty of Candour Annual Report</w:t>
      </w:r>
      <w:bookmarkEnd w:id="3"/>
    </w:p>
    <w:p w14:paraId="4AC5063A" w14:textId="77777777" w:rsidR="00F007D8" w:rsidRPr="00E55781" w:rsidRDefault="00F007D8" w:rsidP="00F007D8">
      <w:pPr>
        <w:pStyle w:val="Heading3"/>
        <w:spacing w:line="360" w:lineRule="auto"/>
        <w:ind w:left="4536" w:hanging="4536"/>
        <w:rPr>
          <w:rStyle w:val="Heading3Char"/>
          <w:b/>
          <w:sz w:val="24"/>
          <w:szCs w:val="24"/>
        </w:rPr>
      </w:pPr>
      <w:bookmarkStart w:id="4" w:name="_Toc169451040"/>
      <w:r w:rsidRPr="00E55781">
        <w:rPr>
          <w:rStyle w:val="Heading3Char"/>
          <w:b/>
          <w:sz w:val="24"/>
          <w:szCs w:val="24"/>
        </w:rPr>
        <w:t>Responsible Executive/Non-Executive:</w:t>
      </w:r>
      <w:r w:rsidRPr="00E55781">
        <w:rPr>
          <w:rStyle w:val="Heading3Char"/>
          <w:sz w:val="24"/>
          <w:szCs w:val="24"/>
        </w:rPr>
        <w:t xml:space="preserve"> </w:t>
      </w:r>
      <w:r w:rsidRPr="00E55781">
        <w:rPr>
          <w:rStyle w:val="Heading3Char"/>
          <w:sz w:val="24"/>
          <w:szCs w:val="24"/>
        </w:rPr>
        <w:tab/>
        <w:t>Mark MacGregor, Executive Medical Director</w:t>
      </w:r>
      <w:bookmarkEnd w:id="4"/>
      <w:r w:rsidRPr="00E55781">
        <w:rPr>
          <w:rStyle w:val="Heading3Char"/>
          <w:sz w:val="24"/>
          <w:szCs w:val="24"/>
        </w:rPr>
        <w:t xml:space="preserve"> </w:t>
      </w:r>
    </w:p>
    <w:p w14:paraId="038CC3A1" w14:textId="07718640" w:rsidR="00F007D8" w:rsidRPr="00E55781" w:rsidRDefault="00F007D8" w:rsidP="00F007D8">
      <w:pPr>
        <w:pStyle w:val="Heading3"/>
        <w:spacing w:line="360" w:lineRule="auto"/>
        <w:ind w:left="4536" w:hanging="4536"/>
        <w:rPr>
          <w:rStyle w:val="Heading3Char"/>
          <w:b/>
          <w:sz w:val="24"/>
          <w:szCs w:val="24"/>
        </w:rPr>
      </w:pPr>
      <w:bookmarkStart w:id="5" w:name="_Toc169451041"/>
      <w:r w:rsidRPr="00E55781">
        <w:rPr>
          <w:rStyle w:val="Heading3Char"/>
          <w:b/>
          <w:sz w:val="24"/>
          <w:szCs w:val="24"/>
        </w:rPr>
        <w:t>Report Author:</w:t>
      </w:r>
      <w:r w:rsidRPr="00E55781">
        <w:rPr>
          <w:rStyle w:val="Heading3Char"/>
          <w:sz w:val="24"/>
          <w:szCs w:val="24"/>
        </w:rPr>
        <w:tab/>
        <w:t>K</w:t>
      </w:r>
      <w:r w:rsidR="00BC52C9">
        <w:rPr>
          <w:rStyle w:val="Heading3Char"/>
          <w:sz w:val="24"/>
          <w:szCs w:val="24"/>
        </w:rPr>
        <w:t>evin McMahon</w:t>
      </w:r>
      <w:r w:rsidRPr="00E55781">
        <w:rPr>
          <w:rStyle w:val="Heading3Char"/>
          <w:sz w:val="24"/>
          <w:szCs w:val="24"/>
        </w:rPr>
        <w:t xml:space="preserve">, Head of Risk and </w:t>
      </w:r>
      <w:r w:rsidR="003B0049" w:rsidRPr="00E55781">
        <w:rPr>
          <w:rStyle w:val="Heading3Char"/>
          <w:sz w:val="24"/>
          <w:szCs w:val="24"/>
        </w:rPr>
        <w:t xml:space="preserve">Clinical </w:t>
      </w:r>
      <w:r w:rsidRPr="00E55781">
        <w:rPr>
          <w:rStyle w:val="Heading3Char"/>
          <w:sz w:val="24"/>
          <w:szCs w:val="24"/>
        </w:rPr>
        <w:t>Governance</w:t>
      </w:r>
      <w:bookmarkEnd w:id="5"/>
      <w:r w:rsidRPr="00E55781">
        <w:rPr>
          <w:rStyle w:val="Heading3Char"/>
          <w:sz w:val="24"/>
          <w:szCs w:val="24"/>
        </w:rPr>
        <w:t xml:space="preserve"> </w:t>
      </w:r>
    </w:p>
    <w:p w14:paraId="4A39A1D3" w14:textId="15BFB3CD" w:rsidR="00F007D8" w:rsidRDefault="00F007D8" w:rsidP="00F007D8"/>
    <w:p w14:paraId="7E6D1F6F" w14:textId="6AB87330" w:rsidR="005C2A43" w:rsidRDefault="005C2A43" w:rsidP="00F007D8"/>
    <w:sdt>
      <w:sdtPr>
        <w:rPr>
          <w:rFonts w:ascii="Times New Roman" w:eastAsia="Times New Roman" w:hAnsi="Times New Roman" w:cs="Times New Roman"/>
          <w:color w:val="auto"/>
          <w:sz w:val="24"/>
          <w:szCs w:val="24"/>
        </w:rPr>
        <w:id w:val="1961987014"/>
        <w:docPartObj>
          <w:docPartGallery w:val="Table of Contents"/>
          <w:docPartUnique/>
        </w:docPartObj>
      </w:sdtPr>
      <w:sdtEndPr>
        <w:rPr>
          <w:b/>
          <w:bCs/>
          <w:noProof/>
        </w:rPr>
      </w:sdtEndPr>
      <w:sdtContent>
        <w:p w14:paraId="7C046AF4" w14:textId="77777777" w:rsidR="005C2A43" w:rsidRDefault="005C2A43">
          <w:pPr>
            <w:pStyle w:val="TOCHeading"/>
            <w:rPr>
              <w:rFonts w:ascii="Times New Roman" w:eastAsia="Times New Roman" w:hAnsi="Times New Roman" w:cs="Times New Roman"/>
              <w:color w:val="auto"/>
              <w:sz w:val="24"/>
              <w:szCs w:val="24"/>
            </w:rPr>
          </w:pPr>
        </w:p>
        <w:p w14:paraId="7022048A" w14:textId="3CA75F6B" w:rsidR="00166EBC" w:rsidRPr="00166EBC" w:rsidRDefault="00166EBC">
          <w:pPr>
            <w:pStyle w:val="TOCHeading"/>
            <w:rPr>
              <w:rFonts w:ascii="Arial" w:hAnsi="Arial" w:cs="Arial"/>
              <w:b/>
              <w:color w:val="1F497D" w:themeColor="text2"/>
              <w:sz w:val="28"/>
              <w:szCs w:val="28"/>
            </w:rPr>
          </w:pPr>
          <w:r w:rsidRPr="00166EBC">
            <w:rPr>
              <w:rFonts w:ascii="Arial" w:hAnsi="Arial" w:cs="Arial"/>
              <w:b/>
              <w:color w:val="1F497D" w:themeColor="text2"/>
              <w:sz w:val="28"/>
              <w:szCs w:val="28"/>
            </w:rPr>
            <w:t>Contents</w:t>
          </w:r>
        </w:p>
        <w:p w14:paraId="144A1590" w14:textId="6B2530E9" w:rsidR="00166EBC" w:rsidRPr="005C2A43" w:rsidRDefault="00166EBC" w:rsidP="00166EBC">
          <w:pPr>
            <w:pStyle w:val="TOC1"/>
            <w:tabs>
              <w:tab w:val="left" w:pos="2206"/>
              <w:tab w:val="right" w:leader="dot" w:pos="10659"/>
            </w:tabs>
            <w:rPr>
              <w:rFonts w:ascii="Arial" w:eastAsiaTheme="minorEastAsia" w:hAnsi="Arial" w:cs="Arial"/>
              <w:noProof/>
              <w:sz w:val="22"/>
              <w:szCs w:val="22"/>
              <w:lang w:val="en-GB" w:eastAsia="en-GB"/>
            </w:rPr>
          </w:pPr>
          <w:r w:rsidRPr="005C2A43">
            <w:fldChar w:fldCharType="begin"/>
          </w:r>
          <w:r w:rsidRPr="005C2A43">
            <w:instrText xml:space="preserve"> TOC \o "1-3" \h \z \u </w:instrText>
          </w:r>
          <w:r w:rsidRPr="005C2A43">
            <w:fldChar w:fldCharType="separate"/>
          </w:r>
        </w:p>
        <w:p w14:paraId="7929FAFE" w14:textId="046A78C7" w:rsidR="00166EBC" w:rsidRPr="005C2A43" w:rsidRDefault="003E2A67">
          <w:pPr>
            <w:pStyle w:val="TOC2"/>
            <w:tabs>
              <w:tab w:val="left" w:pos="660"/>
              <w:tab w:val="right" w:leader="dot" w:pos="10659"/>
            </w:tabs>
            <w:rPr>
              <w:rFonts w:ascii="Arial" w:eastAsiaTheme="minorEastAsia" w:hAnsi="Arial" w:cs="Arial"/>
              <w:noProof/>
              <w:sz w:val="22"/>
              <w:szCs w:val="22"/>
              <w:lang w:val="en-GB" w:eastAsia="en-GB"/>
            </w:rPr>
          </w:pPr>
          <w:hyperlink w:anchor="_Toc169451042" w:history="1">
            <w:r w:rsidR="00166EBC" w:rsidRPr="005C2A43">
              <w:rPr>
                <w:rStyle w:val="Hyperlink"/>
                <w:rFonts w:ascii="Arial" w:hAnsi="Arial" w:cs="Arial"/>
                <w:noProof/>
              </w:rPr>
              <w:t>1</w:t>
            </w:r>
            <w:r w:rsidR="00166EBC" w:rsidRPr="005C2A43">
              <w:rPr>
                <w:rFonts w:ascii="Arial" w:eastAsiaTheme="minorEastAsia" w:hAnsi="Arial" w:cs="Arial"/>
                <w:noProof/>
                <w:sz w:val="22"/>
                <w:szCs w:val="22"/>
                <w:lang w:val="en-GB" w:eastAsia="en-GB"/>
              </w:rPr>
              <w:tab/>
            </w:r>
            <w:r w:rsidR="00166EBC" w:rsidRPr="005C2A43">
              <w:rPr>
                <w:rStyle w:val="Hyperlink"/>
                <w:rFonts w:ascii="Arial" w:hAnsi="Arial" w:cs="Arial"/>
                <w:noProof/>
              </w:rPr>
              <w:t>Purpose</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_Toc169451042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3</w:t>
            </w:r>
            <w:r w:rsidR="00166EBC" w:rsidRPr="005C2A43">
              <w:rPr>
                <w:rFonts w:ascii="Arial" w:hAnsi="Arial" w:cs="Arial"/>
                <w:noProof/>
                <w:webHidden/>
              </w:rPr>
              <w:fldChar w:fldCharType="end"/>
            </w:r>
          </w:hyperlink>
        </w:p>
        <w:p w14:paraId="0FC6A27C" w14:textId="62C76908" w:rsidR="00166EBC" w:rsidRPr="005C2A43" w:rsidRDefault="003E2A67">
          <w:pPr>
            <w:pStyle w:val="TOC2"/>
            <w:tabs>
              <w:tab w:val="left" w:pos="660"/>
              <w:tab w:val="right" w:leader="dot" w:pos="10659"/>
            </w:tabs>
            <w:rPr>
              <w:rFonts w:ascii="Arial" w:eastAsiaTheme="minorEastAsia" w:hAnsi="Arial" w:cs="Arial"/>
              <w:noProof/>
              <w:sz w:val="22"/>
              <w:szCs w:val="22"/>
              <w:lang w:val="en-GB" w:eastAsia="en-GB"/>
            </w:rPr>
          </w:pPr>
          <w:hyperlink w:anchor="_Toc169451047" w:history="1">
            <w:r w:rsidR="00166EBC" w:rsidRPr="005C2A43">
              <w:rPr>
                <w:rStyle w:val="Hyperlink"/>
                <w:rFonts w:ascii="Arial" w:hAnsi="Arial" w:cs="Arial"/>
                <w:noProof/>
              </w:rPr>
              <w:t>2</w:t>
            </w:r>
            <w:r w:rsidR="00166EBC" w:rsidRPr="005C2A43">
              <w:rPr>
                <w:rFonts w:ascii="Arial" w:eastAsiaTheme="minorEastAsia" w:hAnsi="Arial" w:cs="Arial"/>
                <w:noProof/>
                <w:sz w:val="22"/>
                <w:szCs w:val="22"/>
                <w:lang w:val="en-GB" w:eastAsia="en-GB"/>
              </w:rPr>
              <w:tab/>
            </w:r>
            <w:r w:rsidR="00166EBC" w:rsidRPr="005C2A43">
              <w:rPr>
                <w:rStyle w:val="Hyperlink"/>
                <w:rFonts w:ascii="Arial" w:hAnsi="Arial" w:cs="Arial"/>
                <w:noProof/>
              </w:rPr>
              <w:t>Report summary</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_Toc169451047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3</w:t>
            </w:r>
            <w:r w:rsidR="00166EBC" w:rsidRPr="005C2A43">
              <w:rPr>
                <w:rFonts w:ascii="Arial" w:hAnsi="Arial" w:cs="Arial"/>
                <w:noProof/>
                <w:webHidden/>
              </w:rPr>
              <w:fldChar w:fldCharType="end"/>
            </w:r>
          </w:hyperlink>
        </w:p>
        <w:p w14:paraId="525420E0" w14:textId="24D16AA9" w:rsidR="00166EBC" w:rsidRPr="005C2A43" w:rsidRDefault="003E2A67">
          <w:pPr>
            <w:pStyle w:val="TOC2"/>
            <w:tabs>
              <w:tab w:val="left" w:pos="880"/>
              <w:tab w:val="right" w:leader="dot" w:pos="10659"/>
            </w:tabs>
            <w:rPr>
              <w:rFonts w:ascii="Arial" w:eastAsiaTheme="minorEastAsia" w:hAnsi="Arial" w:cs="Arial"/>
              <w:noProof/>
              <w:sz w:val="22"/>
              <w:szCs w:val="22"/>
              <w:lang w:val="en-GB" w:eastAsia="en-GB"/>
            </w:rPr>
          </w:pPr>
          <w:hyperlink w:anchor="_Toc169451048" w:history="1">
            <w:r w:rsidR="00166EBC" w:rsidRPr="005C2A43">
              <w:rPr>
                <w:rStyle w:val="Hyperlink"/>
                <w:rFonts w:ascii="Arial" w:hAnsi="Arial" w:cs="Arial"/>
                <w:noProof/>
              </w:rPr>
              <w:t>2.1</w:t>
            </w:r>
            <w:r w:rsidR="00166EBC" w:rsidRPr="005C2A43">
              <w:rPr>
                <w:rFonts w:ascii="Arial" w:eastAsiaTheme="minorEastAsia" w:hAnsi="Arial" w:cs="Arial"/>
                <w:noProof/>
                <w:sz w:val="22"/>
                <w:szCs w:val="22"/>
                <w:lang w:val="en-GB" w:eastAsia="en-GB"/>
              </w:rPr>
              <w:tab/>
            </w:r>
            <w:r w:rsidR="00166EBC" w:rsidRPr="005C2A43">
              <w:rPr>
                <w:rStyle w:val="Hyperlink"/>
                <w:rFonts w:ascii="Arial" w:hAnsi="Arial" w:cs="Arial"/>
                <w:noProof/>
              </w:rPr>
              <w:t>Situation</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_Toc169451048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3</w:t>
            </w:r>
            <w:r w:rsidR="00166EBC" w:rsidRPr="005C2A43">
              <w:rPr>
                <w:rFonts w:ascii="Arial" w:hAnsi="Arial" w:cs="Arial"/>
                <w:noProof/>
                <w:webHidden/>
              </w:rPr>
              <w:fldChar w:fldCharType="end"/>
            </w:r>
          </w:hyperlink>
        </w:p>
        <w:p w14:paraId="007E0333" w14:textId="3B986ABF" w:rsidR="00166EBC" w:rsidRPr="005C2A43" w:rsidRDefault="003E2A67">
          <w:pPr>
            <w:pStyle w:val="TOC2"/>
            <w:tabs>
              <w:tab w:val="left" w:pos="880"/>
              <w:tab w:val="right" w:leader="dot" w:pos="10659"/>
            </w:tabs>
            <w:rPr>
              <w:rFonts w:ascii="Arial" w:eastAsiaTheme="minorEastAsia" w:hAnsi="Arial" w:cs="Arial"/>
              <w:noProof/>
              <w:sz w:val="22"/>
              <w:szCs w:val="22"/>
              <w:lang w:val="en-GB" w:eastAsia="en-GB"/>
            </w:rPr>
          </w:pPr>
          <w:hyperlink w:anchor="_Toc169451049" w:history="1">
            <w:r w:rsidR="00166EBC" w:rsidRPr="005C2A43">
              <w:rPr>
                <w:rStyle w:val="Hyperlink"/>
                <w:rFonts w:ascii="Arial" w:hAnsi="Arial" w:cs="Arial"/>
                <w:noProof/>
              </w:rPr>
              <w:t>2.2</w:t>
            </w:r>
            <w:r w:rsidR="00166EBC" w:rsidRPr="005C2A43">
              <w:rPr>
                <w:rFonts w:ascii="Arial" w:eastAsiaTheme="minorEastAsia" w:hAnsi="Arial" w:cs="Arial"/>
                <w:noProof/>
                <w:sz w:val="22"/>
                <w:szCs w:val="22"/>
                <w:lang w:val="en-GB" w:eastAsia="en-GB"/>
              </w:rPr>
              <w:tab/>
            </w:r>
            <w:r w:rsidR="00166EBC" w:rsidRPr="005C2A43">
              <w:rPr>
                <w:rStyle w:val="Hyperlink"/>
                <w:rFonts w:ascii="Arial" w:hAnsi="Arial" w:cs="Arial"/>
                <w:noProof/>
              </w:rPr>
              <w:t>Background</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_Toc169451049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3</w:t>
            </w:r>
            <w:r w:rsidR="00166EBC" w:rsidRPr="005C2A43">
              <w:rPr>
                <w:rFonts w:ascii="Arial" w:hAnsi="Arial" w:cs="Arial"/>
                <w:noProof/>
                <w:webHidden/>
              </w:rPr>
              <w:fldChar w:fldCharType="end"/>
            </w:r>
          </w:hyperlink>
        </w:p>
        <w:p w14:paraId="7D4D7C7D" w14:textId="07407ACC" w:rsidR="00166EBC" w:rsidRPr="005C2A43" w:rsidRDefault="003E2A67">
          <w:pPr>
            <w:pStyle w:val="TOC2"/>
            <w:tabs>
              <w:tab w:val="left" w:pos="880"/>
              <w:tab w:val="right" w:leader="dot" w:pos="10659"/>
            </w:tabs>
            <w:rPr>
              <w:rFonts w:ascii="Arial" w:eastAsiaTheme="minorEastAsia" w:hAnsi="Arial" w:cs="Arial"/>
              <w:noProof/>
              <w:sz w:val="22"/>
              <w:szCs w:val="22"/>
              <w:lang w:val="en-GB" w:eastAsia="en-GB"/>
            </w:rPr>
          </w:pPr>
          <w:hyperlink w:anchor="_Toc169451050" w:history="1">
            <w:r w:rsidR="00166EBC" w:rsidRPr="005C2A43">
              <w:rPr>
                <w:rStyle w:val="Hyperlink"/>
                <w:rFonts w:ascii="Arial" w:hAnsi="Arial" w:cs="Arial"/>
                <w:noProof/>
              </w:rPr>
              <w:t>2.3</w:t>
            </w:r>
            <w:r w:rsidR="00166EBC" w:rsidRPr="005C2A43">
              <w:rPr>
                <w:rFonts w:ascii="Arial" w:eastAsiaTheme="minorEastAsia" w:hAnsi="Arial" w:cs="Arial"/>
                <w:noProof/>
                <w:sz w:val="22"/>
                <w:szCs w:val="22"/>
                <w:lang w:val="en-GB" w:eastAsia="en-GB"/>
              </w:rPr>
              <w:tab/>
            </w:r>
            <w:r w:rsidR="00166EBC" w:rsidRPr="005C2A43">
              <w:rPr>
                <w:rStyle w:val="Hyperlink"/>
                <w:rFonts w:ascii="Arial" w:hAnsi="Arial" w:cs="Arial"/>
                <w:noProof/>
              </w:rPr>
              <w:t>Assessment</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_Toc169451050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3</w:t>
            </w:r>
            <w:r w:rsidR="00166EBC" w:rsidRPr="005C2A43">
              <w:rPr>
                <w:rFonts w:ascii="Arial" w:hAnsi="Arial" w:cs="Arial"/>
                <w:noProof/>
                <w:webHidden/>
              </w:rPr>
              <w:fldChar w:fldCharType="end"/>
            </w:r>
          </w:hyperlink>
        </w:p>
        <w:p w14:paraId="739AEBE5" w14:textId="3AB6858A" w:rsidR="00166EBC" w:rsidRPr="005C2A43" w:rsidRDefault="003E2A67" w:rsidP="00166EBC">
          <w:pPr>
            <w:pStyle w:val="TOC3"/>
            <w:rPr>
              <w:rFonts w:ascii="Arial" w:eastAsiaTheme="minorEastAsia" w:hAnsi="Arial" w:cs="Arial"/>
              <w:noProof/>
              <w:sz w:val="22"/>
              <w:szCs w:val="22"/>
              <w:lang w:val="en-GB" w:eastAsia="en-GB"/>
            </w:rPr>
          </w:pPr>
          <w:hyperlink w:anchor="_Toc169451059" w:history="1">
            <w:r w:rsidR="00166EBC" w:rsidRPr="005C2A43">
              <w:rPr>
                <w:rStyle w:val="Hyperlink"/>
                <w:rFonts w:ascii="Arial" w:hAnsi="Arial" w:cs="Arial"/>
                <w:noProof/>
              </w:rPr>
              <w:t>2.4</w:t>
            </w:r>
            <w:r w:rsidR="00166EBC" w:rsidRPr="005C2A43">
              <w:rPr>
                <w:rFonts w:ascii="Arial" w:eastAsiaTheme="minorEastAsia" w:hAnsi="Arial" w:cs="Arial"/>
                <w:noProof/>
                <w:sz w:val="22"/>
                <w:szCs w:val="22"/>
                <w:lang w:val="en-GB" w:eastAsia="en-GB"/>
              </w:rPr>
              <w:tab/>
            </w:r>
            <w:r w:rsidR="00166EBC" w:rsidRPr="005C2A43">
              <w:rPr>
                <w:rStyle w:val="Hyperlink"/>
                <w:rFonts w:ascii="Arial" w:hAnsi="Arial" w:cs="Arial"/>
                <w:noProof/>
              </w:rPr>
              <w:t>Recommendation</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_Toc169451059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5</w:t>
            </w:r>
            <w:r w:rsidR="00166EBC" w:rsidRPr="005C2A43">
              <w:rPr>
                <w:rFonts w:ascii="Arial" w:hAnsi="Arial" w:cs="Arial"/>
                <w:noProof/>
                <w:webHidden/>
              </w:rPr>
              <w:fldChar w:fldCharType="end"/>
            </w:r>
          </w:hyperlink>
        </w:p>
        <w:p w14:paraId="19589738" w14:textId="053FD641" w:rsidR="00166EBC" w:rsidRPr="005C2A43" w:rsidRDefault="003E2A67" w:rsidP="00166EBC">
          <w:pPr>
            <w:pStyle w:val="TOC3"/>
            <w:rPr>
              <w:rStyle w:val="Hyperlink"/>
              <w:rFonts w:ascii="Arial" w:hAnsi="Arial" w:cs="Arial"/>
              <w:noProof/>
            </w:rPr>
          </w:pPr>
          <w:hyperlink w:anchor="_Toc169451060" w:history="1">
            <w:r w:rsidR="00166EBC" w:rsidRPr="005C2A43">
              <w:rPr>
                <w:rStyle w:val="Hyperlink"/>
                <w:rFonts w:ascii="Arial" w:hAnsi="Arial" w:cs="Arial"/>
                <w:noProof/>
              </w:rPr>
              <w:t>3</w:t>
            </w:r>
            <w:r w:rsidR="00166EBC" w:rsidRPr="005C2A43">
              <w:rPr>
                <w:rFonts w:ascii="Arial" w:eastAsiaTheme="minorEastAsia" w:hAnsi="Arial" w:cs="Arial"/>
                <w:noProof/>
                <w:sz w:val="22"/>
                <w:szCs w:val="22"/>
                <w:lang w:val="en-GB" w:eastAsia="en-GB"/>
              </w:rPr>
              <w:tab/>
            </w:r>
            <w:r w:rsidR="00166EBC" w:rsidRPr="005C2A43">
              <w:rPr>
                <w:rStyle w:val="Hyperlink"/>
                <w:rFonts w:ascii="Arial" w:hAnsi="Arial" w:cs="Arial"/>
                <w:noProof/>
              </w:rPr>
              <w:t>List of appendices</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_Toc169451060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5</w:t>
            </w:r>
            <w:r w:rsidR="00166EBC" w:rsidRPr="005C2A43">
              <w:rPr>
                <w:rFonts w:ascii="Arial" w:hAnsi="Arial" w:cs="Arial"/>
                <w:noProof/>
                <w:webHidden/>
              </w:rPr>
              <w:fldChar w:fldCharType="end"/>
            </w:r>
          </w:hyperlink>
        </w:p>
        <w:p w14:paraId="31D85741" w14:textId="77777777" w:rsidR="00166EBC" w:rsidRPr="005C2A43" w:rsidRDefault="00166EBC" w:rsidP="00166EBC">
          <w:pPr>
            <w:rPr>
              <w:rFonts w:eastAsiaTheme="minorEastAsia"/>
              <w:noProof/>
            </w:rPr>
          </w:pPr>
        </w:p>
        <w:p w14:paraId="76AE0FE3" w14:textId="2FC1668C" w:rsidR="00166EBC" w:rsidRPr="005C2A43" w:rsidRDefault="003E2A67" w:rsidP="00166EBC">
          <w:pPr>
            <w:pStyle w:val="TOC3"/>
            <w:rPr>
              <w:rFonts w:ascii="Arial" w:eastAsiaTheme="minorEastAsia" w:hAnsi="Arial" w:cs="Arial"/>
              <w:noProof/>
              <w:sz w:val="22"/>
              <w:szCs w:val="22"/>
              <w:lang w:val="en-GB" w:eastAsia="en-GB"/>
            </w:rPr>
          </w:pPr>
          <w:hyperlink w:anchor="_Toc169451061" w:history="1">
            <w:r w:rsidR="00166EBC" w:rsidRPr="005C2A43">
              <w:rPr>
                <w:rStyle w:val="Hyperlink"/>
                <w:rFonts w:ascii="Arial" w:hAnsi="Arial" w:cs="Arial"/>
                <w:noProof/>
              </w:rPr>
              <w:t>Introduction</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_Toc169451061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6</w:t>
            </w:r>
            <w:r w:rsidR="00166EBC" w:rsidRPr="005C2A43">
              <w:rPr>
                <w:rFonts w:ascii="Arial" w:hAnsi="Arial" w:cs="Arial"/>
                <w:noProof/>
                <w:webHidden/>
              </w:rPr>
              <w:fldChar w:fldCharType="end"/>
            </w:r>
          </w:hyperlink>
        </w:p>
        <w:p w14:paraId="0EA481C9" w14:textId="5C644675" w:rsidR="00166EBC" w:rsidRPr="005C2A43" w:rsidRDefault="003E2A67" w:rsidP="00166EBC">
          <w:pPr>
            <w:pStyle w:val="TOC3"/>
            <w:rPr>
              <w:rFonts w:ascii="Arial" w:eastAsiaTheme="minorEastAsia" w:hAnsi="Arial" w:cs="Arial"/>
              <w:noProof/>
              <w:sz w:val="22"/>
              <w:szCs w:val="22"/>
              <w:lang w:val="en-GB" w:eastAsia="en-GB"/>
            </w:rPr>
          </w:pPr>
          <w:hyperlink w:anchor="_Toc169451062" w:history="1">
            <w:r w:rsidR="00166EBC" w:rsidRPr="005C2A43">
              <w:rPr>
                <w:rStyle w:val="Hyperlink"/>
                <w:rFonts w:ascii="Arial" w:hAnsi="Arial" w:cs="Arial"/>
                <w:noProof/>
              </w:rPr>
              <w:t>About Golden Jubilee National Hospital</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_Toc169451062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6</w:t>
            </w:r>
            <w:r w:rsidR="00166EBC" w:rsidRPr="005C2A43">
              <w:rPr>
                <w:rFonts w:ascii="Arial" w:hAnsi="Arial" w:cs="Arial"/>
                <w:noProof/>
                <w:webHidden/>
              </w:rPr>
              <w:fldChar w:fldCharType="end"/>
            </w:r>
          </w:hyperlink>
        </w:p>
        <w:p w14:paraId="5813BB7C" w14:textId="4696B4EE" w:rsidR="00166EBC" w:rsidRPr="005C2A43" w:rsidRDefault="003E2A67" w:rsidP="00166EBC">
          <w:pPr>
            <w:pStyle w:val="TOC3"/>
            <w:rPr>
              <w:rFonts w:ascii="Arial" w:eastAsiaTheme="minorEastAsia" w:hAnsi="Arial" w:cs="Arial"/>
              <w:noProof/>
              <w:sz w:val="22"/>
              <w:szCs w:val="22"/>
              <w:lang w:val="en-GB" w:eastAsia="en-GB"/>
            </w:rPr>
          </w:pPr>
          <w:hyperlink w:anchor="_Toc169451063" w:history="1">
            <w:r w:rsidR="00166EBC" w:rsidRPr="005C2A43">
              <w:rPr>
                <w:rStyle w:val="Hyperlink"/>
                <w:rFonts w:ascii="Arial" w:hAnsi="Arial" w:cs="Arial"/>
                <w:noProof/>
              </w:rPr>
              <w:t>Our Policies and Procedures</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_Toc169451063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6</w:t>
            </w:r>
            <w:r w:rsidR="00166EBC" w:rsidRPr="005C2A43">
              <w:rPr>
                <w:rFonts w:ascii="Arial" w:hAnsi="Arial" w:cs="Arial"/>
                <w:noProof/>
                <w:webHidden/>
              </w:rPr>
              <w:fldChar w:fldCharType="end"/>
            </w:r>
          </w:hyperlink>
        </w:p>
        <w:p w14:paraId="080C581F" w14:textId="2B569A56" w:rsidR="00166EBC" w:rsidRPr="005C2A43" w:rsidRDefault="003E2A67" w:rsidP="00166EBC">
          <w:pPr>
            <w:pStyle w:val="TOC3"/>
            <w:rPr>
              <w:rFonts w:ascii="Arial" w:eastAsiaTheme="minorEastAsia" w:hAnsi="Arial" w:cs="Arial"/>
              <w:noProof/>
              <w:sz w:val="22"/>
              <w:szCs w:val="22"/>
              <w:lang w:val="en-GB" w:eastAsia="en-GB"/>
            </w:rPr>
          </w:pPr>
          <w:hyperlink w:anchor="_Toc169451064" w:history="1">
            <w:r w:rsidR="00166EBC" w:rsidRPr="005C2A43">
              <w:rPr>
                <w:rStyle w:val="Hyperlink"/>
                <w:rFonts w:ascii="Arial" w:hAnsi="Arial" w:cs="Arial"/>
                <w:noProof/>
              </w:rPr>
              <w:t>Duty of Candour Activity 2023-2024</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_Toc169451064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7</w:t>
            </w:r>
            <w:r w:rsidR="00166EBC" w:rsidRPr="005C2A43">
              <w:rPr>
                <w:rFonts w:ascii="Arial" w:hAnsi="Arial" w:cs="Arial"/>
                <w:noProof/>
                <w:webHidden/>
              </w:rPr>
              <w:fldChar w:fldCharType="end"/>
            </w:r>
          </w:hyperlink>
        </w:p>
        <w:p w14:paraId="5C9D4918" w14:textId="1DDE7BB5" w:rsidR="00166EBC" w:rsidRPr="005C2A43" w:rsidRDefault="003E2A67" w:rsidP="00166EBC">
          <w:pPr>
            <w:pStyle w:val="TOC3"/>
            <w:rPr>
              <w:rFonts w:ascii="Arial" w:eastAsiaTheme="minorEastAsia" w:hAnsi="Arial" w:cs="Arial"/>
              <w:noProof/>
              <w:sz w:val="22"/>
              <w:szCs w:val="22"/>
              <w:lang w:val="en-GB" w:eastAsia="en-GB"/>
            </w:rPr>
          </w:pPr>
          <w:hyperlink w:anchor="_Toc169451065" w:history="1">
            <w:r w:rsidR="00166EBC" w:rsidRPr="005C2A43">
              <w:rPr>
                <w:rStyle w:val="Hyperlink"/>
                <w:rFonts w:ascii="Arial" w:hAnsi="Arial" w:cs="Arial"/>
                <w:noProof/>
              </w:rPr>
              <w:t>DoC Events</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_Toc169451065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8</w:t>
            </w:r>
            <w:r w:rsidR="00166EBC" w:rsidRPr="005C2A43">
              <w:rPr>
                <w:rFonts w:ascii="Arial" w:hAnsi="Arial" w:cs="Arial"/>
                <w:noProof/>
                <w:webHidden/>
              </w:rPr>
              <w:fldChar w:fldCharType="end"/>
            </w:r>
          </w:hyperlink>
        </w:p>
        <w:p w14:paraId="190A0187" w14:textId="5B7F618D" w:rsidR="00166EBC" w:rsidRPr="005C2A43" w:rsidRDefault="003E2A67" w:rsidP="00166EBC">
          <w:pPr>
            <w:pStyle w:val="TOC3"/>
            <w:rPr>
              <w:rFonts w:ascii="Arial" w:eastAsiaTheme="minorEastAsia" w:hAnsi="Arial" w:cs="Arial"/>
              <w:noProof/>
              <w:sz w:val="22"/>
              <w:szCs w:val="22"/>
              <w:lang w:val="en-GB" w:eastAsia="en-GB"/>
            </w:rPr>
          </w:pPr>
          <w:hyperlink w:anchor="_Toc169451066" w:history="1">
            <w:r w:rsidR="00166EBC" w:rsidRPr="005C2A43">
              <w:rPr>
                <w:rStyle w:val="Hyperlink"/>
                <w:rFonts w:ascii="Arial" w:hAnsi="Arial" w:cs="Arial"/>
                <w:noProof/>
              </w:rPr>
              <w:t>Learning</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_Toc169451066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9</w:t>
            </w:r>
            <w:r w:rsidR="00166EBC" w:rsidRPr="005C2A43">
              <w:rPr>
                <w:rFonts w:ascii="Arial" w:hAnsi="Arial" w:cs="Arial"/>
                <w:noProof/>
                <w:webHidden/>
              </w:rPr>
              <w:fldChar w:fldCharType="end"/>
            </w:r>
          </w:hyperlink>
        </w:p>
        <w:p w14:paraId="2FE9496C" w14:textId="465460ED" w:rsidR="00166EBC" w:rsidRPr="005C2A43" w:rsidRDefault="003E2A67" w:rsidP="00166EBC">
          <w:pPr>
            <w:pStyle w:val="TOC3"/>
            <w:rPr>
              <w:rFonts w:ascii="Arial" w:eastAsiaTheme="minorEastAsia" w:hAnsi="Arial" w:cs="Arial"/>
              <w:noProof/>
              <w:sz w:val="22"/>
              <w:szCs w:val="22"/>
              <w:lang w:val="en-GB" w:eastAsia="en-GB"/>
            </w:rPr>
          </w:pPr>
          <w:hyperlink w:anchor="_Toc169451067" w:history="1">
            <w:r w:rsidR="00166EBC" w:rsidRPr="005C2A43">
              <w:rPr>
                <w:rStyle w:val="Hyperlink"/>
                <w:rFonts w:ascii="Arial" w:hAnsi="Arial" w:cs="Arial"/>
                <w:noProof/>
              </w:rPr>
              <w:t>Conclusion</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_Toc169451067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9</w:t>
            </w:r>
            <w:r w:rsidR="00166EBC" w:rsidRPr="005C2A43">
              <w:rPr>
                <w:rFonts w:ascii="Arial" w:hAnsi="Arial" w:cs="Arial"/>
                <w:noProof/>
                <w:webHidden/>
              </w:rPr>
              <w:fldChar w:fldCharType="end"/>
            </w:r>
          </w:hyperlink>
        </w:p>
        <w:p w14:paraId="23B2829D" w14:textId="4E819CE8" w:rsidR="00166EBC" w:rsidRPr="005C2A43" w:rsidRDefault="003E2A67">
          <w:pPr>
            <w:pStyle w:val="TOC1"/>
            <w:tabs>
              <w:tab w:val="right" w:leader="dot" w:pos="10659"/>
            </w:tabs>
            <w:rPr>
              <w:rFonts w:ascii="Arial" w:eastAsiaTheme="minorEastAsia" w:hAnsi="Arial" w:cs="Arial"/>
              <w:noProof/>
              <w:sz w:val="22"/>
              <w:szCs w:val="22"/>
              <w:lang w:val="en-GB" w:eastAsia="en-GB"/>
            </w:rPr>
          </w:pPr>
          <w:hyperlink w:anchor="_Toc169451068" w:history="1">
            <w:r w:rsidR="00166EBC" w:rsidRPr="005C2A43">
              <w:rPr>
                <w:rStyle w:val="Hyperlink"/>
                <w:rFonts w:ascii="Arial" w:hAnsi="Arial" w:cs="Arial"/>
                <w:noProof/>
              </w:rPr>
              <w:t>Appendix 1 – DoC Criteria</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_Toc169451068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10</w:t>
            </w:r>
            <w:r w:rsidR="00166EBC" w:rsidRPr="005C2A43">
              <w:rPr>
                <w:rFonts w:ascii="Arial" w:hAnsi="Arial" w:cs="Arial"/>
                <w:noProof/>
                <w:webHidden/>
              </w:rPr>
              <w:fldChar w:fldCharType="end"/>
            </w:r>
          </w:hyperlink>
        </w:p>
        <w:p w14:paraId="1249745D" w14:textId="481FB223" w:rsidR="00166EBC" w:rsidRPr="005C2A43" w:rsidRDefault="003E2A67">
          <w:pPr>
            <w:pStyle w:val="TOC1"/>
            <w:tabs>
              <w:tab w:val="right" w:leader="dot" w:pos="10659"/>
            </w:tabs>
            <w:rPr>
              <w:rFonts w:asciiTheme="minorHAnsi" w:eastAsiaTheme="minorEastAsia" w:hAnsiTheme="minorHAnsi" w:cstheme="minorBidi"/>
              <w:noProof/>
              <w:sz w:val="22"/>
              <w:szCs w:val="22"/>
              <w:lang w:val="en-GB" w:eastAsia="en-GB"/>
            </w:rPr>
          </w:pPr>
          <w:hyperlink w:anchor="_Toc169451069" w:history="1">
            <w:r w:rsidR="00166EBC" w:rsidRPr="005C2A43">
              <w:rPr>
                <w:rStyle w:val="Hyperlink"/>
                <w:rFonts w:ascii="Arial" w:hAnsi="Arial" w:cs="Arial"/>
                <w:noProof/>
              </w:rPr>
              <w:t>Appendix 2 – Events that triggered DoC **</w:t>
            </w:r>
            <w:r w:rsidR="00166EBC" w:rsidRPr="005C2A43">
              <w:rPr>
                <w:rStyle w:val="Hyperlink"/>
                <w:rFonts w:ascii="Arial" w:hAnsi="Arial" w:cs="Arial"/>
                <w:b/>
                <w:noProof/>
              </w:rPr>
              <w:t>NOT</w:t>
            </w:r>
            <w:r w:rsidR="00166EBC" w:rsidRPr="005C2A43">
              <w:rPr>
                <w:rStyle w:val="Hyperlink"/>
                <w:rFonts w:ascii="Arial" w:hAnsi="Arial" w:cs="Arial"/>
                <w:noProof/>
              </w:rPr>
              <w:t xml:space="preserve"> for external publication**</w:t>
            </w:r>
            <w:r w:rsidR="00166EBC" w:rsidRPr="005C2A43">
              <w:rPr>
                <w:rFonts w:ascii="Arial" w:hAnsi="Arial" w:cs="Arial"/>
                <w:noProof/>
                <w:webHidden/>
              </w:rPr>
              <w:tab/>
            </w:r>
            <w:r w:rsidR="00166EBC" w:rsidRPr="005C2A43">
              <w:rPr>
                <w:rFonts w:ascii="Arial" w:hAnsi="Arial" w:cs="Arial"/>
                <w:noProof/>
                <w:webHidden/>
              </w:rPr>
              <w:fldChar w:fldCharType="begin"/>
            </w:r>
            <w:r w:rsidR="00166EBC" w:rsidRPr="005C2A43">
              <w:rPr>
                <w:rFonts w:ascii="Arial" w:hAnsi="Arial" w:cs="Arial"/>
                <w:noProof/>
                <w:webHidden/>
              </w:rPr>
              <w:instrText xml:space="preserve"> PAGEREF _Toc169451069 \h </w:instrText>
            </w:r>
            <w:r w:rsidR="00166EBC" w:rsidRPr="005C2A43">
              <w:rPr>
                <w:rFonts w:ascii="Arial" w:hAnsi="Arial" w:cs="Arial"/>
                <w:noProof/>
                <w:webHidden/>
              </w:rPr>
            </w:r>
            <w:r w:rsidR="00166EBC" w:rsidRPr="005C2A43">
              <w:rPr>
                <w:rFonts w:ascii="Arial" w:hAnsi="Arial" w:cs="Arial"/>
                <w:noProof/>
                <w:webHidden/>
              </w:rPr>
              <w:fldChar w:fldCharType="separate"/>
            </w:r>
            <w:r w:rsidR="00B15CCC">
              <w:rPr>
                <w:rFonts w:ascii="Arial" w:hAnsi="Arial" w:cs="Arial"/>
                <w:noProof/>
                <w:webHidden/>
              </w:rPr>
              <w:t>11</w:t>
            </w:r>
            <w:r w:rsidR="00166EBC" w:rsidRPr="005C2A43">
              <w:rPr>
                <w:rFonts w:ascii="Arial" w:hAnsi="Arial" w:cs="Arial"/>
                <w:noProof/>
                <w:webHidden/>
              </w:rPr>
              <w:fldChar w:fldCharType="end"/>
            </w:r>
          </w:hyperlink>
        </w:p>
        <w:p w14:paraId="299D710B" w14:textId="5F5C4804" w:rsidR="00166EBC" w:rsidRPr="00E55781" w:rsidRDefault="00166EBC" w:rsidP="00F007D8">
          <w:r w:rsidRPr="005C2A43">
            <w:rPr>
              <w:bCs/>
              <w:noProof/>
            </w:rPr>
            <w:fldChar w:fldCharType="end"/>
          </w:r>
        </w:p>
      </w:sdtContent>
    </w:sdt>
    <w:p w14:paraId="567C1642" w14:textId="72C0714C" w:rsidR="005C2A43" w:rsidRDefault="005C2A43" w:rsidP="00BC3994">
      <w:pPr>
        <w:pStyle w:val="Heading2"/>
        <w:spacing w:line="276" w:lineRule="auto"/>
        <w:rPr>
          <w:rFonts w:ascii="Arial" w:hAnsi="Arial" w:cs="Arial"/>
          <w:b/>
          <w:color w:val="000000" w:themeColor="text1"/>
          <w:sz w:val="24"/>
          <w:szCs w:val="24"/>
        </w:rPr>
      </w:pPr>
      <w:bookmarkStart w:id="6" w:name="_Toc169451042"/>
    </w:p>
    <w:p w14:paraId="5BC7692B" w14:textId="2A108EAA" w:rsidR="005C2A43" w:rsidRDefault="005C2A43" w:rsidP="005C2A43"/>
    <w:p w14:paraId="583DC854" w14:textId="33CB6D44" w:rsidR="005C2A43" w:rsidRDefault="005C2A43" w:rsidP="005C2A43"/>
    <w:p w14:paraId="1E2BA6EB" w14:textId="7305D2FA" w:rsidR="005C2A43" w:rsidRDefault="005C2A43" w:rsidP="005C2A43"/>
    <w:p w14:paraId="417BB901" w14:textId="1143F416" w:rsidR="005C2A43" w:rsidRDefault="005C2A43" w:rsidP="005C2A43"/>
    <w:p w14:paraId="76F7B273" w14:textId="76DB6379" w:rsidR="005C2A43" w:rsidRDefault="005C2A43" w:rsidP="005C2A43"/>
    <w:p w14:paraId="59840EF8" w14:textId="4190EC1E" w:rsidR="005C2A43" w:rsidRDefault="005C2A43" w:rsidP="005C2A43"/>
    <w:p w14:paraId="6FBF18EE" w14:textId="1228F7FC" w:rsidR="005C2A43" w:rsidRDefault="005C2A43" w:rsidP="005C2A43"/>
    <w:p w14:paraId="48BE47E7" w14:textId="77777777" w:rsidR="005C2A43" w:rsidRPr="005C2A43" w:rsidRDefault="005C2A43" w:rsidP="005C2A43"/>
    <w:p w14:paraId="61221722" w14:textId="77777777" w:rsidR="005C2A43" w:rsidRDefault="005C2A43" w:rsidP="005C2A43"/>
    <w:p w14:paraId="2EF21039" w14:textId="77777777" w:rsidR="005C2A43" w:rsidRDefault="005C2A43" w:rsidP="00BC3994">
      <w:pPr>
        <w:pStyle w:val="Heading2"/>
        <w:spacing w:line="276" w:lineRule="auto"/>
        <w:rPr>
          <w:rFonts w:ascii="Arial" w:hAnsi="Arial" w:cs="Arial"/>
          <w:b/>
          <w:color w:val="000000" w:themeColor="text1"/>
          <w:sz w:val="24"/>
          <w:szCs w:val="24"/>
        </w:rPr>
      </w:pPr>
    </w:p>
    <w:p w14:paraId="040EAD27" w14:textId="400F8870" w:rsidR="00F007D8" w:rsidRPr="00BC3994" w:rsidRDefault="00F007D8" w:rsidP="00BC3994">
      <w:pPr>
        <w:pStyle w:val="Heading2"/>
        <w:spacing w:line="276" w:lineRule="auto"/>
        <w:rPr>
          <w:rFonts w:ascii="Arial" w:hAnsi="Arial" w:cs="Arial"/>
          <w:b/>
          <w:color w:val="000000" w:themeColor="text1"/>
          <w:sz w:val="24"/>
          <w:szCs w:val="24"/>
        </w:rPr>
      </w:pPr>
      <w:r w:rsidRPr="00E55781">
        <w:rPr>
          <w:rFonts w:ascii="Arial" w:hAnsi="Arial" w:cs="Arial"/>
          <w:b/>
          <w:color w:val="000000" w:themeColor="text1"/>
          <w:sz w:val="24"/>
          <w:szCs w:val="24"/>
        </w:rPr>
        <w:t>1</w:t>
      </w:r>
      <w:r w:rsidRPr="00E55781">
        <w:rPr>
          <w:rFonts w:ascii="Arial" w:hAnsi="Arial" w:cs="Arial"/>
          <w:b/>
          <w:color w:val="000000" w:themeColor="text1"/>
          <w:sz w:val="24"/>
          <w:szCs w:val="24"/>
        </w:rPr>
        <w:tab/>
        <w:t>Purpose</w:t>
      </w:r>
      <w:bookmarkEnd w:id="6"/>
    </w:p>
    <w:p w14:paraId="421551B0" w14:textId="77777777" w:rsidR="00F007D8" w:rsidRPr="00E55781" w:rsidRDefault="00F007D8" w:rsidP="00F007D8">
      <w:pPr>
        <w:pStyle w:val="Heading3"/>
        <w:spacing w:line="276" w:lineRule="auto"/>
        <w:ind w:left="720"/>
        <w:rPr>
          <w:sz w:val="24"/>
          <w:szCs w:val="24"/>
          <w:lang w:eastAsia="en-GB"/>
        </w:rPr>
      </w:pPr>
      <w:bookmarkStart w:id="7" w:name="_Toc169451043"/>
      <w:r w:rsidRPr="00E55781">
        <w:rPr>
          <w:sz w:val="24"/>
          <w:szCs w:val="24"/>
          <w:lang w:eastAsia="en-GB"/>
        </w:rPr>
        <w:t>This is presented to the group for:</w:t>
      </w:r>
      <w:bookmarkEnd w:id="7"/>
      <w:r w:rsidRPr="00E55781">
        <w:rPr>
          <w:sz w:val="24"/>
          <w:szCs w:val="24"/>
          <w:lang w:eastAsia="en-GB"/>
        </w:rPr>
        <w:t xml:space="preserve"> </w:t>
      </w:r>
    </w:p>
    <w:p w14:paraId="46EBA055" w14:textId="77777777" w:rsidR="00F007D8" w:rsidRPr="00E55781" w:rsidRDefault="00F007D8" w:rsidP="00842CED">
      <w:pPr>
        <w:pStyle w:val="Heading3"/>
        <w:keepLines/>
        <w:numPr>
          <w:ilvl w:val="0"/>
          <w:numId w:val="10"/>
        </w:numPr>
        <w:spacing w:before="40" w:after="0" w:line="276" w:lineRule="auto"/>
        <w:ind w:left="1080"/>
        <w:rPr>
          <w:b w:val="0"/>
          <w:sz w:val="24"/>
          <w:szCs w:val="24"/>
          <w:lang w:eastAsia="en-GB"/>
        </w:rPr>
      </w:pPr>
      <w:bookmarkStart w:id="8" w:name="_Toc169451044"/>
      <w:r w:rsidRPr="00E55781">
        <w:rPr>
          <w:b w:val="0"/>
          <w:sz w:val="24"/>
          <w:szCs w:val="24"/>
          <w:lang w:eastAsia="en-GB"/>
        </w:rPr>
        <w:t>A</w:t>
      </w:r>
      <w:r w:rsidR="00842CED" w:rsidRPr="00E55781">
        <w:rPr>
          <w:b w:val="0"/>
          <w:sz w:val="24"/>
          <w:szCs w:val="24"/>
          <w:lang w:eastAsia="en-GB"/>
        </w:rPr>
        <w:t>pproval</w:t>
      </w:r>
      <w:bookmarkEnd w:id="8"/>
    </w:p>
    <w:p w14:paraId="5872BD16" w14:textId="77777777" w:rsidR="00F007D8" w:rsidRPr="00E55781" w:rsidRDefault="00F007D8" w:rsidP="00F007D8">
      <w:pPr>
        <w:pStyle w:val="Heading3"/>
        <w:ind w:left="720"/>
        <w:rPr>
          <w:sz w:val="24"/>
          <w:szCs w:val="24"/>
          <w:lang w:eastAsia="en-GB"/>
        </w:rPr>
      </w:pPr>
      <w:bookmarkStart w:id="9" w:name="_Toc169451045"/>
      <w:r w:rsidRPr="00E55781">
        <w:rPr>
          <w:sz w:val="24"/>
          <w:szCs w:val="24"/>
          <w:lang w:eastAsia="en-GB"/>
        </w:rPr>
        <w:t>This report relates to a:</w:t>
      </w:r>
      <w:bookmarkEnd w:id="9"/>
    </w:p>
    <w:p w14:paraId="44CCD786" w14:textId="77777777" w:rsidR="00F007D8" w:rsidRPr="00E55781" w:rsidRDefault="00F007D8" w:rsidP="00842CED">
      <w:pPr>
        <w:pStyle w:val="ListParagraph"/>
        <w:numPr>
          <w:ilvl w:val="0"/>
          <w:numId w:val="8"/>
        </w:numPr>
        <w:autoSpaceDE w:val="0"/>
        <w:autoSpaceDN w:val="0"/>
        <w:adjustRightInd w:val="0"/>
        <w:spacing w:before="40" w:after="40" w:line="276" w:lineRule="auto"/>
        <w:ind w:left="1080"/>
        <w:contextualSpacing w:val="0"/>
        <w:rPr>
          <w:rFonts w:ascii="Arial" w:hAnsi="Arial" w:cs="Arial"/>
          <w:color w:val="000000"/>
          <w:sz w:val="24"/>
          <w:szCs w:val="24"/>
        </w:rPr>
      </w:pPr>
      <w:r w:rsidRPr="00E55781">
        <w:rPr>
          <w:rFonts w:ascii="Arial" w:hAnsi="Arial" w:cs="Arial"/>
          <w:color w:val="000000"/>
          <w:sz w:val="24"/>
          <w:szCs w:val="24"/>
        </w:rPr>
        <w:t>Government policy/directive</w:t>
      </w:r>
    </w:p>
    <w:p w14:paraId="0175040E" w14:textId="77777777" w:rsidR="00F007D8" w:rsidRPr="00E55781" w:rsidRDefault="00F007D8" w:rsidP="00F007D8">
      <w:pPr>
        <w:pStyle w:val="Heading3"/>
        <w:ind w:left="720"/>
        <w:rPr>
          <w:sz w:val="24"/>
          <w:szCs w:val="24"/>
          <w:lang w:eastAsia="en-GB"/>
        </w:rPr>
      </w:pPr>
      <w:bookmarkStart w:id="10" w:name="_Toc169451046"/>
      <w:r w:rsidRPr="00E55781">
        <w:rPr>
          <w:sz w:val="24"/>
          <w:szCs w:val="24"/>
          <w:lang w:eastAsia="en-GB"/>
        </w:rPr>
        <w:t>This aligns to the following NHS</w:t>
      </w:r>
      <w:r w:rsidR="00052369" w:rsidRPr="00E55781">
        <w:rPr>
          <w:sz w:val="24"/>
          <w:szCs w:val="24"/>
          <w:lang w:eastAsia="en-GB"/>
        </w:rPr>
        <w:t xml:space="preserve"> </w:t>
      </w:r>
      <w:r w:rsidRPr="00E55781">
        <w:rPr>
          <w:sz w:val="24"/>
          <w:szCs w:val="24"/>
          <w:lang w:eastAsia="en-GB"/>
        </w:rPr>
        <w:t>Scotland quality ambition(s):</w:t>
      </w:r>
      <w:bookmarkEnd w:id="10"/>
    </w:p>
    <w:p w14:paraId="01292E6F" w14:textId="77777777" w:rsidR="00F007D8" w:rsidRPr="00E55781" w:rsidRDefault="00F007D8" w:rsidP="00842CED">
      <w:pPr>
        <w:pStyle w:val="ListParagraph"/>
        <w:numPr>
          <w:ilvl w:val="0"/>
          <w:numId w:val="9"/>
        </w:numPr>
        <w:autoSpaceDE w:val="0"/>
        <w:autoSpaceDN w:val="0"/>
        <w:adjustRightInd w:val="0"/>
        <w:spacing w:before="40" w:after="40" w:line="276" w:lineRule="auto"/>
        <w:ind w:left="1080"/>
        <w:contextualSpacing w:val="0"/>
        <w:rPr>
          <w:rFonts w:ascii="Arial" w:hAnsi="Arial" w:cs="Arial"/>
          <w:color w:val="000000"/>
          <w:sz w:val="24"/>
          <w:szCs w:val="24"/>
        </w:rPr>
      </w:pPr>
      <w:r w:rsidRPr="00E55781">
        <w:rPr>
          <w:rFonts w:ascii="Arial" w:hAnsi="Arial" w:cs="Arial"/>
          <w:color w:val="000000"/>
          <w:sz w:val="24"/>
          <w:szCs w:val="24"/>
        </w:rPr>
        <w:t>Safe</w:t>
      </w:r>
    </w:p>
    <w:p w14:paraId="23E70549" w14:textId="77777777" w:rsidR="00F007D8" w:rsidRPr="00E55781" w:rsidRDefault="00F007D8" w:rsidP="00842CED">
      <w:pPr>
        <w:pStyle w:val="ListParagraph"/>
        <w:numPr>
          <w:ilvl w:val="0"/>
          <w:numId w:val="9"/>
        </w:numPr>
        <w:autoSpaceDE w:val="0"/>
        <w:autoSpaceDN w:val="0"/>
        <w:adjustRightInd w:val="0"/>
        <w:spacing w:before="40" w:after="40" w:line="276" w:lineRule="auto"/>
        <w:ind w:left="1080"/>
        <w:contextualSpacing w:val="0"/>
        <w:rPr>
          <w:rFonts w:ascii="Arial" w:hAnsi="Arial" w:cs="Arial"/>
          <w:color w:val="000000"/>
          <w:sz w:val="24"/>
          <w:szCs w:val="24"/>
        </w:rPr>
      </w:pPr>
      <w:r w:rsidRPr="00E55781">
        <w:rPr>
          <w:rFonts w:ascii="Arial" w:hAnsi="Arial" w:cs="Arial"/>
          <w:color w:val="000000"/>
          <w:sz w:val="24"/>
          <w:szCs w:val="24"/>
        </w:rPr>
        <w:t>Effective</w:t>
      </w:r>
    </w:p>
    <w:p w14:paraId="70C27FE4" w14:textId="77777777" w:rsidR="00F007D8" w:rsidRPr="00E55781" w:rsidRDefault="00F007D8" w:rsidP="00842CED">
      <w:pPr>
        <w:pStyle w:val="ListParagraph"/>
        <w:numPr>
          <w:ilvl w:val="0"/>
          <w:numId w:val="9"/>
        </w:numPr>
        <w:autoSpaceDE w:val="0"/>
        <w:autoSpaceDN w:val="0"/>
        <w:adjustRightInd w:val="0"/>
        <w:spacing w:before="40" w:after="40" w:line="276" w:lineRule="auto"/>
        <w:ind w:left="1080"/>
        <w:contextualSpacing w:val="0"/>
        <w:rPr>
          <w:rFonts w:ascii="Arial" w:hAnsi="Arial" w:cs="Arial"/>
          <w:color w:val="000000"/>
          <w:sz w:val="24"/>
          <w:szCs w:val="24"/>
        </w:rPr>
      </w:pPr>
      <w:r w:rsidRPr="00E55781">
        <w:rPr>
          <w:rFonts w:ascii="Arial" w:hAnsi="Arial" w:cs="Arial"/>
          <w:color w:val="000000"/>
          <w:sz w:val="24"/>
          <w:szCs w:val="24"/>
        </w:rPr>
        <w:t>Person Centred</w:t>
      </w:r>
    </w:p>
    <w:p w14:paraId="70B1527C" w14:textId="77777777" w:rsidR="00F007D8" w:rsidRPr="00E55781" w:rsidRDefault="00F007D8" w:rsidP="00F007D8">
      <w:pPr>
        <w:autoSpaceDE w:val="0"/>
        <w:autoSpaceDN w:val="0"/>
        <w:adjustRightInd w:val="0"/>
        <w:spacing w:before="40" w:after="40" w:line="276" w:lineRule="auto"/>
        <w:ind w:left="720"/>
        <w:rPr>
          <w:rFonts w:ascii="Arial" w:hAnsi="Arial" w:cs="Arial"/>
          <w:color w:val="000000"/>
        </w:rPr>
      </w:pPr>
    </w:p>
    <w:p w14:paraId="5DB662FE" w14:textId="77777777" w:rsidR="00F007D8" w:rsidRPr="00E55781" w:rsidRDefault="00F007D8" w:rsidP="00F007D8">
      <w:pPr>
        <w:autoSpaceDE w:val="0"/>
        <w:autoSpaceDN w:val="0"/>
        <w:adjustRightInd w:val="0"/>
        <w:spacing w:before="40" w:after="40" w:line="276" w:lineRule="auto"/>
        <w:ind w:left="720"/>
        <w:rPr>
          <w:rFonts w:ascii="Arial" w:hAnsi="Arial" w:cs="Arial"/>
          <w:b/>
          <w:color w:val="000000"/>
        </w:rPr>
      </w:pPr>
      <w:r w:rsidRPr="00E55781">
        <w:rPr>
          <w:rFonts w:ascii="Arial" w:hAnsi="Arial" w:cs="Arial"/>
          <w:b/>
          <w:color w:val="000000"/>
        </w:rPr>
        <w:t>This aligns to the following NHSGJ Corporate Objectives:</w:t>
      </w:r>
    </w:p>
    <w:p w14:paraId="3900A588" w14:textId="77777777" w:rsidR="00F007D8" w:rsidRPr="00E55781" w:rsidRDefault="00F007D8" w:rsidP="00842CED">
      <w:pPr>
        <w:pStyle w:val="ListParagraph"/>
        <w:numPr>
          <w:ilvl w:val="0"/>
          <w:numId w:val="13"/>
        </w:numPr>
        <w:spacing w:line="276" w:lineRule="auto"/>
        <w:contextualSpacing w:val="0"/>
        <w:rPr>
          <w:rFonts w:ascii="Arial" w:eastAsia="Times New Roman" w:hAnsi="Arial" w:cs="Arial"/>
          <w:spacing w:val="-3"/>
          <w:sz w:val="24"/>
          <w:szCs w:val="24"/>
          <w:lang w:eastAsia="en-US"/>
        </w:rPr>
      </w:pPr>
      <w:r w:rsidRPr="00E55781">
        <w:rPr>
          <w:rFonts w:ascii="Arial" w:eastAsia="Times New Roman" w:hAnsi="Arial" w:cs="Arial"/>
          <w:spacing w:val="-3"/>
          <w:sz w:val="24"/>
          <w:szCs w:val="24"/>
          <w:lang w:eastAsia="en-US"/>
        </w:rPr>
        <w:t>High Performing Organisation – Establishing the conditions for success to enable excellent outcomes and experience for patients and staff</w:t>
      </w:r>
    </w:p>
    <w:p w14:paraId="68DB2487" w14:textId="77777777" w:rsidR="00F007D8" w:rsidRPr="00E55781" w:rsidRDefault="00F007D8" w:rsidP="00F007D8">
      <w:pPr>
        <w:pStyle w:val="Heading2"/>
        <w:ind w:left="686" w:hanging="686"/>
        <w:rPr>
          <w:color w:val="000000" w:themeColor="text1"/>
        </w:rPr>
      </w:pPr>
    </w:p>
    <w:p w14:paraId="3A152BE1" w14:textId="77777777" w:rsidR="00F007D8" w:rsidRPr="00E55781" w:rsidRDefault="00F007D8" w:rsidP="00F007D8">
      <w:pPr>
        <w:pStyle w:val="Heading2"/>
        <w:ind w:left="686" w:hanging="686"/>
        <w:rPr>
          <w:rFonts w:ascii="Arial" w:hAnsi="Arial" w:cs="Arial"/>
          <w:b/>
          <w:color w:val="000000" w:themeColor="text1"/>
          <w:sz w:val="24"/>
          <w:szCs w:val="24"/>
        </w:rPr>
      </w:pPr>
      <w:bookmarkStart w:id="11" w:name="_Toc169451047"/>
      <w:r w:rsidRPr="00E55781">
        <w:rPr>
          <w:rFonts w:ascii="Arial" w:hAnsi="Arial" w:cs="Arial"/>
          <w:b/>
          <w:color w:val="000000" w:themeColor="text1"/>
          <w:sz w:val="24"/>
          <w:szCs w:val="24"/>
        </w:rPr>
        <w:t>2</w:t>
      </w:r>
      <w:r w:rsidRPr="00E55781">
        <w:rPr>
          <w:rFonts w:ascii="Arial" w:hAnsi="Arial" w:cs="Arial"/>
          <w:b/>
          <w:color w:val="000000" w:themeColor="text1"/>
          <w:sz w:val="24"/>
          <w:szCs w:val="24"/>
        </w:rPr>
        <w:tab/>
        <w:t>Report summary</w:t>
      </w:r>
      <w:bookmarkEnd w:id="11"/>
      <w:r w:rsidRPr="00E55781">
        <w:rPr>
          <w:rFonts w:ascii="Arial" w:hAnsi="Arial" w:cs="Arial"/>
          <w:b/>
          <w:color w:val="000000" w:themeColor="text1"/>
          <w:sz w:val="24"/>
          <w:szCs w:val="24"/>
        </w:rPr>
        <w:tab/>
      </w:r>
    </w:p>
    <w:p w14:paraId="59413299" w14:textId="77777777" w:rsidR="00F007D8" w:rsidRPr="00E55781" w:rsidRDefault="00F007D8" w:rsidP="00F007D8">
      <w:pPr>
        <w:pStyle w:val="Heading2"/>
        <w:ind w:left="686" w:hanging="686"/>
        <w:rPr>
          <w:color w:val="000000" w:themeColor="text1"/>
        </w:rPr>
      </w:pPr>
    </w:p>
    <w:p w14:paraId="353F0BF2" w14:textId="77777777" w:rsidR="00F007D8" w:rsidRPr="00E55781" w:rsidRDefault="00F007D8" w:rsidP="00F007D8">
      <w:pPr>
        <w:pStyle w:val="Heading2"/>
        <w:ind w:left="686" w:hanging="686"/>
        <w:rPr>
          <w:rFonts w:ascii="Arial" w:hAnsi="Arial" w:cs="Arial"/>
          <w:color w:val="000000" w:themeColor="text1"/>
          <w:sz w:val="24"/>
          <w:szCs w:val="24"/>
        </w:rPr>
      </w:pPr>
      <w:bookmarkStart w:id="12" w:name="_Toc169451048"/>
      <w:r w:rsidRPr="00E55781">
        <w:rPr>
          <w:rFonts w:ascii="Arial" w:hAnsi="Arial" w:cs="Arial"/>
          <w:b/>
          <w:color w:val="000000" w:themeColor="text1"/>
          <w:sz w:val="24"/>
          <w:szCs w:val="24"/>
        </w:rPr>
        <w:t>2.1</w:t>
      </w:r>
      <w:r w:rsidRPr="00E55781">
        <w:rPr>
          <w:rFonts w:ascii="Arial" w:hAnsi="Arial" w:cs="Arial"/>
          <w:color w:val="000000" w:themeColor="text1"/>
          <w:sz w:val="24"/>
          <w:szCs w:val="24"/>
        </w:rPr>
        <w:tab/>
      </w:r>
      <w:r w:rsidRPr="00E55781">
        <w:rPr>
          <w:rFonts w:ascii="Arial" w:hAnsi="Arial" w:cs="Arial"/>
          <w:b/>
          <w:color w:val="000000" w:themeColor="text1"/>
          <w:sz w:val="24"/>
          <w:szCs w:val="24"/>
        </w:rPr>
        <w:t>Situation</w:t>
      </w:r>
      <w:bookmarkEnd w:id="12"/>
    </w:p>
    <w:p w14:paraId="4EBA2020" w14:textId="77777777" w:rsidR="00F007D8" w:rsidRPr="00E55781" w:rsidRDefault="00F007D8" w:rsidP="00F007D8">
      <w:pPr>
        <w:spacing w:before="40" w:after="40" w:line="276" w:lineRule="auto"/>
        <w:ind w:left="686"/>
        <w:rPr>
          <w:rFonts w:ascii="Arial" w:hAnsi="Arial" w:cs="Arial"/>
        </w:rPr>
      </w:pPr>
      <w:r w:rsidRPr="00E55781">
        <w:rPr>
          <w:rFonts w:ascii="Arial" w:hAnsi="Arial" w:cs="Arial"/>
        </w:rPr>
        <w:t>This paper presents the Duty of Candour Annual Report for NHS Golden Jubilee as a requirement of the Duty of Candour legislation.</w:t>
      </w:r>
    </w:p>
    <w:p w14:paraId="556F43F7" w14:textId="77777777" w:rsidR="00F007D8" w:rsidRPr="00E55781" w:rsidRDefault="00F007D8" w:rsidP="00F007D8">
      <w:pPr>
        <w:spacing w:before="40" w:after="40" w:line="276" w:lineRule="auto"/>
        <w:ind w:left="686"/>
        <w:rPr>
          <w:rFonts w:ascii="Arial" w:hAnsi="Arial" w:cs="Arial"/>
          <w:color w:val="000000"/>
        </w:rPr>
      </w:pPr>
    </w:p>
    <w:p w14:paraId="288F3A7E" w14:textId="77777777" w:rsidR="00F007D8" w:rsidRPr="00E55781" w:rsidRDefault="00F007D8" w:rsidP="00F007D8">
      <w:pPr>
        <w:pStyle w:val="Heading2"/>
        <w:ind w:left="686" w:hanging="686"/>
        <w:rPr>
          <w:rFonts w:ascii="Arial" w:hAnsi="Arial" w:cs="Arial"/>
          <w:color w:val="000000" w:themeColor="text1"/>
          <w:sz w:val="24"/>
          <w:szCs w:val="24"/>
        </w:rPr>
      </w:pPr>
      <w:bookmarkStart w:id="13" w:name="_Toc169451049"/>
      <w:r w:rsidRPr="00E55781">
        <w:rPr>
          <w:rFonts w:ascii="Arial" w:hAnsi="Arial" w:cs="Arial"/>
          <w:b/>
          <w:color w:val="000000" w:themeColor="text1"/>
          <w:sz w:val="24"/>
          <w:szCs w:val="24"/>
        </w:rPr>
        <w:t>2.2</w:t>
      </w:r>
      <w:r w:rsidRPr="00E55781">
        <w:rPr>
          <w:rFonts w:ascii="Arial" w:hAnsi="Arial" w:cs="Arial"/>
          <w:b/>
          <w:color w:val="000000" w:themeColor="text1"/>
          <w:sz w:val="24"/>
          <w:szCs w:val="24"/>
        </w:rPr>
        <w:tab/>
        <w:t>Background</w:t>
      </w:r>
      <w:bookmarkEnd w:id="13"/>
    </w:p>
    <w:p w14:paraId="19C3AC7F" w14:textId="77777777" w:rsidR="00F007D8" w:rsidRPr="00E55781" w:rsidRDefault="00F007D8" w:rsidP="1E59D36B">
      <w:pPr>
        <w:pStyle w:val="Default"/>
        <w:ind w:left="709"/>
        <w:jc w:val="both"/>
        <w:rPr>
          <w:color w:val="auto"/>
          <w:lang w:val="en-US"/>
        </w:rPr>
      </w:pPr>
      <w:r w:rsidRPr="1E59D36B">
        <w:rPr>
          <w:color w:val="auto"/>
          <w:lang w:val="en-US"/>
        </w:rPr>
        <w:t xml:space="preserve">All health and social care services in Scotland have a Duty of Candour (DoC). This is a legal requirement which means that when unintended or unexpected events happen that result in death or harm as defined in the Act, the people affected understand what has happened, receive an apology, and that organisations learn how to improve for the future. </w:t>
      </w:r>
    </w:p>
    <w:p w14:paraId="02BD4AE0" w14:textId="77777777" w:rsidR="00F007D8" w:rsidRPr="00E55781" w:rsidRDefault="00F007D8" w:rsidP="00F007D8">
      <w:pPr>
        <w:pStyle w:val="Default"/>
        <w:ind w:left="426"/>
        <w:jc w:val="both"/>
        <w:rPr>
          <w:color w:val="auto"/>
        </w:rPr>
      </w:pPr>
    </w:p>
    <w:p w14:paraId="32EE1279" w14:textId="2665663D" w:rsidR="00F007D8" w:rsidRPr="00BC52C9" w:rsidRDefault="00F007D8" w:rsidP="1E59D36B">
      <w:pPr>
        <w:pStyle w:val="Default"/>
        <w:ind w:left="709"/>
        <w:jc w:val="both"/>
        <w:rPr>
          <w:color w:val="auto"/>
          <w:lang w:val="en-US"/>
        </w:rPr>
      </w:pPr>
      <w:r w:rsidRPr="1E59D36B">
        <w:rPr>
          <w:color w:val="auto"/>
          <w:lang w:val="en-US"/>
        </w:rPr>
        <w:t>An important part of this duty is that we provide an annual report about how the DoC is implemented in our services. This report describes how we have operated the DoC duri</w:t>
      </w:r>
      <w:r w:rsidR="004901D1" w:rsidRPr="1E59D36B">
        <w:rPr>
          <w:color w:val="auto"/>
          <w:lang w:val="en-US"/>
        </w:rPr>
        <w:t>ng the time between 1 April 2024 and 31 March 2025</w:t>
      </w:r>
      <w:r w:rsidRPr="1E59D36B">
        <w:rPr>
          <w:color w:val="auto"/>
          <w:lang w:val="en-US"/>
        </w:rPr>
        <w:t xml:space="preserve">.  </w:t>
      </w:r>
    </w:p>
    <w:p w14:paraId="72476E0B" w14:textId="77777777" w:rsidR="00F007D8" w:rsidRPr="00BC52C9" w:rsidRDefault="00F007D8" w:rsidP="00F007D8">
      <w:pPr>
        <w:spacing w:before="40" w:after="40" w:line="276" w:lineRule="auto"/>
        <w:rPr>
          <w:rFonts w:ascii="Arial" w:hAnsi="Arial" w:cs="Arial"/>
          <w:color w:val="000000"/>
        </w:rPr>
      </w:pPr>
    </w:p>
    <w:p w14:paraId="395594C8" w14:textId="77777777" w:rsidR="00F007D8" w:rsidRPr="00BC52C9" w:rsidRDefault="00F007D8" w:rsidP="00F007D8">
      <w:pPr>
        <w:pStyle w:val="Heading2"/>
        <w:rPr>
          <w:rFonts w:ascii="Arial" w:hAnsi="Arial" w:cs="Arial"/>
          <w:b/>
          <w:color w:val="auto"/>
          <w:sz w:val="24"/>
          <w:szCs w:val="24"/>
        </w:rPr>
      </w:pPr>
      <w:bookmarkStart w:id="14" w:name="_Toc169451050"/>
      <w:r w:rsidRPr="00BC52C9">
        <w:rPr>
          <w:rFonts w:ascii="Arial" w:hAnsi="Arial" w:cs="Arial"/>
          <w:b/>
          <w:color w:val="auto"/>
          <w:sz w:val="24"/>
          <w:szCs w:val="24"/>
        </w:rPr>
        <w:t>2.3</w:t>
      </w:r>
      <w:r w:rsidRPr="00BC52C9">
        <w:rPr>
          <w:rFonts w:ascii="Arial" w:hAnsi="Arial" w:cs="Arial"/>
          <w:b/>
          <w:color w:val="auto"/>
          <w:sz w:val="24"/>
          <w:szCs w:val="24"/>
        </w:rPr>
        <w:tab/>
        <w:t>Assessment</w:t>
      </w:r>
      <w:bookmarkEnd w:id="14"/>
    </w:p>
    <w:p w14:paraId="23398F01" w14:textId="40581BCA" w:rsidR="00F007D8" w:rsidRPr="00E55781" w:rsidRDefault="00F007D8" w:rsidP="00F007D8">
      <w:pPr>
        <w:ind w:left="720"/>
        <w:rPr>
          <w:rFonts w:ascii="Arial" w:hAnsi="Arial" w:cs="Arial"/>
          <w:b/>
          <w:bCs/>
          <w:color w:val="FF0000"/>
        </w:rPr>
      </w:pPr>
      <w:r w:rsidRPr="00BC52C9">
        <w:rPr>
          <w:rFonts w:ascii="Arial" w:hAnsi="Arial" w:cs="Arial"/>
        </w:rPr>
        <w:t>Appendix 1 contains the Du</w:t>
      </w:r>
      <w:r w:rsidR="004901D1" w:rsidRPr="00BC52C9">
        <w:rPr>
          <w:rFonts w:ascii="Arial" w:hAnsi="Arial" w:cs="Arial"/>
        </w:rPr>
        <w:t>ty of Candour Annual Report 2024 – 2025</w:t>
      </w:r>
      <w:r w:rsidRPr="00BC52C9">
        <w:rPr>
          <w:rFonts w:ascii="Arial" w:hAnsi="Arial" w:cs="Arial"/>
        </w:rPr>
        <w:t>.</w:t>
      </w:r>
    </w:p>
    <w:p w14:paraId="722FE4BD" w14:textId="3CB0FCA7" w:rsidR="00F007D8" w:rsidRPr="00E55781" w:rsidRDefault="00F007D8" w:rsidP="00F007D8">
      <w:pPr>
        <w:pStyle w:val="Heading3"/>
        <w:spacing w:line="276" w:lineRule="auto"/>
        <w:rPr>
          <w:sz w:val="24"/>
          <w:szCs w:val="24"/>
        </w:rPr>
      </w:pPr>
      <w:bookmarkStart w:id="15" w:name="_Toc169451051"/>
      <w:r w:rsidRPr="00E55781">
        <w:rPr>
          <w:sz w:val="24"/>
          <w:szCs w:val="24"/>
        </w:rPr>
        <w:t>2.3.1</w:t>
      </w:r>
      <w:r w:rsidRPr="00E55781">
        <w:rPr>
          <w:sz w:val="24"/>
          <w:szCs w:val="24"/>
        </w:rPr>
        <w:tab/>
        <w:t>Quality/</w:t>
      </w:r>
      <w:r w:rsidR="004901D1">
        <w:rPr>
          <w:sz w:val="24"/>
          <w:szCs w:val="24"/>
        </w:rPr>
        <w:t xml:space="preserve"> </w:t>
      </w:r>
      <w:r w:rsidRPr="00E55781">
        <w:rPr>
          <w:sz w:val="24"/>
          <w:szCs w:val="24"/>
        </w:rPr>
        <w:t>Patient Care</w:t>
      </w:r>
      <w:bookmarkEnd w:id="15"/>
    </w:p>
    <w:p w14:paraId="32671C86" w14:textId="77777777" w:rsidR="00F007D8" w:rsidRPr="00E55781" w:rsidRDefault="00F007D8" w:rsidP="00F007D8">
      <w:pPr>
        <w:spacing w:before="40" w:after="40" w:line="276" w:lineRule="auto"/>
        <w:ind w:left="720"/>
        <w:rPr>
          <w:rFonts w:ascii="Arial" w:hAnsi="Arial" w:cs="Arial"/>
          <w:color w:val="000000"/>
        </w:rPr>
      </w:pPr>
      <w:r w:rsidRPr="00E55781">
        <w:rPr>
          <w:rFonts w:ascii="Arial" w:hAnsi="Arial" w:cs="Arial"/>
          <w:color w:val="000000"/>
        </w:rPr>
        <w:t xml:space="preserve">The Clinical Governance team work closely with Division Management Teams to constantly review ways of improving the process for reviewing </w:t>
      </w:r>
      <w:r w:rsidR="00D464E6" w:rsidRPr="00E55781">
        <w:rPr>
          <w:rFonts w:ascii="Arial" w:hAnsi="Arial" w:cs="Arial"/>
          <w:color w:val="000000"/>
        </w:rPr>
        <w:t>Significant Adverse Events (</w:t>
      </w:r>
      <w:r w:rsidRPr="00E55781">
        <w:rPr>
          <w:rFonts w:ascii="Arial" w:hAnsi="Arial" w:cs="Arial"/>
          <w:color w:val="000000"/>
        </w:rPr>
        <w:t>SAER</w:t>
      </w:r>
      <w:r w:rsidR="00D464E6" w:rsidRPr="00E55781">
        <w:rPr>
          <w:rFonts w:ascii="Arial" w:hAnsi="Arial" w:cs="Arial"/>
          <w:color w:val="000000"/>
        </w:rPr>
        <w:t>)</w:t>
      </w:r>
      <w:r w:rsidRPr="00E55781">
        <w:rPr>
          <w:rFonts w:ascii="Arial" w:hAnsi="Arial" w:cs="Arial"/>
          <w:color w:val="000000"/>
        </w:rPr>
        <w:t xml:space="preserve"> to </w:t>
      </w:r>
      <w:r w:rsidRPr="00E55781">
        <w:rPr>
          <w:rFonts w:ascii="Arial" w:hAnsi="Arial" w:cs="Arial"/>
          <w:color w:val="000000"/>
        </w:rPr>
        <w:lastRenderedPageBreak/>
        <w:t xml:space="preserve">ensure the best possible </w:t>
      </w:r>
      <w:r w:rsidR="00842CED" w:rsidRPr="00E55781">
        <w:rPr>
          <w:rFonts w:ascii="Arial" w:hAnsi="Arial" w:cs="Arial"/>
          <w:color w:val="000000"/>
        </w:rPr>
        <w:t>quality of review and best possible outcome for the patient/family involved.</w:t>
      </w:r>
    </w:p>
    <w:p w14:paraId="38BE0FE1" w14:textId="77777777" w:rsidR="00F007D8" w:rsidRPr="00E55781" w:rsidRDefault="00F007D8" w:rsidP="00F007D8">
      <w:pPr>
        <w:pStyle w:val="Heading3"/>
        <w:spacing w:line="276" w:lineRule="auto"/>
        <w:rPr>
          <w:sz w:val="24"/>
          <w:szCs w:val="24"/>
        </w:rPr>
      </w:pPr>
      <w:bookmarkStart w:id="16" w:name="_Toc169451052"/>
      <w:r w:rsidRPr="00E55781">
        <w:rPr>
          <w:sz w:val="24"/>
          <w:szCs w:val="24"/>
        </w:rPr>
        <w:t>2.3.2</w:t>
      </w:r>
      <w:r w:rsidRPr="00E55781">
        <w:rPr>
          <w:sz w:val="24"/>
          <w:szCs w:val="24"/>
        </w:rPr>
        <w:tab/>
        <w:t>Workforce</w:t>
      </w:r>
      <w:bookmarkEnd w:id="16"/>
    </w:p>
    <w:p w14:paraId="6E74045A" w14:textId="77777777" w:rsidR="00F007D8" w:rsidRPr="00E55781" w:rsidRDefault="00F007D8" w:rsidP="00F007D8">
      <w:pPr>
        <w:spacing w:before="40" w:after="40" w:line="276" w:lineRule="auto"/>
        <w:ind w:left="720"/>
        <w:rPr>
          <w:rFonts w:ascii="Arial" w:hAnsi="Arial" w:cs="Arial"/>
          <w:color w:val="000000"/>
        </w:rPr>
      </w:pPr>
      <w:r w:rsidRPr="00E55781">
        <w:rPr>
          <w:rFonts w:ascii="Arial" w:hAnsi="Arial" w:cs="Arial"/>
          <w:color w:val="000000"/>
        </w:rPr>
        <w:t xml:space="preserve">The significant adverse event process </w:t>
      </w:r>
      <w:r w:rsidR="00842CED" w:rsidRPr="00E55781">
        <w:rPr>
          <w:rFonts w:ascii="Arial" w:hAnsi="Arial" w:cs="Arial"/>
          <w:color w:val="000000"/>
        </w:rPr>
        <w:t xml:space="preserve">and Duty of Candour </w:t>
      </w:r>
      <w:r w:rsidRPr="00E55781">
        <w:rPr>
          <w:rFonts w:ascii="Arial" w:hAnsi="Arial" w:cs="Arial"/>
          <w:color w:val="000000"/>
        </w:rPr>
        <w:t>undoubtedly presents challenges in various forms to the workforce both from a psychological and capacity perspective.  The organisation is reinforcing support mechanisms for those involved whilst ensuring that learning is the focus of the outcome of the reviews.</w:t>
      </w:r>
    </w:p>
    <w:p w14:paraId="73D7D3D3" w14:textId="77777777" w:rsidR="00F007D8" w:rsidRPr="00E55781" w:rsidRDefault="00F007D8" w:rsidP="00F007D8">
      <w:pPr>
        <w:pStyle w:val="Heading3"/>
        <w:spacing w:line="276" w:lineRule="auto"/>
        <w:rPr>
          <w:sz w:val="24"/>
          <w:szCs w:val="24"/>
        </w:rPr>
      </w:pPr>
      <w:bookmarkStart w:id="17" w:name="_Toc169451053"/>
      <w:r w:rsidRPr="00E55781">
        <w:rPr>
          <w:sz w:val="24"/>
          <w:szCs w:val="24"/>
        </w:rPr>
        <w:t>2.3.3</w:t>
      </w:r>
      <w:r w:rsidRPr="00E55781">
        <w:rPr>
          <w:sz w:val="24"/>
          <w:szCs w:val="24"/>
        </w:rPr>
        <w:tab/>
        <w:t>Financial</w:t>
      </w:r>
      <w:bookmarkEnd w:id="17"/>
    </w:p>
    <w:p w14:paraId="39E62B7B" w14:textId="77777777" w:rsidR="00F007D8" w:rsidRPr="00E55781" w:rsidRDefault="00F007D8" w:rsidP="00F007D8">
      <w:pPr>
        <w:spacing w:before="40" w:after="40" w:line="276" w:lineRule="auto"/>
        <w:ind w:left="720"/>
        <w:rPr>
          <w:rFonts w:ascii="Arial" w:hAnsi="Arial" w:cs="Arial"/>
          <w:color w:val="000000"/>
        </w:rPr>
      </w:pPr>
      <w:r w:rsidRPr="00E55781">
        <w:rPr>
          <w:rFonts w:ascii="Arial" w:hAnsi="Arial" w:cs="Arial"/>
          <w:color w:val="000000"/>
        </w:rPr>
        <w:t>There is a potential for financial impact to the organisation in relation to claims as a result of adverse events</w:t>
      </w:r>
      <w:r w:rsidR="00842CED" w:rsidRPr="00E55781">
        <w:rPr>
          <w:rFonts w:ascii="Arial" w:hAnsi="Arial" w:cs="Arial"/>
          <w:color w:val="000000"/>
        </w:rPr>
        <w:t xml:space="preserve"> which trigger the Duty of Candour</w:t>
      </w:r>
      <w:r w:rsidRPr="00E55781">
        <w:rPr>
          <w:rFonts w:ascii="Arial" w:hAnsi="Arial" w:cs="Arial"/>
          <w:color w:val="000000"/>
        </w:rPr>
        <w:t>.</w:t>
      </w:r>
    </w:p>
    <w:p w14:paraId="4E1EE1D4" w14:textId="56E8C151" w:rsidR="00F007D8" w:rsidRPr="00E55781" w:rsidRDefault="00F007D8" w:rsidP="00F007D8">
      <w:pPr>
        <w:pStyle w:val="Heading3"/>
        <w:spacing w:line="276" w:lineRule="auto"/>
        <w:rPr>
          <w:sz w:val="24"/>
          <w:szCs w:val="24"/>
        </w:rPr>
      </w:pPr>
      <w:bookmarkStart w:id="18" w:name="_Toc169451054"/>
      <w:r w:rsidRPr="00E55781">
        <w:rPr>
          <w:sz w:val="24"/>
          <w:szCs w:val="24"/>
        </w:rPr>
        <w:t>2.3.4</w:t>
      </w:r>
      <w:r w:rsidRPr="00E55781">
        <w:rPr>
          <w:sz w:val="24"/>
          <w:szCs w:val="24"/>
        </w:rPr>
        <w:tab/>
        <w:t>Risk Assessment/</w:t>
      </w:r>
      <w:r w:rsidR="004901D1">
        <w:rPr>
          <w:sz w:val="24"/>
          <w:szCs w:val="24"/>
        </w:rPr>
        <w:t xml:space="preserve"> </w:t>
      </w:r>
      <w:r w:rsidRPr="00E55781">
        <w:rPr>
          <w:sz w:val="24"/>
          <w:szCs w:val="24"/>
        </w:rPr>
        <w:t>Management</w:t>
      </w:r>
      <w:bookmarkEnd w:id="18"/>
    </w:p>
    <w:p w14:paraId="11CA5B2F" w14:textId="77777777" w:rsidR="00F007D8" w:rsidRPr="00E55781" w:rsidRDefault="00F007D8" w:rsidP="00F007D8">
      <w:pPr>
        <w:spacing w:before="40" w:after="40" w:line="276" w:lineRule="auto"/>
        <w:ind w:left="709"/>
        <w:rPr>
          <w:rFonts w:ascii="Arial" w:hAnsi="Arial" w:cs="Arial"/>
          <w:color w:val="000000"/>
        </w:rPr>
      </w:pPr>
      <w:r w:rsidRPr="00E55781">
        <w:rPr>
          <w:rFonts w:ascii="Arial" w:hAnsi="Arial" w:cs="Arial"/>
          <w:color w:val="000000"/>
        </w:rPr>
        <w:t>Significant adverse event reviews are managed on a case by case basis and risk assessment is supported where required, this is further embedded within action plans if appropriate.</w:t>
      </w:r>
    </w:p>
    <w:p w14:paraId="1B18D366" w14:textId="77777777" w:rsidR="00F007D8" w:rsidRPr="00E55781" w:rsidRDefault="00F007D8" w:rsidP="00F007D8">
      <w:pPr>
        <w:pStyle w:val="Heading3"/>
        <w:spacing w:line="276" w:lineRule="auto"/>
        <w:ind w:left="709" w:hanging="709"/>
        <w:rPr>
          <w:sz w:val="24"/>
          <w:szCs w:val="24"/>
        </w:rPr>
      </w:pPr>
      <w:bookmarkStart w:id="19" w:name="_Toc169451055"/>
      <w:r w:rsidRPr="00E55781">
        <w:rPr>
          <w:sz w:val="24"/>
          <w:szCs w:val="24"/>
        </w:rPr>
        <w:t>2.3.5</w:t>
      </w:r>
      <w:r w:rsidRPr="00E55781">
        <w:rPr>
          <w:sz w:val="24"/>
          <w:szCs w:val="24"/>
        </w:rPr>
        <w:tab/>
        <w:t>Equality and Diversity, including health inequalities</w:t>
      </w:r>
      <w:r w:rsidRPr="00E55781">
        <w:rPr>
          <w:color w:val="000000"/>
          <w:sz w:val="24"/>
          <w:szCs w:val="24"/>
        </w:rPr>
        <w:br/>
      </w:r>
      <w:r w:rsidRPr="00E55781">
        <w:rPr>
          <w:b w:val="0"/>
          <w:color w:val="000000"/>
          <w:sz w:val="24"/>
          <w:szCs w:val="24"/>
        </w:rPr>
        <w:t>An impact assessment has not been completed as this paper provides a report following an analysis of data.</w:t>
      </w:r>
      <w:bookmarkEnd w:id="19"/>
      <w:r w:rsidRPr="00E55781">
        <w:rPr>
          <w:color w:val="000000"/>
          <w:sz w:val="24"/>
          <w:szCs w:val="24"/>
        </w:rPr>
        <w:t xml:space="preserve"> </w:t>
      </w:r>
    </w:p>
    <w:p w14:paraId="2272A1CF" w14:textId="77777777" w:rsidR="00F007D8" w:rsidRPr="00E55781" w:rsidRDefault="00F007D8" w:rsidP="00F007D8">
      <w:pPr>
        <w:pStyle w:val="Heading3"/>
        <w:rPr>
          <w:sz w:val="24"/>
          <w:szCs w:val="24"/>
        </w:rPr>
      </w:pPr>
      <w:bookmarkStart w:id="20" w:name="_Toc169451056"/>
      <w:r w:rsidRPr="00E55781">
        <w:rPr>
          <w:sz w:val="24"/>
          <w:szCs w:val="24"/>
        </w:rPr>
        <w:t>2.3.6</w:t>
      </w:r>
      <w:r w:rsidRPr="00E55781">
        <w:rPr>
          <w:sz w:val="24"/>
          <w:szCs w:val="24"/>
        </w:rPr>
        <w:tab/>
        <w:t>Other impacts</w:t>
      </w:r>
      <w:bookmarkEnd w:id="20"/>
    </w:p>
    <w:p w14:paraId="22B64D0E" w14:textId="77777777" w:rsidR="00F007D8" w:rsidRPr="00E55781" w:rsidRDefault="00F007D8" w:rsidP="00F007D8">
      <w:pPr>
        <w:spacing w:before="40" w:after="40" w:line="276" w:lineRule="auto"/>
        <w:ind w:left="709"/>
        <w:rPr>
          <w:rFonts w:ascii="Arial" w:hAnsi="Arial" w:cs="Arial"/>
          <w:color w:val="000000"/>
        </w:rPr>
      </w:pPr>
      <w:r w:rsidRPr="00E55781">
        <w:rPr>
          <w:rFonts w:ascii="Arial" w:hAnsi="Arial" w:cs="Arial"/>
          <w:color w:val="000000"/>
        </w:rPr>
        <w:t>Potential for reputational impact due to the nature and content of the report.</w:t>
      </w:r>
    </w:p>
    <w:p w14:paraId="46B6D72B" w14:textId="77777777" w:rsidR="00F007D8" w:rsidRPr="00E55781" w:rsidRDefault="00F007D8" w:rsidP="00F007D8">
      <w:pPr>
        <w:pStyle w:val="ListParagraph"/>
        <w:rPr>
          <w:rFonts w:ascii="Arial" w:hAnsi="Arial" w:cs="Arial"/>
          <w:color w:val="000000"/>
          <w:sz w:val="24"/>
          <w:szCs w:val="24"/>
        </w:rPr>
      </w:pPr>
    </w:p>
    <w:p w14:paraId="6F697897" w14:textId="77777777" w:rsidR="00F007D8" w:rsidRPr="00E55781" w:rsidRDefault="00F007D8" w:rsidP="00842CED">
      <w:pPr>
        <w:pStyle w:val="Heading3"/>
        <w:keepLines/>
        <w:numPr>
          <w:ilvl w:val="2"/>
          <w:numId w:val="11"/>
        </w:numPr>
        <w:spacing w:before="40" w:after="0"/>
        <w:rPr>
          <w:sz w:val="24"/>
          <w:szCs w:val="24"/>
        </w:rPr>
      </w:pPr>
      <w:bookmarkStart w:id="21" w:name="_Toc169451057"/>
      <w:r w:rsidRPr="00E55781">
        <w:rPr>
          <w:sz w:val="24"/>
          <w:szCs w:val="24"/>
        </w:rPr>
        <w:t>Communication, involvement, engagement and consultation</w:t>
      </w:r>
      <w:bookmarkEnd w:id="21"/>
    </w:p>
    <w:p w14:paraId="3C442F3E" w14:textId="77777777" w:rsidR="00F007D8" w:rsidRPr="00E55781" w:rsidRDefault="00F007D8" w:rsidP="00F007D8">
      <w:pPr>
        <w:pStyle w:val="ListParagraph"/>
        <w:rPr>
          <w:rFonts w:ascii="Arial" w:hAnsi="Arial" w:cs="Arial"/>
          <w:color w:val="000000"/>
          <w:sz w:val="24"/>
          <w:szCs w:val="24"/>
        </w:rPr>
      </w:pPr>
    </w:p>
    <w:p w14:paraId="1ED53711" w14:textId="77777777" w:rsidR="00F007D8" w:rsidRPr="00E55781" w:rsidRDefault="00F007D8" w:rsidP="00F007D8">
      <w:pPr>
        <w:spacing w:before="40" w:after="40" w:line="276" w:lineRule="auto"/>
        <w:ind w:left="720"/>
        <w:rPr>
          <w:rFonts w:ascii="Arial" w:hAnsi="Arial" w:cs="Arial"/>
          <w:color w:val="000000"/>
        </w:rPr>
      </w:pPr>
      <w:r w:rsidRPr="00E55781">
        <w:rPr>
          <w:rFonts w:ascii="Arial" w:hAnsi="Arial" w:cs="Arial"/>
          <w:color w:val="000000"/>
        </w:rPr>
        <w:t>The Board has carried out its duties to involve and engage external stakeholders where appropriate:</w:t>
      </w:r>
    </w:p>
    <w:p w14:paraId="74AE3CF9" w14:textId="77777777" w:rsidR="00F007D8" w:rsidRPr="00E55781" w:rsidRDefault="00F007D8" w:rsidP="00F007D8">
      <w:pPr>
        <w:pStyle w:val="ListParagraph"/>
        <w:rPr>
          <w:rFonts w:ascii="Arial" w:hAnsi="Arial" w:cs="Arial"/>
          <w:color w:val="000000"/>
          <w:sz w:val="24"/>
          <w:szCs w:val="24"/>
        </w:rPr>
      </w:pPr>
    </w:p>
    <w:p w14:paraId="5B660654" w14:textId="4170AD1D" w:rsidR="00F007D8" w:rsidRPr="00E55781" w:rsidRDefault="00F007D8" w:rsidP="00842CED">
      <w:pPr>
        <w:pStyle w:val="ListParagraph"/>
        <w:numPr>
          <w:ilvl w:val="0"/>
          <w:numId w:val="7"/>
        </w:numPr>
        <w:spacing w:before="40" w:after="40" w:line="276" w:lineRule="auto"/>
        <w:contextualSpacing w:val="0"/>
        <w:rPr>
          <w:rFonts w:ascii="Arial" w:hAnsi="Arial" w:cs="Arial"/>
          <w:sz w:val="24"/>
          <w:szCs w:val="24"/>
        </w:rPr>
      </w:pPr>
      <w:r w:rsidRPr="00E55781">
        <w:rPr>
          <w:rFonts w:ascii="Arial" w:hAnsi="Arial" w:cs="Arial"/>
          <w:sz w:val="24"/>
          <w:szCs w:val="24"/>
        </w:rPr>
        <w:t xml:space="preserve">Service Clinical Governance Meetings </w:t>
      </w:r>
      <w:r w:rsidR="00842CED" w:rsidRPr="00E55781">
        <w:rPr>
          <w:rFonts w:ascii="Arial" w:hAnsi="Arial" w:cs="Arial"/>
          <w:sz w:val="24"/>
          <w:szCs w:val="24"/>
        </w:rPr>
        <w:t>throughout the year (as SAERs are completed)</w:t>
      </w:r>
    </w:p>
    <w:p w14:paraId="740DB7AD" w14:textId="1AADFB44" w:rsidR="00F007D8" w:rsidRPr="00E55781" w:rsidRDefault="00F007D8" w:rsidP="00842CED">
      <w:pPr>
        <w:pStyle w:val="ListParagraph"/>
        <w:numPr>
          <w:ilvl w:val="0"/>
          <w:numId w:val="7"/>
        </w:numPr>
        <w:spacing w:before="40" w:after="40" w:line="276" w:lineRule="auto"/>
        <w:contextualSpacing w:val="0"/>
        <w:rPr>
          <w:rFonts w:ascii="Arial" w:hAnsi="Arial" w:cs="Arial"/>
          <w:sz w:val="24"/>
          <w:szCs w:val="24"/>
        </w:rPr>
      </w:pPr>
      <w:r w:rsidRPr="00E55781">
        <w:rPr>
          <w:rFonts w:ascii="Arial" w:hAnsi="Arial" w:cs="Arial"/>
          <w:sz w:val="24"/>
          <w:szCs w:val="24"/>
        </w:rPr>
        <w:t xml:space="preserve">Division Management Team Meetings </w:t>
      </w:r>
      <w:r w:rsidR="00842CED" w:rsidRPr="00E55781">
        <w:rPr>
          <w:rFonts w:ascii="Arial" w:hAnsi="Arial" w:cs="Arial"/>
          <w:sz w:val="24"/>
          <w:szCs w:val="24"/>
        </w:rPr>
        <w:t>throughout the year (as SAERs are completed)</w:t>
      </w:r>
    </w:p>
    <w:p w14:paraId="4D4C6F05" w14:textId="2D4E6151" w:rsidR="00D464E6" w:rsidRDefault="00D464E6" w:rsidP="00842CED">
      <w:pPr>
        <w:pStyle w:val="ListParagraph"/>
        <w:numPr>
          <w:ilvl w:val="0"/>
          <w:numId w:val="7"/>
        </w:numPr>
        <w:spacing w:before="40" w:after="40" w:line="276" w:lineRule="auto"/>
        <w:contextualSpacing w:val="0"/>
        <w:rPr>
          <w:rFonts w:ascii="Arial" w:hAnsi="Arial" w:cs="Arial"/>
          <w:sz w:val="24"/>
          <w:szCs w:val="24"/>
        </w:rPr>
      </w:pPr>
      <w:r w:rsidRPr="00E55781">
        <w:rPr>
          <w:rFonts w:ascii="Arial" w:hAnsi="Arial" w:cs="Arial"/>
          <w:sz w:val="24"/>
          <w:szCs w:val="24"/>
        </w:rPr>
        <w:t>Clinical Governance Risk Management Groups (for final approval of SAER reports)</w:t>
      </w:r>
    </w:p>
    <w:p w14:paraId="32F83B17" w14:textId="065E6CC3" w:rsidR="00003430" w:rsidRDefault="00003430" w:rsidP="00842CED">
      <w:pPr>
        <w:pStyle w:val="ListParagraph"/>
        <w:numPr>
          <w:ilvl w:val="0"/>
          <w:numId w:val="7"/>
        </w:numPr>
        <w:spacing w:before="40" w:after="40" w:line="276" w:lineRule="auto"/>
        <w:contextualSpacing w:val="0"/>
        <w:rPr>
          <w:rFonts w:ascii="Arial" w:hAnsi="Arial" w:cs="Arial"/>
          <w:sz w:val="24"/>
          <w:szCs w:val="24"/>
        </w:rPr>
      </w:pPr>
      <w:r w:rsidRPr="1E59D36B">
        <w:rPr>
          <w:rFonts w:ascii="Arial" w:hAnsi="Arial" w:cs="Arial"/>
          <w:sz w:val="24"/>
          <w:szCs w:val="24"/>
        </w:rPr>
        <w:t>Regular reporting to the Clinical Governance Committee on SA</w:t>
      </w:r>
      <w:r w:rsidR="003B0049">
        <w:rPr>
          <w:rFonts w:ascii="Arial" w:hAnsi="Arial" w:cs="Arial"/>
          <w:sz w:val="24"/>
          <w:szCs w:val="24"/>
        </w:rPr>
        <w:t>E</w:t>
      </w:r>
      <w:r w:rsidRPr="1E59D36B">
        <w:rPr>
          <w:rFonts w:ascii="Arial" w:hAnsi="Arial" w:cs="Arial"/>
          <w:sz w:val="24"/>
          <w:szCs w:val="24"/>
        </w:rPr>
        <w:t xml:space="preserve">Rs. </w:t>
      </w:r>
    </w:p>
    <w:p w14:paraId="6D43E4EC" w14:textId="77777777" w:rsidR="00234CA5" w:rsidRPr="00E55781" w:rsidRDefault="00234CA5" w:rsidP="00234CA5">
      <w:pPr>
        <w:pStyle w:val="ListParagraph"/>
        <w:spacing w:before="40" w:after="40" w:line="276" w:lineRule="auto"/>
        <w:ind w:left="1080"/>
        <w:contextualSpacing w:val="0"/>
        <w:rPr>
          <w:rFonts w:ascii="Arial" w:hAnsi="Arial" w:cs="Arial"/>
          <w:sz w:val="24"/>
          <w:szCs w:val="24"/>
        </w:rPr>
      </w:pPr>
    </w:p>
    <w:p w14:paraId="61EB4FE9" w14:textId="77777777" w:rsidR="00F007D8" w:rsidRPr="00E55781" w:rsidRDefault="00F007D8" w:rsidP="00842CED">
      <w:pPr>
        <w:pStyle w:val="Heading3"/>
        <w:keepLines/>
        <w:numPr>
          <w:ilvl w:val="2"/>
          <w:numId w:val="11"/>
        </w:numPr>
        <w:spacing w:before="40" w:after="0"/>
        <w:rPr>
          <w:sz w:val="24"/>
          <w:szCs w:val="24"/>
        </w:rPr>
      </w:pPr>
      <w:bookmarkStart w:id="22" w:name="_Toc169451058"/>
      <w:r w:rsidRPr="00E55781">
        <w:rPr>
          <w:sz w:val="24"/>
          <w:szCs w:val="24"/>
        </w:rPr>
        <w:t>Route to the Meeting</w:t>
      </w:r>
      <w:bookmarkEnd w:id="22"/>
    </w:p>
    <w:p w14:paraId="1B658EB7" w14:textId="77777777" w:rsidR="00F007D8" w:rsidRPr="00E55781" w:rsidRDefault="00F007D8" w:rsidP="00F007D8">
      <w:pPr>
        <w:rPr>
          <w:rFonts w:ascii="Arial" w:hAnsi="Arial" w:cs="Arial"/>
        </w:rPr>
      </w:pPr>
    </w:p>
    <w:p w14:paraId="2220B9A1" w14:textId="07F61D88" w:rsidR="00F007D8" w:rsidRPr="00E55781" w:rsidRDefault="00F007D8" w:rsidP="00F007D8">
      <w:pPr>
        <w:spacing w:before="40" w:after="40" w:line="276" w:lineRule="auto"/>
        <w:ind w:left="720"/>
        <w:rPr>
          <w:rFonts w:ascii="Arial" w:hAnsi="Arial" w:cs="Arial"/>
        </w:rPr>
      </w:pPr>
      <w:r w:rsidRPr="00E55781">
        <w:rPr>
          <w:rFonts w:ascii="Arial" w:hAnsi="Arial" w:cs="Arial"/>
        </w:rPr>
        <w:t>This has been previously considered by the following groups as part of its development. The groups have either supported the content, or their feedback has informed the development of the content presented in this report.</w:t>
      </w:r>
    </w:p>
    <w:p w14:paraId="5C7E2356" w14:textId="77777777" w:rsidR="00F007D8" w:rsidRPr="00E55781" w:rsidRDefault="00F007D8" w:rsidP="00F007D8">
      <w:pPr>
        <w:pStyle w:val="ListParagraph"/>
        <w:spacing w:before="40" w:after="40" w:line="276" w:lineRule="auto"/>
        <w:ind w:left="394"/>
        <w:rPr>
          <w:rFonts w:ascii="Arial" w:hAnsi="Arial" w:cs="Arial"/>
          <w:color w:val="000000"/>
          <w:sz w:val="24"/>
          <w:szCs w:val="24"/>
        </w:rPr>
      </w:pPr>
    </w:p>
    <w:p w14:paraId="6E1E8FE1" w14:textId="6F7F18E1" w:rsidR="00F007D8" w:rsidRPr="00E55781" w:rsidRDefault="00F007D8" w:rsidP="00842CED">
      <w:pPr>
        <w:pStyle w:val="ListParagraph"/>
        <w:numPr>
          <w:ilvl w:val="0"/>
          <w:numId w:val="7"/>
        </w:numPr>
        <w:spacing w:before="40" w:after="40" w:line="276" w:lineRule="auto"/>
        <w:contextualSpacing w:val="0"/>
        <w:rPr>
          <w:rFonts w:ascii="Arial" w:hAnsi="Arial" w:cs="Arial"/>
          <w:sz w:val="24"/>
          <w:szCs w:val="24"/>
        </w:rPr>
      </w:pPr>
      <w:r w:rsidRPr="00E55781">
        <w:rPr>
          <w:rFonts w:ascii="Arial" w:hAnsi="Arial" w:cs="Arial"/>
          <w:sz w:val="24"/>
          <w:szCs w:val="24"/>
        </w:rPr>
        <w:t xml:space="preserve">Service Clinical Governance Meetings </w:t>
      </w:r>
      <w:r w:rsidR="00842CED" w:rsidRPr="00E55781">
        <w:rPr>
          <w:rFonts w:ascii="Arial" w:hAnsi="Arial" w:cs="Arial"/>
          <w:sz w:val="24"/>
          <w:szCs w:val="24"/>
        </w:rPr>
        <w:t>throughout the year (as SAERs are completed)</w:t>
      </w:r>
    </w:p>
    <w:p w14:paraId="25828B53" w14:textId="79EA57BC" w:rsidR="00F007D8" w:rsidRPr="00E55781" w:rsidRDefault="00F007D8" w:rsidP="00842CED">
      <w:pPr>
        <w:pStyle w:val="ListParagraph"/>
        <w:numPr>
          <w:ilvl w:val="0"/>
          <w:numId w:val="7"/>
        </w:numPr>
        <w:spacing w:before="40" w:after="40" w:line="276" w:lineRule="auto"/>
        <w:contextualSpacing w:val="0"/>
        <w:rPr>
          <w:rFonts w:ascii="Arial" w:hAnsi="Arial" w:cs="Arial"/>
          <w:sz w:val="24"/>
          <w:szCs w:val="24"/>
        </w:rPr>
      </w:pPr>
      <w:r w:rsidRPr="00E55781">
        <w:rPr>
          <w:rFonts w:ascii="Arial" w:hAnsi="Arial" w:cs="Arial"/>
          <w:sz w:val="24"/>
          <w:szCs w:val="24"/>
        </w:rPr>
        <w:t xml:space="preserve">Division Management Team Meetings </w:t>
      </w:r>
      <w:r w:rsidR="00842CED" w:rsidRPr="00E55781">
        <w:rPr>
          <w:rFonts w:ascii="Arial" w:hAnsi="Arial" w:cs="Arial"/>
          <w:sz w:val="24"/>
          <w:szCs w:val="24"/>
        </w:rPr>
        <w:t>throughout the year (as SAERs are completed)</w:t>
      </w:r>
    </w:p>
    <w:p w14:paraId="1C27A7E0" w14:textId="5FE3FE13" w:rsidR="00D464E6" w:rsidRDefault="00D464E6" w:rsidP="00D464E6">
      <w:pPr>
        <w:pStyle w:val="ListParagraph"/>
        <w:numPr>
          <w:ilvl w:val="0"/>
          <w:numId w:val="7"/>
        </w:numPr>
        <w:spacing w:before="40" w:after="40" w:line="276" w:lineRule="auto"/>
        <w:contextualSpacing w:val="0"/>
        <w:rPr>
          <w:rFonts w:ascii="Arial" w:hAnsi="Arial" w:cs="Arial"/>
          <w:sz w:val="24"/>
          <w:szCs w:val="24"/>
        </w:rPr>
      </w:pPr>
      <w:r w:rsidRPr="00E55781">
        <w:rPr>
          <w:rFonts w:ascii="Arial" w:hAnsi="Arial" w:cs="Arial"/>
          <w:sz w:val="24"/>
          <w:szCs w:val="24"/>
        </w:rPr>
        <w:t>Clinical Governance Risk Management Groups (for final approval of SAER reports)</w:t>
      </w:r>
    </w:p>
    <w:p w14:paraId="3860031C" w14:textId="77777777" w:rsidR="00F007D8" w:rsidRPr="00E55781" w:rsidRDefault="00F007D8" w:rsidP="00F007D8">
      <w:pPr>
        <w:pStyle w:val="Heading3"/>
        <w:rPr>
          <w:sz w:val="24"/>
          <w:szCs w:val="24"/>
        </w:rPr>
      </w:pPr>
      <w:bookmarkStart w:id="23" w:name="_Toc169451059"/>
      <w:r w:rsidRPr="00E55781">
        <w:rPr>
          <w:sz w:val="24"/>
          <w:szCs w:val="24"/>
        </w:rPr>
        <w:t>2.4</w:t>
      </w:r>
      <w:r w:rsidRPr="00E55781">
        <w:rPr>
          <w:sz w:val="24"/>
          <w:szCs w:val="24"/>
        </w:rPr>
        <w:tab/>
        <w:t>Recommendation</w:t>
      </w:r>
      <w:bookmarkEnd w:id="23"/>
    </w:p>
    <w:p w14:paraId="56640EA1" w14:textId="77777777" w:rsidR="00F007D8" w:rsidRPr="00E55781" w:rsidRDefault="00F007D8" w:rsidP="00F007D8">
      <w:pPr>
        <w:rPr>
          <w:rFonts w:ascii="Arial" w:hAnsi="Arial" w:cs="Arial"/>
        </w:rPr>
      </w:pPr>
    </w:p>
    <w:p w14:paraId="57921EF0" w14:textId="77777777" w:rsidR="00F007D8" w:rsidRPr="00E55781" w:rsidRDefault="00F007D8" w:rsidP="00842CED">
      <w:pPr>
        <w:numPr>
          <w:ilvl w:val="0"/>
          <w:numId w:val="6"/>
        </w:numPr>
        <w:spacing w:before="40" w:after="40" w:line="276" w:lineRule="auto"/>
        <w:ind w:hanging="252"/>
        <w:rPr>
          <w:rFonts w:ascii="Arial" w:hAnsi="Arial" w:cs="Arial"/>
          <w:color w:val="000000"/>
        </w:rPr>
      </w:pPr>
      <w:r w:rsidRPr="00E55781">
        <w:rPr>
          <w:rFonts w:ascii="Arial" w:hAnsi="Arial" w:cs="Arial"/>
          <w:color w:val="000000"/>
        </w:rPr>
        <w:t>A</w:t>
      </w:r>
      <w:r w:rsidR="00842CED" w:rsidRPr="00E55781">
        <w:rPr>
          <w:rFonts w:ascii="Arial" w:hAnsi="Arial" w:cs="Arial"/>
          <w:color w:val="000000"/>
        </w:rPr>
        <w:t>pproval</w:t>
      </w:r>
    </w:p>
    <w:p w14:paraId="1BB9BEF9" w14:textId="77777777" w:rsidR="00F007D8" w:rsidRPr="00E55781" w:rsidRDefault="00F007D8" w:rsidP="00F007D8">
      <w:pPr>
        <w:pStyle w:val="Heading3"/>
        <w:rPr>
          <w:sz w:val="24"/>
          <w:szCs w:val="24"/>
        </w:rPr>
      </w:pPr>
      <w:bookmarkStart w:id="24" w:name="_Toc169451060"/>
      <w:r w:rsidRPr="00E55781">
        <w:rPr>
          <w:sz w:val="24"/>
          <w:szCs w:val="24"/>
        </w:rPr>
        <w:t>3</w:t>
      </w:r>
      <w:r w:rsidRPr="00E55781">
        <w:rPr>
          <w:sz w:val="24"/>
          <w:szCs w:val="24"/>
        </w:rPr>
        <w:tab/>
        <w:t>List of appendices</w:t>
      </w:r>
      <w:bookmarkEnd w:id="24"/>
    </w:p>
    <w:p w14:paraId="3FE00B82" w14:textId="77777777" w:rsidR="00F007D8" w:rsidRPr="00E55781" w:rsidRDefault="00F007D8" w:rsidP="00F007D8">
      <w:pPr>
        <w:spacing w:before="40" w:after="40" w:line="276" w:lineRule="auto"/>
        <w:rPr>
          <w:rFonts w:ascii="Arial" w:hAnsi="Arial" w:cs="Arial"/>
          <w:color w:val="000000" w:themeColor="text1"/>
        </w:rPr>
      </w:pPr>
    </w:p>
    <w:p w14:paraId="112644C9" w14:textId="77777777" w:rsidR="00F007D8" w:rsidRPr="00E55781" w:rsidRDefault="00F007D8" w:rsidP="00F007D8">
      <w:pPr>
        <w:spacing w:before="40" w:after="40" w:line="276" w:lineRule="auto"/>
        <w:ind w:firstLine="525"/>
        <w:rPr>
          <w:rFonts w:ascii="Arial" w:hAnsi="Arial" w:cs="Arial"/>
          <w:color w:val="000000"/>
        </w:rPr>
      </w:pPr>
      <w:r w:rsidRPr="00E55781">
        <w:rPr>
          <w:rFonts w:ascii="Arial" w:hAnsi="Arial" w:cs="Arial"/>
          <w:color w:val="000000" w:themeColor="text1"/>
        </w:rPr>
        <w:t>The following appendices are included with this report:</w:t>
      </w:r>
    </w:p>
    <w:p w14:paraId="04297C3C" w14:textId="77777777" w:rsidR="00F007D8" w:rsidRPr="00E55781" w:rsidRDefault="00F007D8" w:rsidP="00F007D8">
      <w:pPr>
        <w:pStyle w:val="ListParagraph"/>
        <w:spacing w:before="40" w:after="40" w:line="276" w:lineRule="auto"/>
        <w:ind w:left="1253"/>
        <w:rPr>
          <w:rFonts w:ascii="Arial" w:hAnsi="Arial" w:cs="Arial"/>
          <w:sz w:val="24"/>
          <w:szCs w:val="24"/>
        </w:rPr>
      </w:pPr>
    </w:p>
    <w:p w14:paraId="468FB987" w14:textId="1F4DFA4D" w:rsidR="00F007D8" w:rsidRDefault="00F007D8" w:rsidP="00842CED">
      <w:pPr>
        <w:pStyle w:val="ListParagraph"/>
        <w:numPr>
          <w:ilvl w:val="0"/>
          <w:numId w:val="12"/>
        </w:numPr>
        <w:spacing w:before="40" w:after="40" w:line="276" w:lineRule="auto"/>
        <w:ind w:left="993" w:hanging="284"/>
        <w:contextualSpacing w:val="0"/>
        <w:rPr>
          <w:rFonts w:ascii="Arial" w:hAnsi="Arial" w:cs="Arial"/>
          <w:sz w:val="24"/>
          <w:szCs w:val="24"/>
        </w:rPr>
      </w:pPr>
      <w:r w:rsidRPr="00E55781">
        <w:rPr>
          <w:rFonts w:ascii="Arial" w:hAnsi="Arial" w:cs="Arial"/>
          <w:sz w:val="24"/>
          <w:szCs w:val="24"/>
        </w:rPr>
        <w:t xml:space="preserve">Appendix No 1, </w:t>
      </w:r>
      <w:r w:rsidR="006335B6">
        <w:rPr>
          <w:rFonts w:ascii="Arial" w:hAnsi="Arial" w:cs="Arial"/>
          <w:sz w:val="24"/>
          <w:szCs w:val="24"/>
        </w:rPr>
        <w:t xml:space="preserve">Duty of Candour </w:t>
      </w:r>
      <w:r w:rsidR="00BD1B1B">
        <w:rPr>
          <w:rFonts w:ascii="Arial" w:hAnsi="Arial" w:cs="Arial"/>
          <w:sz w:val="24"/>
          <w:szCs w:val="24"/>
        </w:rPr>
        <w:t>Criteria</w:t>
      </w:r>
    </w:p>
    <w:p w14:paraId="04605D72" w14:textId="5B803581" w:rsidR="006335B6" w:rsidRDefault="006335B6" w:rsidP="00842CED">
      <w:pPr>
        <w:pStyle w:val="ListParagraph"/>
        <w:numPr>
          <w:ilvl w:val="0"/>
          <w:numId w:val="12"/>
        </w:numPr>
        <w:spacing w:before="40" w:after="40" w:line="276" w:lineRule="auto"/>
        <w:ind w:left="993" w:hanging="284"/>
        <w:contextualSpacing w:val="0"/>
        <w:rPr>
          <w:rFonts w:ascii="Arial" w:hAnsi="Arial" w:cs="Arial"/>
          <w:sz w:val="24"/>
          <w:szCs w:val="24"/>
        </w:rPr>
      </w:pPr>
      <w:r>
        <w:rPr>
          <w:rFonts w:ascii="Arial" w:hAnsi="Arial" w:cs="Arial"/>
          <w:sz w:val="24"/>
          <w:szCs w:val="24"/>
        </w:rPr>
        <w:t>Appendix No 2, Duty of Candour Detail R</w:t>
      </w:r>
      <w:r w:rsidR="00B668FF">
        <w:rPr>
          <w:rFonts w:ascii="Arial" w:hAnsi="Arial" w:cs="Arial"/>
          <w:sz w:val="24"/>
          <w:szCs w:val="24"/>
        </w:rPr>
        <w:t xml:space="preserve">eport with Status </w:t>
      </w:r>
      <w:r>
        <w:rPr>
          <w:rFonts w:ascii="Arial" w:hAnsi="Arial" w:cs="Arial"/>
          <w:sz w:val="24"/>
          <w:szCs w:val="24"/>
        </w:rPr>
        <w:t>(</w:t>
      </w:r>
      <w:r w:rsidRPr="006335B6">
        <w:rPr>
          <w:rFonts w:ascii="Arial" w:hAnsi="Arial" w:cs="Arial"/>
          <w:b/>
          <w:sz w:val="24"/>
          <w:szCs w:val="24"/>
        </w:rPr>
        <w:t>Not</w:t>
      </w:r>
      <w:r>
        <w:rPr>
          <w:rFonts w:ascii="Arial" w:hAnsi="Arial" w:cs="Arial"/>
          <w:sz w:val="24"/>
          <w:szCs w:val="24"/>
        </w:rPr>
        <w:t xml:space="preserve"> for publication)</w:t>
      </w:r>
    </w:p>
    <w:p w14:paraId="2AF1D709" w14:textId="386C0DD8" w:rsidR="006335B6" w:rsidRPr="00E55781" w:rsidRDefault="006335B6" w:rsidP="006335B6">
      <w:pPr>
        <w:pStyle w:val="ListParagraph"/>
        <w:spacing w:before="40" w:after="40" w:line="276" w:lineRule="auto"/>
        <w:ind w:left="993"/>
        <w:contextualSpacing w:val="0"/>
        <w:rPr>
          <w:rFonts w:ascii="Arial" w:hAnsi="Arial" w:cs="Arial"/>
          <w:sz w:val="24"/>
          <w:szCs w:val="24"/>
        </w:rPr>
      </w:pPr>
    </w:p>
    <w:p w14:paraId="12CD3E92" w14:textId="77777777" w:rsidR="00842CED" w:rsidRPr="00E55781" w:rsidRDefault="00842CED" w:rsidP="00842CED">
      <w:pPr>
        <w:spacing w:before="40" w:after="40" w:line="276" w:lineRule="auto"/>
        <w:rPr>
          <w:rFonts w:ascii="Arial" w:hAnsi="Arial" w:cs="Arial"/>
        </w:rPr>
      </w:pPr>
    </w:p>
    <w:p w14:paraId="66E6284D" w14:textId="77777777" w:rsidR="00842CED" w:rsidRPr="00E55781" w:rsidRDefault="00842CED" w:rsidP="00842CED">
      <w:pPr>
        <w:spacing w:before="40" w:after="40" w:line="276" w:lineRule="auto"/>
        <w:rPr>
          <w:rFonts w:ascii="Arial" w:hAnsi="Arial" w:cs="Arial"/>
        </w:rPr>
      </w:pPr>
    </w:p>
    <w:p w14:paraId="26A4F3D5" w14:textId="77777777" w:rsidR="00842CED" w:rsidRPr="00E55781" w:rsidRDefault="00842CED" w:rsidP="00842CED">
      <w:pPr>
        <w:spacing w:before="40" w:after="40" w:line="276" w:lineRule="auto"/>
        <w:rPr>
          <w:rFonts w:ascii="Arial" w:hAnsi="Arial" w:cs="Arial"/>
        </w:rPr>
      </w:pPr>
    </w:p>
    <w:p w14:paraId="212AEE66" w14:textId="77777777" w:rsidR="00842CED" w:rsidRPr="00E55781" w:rsidRDefault="00842CED" w:rsidP="00842CED">
      <w:pPr>
        <w:spacing w:before="40" w:after="40" w:line="276" w:lineRule="auto"/>
        <w:rPr>
          <w:rFonts w:ascii="Arial" w:hAnsi="Arial" w:cs="Arial"/>
        </w:rPr>
      </w:pPr>
    </w:p>
    <w:p w14:paraId="506FAD04" w14:textId="09606D81" w:rsidR="00842CED" w:rsidRPr="00E55781" w:rsidRDefault="00842CED">
      <w:pPr>
        <w:rPr>
          <w:rFonts w:ascii="Arial" w:hAnsi="Arial" w:cs="Arial"/>
        </w:rPr>
      </w:pPr>
    </w:p>
    <w:p w14:paraId="1EB085AD" w14:textId="19BA03EC" w:rsidR="00B81B3B" w:rsidRPr="00E55781" w:rsidRDefault="00B81B3B" w:rsidP="00166EBC">
      <w:pPr>
        <w:rPr>
          <w:rFonts w:ascii="Arial" w:hAnsi="Arial" w:cs="Arial"/>
        </w:rPr>
      </w:pPr>
    </w:p>
    <w:p w14:paraId="59F58B76" w14:textId="15622A06" w:rsidR="009E0F6F" w:rsidRPr="00E55781" w:rsidRDefault="009E0F6F" w:rsidP="00166EBC">
      <w:pPr>
        <w:rPr>
          <w:rFonts w:ascii="Arial" w:hAnsi="Arial" w:cs="Arial"/>
        </w:rPr>
      </w:pPr>
    </w:p>
    <w:p w14:paraId="3BF40F33" w14:textId="77777777" w:rsidR="009E0F6F" w:rsidRPr="00E55781" w:rsidRDefault="009E0F6F" w:rsidP="000D6575">
      <w:pPr>
        <w:jc w:val="center"/>
        <w:rPr>
          <w:rFonts w:ascii="Arial" w:hAnsi="Arial" w:cs="Arial"/>
        </w:rPr>
      </w:pPr>
    </w:p>
    <w:p w14:paraId="1CF7EF7F" w14:textId="77777777" w:rsidR="009E0F6F" w:rsidRPr="00E55781" w:rsidRDefault="009E0F6F" w:rsidP="000D6575">
      <w:pPr>
        <w:jc w:val="center"/>
        <w:rPr>
          <w:rFonts w:ascii="Arial" w:hAnsi="Arial" w:cs="Arial"/>
        </w:rPr>
      </w:pPr>
    </w:p>
    <w:p w14:paraId="6EAB980D" w14:textId="77777777" w:rsidR="009E0F6F" w:rsidRPr="00E55781" w:rsidRDefault="009E0F6F" w:rsidP="000D6575">
      <w:pPr>
        <w:jc w:val="center"/>
        <w:rPr>
          <w:rFonts w:ascii="Arial" w:hAnsi="Arial" w:cs="Arial"/>
        </w:rPr>
      </w:pPr>
    </w:p>
    <w:p w14:paraId="47F51E69" w14:textId="32977FC8" w:rsidR="009E0F6F" w:rsidRDefault="009E0F6F" w:rsidP="000D6575">
      <w:pPr>
        <w:jc w:val="center"/>
        <w:rPr>
          <w:rFonts w:ascii="Arial" w:hAnsi="Arial" w:cs="Arial"/>
        </w:rPr>
      </w:pPr>
    </w:p>
    <w:p w14:paraId="790DF87D" w14:textId="2BC6B5B2" w:rsidR="00166EBC" w:rsidRDefault="00166EBC" w:rsidP="000D6575">
      <w:pPr>
        <w:jc w:val="center"/>
        <w:rPr>
          <w:rFonts w:ascii="Arial" w:hAnsi="Arial" w:cs="Arial"/>
        </w:rPr>
      </w:pPr>
    </w:p>
    <w:p w14:paraId="0135426A" w14:textId="608BA828" w:rsidR="00166EBC" w:rsidRDefault="00166EBC" w:rsidP="000D6575">
      <w:pPr>
        <w:jc w:val="center"/>
        <w:rPr>
          <w:rFonts w:ascii="Arial" w:hAnsi="Arial" w:cs="Arial"/>
        </w:rPr>
      </w:pPr>
    </w:p>
    <w:p w14:paraId="68BEFB0B" w14:textId="50A0BC53" w:rsidR="00166EBC" w:rsidRDefault="00166EBC" w:rsidP="000D6575">
      <w:pPr>
        <w:jc w:val="center"/>
        <w:rPr>
          <w:rFonts w:ascii="Arial" w:hAnsi="Arial" w:cs="Arial"/>
        </w:rPr>
      </w:pPr>
    </w:p>
    <w:p w14:paraId="41658B0D" w14:textId="25AB8ED8" w:rsidR="00166EBC" w:rsidRDefault="00166EBC" w:rsidP="000D6575">
      <w:pPr>
        <w:jc w:val="center"/>
        <w:rPr>
          <w:rFonts w:ascii="Arial" w:hAnsi="Arial" w:cs="Arial"/>
        </w:rPr>
      </w:pPr>
    </w:p>
    <w:p w14:paraId="4193A8FE" w14:textId="5B52D671" w:rsidR="00166EBC" w:rsidRDefault="00166EBC" w:rsidP="000D6575">
      <w:pPr>
        <w:jc w:val="center"/>
        <w:rPr>
          <w:rFonts w:ascii="Arial" w:hAnsi="Arial" w:cs="Arial"/>
        </w:rPr>
      </w:pPr>
    </w:p>
    <w:p w14:paraId="59579DB8" w14:textId="77777777" w:rsidR="00234CA5" w:rsidRDefault="00234CA5">
      <w:pPr>
        <w:rPr>
          <w:rFonts w:ascii="Arial" w:eastAsia="Arial" w:hAnsi="Arial" w:cs="Arial"/>
          <w:b/>
          <w:bCs/>
        </w:rPr>
      </w:pPr>
      <w:bookmarkStart w:id="25" w:name="_Toc169451061"/>
      <w:r>
        <w:rPr>
          <w:rFonts w:ascii="Arial" w:eastAsia="Arial" w:hAnsi="Arial" w:cs="Arial"/>
          <w:b/>
          <w:bCs/>
        </w:rPr>
        <w:br w:type="page"/>
      </w:r>
    </w:p>
    <w:p w14:paraId="19AC4518" w14:textId="27D60A58" w:rsidR="00BD1B1B" w:rsidRDefault="13190A8D" w:rsidP="00B245CD">
      <w:pPr>
        <w:ind w:left="426"/>
        <w:rPr>
          <w:rFonts w:ascii="Arial" w:eastAsia="Arial" w:hAnsi="Arial" w:cs="Arial"/>
          <w:b/>
          <w:bCs/>
        </w:rPr>
      </w:pPr>
      <w:r w:rsidRPr="1E59D36B">
        <w:rPr>
          <w:rFonts w:ascii="Arial" w:eastAsia="Arial" w:hAnsi="Arial" w:cs="Arial"/>
          <w:b/>
          <w:bCs/>
        </w:rPr>
        <w:lastRenderedPageBreak/>
        <w:t>Duty of Candour Report</w:t>
      </w:r>
    </w:p>
    <w:p w14:paraId="2B394C07" w14:textId="6E2BD45E" w:rsidR="00EE2490" w:rsidRPr="00E55781" w:rsidRDefault="00EE2490" w:rsidP="00BC33C0">
      <w:pPr>
        <w:pStyle w:val="Heading3"/>
        <w:ind w:left="426"/>
        <w:rPr>
          <w:sz w:val="24"/>
          <w:szCs w:val="24"/>
        </w:rPr>
      </w:pPr>
      <w:r w:rsidRPr="1E59D36B">
        <w:rPr>
          <w:sz w:val="24"/>
          <w:szCs w:val="24"/>
        </w:rPr>
        <w:t>Introduction</w:t>
      </w:r>
      <w:bookmarkEnd w:id="25"/>
    </w:p>
    <w:p w14:paraId="50267E7C" w14:textId="77777777" w:rsidR="00EE2490" w:rsidRPr="00E55781" w:rsidRDefault="00EE2490">
      <w:pPr>
        <w:pStyle w:val="Default"/>
        <w:ind w:left="426"/>
        <w:rPr>
          <w:b/>
          <w:bCs/>
          <w:color w:val="auto"/>
          <w:u w:val="single"/>
        </w:rPr>
      </w:pPr>
    </w:p>
    <w:p w14:paraId="6FCF41FF" w14:textId="77777777" w:rsidR="00EE2490" w:rsidRPr="00E55781" w:rsidRDefault="00EE2490" w:rsidP="006D42B7">
      <w:pPr>
        <w:pStyle w:val="Style1"/>
        <w:jc w:val="left"/>
        <w:rPr>
          <w:lang w:val="en-US"/>
        </w:rPr>
      </w:pPr>
      <w:r w:rsidRPr="1E59D36B">
        <w:rPr>
          <w:lang w:val="en-US"/>
        </w:rPr>
        <w:t>All health and social care services in Scotland have a Duty of Candour (Do</w:t>
      </w:r>
      <w:r w:rsidR="00052369" w:rsidRPr="1E59D36B">
        <w:rPr>
          <w:lang w:val="en-US"/>
        </w:rPr>
        <w:t xml:space="preserve">C). This is a legal requirement, </w:t>
      </w:r>
      <w:r w:rsidRPr="1E59D36B">
        <w:rPr>
          <w:lang w:val="en-US"/>
        </w:rPr>
        <w:t>which means that when unintended or unexpected events happen that result in death or harm as defined in the Act, the people affected understand what has happene</w:t>
      </w:r>
      <w:r w:rsidR="00434001" w:rsidRPr="1E59D36B">
        <w:rPr>
          <w:lang w:val="en-US"/>
        </w:rPr>
        <w:t xml:space="preserve">d, receive an apology, and that </w:t>
      </w:r>
      <w:r w:rsidRPr="1E59D36B">
        <w:rPr>
          <w:lang w:val="en-US"/>
        </w:rPr>
        <w:t xml:space="preserve">organisations learn how to improve for the future. </w:t>
      </w:r>
    </w:p>
    <w:p w14:paraId="7D23C380" w14:textId="77777777" w:rsidR="00EE2490" w:rsidRPr="00E55781" w:rsidRDefault="00EE2490" w:rsidP="006D42B7">
      <w:pPr>
        <w:pStyle w:val="Style1"/>
        <w:jc w:val="left"/>
      </w:pPr>
    </w:p>
    <w:p w14:paraId="60100D0B" w14:textId="06FA3744" w:rsidR="00EE2490" w:rsidRPr="00E55781" w:rsidRDefault="00EE2490" w:rsidP="006D42B7">
      <w:pPr>
        <w:pStyle w:val="Style1"/>
        <w:jc w:val="left"/>
        <w:rPr>
          <w:lang w:val="en-US"/>
        </w:rPr>
      </w:pPr>
      <w:r w:rsidRPr="1E59D36B">
        <w:rPr>
          <w:lang w:val="en-US"/>
        </w:rPr>
        <w:t>An important part of this duty is that we provide an annual report about how the DoC is implemented in our services. This report describes how we have operated the DoC during the time between 1 April 20</w:t>
      </w:r>
      <w:r w:rsidR="002A13B4" w:rsidRPr="1E59D36B">
        <w:rPr>
          <w:lang w:val="en-US"/>
        </w:rPr>
        <w:t>2</w:t>
      </w:r>
      <w:r w:rsidR="004901D1" w:rsidRPr="1E59D36B">
        <w:rPr>
          <w:lang w:val="en-US"/>
        </w:rPr>
        <w:t>4</w:t>
      </w:r>
      <w:r w:rsidRPr="1E59D36B">
        <w:rPr>
          <w:lang w:val="en-US"/>
        </w:rPr>
        <w:t xml:space="preserve"> and 31 March 20</w:t>
      </w:r>
      <w:r w:rsidR="003109BD" w:rsidRPr="1E59D36B">
        <w:rPr>
          <w:lang w:val="en-US"/>
        </w:rPr>
        <w:t>2</w:t>
      </w:r>
      <w:r w:rsidR="004901D1" w:rsidRPr="1E59D36B">
        <w:rPr>
          <w:lang w:val="en-US"/>
        </w:rPr>
        <w:t>5</w:t>
      </w:r>
      <w:r w:rsidR="00052369" w:rsidRPr="1E59D36B">
        <w:rPr>
          <w:lang w:val="en-US"/>
        </w:rPr>
        <w:t>.</w:t>
      </w:r>
      <w:r w:rsidRPr="1E59D36B">
        <w:rPr>
          <w:lang w:val="en-US"/>
        </w:rPr>
        <w:t xml:space="preserve">  </w:t>
      </w:r>
    </w:p>
    <w:p w14:paraId="62D14F76" w14:textId="77777777" w:rsidR="00EE2490" w:rsidRPr="00E55781" w:rsidRDefault="00EE2490" w:rsidP="006D42B7">
      <w:pPr>
        <w:ind w:left="426"/>
        <w:rPr>
          <w:rFonts w:ascii="Arial" w:hAnsi="Arial" w:cs="Arial"/>
          <w:color w:val="FF0000"/>
        </w:rPr>
      </w:pPr>
    </w:p>
    <w:p w14:paraId="12E2545C" w14:textId="77777777" w:rsidR="00EE2490" w:rsidRPr="00E55781" w:rsidRDefault="00EE2490" w:rsidP="00B245CD">
      <w:pPr>
        <w:pStyle w:val="Heading3"/>
        <w:ind w:left="426"/>
        <w:rPr>
          <w:sz w:val="24"/>
          <w:szCs w:val="24"/>
        </w:rPr>
      </w:pPr>
      <w:bookmarkStart w:id="26" w:name="_Toc169451062"/>
      <w:r w:rsidRPr="1E59D36B">
        <w:rPr>
          <w:sz w:val="24"/>
          <w:szCs w:val="24"/>
        </w:rPr>
        <w:t>About Golden Jubilee National Hospital</w:t>
      </w:r>
      <w:bookmarkEnd w:id="26"/>
    </w:p>
    <w:p w14:paraId="0FCB15E1" w14:textId="77777777" w:rsidR="00EE2490" w:rsidRPr="00E55781" w:rsidRDefault="00EE2490" w:rsidP="00BC33C0">
      <w:pPr>
        <w:autoSpaceDE w:val="0"/>
        <w:autoSpaceDN w:val="0"/>
        <w:adjustRightInd w:val="0"/>
        <w:ind w:left="426"/>
        <w:rPr>
          <w:rFonts w:ascii="Arial" w:hAnsi="Arial" w:cs="Arial"/>
        </w:rPr>
      </w:pPr>
    </w:p>
    <w:p w14:paraId="7D132503" w14:textId="77777777" w:rsidR="00EE2490" w:rsidRPr="00E55781" w:rsidRDefault="002B2FF0" w:rsidP="006D42B7">
      <w:pPr>
        <w:pStyle w:val="Style1"/>
        <w:jc w:val="left"/>
        <w:rPr>
          <w:lang w:val="en-US"/>
        </w:rPr>
      </w:pPr>
      <w:r w:rsidRPr="1E59D36B">
        <w:rPr>
          <w:lang w:val="en-US"/>
        </w:rPr>
        <w:t xml:space="preserve">NHS Golden Jubilee </w:t>
      </w:r>
      <w:r w:rsidR="00EE2490" w:rsidRPr="1E59D36B">
        <w:rPr>
          <w:lang w:val="en-US"/>
        </w:rPr>
        <w:t>has always aimed to ensure that we support the delivery of NHS Scotland’s national health priorities. Our focus since our establishment has been to meet NHS Board demands and deliver equity of access to high quality healthcare for as many patients as possible so that they benefit from our clinical expe</w:t>
      </w:r>
      <w:r w:rsidR="00E65CD3" w:rsidRPr="1E59D36B">
        <w:rPr>
          <w:lang w:val="en-US"/>
        </w:rPr>
        <w:t xml:space="preserve">rtise and excellent facilities.  </w:t>
      </w:r>
    </w:p>
    <w:p w14:paraId="268A01D1" w14:textId="07A4A4CA" w:rsidR="00192434" w:rsidRPr="00E55781" w:rsidRDefault="00192434" w:rsidP="006D42B7">
      <w:pPr>
        <w:ind w:left="426"/>
        <w:outlineLvl w:val="0"/>
        <w:rPr>
          <w:rFonts w:ascii="Arial" w:hAnsi="Arial" w:cs="Arial"/>
          <w:color w:val="FF0000"/>
        </w:rPr>
      </w:pPr>
    </w:p>
    <w:p w14:paraId="17747D3B" w14:textId="77777777" w:rsidR="00EE2490" w:rsidRPr="00E55781" w:rsidRDefault="00EE2490" w:rsidP="00B245CD">
      <w:pPr>
        <w:pStyle w:val="Heading3"/>
        <w:ind w:left="426"/>
        <w:rPr>
          <w:sz w:val="24"/>
          <w:szCs w:val="24"/>
        </w:rPr>
      </w:pPr>
      <w:bookmarkStart w:id="27" w:name="_Toc169451063"/>
      <w:r w:rsidRPr="1E59D36B">
        <w:rPr>
          <w:sz w:val="24"/>
          <w:szCs w:val="24"/>
        </w:rPr>
        <w:t>Our Policies and Procedures</w:t>
      </w:r>
      <w:bookmarkEnd w:id="27"/>
    </w:p>
    <w:p w14:paraId="6AF4ECCA" w14:textId="77777777" w:rsidR="00EE2490" w:rsidRPr="00E55781" w:rsidRDefault="00EE2490" w:rsidP="006D42B7">
      <w:pPr>
        <w:ind w:left="426"/>
        <w:outlineLvl w:val="0"/>
        <w:rPr>
          <w:rFonts w:ascii="Arial" w:hAnsi="Arial" w:cs="Arial"/>
        </w:rPr>
      </w:pPr>
    </w:p>
    <w:p w14:paraId="512CEF9A" w14:textId="0AB50A5B" w:rsidR="00192434" w:rsidRPr="00E55781" w:rsidRDefault="00EE2490" w:rsidP="006D42B7">
      <w:pPr>
        <w:pStyle w:val="Style1"/>
        <w:jc w:val="left"/>
        <w:rPr>
          <w:lang w:val="en-US"/>
        </w:rPr>
      </w:pPr>
      <w:r w:rsidRPr="1E59D36B">
        <w:rPr>
          <w:lang w:val="en-US"/>
        </w:rPr>
        <w:t>Adverse Event</w:t>
      </w:r>
      <w:r w:rsidR="00E55781" w:rsidRPr="1E59D36B">
        <w:rPr>
          <w:lang w:val="en-US"/>
        </w:rPr>
        <w:t>s are</w:t>
      </w:r>
      <w:r w:rsidRPr="1E59D36B">
        <w:rPr>
          <w:lang w:val="en-US"/>
        </w:rPr>
        <w:t xml:space="preserve"> reported</w:t>
      </w:r>
      <w:r w:rsidR="00E55781" w:rsidRPr="1E59D36B">
        <w:rPr>
          <w:lang w:val="en-US"/>
        </w:rPr>
        <w:t>,</w:t>
      </w:r>
      <w:r w:rsidRPr="1E59D36B">
        <w:rPr>
          <w:lang w:val="en-US"/>
        </w:rPr>
        <w:t xml:space="preserve"> and </w:t>
      </w:r>
      <w:r w:rsidR="00826185" w:rsidRPr="1E59D36B">
        <w:rPr>
          <w:lang w:val="en-US"/>
        </w:rPr>
        <w:t>reviewed</w:t>
      </w:r>
      <w:r w:rsidR="00E55781" w:rsidRPr="1E59D36B">
        <w:rPr>
          <w:lang w:val="en-US"/>
        </w:rPr>
        <w:t xml:space="preserve"> on</w:t>
      </w:r>
      <w:r w:rsidR="00826185" w:rsidRPr="1E59D36B">
        <w:rPr>
          <w:lang w:val="en-US"/>
        </w:rPr>
        <w:t xml:space="preserve"> the Datix system. </w:t>
      </w:r>
      <w:r w:rsidRPr="1E59D36B">
        <w:rPr>
          <w:lang w:val="en-US"/>
        </w:rPr>
        <w:t>The procedure for reviewing each level of incident is set out in the Adverse Events Management policy.  The Adverse Events Management policy and supporting tools/</w:t>
      </w:r>
      <w:r w:rsidR="004901D1" w:rsidRPr="1E59D36B">
        <w:rPr>
          <w:lang w:val="en-US"/>
        </w:rPr>
        <w:t xml:space="preserve"> </w:t>
      </w:r>
      <w:r w:rsidRPr="1E59D36B">
        <w:rPr>
          <w:lang w:val="en-US"/>
        </w:rPr>
        <w:t xml:space="preserve">guidance reflect the </w:t>
      </w:r>
      <w:r w:rsidR="00F251B8" w:rsidRPr="1E59D36B">
        <w:rPr>
          <w:lang w:val="en-US"/>
        </w:rPr>
        <w:t>DoC requirements.</w:t>
      </w:r>
    </w:p>
    <w:p w14:paraId="43F0C847" w14:textId="77777777" w:rsidR="00192434" w:rsidRPr="00E55781" w:rsidRDefault="00192434" w:rsidP="006D42B7">
      <w:pPr>
        <w:pStyle w:val="Style1"/>
        <w:jc w:val="left"/>
        <w:rPr>
          <w:color w:val="FF0000"/>
        </w:rPr>
      </w:pPr>
    </w:p>
    <w:p w14:paraId="401FEF5B" w14:textId="77777777" w:rsidR="00F251B8" w:rsidRPr="00E55781" w:rsidRDefault="00EE2490" w:rsidP="006D42B7">
      <w:pPr>
        <w:pStyle w:val="Style1"/>
        <w:jc w:val="left"/>
        <w:rPr>
          <w:lang w:val="en-US"/>
        </w:rPr>
      </w:pPr>
      <w:r w:rsidRPr="1E59D36B">
        <w:rPr>
          <w:lang w:val="en-US"/>
        </w:rPr>
        <w:t>The decision on DoC is built into the S</w:t>
      </w:r>
      <w:r w:rsidR="002B2FF0" w:rsidRPr="1E59D36B">
        <w:rPr>
          <w:lang w:val="en-US"/>
        </w:rPr>
        <w:t xml:space="preserve">ignificant </w:t>
      </w:r>
      <w:r w:rsidRPr="1E59D36B">
        <w:rPr>
          <w:lang w:val="en-US"/>
        </w:rPr>
        <w:t>A</w:t>
      </w:r>
      <w:r w:rsidR="002B2FF0" w:rsidRPr="1E59D36B">
        <w:rPr>
          <w:lang w:val="en-US"/>
        </w:rPr>
        <w:t xml:space="preserve">dverse </w:t>
      </w:r>
      <w:r w:rsidRPr="1E59D36B">
        <w:rPr>
          <w:lang w:val="en-US"/>
        </w:rPr>
        <w:t>E</w:t>
      </w:r>
      <w:r w:rsidR="002B2FF0" w:rsidRPr="1E59D36B">
        <w:rPr>
          <w:lang w:val="en-US"/>
        </w:rPr>
        <w:t>vent R</w:t>
      </w:r>
      <w:r w:rsidRPr="1E59D36B">
        <w:rPr>
          <w:lang w:val="en-US"/>
        </w:rPr>
        <w:t xml:space="preserve">eview </w:t>
      </w:r>
      <w:r w:rsidR="002B2FF0" w:rsidRPr="1E59D36B">
        <w:rPr>
          <w:lang w:val="en-US"/>
        </w:rPr>
        <w:t xml:space="preserve">(SAER) </w:t>
      </w:r>
      <w:r w:rsidR="00192434" w:rsidRPr="1E59D36B">
        <w:rPr>
          <w:lang w:val="en-US"/>
        </w:rPr>
        <w:t xml:space="preserve">process.  </w:t>
      </w:r>
    </w:p>
    <w:p w14:paraId="4181045A" w14:textId="66001C0D" w:rsidR="00F251B8" w:rsidRDefault="00192434" w:rsidP="006D42B7">
      <w:pPr>
        <w:pStyle w:val="Style1"/>
        <w:jc w:val="left"/>
        <w:rPr>
          <w:lang w:val="en-US"/>
        </w:rPr>
      </w:pPr>
      <w:r w:rsidRPr="1E59D36B">
        <w:rPr>
          <w:lang w:val="en-US"/>
        </w:rPr>
        <w:t xml:space="preserve">All severity 4 and 5 adverse events are </w:t>
      </w:r>
      <w:r w:rsidR="00E55781" w:rsidRPr="1E59D36B">
        <w:rPr>
          <w:lang w:val="en-US"/>
        </w:rPr>
        <w:t>automatic escalations</w:t>
      </w:r>
      <w:r w:rsidR="004905F4" w:rsidRPr="1E59D36B">
        <w:rPr>
          <w:lang w:val="en-US"/>
        </w:rPr>
        <w:t>,</w:t>
      </w:r>
      <w:r w:rsidRPr="1E59D36B">
        <w:rPr>
          <w:lang w:val="en-US"/>
        </w:rPr>
        <w:t xml:space="preserve"> as </w:t>
      </w:r>
      <w:r w:rsidRPr="1E59D36B">
        <w:rPr>
          <w:b/>
          <w:bCs/>
          <w:lang w:val="en-US"/>
        </w:rPr>
        <w:t>potential</w:t>
      </w:r>
      <w:r w:rsidRPr="1E59D36B">
        <w:rPr>
          <w:lang w:val="en-US"/>
        </w:rPr>
        <w:t xml:space="preserve"> SAER.  Legislation requires that a </w:t>
      </w:r>
      <w:r w:rsidRPr="1E59D36B">
        <w:rPr>
          <w:b/>
          <w:bCs/>
          <w:lang w:val="en-US"/>
        </w:rPr>
        <w:t xml:space="preserve">clinical </w:t>
      </w:r>
      <w:r w:rsidRPr="1E59D36B">
        <w:rPr>
          <w:lang w:val="en-US"/>
        </w:rPr>
        <w:t xml:space="preserve">person must make the </w:t>
      </w:r>
      <w:r w:rsidRPr="1E59D36B">
        <w:rPr>
          <w:u w:val="single"/>
          <w:lang w:val="en-US"/>
        </w:rPr>
        <w:t>final decision</w:t>
      </w:r>
      <w:r w:rsidRPr="1E59D36B">
        <w:rPr>
          <w:lang w:val="en-US"/>
        </w:rPr>
        <w:t xml:space="preserve"> on Duty of Candour.  </w:t>
      </w:r>
    </w:p>
    <w:p w14:paraId="2D40FC16" w14:textId="77777777" w:rsidR="00E55781" w:rsidRPr="00E55781" w:rsidRDefault="00E55781" w:rsidP="006D42B7">
      <w:pPr>
        <w:pStyle w:val="Style1"/>
        <w:jc w:val="left"/>
      </w:pPr>
    </w:p>
    <w:p w14:paraId="2A1A78DB" w14:textId="230E3A97" w:rsidR="006335B6" w:rsidRDefault="00192434" w:rsidP="006D42B7">
      <w:pPr>
        <w:pStyle w:val="Style1"/>
        <w:jc w:val="left"/>
        <w:rPr>
          <w:lang w:val="en-US"/>
        </w:rPr>
      </w:pPr>
      <w:r w:rsidRPr="1E59D36B">
        <w:rPr>
          <w:lang w:val="en-US"/>
        </w:rPr>
        <w:t xml:space="preserve">The </w:t>
      </w:r>
      <w:r w:rsidR="00E55781" w:rsidRPr="1E59D36B">
        <w:rPr>
          <w:lang w:val="en-US"/>
        </w:rPr>
        <w:t>Clinical Governanc</w:t>
      </w:r>
      <w:r w:rsidR="004901D1" w:rsidRPr="1E59D36B">
        <w:rPr>
          <w:lang w:val="en-US"/>
        </w:rPr>
        <w:t>e Lead and</w:t>
      </w:r>
      <w:r w:rsidR="00E55781" w:rsidRPr="1E59D36B">
        <w:rPr>
          <w:lang w:val="en-US"/>
        </w:rPr>
        <w:t>/ or Clinical Nurse Manager, depending on the type of event, complete the Initial Assessment Tool (IAT) that supports the review of SAERs</w:t>
      </w:r>
      <w:r w:rsidRPr="1E59D36B">
        <w:rPr>
          <w:lang w:val="en-US"/>
        </w:rPr>
        <w:t xml:space="preserve">. This includes a specific question relating </w:t>
      </w:r>
      <w:r w:rsidR="00052369" w:rsidRPr="1E59D36B">
        <w:rPr>
          <w:lang w:val="en-US"/>
        </w:rPr>
        <w:t xml:space="preserve">to the Duty of Candour status. </w:t>
      </w:r>
      <w:r w:rsidRPr="1E59D36B">
        <w:rPr>
          <w:lang w:val="en-US"/>
        </w:rPr>
        <w:t xml:space="preserve">The completed assessment and recommendation of Duty of Candour is then </w:t>
      </w:r>
      <w:r w:rsidR="006335B6" w:rsidRPr="1E59D36B">
        <w:rPr>
          <w:lang w:val="en-US"/>
        </w:rPr>
        <w:t xml:space="preserve">agreed/ </w:t>
      </w:r>
      <w:r w:rsidR="00EE2490" w:rsidRPr="1E59D36B">
        <w:rPr>
          <w:lang w:val="en-US"/>
        </w:rPr>
        <w:t xml:space="preserve">approved by the Division </w:t>
      </w:r>
      <w:r w:rsidR="002B2FF0" w:rsidRPr="1E59D36B">
        <w:rPr>
          <w:lang w:val="en-US"/>
        </w:rPr>
        <w:t>Management Team (</w:t>
      </w:r>
      <w:bookmarkStart w:id="28" w:name="_GoBack"/>
      <w:r w:rsidR="00EE2490" w:rsidRPr="1E59D36B">
        <w:rPr>
          <w:lang w:val="en-US"/>
        </w:rPr>
        <w:t>DMT</w:t>
      </w:r>
      <w:bookmarkEnd w:id="28"/>
      <w:r w:rsidR="002B2FF0" w:rsidRPr="1E59D36B">
        <w:rPr>
          <w:lang w:val="en-US"/>
        </w:rPr>
        <w:t>)</w:t>
      </w:r>
      <w:r w:rsidR="004905F4" w:rsidRPr="1E59D36B">
        <w:rPr>
          <w:lang w:val="en-US"/>
        </w:rPr>
        <w:t xml:space="preserve">, </w:t>
      </w:r>
      <w:r w:rsidR="00E65CD3" w:rsidRPr="1E59D36B">
        <w:rPr>
          <w:lang w:val="en-US"/>
        </w:rPr>
        <w:t>which includes an Associate Nurse and Medical Director</w:t>
      </w:r>
      <w:r w:rsidR="00EE2490" w:rsidRPr="1E59D36B">
        <w:rPr>
          <w:lang w:val="en-US"/>
        </w:rPr>
        <w:t>.</w:t>
      </w:r>
      <w:r w:rsidR="00FE5122" w:rsidRPr="1E59D36B">
        <w:rPr>
          <w:lang w:val="en-US"/>
        </w:rPr>
        <w:t xml:space="preserve">  </w:t>
      </w:r>
    </w:p>
    <w:p w14:paraId="27E3D2A8" w14:textId="77777777" w:rsidR="006335B6" w:rsidRDefault="006335B6" w:rsidP="006D42B7">
      <w:pPr>
        <w:pStyle w:val="Style1"/>
        <w:jc w:val="left"/>
      </w:pPr>
    </w:p>
    <w:p w14:paraId="074023C3" w14:textId="61EB8475" w:rsidR="00EE2490" w:rsidRPr="00E55781" w:rsidRDefault="006335B6" w:rsidP="006D42B7">
      <w:pPr>
        <w:pStyle w:val="Style1"/>
        <w:jc w:val="left"/>
        <w:rPr>
          <w:lang w:val="en-US"/>
        </w:rPr>
      </w:pPr>
      <w:r w:rsidRPr="1E59D36B">
        <w:rPr>
          <w:lang w:val="en-US"/>
        </w:rPr>
        <w:t xml:space="preserve">Any IATs </w:t>
      </w:r>
      <w:r w:rsidR="00FE5122" w:rsidRPr="1E59D36B">
        <w:rPr>
          <w:lang w:val="en-US"/>
        </w:rPr>
        <w:t>that</w:t>
      </w:r>
      <w:r w:rsidR="00052369" w:rsidRPr="1E59D36B">
        <w:rPr>
          <w:lang w:val="en-US"/>
        </w:rPr>
        <w:t xml:space="preserve"> do not progress for review</w:t>
      </w:r>
      <w:r w:rsidR="004905F4" w:rsidRPr="1E59D36B">
        <w:rPr>
          <w:lang w:val="en-US"/>
        </w:rPr>
        <w:t>,</w:t>
      </w:r>
      <w:r w:rsidR="00052369" w:rsidRPr="1E59D36B">
        <w:rPr>
          <w:lang w:val="en-US"/>
        </w:rPr>
        <w:t xml:space="preserve"> are </w:t>
      </w:r>
      <w:r w:rsidRPr="1E59D36B">
        <w:rPr>
          <w:lang w:val="en-US"/>
        </w:rPr>
        <w:t xml:space="preserve">presented and </w:t>
      </w:r>
      <w:r w:rsidR="004901D1" w:rsidRPr="1E59D36B">
        <w:rPr>
          <w:lang w:val="en-US"/>
        </w:rPr>
        <w:t>discussed at the S</w:t>
      </w:r>
      <w:r w:rsidR="00FE5122" w:rsidRPr="1E59D36B">
        <w:rPr>
          <w:lang w:val="en-US"/>
        </w:rPr>
        <w:t>ervice</w:t>
      </w:r>
      <w:r w:rsidR="004901D1" w:rsidRPr="1E59D36B">
        <w:rPr>
          <w:lang w:val="en-US"/>
        </w:rPr>
        <w:t>’s</w:t>
      </w:r>
      <w:r w:rsidR="00FE5122" w:rsidRPr="1E59D36B">
        <w:rPr>
          <w:lang w:val="en-US"/>
        </w:rPr>
        <w:t xml:space="preserve"> Clinical Governance Forum</w:t>
      </w:r>
      <w:r w:rsidR="004905F4" w:rsidRPr="1E59D36B">
        <w:rPr>
          <w:lang w:val="en-US"/>
        </w:rPr>
        <w:t>,</w:t>
      </w:r>
      <w:r w:rsidR="00FE5122" w:rsidRPr="1E59D36B">
        <w:rPr>
          <w:lang w:val="en-US"/>
        </w:rPr>
        <w:t xml:space="preserve"> with multi-disciplinary representation to ensure learning is captured</w:t>
      </w:r>
      <w:r w:rsidRPr="1E59D36B">
        <w:rPr>
          <w:lang w:val="en-US"/>
        </w:rPr>
        <w:t>. T</w:t>
      </w:r>
      <w:r w:rsidR="00F251B8" w:rsidRPr="1E59D36B">
        <w:rPr>
          <w:lang w:val="en-US"/>
        </w:rPr>
        <w:t>h</w:t>
      </w:r>
      <w:r w:rsidR="00FE5122" w:rsidRPr="1E59D36B">
        <w:rPr>
          <w:lang w:val="en-US"/>
        </w:rPr>
        <w:t xml:space="preserve">is offers further opportunity for any challenge on the level of review and DoC status.  </w:t>
      </w:r>
    </w:p>
    <w:p w14:paraId="42A8ACC2" w14:textId="77777777" w:rsidR="00EE2490" w:rsidRPr="00E55781" w:rsidRDefault="00EE2490" w:rsidP="006D42B7">
      <w:pPr>
        <w:pStyle w:val="Style1"/>
        <w:jc w:val="left"/>
      </w:pPr>
    </w:p>
    <w:p w14:paraId="5BF85BCD" w14:textId="23456448" w:rsidR="00EE2490" w:rsidRPr="00E55781" w:rsidRDefault="00EE2490" w:rsidP="006D42B7">
      <w:pPr>
        <w:pStyle w:val="Style1"/>
        <w:jc w:val="left"/>
        <w:rPr>
          <w:lang w:val="en-US"/>
        </w:rPr>
      </w:pPr>
      <w:r w:rsidRPr="1E59D36B">
        <w:rPr>
          <w:lang w:val="en-US"/>
        </w:rPr>
        <w:t xml:space="preserve">Each </w:t>
      </w:r>
      <w:r w:rsidR="00192434" w:rsidRPr="1E59D36B">
        <w:rPr>
          <w:lang w:val="en-US"/>
        </w:rPr>
        <w:t xml:space="preserve">adverse </w:t>
      </w:r>
      <w:r w:rsidRPr="1E59D36B">
        <w:rPr>
          <w:lang w:val="en-US"/>
        </w:rPr>
        <w:t>event is re</w:t>
      </w:r>
      <w:r w:rsidR="006335B6" w:rsidRPr="1E59D36B">
        <w:rPr>
          <w:lang w:val="en-US"/>
        </w:rPr>
        <w:t xml:space="preserve">viewed, with a focus on learning/ potential learning </w:t>
      </w:r>
      <w:r w:rsidRPr="1E59D36B">
        <w:rPr>
          <w:lang w:val="en-US"/>
        </w:rPr>
        <w:t xml:space="preserve">from what has happened, regardless of the level of harm. On completion of an adverse event review actions </w:t>
      </w:r>
      <w:r w:rsidRPr="1E59D36B">
        <w:rPr>
          <w:lang w:val="en-US"/>
        </w:rPr>
        <w:lastRenderedPageBreak/>
        <w:t>are identified</w:t>
      </w:r>
      <w:r w:rsidR="00F251B8" w:rsidRPr="1E59D36B">
        <w:rPr>
          <w:lang w:val="en-US"/>
        </w:rPr>
        <w:t>,</w:t>
      </w:r>
      <w:r w:rsidRPr="1E59D36B">
        <w:rPr>
          <w:lang w:val="en-US"/>
        </w:rPr>
        <w:t xml:space="preserve"> and these are monitored </w:t>
      </w:r>
      <w:r w:rsidR="00085F51" w:rsidRPr="1E59D36B">
        <w:rPr>
          <w:lang w:val="en-US"/>
        </w:rPr>
        <w:t xml:space="preserve">through the Clinical Governance Service Meetings </w:t>
      </w:r>
      <w:r w:rsidRPr="1E59D36B">
        <w:rPr>
          <w:lang w:val="en-US"/>
        </w:rPr>
        <w:t>to completion via the Clinical Governance reporting framework.</w:t>
      </w:r>
    </w:p>
    <w:p w14:paraId="61E6B2B1" w14:textId="77777777" w:rsidR="00EE2490" w:rsidRPr="00E55781" w:rsidRDefault="00EE2490" w:rsidP="006D42B7">
      <w:pPr>
        <w:pStyle w:val="Style1"/>
        <w:jc w:val="left"/>
      </w:pPr>
    </w:p>
    <w:p w14:paraId="6A622DBA" w14:textId="1620253D" w:rsidR="00EE2490" w:rsidRPr="00E55781" w:rsidRDefault="00EE2490" w:rsidP="006D42B7">
      <w:pPr>
        <w:pStyle w:val="Style1"/>
        <w:jc w:val="left"/>
        <w:rPr>
          <w:lang w:val="en-US"/>
        </w:rPr>
      </w:pPr>
      <w:r w:rsidRPr="1E59D36B">
        <w:rPr>
          <w:lang w:val="en-US"/>
        </w:rPr>
        <w:t>All staff receive training regarding adverse event reporting a</w:t>
      </w:r>
      <w:r w:rsidR="004905F4" w:rsidRPr="1E59D36B">
        <w:rPr>
          <w:lang w:val="en-US"/>
        </w:rPr>
        <w:t xml:space="preserve">nd the implementation of DoC </w:t>
      </w:r>
      <w:r w:rsidR="002B2FF0" w:rsidRPr="1E59D36B">
        <w:rPr>
          <w:lang w:val="en-US"/>
        </w:rPr>
        <w:t xml:space="preserve">via the </w:t>
      </w:r>
      <w:r w:rsidRPr="1E59D36B">
        <w:rPr>
          <w:lang w:val="en-US"/>
        </w:rPr>
        <w:t>corporate induction</w:t>
      </w:r>
      <w:r w:rsidR="002B2FF0" w:rsidRPr="1E59D36B">
        <w:rPr>
          <w:lang w:val="en-US"/>
        </w:rPr>
        <w:t xml:space="preserve"> e-learning package</w:t>
      </w:r>
      <w:r w:rsidR="00052369" w:rsidRPr="1E59D36B">
        <w:rPr>
          <w:lang w:val="en-US"/>
        </w:rPr>
        <w:t xml:space="preserve">. </w:t>
      </w:r>
      <w:r w:rsidR="004905F4" w:rsidRPr="1E59D36B">
        <w:rPr>
          <w:lang w:val="en-US"/>
        </w:rPr>
        <w:t>Training is provided</w:t>
      </w:r>
      <w:r w:rsidRPr="1E59D36B">
        <w:rPr>
          <w:lang w:val="en-US"/>
        </w:rPr>
        <w:t xml:space="preserve"> to those responsible for reviewing incidents on Datix and a </w:t>
      </w:r>
      <w:r w:rsidR="00074C35" w:rsidRPr="1E59D36B">
        <w:rPr>
          <w:lang w:val="en-US"/>
        </w:rPr>
        <w:t xml:space="preserve">supporting toolkit </w:t>
      </w:r>
      <w:r w:rsidR="002B2FF0" w:rsidRPr="1E59D36B">
        <w:rPr>
          <w:lang w:val="en-US"/>
        </w:rPr>
        <w:t xml:space="preserve">is </w:t>
      </w:r>
      <w:r w:rsidR="004905F4" w:rsidRPr="1E59D36B">
        <w:rPr>
          <w:lang w:val="en-US"/>
        </w:rPr>
        <w:t>available</w:t>
      </w:r>
      <w:r w:rsidRPr="1E59D36B">
        <w:rPr>
          <w:lang w:val="en-US"/>
        </w:rPr>
        <w:t xml:space="preserve"> </w:t>
      </w:r>
      <w:r w:rsidR="00AD38ED" w:rsidRPr="1E59D36B">
        <w:rPr>
          <w:lang w:val="en-US"/>
        </w:rPr>
        <w:t xml:space="preserve">to </w:t>
      </w:r>
      <w:r w:rsidRPr="1E59D36B">
        <w:rPr>
          <w:lang w:val="en-US"/>
        </w:rPr>
        <w:t>staff who could potentially take part in a Signific</w:t>
      </w:r>
      <w:r w:rsidR="002B2FF0" w:rsidRPr="1E59D36B">
        <w:rPr>
          <w:lang w:val="en-US"/>
        </w:rPr>
        <w:t>ant Adverse Event investigation; this will take the form of blended learning</w:t>
      </w:r>
      <w:r w:rsidR="006335B6" w:rsidRPr="1E59D36B">
        <w:rPr>
          <w:lang w:val="en-US"/>
        </w:rPr>
        <w:t xml:space="preserve">, </w:t>
      </w:r>
      <w:r w:rsidR="002B2FF0" w:rsidRPr="1E59D36B">
        <w:rPr>
          <w:lang w:val="en-US"/>
        </w:rPr>
        <w:t>utilising webinars, MS Teams sessions and in-person training where possible.</w:t>
      </w:r>
    </w:p>
    <w:p w14:paraId="53813B52" w14:textId="77777777" w:rsidR="00AD7A58" w:rsidRPr="00E55781" w:rsidRDefault="00AD7A58" w:rsidP="006D42B7">
      <w:pPr>
        <w:pStyle w:val="Style1"/>
        <w:jc w:val="left"/>
        <w:rPr>
          <w:color w:val="FF0000"/>
        </w:rPr>
      </w:pPr>
    </w:p>
    <w:p w14:paraId="15E01815" w14:textId="46156587" w:rsidR="00F251B8" w:rsidRDefault="00EE2490" w:rsidP="006D42B7">
      <w:pPr>
        <w:pStyle w:val="Style1"/>
        <w:jc w:val="left"/>
        <w:rPr>
          <w:lang w:val="en-US"/>
        </w:rPr>
      </w:pPr>
      <w:r w:rsidRPr="1E59D36B">
        <w:rPr>
          <w:lang w:val="en-US"/>
        </w:rPr>
        <w:t xml:space="preserve">We know that being involved in a significant adverse event can be </w:t>
      </w:r>
      <w:r w:rsidR="002B2FF0" w:rsidRPr="1E59D36B">
        <w:rPr>
          <w:lang w:val="en-US"/>
        </w:rPr>
        <w:t>difficult</w:t>
      </w:r>
      <w:r w:rsidRPr="1E59D36B">
        <w:rPr>
          <w:lang w:val="en-US"/>
        </w:rPr>
        <w:t xml:space="preserve"> for staff as well as those affected by the event.  We have support available to staff in the form of the formal line management structure.  </w:t>
      </w:r>
    </w:p>
    <w:p w14:paraId="3DE4CCC7" w14:textId="77777777" w:rsidR="00003430" w:rsidRPr="00E55781" w:rsidRDefault="00003430" w:rsidP="006D42B7">
      <w:pPr>
        <w:pStyle w:val="Style1"/>
        <w:jc w:val="left"/>
      </w:pPr>
    </w:p>
    <w:p w14:paraId="24ED38D8" w14:textId="46A14B88" w:rsidR="00F251B8" w:rsidRDefault="00EE2490" w:rsidP="006D42B7">
      <w:pPr>
        <w:pStyle w:val="Style1"/>
        <w:jc w:val="left"/>
        <w:rPr>
          <w:lang w:val="en-US"/>
        </w:rPr>
      </w:pPr>
      <w:r w:rsidRPr="1E59D36B">
        <w:rPr>
          <w:lang w:val="en-US"/>
        </w:rPr>
        <w:t>In addition to this we have the Spiritual Care Lead and the Occupational Health team who are available to provide staff support in different forms following significant adverse events, where required.</w:t>
      </w:r>
      <w:r w:rsidR="008156BB" w:rsidRPr="1E59D36B">
        <w:rPr>
          <w:lang w:val="en-US"/>
        </w:rPr>
        <w:t xml:space="preserve">  </w:t>
      </w:r>
    </w:p>
    <w:p w14:paraId="34DB7B72" w14:textId="77777777" w:rsidR="00003430" w:rsidRPr="00E55781" w:rsidRDefault="00003430" w:rsidP="006D42B7">
      <w:pPr>
        <w:pStyle w:val="Style1"/>
        <w:jc w:val="left"/>
      </w:pPr>
    </w:p>
    <w:p w14:paraId="1FCD9135" w14:textId="3FB42B14" w:rsidR="00120A5E" w:rsidRPr="00E55781" w:rsidRDefault="00120A5E" w:rsidP="006D42B7">
      <w:pPr>
        <w:pStyle w:val="Style1"/>
        <w:jc w:val="left"/>
        <w:rPr>
          <w:color w:val="000000"/>
          <w:lang w:val="en-US"/>
        </w:rPr>
      </w:pPr>
      <w:r w:rsidRPr="1E59D36B">
        <w:rPr>
          <w:lang w:val="en-US"/>
        </w:rPr>
        <w:t>NHS Golden Jubilee staff also benefit from access to t</w:t>
      </w:r>
      <w:r w:rsidRPr="1E59D36B">
        <w:rPr>
          <w:color w:val="000000" w:themeColor="text1"/>
          <w:lang w:val="en-US"/>
        </w:rPr>
        <w:t>he TimeforTalking Employee Assistance Programme.  This service works alongside the current range of health and wellbeing support available through NHS Golden Jubilee, both internally and externally and is available via telephone, online or face-to-face counselling for staff.</w:t>
      </w:r>
    </w:p>
    <w:p w14:paraId="2C485E9E" w14:textId="77777777" w:rsidR="00120A5E" w:rsidRPr="00E55781" w:rsidRDefault="00120A5E" w:rsidP="006D42B7">
      <w:pPr>
        <w:pStyle w:val="Style1"/>
        <w:jc w:val="left"/>
      </w:pPr>
    </w:p>
    <w:p w14:paraId="6F62AE5C" w14:textId="77777777" w:rsidR="00EE2490" w:rsidRPr="00E55781" w:rsidRDefault="008156BB" w:rsidP="006D42B7">
      <w:pPr>
        <w:pStyle w:val="Style1"/>
        <w:jc w:val="left"/>
        <w:rPr>
          <w:lang w:val="en-US"/>
        </w:rPr>
      </w:pPr>
      <w:r w:rsidRPr="1E59D36B">
        <w:rPr>
          <w:lang w:val="en-US"/>
        </w:rPr>
        <w:t xml:space="preserve">Further to this, patients/families are offered the support of our Spiritual Care Lead and </w:t>
      </w:r>
      <w:r w:rsidR="00255FBF" w:rsidRPr="1E59D36B">
        <w:rPr>
          <w:lang w:val="en-US"/>
        </w:rPr>
        <w:t>clinicians where required.</w:t>
      </w:r>
    </w:p>
    <w:p w14:paraId="07DDAA44" w14:textId="66B56B70" w:rsidR="00166EBC" w:rsidRPr="00370763" w:rsidRDefault="00166EBC" w:rsidP="006D42B7">
      <w:pPr>
        <w:ind w:left="426"/>
        <w:outlineLvl w:val="0"/>
        <w:rPr>
          <w:rFonts w:ascii="Arial" w:hAnsi="Arial" w:cs="Arial"/>
          <w:color w:val="FF0000"/>
        </w:rPr>
      </w:pPr>
    </w:p>
    <w:p w14:paraId="6A63FFAB" w14:textId="7B1339FD" w:rsidR="00166EBC" w:rsidRPr="00166EBC" w:rsidRDefault="00120A5E" w:rsidP="00B245CD">
      <w:pPr>
        <w:pStyle w:val="Heading3"/>
        <w:ind w:left="426"/>
        <w:rPr>
          <w:sz w:val="24"/>
          <w:szCs w:val="24"/>
        </w:rPr>
      </w:pPr>
      <w:bookmarkStart w:id="29" w:name="_Toc169451064"/>
      <w:r w:rsidRPr="1E59D36B">
        <w:rPr>
          <w:sz w:val="24"/>
          <w:szCs w:val="24"/>
        </w:rPr>
        <w:t xml:space="preserve">Duty of Candour </w:t>
      </w:r>
      <w:r w:rsidR="00C731E3" w:rsidRPr="1E59D36B">
        <w:rPr>
          <w:sz w:val="24"/>
          <w:szCs w:val="24"/>
        </w:rPr>
        <w:t>Activity 20</w:t>
      </w:r>
      <w:r w:rsidR="00AD38ED" w:rsidRPr="1E59D36B">
        <w:rPr>
          <w:sz w:val="24"/>
          <w:szCs w:val="24"/>
        </w:rPr>
        <w:t>24</w:t>
      </w:r>
      <w:r w:rsidR="00C731E3" w:rsidRPr="1E59D36B">
        <w:rPr>
          <w:sz w:val="24"/>
          <w:szCs w:val="24"/>
        </w:rPr>
        <w:t>-20</w:t>
      </w:r>
      <w:bookmarkEnd w:id="29"/>
      <w:r w:rsidR="00AD38ED" w:rsidRPr="1E59D36B">
        <w:rPr>
          <w:sz w:val="24"/>
          <w:szCs w:val="24"/>
        </w:rPr>
        <w:t>25</w:t>
      </w:r>
    </w:p>
    <w:p w14:paraId="136A50ED" w14:textId="77777777" w:rsidR="00EE2490" w:rsidRPr="00E55781" w:rsidRDefault="00EE2490" w:rsidP="00BC33C0">
      <w:pPr>
        <w:pStyle w:val="Default"/>
        <w:ind w:left="426"/>
        <w:rPr>
          <w:color w:val="auto"/>
        </w:rPr>
      </w:pPr>
    </w:p>
    <w:p w14:paraId="70AF5E59" w14:textId="18C4C583" w:rsidR="00120A5E" w:rsidRPr="00E55781" w:rsidRDefault="00120A5E" w:rsidP="006D42B7">
      <w:pPr>
        <w:pStyle w:val="Style1"/>
        <w:jc w:val="left"/>
        <w:rPr>
          <w:lang w:val="en-US"/>
        </w:rPr>
      </w:pPr>
      <w:r w:rsidRPr="1E59D36B">
        <w:rPr>
          <w:lang w:val="en-US"/>
        </w:rPr>
        <w:t xml:space="preserve">During the reporting period, </w:t>
      </w:r>
      <w:r w:rsidR="00AD38ED" w:rsidRPr="1E59D36B">
        <w:rPr>
          <w:lang w:val="en-US"/>
        </w:rPr>
        <w:t>21</w:t>
      </w:r>
      <w:r w:rsidRPr="1E59D36B">
        <w:rPr>
          <w:lang w:val="en-US"/>
        </w:rPr>
        <w:t xml:space="preserve"> events triggered the organisational Duty of Candour; </w:t>
      </w:r>
      <w:r w:rsidRPr="1E59D36B">
        <w:rPr>
          <w:b/>
          <w:bCs/>
          <w:lang w:val="en-US"/>
        </w:rPr>
        <w:t>table 1</w:t>
      </w:r>
      <w:r w:rsidRPr="1E59D36B">
        <w:rPr>
          <w:lang w:val="en-US"/>
        </w:rPr>
        <w:t xml:space="preserve"> below shows the breakdown of these in relation to the outcome of the event, specific detail regarding the events is documented in </w:t>
      </w:r>
      <w:r w:rsidRPr="1E59D36B">
        <w:rPr>
          <w:b/>
          <w:bCs/>
          <w:lang w:val="en-US"/>
        </w:rPr>
        <w:t>appendix 2</w:t>
      </w:r>
      <w:r w:rsidRPr="1E59D36B">
        <w:rPr>
          <w:lang w:val="en-US"/>
        </w:rPr>
        <w:t>.</w:t>
      </w:r>
    </w:p>
    <w:p w14:paraId="273FC39C" w14:textId="0E8900C3" w:rsidR="00166EBC" w:rsidRDefault="00166EBC" w:rsidP="006D42B7">
      <w:pPr>
        <w:pStyle w:val="Style1"/>
        <w:jc w:val="left"/>
      </w:pPr>
    </w:p>
    <w:p w14:paraId="747815DC" w14:textId="76CAFEDB" w:rsidR="00166EBC" w:rsidRPr="00E55781" w:rsidRDefault="00166EBC" w:rsidP="006D42B7">
      <w:pPr>
        <w:pStyle w:val="Style1"/>
        <w:jc w:val="left"/>
        <w:rPr>
          <w:lang w:val="en-US"/>
        </w:rPr>
      </w:pPr>
      <w:r w:rsidRPr="1E59D36B">
        <w:rPr>
          <w:lang w:val="en-US"/>
        </w:rPr>
        <w:t xml:space="preserve">Regardless of DoC status, when </w:t>
      </w:r>
      <w:r w:rsidR="00AD38ED" w:rsidRPr="1E59D36B">
        <w:rPr>
          <w:lang w:val="en-US"/>
        </w:rPr>
        <w:t>significant adverse event reviews are commissioned</w:t>
      </w:r>
      <w:r w:rsidRPr="1E59D36B">
        <w:rPr>
          <w:lang w:val="en-US"/>
        </w:rPr>
        <w:t>, the appropriate team makes contact with patients and/</w:t>
      </w:r>
      <w:r w:rsidR="00AD38ED" w:rsidRPr="1E59D36B">
        <w:rPr>
          <w:lang w:val="en-US"/>
        </w:rPr>
        <w:t xml:space="preserve"> </w:t>
      </w:r>
      <w:r w:rsidRPr="1E59D36B">
        <w:rPr>
          <w:lang w:val="en-US"/>
        </w:rPr>
        <w:t xml:space="preserve">or families to advise of an event and the investigation process.  </w:t>
      </w:r>
    </w:p>
    <w:p w14:paraId="528CDFCC" w14:textId="344E9F16" w:rsidR="00166EBC" w:rsidRDefault="00166EBC" w:rsidP="006D42B7">
      <w:pPr>
        <w:pStyle w:val="Style1"/>
        <w:jc w:val="left"/>
      </w:pPr>
    </w:p>
    <w:p w14:paraId="4739E995" w14:textId="445F62FB" w:rsidR="00166EBC" w:rsidRDefault="00166EBC" w:rsidP="006D42B7">
      <w:pPr>
        <w:pStyle w:val="Style1"/>
        <w:jc w:val="left"/>
      </w:pPr>
    </w:p>
    <w:p w14:paraId="1A65124D" w14:textId="79D906F9" w:rsidR="00166EBC" w:rsidRDefault="00166EBC" w:rsidP="006D42B7">
      <w:pPr>
        <w:pStyle w:val="Style1"/>
        <w:jc w:val="left"/>
      </w:pPr>
    </w:p>
    <w:p w14:paraId="15ED6DA7" w14:textId="4A9EA1F5" w:rsidR="00166EBC" w:rsidRDefault="00166EBC" w:rsidP="006D42B7">
      <w:pPr>
        <w:pStyle w:val="Style1"/>
        <w:jc w:val="left"/>
      </w:pPr>
    </w:p>
    <w:p w14:paraId="42B8006E" w14:textId="1A779DC4" w:rsidR="005C2A43" w:rsidRDefault="005C2A43" w:rsidP="006D42B7">
      <w:pPr>
        <w:pStyle w:val="Style1"/>
        <w:jc w:val="left"/>
      </w:pPr>
    </w:p>
    <w:p w14:paraId="79EC37EC" w14:textId="5EE7D9CA" w:rsidR="005C2A43" w:rsidRDefault="005C2A43" w:rsidP="006D42B7">
      <w:pPr>
        <w:pStyle w:val="Style1"/>
        <w:jc w:val="left"/>
      </w:pPr>
    </w:p>
    <w:p w14:paraId="7E75B19F" w14:textId="77777777" w:rsidR="00166EBC" w:rsidRPr="00E55781" w:rsidRDefault="00166EBC" w:rsidP="006D42B7">
      <w:pPr>
        <w:pStyle w:val="Default"/>
        <w:ind w:left="426"/>
        <w:rPr>
          <w:color w:val="auto"/>
        </w:rPr>
      </w:pPr>
    </w:p>
    <w:p w14:paraId="64A676D0" w14:textId="16EC27A1" w:rsidR="00192434" w:rsidRPr="0030649C" w:rsidRDefault="008831D1" w:rsidP="00B245CD">
      <w:pPr>
        <w:pStyle w:val="Default"/>
        <w:ind w:left="426"/>
        <w:rPr>
          <w:color w:val="auto"/>
          <w:lang w:val="en-US"/>
        </w:rPr>
      </w:pPr>
      <w:r w:rsidRPr="1E59D36B">
        <w:rPr>
          <w:b/>
          <w:bCs/>
          <w:color w:val="auto"/>
          <w:lang w:val="en-US"/>
        </w:rPr>
        <w:t>Table 1:  Duty of Candour R</w:t>
      </w:r>
      <w:r w:rsidR="003B38C9" w:rsidRPr="1E59D36B">
        <w:rPr>
          <w:b/>
          <w:bCs/>
          <w:color w:val="auto"/>
          <w:lang w:val="en-US"/>
        </w:rPr>
        <w:t>ationale</w:t>
      </w:r>
    </w:p>
    <w:tbl>
      <w:tblPr>
        <w:tblStyle w:val="TableGrid"/>
        <w:tblpPr w:leftFromText="180" w:rightFromText="180" w:vertAnchor="text" w:horzAnchor="margin" w:tblpXSpec="center" w:tblpY="146"/>
        <w:tblW w:w="0" w:type="auto"/>
        <w:tblLook w:val="04A0" w:firstRow="1" w:lastRow="0" w:firstColumn="1" w:lastColumn="0" w:noHBand="0" w:noVBand="1"/>
      </w:tblPr>
      <w:tblGrid>
        <w:gridCol w:w="8676"/>
        <w:gridCol w:w="1123"/>
      </w:tblGrid>
      <w:tr w:rsidR="00AA0E43" w:rsidRPr="00AA0E43" w14:paraId="3DE9E84F" w14:textId="77777777" w:rsidTr="1E59D36B">
        <w:tc>
          <w:tcPr>
            <w:tcW w:w="8676" w:type="dxa"/>
            <w:shd w:val="clear" w:color="auto" w:fill="1F497D" w:themeFill="text2"/>
          </w:tcPr>
          <w:p w14:paraId="6128FFCC" w14:textId="77777777" w:rsidR="00AD7A58" w:rsidRPr="00AA0E43" w:rsidRDefault="2DEB7A7D" w:rsidP="00BC33C0">
            <w:pPr>
              <w:rPr>
                <w:rFonts w:ascii="Arial" w:hAnsi="Arial" w:cs="Arial"/>
                <w:b/>
                <w:bCs/>
                <w:color w:val="FFFFFF" w:themeColor="background1"/>
              </w:rPr>
            </w:pPr>
            <w:r w:rsidRPr="1E59D36B">
              <w:rPr>
                <w:rFonts w:ascii="Arial" w:hAnsi="Arial" w:cs="Arial"/>
                <w:b/>
                <w:bCs/>
                <w:color w:val="FFFFFF" w:themeColor="background1"/>
              </w:rPr>
              <w:t xml:space="preserve">Nature of unexpected or unintended incident where Duty of Candour applies </w:t>
            </w:r>
          </w:p>
        </w:tc>
        <w:tc>
          <w:tcPr>
            <w:tcW w:w="1123" w:type="dxa"/>
            <w:shd w:val="clear" w:color="auto" w:fill="1F497D" w:themeFill="text2"/>
          </w:tcPr>
          <w:p w14:paraId="7CEA2712" w14:textId="77777777" w:rsidR="00AD7A58" w:rsidRPr="00AA0E43" w:rsidRDefault="2DEB7A7D" w:rsidP="006D42B7">
            <w:pPr>
              <w:rPr>
                <w:rFonts w:ascii="Arial" w:hAnsi="Arial" w:cs="Arial"/>
                <w:b/>
                <w:bCs/>
                <w:color w:val="FFFFFF" w:themeColor="background1"/>
              </w:rPr>
            </w:pPr>
            <w:r w:rsidRPr="1E59D36B">
              <w:rPr>
                <w:rFonts w:ascii="Arial" w:hAnsi="Arial" w:cs="Arial"/>
                <w:b/>
                <w:bCs/>
                <w:color w:val="FFFFFF" w:themeColor="background1"/>
              </w:rPr>
              <w:t>Number</w:t>
            </w:r>
          </w:p>
        </w:tc>
      </w:tr>
      <w:tr w:rsidR="003B38C9" w:rsidRPr="00E55781" w14:paraId="3D9D2CE7" w14:textId="77777777" w:rsidTr="1E59D36B">
        <w:tc>
          <w:tcPr>
            <w:tcW w:w="8676" w:type="dxa"/>
          </w:tcPr>
          <w:p w14:paraId="5181E176" w14:textId="77777777" w:rsidR="00AD7A58" w:rsidRPr="00E55781" w:rsidRDefault="2DEB7A7D" w:rsidP="00B245CD">
            <w:pPr>
              <w:rPr>
                <w:rFonts w:ascii="Arial" w:hAnsi="Arial" w:cs="Arial"/>
              </w:rPr>
            </w:pPr>
            <w:r w:rsidRPr="1E59D36B">
              <w:rPr>
                <w:rFonts w:ascii="Arial" w:hAnsi="Arial" w:cs="Arial"/>
              </w:rPr>
              <w:lastRenderedPageBreak/>
              <w:t>A person died</w:t>
            </w:r>
          </w:p>
        </w:tc>
        <w:tc>
          <w:tcPr>
            <w:tcW w:w="1123" w:type="dxa"/>
          </w:tcPr>
          <w:p w14:paraId="7EB33FA2" w14:textId="4DE66DDE" w:rsidR="00AD7A58" w:rsidRPr="00E55781" w:rsidRDefault="19608C9A" w:rsidP="006D42B7">
            <w:pPr>
              <w:rPr>
                <w:rFonts w:ascii="Arial" w:hAnsi="Arial" w:cs="Arial"/>
              </w:rPr>
            </w:pPr>
            <w:r w:rsidRPr="1E59D36B">
              <w:rPr>
                <w:rFonts w:ascii="Arial" w:hAnsi="Arial" w:cs="Arial"/>
              </w:rPr>
              <w:t>4</w:t>
            </w:r>
          </w:p>
        </w:tc>
      </w:tr>
      <w:tr w:rsidR="003B38C9" w:rsidRPr="00E55781" w14:paraId="103E4F79" w14:textId="77777777" w:rsidTr="1E59D36B">
        <w:tc>
          <w:tcPr>
            <w:tcW w:w="8676" w:type="dxa"/>
          </w:tcPr>
          <w:p w14:paraId="51D067EB" w14:textId="77777777" w:rsidR="00AD7A58" w:rsidRPr="00E55781" w:rsidRDefault="2DEB7A7D" w:rsidP="00B245CD">
            <w:pPr>
              <w:rPr>
                <w:rFonts w:ascii="Arial" w:hAnsi="Arial" w:cs="Arial"/>
              </w:rPr>
            </w:pPr>
            <w:r w:rsidRPr="1E59D36B">
              <w:rPr>
                <w:rFonts w:ascii="Arial" w:hAnsi="Arial" w:cs="Arial"/>
              </w:rPr>
              <w:t>A person suffered permanent lessening of bodily, sensory, motor, physiologic or intellectual functions</w:t>
            </w:r>
          </w:p>
        </w:tc>
        <w:tc>
          <w:tcPr>
            <w:tcW w:w="1123" w:type="dxa"/>
          </w:tcPr>
          <w:p w14:paraId="432F7F95" w14:textId="77777777" w:rsidR="00AD7A58" w:rsidRPr="00E55781" w:rsidRDefault="7F5980CE" w:rsidP="006D42B7">
            <w:pPr>
              <w:rPr>
                <w:rFonts w:ascii="Arial" w:hAnsi="Arial" w:cs="Arial"/>
              </w:rPr>
            </w:pPr>
            <w:r w:rsidRPr="1E59D36B">
              <w:rPr>
                <w:rFonts w:ascii="Arial" w:hAnsi="Arial" w:cs="Arial"/>
              </w:rPr>
              <w:t>0</w:t>
            </w:r>
          </w:p>
        </w:tc>
      </w:tr>
      <w:tr w:rsidR="003B38C9" w:rsidRPr="00E55781" w14:paraId="3C10F1C8" w14:textId="77777777" w:rsidTr="1E59D36B">
        <w:tc>
          <w:tcPr>
            <w:tcW w:w="9799" w:type="dxa"/>
            <w:gridSpan w:val="2"/>
            <w:shd w:val="clear" w:color="auto" w:fill="DBE5F1" w:themeFill="accent1" w:themeFillTint="33"/>
          </w:tcPr>
          <w:p w14:paraId="417B8E5A" w14:textId="77777777" w:rsidR="00AD7A58" w:rsidRPr="00E55781" w:rsidRDefault="2DEB7A7D" w:rsidP="00B245CD">
            <w:pPr>
              <w:rPr>
                <w:rFonts w:ascii="Arial" w:hAnsi="Arial" w:cs="Arial"/>
              </w:rPr>
            </w:pPr>
            <w:r w:rsidRPr="1E59D36B">
              <w:rPr>
                <w:rFonts w:ascii="Arial" w:hAnsi="Arial" w:cs="Arial"/>
              </w:rPr>
              <w:t>Harm which is not severe harm but results or could have resulted in:</w:t>
            </w:r>
          </w:p>
        </w:tc>
      </w:tr>
      <w:tr w:rsidR="003B38C9" w:rsidRPr="00E55781" w14:paraId="0315D08C" w14:textId="77777777" w:rsidTr="1E59D36B">
        <w:tc>
          <w:tcPr>
            <w:tcW w:w="8676" w:type="dxa"/>
          </w:tcPr>
          <w:p w14:paraId="71184C63" w14:textId="77777777" w:rsidR="00AD7A58" w:rsidRPr="00E55781" w:rsidRDefault="2DEB7A7D" w:rsidP="00B245CD">
            <w:pPr>
              <w:rPr>
                <w:rFonts w:ascii="Arial" w:hAnsi="Arial" w:cs="Arial"/>
              </w:rPr>
            </w:pPr>
            <w:r w:rsidRPr="1E59D36B">
              <w:rPr>
                <w:rFonts w:ascii="Arial" w:hAnsi="Arial" w:cs="Arial"/>
              </w:rPr>
              <w:t>An increase in the person’s treatment</w:t>
            </w:r>
          </w:p>
        </w:tc>
        <w:tc>
          <w:tcPr>
            <w:tcW w:w="1123" w:type="dxa"/>
          </w:tcPr>
          <w:p w14:paraId="4C375DC9" w14:textId="2819D03E" w:rsidR="00AD7A58" w:rsidRPr="00E55781" w:rsidRDefault="19608C9A" w:rsidP="006D42B7">
            <w:pPr>
              <w:rPr>
                <w:rFonts w:ascii="Arial" w:hAnsi="Arial" w:cs="Arial"/>
              </w:rPr>
            </w:pPr>
            <w:r w:rsidRPr="1E59D36B">
              <w:rPr>
                <w:rFonts w:ascii="Arial" w:hAnsi="Arial" w:cs="Arial"/>
              </w:rPr>
              <w:t>14</w:t>
            </w:r>
          </w:p>
        </w:tc>
      </w:tr>
      <w:tr w:rsidR="003B38C9" w:rsidRPr="00E55781" w14:paraId="03CF63A5" w14:textId="77777777" w:rsidTr="1E59D36B">
        <w:tc>
          <w:tcPr>
            <w:tcW w:w="8676" w:type="dxa"/>
          </w:tcPr>
          <w:p w14:paraId="76EE4D3E" w14:textId="77777777" w:rsidR="00AD7A58" w:rsidRPr="00E55781" w:rsidRDefault="2DEB7A7D" w:rsidP="00B245CD">
            <w:pPr>
              <w:rPr>
                <w:rFonts w:ascii="Arial" w:hAnsi="Arial" w:cs="Arial"/>
              </w:rPr>
            </w:pPr>
            <w:r w:rsidRPr="1E59D36B">
              <w:rPr>
                <w:rFonts w:ascii="Arial" w:hAnsi="Arial" w:cs="Arial"/>
              </w:rPr>
              <w:t>Changes to the structure of the person’s body</w:t>
            </w:r>
          </w:p>
        </w:tc>
        <w:tc>
          <w:tcPr>
            <w:tcW w:w="1123" w:type="dxa"/>
          </w:tcPr>
          <w:p w14:paraId="2F16412F" w14:textId="0984FD50" w:rsidR="00AD7A58" w:rsidRPr="00E55781" w:rsidRDefault="19608C9A" w:rsidP="006D42B7">
            <w:pPr>
              <w:rPr>
                <w:rFonts w:ascii="Arial" w:hAnsi="Arial" w:cs="Arial"/>
              </w:rPr>
            </w:pPr>
            <w:r w:rsidRPr="1E59D36B">
              <w:rPr>
                <w:rFonts w:ascii="Arial" w:hAnsi="Arial" w:cs="Arial"/>
              </w:rPr>
              <w:t>1</w:t>
            </w:r>
          </w:p>
        </w:tc>
      </w:tr>
      <w:tr w:rsidR="003B38C9" w:rsidRPr="00E55781" w14:paraId="5E290340" w14:textId="77777777" w:rsidTr="1E59D36B">
        <w:tc>
          <w:tcPr>
            <w:tcW w:w="8676" w:type="dxa"/>
          </w:tcPr>
          <w:p w14:paraId="462E73ED" w14:textId="77777777" w:rsidR="00AD7A58" w:rsidRPr="00E55781" w:rsidRDefault="2DEB7A7D" w:rsidP="00B245CD">
            <w:pPr>
              <w:rPr>
                <w:rFonts w:ascii="Arial" w:hAnsi="Arial" w:cs="Arial"/>
              </w:rPr>
            </w:pPr>
            <w:r w:rsidRPr="1E59D36B">
              <w:rPr>
                <w:rFonts w:ascii="Arial" w:hAnsi="Arial" w:cs="Arial"/>
              </w:rPr>
              <w:t>The shortening of the life expectancy of the person</w:t>
            </w:r>
          </w:p>
        </w:tc>
        <w:tc>
          <w:tcPr>
            <w:tcW w:w="1123" w:type="dxa"/>
          </w:tcPr>
          <w:p w14:paraId="7F2233C5" w14:textId="77777777" w:rsidR="00AD7A58" w:rsidRPr="00E55781" w:rsidRDefault="7F5980CE" w:rsidP="006D42B7">
            <w:pPr>
              <w:rPr>
                <w:rFonts w:ascii="Arial" w:hAnsi="Arial" w:cs="Arial"/>
              </w:rPr>
            </w:pPr>
            <w:r w:rsidRPr="1E59D36B">
              <w:rPr>
                <w:rFonts w:ascii="Arial" w:hAnsi="Arial" w:cs="Arial"/>
              </w:rPr>
              <w:t>0</w:t>
            </w:r>
          </w:p>
        </w:tc>
      </w:tr>
      <w:tr w:rsidR="003B38C9" w:rsidRPr="00E55781" w14:paraId="5E7799B2" w14:textId="77777777" w:rsidTr="1E59D36B">
        <w:tc>
          <w:tcPr>
            <w:tcW w:w="8676" w:type="dxa"/>
          </w:tcPr>
          <w:p w14:paraId="666EA3A9" w14:textId="77777777" w:rsidR="00AD7A58" w:rsidRPr="00E55781" w:rsidRDefault="2DEB7A7D" w:rsidP="00B245CD">
            <w:pPr>
              <w:rPr>
                <w:rFonts w:ascii="Arial" w:hAnsi="Arial" w:cs="Arial"/>
              </w:rPr>
            </w:pPr>
            <w:r w:rsidRPr="1E59D36B">
              <w:rPr>
                <w:rFonts w:ascii="Arial" w:hAnsi="Arial" w:cs="Arial"/>
              </w:rPr>
              <w:t>An impairment of the sensory, motor or intellectual functions of the person which has lasted, or is likely to last, for a continuous period of at least 28 days</w:t>
            </w:r>
          </w:p>
        </w:tc>
        <w:tc>
          <w:tcPr>
            <w:tcW w:w="1123" w:type="dxa"/>
          </w:tcPr>
          <w:p w14:paraId="3D897C70" w14:textId="77777777" w:rsidR="00AD7A58" w:rsidRPr="00E55781" w:rsidRDefault="7F5980CE" w:rsidP="006D42B7">
            <w:pPr>
              <w:rPr>
                <w:rFonts w:ascii="Arial" w:hAnsi="Arial" w:cs="Arial"/>
              </w:rPr>
            </w:pPr>
            <w:r w:rsidRPr="1E59D36B">
              <w:rPr>
                <w:rFonts w:ascii="Arial" w:hAnsi="Arial" w:cs="Arial"/>
              </w:rPr>
              <w:t>0</w:t>
            </w:r>
          </w:p>
        </w:tc>
      </w:tr>
      <w:tr w:rsidR="003B38C9" w:rsidRPr="00E55781" w14:paraId="474303DE" w14:textId="77777777" w:rsidTr="1E59D36B">
        <w:tc>
          <w:tcPr>
            <w:tcW w:w="8676" w:type="dxa"/>
          </w:tcPr>
          <w:p w14:paraId="2D5026AB" w14:textId="77777777" w:rsidR="00AD7A58" w:rsidRPr="00E55781" w:rsidRDefault="2DEB7A7D" w:rsidP="00B245CD">
            <w:pPr>
              <w:rPr>
                <w:rFonts w:ascii="Arial" w:hAnsi="Arial" w:cs="Arial"/>
              </w:rPr>
            </w:pPr>
            <w:r w:rsidRPr="1E59D36B">
              <w:rPr>
                <w:rFonts w:ascii="Arial" w:hAnsi="Arial" w:cs="Arial"/>
              </w:rPr>
              <w:t>The person experiencing pain or psychological harm which has been, or is likely to be, experienced by the person for a continuous period of at least 28 days.</w:t>
            </w:r>
          </w:p>
        </w:tc>
        <w:tc>
          <w:tcPr>
            <w:tcW w:w="1123" w:type="dxa"/>
          </w:tcPr>
          <w:p w14:paraId="76E84243" w14:textId="77777777" w:rsidR="00AD7A58" w:rsidRPr="00E55781" w:rsidRDefault="7F5980CE" w:rsidP="006D42B7">
            <w:pPr>
              <w:rPr>
                <w:rFonts w:ascii="Arial" w:hAnsi="Arial" w:cs="Arial"/>
              </w:rPr>
            </w:pPr>
            <w:r w:rsidRPr="1E59D36B">
              <w:rPr>
                <w:rFonts w:ascii="Arial" w:hAnsi="Arial" w:cs="Arial"/>
              </w:rPr>
              <w:t>0</w:t>
            </w:r>
          </w:p>
        </w:tc>
      </w:tr>
      <w:tr w:rsidR="003B38C9" w:rsidRPr="00E55781" w14:paraId="7E0EC3BC" w14:textId="77777777" w:rsidTr="1E59D36B">
        <w:tc>
          <w:tcPr>
            <w:tcW w:w="9799" w:type="dxa"/>
            <w:gridSpan w:val="2"/>
            <w:shd w:val="clear" w:color="auto" w:fill="DBE5F1" w:themeFill="accent1" w:themeFillTint="33"/>
          </w:tcPr>
          <w:p w14:paraId="70F83B7B" w14:textId="77777777" w:rsidR="00AD7A58" w:rsidRPr="00E55781" w:rsidRDefault="2DEB7A7D" w:rsidP="00B245CD">
            <w:pPr>
              <w:rPr>
                <w:rFonts w:ascii="Arial" w:hAnsi="Arial" w:cs="Arial"/>
              </w:rPr>
            </w:pPr>
            <w:r w:rsidRPr="1E59D36B">
              <w:rPr>
                <w:rFonts w:ascii="Arial" w:hAnsi="Arial" w:cs="Arial"/>
              </w:rPr>
              <w:t>The person required treatment by a registered health professional in order to prevent:</w:t>
            </w:r>
          </w:p>
        </w:tc>
      </w:tr>
      <w:tr w:rsidR="003B38C9" w:rsidRPr="00E55781" w14:paraId="4D7045EB" w14:textId="77777777" w:rsidTr="1E59D36B">
        <w:trPr>
          <w:trHeight w:val="70"/>
        </w:trPr>
        <w:tc>
          <w:tcPr>
            <w:tcW w:w="8676" w:type="dxa"/>
          </w:tcPr>
          <w:p w14:paraId="1777EC6D" w14:textId="77777777" w:rsidR="00AD7A58" w:rsidRPr="00E55781" w:rsidRDefault="2DEB7A7D" w:rsidP="00B245CD">
            <w:pPr>
              <w:rPr>
                <w:rFonts w:ascii="Arial" w:hAnsi="Arial" w:cs="Arial"/>
              </w:rPr>
            </w:pPr>
            <w:r w:rsidRPr="1E59D36B">
              <w:rPr>
                <w:rFonts w:ascii="Arial" w:hAnsi="Arial" w:cs="Arial"/>
              </w:rPr>
              <w:t>The person dying</w:t>
            </w:r>
          </w:p>
        </w:tc>
        <w:tc>
          <w:tcPr>
            <w:tcW w:w="1123" w:type="dxa"/>
          </w:tcPr>
          <w:p w14:paraId="6EB5BF14" w14:textId="1AB28D00" w:rsidR="00AD7A58" w:rsidRPr="00E55781" w:rsidRDefault="19608C9A" w:rsidP="006D42B7">
            <w:pPr>
              <w:rPr>
                <w:rFonts w:ascii="Arial" w:hAnsi="Arial" w:cs="Arial"/>
              </w:rPr>
            </w:pPr>
            <w:r w:rsidRPr="1E59D36B">
              <w:rPr>
                <w:rFonts w:ascii="Arial" w:hAnsi="Arial" w:cs="Arial"/>
              </w:rPr>
              <w:t>1</w:t>
            </w:r>
          </w:p>
        </w:tc>
      </w:tr>
      <w:tr w:rsidR="003B38C9" w:rsidRPr="00E55781" w14:paraId="632E5E78" w14:textId="77777777" w:rsidTr="1E59D36B">
        <w:trPr>
          <w:trHeight w:val="70"/>
        </w:trPr>
        <w:tc>
          <w:tcPr>
            <w:tcW w:w="8676" w:type="dxa"/>
          </w:tcPr>
          <w:p w14:paraId="673738B0" w14:textId="77777777" w:rsidR="00AD7A58" w:rsidRPr="00E55781" w:rsidRDefault="2DEB7A7D" w:rsidP="00B245CD">
            <w:pPr>
              <w:rPr>
                <w:rFonts w:ascii="Arial" w:hAnsi="Arial" w:cs="Arial"/>
              </w:rPr>
            </w:pPr>
            <w:r w:rsidRPr="1E59D36B">
              <w:rPr>
                <w:rFonts w:ascii="Arial" w:hAnsi="Arial" w:cs="Arial"/>
              </w:rPr>
              <w:t>An injury to the person which, if left untreated, would lead to one or more of the outcomes mentioned above.</w:t>
            </w:r>
          </w:p>
        </w:tc>
        <w:tc>
          <w:tcPr>
            <w:tcW w:w="1123" w:type="dxa"/>
          </w:tcPr>
          <w:p w14:paraId="4C869C7E" w14:textId="68169C41" w:rsidR="00AD7A58" w:rsidRPr="00E55781" w:rsidRDefault="7B28047D" w:rsidP="006D42B7">
            <w:pPr>
              <w:rPr>
                <w:rFonts w:ascii="Arial" w:hAnsi="Arial" w:cs="Arial"/>
              </w:rPr>
            </w:pPr>
            <w:r w:rsidRPr="1E59D36B">
              <w:rPr>
                <w:rFonts w:ascii="Arial" w:hAnsi="Arial" w:cs="Arial"/>
              </w:rPr>
              <w:t>1</w:t>
            </w:r>
          </w:p>
        </w:tc>
      </w:tr>
      <w:tr w:rsidR="003B38C9" w:rsidRPr="00E55781" w14:paraId="3710B0EE" w14:textId="77777777" w:rsidTr="1E59D36B">
        <w:trPr>
          <w:trHeight w:val="70"/>
        </w:trPr>
        <w:tc>
          <w:tcPr>
            <w:tcW w:w="8676" w:type="dxa"/>
            <w:shd w:val="clear" w:color="auto" w:fill="D9D9D9" w:themeFill="background1" w:themeFillShade="D9"/>
          </w:tcPr>
          <w:p w14:paraId="04EB137D" w14:textId="77777777" w:rsidR="00E00B87" w:rsidRPr="00E55781" w:rsidRDefault="28A4FC32" w:rsidP="00B245CD">
            <w:pPr>
              <w:rPr>
                <w:rFonts w:ascii="Arial" w:hAnsi="Arial" w:cs="Arial"/>
                <w:b/>
                <w:bCs/>
              </w:rPr>
            </w:pPr>
            <w:r w:rsidRPr="1E59D36B">
              <w:rPr>
                <w:rFonts w:ascii="Arial" w:hAnsi="Arial" w:cs="Arial"/>
                <w:b/>
                <w:bCs/>
              </w:rPr>
              <w:t>Total</w:t>
            </w:r>
          </w:p>
        </w:tc>
        <w:tc>
          <w:tcPr>
            <w:tcW w:w="1123" w:type="dxa"/>
            <w:shd w:val="clear" w:color="auto" w:fill="D9D9D9" w:themeFill="background1" w:themeFillShade="D9"/>
          </w:tcPr>
          <w:p w14:paraId="4957597B" w14:textId="6A05EBC5" w:rsidR="00E00B87" w:rsidRPr="00E55781" w:rsidRDefault="19608C9A" w:rsidP="006D42B7">
            <w:pPr>
              <w:rPr>
                <w:rFonts w:ascii="Arial" w:hAnsi="Arial" w:cs="Arial"/>
                <w:b/>
                <w:bCs/>
              </w:rPr>
            </w:pPr>
            <w:r w:rsidRPr="1E59D36B">
              <w:rPr>
                <w:rFonts w:ascii="Arial" w:hAnsi="Arial" w:cs="Arial"/>
                <w:b/>
                <w:bCs/>
              </w:rPr>
              <w:t>2</w:t>
            </w:r>
            <w:r w:rsidR="7B28047D" w:rsidRPr="1E59D36B">
              <w:rPr>
                <w:rFonts w:ascii="Arial" w:hAnsi="Arial" w:cs="Arial"/>
                <w:b/>
                <w:bCs/>
              </w:rPr>
              <w:t>1</w:t>
            </w:r>
          </w:p>
        </w:tc>
      </w:tr>
    </w:tbl>
    <w:p w14:paraId="16606DDC" w14:textId="77777777" w:rsidR="00EE2490" w:rsidRPr="00E55781" w:rsidRDefault="00EE2490" w:rsidP="00B245CD">
      <w:pPr>
        <w:pStyle w:val="Default"/>
        <w:rPr>
          <w:color w:val="auto"/>
        </w:rPr>
      </w:pPr>
    </w:p>
    <w:p w14:paraId="28C8465B" w14:textId="24F8641B" w:rsidR="00453C38" w:rsidRDefault="00453C38" w:rsidP="00BC33C0">
      <w:pPr>
        <w:pStyle w:val="Default"/>
        <w:rPr>
          <w:color w:val="auto"/>
        </w:rPr>
      </w:pPr>
    </w:p>
    <w:p w14:paraId="391DFCC2" w14:textId="7740051B" w:rsidR="00EE2490" w:rsidRPr="00BD1B1B" w:rsidRDefault="00EE2490">
      <w:pPr>
        <w:pStyle w:val="Heading3"/>
        <w:ind w:left="426"/>
        <w:rPr>
          <w:sz w:val="24"/>
          <w:szCs w:val="24"/>
        </w:rPr>
      </w:pPr>
      <w:bookmarkStart w:id="30" w:name="_Toc169451065"/>
      <w:r w:rsidRPr="1E59D36B">
        <w:rPr>
          <w:sz w:val="24"/>
          <w:szCs w:val="24"/>
        </w:rPr>
        <w:t>Events</w:t>
      </w:r>
      <w:bookmarkEnd w:id="30"/>
      <w:r w:rsidRPr="1E59D36B">
        <w:rPr>
          <w:sz w:val="24"/>
          <w:szCs w:val="24"/>
        </w:rPr>
        <w:t xml:space="preserve"> </w:t>
      </w:r>
    </w:p>
    <w:p w14:paraId="4E7671DF" w14:textId="77777777" w:rsidR="00EE2490" w:rsidRPr="00E55781" w:rsidRDefault="00EE2490">
      <w:pPr>
        <w:pStyle w:val="Default"/>
        <w:rPr>
          <w:color w:val="auto"/>
        </w:rPr>
      </w:pPr>
    </w:p>
    <w:p w14:paraId="7A8CCA5C" w14:textId="3918675A" w:rsidR="00272CDA" w:rsidRDefault="00EE2490" w:rsidP="006D42B7">
      <w:pPr>
        <w:pStyle w:val="Style1"/>
        <w:jc w:val="left"/>
        <w:rPr>
          <w:lang w:val="en-US"/>
        </w:rPr>
      </w:pPr>
      <w:r w:rsidRPr="1E59D36B">
        <w:rPr>
          <w:lang w:val="en-US"/>
        </w:rPr>
        <w:t xml:space="preserve">Of the </w:t>
      </w:r>
      <w:r w:rsidR="00AA0E43" w:rsidRPr="1E59D36B">
        <w:rPr>
          <w:lang w:val="en-US"/>
        </w:rPr>
        <w:t>2</w:t>
      </w:r>
      <w:r w:rsidR="002E321A" w:rsidRPr="1E59D36B">
        <w:rPr>
          <w:lang w:val="en-US"/>
        </w:rPr>
        <w:t>1</w:t>
      </w:r>
      <w:r w:rsidR="003B38C9" w:rsidRPr="1E59D36B">
        <w:rPr>
          <w:lang w:val="en-US"/>
        </w:rPr>
        <w:t xml:space="preserve"> </w:t>
      </w:r>
      <w:r w:rsidRPr="1E59D36B">
        <w:rPr>
          <w:lang w:val="en-US"/>
        </w:rPr>
        <w:t xml:space="preserve">events that triggered the DoC, </w:t>
      </w:r>
      <w:r w:rsidR="00F70696" w:rsidRPr="1E59D36B">
        <w:rPr>
          <w:lang w:val="en-US"/>
        </w:rPr>
        <w:t>5</w:t>
      </w:r>
      <w:r w:rsidR="003B38C9" w:rsidRPr="1E59D36B">
        <w:rPr>
          <w:lang w:val="en-US"/>
        </w:rPr>
        <w:t xml:space="preserve"> remain o</w:t>
      </w:r>
      <w:r w:rsidR="00E65CD3" w:rsidRPr="1E59D36B">
        <w:rPr>
          <w:lang w:val="en-US"/>
        </w:rPr>
        <w:t>pen at the time of reporting</w:t>
      </w:r>
      <w:r w:rsidR="00AA0E43" w:rsidRPr="1E59D36B">
        <w:rPr>
          <w:lang w:val="en-US"/>
        </w:rPr>
        <w:t xml:space="preserve"> [06/05/2025]</w:t>
      </w:r>
      <w:r w:rsidR="00E65CD3" w:rsidRPr="1E59D36B">
        <w:rPr>
          <w:lang w:val="en-US"/>
        </w:rPr>
        <w:t>;</w:t>
      </w:r>
      <w:r w:rsidR="00E4726D" w:rsidRPr="1E59D36B">
        <w:rPr>
          <w:lang w:val="en-US"/>
        </w:rPr>
        <w:t xml:space="preserve"> these reviews are projected to breach timeframes</w:t>
      </w:r>
      <w:r w:rsidR="003B0049">
        <w:rPr>
          <w:lang w:val="en-US"/>
        </w:rPr>
        <w:t>.</w:t>
      </w:r>
      <w:r w:rsidR="00135A9D" w:rsidRPr="1E59D36B">
        <w:rPr>
          <w:lang w:val="en-US"/>
        </w:rPr>
        <w:t xml:space="preserve"> </w:t>
      </w:r>
      <w:r w:rsidR="003B0049">
        <w:rPr>
          <w:lang w:val="en-US"/>
        </w:rPr>
        <w:t>H</w:t>
      </w:r>
      <w:r w:rsidR="00135A9D" w:rsidRPr="1E59D36B">
        <w:rPr>
          <w:lang w:val="en-US"/>
        </w:rPr>
        <w:t>owever</w:t>
      </w:r>
      <w:r w:rsidR="003B0049">
        <w:rPr>
          <w:lang w:val="en-US"/>
        </w:rPr>
        <w:t>,</w:t>
      </w:r>
      <w:r w:rsidR="00135A9D" w:rsidRPr="1E59D36B">
        <w:rPr>
          <w:lang w:val="en-US"/>
        </w:rPr>
        <w:t xml:space="preserve"> effective communication will continue with those involved in the process</w:t>
      </w:r>
      <w:r w:rsidR="00E4726D" w:rsidRPr="1E59D36B">
        <w:rPr>
          <w:lang w:val="en-US"/>
        </w:rPr>
        <w:t xml:space="preserve">. </w:t>
      </w:r>
    </w:p>
    <w:p w14:paraId="16825D55" w14:textId="77777777" w:rsidR="00003430" w:rsidRPr="00E55781" w:rsidRDefault="00003430" w:rsidP="006D42B7">
      <w:pPr>
        <w:pStyle w:val="Style1"/>
        <w:jc w:val="left"/>
      </w:pPr>
    </w:p>
    <w:p w14:paraId="07753E2C" w14:textId="0AD8F6E8" w:rsidR="00707351" w:rsidRPr="00E55781" w:rsidRDefault="00B807FF" w:rsidP="006D42B7">
      <w:pPr>
        <w:pStyle w:val="Style1"/>
        <w:jc w:val="left"/>
        <w:rPr>
          <w:lang w:val="en-US"/>
        </w:rPr>
      </w:pPr>
      <w:r w:rsidRPr="1E59D36B">
        <w:rPr>
          <w:lang w:val="en-US"/>
        </w:rPr>
        <w:t xml:space="preserve">In all </w:t>
      </w:r>
      <w:r w:rsidR="00E4726D" w:rsidRPr="1E59D36B">
        <w:rPr>
          <w:lang w:val="en-US"/>
        </w:rPr>
        <w:t>DoC cases, relevant parties</w:t>
      </w:r>
      <w:r w:rsidR="00E65CD3" w:rsidRPr="1E59D36B">
        <w:rPr>
          <w:lang w:val="en-US"/>
        </w:rPr>
        <w:t xml:space="preserve"> </w:t>
      </w:r>
      <w:r w:rsidRPr="1E59D36B">
        <w:rPr>
          <w:lang w:val="en-US"/>
        </w:rPr>
        <w:t>are advised if a SAER is</w:t>
      </w:r>
      <w:r w:rsidR="00E65CD3" w:rsidRPr="1E59D36B">
        <w:rPr>
          <w:lang w:val="en-US"/>
        </w:rPr>
        <w:t xml:space="preserve"> taking place</w:t>
      </w:r>
      <w:r w:rsidR="001C251B" w:rsidRPr="1E59D36B">
        <w:rPr>
          <w:lang w:val="en-US"/>
        </w:rPr>
        <w:t xml:space="preserve">.  </w:t>
      </w:r>
      <w:r w:rsidR="00F713A4" w:rsidRPr="1E59D36B">
        <w:rPr>
          <w:lang w:val="en-US"/>
        </w:rPr>
        <w:t>With all</w:t>
      </w:r>
      <w:r w:rsidR="00074C35" w:rsidRPr="1E59D36B">
        <w:rPr>
          <w:lang w:val="en-US"/>
        </w:rPr>
        <w:t xml:space="preserve"> </w:t>
      </w:r>
      <w:r w:rsidR="001C251B" w:rsidRPr="1E59D36B">
        <w:rPr>
          <w:lang w:val="en-US"/>
        </w:rPr>
        <w:t>closed DoC events</w:t>
      </w:r>
      <w:r w:rsidR="00F713A4" w:rsidRPr="1E59D36B">
        <w:rPr>
          <w:lang w:val="en-US"/>
        </w:rPr>
        <w:t>,</w:t>
      </w:r>
      <w:r w:rsidR="001C251B" w:rsidRPr="1E59D36B">
        <w:rPr>
          <w:lang w:val="en-US"/>
        </w:rPr>
        <w:t xml:space="preserve"> a c</w:t>
      </w:r>
      <w:r w:rsidR="00E65CD3" w:rsidRPr="1E59D36B">
        <w:rPr>
          <w:lang w:val="en-US"/>
        </w:rPr>
        <w:t xml:space="preserve">opy of the final report </w:t>
      </w:r>
      <w:r w:rsidR="00F713A4" w:rsidRPr="1E59D36B">
        <w:rPr>
          <w:lang w:val="en-US"/>
        </w:rPr>
        <w:t xml:space="preserve">is provided, </w:t>
      </w:r>
      <w:r w:rsidR="001C251B" w:rsidRPr="1E59D36B">
        <w:rPr>
          <w:lang w:val="en-US"/>
        </w:rPr>
        <w:t>with an</w:t>
      </w:r>
      <w:r w:rsidR="00E65CD3" w:rsidRPr="1E59D36B">
        <w:rPr>
          <w:lang w:val="en-US"/>
        </w:rPr>
        <w:t xml:space="preserve"> offer made to meet to discuss the content of the report</w:t>
      </w:r>
      <w:r w:rsidR="00074C35" w:rsidRPr="1E59D36B">
        <w:rPr>
          <w:lang w:val="en-US"/>
        </w:rPr>
        <w:t xml:space="preserve"> with the patient/</w:t>
      </w:r>
      <w:r w:rsidR="00AA0E43" w:rsidRPr="1E59D36B">
        <w:rPr>
          <w:lang w:val="en-US"/>
        </w:rPr>
        <w:t xml:space="preserve"> </w:t>
      </w:r>
      <w:r w:rsidR="00074C35" w:rsidRPr="1E59D36B">
        <w:rPr>
          <w:lang w:val="en-US"/>
        </w:rPr>
        <w:t>family</w:t>
      </w:r>
      <w:r w:rsidR="00E65CD3" w:rsidRPr="1E59D36B">
        <w:rPr>
          <w:lang w:val="en-US"/>
        </w:rPr>
        <w:t>.</w:t>
      </w:r>
      <w:r w:rsidRPr="1E59D36B">
        <w:rPr>
          <w:lang w:val="en-US"/>
        </w:rPr>
        <w:t xml:space="preserve"> In all cases, an offer to meet with senior staff was made</w:t>
      </w:r>
      <w:r w:rsidR="003B0049">
        <w:rPr>
          <w:lang w:val="en-US"/>
        </w:rPr>
        <w:t>.</w:t>
      </w:r>
      <w:r w:rsidRPr="1E59D36B">
        <w:rPr>
          <w:lang w:val="en-US"/>
        </w:rPr>
        <w:t xml:space="preserve"> </w:t>
      </w:r>
      <w:r w:rsidR="003B0049">
        <w:rPr>
          <w:lang w:val="en-US"/>
        </w:rPr>
        <w:t>H</w:t>
      </w:r>
      <w:r w:rsidRPr="1E59D36B">
        <w:rPr>
          <w:lang w:val="en-US"/>
        </w:rPr>
        <w:t>owever</w:t>
      </w:r>
      <w:r w:rsidR="003B0049">
        <w:rPr>
          <w:lang w:val="en-US"/>
        </w:rPr>
        <w:t>,</w:t>
      </w:r>
      <w:r w:rsidRPr="1E59D36B">
        <w:rPr>
          <w:lang w:val="en-US"/>
        </w:rPr>
        <w:t xml:space="preserve"> despite this offer, patients and families sometimes do not take the opportunity to meet. In some instances, it was clear the relevant person was reassured by the comprehensive review undertaken and of the detailed findings of the final Significant Adverse Event Review report. Communication with patients and families is a primary focus of our management of Duty of Candour with efforts made to ensure a positive experience of inclusive engagement throughout the process. In all cases, patients and families have been reassured by the review of patient care.</w:t>
      </w:r>
    </w:p>
    <w:p w14:paraId="01CABA20" w14:textId="6E6BD234" w:rsidR="00707351" w:rsidRPr="00E55781" w:rsidRDefault="00707351" w:rsidP="006D42B7">
      <w:pPr>
        <w:pStyle w:val="Style1"/>
        <w:jc w:val="left"/>
        <w:rPr>
          <w:color w:val="FF0000"/>
        </w:rPr>
      </w:pPr>
    </w:p>
    <w:p w14:paraId="07185A0B" w14:textId="4084D3F6" w:rsidR="00E4726D" w:rsidRDefault="00E834DB" w:rsidP="006D42B7">
      <w:pPr>
        <w:pStyle w:val="Style1"/>
        <w:jc w:val="left"/>
        <w:rPr>
          <w:b/>
          <w:bCs/>
          <w:lang w:val="en-US"/>
        </w:rPr>
      </w:pPr>
      <w:r w:rsidRPr="1E59D36B">
        <w:rPr>
          <w:lang w:val="en-US"/>
        </w:rPr>
        <w:t xml:space="preserve">Timescales for conducting and concluding SAERs has remained a challenge due to a number of factors and this has had an impact on the 90-day timescale for completion of DoC review. </w:t>
      </w:r>
      <w:r w:rsidR="0046153F" w:rsidRPr="1E59D36B">
        <w:rPr>
          <w:lang w:val="en-US"/>
        </w:rPr>
        <w:t xml:space="preserve">No </w:t>
      </w:r>
      <w:r w:rsidRPr="1E59D36B">
        <w:rPr>
          <w:lang w:val="en-US"/>
        </w:rPr>
        <w:t xml:space="preserve">events reported during the reporting period have met the DoC </w:t>
      </w:r>
      <w:r w:rsidR="00EE2490" w:rsidRPr="1E59D36B">
        <w:rPr>
          <w:lang w:val="en-US"/>
        </w:rPr>
        <w:t xml:space="preserve">process </w:t>
      </w:r>
      <w:r w:rsidR="00E65CD3" w:rsidRPr="1E59D36B">
        <w:rPr>
          <w:lang w:val="en-US"/>
        </w:rPr>
        <w:t xml:space="preserve">requirements </w:t>
      </w:r>
      <w:r w:rsidR="00EE2490" w:rsidRPr="1E59D36B">
        <w:rPr>
          <w:lang w:val="en-US"/>
        </w:rPr>
        <w:t xml:space="preserve">including meeting the </w:t>
      </w:r>
      <w:r w:rsidR="00E65CD3" w:rsidRPr="1E59D36B">
        <w:rPr>
          <w:lang w:val="en-US"/>
        </w:rPr>
        <w:t>90-day</w:t>
      </w:r>
      <w:r w:rsidR="00EE2490" w:rsidRPr="1E59D36B">
        <w:rPr>
          <w:lang w:val="en-US"/>
        </w:rPr>
        <w:t xml:space="preserve"> timescale for completion of the review process</w:t>
      </w:r>
      <w:r w:rsidR="00B672AD" w:rsidRPr="1E59D36B">
        <w:rPr>
          <w:b/>
          <w:bCs/>
          <w:lang w:val="en-US"/>
        </w:rPr>
        <w:t xml:space="preserve">. </w:t>
      </w:r>
      <w:r w:rsidR="00B672AD" w:rsidRPr="1E59D36B">
        <w:rPr>
          <w:lang w:val="en-US"/>
        </w:rPr>
        <w:t>It is acknowledged that meeting the timescales for DoC has been c</w:t>
      </w:r>
      <w:r w:rsidR="0046153F" w:rsidRPr="1E59D36B">
        <w:rPr>
          <w:lang w:val="en-US"/>
        </w:rPr>
        <w:t xml:space="preserve">hallenging during this period. </w:t>
      </w:r>
      <w:r w:rsidR="00B672AD" w:rsidRPr="1E59D36B">
        <w:rPr>
          <w:lang w:val="en-US"/>
        </w:rPr>
        <w:t xml:space="preserve">The Clinical Governance team work closely with the Divisional Management Teams to improve compliance with timeframes and will monitor this throughout the year making necessary amendments where indicated. </w:t>
      </w:r>
      <w:r w:rsidR="00EE2490" w:rsidRPr="1E59D36B">
        <w:rPr>
          <w:b/>
          <w:bCs/>
          <w:lang w:val="en-US"/>
        </w:rPr>
        <w:t xml:space="preserve"> </w:t>
      </w:r>
    </w:p>
    <w:p w14:paraId="3851D997" w14:textId="77777777" w:rsidR="00020F68" w:rsidRDefault="00020F68" w:rsidP="006D42B7">
      <w:pPr>
        <w:pStyle w:val="Style1"/>
        <w:jc w:val="left"/>
        <w:rPr>
          <w:b/>
          <w:bCs/>
        </w:rPr>
      </w:pPr>
    </w:p>
    <w:p w14:paraId="4C430ADF" w14:textId="77777777" w:rsidR="00EE2490" w:rsidRPr="00E55781" w:rsidRDefault="00EE2490" w:rsidP="00B245CD">
      <w:pPr>
        <w:pStyle w:val="Heading3"/>
        <w:ind w:firstLine="426"/>
        <w:rPr>
          <w:sz w:val="24"/>
          <w:szCs w:val="24"/>
        </w:rPr>
      </w:pPr>
      <w:bookmarkStart w:id="31" w:name="_Toc169451066"/>
      <w:r w:rsidRPr="1E59D36B">
        <w:rPr>
          <w:sz w:val="24"/>
          <w:szCs w:val="24"/>
        </w:rPr>
        <w:t>Learning</w:t>
      </w:r>
      <w:bookmarkEnd w:id="31"/>
    </w:p>
    <w:p w14:paraId="4304F3AA" w14:textId="77777777" w:rsidR="00EE2490" w:rsidRPr="00E55781" w:rsidRDefault="00EE2490" w:rsidP="00BC33C0">
      <w:pPr>
        <w:pStyle w:val="Default"/>
        <w:rPr>
          <w:color w:val="auto"/>
        </w:rPr>
      </w:pPr>
    </w:p>
    <w:p w14:paraId="3ACB7B58" w14:textId="64577C07" w:rsidR="004846AC" w:rsidRDefault="00EE2490" w:rsidP="006D42B7">
      <w:pPr>
        <w:pStyle w:val="Style1"/>
        <w:jc w:val="left"/>
        <w:rPr>
          <w:lang w:val="en-US"/>
        </w:rPr>
      </w:pPr>
      <w:r w:rsidRPr="1E59D36B">
        <w:rPr>
          <w:lang w:val="en-US"/>
        </w:rPr>
        <w:t>Further to the review of the events that triggered the DoC</w:t>
      </w:r>
      <w:r w:rsidR="00013F04" w:rsidRPr="1E59D36B">
        <w:rPr>
          <w:lang w:val="en-US"/>
        </w:rPr>
        <w:t>,</w:t>
      </w:r>
      <w:r w:rsidR="00272CDA" w:rsidRPr="1E59D36B">
        <w:rPr>
          <w:lang w:val="en-US"/>
        </w:rPr>
        <w:t xml:space="preserve"> several learning points have been </w:t>
      </w:r>
      <w:r w:rsidRPr="1E59D36B">
        <w:rPr>
          <w:lang w:val="en-US"/>
        </w:rPr>
        <w:t xml:space="preserve">identified.  </w:t>
      </w:r>
      <w:r w:rsidR="00003430" w:rsidRPr="1E59D36B">
        <w:rPr>
          <w:lang w:val="en-US"/>
        </w:rPr>
        <w:t>Key highlights from the</w:t>
      </w:r>
      <w:r w:rsidR="00672625" w:rsidRPr="1E59D36B">
        <w:rPr>
          <w:lang w:val="en-US"/>
        </w:rPr>
        <w:t xml:space="preserve"> learning that was </w:t>
      </w:r>
      <w:r w:rsidR="004846AC" w:rsidRPr="1E59D36B">
        <w:rPr>
          <w:b/>
          <w:bCs/>
          <w:lang w:val="en-US"/>
        </w:rPr>
        <w:t>completed</w:t>
      </w:r>
      <w:r w:rsidR="004846AC" w:rsidRPr="1E59D36B">
        <w:rPr>
          <w:lang w:val="en-US"/>
        </w:rPr>
        <w:t xml:space="preserve"> includes:</w:t>
      </w:r>
    </w:p>
    <w:p w14:paraId="2BB6BC76" w14:textId="67E6BC10" w:rsidR="00AA0E43" w:rsidRDefault="00AA0E43" w:rsidP="006D42B7">
      <w:pPr>
        <w:pStyle w:val="Style1"/>
        <w:jc w:val="left"/>
      </w:pPr>
    </w:p>
    <w:p w14:paraId="2B47A088" w14:textId="1E5B3D65" w:rsidR="004846AC" w:rsidRPr="008831D1" w:rsidRDefault="003E2A67" w:rsidP="00B245CD">
      <w:pPr>
        <w:pStyle w:val="ListParagraph"/>
        <w:numPr>
          <w:ilvl w:val="0"/>
          <w:numId w:val="18"/>
        </w:numPr>
        <w:rPr>
          <w:rFonts w:ascii="Arial" w:hAnsi="Arial" w:cs="Arial"/>
          <w:sz w:val="24"/>
          <w:szCs w:val="24"/>
        </w:rPr>
      </w:pPr>
      <w:hyperlink>
        <w:r w:rsidR="001005B7" w:rsidRPr="1E59D36B">
          <w:rPr>
            <w:rStyle w:val="Hyperlink"/>
            <w:rFonts w:ascii="Arial" w:hAnsi="Arial" w:cs="Arial"/>
            <w:color w:val="auto"/>
            <w:sz w:val="24"/>
            <w:szCs w:val="24"/>
            <w:u w:val="none"/>
          </w:rPr>
          <w:t>K</w:t>
        </w:r>
        <w:r w:rsidR="003F0D92" w:rsidRPr="1E59D36B">
          <w:rPr>
            <w:rStyle w:val="Hyperlink"/>
            <w:rFonts w:ascii="Arial" w:hAnsi="Arial" w:cs="Arial"/>
            <w:color w:val="auto"/>
            <w:sz w:val="24"/>
            <w:szCs w:val="24"/>
            <w:u w:val="none"/>
          </w:rPr>
          <w:t>nowledge of the safe medication administration guidelines and policies</w:t>
        </w:r>
      </w:hyperlink>
      <w:r w:rsidR="001005B7" w:rsidRPr="1E59D36B">
        <w:rPr>
          <w:rFonts w:ascii="Arial" w:hAnsi="Arial" w:cs="Arial"/>
          <w:sz w:val="24"/>
          <w:szCs w:val="24"/>
        </w:rPr>
        <w:t xml:space="preserve"> has been highlighted for refresher training with all teams.</w:t>
      </w:r>
    </w:p>
    <w:p w14:paraId="19778C81" w14:textId="4CBFB8D6" w:rsidR="003F0D92" w:rsidRPr="008831D1" w:rsidRDefault="003E2A67" w:rsidP="00BC33C0">
      <w:pPr>
        <w:pStyle w:val="ListParagraph"/>
        <w:numPr>
          <w:ilvl w:val="0"/>
          <w:numId w:val="18"/>
        </w:numPr>
        <w:rPr>
          <w:rFonts w:ascii="Arial" w:hAnsi="Arial" w:cs="Arial"/>
          <w:sz w:val="24"/>
          <w:szCs w:val="24"/>
        </w:rPr>
      </w:pPr>
      <w:hyperlink>
        <w:r w:rsidR="003F0D92" w:rsidRPr="1E59D36B">
          <w:rPr>
            <w:rStyle w:val="Hyperlink"/>
            <w:rFonts w:ascii="Arial" w:hAnsi="Arial" w:cs="Arial"/>
            <w:color w:val="auto"/>
            <w:sz w:val="24"/>
            <w:szCs w:val="24"/>
            <w:u w:val="none"/>
          </w:rPr>
          <w:t>Staff to have a documentation pause when a patien</w:t>
        </w:r>
        <w:r w:rsidR="001005B7" w:rsidRPr="1E59D36B">
          <w:rPr>
            <w:rStyle w:val="Hyperlink"/>
            <w:rFonts w:ascii="Arial" w:hAnsi="Arial" w:cs="Arial"/>
            <w:color w:val="auto"/>
            <w:sz w:val="24"/>
            <w:szCs w:val="24"/>
            <w:u w:val="none"/>
          </w:rPr>
          <w:t>t is being transferred between wards</w:t>
        </w:r>
        <w:r w:rsidR="003F0D92" w:rsidRPr="1E59D36B">
          <w:rPr>
            <w:rStyle w:val="Hyperlink"/>
            <w:rFonts w:ascii="Arial" w:hAnsi="Arial" w:cs="Arial"/>
            <w:color w:val="auto"/>
            <w:sz w:val="24"/>
            <w:szCs w:val="24"/>
            <w:u w:val="none"/>
          </w:rPr>
          <w:t>.</w:t>
        </w:r>
      </w:hyperlink>
    </w:p>
    <w:p w14:paraId="168E9535" w14:textId="7520A502" w:rsidR="003F0D92" w:rsidRPr="008831D1" w:rsidRDefault="003F0D92">
      <w:pPr>
        <w:pStyle w:val="ListParagraph"/>
        <w:numPr>
          <w:ilvl w:val="0"/>
          <w:numId w:val="18"/>
        </w:numPr>
        <w:rPr>
          <w:rFonts w:ascii="Arial" w:hAnsi="Arial" w:cs="Arial"/>
          <w:sz w:val="24"/>
          <w:szCs w:val="24"/>
        </w:rPr>
      </w:pPr>
      <w:r w:rsidRPr="008831D1">
        <w:rPr>
          <w:rFonts w:ascii="Arial" w:hAnsi="Arial" w:cs="Arial"/>
          <w:sz w:val="24"/>
          <w:szCs w:val="24"/>
        </w:rPr>
        <w:t>Inpatient fall</w:t>
      </w:r>
      <w:r w:rsidR="001005B7" w:rsidRPr="008831D1">
        <w:rPr>
          <w:rFonts w:ascii="Arial" w:hAnsi="Arial" w:cs="Arial"/>
          <w:sz w:val="24"/>
          <w:szCs w:val="24"/>
        </w:rPr>
        <w:t xml:space="preserve">s section of Falls Bundle will </w:t>
      </w:r>
      <w:r w:rsidRPr="008831D1">
        <w:rPr>
          <w:rFonts w:ascii="Arial" w:hAnsi="Arial" w:cs="Arial"/>
          <w:sz w:val="24"/>
          <w:szCs w:val="24"/>
        </w:rPr>
        <w:t>be completed to ensure information can be crosschecked with falls bundle assessment and care plans.</w:t>
      </w:r>
    </w:p>
    <w:p w14:paraId="7456AE6C" w14:textId="5B9D1077" w:rsidR="001005B7" w:rsidRPr="008831D1" w:rsidRDefault="001005B7">
      <w:pPr>
        <w:pStyle w:val="ListParagraph"/>
        <w:numPr>
          <w:ilvl w:val="0"/>
          <w:numId w:val="18"/>
        </w:numPr>
        <w:rPr>
          <w:rFonts w:ascii="Arial" w:hAnsi="Arial" w:cs="Arial"/>
          <w:sz w:val="24"/>
          <w:szCs w:val="24"/>
        </w:rPr>
      </w:pPr>
      <w:r w:rsidRPr="1E59D36B">
        <w:rPr>
          <w:rFonts w:ascii="Arial" w:hAnsi="Arial" w:cs="Arial"/>
          <w:sz w:val="24"/>
          <w:szCs w:val="24"/>
        </w:rPr>
        <w:t xml:space="preserve">The importance of documenting </w:t>
      </w:r>
      <w:hyperlink>
        <w:r w:rsidRPr="1E59D36B">
          <w:rPr>
            <w:rStyle w:val="Hyperlink"/>
            <w:rFonts w:ascii="Arial" w:hAnsi="Arial" w:cs="Arial"/>
            <w:color w:val="auto"/>
            <w:sz w:val="24"/>
            <w:szCs w:val="24"/>
            <w:u w:val="none"/>
          </w:rPr>
          <w:t xml:space="preserve">doses ‘not given’ was </w:t>
        </w:r>
        <w:r w:rsidR="00234CA5">
          <w:rPr>
            <w:rStyle w:val="Hyperlink"/>
            <w:rFonts w:ascii="Arial" w:hAnsi="Arial" w:cs="Arial"/>
            <w:color w:val="auto"/>
            <w:sz w:val="24"/>
            <w:szCs w:val="24"/>
            <w:u w:val="none"/>
          </w:rPr>
          <w:t>communicated</w:t>
        </w:r>
        <w:r w:rsidRPr="1E59D36B">
          <w:rPr>
            <w:rStyle w:val="Hyperlink"/>
            <w:rFonts w:ascii="Arial" w:hAnsi="Arial" w:cs="Arial"/>
            <w:color w:val="auto"/>
            <w:sz w:val="24"/>
            <w:szCs w:val="24"/>
            <w:u w:val="none"/>
          </w:rPr>
          <w:t xml:space="preserve"> to all staff.</w:t>
        </w:r>
      </w:hyperlink>
    </w:p>
    <w:p w14:paraId="6090629E" w14:textId="77777777" w:rsidR="004846AC" w:rsidRPr="008831D1" w:rsidRDefault="004846AC" w:rsidP="006D42B7">
      <w:pPr>
        <w:pStyle w:val="Style1"/>
        <w:jc w:val="left"/>
      </w:pPr>
    </w:p>
    <w:p w14:paraId="1E2433AC" w14:textId="16E6217B" w:rsidR="00EE2490" w:rsidRPr="008831D1" w:rsidRDefault="00EE2490" w:rsidP="006D42B7">
      <w:pPr>
        <w:pStyle w:val="Style1"/>
        <w:jc w:val="left"/>
      </w:pPr>
      <w:r w:rsidRPr="1E59D36B">
        <w:t xml:space="preserve">Some of </w:t>
      </w:r>
      <w:r w:rsidR="00B668FF" w:rsidRPr="1E59D36B">
        <w:t xml:space="preserve">the </w:t>
      </w:r>
      <w:r w:rsidRPr="1E59D36B">
        <w:t xml:space="preserve">learning </w:t>
      </w:r>
      <w:r w:rsidR="00B668FF" w:rsidRPr="1E59D36B">
        <w:t xml:space="preserve">outstanding </w:t>
      </w:r>
      <w:r w:rsidR="00822D12" w:rsidRPr="1E59D36B">
        <w:rPr>
          <w:b/>
          <w:bCs/>
        </w:rPr>
        <w:t>to be</w:t>
      </w:r>
      <w:r w:rsidRPr="1E59D36B">
        <w:rPr>
          <w:b/>
          <w:bCs/>
        </w:rPr>
        <w:t xml:space="preserve"> </w:t>
      </w:r>
      <w:r w:rsidR="00013F04" w:rsidRPr="1E59D36B">
        <w:rPr>
          <w:b/>
          <w:bCs/>
        </w:rPr>
        <w:t xml:space="preserve">actioned/ </w:t>
      </w:r>
      <w:r w:rsidRPr="1E59D36B">
        <w:rPr>
          <w:b/>
          <w:bCs/>
        </w:rPr>
        <w:t>implemented</w:t>
      </w:r>
      <w:r w:rsidRPr="1E59D36B">
        <w:t xml:space="preserve"> includes:</w:t>
      </w:r>
    </w:p>
    <w:p w14:paraId="189492ED" w14:textId="1AB37544" w:rsidR="001005B7" w:rsidRPr="008831D1" w:rsidRDefault="001005B7" w:rsidP="006D42B7">
      <w:pPr>
        <w:pStyle w:val="Style1"/>
        <w:jc w:val="left"/>
      </w:pPr>
    </w:p>
    <w:p w14:paraId="71A684CC" w14:textId="39D57BC6" w:rsidR="001005B7" w:rsidRPr="008831D1" w:rsidRDefault="003E2A67" w:rsidP="00B245CD">
      <w:pPr>
        <w:pStyle w:val="ListParagraph"/>
        <w:numPr>
          <w:ilvl w:val="0"/>
          <w:numId w:val="19"/>
        </w:numPr>
        <w:rPr>
          <w:rFonts w:ascii="Arial" w:hAnsi="Arial" w:cs="Arial"/>
          <w:sz w:val="24"/>
          <w:szCs w:val="24"/>
        </w:rPr>
      </w:pPr>
      <w:hyperlink>
        <w:r w:rsidR="001005B7" w:rsidRPr="1E59D36B">
          <w:rPr>
            <w:rStyle w:val="Hyperlink"/>
            <w:rFonts w:ascii="Arial" w:hAnsi="Arial" w:cs="Arial"/>
            <w:color w:val="auto"/>
            <w:sz w:val="24"/>
            <w:szCs w:val="24"/>
            <w:u w:val="none"/>
          </w:rPr>
          <w:t>Increase Staff awareness by way of further education on the Safe Use of Bedrails Guideline / Risk Assessment and requirement to document patient conversation and verbal consent to use.</w:t>
        </w:r>
      </w:hyperlink>
    </w:p>
    <w:p w14:paraId="321F9276" w14:textId="38A6B446" w:rsidR="001005B7" w:rsidRPr="008831D1" w:rsidRDefault="003E2A67" w:rsidP="00BC33C0">
      <w:pPr>
        <w:pStyle w:val="ListParagraph"/>
        <w:numPr>
          <w:ilvl w:val="0"/>
          <w:numId w:val="19"/>
        </w:numPr>
        <w:rPr>
          <w:rFonts w:ascii="Arial" w:hAnsi="Arial" w:cs="Arial"/>
          <w:sz w:val="24"/>
          <w:szCs w:val="24"/>
        </w:rPr>
      </w:pPr>
      <w:hyperlink>
        <w:r w:rsidR="001005B7" w:rsidRPr="1E59D36B">
          <w:rPr>
            <w:rStyle w:val="Hyperlink"/>
            <w:rFonts w:ascii="Arial" w:hAnsi="Arial" w:cs="Arial"/>
            <w:color w:val="auto"/>
            <w:sz w:val="24"/>
            <w:szCs w:val="24"/>
            <w:u w:val="none"/>
          </w:rPr>
          <w:t xml:space="preserve">Departmental education to review the diagnostic spectra of aortic valve disease with particular focus of low flow, low gradient aortic valve disease especially in the setting of multi-valve disease. </w:t>
        </w:r>
      </w:hyperlink>
    </w:p>
    <w:p w14:paraId="6E5EA84F" w14:textId="1FE0F648" w:rsidR="001005B7" w:rsidRPr="008831D1" w:rsidRDefault="003B0049">
      <w:pPr>
        <w:pStyle w:val="ListParagraph"/>
        <w:numPr>
          <w:ilvl w:val="0"/>
          <w:numId w:val="19"/>
        </w:numPr>
        <w:rPr>
          <w:rFonts w:ascii="Arial" w:hAnsi="Arial" w:cs="Arial"/>
          <w:sz w:val="24"/>
          <w:szCs w:val="24"/>
        </w:rPr>
      </w:pPr>
      <w:hyperlink>
        <w:r w:rsidR="001005B7" w:rsidRPr="1E59D36B">
          <w:rPr>
            <w:rStyle w:val="Hyperlink"/>
            <w:rFonts w:ascii="Arial" w:hAnsi="Arial" w:cs="Arial"/>
            <w:color w:val="auto"/>
            <w:sz w:val="24"/>
            <w:szCs w:val="24"/>
            <w:u w:val="none"/>
          </w:rPr>
          <w:t>All Thoracic patients to have an eForm to ensure effective patient care is established.</w:t>
        </w:r>
      </w:hyperlink>
    </w:p>
    <w:p w14:paraId="6DDF1304" w14:textId="3576F5E3" w:rsidR="00E4726D" w:rsidRPr="008831D1" w:rsidRDefault="003B0049">
      <w:pPr>
        <w:pStyle w:val="ListParagraph"/>
        <w:numPr>
          <w:ilvl w:val="0"/>
          <w:numId w:val="19"/>
        </w:numPr>
        <w:rPr>
          <w:rFonts w:ascii="Arial" w:hAnsi="Arial" w:cs="Arial"/>
          <w:sz w:val="24"/>
          <w:szCs w:val="24"/>
        </w:rPr>
      </w:pPr>
      <w:hyperlink>
        <w:r w:rsidR="001005B7" w:rsidRPr="1E59D36B">
          <w:rPr>
            <w:rStyle w:val="Hyperlink"/>
            <w:rFonts w:ascii="Arial" w:hAnsi="Arial" w:cs="Arial"/>
            <w:color w:val="auto"/>
            <w:sz w:val="24"/>
            <w:szCs w:val="24"/>
            <w:u w:val="none"/>
          </w:rPr>
          <w:t>Cardiac Physiology to review process to communicate urgent and unexpected findings to referrers.</w:t>
        </w:r>
      </w:hyperlink>
    </w:p>
    <w:p w14:paraId="21E4D125" w14:textId="77777777" w:rsidR="00B672AD" w:rsidRPr="00E55781" w:rsidRDefault="00B672AD" w:rsidP="006D42B7">
      <w:pPr>
        <w:pStyle w:val="Style1"/>
        <w:jc w:val="left"/>
      </w:pPr>
    </w:p>
    <w:p w14:paraId="62383B5A" w14:textId="762CF160" w:rsidR="00B672AD" w:rsidRPr="00E55781" w:rsidRDefault="00B672AD" w:rsidP="006D42B7">
      <w:pPr>
        <w:pStyle w:val="Style1"/>
        <w:jc w:val="left"/>
        <w:rPr>
          <w:lang w:val="en-US"/>
        </w:rPr>
      </w:pPr>
      <w:r w:rsidRPr="1E59D36B">
        <w:rPr>
          <w:lang w:val="en-US"/>
        </w:rPr>
        <w:t>The implementation of learning</w:t>
      </w:r>
      <w:r w:rsidR="00B668FF" w:rsidRPr="1E59D36B">
        <w:rPr>
          <w:lang w:val="en-US"/>
        </w:rPr>
        <w:t xml:space="preserve"> and actions</w:t>
      </w:r>
      <w:r w:rsidRPr="1E59D36B">
        <w:rPr>
          <w:lang w:val="en-US"/>
        </w:rPr>
        <w:t xml:space="preserve"> from SAER’s has also been a challenge and the Clinical Governance team have been working closely with the Division</w:t>
      </w:r>
      <w:r w:rsidR="00672625" w:rsidRPr="1E59D36B">
        <w:rPr>
          <w:lang w:val="en-US"/>
        </w:rPr>
        <w:t>al</w:t>
      </w:r>
      <w:r w:rsidRPr="1E59D36B">
        <w:rPr>
          <w:lang w:val="en-US"/>
        </w:rPr>
        <w:t xml:space="preserve"> Management Teams and services to </w:t>
      </w:r>
      <w:r w:rsidR="00672625" w:rsidRPr="1E59D36B">
        <w:rPr>
          <w:lang w:val="en-US"/>
        </w:rPr>
        <w:t xml:space="preserve">support the timely </w:t>
      </w:r>
      <w:r w:rsidRPr="1E59D36B">
        <w:rPr>
          <w:lang w:val="en-US"/>
        </w:rPr>
        <w:t xml:space="preserve">progress </w:t>
      </w:r>
      <w:r w:rsidR="00672625" w:rsidRPr="1E59D36B">
        <w:rPr>
          <w:lang w:val="en-US"/>
        </w:rPr>
        <w:t>of action points.</w:t>
      </w:r>
    </w:p>
    <w:p w14:paraId="2249CD67" w14:textId="77777777" w:rsidR="00255FBF" w:rsidRPr="00E55781" w:rsidRDefault="00255FBF" w:rsidP="006D42B7">
      <w:pPr>
        <w:rPr>
          <w:rFonts w:ascii="Arial" w:hAnsi="Arial" w:cs="Arial"/>
          <w:color w:val="FF0000"/>
        </w:rPr>
      </w:pPr>
    </w:p>
    <w:p w14:paraId="0459BCDE" w14:textId="77777777" w:rsidR="00EE2490" w:rsidRPr="00E55781" w:rsidRDefault="00EE2490" w:rsidP="00B245CD">
      <w:pPr>
        <w:pStyle w:val="Heading3"/>
        <w:ind w:left="426"/>
        <w:rPr>
          <w:sz w:val="24"/>
          <w:szCs w:val="24"/>
        </w:rPr>
      </w:pPr>
      <w:bookmarkStart w:id="32" w:name="_Toc169451067"/>
      <w:r w:rsidRPr="1E59D36B">
        <w:rPr>
          <w:sz w:val="24"/>
          <w:szCs w:val="24"/>
        </w:rPr>
        <w:t>Conclusion</w:t>
      </w:r>
      <w:bookmarkEnd w:id="32"/>
    </w:p>
    <w:p w14:paraId="01AF38F7" w14:textId="77777777" w:rsidR="00EE2490" w:rsidRPr="00E55781" w:rsidRDefault="00EE2490" w:rsidP="006D42B7">
      <w:pPr>
        <w:rPr>
          <w:rFonts w:ascii="Arial" w:hAnsi="Arial" w:cs="Arial"/>
        </w:rPr>
      </w:pPr>
    </w:p>
    <w:p w14:paraId="3A290491" w14:textId="49F5E9FE" w:rsidR="008156BB" w:rsidRPr="00E55781" w:rsidRDefault="00A34B1D" w:rsidP="006D42B7">
      <w:pPr>
        <w:pStyle w:val="Style1"/>
        <w:jc w:val="left"/>
        <w:rPr>
          <w:lang w:val="en-US"/>
        </w:rPr>
      </w:pPr>
      <w:r w:rsidRPr="1E59D36B">
        <w:rPr>
          <w:lang w:val="en-US"/>
        </w:rPr>
        <w:t xml:space="preserve">This is the </w:t>
      </w:r>
      <w:r w:rsidR="00351A95">
        <w:rPr>
          <w:lang w:val="en-US"/>
        </w:rPr>
        <w:t>seventh</w:t>
      </w:r>
      <w:r w:rsidR="00EE2490" w:rsidRPr="1E59D36B">
        <w:rPr>
          <w:lang w:val="en-US"/>
        </w:rPr>
        <w:t xml:space="preserve"> year of the DoC being in operation</w:t>
      </w:r>
      <w:r w:rsidR="00BA529F" w:rsidRPr="1E59D36B">
        <w:rPr>
          <w:lang w:val="en-US"/>
        </w:rPr>
        <w:t xml:space="preserve">. </w:t>
      </w:r>
      <w:r w:rsidRPr="1E59D36B">
        <w:rPr>
          <w:lang w:val="en-US"/>
        </w:rPr>
        <w:t>The organi</w:t>
      </w:r>
      <w:r w:rsidR="008156BB" w:rsidRPr="1E59D36B">
        <w:rPr>
          <w:lang w:val="en-US"/>
        </w:rPr>
        <w:t>s</w:t>
      </w:r>
      <w:r w:rsidRPr="1E59D36B">
        <w:rPr>
          <w:lang w:val="en-US"/>
        </w:rPr>
        <w:t xml:space="preserve">ation continues to learn and refine processes to ensure adherence to the </w:t>
      </w:r>
      <w:r w:rsidR="00EE2490" w:rsidRPr="1E59D36B">
        <w:rPr>
          <w:lang w:val="en-US"/>
        </w:rPr>
        <w:t xml:space="preserve">DoC </w:t>
      </w:r>
      <w:r w:rsidRPr="1E59D36B">
        <w:rPr>
          <w:lang w:val="en-US"/>
        </w:rPr>
        <w:t>process</w:t>
      </w:r>
      <w:r w:rsidR="00EE2490" w:rsidRPr="1E59D36B">
        <w:rPr>
          <w:lang w:val="en-US"/>
        </w:rPr>
        <w:t xml:space="preserve">.  </w:t>
      </w:r>
    </w:p>
    <w:p w14:paraId="52A1084B" w14:textId="77777777" w:rsidR="008156BB" w:rsidRPr="00E55781" w:rsidRDefault="008156BB" w:rsidP="006D42B7">
      <w:pPr>
        <w:pStyle w:val="Style1"/>
        <w:jc w:val="left"/>
      </w:pPr>
    </w:p>
    <w:p w14:paraId="40A8EB24" w14:textId="4FBB9880" w:rsidR="00120A5E" w:rsidRDefault="008156BB" w:rsidP="006D42B7">
      <w:pPr>
        <w:pStyle w:val="Style1"/>
        <w:jc w:val="left"/>
        <w:rPr>
          <w:lang w:val="en-US"/>
        </w:rPr>
      </w:pPr>
      <w:r w:rsidRPr="1E59D36B">
        <w:rPr>
          <w:lang w:val="en-US"/>
        </w:rPr>
        <w:t>This</w:t>
      </w:r>
      <w:r w:rsidR="00272CDA" w:rsidRPr="1E59D36B">
        <w:rPr>
          <w:lang w:val="en-US"/>
        </w:rPr>
        <w:t xml:space="preserve"> report will be cascaded</w:t>
      </w:r>
      <w:r w:rsidR="00EE2490" w:rsidRPr="1E59D36B">
        <w:rPr>
          <w:lang w:val="en-US"/>
        </w:rPr>
        <w:t xml:space="preserve"> via the Clinical Governance reporting structure for int</w:t>
      </w:r>
      <w:r w:rsidR="00272CDA" w:rsidRPr="1E59D36B">
        <w:rPr>
          <w:lang w:val="en-US"/>
        </w:rPr>
        <w:t>ernal information and</w:t>
      </w:r>
      <w:r w:rsidR="00EE2490" w:rsidRPr="1E59D36B">
        <w:rPr>
          <w:lang w:val="en-US"/>
        </w:rPr>
        <w:t xml:space="preserve"> published on our public websi</w:t>
      </w:r>
      <w:r w:rsidR="00B807FF" w:rsidRPr="1E59D36B">
        <w:rPr>
          <w:lang w:val="en-US"/>
        </w:rPr>
        <w:t xml:space="preserve">te as per the DoC legislation. </w:t>
      </w:r>
      <w:r w:rsidR="00EE2490" w:rsidRPr="1E59D36B">
        <w:rPr>
          <w:lang w:val="en-US"/>
        </w:rPr>
        <w:t>The S</w:t>
      </w:r>
      <w:r w:rsidR="00272CDA" w:rsidRPr="1E59D36B">
        <w:rPr>
          <w:lang w:val="en-US"/>
        </w:rPr>
        <w:t xml:space="preserve">cottish Government are </w:t>
      </w:r>
      <w:r w:rsidR="00EE2490" w:rsidRPr="1E59D36B">
        <w:rPr>
          <w:lang w:val="en-US"/>
        </w:rPr>
        <w:t xml:space="preserve">aware of the publication of this report and we </w:t>
      </w:r>
      <w:r w:rsidR="00272CDA" w:rsidRPr="1E59D36B">
        <w:rPr>
          <w:lang w:val="en-US"/>
        </w:rPr>
        <w:t>acknowledge</w:t>
      </w:r>
      <w:r w:rsidR="00EE2490" w:rsidRPr="1E59D36B">
        <w:rPr>
          <w:lang w:val="en-US"/>
        </w:rPr>
        <w:t xml:space="preserve"> that they may, for the purposes of compliance with the DoC provision, request information regarding the content of this report.</w:t>
      </w:r>
    </w:p>
    <w:p w14:paraId="685DFF42" w14:textId="3FD5BBEE" w:rsidR="00003430" w:rsidRDefault="00003430" w:rsidP="006D42B7">
      <w:pPr>
        <w:pStyle w:val="Style1"/>
        <w:ind w:left="0"/>
        <w:jc w:val="left"/>
      </w:pPr>
    </w:p>
    <w:p w14:paraId="2033DD8B" w14:textId="77777777" w:rsidR="005C2A43" w:rsidRPr="00166EBC" w:rsidRDefault="005C2A43" w:rsidP="1E59D36B">
      <w:pPr>
        <w:pStyle w:val="Style1"/>
      </w:pPr>
    </w:p>
    <w:p w14:paraId="012CEE49" w14:textId="293631C2" w:rsidR="1E59D36B" w:rsidRDefault="1E59D36B">
      <w:r>
        <w:br w:type="page"/>
      </w:r>
    </w:p>
    <w:p w14:paraId="2B519201" w14:textId="77777777" w:rsidR="00EE2490" w:rsidRPr="00E55781" w:rsidRDefault="001A1CA6" w:rsidP="1E59D36B">
      <w:pPr>
        <w:pStyle w:val="Heading1"/>
        <w:rPr>
          <w:sz w:val="24"/>
        </w:rPr>
      </w:pPr>
      <w:bookmarkStart w:id="33" w:name="_Toc169451068"/>
      <w:r w:rsidRPr="1E59D36B">
        <w:rPr>
          <w:sz w:val="24"/>
        </w:rPr>
        <w:lastRenderedPageBreak/>
        <w:t>Ap</w:t>
      </w:r>
      <w:r w:rsidR="00EE2490" w:rsidRPr="1E59D36B">
        <w:rPr>
          <w:sz w:val="24"/>
        </w:rPr>
        <w:t>pendix 1 – DoC Criteria</w:t>
      </w:r>
      <w:bookmarkEnd w:id="33"/>
      <w:r w:rsidR="00EE2490" w:rsidRPr="1E59D36B">
        <w:rPr>
          <w:sz w:val="24"/>
        </w:rPr>
        <w:t xml:space="preserve"> </w:t>
      </w:r>
    </w:p>
    <w:p w14:paraId="735B069A" w14:textId="77777777" w:rsidR="00EE2490" w:rsidRPr="00E55781" w:rsidRDefault="00EE2490" w:rsidP="00EE2490">
      <w:pPr>
        <w:autoSpaceDE w:val="0"/>
        <w:autoSpaceDN w:val="0"/>
        <w:adjustRightInd w:val="0"/>
        <w:rPr>
          <w:rFonts w:ascii="Arial" w:hAnsi="Arial" w:cs="Arial"/>
          <w:lang w:val="en-GB" w:eastAsia="en-GB"/>
        </w:rPr>
      </w:pPr>
    </w:p>
    <w:p w14:paraId="061944C6" w14:textId="77777777" w:rsidR="00EE2490" w:rsidRPr="00E55781" w:rsidRDefault="00EE2490" w:rsidP="005631A8">
      <w:pPr>
        <w:autoSpaceDE w:val="0"/>
        <w:autoSpaceDN w:val="0"/>
        <w:adjustRightInd w:val="0"/>
        <w:spacing w:after="40" w:line="261" w:lineRule="atLeast"/>
        <w:rPr>
          <w:rFonts w:ascii="Arial" w:hAnsi="Arial" w:cs="Arial"/>
          <w:lang w:val="en-GB" w:eastAsia="en-GB"/>
        </w:rPr>
      </w:pPr>
      <w:r w:rsidRPr="00E55781">
        <w:rPr>
          <w:rFonts w:ascii="Arial" w:hAnsi="Arial" w:cs="Arial"/>
          <w:b/>
          <w:bCs/>
          <w:lang w:val="en-GB" w:eastAsia="en-GB"/>
        </w:rPr>
        <w:t>Incident which activates the duty:</w:t>
      </w:r>
    </w:p>
    <w:p w14:paraId="1270191A" w14:textId="77777777" w:rsidR="00EE2490" w:rsidRPr="00E55781" w:rsidRDefault="00EE2490" w:rsidP="00BA529F">
      <w:pPr>
        <w:autoSpaceDE w:val="0"/>
        <w:autoSpaceDN w:val="0"/>
        <w:adjustRightInd w:val="0"/>
        <w:spacing w:after="40" w:line="221" w:lineRule="atLeast"/>
        <w:jc w:val="both"/>
        <w:rPr>
          <w:rFonts w:ascii="Arial" w:hAnsi="Arial" w:cs="Arial"/>
          <w:lang w:val="en-GB" w:eastAsia="en-GB"/>
        </w:rPr>
      </w:pPr>
      <w:r w:rsidRPr="00E55781">
        <w:rPr>
          <w:rFonts w:ascii="Arial" w:hAnsi="Arial" w:cs="Arial"/>
          <w:lang w:val="en-GB" w:eastAsia="en-GB"/>
        </w:rPr>
        <w:t>The DoC procedure must be carried out by the responsible person as soon as practicable after becoming aware that an individual who has received a health, social care or social work service has been the subject of an unintended or unexpected incident, and in the reasonable opinion of a registered health professional has resulted in or could result in:</w:t>
      </w:r>
    </w:p>
    <w:p w14:paraId="717FC49F" w14:textId="77777777" w:rsidR="00EE2490" w:rsidRPr="00E55781" w:rsidRDefault="00EE2490" w:rsidP="00BA529F">
      <w:pPr>
        <w:autoSpaceDE w:val="0"/>
        <w:autoSpaceDN w:val="0"/>
        <w:adjustRightInd w:val="0"/>
        <w:spacing w:after="40" w:line="221" w:lineRule="atLeast"/>
        <w:jc w:val="both"/>
        <w:rPr>
          <w:rFonts w:ascii="Arial" w:hAnsi="Arial" w:cs="Arial"/>
          <w:lang w:val="en-GB" w:eastAsia="en-GB"/>
        </w:rPr>
      </w:pPr>
    </w:p>
    <w:p w14:paraId="4DA70138" w14:textId="77777777" w:rsidR="00EE2490" w:rsidRPr="00E55781" w:rsidRDefault="00EE2490" w:rsidP="00842CED">
      <w:pPr>
        <w:numPr>
          <w:ilvl w:val="0"/>
          <w:numId w:val="2"/>
        </w:numPr>
        <w:autoSpaceDE w:val="0"/>
        <w:autoSpaceDN w:val="0"/>
        <w:adjustRightInd w:val="0"/>
        <w:ind w:left="360"/>
        <w:jc w:val="both"/>
        <w:rPr>
          <w:rFonts w:ascii="Arial" w:hAnsi="Arial" w:cs="Arial"/>
          <w:lang w:val="en-GB" w:eastAsia="en-GB"/>
        </w:rPr>
      </w:pPr>
      <w:r w:rsidRPr="00E55781">
        <w:rPr>
          <w:rFonts w:ascii="Arial" w:hAnsi="Arial" w:cs="Arial"/>
          <w:lang w:val="en-GB" w:eastAsia="en-GB"/>
        </w:rPr>
        <w:t xml:space="preserve">death of the person </w:t>
      </w:r>
    </w:p>
    <w:p w14:paraId="1AE6AC1F" w14:textId="77777777" w:rsidR="00EE2490" w:rsidRPr="00E55781" w:rsidRDefault="00EE2490" w:rsidP="00842CED">
      <w:pPr>
        <w:numPr>
          <w:ilvl w:val="0"/>
          <w:numId w:val="2"/>
        </w:numPr>
        <w:autoSpaceDE w:val="0"/>
        <w:autoSpaceDN w:val="0"/>
        <w:adjustRightInd w:val="0"/>
        <w:ind w:left="360"/>
        <w:jc w:val="both"/>
        <w:rPr>
          <w:rFonts w:ascii="Arial" w:hAnsi="Arial" w:cs="Arial"/>
          <w:lang w:val="en-GB" w:eastAsia="en-GB"/>
        </w:rPr>
      </w:pPr>
      <w:r w:rsidRPr="00E55781">
        <w:rPr>
          <w:rFonts w:ascii="Arial" w:hAnsi="Arial" w:cs="Arial"/>
          <w:lang w:val="en-GB" w:eastAsia="en-GB"/>
        </w:rPr>
        <w:t>a permanent lessening of bodily, sensory, motor, physiologic or intellectual functions</w:t>
      </w:r>
    </w:p>
    <w:p w14:paraId="1E65CE85" w14:textId="77777777" w:rsidR="00EE2490" w:rsidRPr="00E55781" w:rsidRDefault="00EE2490" w:rsidP="00842CED">
      <w:pPr>
        <w:numPr>
          <w:ilvl w:val="0"/>
          <w:numId w:val="2"/>
        </w:numPr>
        <w:autoSpaceDE w:val="0"/>
        <w:autoSpaceDN w:val="0"/>
        <w:adjustRightInd w:val="0"/>
        <w:ind w:left="360"/>
        <w:jc w:val="both"/>
        <w:rPr>
          <w:rFonts w:ascii="Arial" w:hAnsi="Arial" w:cs="Arial"/>
          <w:lang w:val="en-GB" w:eastAsia="en-GB"/>
        </w:rPr>
      </w:pPr>
      <w:r w:rsidRPr="00E55781">
        <w:rPr>
          <w:rFonts w:ascii="Arial" w:hAnsi="Arial" w:cs="Arial"/>
          <w:lang w:val="en-GB" w:eastAsia="en-GB"/>
        </w:rPr>
        <w:t>an increase in the person’s treatment</w:t>
      </w:r>
    </w:p>
    <w:p w14:paraId="42B09311" w14:textId="77777777" w:rsidR="00EE2490" w:rsidRPr="00E55781" w:rsidRDefault="00EE2490" w:rsidP="00842CED">
      <w:pPr>
        <w:numPr>
          <w:ilvl w:val="0"/>
          <w:numId w:val="2"/>
        </w:numPr>
        <w:autoSpaceDE w:val="0"/>
        <w:autoSpaceDN w:val="0"/>
        <w:adjustRightInd w:val="0"/>
        <w:ind w:left="360"/>
        <w:jc w:val="both"/>
        <w:rPr>
          <w:rFonts w:ascii="Arial" w:hAnsi="Arial" w:cs="Arial"/>
          <w:lang w:val="en-GB" w:eastAsia="en-GB"/>
        </w:rPr>
      </w:pPr>
      <w:r w:rsidRPr="00E55781">
        <w:rPr>
          <w:rFonts w:ascii="Arial" w:hAnsi="Arial" w:cs="Arial"/>
          <w:lang w:val="en-GB" w:eastAsia="en-GB"/>
        </w:rPr>
        <w:t>changes to the structure of the person’s body</w:t>
      </w:r>
    </w:p>
    <w:p w14:paraId="0B06C959" w14:textId="77777777" w:rsidR="00EE2490" w:rsidRPr="00E55781" w:rsidRDefault="00EE2490" w:rsidP="00842CED">
      <w:pPr>
        <w:numPr>
          <w:ilvl w:val="0"/>
          <w:numId w:val="2"/>
        </w:numPr>
        <w:autoSpaceDE w:val="0"/>
        <w:autoSpaceDN w:val="0"/>
        <w:adjustRightInd w:val="0"/>
        <w:ind w:left="360"/>
        <w:jc w:val="both"/>
        <w:rPr>
          <w:rFonts w:ascii="Arial" w:hAnsi="Arial" w:cs="Arial"/>
          <w:lang w:val="en-GB" w:eastAsia="en-GB"/>
        </w:rPr>
      </w:pPr>
      <w:r w:rsidRPr="00E55781">
        <w:rPr>
          <w:rFonts w:ascii="Arial" w:hAnsi="Arial" w:cs="Arial"/>
          <w:lang w:val="en-GB" w:eastAsia="en-GB"/>
        </w:rPr>
        <w:t>the shortening of the life expectancy of the person</w:t>
      </w:r>
    </w:p>
    <w:p w14:paraId="1E670A77" w14:textId="77777777" w:rsidR="00EE2490" w:rsidRPr="00E55781" w:rsidRDefault="00EE2490" w:rsidP="00842CED">
      <w:pPr>
        <w:numPr>
          <w:ilvl w:val="0"/>
          <w:numId w:val="2"/>
        </w:numPr>
        <w:autoSpaceDE w:val="0"/>
        <w:autoSpaceDN w:val="0"/>
        <w:adjustRightInd w:val="0"/>
        <w:ind w:left="360"/>
        <w:jc w:val="both"/>
        <w:rPr>
          <w:rFonts w:ascii="Arial" w:hAnsi="Arial" w:cs="Arial"/>
          <w:lang w:val="en-GB" w:eastAsia="en-GB"/>
        </w:rPr>
      </w:pPr>
      <w:r w:rsidRPr="00E55781">
        <w:rPr>
          <w:rFonts w:ascii="Arial" w:hAnsi="Arial" w:cs="Arial"/>
          <w:lang w:val="en-GB" w:eastAsia="en-GB"/>
        </w:rPr>
        <w:t>an impairment of the sensory, motor or intellectual functions of the person which has lasted, or is likely to last, for a continuous period of at least 28 days</w:t>
      </w:r>
    </w:p>
    <w:p w14:paraId="7209345F" w14:textId="77777777" w:rsidR="00EE2490" w:rsidRPr="00E55781" w:rsidRDefault="00EE2490" w:rsidP="00842CED">
      <w:pPr>
        <w:numPr>
          <w:ilvl w:val="0"/>
          <w:numId w:val="2"/>
        </w:numPr>
        <w:autoSpaceDE w:val="0"/>
        <w:autoSpaceDN w:val="0"/>
        <w:adjustRightInd w:val="0"/>
        <w:ind w:left="360"/>
        <w:jc w:val="both"/>
        <w:rPr>
          <w:rFonts w:ascii="Arial" w:hAnsi="Arial" w:cs="Arial"/>
          <w:lang w:val="en-GB" w:eastAsia="en-GB"/>
        </w:rPr>
      </w:pPr>
      <w:r w:rsidRPr="00E55781">
        <w:rPr>
          <w:rFonts w:ascii="Arial" w:hAnsi="Arial" w:cs="Arial"/>
          <w:lang w:val="en-GB" w:eastAsia="en-GB"/>
        </w:rPr>
        <w:t>the person experiencing pain or psychological harm which has been, or is likely to be, experienced by the person for a continuous period of at least 28 days</w:t>
      </w:r>
    </w:p>
    <w:p w14:paraId="662B02BE" w14:textId="77777777" w:rsidR="00EE2490" w:rsidRPr="00E55781" w:rsidRDefault="00EE2490" w:rsidP="00842CED">
      <w:pPr>
        <w:numPr>
          <w:ilvl w:val="0"/>
          <w:numId w:val="2"/>
        </w:numPr>
        <w:autoSpaceDE w:val="0"/>
        <w:autoSpaceDN w:val="0"/>
        <w:adjustRightInd w:val="0"/>
        <w:ind w:left="360"/>
        <w:jc w:val="both"/>
        <w:rPr>
          <w:rFonts w:ascii="Arial" w:hAnsi="Arial" w:cs="Arial"/>
          <w:lang w:val="en-GB" w:eastAsia="en-GB"/>
        </w:rPr>
      </w:pPr>
      <w:r w:rsidRPr="00E55781">
        <w:rPr>
          <w:rFonts w:ascii="Arial" w:hAnsi="Arial" w:cs="Arial"/>
          <w:lang w:val="en-GB" w:eastAsia="en-GB"/>
        </w:rPr>
        <w:t>the person requiring treatment by a registered health professional in order to prevent –</w:t>
      </w:r>
    </w:p>
    <w:p w14:paraId="1B1511F6" w14:textId="77777777" w:rsidR="00EE2490" w:rsidRPr="00E55781" w:rsidRDefault="00EE2490" w:rsidP="00BA529F">
      <w:pPr>
        <w:autoSpaceDE w:val="0"/>
        <w:autoSpaceDN w:val="0"/>
        <w:adjustRightInd w:val="0"/>
        <w:jc w:val="both"/>
        <w:rPr>
          <w:rFonts w:ascii="Arial" w:hAnsi="Arial" w:cs="Arial"/>
          <w:lang w:val="en-GB" w:eastAsia="en-GB"/>
        </w:rPr>
      </w:pPr>
    </w:p>
    <w:p w14:paraId="125EC32A" w14:textId="77777777" w:rsidR="00EE2490" w:rsidRPr="00E55781" w:rsidRDefault="00EE2490" w:rsidP="00842CED">
      <w:pPr>
        <w:numPr>
          <w:ilvl w:val="1"/>
          <w:numId w:val="2"/>
        </w:numPr>
        <w:autoSpaceDE w:val="0"/>
        <w:autoSpaceDN w:val="0"/>
        <w:adjustRightInd w:val="0"/>
        <w:spacing w:line="221" w:lineRule="atLeast"/>
        <w:jc w:val="both"/>
        <w:rPr>
          <w:rFonts w:ascii="Arial" w:hAnsi="Arial" w:cs="Arial"/>
          <w:lang w:val="en-GB" w:eastAsia="en-GB"/>
        </w:rPr>
      </w:pPr>
      <w:r w:rsidRPr="00E55781">
        <w:rPr>
          <w:rFonts w:ascii="Arial" w:hAnsi="Arial" w:cs="Arial"/>
          <w:lang w:val="en-GB" w:eastAsia="en-GB"/>
        </w:rPr>
        <w:t xml:space="preserve">the death of the person, or </w:t>
      </w:r>
    </w:p>
    <w:p w14:paraId="5871EFF5" w14:textId="77777777" w:rsidR="00EE2490" w:rsidRPr="00E55781" w:rsidRDefault="00EE2490" w:rsidP="00842CED">
      <w:pPr>
        <w:numPr>
          <w:ilvl w:val="1"/>
          <w:numId w:val="2"/>
        </w:numPr>
        <w:jc w:val="both"/>
        <w:rPr>
          <w:rFonts w:ascii="Arial" w:hAnsi="Arial" w:cs="Arial"/>
        </w:rPr>
      </w:pPr>
      <w:r w:rsidRPr="00E55781">
        <w:rPr>
          <w:rFonts w:ascii="Arial" w:hAnsi="Arial" w:cs="Arial"/>
          <w:lang w:val="en-GB" w:eastAsia="en-GB"/>
        </w:rPr>
        <w:t>any injury to the person which, if left untreated, would lead to one or more of the outcomes mentioned above.</w:t>
      </w:r>
    </w:p>
    <w:p w14:paraId="260F71B5" w14:textId="77777777" w:rsidR="00EE2490" w:rsidRPr="00E55781" w:rsidRDefault="00EE2490" w:rsidP="00EE2490">
      <w:pPr>
        <w:rPr>
          <w:rFonts w:ascii="Arial" w:hAnsi="Arial" w:cs="Arial"/>
        </w:rPr>
      </w:pPr>
    </w:p>
    <w:p w14:paraId="7BAAEF3D" w14:textId="5ABDB897" w:rsidR="00EE2490" w:rsidRPr="00E55781" w:rsidRDefault="00EE2490" w:rsidP="00EE2490">
      <w:pPr>
        <w:rPr>
          <w:rFonts w:ascii="Arial" w:hAnsi="Arial" w:cs="Arial"/>
          <w:color w:val="FF0000"/>
        </w:rPr>
        <w:sectPr w:rsidR="00EE2490" w:rsidRPr="00E55781" w:rsidSect="00831011">
          <w:headerReference w:type="default" r:id="rId12"/>
          <w:footerReference w:type="default" r:id="rId13"/>
          <w:pgSz w:w="12240" w:h="15840"/>
          <w:pgMar w:top="851" w:right="851" w:bottom="851" w:left="720" w:header="709" w:footer="352" w:gutter="0"/>
          <w:cols w:space="708"/>
          <w:docGrid w:linePitch="360"/>
        </w:sectPr>
      </w:pPr>
    </w:p>
    <w:p w14:paraId="6ECB686F" w14:textId="77777777" w:rsidR="008831D1" w:rsidRDefault="008831D1" w:rsidP="008831D1">
      <w:pPr>
        <w:pStyle w:val="CommentText"/>
      </w:pPr>
    </w:p>
    <w:p w14:paraId="67A8E454" w14:textId="77777777" w:rsidR="00EE2490" w:rsidRPr="00E55781" w:rsidRDefault="00EE2490" w:rsidP="00EE2490">
      <w:pPr>
        <w:rPr>
          <w:rFonts w:ascii="Arial" w:hAnsi="Arial" w:cs="Arial"/>
          <w:color w:val="FF0000"/>
        </w:rPr>
      </w:pPr>
    </w:p>
    <w:p w14:paraId="554C5D61" w14:textId="5779A913" w:rsidR="00EE2490" w:rsidRDefault="00EE2490" w:rsidP="1E59D36B">
      <w:pPr>
        <w:pStyle w:val="Heading1"/>
        <w:rPr>
          <w:sz w:val="24"/>
          <w:u w:val="single"/>
        </w:rPr>
      </w:pPr>
      <w:bookmarkStart w:id="34" w:name="_Toc169451069"/>
      <w:r w:rsidRPr="1E59D36B">
        <w:rPr>
          <w:sz w:val="24"/>
        </w:rPr>
        <w:t>Appendix 2</w:t>
      </w:r>
      <w:r w:rsidR="00453C38" w:rsidRPr="1E59D36B">
        <w:rPr>
          <w:sz w:val="24"/>
        </w:rPr>
        <w:t xml:space="preserve"> – Events that triggered DoC</w:t>
      </w:r>
      <w:r w:rsidR="00120A5E" w:rsidRPr="1E59D36B">
        <w:rPr>
          <w:sz w:val="24"/>
        </w:rPr>
        <w:t xml:space="preserve"> **</w:t>
      </w:r>
      <w:r w:rsidR="00272CDA" w:rsidRPr="1E59D36B">
        <w:rPr>
          <w:sz w:val="24"/>
          <w:u w:val="single"/>
        </w:rPr>
        <w:t>NOT</w:t>
      </w:r>
      <w:r w:rsidR="00120A5E" w:rsidRPr="1E59D36B">
        <w:rPr>
          <w:sz w:val="24"/>
          <w:u w:val="single"/>
        </w:rPr>
        <w:t xml:space="preserve"> for external publication**</w:t>
      </w:r>
      <w:bookmarkEnd w:id="34"/>
    </w:p>
    <w:p w14:paraId="71582C6B" w14:textId="67576D24" w:rsidR="00B36AE6" w:rsidRDefault="00B36AE6" w:rsidP="00B36AE6">
      <w:pPr>
        <w:rPr>
          <w:lang w:val="en-GB"/>
        </w:rPr>
      </w:pPr>
    </w:p>
    <w:tbl>
      <w:tblPr>
        <w:tblW w:w="5000" w:type="pct"/>
        <w:tblLayout w:type="fixed"/>
        <w:tblLook w:val="04A0" w:firstRow="1" w:lastRow="0" w:firstColumn="1" w:lastColumn="0" w:noHBand="0" w:noVBand="1"/>
      </w:tblPr>
      <w:tblGrid>
        <w:gridCol w:w="1330"/>
        <w:gridCol w:w="882"/>
        <w:gridCol w:w="1583"/>
        <w:gridCol w:w="1822"/>
        <w:gridCol w:w="1295"/>
        <w:gridCol w:w="1339"/>
        <w:gridCol w:w="1223"/>
        <w:gridCol w:w="1411"/>
      </w:tblGrid>
      <w:tr w:rsidR="001633A2" w:rsidRPr="00CC1A31" w14:paraId="46E21C14" w14:textId="77777777" w:rsidTr="5C93D17B">
        <w:trPr>
          <w:trHeight w:val="600"/>
          <w:tblHeader/>
        </w:trPr>
        <w:tc>
          <w:tcPr>
            <w:tcW w:w="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vAlign w:val="bottom"/>
            <w:hideMark/>
          </w:tcPr>
          <w:p w14:paraId="27AE9A43" w14:textId="77777777" w:rsidR="001633A2" w:rsidRPr="00CC1A31" w:rsidRDefault="001633A2">
            <w:pPr>
              <w:rPr>
                <w:rFonts w:ascii="Arial" w:hAnsi="Arial" w:cs="Arial"/>
                <w:color w:val="FFFFFF"/>
                <w:sz w:val="20"/>
                <w:szCs w:val="20"/>
                <w:lang w:val="en-GB" w:eastAsia="en-GB"/>
              </w:rPr>
            </w:pPr>
            <w:r w:rsidRPr="00CC1A31">
              <w:rPr>
                <w:rFonts w:ascii="Arial" w:hAnsi="Arial" w:cs="Arial"/>
                <w:color w:val="FFFFFF"/>
                <w:sz w:val="20"/>
                <w:szCs w:val="20"/>
              </w:rPr>
              <w:t>Division</w:t>
            </w:r>
          </w:p>
        </w:tc>
        <w:tc>
          <w:tcPr>
            <w:tcW w:w="405" w:type="pct"/>
            <w:tcBorders>
              <w:top w:val="single" w:sz="4" w:space="0" w:color="000000" w:themeColor="text1"/>
              <w:left w:val="nil"/>
              <w:bottom w:val="single" w:sz="4" w:space="0" w:color="000000" w:themeColor="text1"/>
              <w:right w:val="single" w:sz="4" w:space="0" w:color="000000" w:themeColor="text1"/>
            </w:tcBorders>
            <w:shd w:val="clear" w:color="auto" w:fill="162D54"/>
            <w:vAlign w:val="bottom"/>
            <w:hideMark/>
          </w:tcPr>
          <w:p w14:paraId="7060BBE0" w14:textId="77777777" w:rsidR="001633A2" w:rsidRPr="00CC1A31" w:rsidRDefault="001633A2">
            <w:pPr>
              <w:rPr>
                <w:rFonts w:ascii="Arial" w:hAnsi="Arial" w:cs="Arial"/>
                <w:color w:val="FFFFFF"/>
                <w:sz w:val="20"/>
                <w:szCs w:val="20"/>
              </w:rPr>
            </w:pPr>
            <w:r w:rsidRPr="00CC1A31">
              <w:rPr>
                <w:rFonts w:ascii="Arial" w:hAnsi="Arial" w:cs="Arial"/>
                <w:color w:val="FFFFFF"/>
                <w:sz w:val="20"/>
                <w:szCs w:val="20"/>
              </w:rPr>
              <w:t>Ref</w:t>
            </w:r>
          </w:p>
        </w:tc>
        <w:tc>
          <w:tcPr>
            <w:tcW w:w="727" w:type="pct"/>
            <w:tcBorders>
              <w:top w:val="single" w:sz="4" w:space="0" w:color="000000" w:themeColor="text1"/>
              <w:left w:val="nil"/>
              <w:bottom w:val="single" w:sz="4" w:space="0" w:color="000000" w:themeColor="text1"/>
              <w:right w:val="single" w:sz="4" w:space="0" w:color="000000" w:themeColor="text1"/>
            </w:tcBorders>
            <w:shd w:val="clear" w:color="auto" w:fill="162D54"/>
            <w:vAlign w:val="bottom"/>
            <w:hideMark/>
          </w:tcPr>
          <w:p w14:paraId="4A1481C7" w14:textId="77777777" w:rsidR="001633A2" w:rsidRPr="00CC1A31" w:rsidRDefault="001633A2">
            <w:pPr>
              <w:rPr>
                <w:rFonts w:ascii="Arial" w:hAnsi="Arial" w:cs="Arial"/>
                <w:color w:val="FFFFFF"/>
                <w:sz w:val="20"/>
                <w:szCs w:val="20"/>
              </w:rPr>
            </w:pPr>
            <w:r w:rsidRPr="00CC1A31">
              <w:rPr>
                <w:rFonts w:ascii="Arial" w:hAnsi="Arial" w:cs="Arial"/>
                <w:color w:val="FFFFFF"/>
                <w:sz w:val="20"/>
                <w:szCs w:val="20"/>
              </w:rPr>
              <w:t>Opened date</w:t>
            </w:r>
          </w:p>
        </w:tc>
        <w:tc>
          <w:tcPr>
            <w:tcW w:w="837" w:type="pct"/>
            <w:tcBorders>
              <w:top w:val="single" w:sz="4" w:space="0" w:color="000000" w:themeColor="text1"/>
              <w:left w:val="nil"/>
              <w:bottom w:val="single" w:sz="4" w:space="0" w:color="000000" w:themeColor="text1"/>
              <w:right w:val="single" w:sz="4" w:space="0" w:color="000000" w:themeColor="text1"/>
            </w:tcBorders>
            <w:shd w:val="clear" w:color="auto" w:fill="162D54"/>
            <w:vAlign w:val="bottom"/>
            <w:hideMark/>
          </w:tcPr>
          <w:p w14:paraId="0FC37D72" w14:textId="77777777" w:rsidR="001633A2" w:rsidRPr="00CC1A31" w:rsidRDefault="001633A2">
            <w:pPr>
              <w:rPr>
                <w:rFonts w:ascii="Arial" w:hAnsi="Arial" w:cs="Arial"/>
                <w:color w:val="FFFFFF"/>
                <w:sz w:val="20"/>
                <w:szCs w:val="20"/>
              </w:rPr>
            </w:pPr>
            <w:r w:rsidRPr="00CC1A31">
              <w:rPr>
                <w:rFonts w:ascii="Arial" w:hAnsi="Arial" w:cs="Arial"/>
                <w:color w:val="FFFFFF"/>
                <w:sz w:val="20"/>
                <w:szCs w:val="20"/>
              </w:rPr>
              <w:t>SAER Short Title</w:t>
            </w:r>
          </w:p>
        </w:tc>
        <w:tc>
          <w:tcPr>
            <w:tcW w:w="595" w:type="pct"/>
            <w:tcBorders>
              <w:top w:val="single" w:sz="4" w:space="0" w:color="000000" w:themeColor="text1"/>
              <w:left w:val="nil"/>
              <w:bottom w:val="single" w:sz="4" w:space="0" w:color="000000" w:themeColor="text1"/>
              <w:right w:val="single" w:sz="4" w:space="0" w:color="000000" w:themeColor="text1"/>
            </w:tcBorders>
            <w:shd w:val="clear" w:color="auto" w:fill="162D54"/>
            <w:vAlign w:val="bottom"/>
            <w:hideMark/>
          </w:tcPr>
          <w:p w14:paraId="59B04332" w14:textId="77777777" w:rsidR="001633A2" w:rsidRPr="00CC1A31" w:rsidRDefault="001633A2">
            <w:pPr>
              <w:rPr>
                <w:rFonts w:ascii="Arial" w:hAnsi="Arial" w:cs="Arial"/>
                <w:color w:val="FFFFFF"/>
                <w:sz w:val="20"/>
                <w:szCs w:val="20"/>
              </w:rPr>
            </w:pPr>
            <w:r w:rsidRPr="00CC1A31">
              <w:rPr>
                <w:rFonts w:ascii="Arial" w:hAnsi="Arial" w:cs="Arial"/>
                <w:color w:val="FFFFFF"/>
                <w:sz w:val="20"/>
                <w:szCs w:val="20"/>
              </w:rPr>
              <w:t>Outcome code</w:t>
            </w:r>
          </w:p>
        </w:tc>
        <w:tc>
          <w:tcPr>
            <w:tcW w:w="615" w:type="pct"/>
            <w:tcBorders>
              <w:top w:val="single" w:sz="4" w:space="0" w:color="000000" w:themeColor="text1"/>
              <w:left w:val="nil"/>
              <w:bottom w:val="single" w:sz="4" w:space="0" w:color="000000" w:themeColor="text1"/>
              <w:right w:val="single" w:sz="4" w:space="0" w:color="000000" w:themeColor="text1"/>
            </w:tcBorders>
            <w:shd w:val="clear" w:color="auto" w:fill="162D54"/>
            <w:vAlign w:val="bottom"/>
            <w:hideMark/>
          </w:tcPr>
          <w:p w14:paraId="5A0ECBA0" w14:textId="77777777" w:rsidR="001633A2" w:rsidRPr="00CC1A31" w:rsidRDefault="001633A2">
            <w:pPr>
              <w:rPr>
                <w:rFonts w:ascii="Arial" w:hAnsi="Arial" w:cs="Arial"/>
                <w:color w:val="FFFFFF"/>
                <w:sz w:val="20"/>
                <w:szCs w:val="20"/>
              </w:rPr>
            </w:pPr>
            <w:r w:rsidRPr="00CC1A31">
              <w:rPr>
                <w:rFonts w:ascii="Arial" w:hAnsi="Arial" w:cs="Arial"/>
                <w:color w:val="FFFFFF"/>
                <w:sz w:val="20"/>
                <w:szCs w:val="20"/>
              </w:rPr>
              <w:t>Duty of Candour Rationale</w:t>
            </w:r>
          </w:p>
        </w:tc>
        <w:tc>
          <w:tcPr>
            <w:tcW w:w="562" w:type="pct"/>
            <w:tcBorders>
              <w:top w:val="single" w:sz="4" w:space="0" w:color="000000" w:themeColor="text1"/>
              <w:left w:val="nil"/>
              <w:bottom w:val="single" w:sz="4" w:space="0" w:color="000000" w:themeColor="text1"/>
              <w:right w:val="single" w:sz="4" w:space="0" w:color="000000" w:themeColor="text1"/>
            </w:tcBorders>
            <w:shd w:val="clear" w:color="auto" w:fill="162D54"/>
            <w:vAlign w:val="bottom"/>
            <w:hideMark/>
          </w:tcPr>
          <w:p w14:paraId="04A699A3" w14:textId="77777777" w:rsidR="001633A2" w:rsidRPr="00CC1A31" w:rsidRDefault="001633A2">
            <w:pPr>
              <w:rPr>
                <w:rFonts w:ascii="Arial" w:hAnsi="Arial" w:cs="Arial"/>
                <w:color w:val="FFFFFF"/>
                <w:sz w:val="20"/>
                <w:szCs w:val="20"/>
              </w:rPr>
            </w:pPr>
            <w:r w:rsidRPr="00CC1A31">
              <w:rPr>
                <w:rFonts w:ascii="Arial" w:hAnsi="Arial" w:cs="Arial"/>
                <w:color w:val="FFFFFF"/>
                <w:sz w:val="20"/>
                <w:szCs w:val="20"/>
              </w:rPr>
              <w:t>Severity</w:t>
            </w:r>
          </w:p>
        </w:tc>
        <w:tc>
          <w:tcPr>
            <w:tcW w:w="648" w:type="pct"/>
            <w:tcBorders>
              <w:top w:val="single" w:sz="4" w:space="0" w:color="000000" w:themeColor="text1"/>
              <w:left w:val="nil"/>
              <w:bottom w:val="single" w:sz="4" w:space="0" w:color="000000" w:themeColor="text1"/>
              <w:right w:val="single" w:sz="4" w:space="0" w:color="000000" w:themeColor="text1"/>
            </w:tcBorders>
            <w:shd w:val="clear" w:color="auto" w:fill="162D54"/>
            <w:vAlign w:val="bottom"/>
            <w:hideMark/>
          </w:tcPr>
          <w:p w14:paraId="0660B3E5" w14:textId="2868340D" w:rsidR="001633A2" w:rsidRPr="00CC1A31" w:rsidRDefault="001633A2">
            <w:pPr>
              <w:rPr>
                <w:rFonts w:ascii="Arial" w:hAnsi="Arial" w:cs="Arial"/>
                <w:color w:val="FFFFFF"/>
                <w:sz w:val="20"/>
                <w:szCs w:val="20"/>
              </w:rPr>
            </w:pPr>
            <w:r w:rsidRPr="00CC1A31">
              <w:rPr>
                <w:rFonts w:ascii="Arial" w:hAnsi="Arial" w:cs="Arial"/>
                <w:color w:val="FFFFFF"/>
                <w:sz w:val="20"/>
                <w:szCs w:val="20"/>
              </w:rPr>
              <w:t>Closed</w:t>
            </w:r>
            <w:r w:rsidR="00CC1A31">
              <w:rPr>
                <w:rFonts w:ascii="Arial" w:hAnsi="Arial" w:cs="Arial"/>
                <w:color w:val="FFFFFF"/>
                <w:sz w:val="20"/>
                <w:szCs w:val="20"/>
              </w:rPr>
              <w:t>/ Open</w:t>
            </w:r>
          </w:p>
        </w:tc>
      </w:tr>
      <w:tr w:rsidR="008831D1" w:rsidRPr="00CC1A31" w14:paraId="0558CB7E" w14:textId="77777777" w:rsidTr="5C93D17B">
        <w:trPr>
          <w:trHeight w:val="9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6B5BF478"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41BE8B31"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DW-11410</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45EEAA59"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10/04/2024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7009E01C"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OOHCA - patient discharged home without ICD</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45E792D3" w14:textId="75ED34AE"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5FF87DD8"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DBDB0F"/>
            <w:vAlign w:val="bottom"/>
            <w:hideMark/>
          </w:tcPr>
          <w:p w14:paraId="5B00B576" w14:textId="32CDEB43"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Moderate</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453E6295" w14:textId="379AB1D4"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20/05/2024</w:t>
            </w:r>
          </w:p>
        </w:tc>
      </w:tr>
      <w:tr w:rsidR="008831D1" w:rsidRPr="00CC1A31" w14:paraId="6038A2FC"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3A8360B0"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5D211774"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DW-11743</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598D9CF9"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13/06/2024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28CBE283"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 xml:space="preserve">Medication error - 2 East Cardiology </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30BD7E34" w14:textId="63274756"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709F56B9"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DBDB0F"/>
            <w:vAlign w:val="bottom"/>
            <w:hideMark/>
          </w:tcPr>
          <w:p w14:paraId="2BCEDC23"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Moderate</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39DFF7F7" w14:textId="7836702A"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17/09/2024</w:t>
            </w:r>
          </w:p>
        </w:tc>
      </w:tr>
      <w:tr w:rsidR="008831D1" w:rsidRPr="00CC1A31" w14:paraId="3A7869EB"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77D178BB"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3A11A04F"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DW-12171</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513FD2A3"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13/09/2024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18808C30"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Cardiology guide-catheter patient</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168EC02B" w14:textId="0BEC933D"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7D6EE3F8"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12E675"/>
            <w:vAlign w:val="bottom"/>
            <w:hideMark/>
          </w:tcPr>
          <w:p w14:paraId="222CA3B2" w14:textId="34D0C28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Minor</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2590AE38" w14:textId="7CFC24F8"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17/09/2024</w:t>
            </w:r>
          </w:p>
        </w:tc>
      </w:tr>
      <w:tr w:rsidR="008831D1" w:rsidRPr="00CC1A31" w14:paraId="278F8A7F"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3884327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4290CDC1"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DW-11821</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48324CBD"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28/06/2024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4CB6D084"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3 East fall with harm to head &amp; elbow</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1C6A3A56" w14:textId="630FE8F9"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324CBBAD"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12E675"/>
            <w:vAlign w:val="bottom"/>
            <w:hideMark/>
          </w:tcPr>
          <w:p w14:paraId="44C8ABCC"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Minor</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617383AE" w14:textId="06B4F428"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15/10/2024</w:t>
            </w:r>
          </w:p>
        </w:tc>
      </w:tr>
      <w:tr w:rsidR="008831D1" w:rsidRPr="00CC1A31" w14:paraId="5CC4F7A6"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48C0ED46"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2C5B66AE"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DW-11801</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497EE94B"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25/06/2024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24C8B20C"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Coronary perforation leading to death</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42633AFE" w14:textId="2D7B5E46"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73DB0ACC"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The patient died</w:t>
            </w:r>
          </w:p>
        </w:tc>
        <w:tc>
          <w:tcPr>
            <w:tcW w:w="562" w:type="pct"/>
            <w:tcBorders>
              <w:top w:val="nil"/>
              <w:left w:val="nil"/>
              <w:bottom w:val="single" w:sz="4" w:space="0" w:color="000000" w:themeColor="text1"/>
              <w:right w:val="single" w:sz="4" w:space="0" w:color="000000" w:themeColor="text1"/>
            </w:tcBorders>
            <w:shd w:val="clear" w:color="auto" w:fill="DB8B00"/>
            <w:vAlign w:val="bottom"/>
            <w:hideMark/>
          </w:tcPr>
          <w:p w14:paraId="353A1CDC" w14:textId="24082139"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Major</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1171FB5E" w14:textId="7EB62433"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22/10/2024</w:t>
            </w:r>
          </w:p>
        </w:tc>
      </w:tr>
      <w:tr w:rsidR="008831D1" w:rsidRPr="00CC1A31" w14:paraId="62A1589E"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0B5D857B"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1DD681EC"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DW-12079</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49430417"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28/08/2024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2B00B98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Cardiology pt transfer from IRH</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55DA3B58" w14:textId="27B6D652"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30238DDD"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DBDB0F"/>
            <w:vAlign w:val="bottom"/>
            <w:hideMark/>
          </w:tcPr>
          <w:p w14:paraId="5F062A8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Moderate</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0A9A75AE" w14:textId="43A0E307"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21/11/2024</w:t>
            </w:r>
          </w:p>
        </w:tc>
      </w:tr>
      <w:tr w:rsidR="008831D1" w:rsidRPr="00CC1A31" w14:paraId="1B1D3AF6"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62D19F61"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National Elective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1EDC415B"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DW-12103</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02C3EFDE"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02/09/2024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31D5C6C8"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Patient Fall - 2 West</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7137A3CC" w14:textId="2D80AE98"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7E93C25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DBDB0F"/>
            <w:vAlign w:val="bottom"/>
            <w:hideMark/>
          </w:tcPr>
          <w:p w14:paraId="05937FEA"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Moderate</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069EF4AD" w14:textId="785827F3"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25/11/2024</w:t>
            </w:r>
          </w:p>
        </w:tc>
      </w:tr>
      <w:tr w:rsidR="008831D1" w:rsidRPr="00CC1A31" w14:paraId="3ADE64C2" w14:textId="77777777" w:rsidTr="5C93D17B">
        <w:trPr>
          <w:trHeight w:val="9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4B6BA5FD"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7BCBC4B5"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DW-11982</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53463FE0"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07/08/2024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490D5269"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 xml:space="preserve">Robotic right upper lobectomy-stapled silicon sloop </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1F1F5E6A" w14:textId="4A1ED3A6"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1175BAF0"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12E675"/>
            <w:vAlign w:val="bottom"/>
            <w:hideMark/>
          </w:tcPr>
          <w:p w14:paraId="6C91460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Minor</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1C386744" w14:textId="50A205C8"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28/11/2024</w:t>
            </w:r>
          </w:p>
        </w:tc>
      </w:tr>
      <w:tr w:rsidR="008831D1" w:rsidRPr="00CC1A31" w14:paraId="0F8C53BE"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00CC4424"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National Elective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375ECE81"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DW-12526</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4B24F1E5"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03/12/2024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6360CAFC"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Unsterile item used in Ortho Theatre</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13581BDD" w14:textId="5D515234"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3631997E"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DBDB0F"/>
            <w:vAlign w:val="bottom"/>
            <w:hideMark/>
          </w:tcPr>
          <w:p w14:paraId="27DA570F"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Moderate</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7E4A9D95" w14:textId="2BE3E112"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15/01/2025</w:t>
            </w:r>
          </w:p>
        </w:tc>
      </w:tr>
      <w:tr w:rsidR="008831D1" w:rsidRPr="00CC1A31" w14:paraId="36F00820"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1575682F"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National Elective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542A837A"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DW-12282</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7E02C632"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14/10/2024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4B7A5510"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Patient fall - 2 West Pelvis Fracture</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2F1E2C0B" w14:textId="7A530053"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338C64AF"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DB8B00"/>
            <w:vAlign w:val="bottom"/>
            <w:hideMark/>
          </w:tcPr>
          <w:p w14:paraId="2BFF5A61"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Major</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7E3AF5AE" w14:textId="1CD9542E"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17/01/2025</w:t>
            </w:r>
          </w:p>
        </w:tc>
      </w:tr>
      <w:tr w:rsidR="008831D1" w:rsidRPr="00CC1A31" w14:paraId="539FF80B"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31748D7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5F63DFE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DW-12553</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15917A4F"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06/12/2024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090DF6EE"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 xml:space="preserve">Medication Errors - 2 East </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77C6ADD9" w14:textId="07F0D43C"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1C08502D"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DBDB0F"/>
            <w:vAlign w:val="bottom"/>
            <w:hideMark/>
          </w:tcPr>
          <w:p w14:paraId="05F88905"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Moderate</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2AAD40E9" w14:textId="5D17DFAA"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21/01/2025</w:t>
            </w:r>
          </w:p>
        </w:tc>
      </w:tr>
      <w:tr w:rsidR="008831D1" w:rsidRPr="00CC1A31" w14:paraId="6FB78E4D"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3AFBB030"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 xml:space="preserve">Heart, Lung and </w:t>
            </w:r>
            <w:r w:rsidRPr="00CC1A31">
              <w:rPr>
                <w:rFonts w:ascii="Arial" w:hAnsi="Arial" w:cs="Arial"/>
                <w:color w:val="000000"/>
                <w:sz w:val="20"/>
                <w:szCs w:val="20"/>
              </w:rPr>
              <w:lastRenderedPageBreak/>
              <w:t>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64A2F462"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lastRenderedPageBreak/>
              <w:t>DW-12554</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5A86305D"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06/12/2024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68FA34AD"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Medication Errors - 2 East</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61C3C955" w14:textId="6E3FB513"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 xml:space="preserve">IAT completed - </w:t>
            </w:r>
            <w:r w:rsidRPr="00CC1A31">
              <w:rPr>
                <w:rFonts w:ascii="Arial" w:hAnsi="Arial" w:cs="Arial"/>
                <w:color w:val="000000"/>
                <w:sz w:val="20"/>
                <w:szCs w:val="20"/>
              </w:rPr>
              <w:lastRenderedPageBreak/>
              <w:t>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2F0F9EB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lastRenderedPageBreak/>
              <w:t xml:space="preserve">Treatment or </w:t>
            </w:r>
            <w:r w:rsidRPr="00CC1A31">
              <w:rPr>
                <w:rFonts w:ascii="Arial" w:hAnsi="Arial" w:cs="Arial"/>
                <w:color w:val="000000"/>
                <w:sz w:val="20"/>
                <w:szCs w:val="20"/>
              </w:rPr>
              <w:lastRenderedPageBreak/>
              <w:t>intervention to prevent injury</w:t>
            </w:r>
          </w:p>
        </w:tc>
        <w:tc>
          <w:tcPr>
            <w:tcW w:w="562" w:type="pct"/>
            <w:tcBorders>
              <w:top w:val="nil"/>
              <w:left w:val="nil"/>
              <w:bottom w:val="single" w:sz="4" w:space="0" w:color="000000" w:themeColor="text1"/>
              <w:right w:val="single" w:sz="4" w:space="0" w:color="000000" w:themeColor="text1"/>
            </w:tcBorders>
            <w:shd w:val="clear" w:color="auto" w:fill="DBDB0F"/>
            <w:vAlign w:val="bottom"/>
            <w:hideMark/>
          </w:tcPr>
          <w:p w14:paraId="0548AE59"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lastRenderedPageBreak/>
              <w:t>Moderate</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505533F8" w14:textId="6DCADF06"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21/01/2025</w:t>
            </w:r>
          </w:p>
        </w:tc>
      </w:tr>
      <w:tr w:rsidR="008831D1" w:rsidRPr="00CC1A31" w14:paraId="2B8771D9"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6FDB1EAC"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4434B2AE"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DW-12321</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34B7A357"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22/10/2024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04020A30"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Cardiology patient missed diagnosis</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5D4D9526" w14:textId="6915B199"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045FB81D"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The patient died</w:t>
            </w:r>
          </w:p>
        </w:tc>
        <w:tc>
          <w:tcPr>
            <w:tcW w:w="562" w:type="pct"/>
            <w:tcBorders>
              <w:top w:val="nil"/>
              <w:left w:val="nil"/>
              <w:bottom w:val="single" w:sz="4" w:space="0" w:color="000000" w:themeColor="text1"/>
              <w:right w:val="single" w:sz="4" w:space="0" w:color="000000" w:themeColor="text1"/>
            </w:tcBorders>
            <w:shd w:val="clear" w:color="auto" w:fill="DB8B00"/>
            <w:vAlign w:val="bottom"/>
            <w:hideMark/>
          </w:tcPr>
          <w:p w14:paraId="6726D3D3" w14:textId="611A47ED"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Major</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579934B2" w14:textId="192F7CB9"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21/01/2025</w:t>
            </w:r>
          </w:p>
        </w:tc>
      </w:tr>
      <w:tr w:rsidR="008831D1" w:rsidRPr="00CC1A31" w14:paraId="2C2F9E26"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06275BDD"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2EFBF272"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DW-12063</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1290CBFE"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23/08/2024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57EE9B2D"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TAVI patient fall (death)</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77C3E742" w14:textId="061132D3"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318BCDFB"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The patient died</w:t>
            </w:r>
          </w:p>
        </w:tc>
        <w:tc>
          <w:tcPr>
            <w:tcW w:w="562" w:type="pct"/>
            <w:tcBorders>
              <w:top w:val="nil"/>
              <w:left w:val="nil"/>
              <w:bottom w:val="single" w:sz="4" w:space="0" w:color="000000" w:themeColor="text1"/>
              <w:right w:val="single" w:sz="4" w:space="0" w:color="000000" w:themeColor="text1"/>
            </w:tcBorders>
            <w:shd w:val="clear" w:color="auto" w:fill="DB8B00"/>
            <w:vAlign w:val="bottom"/>
            <w:hideMark/>
          </w:tcPr>
          <w:p w14:paraId="5B69EB8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Major</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097D6F9D" w14:textId="38BF0103"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25/03/2025</w:t>
            </w:r>
          </w:p>
        </w:tc>
      </w:tr>
      <w:tr w:rsidR="008831D1" w:rsidRPr="00CC1A31" w14:paraId="7E795E8C" w14:textId="77777777" w:rsidTr="5C93D17B">
        <w:trPr>
          <w:trHeight w:val="9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39D2CF8D"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67713374"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DW-12530</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7CCFE42B"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03/12/2024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4E714F90"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Cath lab complication requiring emergency surgery</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6C063096" w14:textId="43621694"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 </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4482CC33"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Treatment or intervention to prevent patient death</w:t>
            </w:r>
          </w:p>
        </w:tc>
        <w:tc>
          <w:tcPr>
            <w:tcW w:w="562" w:type="pct"/>
            <w:tcBorders>
              <w:top w:val="nil"/>
              <w:left w:val="nil"/>
              <w:bottom w:val="single" w:sz="4" w:space="0" w:color="000000" w:themeColor="text1"/>
              <w:right w:val="single" w:sz="4" w:space="0" w:color="000000" w:themeColor="text1"/>
            </w:tcBorders>
            <w:shd w:val="clear" w:color="auto" w:fill="DBDB0F"/>
            <w:vAlign w:val="bottom"/>
            <w:hideMark/>
          </w:tcPr>
          <w:p w14:paraId="68E094F8"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Moderate</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0ABFE323" w14:textId="23D144A9"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25/03/2025</w:t>
            </w:r>
          </w:p>
        </w:tc>
      </w:tr>
      <w:tr w:rsidR="008831D1" w:rsidRPr="00CC1A31" w14:paraId="74CB5E18"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112D20D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0B5194E0"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DW-12689</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53C914C3"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08/01/2025</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642E704D"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 xml:space="preserve">Thoracic patient echo findings not reported </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649736A7" w14:textId="6054234B"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IAT completed - Not for SAER </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1818881A"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DBDB0F"/>
            <w:vAlign w:val="bottom"/>
            <w:hideMark/>
          </w:tcPr>
          <w:p w14:paraId="002A0259"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Moderate</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66A8CCF2" w14:textId="6196D701" w:rsidR="008831D1" w:rsidRPr="00CC1A31" w:rsidRDefault="008831D1" w:rsidP="008831D1">
            <w:pPr>
              <w:rPr>
                <w:rFonts w:ascii="Arial" w:hAnsi="Arial" w:cs="Arial"/>
                <w:color w:val="000000"/>
                <w:sz w:val="20"/>
                <w:szCs w:val="20"/>
              </w:rPr>
            </w:pPr>
            <w:r>
              <w:rPr>
                <w:rFonts w:ascii="Arial" w:hAnsi="Arial" w:cs="Arial"/>
                <w:color w:val="000000"/>
                <w:sz w:val="20"/>
                <w:szCs w:val="20"/>
              </w:rPr>
              <w:t xml:space="preserve">Closed </w:t>
            </w:r>
            <w:r w:rsidRPr="00CC1A31">
              <w:rPr>
                <w:rFonts w:ascii="Arial" w:hAnsi="Arial" w:cs="Arial"/>
                <w:color w:val="000000"/>
                <w:sz w:val="20"/>
                <w:szCs w:val="20"/>
              </w:rPr>
              <w:t>08/04/2025</w:t>
            </w:r>
          </w:p>
        </w:tc>
      </w:tr>
      <w:tr w:rsidR="008831D1" w:rsidRPr="00CC1A31" w14:paraId="2B766B77"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38E5A273"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5C95E6A0"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DW-12157</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7DBD6196"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13/09/2024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6555B30C"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Thoracic retained guidewire</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23C2C16E"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3</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01836C49"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Changes to the patients body structure</w:t>
            </w:r>
          </w:p>
        </w:tc>
        <w:tc>
          <w:tcPr>
            <w:tcW w:w="562" w:type="pct"/>
            <w:tcBorders>
              <w:top w:val="nil"/>
              <w:left w:val="nil"/>
              <w:bottom w:val="single" w:sz="4" w:space="0" w:color="000000" w:themeColor="text1"/>
              <w:right w:val="single" w:sz="4" w:space="0" w:color="000000" w:themeColor="text1"/>
            </w:tcBorders>
            <w:shd w:val="clear" w:color="auto" w:fill="DBDB0F"/>
            <w:vAlign w:val="bottom"/>
            <w:hideMark/>
          </w:tcPr>
          <w:p w14:paraId="29DDDF66"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Moderate</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14:paraId="3FD00C58" w14:textId="2149D612"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Open</w:t>
            </w:r>
          </w:p>
        </w:tc>
      </w:tr>
      <w:tr w:rsidR="008831D1" w:rsidRPr="00CC1A31" w14:paraId="636843E6"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79058E24"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652AFA14"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DW-12075</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3CC8CCF9"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27/08/2024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7E6C4206"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Transplant patient death Jul 2024</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1A2DCAA8"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3</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69C446DA"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The patient died</w:t>
            </w:r>
          </w:p>
        </w:tc>
        <w:tc>
          <w:tcPr>
            <w:tcW w:w="562" w:type="pct"/>
            <w:tcBorders>
              <w:top w:val="nil"/>
              <w:left w:val="nil"/>
              <w:bottom w:val="single" w:sz="4" w:space="0" w:color="000000" w:themeColor="text1"/>
              <w:right w:val="single" w:sz="4" w:space="0" w:color="000000" w:themeColor="text1"/>
            </w:tcBorders>
            <w:shd w:val="clear" w:color="auto" w:fill="DB8B00"/>
            <w:vAlign w:val="bottom"/>
            <w:hideMark/>
          </w:tcPr>
          <w:p w14:paraId="29DEFF66"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Major</w:t>
            </w:r>
          </w:p>
        </w:tc>
        <w:tc>
          <w:tcPr>
            <w:tcW w:w="648" w:type="pct"/>
            <w:tcBorders>
              <w:top w:val="nil"/>
              <w:left w:val="nil"/>
              <w:bottom w:val="single" w:sz="4" w:space="0" w:color="000000" w:themeColor="text1"/>
              <w:right w:val="single" w:sz="4" w:space="0" w:color="000000" w:themeColor="text1"/>
            </w:tcBorders>
            <w:shd w:val="clear" w:color="auto" w:fill="auto"/>
            <w:hideMark/>
          </w:tcPr>
          <w:p w14:paraId="36024B16" w14:textId="77777777" w:rsidR="008831D1" w:rsidRPr="00CC1A31" w:rsidRDefault="008831D1" w:rsidP="008831D1">
            <w:pPr>
              <w:rPr>
                <w:rFonts w:ascii="Arial" w:hAnsi="Arial" w:cs="Arial"/>
                <w:color w:val="000000"/>
                <w:sz w:val="20"/>
                <w:szCs w:val="20"/>
              </w:rPr>
            </w:pPr>
          </w:p>
          <w:p w14:paraId="36A5CE2A" w14:textId="77777777" w:rsidR="008831D1" w:rsidRPr="00CC1A31" w:rsidRDefault="008831D1" w:rsidP="008831D1">
            <w:pPr>
              <w:rPr>
                <w:rFonts w:ascii="Arial" w:hAnsi="Arial" w:cs="Arial"/>
                <w:color w:val="000000"/>
                <w:sz w:val="20"/>
                <w:szCs w:val="20"/>
              </w:rPr>
            </w:pPr>
          </w:p>
          <w:p w14:paraId="5D5497CB" w14:textId="77777777" w:rsidR="008831D1" w:rsidRPr="00CC1A31" w:rsidRDefault="008831D1" w:rsidP="008831D1">
            <w:pPr>
              <w:rPr>
                <w:rFonts w:ascii="Arial" w:hAnsi="Arial" w:cs="Arial"/>
                <w:color w:val="000000"/>
                <w:sz w:val="20"/>
                <w:szCs w:val="20"/>
              </w:rPr>
            </w:pPr>
          </w:p>
          <w:p w14:paraId="6AF8BC9A" w14:textId="5400A6AE"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Open</w:t>
            </w:r>
          </w:p>
        </w:tc>
      </w:tr>
      <w:tr w:rsidR="008831D1" w:rsidRPr="00CC1A31" w14:paraId="23E45761"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3201B462"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0671E7AD"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DW-11870</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5AD183AE"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09/07/2024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32B58E04"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Sternal plating set missing</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7A160731"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3</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3A1ED78A"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12E675"/>
            <w:vAlign w:val="bottom"/>
            <w:hideMark/>
          </w:tcPr>
          <w:p w14:paraId="4C3FA2F9" w14:textId="11C6A3A1"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Minor</w:t>
            </w:r>
          </w:p>
        </w:tc>
        <w:tc>
          <w:tcPr>
            <w:tcW w:w="648" w:type="pct"/>
            <w:tcBorders>
              <w:top w:val="nil"/>
              <w:left w:val="nil"/>
              <w:bottom w:val="single" w:sz="4" w:space="0" w:color="000000" w:themeColor="text1"/>
              <w:right w:val="single" w:sz="4" w:space="0" w:color="000000" w:themeColor="text1"/>
            </w:tcBorders>
            <w:shd w:val="clear" w:color="auto" w:fill="auto"/>
            <w:hideMark/>
          </w:tcPr>
          <w:p w14:paraId="34BE72E6" w14:textId="77777777" w:rsidR="008831D1" w:rsidRPr="00CC1A31" w:rsidRDefault="008831D1" w:rsidP="008831D1">
            <w:pPr>
              <w:rPr>
                <w:rFonts w:ascii="Arial" w:hAnsi="Arial" w:cs="Arial"/>
                <w:color w:val="000000"/>
                <w:sz w:val="20"/>
                <w:szCs w:val="20"/>
              </w:rPr>
            </w:pPr>
          </w:p>
          <w:p w14:paraId="2487DDE1" w14:textId="77777777" w:rsidR="008831D1" w:rsidRPr="00CC1A31" w:rsidRDefault="008831D1" w:rsidP="008831D1">
            <w:pPr>
              <w:rPr>
                <w:rFonts w:ascii="Arial" w:hAnsi="Arial" w:cs="Arial"/>
                <w:color w:val="000000"/>
                <w:sz w:val="20"/>
                <w:szCs w:val="20"/>
              </w:rPr>
            </w:pPr>
          </w:p>
          <w:p w14:paraId="537C4C16" w14:textId="77777777" w:rsidR="008831D1" w:rsidRPr="00CC1A31" w:rsidRDefault="008831D1" w:rsidP="008831D1">
            <w:pPr>
              <w:rPr>
                <w:rFonts w:ascii="Arial" w:hAnsi="Arial" w:cs="Arial"/>
                <w:color w:val="000000"/>
                <w:sz w:val="20"/>
                <w:szCs w:val="20"/>
              </w:rPr>
            </w:pPr>
          </w:p>
          <w:p w14:paraId="405BFC21" w14:textId="262779E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Open</w:t>
            </w:r>
          </w:p>
        </w:tc>
      </w:tr>
      <w:tr w:rsidR="008831D1" w:rsidRPr="00CC1A31" w14:paraId="4AB84C57"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09F8F278"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National Elective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2E7A8AFC"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DW-12177</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2E32B187"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16/09/2024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69D1428F"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Medication error (mycophenolate) - 2 West</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1BF362D6"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3</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63235B05"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DB8B00"/>
            <w:vAlign w:val="bottom"/>
            <w:hideMark/>
          </w:tcPr>
          <w:p w14:paraId="5E67C042"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Major</w:t>
            </w:r>
          </w:p>
        </w:tc>
        <w:tc>
          <w:tcPr>
            <w:tcW w:w="648" w:type="pct"/>
            <w:tcBorders>
              <w:top w:val="nil"/>
              <w:left w:val="nil"/>
              <w:bottom w:val="single" w:sz="4" w:space="0" w:color="000000" w:themeColor="text1"/>
              <w:right w:val="single" w:sz="4" w:space="0" w:color="000000" w:themeColor="text1"/>
            </w:tcBorders>
            <w:shd w:val="clear" w:color="auto" w:fill="auto"/>
            <w:hideMark/>
          </w:tcPr>
          <w:p w14:paraId="74B190C0" w14:textId="77777777" w:rsidR="008831D1" w:rsidRPr="00CC1A31" w:rsidRDefault="008831D1" w:rsidP="008831D1">
            <w:pPr>
              <w:rPr>
                <w:rFonts w:ascii="Arial" w:hAnsi="Arial" w:cs="Arial"/>
                <w:color w:val="000000"/>
                <w:sz w:val="20"/>
                <w:szCs w:val="20"/>
              </w:rPr>
            </w:pPr>
          </w:p>
          <w:p w14:paraId="11529691" w14:textId="77777777" w:rsidR="008831D1" w:rsidRPr="00CC1A31" w:rsidRDefault="008831D1" w:rsidP="008831D1">
            <w:pPr>
              <w:rPr>
                <w:rFonts w:ascii="Arial" w:hAnsi="Arial" w:cs="Arial"/>
                <w:color w:val="000000"/>
                <w:sz w:val="20"/>
                <w:szCs w:val="20"/>
              </w:rPr>
            </w:pPr>
          </w:p>
          <w:p w14:paraId="4D477DF7" w14:textId="73F825AF"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Open</w:t>
            </w:r>
          </w:p>
        </w:tc>
      </w:tr>
      <w:tr w:rsidR="008831D1" w:rsidRPr="00CC1A31" w14:paraId="54E1FA92" w14:textId="77777777" w:rsidTr="5C93D17B">
        <w:trPr>
          <w:trHeight w:val="600"/>
        </w:trPr>
        <w:tc>
          <w:tcPr>
            <w:tcW w:w="61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1B5576C1"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Lung and Diagnostic Services</w:t>
            </w:r>
          </w:p>
        </w:tc>
        <w:tc>
          <w:tcPr>
            <w:tcW w:w="405" w:type="pct"/>
            <w:tcBorders>
              <w:top w:val="nil"/>
              <w:left w:val="nil"/>
              <w:bottom w:val="single" w:sz="4" w:space="0" w:color="000000" w:themeColor="text1"/>
              <w:right w:val="single" w:sz="4" w:space="0" w:color="000000" w:themeColor="text1"/>
            </w:tcBorders>
            <w:shd w:val="clear" w:color="auto" w:fill="auto"/>
            <w:vAlign w:val="bottom"/>
            <w:hideMark/>
          </w:tcPr>
          <w:p w14:paraId="38B9991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DW-12193</w:t>
            </w:r>
          </w:p>
        </w:tc>
        <w:tc>
          <w:tcPr>
            <w:tcW w:w="727" w:type="pct"/>
            <w:tcBorders>
              <w:top w:val="nil"/>
              <w:left w:val="nil"/>
              <w:bottom w:val="single" w:sz="4" w:space="0" w:color="000000" w:themeColor="text1"/>
              <w:right w:val="single" w:sz="4" w:space="0" w:color="000000" w:themeColor="text1"/>
            </w:tcBorders>
            <w:shd w:val="clear" w:color="auto" w:fill="auto"/>
            <w:vAlign w:val="bottom"/>
            <w:hideMark/>
          </w:tcPr>
          <w:p w14:paraId="4332CC11" w14:textId="77777777" w:rsidR="008831D1" w:rsidRPr="00CC1A31" w:rsidRDefault="008831D1" w:rsidP="008831D1">
            <w:pPr>
              <w:jc w:val="right"/>
              <w:rPr>
                <w:rFonts w:ascii="Arial" w:hAnsi="Arial" w:cs="Arial"/>
                <w:color w:val="000000"/>
                <w:sz w:val="20"/>
                <w:szCs w:val="20"/>
              </w:rPr>
            </w:pPr>
            <w:r w:rsidRPr="00CC1A31">
              <w:rPr>
                <w:rFonts w:ascii="Arial" w:hAnsi="Arial" w:cs="Arial"/>
                <w:color w:val="000000"/>
                <w:sz w:val="20"/>
                <w:szCs w:val="20"/>
              </w:rPr>
              <w:t>19/09/2024</w:t>
            </w:r>
          </w:p>
        </w:tc>
        <w:tc>
          <w:tcPr>
            <w:tcW w:w="837" w:type="pct"/>
            <w:tcBorders>
              <w:top w:val="nil"/>
              <w:left w:val="nil"/>
              <w:bottom w:val="single" w:sz="4" w:space="0" w:color="000000" w:themeColor="text1"/>
              <w:right w:val="single" w:sz="4" w:space="0" w:color="000000" w:themeColor="text1"/>
            </w:tcBorders>
            <w:shd w:val="clear" w:color="auto" w:fill="auto"/>
            <w:vAlign w:val="bottom"/>
            <w:hideMark/>
          </w:tcPr>
          <w:p w14:paraId="0ECB714F"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Heart declined due to staffing levels</w:t>
            </w:r>
          </w:p>
        </w:tc>
        <w:tc>
          <w:tcPr>
            <w:tcW w:w="595" w:type="pct"/>
            <w:tcBorders>
              <w:top w:val="nil"/>
              <w:left w:val="nil"/>
              <w:bottom w:val="single" w:sz="4" w:space="0" w:color="000000" w:themeColor="text1"/>
              <w:right w:val="single" w:sz="4" w:space="0" w:color="000000" w:themeColor="text1"/>
            </w:tcBorders>
            <w:shd w:val="clear" w:color="auto" w:fill="auto"/>
            <w:vAlign w:val="bottom"/>
            <w:hideMark/>
          </w:tcPr>
          <w:p w14:paraId="2DC6A1F7" w14:textId="03D7C105" w:rsidR="008831D1" w:rsidRPr="00CC1A31" w:rsidRDefault="2E389798" w:rsidP="008831D1">
            <w:pPr>
              <w:jc w:val="right"/>
              <w:rPr>
                <w:rFonts w:ascii="Arial" w:hAnsi="Arial" w:cs="Arial"/>
                <w:color w:val="000000"/>
                <w:sz w:val="20"/>
                <w:szCs w:val="20"/>
              </w:rPr>
            </w:pPr>
            <w:r w:rsidRPr="5C93D17B">
              <w:rPr>
                <w:rFonts w:ascii="Arial" w:hAnsi="Arial" w:cs="Arial"/>
                <w:color w:val="000000" w:themeColor="text1"/>
                <w:sz w:val="20"/>
                <w:szCs w:val="20"/>
              </w:rPr>
              <w:t>1</w:t>
            </w:r>
          </w:p>
        </w:tc>
        <w:tc>
          <w:tcPr>
            <w:tcW w:w="615" w:type="pct"/>
            <w:tcBorders>
              <w:top w:val="nil"/>
              <w:left w:val="nil"/>
              <w:bottom w:val="single" w:sz="4" w:space="0" w:color="000000" w:themeColor="text1"/>
              <w:right w:val="single" w:sz="4" w:space="0" w:color="000000" w:themeColor="text1"/>
            </w:tcBorders>
            <w:shd w:val="clear" w:color="auto" w:fill="auto"/>
            <w:vAlign w:val="bottom"/>
            <w:hideMark/>
          </w:tcPr>
          <w:p w14:paraId="38405866"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Increase in patients treatment</w:t>
            </w:r>
          </w:p>
        </w:tc>
        <w:tc>
          <w:tcPr>
            <w:tcW w:w="562" w:type="pct"/>
            <w:tcBorders>
              <w:top w:val="nil"/>
              <w:left w:val="nil"/>
              <w:bottom w:val="single" w:sz="4" w:space="0" w:color="000000" w:themeColor="text1"/>
              <w:right w:val="single" w:sz="4" w:space="0" w:color="000000" w:themeColor="text1"/>
            </w:tcBorders>
            <w:shd w:val="clear" w:color="auto" w:fill="DBDB0F"/>
            <w:vAlign w:val="bottom"/>
            <w:hideMark/>
          </w:tcPr>
          <w:p w14:paraId="178C0877" w14:textId="77777777" w:rsidR="008831D1" w:rsidRPr="00CC1A31" w:rsidRDefault="008831D1" w:rsidP="008831D1">
            <w:pPr>
              <w:rPr>
                <w:rFonts w:ascii="Arial" w:hAnsi="Arial" w:cs="Arial"/>
                <w:color w:val="000000"/>
                <w:sz w:val="20"/>
                <w:szCs w:val="20"/>
              </w:rPr>
            </w:pPr>
            <w:r w:rsidRPr="00CC1A31">
              <w:rPr>
                <w:rFonts w:ascii="Arial" w:hAnsi="Arial" w:cs="Arial"/>
                <w:color w:val="000000"/>
                <w:sz w:val="20"/>
                <w:szCs w:val="20"/>
              </w:rPr>
              <w:t>Moderate</w:t>
            </w:r>
          </w:p>
        </w:tc>
        <w:tc>
          <w:tcPr>
            <w:tcW w:w="648" w:type="pct"/>
            <w:tcBorders>
              <w:top w:val="nil"/>
              <w:left w:val="nil"/>
              <w:bottom w:val="single" w:sz="4" w:space="0" w:color="000000" w:themeColor="text1"/>
              <w:right w:val="single" w:sz="4" w:space="0" w:color="000000" w:themeColor="text1"/>
            </w:tcBorders>
            <w:shd w:val="clear" w:color="auto" w:fill="auto"/>
            <w:hideMark/>
          </w:tcPr>
          <w:p w14:paraId="79C7ED16" w14:textId="77777777" w:rsidR="008831D1" w:rsidRPr="00CC1A31" w:rsidRDefault="008831D1" w:rsidP="008831D1">
            <w:pPr>
              <w:rPr>
                <w:rFonts w:ascii="Arial" w:hAnsi="Arial" w:cs="Arial"/>
                <w:color w:val="000000"/>
                <w:sz w:val="20"/>
                <w:szCs w:val="20"/>
              </w:rPr>
            </w:pPr>
          </w:p>
          <w:p w14:paraId="3FB56BBE" w14:textId="77777777" w:rsidR="008831D1" w:rsidRPr="00CC1A31" w:rsidRDefault="008831D1" w:rsidP="008831D1">
            <w:pPr>
              <w:rPr>
                <w:rFonts w:ascii="Arial" w:hAnsi="Arial" w:cs="Arial"/>
                <w:color w:val="000000"/>
                <w:sz w:val="20"/>
                <w:szCs w:val="20"/>
              </w:rPr>
            </w:pPr>
          </w:p>
          <w:p w14:paraId="4D18E18D" w14:textId="77777777" w:rsidR="008831D1" w:rsidRPr="00CC1A31" w:rsidRDefault="008831D1" w:rsidP="008831D1">
            <w:pPr>
              <w:rPr>
                <w:rFonts w:ascii="Arial" w:hAnsi="Arial" w:cs="Arial"/>
                <w:color w:val="000000"/>
                <w:sz w:val="20"/>
                <w:szCs w:val="20"/>
              </w:rPr>
            </w:pPr>
          </w:p>
          <w:p w14:paraId="722D74AD" w14:textId="07147FD0" w:rsidR="008831D1" w:rsidRPr="00CC1A31" w:rsidRDefault="34023C29" w:rsidP="006D42B7">
            <w:pPr>
              <w:spacing w:line="259" w:lineRule="auto"/>
              <w:rPr>
                <w:rFonts w:ascii="Arial" w:hAnsi="Arial" w:cs="Arial"/>
                <w:color w:val="000000" w:themeColor="text1"/>
                <w:sz w:val="20"/>
                <w:szCs w:val="20"/>
              </w:rPr>
            </w:pPr>
            <w:r w:rsidRPr="5C93D17B">
              <w:rPr>
                <w:rFonts w:ascii="Arial" w:hAnsi="Arial" w:cs="Arial"/>
                <w:color w:val="000000" w:themeColor="text1"/>
                <w:sz w:val="20"/>
                <w:szCs w:val="20"/>
              </w:rPr>
              <w:t>Open</w:t>
            </w:r>
          </w:p>
        </w:tc>
      </w:tr>
    </w:tbl>
    <w:p w14:paraId="5A807342" w14:textId="32B3C65F" w:rsidR="00B36AE6" w:rsidRDefault="00B36AE6" w:rsidP="00B36AE6">
      <w:pPr>
        <w:rPr>
          <w:lang w:val="en-GB"/>
        </w:rPr>
      </w:pPr>
    </w:p>
    <w:p w14:paraId="2E66B8D5" w14:textId="3FB3406F" w:rsidR="00EE2490" w:rsidRPr="00D97908" w:rsidRDefault="00EE2490" w:rsidP="00EE2490">
      <w:pPr>
        <w:rPr>
          <w:rFonts w:ascii="Arial" w:hAnsi="Arial" w:cs="Arial"/>
          <w:color w:val="FF0000"/>
        </w:rPr>
      </w:pPr>
    </w:p>
    <w:p w14:paraId="35CD8CBC" w14:textId="77777777" w:rsidR="00EE2490" w:rsidRPr="00D97908" w:rsidRDefault="00EE2490" w:rsidP="00EE2490">
      <w:pPr>
        <w:rPr>
          <w:rFonts w:ascii="Arial" w:hAnsi="Arial" w:cs="Arial"/>
          <w:color w:val="FF0000"/>
        </w:rPr>
      </w:pPr>
    </w:p>
    <w:p w14:paraId="019C55E7" w14:textId="18F2C93A" w:rsidR="00EE2490" w:rsidRPr="00BD1B1B" w:rsidRDefault="00EE2490" w:rsidP="00BD1B1B">
      <w:pPr>
        <w:rPr>
          <w:rFonts w:ascii="Arial" w:hAnsi="Arial" w:cs="Arial"/>
          <w:color w:val="FF0000"/>
        </w:rPr>
      </w:pPr>
    </w:p>
    <w:sectPr w:rsidR="00EE2490" w:rsidRPr="00BD1B1B" w:rsidSect="00E55781">
      <w:footerReference w:type="default" r:id="rId14"/>
      <w:pgSz w:w="12240" w:h="15840"/>
      <w:pgMar w:top="851" w:right="851" w:bottom="851" w:left="720"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5C2" w14:textId="77777777" w:rsidR="003E2A67" w:rsidRDefault="003E2A67">
      <w:r>
        <w:separator/>
      </w:r>
    </w:p>
  </w:endnote>
  <w:endnote w:type="continuationSeparator" w:id="0">
    <w:p w14:paraId="0F8D8508" w14:textId="77777777" w:rsidR="003E2A67" w:rsidRDefault="003E2A67">
      <w:r>
        <w:continuationSeparator/>
      </w:r>
    </w:p>
  </w:endnote>
  <w:endnote w:type="continuationNotice" w:id="1">
    <w:p w14:paraId="6D4C88BE" w14:textId="77777777" w:rsidR="003E2A67" w:rsidRDefault="003E2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68AAA" w14:textId="603C2951" w:rsidR="003B0049" w:rsidRPr="000F0CA5" w:rsidRDefault="003B0049" w:rsidP="000971B4">
    <w:pPr>
      <w:pStyle w:val="Footer"/>
      <w:pBdr>
        <w:top w:val="single" w:sz="4" w:space="0" w:color="auto"/>
      </w:pBdr>
      <w:rPr>
        <w:rFonts w:ascii="Arial" w:hAnsi="Arial" w:cs="Arial"/>
        <w:sz w:val="16"/>
        <w:szCs w:val="16"/>
      </w:rPr>
    </w:pPr>
    <w:r>
      <w:rPr>
        <w:rFonts w:ascii="Arial" w:hAnsi="Arial" w:cs="Arial"/>
        <w:sz w:val="18"/>
        <w:szCs w:val="18"/>
      </w:rPr>
      <w:t>CGD</w:t>
    </w:r>
    <w:r w:rsidRPr="000F0CA5">
      <w:rPr>
        <w:rFonts w:ascii="Arial" w:hAnsi="Arial" w:cs="Arial"/>
        <w:sz w:val="18"/>
        <w:szCs w:val="18"/>
      </w:rPr>
      <w:tab/>
    </w:r>
    <w:r w:rsidRPr="000F0CA5">
      <w:rPr>
        <w:rFonts w:ascii="Arial" w:hAnsi="Arial" w:cs="Arial"/>
        <w:sz w:val="18"/>
        <w:szCs w:val="18"/>
      </w:rPr>
      <w:tab/>
    </w:r>
    <w:r w:rsidRPr="000F0CA5">
      <w:rPr>
        <w:rFonts w:ascii="Arial" w:hAnsi="Arial" w:cs="Arial"/>
        <w:sz w:val="16"/>
        <w:szCs w:val="16"/>
      </w:rPr>
      <w:t xml:space="preserve">Page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PAGE </w:instrText>
    </w:r>
    <w:r w:rsidRPr="000F0CA5">
      <w:rPr>
        <w:rStyle w:val="PageNumber"/>
        <w:rFonts w:ascii="Arial" w:hAnsi="Arial" w:cs="Arial"/>
        <w:sz w:val="16"/>
        <w:szCs w:val="16"/>
      </w:rPr>
      <w:fldChar w:fldCharType="separate"/>
    </w:r>
    <w:r w:rsidR="006D42B7">
      <w:rPr>
        <w:rStyle w:val="PageNumber"/>
        <w:rFonts w:ascii="Arial" w:hAnsi="Arial" w:cs="Arial"/>
        <w:noProof/>
        <w:sz w:val="16"/>
        <w:szCs w:val="16"/>
      </w:rPr>
      <w:t>6</w:t>
    </w:r>
    <w:r w:rsidRPr="000F0CA5">
      <w:rPr>
        <w:rStyle w:val="PageNumber"/>
        <w:rFonts w:ascii="Arial" w:hAnsi="Arial" w:cs="Arial"/>
        <w:sz w:val="16"/>
        <w:szCs w:val="16"/>
      </w:rPr>
      <w:fldChar w:fldCharType="end"/>
    </w:r>
    <w:r w:rsidRPr="000F0CA5">
      <w:rPr>
        <w:rStyle w:val="PageNumber"/>
        <w:rFonts w:ascii="Arial" w:hAnsi="Arial" w:cs="Arial"/>
        <w:sz w:val="16"/>
        <w:szCs w:val="16"/>
      </w:rPr>
      <w:t xml:space="preserve"> of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NUMPAGES </w:instrText>
    </w:r>
    <w:r w:rsidRPr="000F0CA5">
      <w:rPr>
        <w:rStyle w:val="PageNumber"/>
        <w:rFonts w:ascii="Arial" w:hAnsi="Arial" w:cs="Arial"/>
        <w:sz w:val="16"/>
        <w:szCs w:val="16"/>
      </w:rPr>
      <w:fldChar w:fldCharType="separate"/>
    </w:r>
    <w:r w:rsidR="006D42B7">
      <w:rPr>
        <w:rStyle w:val="PageNumber"/>
        <w:rFonts w:ascii="Arial" w:hAnsi="Arial" w:cs="Arial"/>
        <w:noProof/>
        <w:sz w:val="16"/>
        <w:szCs w:val="16"/>
      </w:rPr>
      <w:t>12</w:t>
    </w:r>
    <w:r w:rsidRPr="000F0CA5">
      <w:rPr>
        <w:rStyle w:val="PageNumber"/>
        <w:rFonts w:ascii="Arial" w:hAnsi="Arial" w:cs="Arial"/>
        <w:sz w:val="16"/>
        <w:szCs w:val="16"/>
      </w:rPr>
      <w:fldChar w:fldCharType="end"/>
    </w:r>
  </w:p>
  <w:p w14:paraId="2D02603E" w14:textId="77777777" w:rsidR="003B0049" w:rsidRPr="004634BF" w:rsidRDefault="003B0049" w:rsidP="000971B4">
    <w:pPr>
      <w:pStyle w:val="Footer"/>
      <w:pBdr>
        <w:top w:val="single" w:sz="4" w:space="0" w:color="auto"/>
      </w:pBdr>
      <w:rPr>
        <w:rFonts w:ascii="Arial" w:hAnsi="Arial" w:cs="Arial"/>
        <w:sz w:val="16"/>
        <w:szCs w:val="16"/>
        <w:lang w:val="en-GB"/>
      </w:rPr>
    </w:pPr>
    <w:r w:rsidRPr="004634BF">
      <w:rPr>
        <w:rFonts w:ascii="Arial" w:hAnsi="Arial" w:cs="Arial"/>
        <w:sz w:val="16"/>
        <w:szCs w:val="16"/>
        <w:lang w:val="en-GB"/>
      </w:rPr>
      <w:tab/>
    </w:r>
    <w:r w:rsidRPr="004634BF">
      <w:rPr>
        <w:rFonts w:ascii="Arial" w:hAnsi="Arial" w:cs="Arial"/>
        <w:sz w:val="16"/>
        <w:szCs w:val="16"/>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80B2A" w14:textId="584FD4F5" w:rsidR="003B0049" w:rsidRPr="000F0CA5" w:rsidRDefault="003B0049" w:rsidP="000971B4">
    <w:pPr>
      <w:pStyle w:val="Footer"/>
      <w:pBdr>
        <w:top w:val="single" w:sz="4" w:space="0" w:color="auto"/>
      </w:pBdr>
      <w:rPr>
        <w:rFonts w:ascii="Arial" w:hAnsi="Arial" w:cs="Arial"/>
        <w:sz w:val="16"/>
        <w:szCs w:val="16"/>
      </w:rPr>
    </w:pPr>
    <w:r>
      <w:rPr>
        <w:rFonts w:ascii="Arial" w:hAnsi="Arial" w:cs="Arial"/>
        <w:sz w:val="18"/>
        <w:szCs w:val="18"/>
      </w:rPr>
      <w:t>CGD</w:t>
    </w:r>
    <w:r w:rsidRPr="000F0CA5">
      <w:rPr>
        <w:rFonts w:ascii="Arial" w:hAnsi="Arial" w:cs="Arial"/>
        <w:sz w:val="18"/>
        <w:szCs w:val="18"/>
      </w:rPr>
      <w:tab/>
    </w:r>
    <w:r w:rsidRPr="000F0CA5">
      <w:rPr>
        <w:rFonts w:ascii="Arial" w:hAnsi="Arial" w:cs="Arial"/>
        <w:sz w:val="18"/>
        <w:szCs w:val="18"/>
      </w:rPr>
      <w:tab/>
    </w:r>
    <w:r w:rsidRPr="000F0CA5">
      <w:rPr>
        <w:rFonts w:ascii="Arial" w:hAnsi="Arial" w:cs="Arial"/>
        <w:sz w:val="16"/>
        <w:szCs w:val="16"/>
      </w:rPr>
      <w:t xml:space="preserve">Page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PAGE </w:instrText>
    </w:r>
    <w:r w:rsidRPr="000F0CA5">
      <w:rPr>
        <w:rStyle w:val="PageNumber"/>
        <w:rFonts w:ascii="Arial" w:hAnsi="Arial" w:cs="Arial"/>
        <w:sz w:val="16"/>
        <w:szCs w:val="16"/>
      </w:rPr>
      <w:fldChar w:fldCharType="separate"/>
    </w:r>
    <w:r w:rsidR="006D42B7">
      <w:rPr>
        <w:rStyle w:val="PageNumber"/>
        <w:rFonts w:ascii="Arial" w:hAnsi="Arial" w:cs="Arial"/>
        <w:noProof/>
        <w:sz w:val="16"/>
        <w:szCs w:val="16"/>
      </w:rPr>
      <w:t>12</w:t>
    </w:r>
    <w:r w:rsidRPr="000F0CA5">
      <w:rPr>
        <w:rStyle w:val="PageNumber"/>
        <w:rFonts w:ascii="Arial" w:hAnsi="Arial" w:cs="Arial"/>
        <w:sz w:val="16"/>
        <w:szCs w:val="16"/>
      </w:rPr>
      <w:fldChar w:fldCharType="end"/>
    </w:r>
    <w:r w:rsidRPr="000F0CA5">
      <w:rPr>
        <w:rStyle w:val="PageNumber"/>
        <w:rFonts w:ascii="Arial" w:hAnsi="Arial" w:cs="Arial"/>
        <w:sz w:val="16"/>
        <w:szCs w:val="16"/>
      </w:rPr>
      <w:t xml:space="preserve"> of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NUMPAGES </w:instrText>
    </w:r>
    <w:r w:rsidRPr="000F0CA5">
      <w:rPr>
        <w:rStyle w:val="PageNumber"/>
        <w:rFonts w:ascii="Arial" w:hAnsi="Arial" w:cs="Arial"/>
        <w:sz w:val="16"/>
        <w:szCs w:val="16"/>
      </w:rPr>
      <w:fldChar w:fldCharType="separate"/>
    </w:r>
    <w:r w:rsidR="006D42B7">
      <w:rPr>
        <w:rStyle w:val="PageNumber"/>
        <w:rFonts w:ascii="Arial" w:hAnsi="Arial" w:cs="Arial"/>
        <w:noProof/>
        <w:sz w:val="16"/>
        <w:szCs w:val="16"/>
      </w:rPr>
      <w:t>12</w:t>
    </w:r>
    <w:r w:rsidRPr="000F0CA5">
      <w:rPr>
        <w:rStyle w:val="PageNumber"/>
        <w:rFonts w:ascii="Arial" w:hAnsi="Arial" w:cs="Arial"/>
        <w:sz w:val="16"/>
        <w:szCs w:val="16"/>
      </w:rPr>
      <w:fldChar w:fldCharType="end"/>
    </w:r>
  </w:p>
  <w:p w14:paraId="13B13E1A" w14:textId="77777777" w:rsidR="003B0049" w:rsidRPr="004634BF" w:rsidRDefault="003B0049" w:rsidP="000971B4">
    <w:pPr>
      <w:pStyle w:val="Footer"/>
      <w:pBdr>
        <w:top w:val="single" w:sz="4" w:space="0" w:color="auto"/>
      </w:pBdr>
      <w:rPr>
        <w:rFonts w:ascii="Arial" w:hAnsi="Arial" w:cs="Arial"/>
        <w:sz w:val="16"/>
        <w:szCs w:val="16"/>
        <w:lang w:val="en-GB"/>
      </w:rPr>
    </w:pPr>
    <w:r w:rsidRPr="004634BF">
      <w:rPr>
        <w:rFonts w:ascii="Arial" w:hAnsi="Arial" w:cs="Arial"/>
        <w:sz w:val="16"/>
        <w:szCs w:val="16"/>
        <w:lang w:val="en-GB"/>
      </w:rPr>
      <w:tab/>
    </w:r>
    <w:r w:rsidRPr="004634BF">
      <w:rPr>
        <w:rFonts w:ascii="Arial" w:hAnsi="Arial" w:cs="Arial"/>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5F415" w14:textId="77777777" w:rsidR="003E2A67" w:rsidRDefault="003E2A67">
      <w:r>
        <w:separator/>
      </w:r>
    </w:p>
  </w:footnote>
  <w:footnote w:type="continuationSeparator" w:id="0">
    <w:p w14:paraId="7917F4CD" w14:textId="77777777" w:rsidR="003E2A67" w:rsidRDefault="003E2A67">
      <w:r>
        <w:continuationSeparator/>
      </w:r>
    </w:p>
  </w:footnote>
  <w:footnote w:type="continuationNotice" w:id="1">
    <w:p w14:paraId="43CA275C" w14:textId="77777777" w:rsidR="003E2A67" w:rsidRDefault="003E2A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AFB1" w14:textId="246C22DE" w:rsidR="003B0049" w:rsidRPr="005C2A43" w:rsidRDefault="003B0049" w:rsidP="005C2A43">
    <w:pPr>
      <w:pStyle w:val="Heading1"/>
      <w:spacing w:line="276" w:lineRule="auto"/>
      <w:ind w:right="-286"/>
      <w:rPr>
        <w:color w:val="002060"/>
      </w:rPr>
    </w:pPr>
    <w:r w:rsidRPr="00E55781">
      <w:rPr>
        <w:color w:val="002060"/>
      </w:rPr>
      <w:t>NHS Golden Jubilee</w:t>
    </w:r>
    <w:r>
      <w:rPr>
        <w:color w:val="002060"/>
      </w:rPr>
      <w:t xml:space="preserve">                                                                                   </w:t>
    </w:r>
    <w:r w:rsidRPr="00E55781">
      <w:rPr>
        <w:noProof/>
        <w:lang w:eastAsia="en-GB"/>
      </w:rPr>
      <w:drawing>
        <wp:inline distT="0" distB="0" distL="0" distR="0" wp14:anchorId="66523B57" wp14:editId="7BBB610D">
          <wp:extent cx="1152525"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5D6E0D86" w14:textId="77777777" w:rsidR="003B0049" w:rsidRDefault="003B0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7781"/>
    <w:multiLevelType w:val="hybridMultilevel"/>
    <w:tmpl w:val="C8363B6C"/>
    <w:lvl w:ilvl="0" w:tplc="8B2229F6">
      <w:start w:val="1"/>
      <w:numFmt w:val="bullet"/>
      <w:lvlText w:val=""/>
      <w:lvlJc w:val="left"/>
      <w:pPr>
        <w:ind w:left="1070" w:hanging="360"/>
      </w:pPr>
      <w:rPr>
        <w:rFonts w:ascii="Symbol" w:hAnsi="Symbol" w:hint="default"/>
        <w:sz w:val="24"/>
        <w:szCs w:val="24"/>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8C670E"/>
    <w:multiLevelType w:val="hybridMultilevel"/>
    <w:tmpl w:val="AD7C0BD2"/>
    <w:lvl w:ilvl="0" w:tplc="8B2229F6">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 w15:restartNumberingAfterBreak="0">
    <w:nsid w:val="184C4317"/>
    <w:multiLevelType w:val="hybridMultilevel"/>
    <w:tmpl w:val="1338908C"/>
    <w:lvl w:ilvl="0" w:tplc="8B2229F6">
      <w:start w:val="1"/>
      <w:numFmt w:val="bullet"/>
      <w:lvlText w:val=""/>
      <w:lvlJc w:val="left"/>
      <w:pPr>
        <w:ind w:left="1070" w:hanging="360"/>
      </w:pPr>
      <w:rPr>
        <w:rFonts w:ascii="Symbol" w:hAnsi="Symbol" w:hint="default"/>
        <w:sz w:val="24"/>
        <w:szCs w:val="24"/>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B302858"/>
    <w:multiLevelType w:val="hybridMultilevel"/>
    <w:tmpl w:val="D7D0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C09CB"/>
    <w:multiLevelType w:val="hybridMultilevel"/>
    <w:tmpl w:val="D640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A2A39"/>
    <w:multiLevelType w:val="hybridMultilevel"/>
    <w:tmpl w:val="22800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81FBF"/>
    <w:multiLevelType w:val="hybridMultilevel"/>
    <w:tmpl w:val="D8DAA1CE"/>
    <w:lvl w:ilvl="0" w:tplc="B08209A0">
      <w:start w:val="1"/>
      <w:numFmt w:val="bullet"/>
      <w:pStyle w:val="bodytextbullets"/>
      <w:lvlText w:val=""/>
      <w:lvlJc w:val="left"/>
      <w:pPr>
        <w:tabs>
          <w:tab w:val="num" w:pos="473"/>
        </w:tabs>
        <w:ind w:left="170" w:hanging="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D23828"/>
    <w:multiLevelType w:val="hybridMultilevel"/>
    <w:tmpl w:val="BF2A33CE"/>
    <w:lvl w:ilvl="0" w:tplc="8B2229F6">
      <w:start w:val="1"/>
      <w:numFmt w:val="bullet"/>
      <w:lvlText w:val=""/>
      <w:lvlJc w:val="left"/>
      <w:pPr>
        <w:ind w:left="644" w:hanging="360"/>
      </w:pPr>
      <w:rPr>
        <w:rFonts w:ascii="Symbol" w:hAnsi="Symbol"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5705D2"/>
    <w:multiLevelType w:val="hybridMultilevel"/>
    <w:tmpl w:val="712652F6"/>
    <w:lvl w:ilvl="0" w:tplc="191208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6" w15:restartNumberingAfterBreak="0">
    <w:nsid w:val="648F1DD1"/>
    <w:multiLevelType w:val="hybridMultilevel"/>
    <w:tmpl w:val="3950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9787E"/>
    <w:multiLevelType w:val="hybridMultilevel"/>
    <w:tmpl w:val="BDA861D8"/>
    <w:lvl w:ilvl="0" w:tplc="8B2229F6">
      <w:start w:val="1"/>
      <w:numFmt w:val="bullet"/>
      <w:lvlText w:val=""/>
      <w:lvlJc w:val="left"/>
      <w:pPr>
        <w:ind w:left="107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4"/>
  </w:num>
  <w:num w:numId="4">
    <w:abstractNumId w:val="11"/>
  </w:num>
  <w:num w:numId="5">
    <w:abstractNumId w:val="7"/>
  </w:num>
  <w:num w:numId="6">
    <w:abstractNumId w:val="15"/>
  </w:num>
  <w:num w:numId="7">
    <w:abstractNumId w:val="18"/>
  </w:num>
  <w:num w:numId="8">
    <w:abstractNumId w:val="10"/>
  </w:num>
  <w:num w:numId="9">
    <w:abstractNumId w:val="4"/>
  </w:num>
  <w:num w:numId="10">
    <w:abstractNumId w:val="13"/>
  </w:num>
  <w:num w:numId="11">
    <w:abstractNumId w:val="5"/>
  </w:num>
  <w:num w:numId="12">
    <w:abstractNumId w:val="12"/>
  </w:num>
  <w:num w:numId="13">
    <w:abstractNumId w:val="6"/>
  </w:num>
  <w:num w:numId="14">
    <w:abstractNumId w:val="2"/>
  </w:num>
  <w:num w:numId="15">
    <w:abstractNumId w:val="0"/>
  </w:num>
  <w:num w:numId="16">
    <w:abstractNumId w:val="16"/>
  </w:num>
  <w:num w:numId="17">
    <w:abstractNumId w:val="3"/>
  </w:num>
  <w:num w:numId="18">
    <w:abstractNumId w:val="1"/>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02D3D"/>
    <w:rsid w:val="00000B75"/>
    <w:rsid w:val="000017FC"/>
    <w:rsid w:val="000029A0"/>
    <w:rsid w:val="00003430"/>
    <w:rsid w:val="0000577C"/>
    <w:rsid w:val="00007E0C"/>
    <w:rsid w:val="00010B95"/>
    <w:rsid w:val="00013F04"/>
    <w:rsid w:val="000152BF"/>
    <w:rsid w:val="00020F68"/>
    <w:rsid w:val="000244FF"/>
    <w:rsid w:val="00026A69"/>
    <w:rsid w:val="00031D15"/>
    <w:rsid w:val="0004038F"/>
    <w:rsid w:val="00047748"/>
    <w:rsid w:val="00052369"/>
    <w:rsid w:val="000601FB"/>
    <w:rsid w:val="000623D4"/>
    <w:rsid w:val="00066893"/>
    <w:rsid w:val="000744F8"/>
    <w:rsid w:val="00074C35"/>
    <w:rsid w:val="00076F3B"/>
    <w:rsid w:val="00084BBF"/>
    <w:rsid w:val="00085F51"/>
    <w:rsid w:val="000958CC"/>
    <w:rsid w:val="000971B4"/>
    <w:rsid w:val="000A24D8"/>
    <w:rsid w:val="000B2E6E"/>
    <w:rsid w:val="000B538A"/>
    <w:rsid w:val="000D6575"/>
    <w:rsid w:val="000D76CB"/>
    <w:rsid w:val="000E15F2"/>
    <w:rsid w:val="000F0CA5"/>
    <w:rsid w:val="000F156E"/>
    <w:rsid w:val="000F1B5E"/>
    <w:rsid w:val="000F2FC3"/>
    <w:rsid w:val="000F3A59"/>
    <w:rsid w:val="001005B7"/>
    <w:rsid w:val="001012EC"/>
    <w:rsid w:val="00104E33"/>
    <w:rsid w:val="001059B1"/>
    <w:rsid w:val="00105ADC"/>
    <w:rsid w:val="00106EA0"/>
    <w:rsid w:val="00115839"/>
    <w:rsid w:val="001177CE"/>
    <w:rsid w:val="0012096E"/>
    <w:rsid w:val="00120A5E"/>
    <w:rsid w:val="0012711F"/>
    <w:rsid w:val="00132670"/>
    <w:rsid w:val="0013297C"/>
    <w:rsid w:val="00135A9D"/>
    <w:rsid w:val="00137F62"/>
    <w:rsid w:val="00141AF8"/>
    <w:rsid w:val="00150DAF"/>
    <w:rsid w:val="001633A2"/>
    <w:rsid w:val="00164029"/>
    <w:rsid w:val="00166EBC"/>
    <w:rsid w:val="00174097"/>
    <w:rsid w:val="00174EED"/>
    <w:rsid w:val="00190E4F"/>
    <w:rsid w:val="00192434"/>
    <w:rsid w:val="001924B3"/>
    <w:rsid w:val="001A1CA6"/>
    <w:rsid w:val="001A22CC"/>
    <w:rsid w:val="001C251B"/>
    <w:rsid w:val="001D04AC"/>
    <w:rsid w:val="001D4F7E"/>
    <w:rsid w:val="001E41D4"/>
    <w:rsid w:val="001E7AA8"/>
    <w:rsid w:val="001F237A"/>
    <w:rsid w:val="001F2D4D"/>
    <w:rsid w:val="001F435C"/>
    <w:rsid w:val="00200FE6"/>
    <w:rsid w:val="0020524E"/>
    <w:rsid w:val="00211DBE"/>
    <w:rsid w:val="00220EA9"/>
    <w:rsid w:val="00234CA5"/>
    <w:rsid w:val="00235F79"/>
    <w:rsid w:val="002412CD"/>
    <w:rsid w:val="00246066"/>
    <w:rsid w:val="00253F0F"/>
    <w:rsid w:val="00255FBF"/>
    <w:rsid w:val="0026392F"/>
    <w:rsid w:val="00272CDA"/>
    <w:rsid w:val="0027362B"/>
    <w:rsid w:val="002752E5"/>
    <w:rsid w:val="00277B25"/>
    <w:rsid w:val="002833C7"/>
    <w:rsid w:val="00283FC9"/>
    <w:rsid w:val="00284B53"/>
    <w:rsid w:val="00292D49"/>
    <w:rsid w:val="002937F1"/>
    <w:rsid w:val="002A13B4"/>
    <w:rsid w:val="002A23BA"/>
    <w:rsid w:val="002B1B7B"/>
    <w:rsid w:val="002B2FF0"/>
    <w:rsid w:val="002C2AEF"/>
    <w:rsid w:val="002E321A"/>
    <w:rsid w:val="002E6CDB"/>
    <w:rsid w:val="002F6296"/>
    <w:rsid w:val="0030446D"/>
    <w:rsid w:val="0030649C"/>
    <w:rsid w:val="00307243"/>
    <w:rsid w:val="00310356"/>
    <w:rsid w:val="003103EA"/>
    <w:rsid w:val="003109BD"/>
    <w:rsid w:val="003132BE"/>
    <w:rsid w:val="003202AA"/>
    <w:rsid w:val="00321AFA"/>
    <w:rsid w:val="00323649"/>
    <w:rsid w:val="0033518D"/>
    <w:rsid w:val="00351A95"/>
    <w:rsid w:val="00353F98"/>
    <w:rsid w:val="003544D4"/>
    <w:rsid w:val="0036014C"/>
    <w:rsid w:val="00361E0A"/>
    <w:rsid w:val="00362D44"/>
    <w:rsid w:val="00366497"/>
    <w:rsid w:val="003675E5"/>
    <w:rsid w:val="00367F82"/>
    <w:rsid w:val="00370763"/>
    <w:rsid w:val="00372E96"/>
    <w:rsid w:val="00374C17"/>
    <w:rsid w:val="00375F7E"/>
    <w:rsid w:val="00386FB4"/>
    <w:rsid w:val="0038736E"/>
    <w:rsid w:val="00393115"/>
    <w:rsid w:val="00396767"/>
    <w:rsid w:val="003A0F2A"/>
    <w:rsid w:val="003A72E3"/>
    <w:rsid w:val="003B0049"/>
    <w:rsid w:val="003B38C9"/>
    <w:rsid w:val="003B5A21"/>
    <w:rsid w:val="003B7202"/>
    <w:rsid w:val="003C1696"/>
    <w:rsid w:val="003C202A"/>
    <w:rsid w:val="003C3FEE"/>
    <w:rsid w:val="003C4297"/>
    <w:rsid w:val="003D391D"/>
    <w:rsid w:val="003D5938"/>
    <w:rsid w:val="003D7945"/>
    <w:rsid w:val="003E2A67"/>
    <w:rsid w:val="003E3E7E"/>
    <w:rsid w:val="003E4930"/>
    <w:rsid w:val="003E76D7"/>
    <w:rsid w:val="003F0D12"/>
    <w:rsid w:val="003F0D92"/>
    <w:rsid w:val="003F4832"/>
    <w:rsid w:val="0040482D"/>
    <w:rsid w:val="00413475"/>
    <w:rsid w:val="0041471A"/>
    <w:rsid w:val="00416625"/>
    <w:rsid w:val="004179A2"/>
    <w:rsid w:val="004203C6"/>
    <w:rsid w:val="004306C8"/>
    <w:rsid w:val="00430BAA"/>
    <w:rsid w:val="004327E4"/>
    <w:rsid w:val="00434001"/>
    <w:rsid w:val="004344F5"/>
    <w:rsid w:val="00444CBC"/>
    <w:rsid w:val="00453C38"/>
    <w:rsid w:val="00455E29"/>
    <w:rsid w:val="00457D65"/>
    <w:rsid w:val="0046153F"/>
    <w:rsid w:val="00461A10"/>
    <w:rsid w:val="004634BF"/>
    <w:rsid w:val="00466BD2"/>
    <w:rsid w:val="00475E7B"/>
    <w:rsid w:val="00483363"/>
    <w:rsid w:val="004846AC"/>
    <w:rsid w:val="00485D3C"/>
    <w:rsid w:val="004901D1"/>
    <w:rsid w:val="004905F4"/>
    <w:rsid w:val="004907C9"/>
    <w:rsid w:val="004A2DCB"/>
    <w:rsid w:val="004A41EC"/>
    <w:rsid w:val="004B12F4"/>
    <w:rsid w:val="004B44C8"/>
    <w:rsid w:val="004C414C"/>
    <w:rsid w:val="004C603D"/>
    <w:rsid w:val="004D0E4E"/>
    <w:rsid w:val="004D13A2"/>
    <w:rsid w:val="004E39E8"/>
    <w:rsid w:val="00502D3D"/>
    <w:rsid w:val="005038CD"/>
    <w:rsid w:val="005052E4"/>
    <w:rsid w:val="005067E8"/>
    <w:rsid w:val="00510498"/>
    <w:rsid w:val="00512842"/>
    <w:rsid w:val="00513D19"/>
    <w:rsid w:val="00522F94"/>
    <w:rsid w:val="0054207E"/>
    <w:rsid w:val="00544EED"/>
    <w:rsid w:val="00551509"/>
    <w:rsid w:val="00557967"/>
    <w:rsid w:val="005611FA"/>
    <w:rsid w:val="005631A8"/>
    <w:rsid w:val="005644D7"/>
    <w:rsid w:val="00565FC2"/>
    <w:rsid w:val="005805F6"/>
    <w:rsid w:val="005856B2"/>
    <w:rsid w:val="00592263"/>
    <w:rsid w:val="005A062A"/>
    <w:rsid w:val="005A1907"/>
    <w:rsid w:val="005A395E"/>
    <w:rsid w:val="005A5D20"/>
    <w:rsid w:val="005B0E1F"/>
    <w:rsid w:val="005B3A71"/>
    <w:rsid w:val="005B5CAC"/>
    <w:rsid w:val="005B65AE"/>
    <w:rsid w:val="005B7471"/>
    <w:rsid w:val="005C2A43"/>
    <w:rsid w:val="005C3136"/>
    <w:rsid w:val="005D7980"/>
    <w:rsid w:val="005F1EF7"/>
    <w:rsid w:val="005F6394"/>
    <w:rsid w:val="00607D5D"/>
    <w:rsid w:val="00624B2F"/>
    <w:rsid w:val="00627964"/>
    <w:rsid w:val="006335B6"/>
    <w:rsid w:val="00641AE1"/>
    <w:rsid w:val="00642AC5"/>
    <w:rsid w:val="006442BF"/>
    <w:rsid w:val="00645FF7"/>
    <w:rsid w:val="00647418"/>
    <w:rsid w:val="00651A17"/>
    <w:rsid w:val="0066192C"/>
    <w:rsid w:val="00663270"/>
    <w:rsid w:val="00663386"/>
    <w:rsid w:val="00672625"/>
    <w:rsid w:val="006760D9"/>
    <w:rsid w:val="00683FE1"/>
    <w:rsid w:val="00693B7B"/>
    <w:rsid w:val="006974E4"/>
    <w:rsid w:val="006B022A"/>
    <w:rsid w:val="006B1A26"/>
    <w:rsid w:val="006B2942"/>
    <w:rsid w:val="006B6E34"/>
    <w:rsid w:val="006C4611"/>
    <w:rsid w:val="006D42B7"/>
    <w:rsid w:val="006D6290"/>
    <w:rsid w:val="006E2336"/>
    <w:rsid w:val="006E5C2A"/>
    <w:rsid w:val="006E7D77"/>
    <w:rsid w:val="006F366F"/>
    <w:rsid w:val="007017BD"/>
    <w:rsid w:val="00707351"/>
    <w:rsid w:val="00707F9F"/>
    <w:rsid w:val="00707FE9"/>
    <w:rsid w:val="00711BDB"/>
    <w:rsid w:val="00715F83"/>
    <w:rsid w:val="00716EFC"/>
    <w:rsid w:val="00725207"/>
    <w:rsid w:val="0072766A"/>
    <w:rsid w:val="007350AC"/>
    <w:rsid w:val="007361D7"/>
    <w:rsid w:val="00741079"/>
    <w:rsid w:val="007439A9"/>
    <w:rsid w:val="00753D1C"/>
    <w:rsid w:val="0075618B"/>
    <w:rsid w:val="00756E07"/>
    <w:rsid w:val="0075709D"/>
    <w:rsid w:val="00760AA5"/>
    <w:rsid w:val="0076124E"/>
    <w:rsid w:val="0076160D"/>
    <w:rsid w:val="007728E2"/>
    <w:rsid w:val="00773D91"/>
    <w:rsid w:val="00774133"/>
    <w:rsid w:val="00774862"/>
    <w:rsid w:val="00780B2A"/>
    <w:rsid w:val="007826BC"/>
    <w:rsid w:val="00784574"/>
    <w:rsid w:val="0079347E"/>
    <w:rsid w:val="007A4A06"/>
    <w:rsid w:val="007A5D55"/>
    <w:rsid w:val="007C22C2"/>
    <w:rsid w:val="007D61C3"/>
    <w:rsid w:val="007E3BBE"/>
    <w:rsid w:val="00811EF7"/>
    <w:rsid w:val="008156BB"/>
    <w:rsid w:val="00817102"/>
    <w:rsid w:val="008175D6"/>
    <w:rsid w:val="00821A9B"/>
    <w:rsid w:val="00822D12"/>
    <w:rsid w:val="00825EAF"/>
    <w:rsid w:val="00826185"/>
    <w:rsid w:val="008264FE"/>
    <w:rsid w:val="00831011"/>
    <w:rsid w:val="00835991"/>
    <w:rsid w:val="00836369"/>
    <w:rsid w:val="00842CED"/>
    <w:rsid w:val="00847749"/>
    <w:rsid w:val="00850C62"/>
    <w:rsid w:val="00861A3E"/>
    <w:rsid w:val="00873FA6"/>
    <w:rsid w:val="00875176"/>
    <w:rsid w:val="008831D1"/>
    <w:rsid w:val="0089382D"/>
    <w:rsid w:val="008940E8"/>
    <w:rsid w:val="00894546"/>
    <w:rsid w:val="008A463C"/>
    <w:rsid w:val="008B3AC5"/>
    <w:rsid w:val="008B5DC1"/>
    <w:rsid w:val="008C5A6B"/>
    <w:rsid w:val="008D0B72"/>
    <w:rsid w:val="008D3B6C"/>
    <w:rsid w:val="008D60DC"/>
    <w:rsid w:val="008E3432"/>
    <w:rsid w:val="008E3974"/>
    <w:rsid w:val="008F526E"/>
    <w:rsid w:val="008F7A9F"/>
    <w:rsid w:val="009018D8"/>
    <w:rsid w:val="00901E84"/>
    <w:rsid w:val="00906CEE"/>
    <w:rsid w:val="00907383"/>
    <w:rsid w:val="009075F5"/>
    <w:rsid w:val="00911D15"/>
    <w:rsid w:val="009135B9"/>
    <w:rsid w:val="009234DE"/>
    <w:rsid w:val="00931D30"/>
    <w:rsid w:val="009337EE"/>
    <w:rsid w:val="00946245"/>
    <w:rsid w:val="009513A7"/>
    <w:rsid w:val="00954BCB"/>
    <w:rsid w:val="00957272"/>
    <w:rsid w:val="0095736C"/>
    <w:rsid w:val="00957931"/>
    <w:rsid w:val="0096655F"/>
    <w:rsid w:val="00966A60"/>
    <w:rsid w:val="00970A49"/>
    <w:rsid w:val="00976758"/>
    <w:rsid w:val="00981173"/>
    <w:rsid w:val="00984EED"/>
    <w:rsid w:val="00990648"/>
    <w:rsid w:val="009957E0"/>
    <w:rsid w:val="00995FF9"/>
    <w:rsid w:val="009A0F80"/>
    <w:rsid w:val="009A2449"/>
    <w:rsid w:val="009A55EA"/>
    <w:rsid w:val="009A5659"/>
    <w:rsid w:val="009A6BD1"/>
    <w:rsid w:val="009C65F5"/>
    <w:rsid w:val="009D75C2"/>
    <w:rsid w:val="009D7A75"/>
    <w:rsid w:val="009E0F6F"/>
    <w:rsid w:val="009E55F2"/>
    <w:rsid w:val="009F11A1"/>
    <w:rsid w:val="009F654D"/>
    <w:rsid w:val="00A00EA2"/>
    <w:rsid w:val="00A21427"/>
    <w:rsid w:val="00A22D6F"/>
    <w:rsid w:val="00A267A6"/>
    <w:rsid w:val="00A31FBA"/>
    <w:rsid w:val="00A33588"/>
    <w:rsid w:val="00A34B1D"/>
    <w:rsid w:val="00A37862"/>
    <w:rsid w:val="00A46D7C"/>
    <w:rsid w:val="00A5516F"/>
    <w:rsid w:val="00A562B6"/>
    <w:rsid w:val="00A6311A"/>
    <w:rsid w:val="00A654C2"/>
    <w:rsid w:val="00A750D7"/>
    <w:rsid w:val="00A75B88"/>
    <w:rsid w:val="00A76F44"/>
    <w:rsid w:val="00AA0213"/>
    <w:rsid w:val="00AA0E43"/>
    <w:rsid w:val="00AA7350"/>
    <w:rsid w:val="00AB2F50"/>
    <w:rsid w:val="00AC41C1"/>
    <w:rsid w:val="00AC4785"/>
    <w:rsid w:val="00AD0564"/>
    <w:rsid w:val="00AD38ED"/>
    <w:rsid w:val="00AD7A58"/>
    <w:rsid w:val="00AD7B3D"/>
    <w:rsid w:val="00AE6D6B"/>
    <w:rsid w:val="00B019E5"/>
    <w:rsid w:val="00B0312B"/>
    <w:rsid w:val="00B11760"/>
    <w:rsid w:val="00B15CCC"/>
    <w:rsid w:val="00B177BB"/>
    <w:rsid w:val="00B23245"/>
    <w:rsid w:val="00B245CD"/>
    <w:rsid w:val="00B24B3F"/>
    <w:rsid w:val="00B3440E"/>
    <w:rsid w:val="00B34F99"/>
    <w:rsid w:val="00B36AE6"/>
    <w:rsid w:val="00B3731E"/>
    <w:rsid w:val="00B4118D"/>
    <w:rsid w:val="00B4155E"/>
    <w:rsid w:val="00B42158"/>
    <w:rsid w:val="00B4495F"/>
    <w:rsid w:val="00B450D7"/>
    <w:rsid w:val="00B5114C"/>
    <w:rsid w:val="00B541CF"/>
    <w:rsid w:val="00B61517"/>
    <w:rsid w:val="00B61D58"/>
    <w:rsid w:val="00B668FF"/>
    <w:rsid w:val="00B672AD"/>
    <w:rsid w:val="00B7398F"/>
    <w:rsid w:val="00B76356"/>
    <w:rsid w:val="00B807FF"/>
    <w:rsid w:val="00B81B3B"/>
    <w:rsid w:val="00B82696"/>
    <w:rsid w:val="00B86F5A"/>
    <w:rsid w:val="00B961CB"/>
    <w:rsid w:val="00BA529F"/>
    <w:rsid w:val="00BA61D2"/>
    <w:rsid w:val="00BA6400"/>
    <w:rsid w:val="00BB4697"/>
    <w:rsid w:val="00BC2235"/>
    <w:rsid w:val="00BC2348"/>
    <w:rsid w:val="00BC33C0"/>
    <w:rsid w:val="00BC3994"/>
    <w:rsid w:val="00BC52C9"/>
    <w:rsid w:val="00BC5360"/>
    <w:rsid w:val="00BC7416"/>
    <w:rsid w:val="00BD1B1B"/>
    <w:rsid w:val="00BD29FE"/>
    <w:rsid w:val="00BD46C9"/>
    <w:rsid w:val="00BD5CCB"/>
    <w:rsid w:val="00BD79A1"/>
    <w:rsid w:val="00BE11F3"/>
    <w:rsid w:val="00BE5B38"/>
    <w:rsid w:val="00BF543C"/>
    <w:rsid w:val="00C02030"/>
    <w:rsid w:val="00C05739"/>
    <w:rsid w:val="00C14E03"/>
    <w:rsid w:val="00C23367"/>
    <w:rsid w:val="00C306F9"/>
    <w:rsid w:val="00C3162C"/>
    <w:rsid w:val="00C3437C"/>
    <w:rsid w:val="00C42C59"/>
    <w:rsid w:val="00C46116"/>
    <w:rsid w:val="00C505C1"/>
    <w:rsid w:val="00C56130"/>
    <w:rsid w:val="00C616AB"/>
    <w:rsid w:val="00C637EB"/>
    <w:rsid w:val="00C72A1B"/>
    <w:rsid w:val="00C731E3"/>
    <w:rsid w:val="00C765E0"/>
    <w:rsid w:val="00C81158"/>
    <w:rsid w:val="00C85FE8"/>
    <w:rsid w:val="00C86143"/>
    <w:rsid w:val="00C93ED7"/>
    <w:rsid w:val="00CA346A"/>
    <w:rsid w:val="00CA7FA9"/>
    <w:rsid w:val="00CB038F"/>
    <w:rsid w:val="00CB447E"/>
    <w:rsid w:val="00CC1A31"/>
    <w:rsid w:val="00CC1B03"/>
    <w:rsid w:val="00CD0D45"/>
    <w:rsid w:val="00CD2964"/>
    <w:rsid w:val="00CD329D"/>
    <w:rsid w:val="00CD65BB"/>
    <w:rsid w:val="00CE2C8A"/>
    <w:rsid w:val="00CF0A74"/>
    <w:rsid w:val="00CF13E0"/>
    <w:rsid w:val="00CF4110"/>
    <w:rsid w:val="00D12479"/>
    <w:rsid w:val="00D14137"/>
    <w:rsid w:val="00D1789E"/>
    <w:rsid w:val="00D303B5"/>
    <w:rsid w:val="00D464E6"/>
    <w:rsid w:val="00D50A11"/>
    <w:rsid w:val="00D5543A"/>
    <w:rsid w:val="00D60CA6"/>
    <w:rsid w:val="00D62497"/>
    <w:rsid w:val="00D659F9"/>
    <w:rsid w:val="00D7095D"/>
    <w:rsid w:val="00D7238C"/>
    <w:rsid w:val="00D73103"/>
    <w:rsid w:val="00D92D5E"/>
    <w:rsid w:val="00D96721"/>
    <w:rsid w:val="00D97908"/>
    <w:rsid w:val="00DA45CA"/>
    <w:rsid w:val="00DB3B2C"/>
    <w:rsid w:val="00DB3F33"/>
    <w:rsid w:val="00DB49AC"/>
    <w:rsid w:val="00DB6E02"/>
    <w:rsid w:val="00DD69DC"/>
    <w:rsid w:val="00DE3358"/>
    <w:rsid w:val="00DE6BB8"/>
    <w:rsid w:val="00DF11EB"/>
    <w:rsid w:val="00DF74A6"/>
    <w:rsid w:val="00E00B87"/>
    <w:rsid w:val="00E06E4E"/>
    <w:rsid w:val="00E229E6"/>
    <w:rsid w:val="00E30B0F"/>
    <w:rsid w:val="00E32C66"/>
    <w:rsid w:val="00E34628"/>
    <w:rsid w:val="00E45200"/>
    <w:rsid w:val="00E4726D"/>
    <w:rsid w:val="00E54006"/>
    <w:rsid w:val="00E55781"/>
    <w:rsid w:val="00E56403"/>
    <w:rsid w:val="00E60FE4"/>
    <w:rsid w:val="00E61E1B"/>
    <w:rsid w:val="00E65CD3"/>
    <w:rsid w:val="00E834DB"/>
    <w:rsid w:val="00E94984"/>
    <w:rsid w:val="00EA10AC"/>
    <w:rsid w:val="00EA2602"/>
    <w:rsid w:val="00EA2F53"/>
    <w:rsid w:val="00EA4ADB"/>
    <w:rsid w:val="00EA5A4B"/>
    <w:rsid w:val="00EA670A"/>
    <w:rsid w:val="00EA7666"/>
    <w:rsid w:val="00EA7AAC"/>
    <w:rsid w:val="00EB26EA"/>
    <w:rsid w:val="00EB53F6"/>
    <w:rsid w:val="00EB6DC6"/>
    <w:rsid w:val="00ED296E"/>
    <w:rsid w:val="00ED6B38"/>
    <w:rsid w:val="00EE11C5"/>
    <w:rsid w:val="00EE2490"/>
    <w:rsid w:val="00EE6460"/>
    <w:rsid w:val="00F007D8"/>
    <w:rsid w:val="00F1218E"/>
    <w:rsid w:val="00F17799"/>
    <w:rsid w:val="00F251B8"/>
    <w:rsid w:val="00F32AB6"/>
    <w:rsid w:val="00F32F0B"/>
    <w:rsid w:val="00F32FBC"/>
    <w:rsid w:val="00F365D2"/>
    <w:rsid w:val="00F42386"/>
    <w:rsid w:val="00F476F7"/>
    <w:rsid w:val="00F5090F"/>
    <w:rsid w:val="00F5109B"/>
    <w:rsid w:val="00F512D7"/>
    <w:rsid w:val="00F549CE"/>
    <w:rsid w:val="00F54D3B"/>
    <w:rsid w:val="00F6383B"/>
    <w:rsid w:val="00F65A10"/>
    <w:rsid w:val="00F67176"/>
    <w:rsid w:val="00F70696"/>
    <w:rsid w:val="00F713A4"/>
    <w:rsid w:val="00F76B3B"/>
    <w:rsid w:val="00F91380"/>
    <w:rsid w:val="00F921A1"/>
    <w:rsid w:val="00FA111A"/>
    <w:rsid w:val="00FA4A85"/>
    <w:rsid w:val="00FA4AE5"/>
    <w:rsid w:val="00FB660D"/>
    <w:rsid w:val="00FB6A01"/>
    <w:rsid w:val="00FC5152"/>
    <w:rsid w:val="00FD3E91"/>
    <w:rsid w:val="00FE5122"/>
    <w:rsid w:val="00FE5D20"/>
    <w:rsid w:val="00FF364B"/>
    <w:rsid w:val="00FF5EFB"/>
    <w:rsid w:val="00FF67C1"/>
    <w:rsid w:val="014E8EBE"/>
    <w:rsid w:val="13190A8D"/>
    <w:rsid w:val="19608C9A"/>
    <w:rsid w:val="1E59D36B"/>
    <w:rsid w:val="260B528F"/>
    <w:rsid w:val="28A4FC32"/>
    <w:rsid w:val="298A1375"/>
    <w:rsid w:val="2DEB7A7D"/>
    <w:rsid w:val="2E389798"/>
    <w:rsid w:val="3328002F"/>
    <w:rsid w:val="34023C29"/>
    <w:rsid w:val="428EEDAA"/>
    <w:rsid w:val="55583080"/>
    <w:rsid w:val="56E67708"/>
    <w:rsid w:val="57761042"/>
    <w:rsid w:val="57C324FC"/>
    <w:rsid w:val="5C93D17B"/>
    <w:rsid w:val="677D2B15"/>
    <w:rsid w:val="6E259FA4"/>
    <w:rsid w:val="77577E43"/>
    <w:rsid w:val="7B28047D"/>
    <w:rsid w:val="7F598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63A1"/>
  <w15:docId w15:val="{8C0E5BEC-9EC0-4B2B-8826-7ECD5534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48"/>
    <w:rPr>
      <w:sz w:val="24"/>
      <w:szCs w:val="24"/>
      <w:lang w:val="en-US" w:eastAsia="en-US"/>
    </w:rPr>
  </w:style>
  <w:style w:type="paragraph" w:styleId="Heading1">
    <w:name w:val="heading 1"/>
    <w:basedOn w:val="Normal"/>
    <w:next w:val="Normal"/>
    <w:qFormat/>
    <w:rsid w:val="000958CC"/>
    <w:pPr>
      <w:keepNext/>
      <w:outlineLvl w:val="0"/>
    </w:pPr>
    <w:rPr>
      <w:rFonts w:ascii="Arial" w:hAnsi="Arial" w:cs="Arial"/>
      <w:b/>
      <w:bCs/>
      <w:sz w:val="28"/>
      <w:lang w:val="en-GB"/>
    </w:rPr>
  </w:style>
  <w:style w:type="paragraph" w:styleId="Heading2">
    <w:name w:val="heading 2"/>
    <w:basedOn w:val="Normal"/>
    <w:next w:val="Normal"/>
    <w:link w:val="Heading2Char"/>
    <w:unhideWhenUsed/>
    <w:qFormat/>
    <w:rsid w:val="00F007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E55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2D3D"/>
    <w:pPr>
      <w:tabs>
        <w:tab w:val="center" w:pos="4320"/>
        <w:tab w:val="right" w:pos="8640"/>
      </w:tabs>
    </w:pPr>
  </w:style>
  <w:style w:type="paragraph" w:styleId="Footer">
    <w:name w:val="footer"/>
    <w:basedOn w:val="Normal"/>
    <w:rsid w:val="00502D3D"/>
    <w:pPr>
      <w:tabs>
        <w:tab w:val="center" w:pos="4320"/>
        <w:tab w:val="right" w:pos="8640"/>
      </w:tabs>
    </w:pPr>
  </w:style>
  <w:style w:type="table" w:styleId="TableGrid">
    <w:name w:val="Table Grid"/>
    <w:basedOn w:val="TableNormal"/>
    <w:uiPriority w:val="39"/>
    <w:rsid w:val="00C3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34BF"/>
  </w:style>
  <w:style w:type="paragraph" w:customStyle="1" w:styleId="nhsbase">
    <w:name w:val="nhsbase"/>
    <w:basedOn w:val="Normal"/>
    <w:rsid w:val="00CF0A74"/>
    <w:rPr>
      <w:rFonts w:ascii="Arial" w:eastAsia="Arial Unicode MS" w:hAnsi="Arial" w:cs="Arial"/>
      <w:lang w:val="en-GB"/>
    </w:rPr>
  </w:style>
  <w:style w:type="paragraph" w:customStyle="1" w:styleId="nhsbase0">
    <w:name w:val="nhs_base"/>
    <w:basedOn w:val="Normal"/>
    <w:rsid w:val="0012096E"/>
    <w:rPr>
      <w:rFonts w:ascii="Arial" w:hAnsi="Arial"/>
      <w:kern w:val="16"/>
      <w:szCs w:val="20"/>
      <w:lang w:val="en-GB"/>
    </w:rPr>
  </w:style>
  <w:style w:type="paragraph" w:styleId="BodyText2">
    <w:name w:val="Body Text 2"/>
    <w:basedOn w:val="Normal"/>
    <w:rsid w:val="00353F98"/>
    <w:pPr>
      <w:spacing w:after="120" w:line="480" w:lineRule="auto"/>
    </w:pPr>
    <w:rPr>
      <w:sz w:val="20"/>
      <w:szCs w:val="20"/>
      <w:lang w:val="en-GB"/>
    </w:rPr>
  </w:style>
  <w:style w:type="paragraph" w:styleId="BalloonText">
    <w:name w:val="Balloon Text"/>
    <w:basedOn w:val="Normal"/>
    <w:semiHidden/>
    <w:rsid w:val="005611FA"/>
    <w:rPr>
      <w:rFonts w:ascii="Tahoma" w:hAnsi="Tahoma" w:cs="Tahoma"/>
      <w:sz w:val="16"/>
      <w:szCs w:val="16"/>
    </w:rPr>
  </w:style>
  <w:style w:type="paragraph" w:customStyle="1" w:styleId="nhsdept">
    <w:name w:val="nhs_dept"/>
    <w:basedOn w:val="Normal"/>
    <w:rsid w:val="000D6575"/>
    <w:rPr>
      <w:b/>
      <w:kern w:val="16"/>
      <w:sz w:val="28"/>
      <w:szCs w:val="20"/>
      <w:lang w:val="en-GB"/>
    </w:rPr>
  </w:style>
  <w:style w:type="character" w:styleId="Strong">
    <w:name w:val="Strong"/>
    <w:basedOn w:val="DefaultParagraphFont"/>
    <w:qFormat/>
    <w:rsid w:val="000623D4"/>
    <w:rPr>
      <w:b/>
      <w:bCs/>
    </w:rPr>
  </w:style>
  <w:style w:type="paragraph" w:styleId="BodyText">
    <w:name w:val="Body Text"/>
    <w:basedOn w:val="Normal"/>
    <w:rsid w:val="009E55F2"/>
    <w:pPr>
      <w:spacing w:after="120"/>
    </w:pPr>
  </w:style>
  <w:style w:type="character" w:styleId="Hyperlink">
    <w:name w:val="Hyperlink"/>
    <w:basedOn w:val="DefaultParagraphFont"/>
    <w:uiPriority w:val="99"/>
    <w:rsid w:val="009E55F2"/>
    <w:rPr>
      <w:color w:val="0000FF"/>
      <w:u w:val="single"/>
    </w:rPr>
  </w:style>
  <w:style w:type="paragraph" w:customStyle="1" w:styleId="bodytextbullets">
    <w:name w:val="bodytextbullets"/>
    <w:basedOn w:val="Normal"/>
    <w:rsid w:val="009E55F2"/>
    <w:pPr>
      <w:numPr>
        <w:numId w:val="1"/>
      </w:numPr>
      <w:spacing w:before="80"/>
      <w:ind w:left="0" w:firstLine="0"/>
    </w:pPr>
    <w:rPr>
      <w:rFonts w:ascii="Arial" w:hAnsi="Arial" w:cs="Arial"/>
    </w:rPr>
  </w:style>
  <w:style w:type="character" w:customStyle="1" w:styleId="samplebodytextchar">
    <w:name w:val="samplebodytextchar"/>
    <w:basedOn w:val="DefaultParagraphFont"/>
    <w:rsid w:val="009E55F2"/>
    <w:rPr>
      <w:rFonts w:ascii="Arial" w:hAnsi="Arial" w:cs="Arial" w:hint="default"/>
      <w:color w:val="0000FF"/>
    </w:rPr>
  </w:style>
  <w:style w:type="paragraph" w:customStyle="1" w:styleId="nhssignatue">
    <w:name w:val="nhssignatue"/>
    <w:basedOn w:val="Normal"/>
    <w:rsid w:val="009E55F2"/>
    <w:rPr>
      <w:rFonts w:ascii="Arial" w:hAnsi="Arial" w:cs="Arial"/>
      <w:b/>
      <w:bCs/>
    </w:rPr>
  </w:style>
  <w:style w:type="paragraph" w:styleId="DocumentMap">
    <w:name w:val="Document Map"/>
    <w:basedOn w:val="Normal"/>
    <w:semiHidden/>
    <w:rsid w:val="00510498"/>
    <w:pPr>
      <w:shd w:val="clear" w:color="auto" w:fill="000080"/>
    </w:pPr>
    <w:rPr>
      <w:rFonts w:ascii="Tahoma" w:hAnsi="Tahoma" w:cs="Tahoma"/>
      <w:sz w:val="20"/>
      <w:szCs w:val="20"/>
    </w:rPr>
  </w:style>
  <w:style w:type="paragraph" w:styleId="Subtitle">
    <w:name w:val="Subtitle"/>
    <w:basedOn w:val="Normal"/>
    <w:link w:val="SubtitleChar"/>
    <w:qFormat/>
    <w:rsid w:val="009A2449"/>
    <w:pPr>
      <w:jc w:val="center"/>
    </w:pPr>
    <w:rPr>
      <w:rFonts w:ascii="Arial" w:hAnsi="Arial" w:cs="Arial"/>
      <w:b/>
      <w:bCs/>
      <w:color w:val="FF0000"/>
      <w:lang w:val="en-GB"/>
    </w:rPr>
  </w:style>
  <w:style w:type="character" w:customStyle="1" w:styleId="SubtitleChar">
    <w:name w:val="Subtitle Char"/>
    <w:basedOn w:val="DefaultParagraphFont"/>
    <w:link w:val="Subtitle"/>
    <w:rsid w:val="009A2449"/>
    <w:rPr>
      <w:rFonts w:ascii="Arial" w:hAnsi="Arial" w:cs="Arial"/>
      <w:b/>
      <w:bCs/>
      <w:color w:val="FF0000"/>
      <w:sz w:val="24"/>
      <w:szCs w:val="24"/>
      <w:lang w:eastAsia="en-US"/>
    </w:rPr>
  </w:style>
  <w:style w:type="paragraph" w:styleId="ListParagraph">
    <w:name w:val="List Paragraph"/>
    <w:basedOn w:val="Normal"/>
    <w:uiPriority w:val="34"/>
    <w:qFormat/>
    <w:rsid w:val="005644D7"/>
    <w:pPr>
      <w:ind w:left="720"/>
      <w:contextualSpacing/>
    </w:pPr>
    <w:rPr>
      <w:rFonts w:ascii="Calibri" w:eastAsia="Calibri" w:hAnsi="Calibri" w:cs="Calibri"/>
      <w:sz w:val="22"/>
      <w:szCs w:val="22"/>
      <w:lang w:val="en-GB" w:eastAsia="en-GB"/>
    </w:rPr>
  </w:style>
  <w:style w:type="paragraph" w:customStyle="1" w:styleId="Default">
    <w:name w:val="Default"/>
    <w:link w:val="DefaultChar"/>
    <w:rsid w:val="005A1907"/>
    <w:pPr>
      <w:autoSpaceDE w:val="0"/>
      <w:autoSpaceDN w:val="0"/>
      <w:adjustRightInd w:val="0"/>
    </w:pPr>
    <w:rPr>
      <w:rFonts w:ascii="Arial" w:eastAsia="Calibri" w:hAnsi="Arial" w:cs="Arial"/>
      <w:color w:val="000000"/>
      <w:sz w:val="24"/>
      <w:szCs w:val="24"/>
      <w:lang w:eastAsia="en-US"/>
    </w:rPr>
  </w:style>
  <w:style w:type="paragraph" w:customStyle="1" w:styleId="Pa3">
    <w:name w:val="Pa3"/>
    <w:basedOn w:val="Default"/>
    <w:next w:val="Default"/>
    <w:uiPriority w:val="99"/>
    <w:rsid w:val="005D7980"/>
    <w:pPr>
      <w:spacing w:line="261" w:lineRule="atLeast"/>
    </w:pPr>
    <w:rPr>
      <w:rFonts w:eastAsia="Times New Roman"/>
      <w:color w:val="auto"/>
      <w:lang w:eastAsia="en-GB"/>
    </w:rPr>
  </w:style>
  <w:style w:type="paragraph" w:customStyle="1" w:styleId="Pa4">
    <w:name w:val="Pa4"/>
    <w:basedOn w:val="Default"/>
    <w:next w:val="Default"/>
    <w:uiPriority w:val="99"/>
    <w:rsid w:val="005D7980"/>
    <w:pPr>
      <w:spacing w:line="221" w:lineRule="atLeast"/>
    </w:pPr>
    <w:rPr>
      <w:rFonts w:eastAsia="Times New Roman"/>
      <w:color w:val="auto"/>
      <w:lang w:eastAsia="en-GB"/>
    </w:rPr>
  </w:style>
  <w:style w:type="paragraph" w:customStyle="1" w:styleId="Pa5">
    <w:name w:val="Pa5"/>
    <w:basedOn w:val="Default"/>
    <w:next w:val="Default"/>
    <w:uiPriority w:val="99"/>
    <w:rsid w:val="005D7980"/>
    <w:pPr>
      <w:spacing w:line="221" w:lineRule="atLeast"/>
    </w:pPr>
    <w:rPr>
      <w:rFonts w:eastAsia="Times New Roman"/>
      <w:color w:val="auto"/>
      <w:lang w:eastAsia="en-GB"/>
    </w:rPr>
  </w:style>
  <w:style w:type="character" w:customStyle="1" w:styleId="Heading2Char">
    <w:name w:val="Heading 2 Char"/>
    <w:basedOn w:val="DefaultParagraphFont"/>
    <w:link w:val="Heading2"/>
    <w:rsid w:val="00F007D8"/>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link w:val="Heading3"/>
    <w:rsid w:val="00F007D8"/>
    <w:rPr>
      <w:rFonts w:ascii="Arial" w:hAnsi="Arial" w:cs="Arial"/>
      <w:b/>
      <w:bCs/>
      <w:sz w:val="26"/>
      <w:szCs w:val="26"/>
      <w:lang w:val="en-US" w:eastAsia="en-US"/>
    </w:rPr>
  </w:style>
  <w:style w:type="character" w:styleId="CommentReference">
    <w:name w:val="annotation reference"/>
    <w:basedOn w:val="DefaultParagraphFont"/>
    <w:semiHidden/>
    <w:unhideWhenUsed/>
    <w:rsid w:val="00D464E6"/>
    <w:rPr>
      <w:sz w:val="16"/>
      <w:szCs w:val="16"/>
    </w:rPr>
  </w:style>
  <w:style w:type="paragraph" w:styleId="CommentText">
    <w:name w:val="annotation text"/>
    <w:basedOn w:val="Normal"/>
    <w:link w:val="CommentTextChar"/>
    <w:semiHidden/>
    <w:unhideWhenUsed/>
    <w:rsid w:val="00D464E6"/>
    <w:rPr>
      <w:sz w:val="20"/>
      <w:szCs w:val="20"/>
    </w:rPr>
  </w:style>
  <w:style w:type="character" w:customStyle="1" w:styleId="CommentTextChar">
    <w:name w:val="Comment Text Char"/>
    <w:basedOn w:val="DefaultParagraphFont"/>
    <w:link w:val="CommentText"/>
    <w:semiHidden/>
    <w:rsid w:val="00D464E6"/>
    <w:rPr>
      <w:lang w:val="en-US" w:eastAsia="en-US"/>
    </w:rPr>
  </w:style>
  <w:style w:type="paragraph" w:styleId="CommentSubject">
    <w:name w:val="annotation subject"/>
    <w:basedOn w:val="CommentText"/>
    <w:next w:val="CommentText"/>
    <w:link w:val="CommentSubjectChar"/>
    <w:semiHidden/>
    <w:unhideWhenUsed/>
    <w:rsid w:val="00D464E6"/>
    <w:rPr>
      <w:b/>
      <w:bCs/>
    </w:rPr>
  </w:style>
  <w:style w:type="character" w:customStyle="1" w:styleId="CommentSubjectChar">
    <w:name w:val="Comment Subject Char"/>
    <w:basedOn w:val="CommentTextChar"/>
    <w:link w:val="CommentSubject"/>
    <w:semiHidden/>
    <w:rsid w:val="00D464E6"/>
    <w:rPr>
      <w:b/>
      <w:bCs/>
      <w:lang w:val="en-US" w:eastAsia="en-US"/>
    </w:rPr>
  </w:style>
  <w:style w:type="paragraph" w:styleId="NormalWeb">
    <w:name w:val="Normal (Web)"/>
    <w:basedOn w:val="Normal"/>
    <w:uiPriority w:val="99"/>
    <w:semiHidden/>
    <w:unhideWhenUsed/>
    <w:rsid w:val="00120A5E"/>
    <w:pPr>
      <w:spacing w:before="100" w:beforeAutospacing="1" w:after="100" w:afterAutospacing="1"/>
    </w:pPr>
    <w:rPr>
      <w:lang w:val="en-GB" w:eastAsia="en-GB"/>
    </w:rPr>
  </w:style>
  <w:style w:type="table" w:styleId="GridTable4-Accent1">
    <w:name w:val="Grid Table 4 Accent 1"/>
    <w:basedOn w:val="TableNormal"/>
    <w:uiPriority w:val="49"/>
    <w:rsid w:val="004905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qFormat/>
    <w:rsid w:val="00D92D5E"/>
    <w:rPr>
      <w:i/>
      <w:iCs/>
    </w:rPr>
  </w:style>
  <w:style w:type="paragraph" w:styleId="TOCHeading">
    <w:name w:val="TOC Heading"/>
    <w:basedOn w:val="Heading1"/>
    <w:next w:val="Normal"/>
    <w:uiPriority w:val="39"/>
    <w:unhideWhenUsed/>
    <w:qFormat/>
    <w:rsid w:val="006335B6"/>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6335B6"/>
    <w:pPr>
      <w:spacing w:after="100"/>
    </w:pPr>
  </w:style>
  <w:style w:type="paragraph" w:styleId="TOC3">
    <w:name w:val="toc 3"/>
    <w:basedOn w:val="Normal"/>
    <w:next w:val="Normal"/>
    <w:autoRedefine/>
    <w:uiPriority w:val="39"/>
    <w:unhideWhenUsed/>
    <w:rsid w:val="00166EBC"/>
    <w:pPr>
      <w:tabs>
        <w:tab w:val="left" w:pos="1100"/>
        <w:tab w:val="right" w:leader="dot" w:pos="10659"/>
      </w:tabs>
      <w:spacing w:after="100"/>
      <w:ind w:left="240"/>
    </w:pPr>
  </w:style>
  <w:style w:type="paragraph" w:styleId="TOC2">
    <w:name w:val="toc 2"/>
    <w:basedOn w:val="Normal"/>
    <w:next w:val="Normal"/>
    <w:autoRedefine/>
    <w:uiPriority w:val="39"/>
    <w:unhideWhenUsed/>
    <w:rsid w:val="006335B6"/>
    <w:pPr>
      <w:spacing w:after="100"/>
      <w:ind w:left="240"/>
    </w:pPr>
  </w:style>
  <w:style w:type="paragraph" w:customStyle="1" w:styleId="Style1">
    <w:name w:val="Style1"/>
    <w:basedOn w:val="Default"/>
    <w:link w:val="Style1Char"/>
    <w:qFormat/>
    <w:rsid w:val="006335B6"/>
    <w:pPr>
      <w:ind w:left="426"/>
      <w:jc w:val="both"/>
    </w:pPr>
    <w:rPr>
      <w:color w:val="auto"/>
    </w:rPr>
  </w:style>
  <w:style w:type="character" w:customStyle="1" w:styleId="DefaultChar">
    <w:name w:val="Default Char"/>
    <w:basedOn w:val="DefaultParagraphFont"/>
    <w:link w:val="Default"/>
    <w:rsid w:val="006335B6"/>
    <w:rPr>
      <w:rFonts w:ascii="Arial" w:eastAsia="Calibri" w:hAnsi="Arial" w:cs="Arial"/>
      <w:color w:val="000000"/>
      <w:sz w:val="24"/>
      <w:szCs w:val="24"/>
      <w:lang w:eastAsia="en-US"/>
    </w:rPr>
  </w:style>
  <w:style w:type="character" w:customStyle="1" w:styleId="Style1Char">
    <w:name w:val="Style1 Char"/>
    <w:basedOn w:val="DefaultChar"/>
    <w:link w:val="Style1"/>
    <w:rsid w:val="006335B6"/>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9017">
      <w:bodyDiv w:val="1"/>
      <w:marLeft w:val="0"/>
      <w:marRight w:val="0"/>
      <w:marTop w:val="0"/>
      <w:marBottom w:val="0"/>
      <w:divBdr>
        <w:top w:val="none" w:sz="0" w:space="0" w:color="auto"/>
        <w:left w:val="none" w:sz="0" w:space="0" w:color="auto"/>
        <w:bottom w:val="none" w:sz="0" w:space="0" w:color="auto"/>
        <w:right w:val="none" w:sz="0" w:space="0" w:color="auto"/>
      </w:divBdr>
    </w:div>
    <w:div w:id="67702429">
      <w:bodyDiv w:val="1"/>
      <w:marLeft w:val="0"/>
      <w:marRight w:val="0"/>
      <w:marTop w:val="0"/>
      <w:marBottom w:val="0"/>
      <w:divBdr>
        <w:top w:val="none" w:sz="0" w:space="0" w:color="auto"/>
        <w:left w:val="none" w:sz="0" w:space="0" w:color="auto"/>
        <w:bottom w:val="none" w:sz="0" w:space="0" w:color="auto"/>
        <w:right w:val="none" w:sz="0" w:space="0" w:color="auto"/>
      </w:divBdr>
    </w:div>
    <w:div w:id="82337190">
      <w:bodyDiv w:val="1"/>
      <w:marLeft w:val="0"/>
      <w:marRight w:val="0"/>
      <w:marTop w:val="0"/>
      <w:marBottom w:val="0"/>
      <w:divBdr>
        <w:top w:val="none" w:sz="0" w:space="0" w:color="auto"/>
        <w:left w:val="none" w:sz="0" w:space="0" w:color="auto"/>
        <w:bottom w:val="none" w:sz="0" w:space="0" w:color="auto"/>
        <w:right w:val="none" w:sz="0" w:space="0" w:color="auto"/>
      </w:divBdr>
    </w:div>
    <w:div w:id="147786763">
      <w:bodyDiv w:val="1"/>
      <w:marLeft w:val="0"/>
      <w:marRight w:val="0"/>
      <w:marTop w:val="0"/>
      <w:marBottom w:val="0"/>
      <w:divBdr>
        <w:top w:val="none" w:sz="0" w:space="0" w:color="auto"/>
        <w:left w:val="none" w:sz="0" w:space="0" w:color="auto"/>
        <w:bottom w:val="none" w:sz="0" w:space="0" w:color="auto"/>
        <w:right w:val="none" w:sz="0" w:space="0" w:color="auto"/>
      </w:divBdr>
    </w:div>
    <w:div w:id="251083087">
      <w:bodyDiv w:val="1"/>
      <w:marLeft w:val="0"/>
      <w:marRight w:val="0"/>
      <w:marTop w:val="0"/>
      <w:marBottom w:val="0"/>
      <w:divBdr>
        <w:top w:val="none" w:sz="0" w:space="0" w:color="auto"/>
        <w:left w:val="none" w:sz="0" w:space="0" w:color="auto"/>
        <w:bottom w:val="none" w:sz="0" w:space="0" w:color="auto"/>
        <w:right w:val="none" w:sz="0" w:space="0" w:color="auto"/>
      </w:divBdr>
    </w:div>
    <w:div w:id="279530348">
      <w:bodyDiv w:val="1"/>
      <w:marLeft w:val="0"/>
      <w:marRight w:val="0"/>
      <w:marTop w:val="0"/>
      <w:marBottom w:val="0"/>
      <w:divBdr>
        <w:top w:val="none" w:sz="0" w:space="0" w:color="auto"/>
        <w:left w:val="none" w:sz="0" w:space="0" w:color="auto"/>
        <w:bottom w:val="none" w:sz="0" w:space="0" w:color="auto"/>
        <w:right w:val="none" w:sz="0" w:space="0" w:color="auto"/>
      </w:divBdr>
    </w:div>
    <w:div w:id="365374925">
      <w:bodyDiv w:val="1"/>
      <w:marLeft w:val="0"/>
      <w:marRight w:val="0"/>
      <w:marTop w:val="0"/>
      <w:marBottom w:val="0"/>
      <w:divBdr>
        <w:top w:val="none" w:sz="0" w:space="0" w:color="auto"/>
        <w:left w:val="none" w:sz="0" w:space="0" w:color="auto"/>
        <w:bottom w:val="none" w:sz="0" w:space="0" w:color="auto"/>
        <w:right w:val="none" w:sz="0" w:space="0" w:color="auto"/>
      </w:divBdr>
    </w:div>
    <w:div w:id="380449228">
      <w:bodyDiv w:val="1"/>
      <w:marLeft w:val="0"/>
      <w:marRight w:val="0"/>
      <w:marTop w:val="0"/>
      <w:marBottom w:val="0"/>
      <w:divBdr>
        <w:top w:val="none" w:sz="0" w:space="0" w:color="auto"/>
        <w:left w:val="none" w:sz="0" w:space="0" w:color="auto"/>
        <w:bottom w:val="none" w:sz="0" w:space="0" w:color="auto"/>
        <w:right w:val="none" w:sz="0" w:space="0" w:color="auto"/>
      </w:divBdr>
    </w:div>
    <w:div w:id="416248000">
      <w:bodyDiv w:val="1"/>
      <w:marLeft w:val="0"/>
      <w:marRight w:val="0"/>
      <w:marTop w:val="0"/>
      <w:marBottom w:val="0"/>
      <w:divBdr>
        <w:top w:val="none" w:sz="0" w:space="0" w:color="auto"/>
        <w:left w:val="none" w:sz="0" w:space="0" w:color="auto"/>
        <w:bottom w:val="none" w:sz="0" w:space="0" w:color="auto"/>
        <w:right w:val="none" w:sz="0" w:space="0" w:color="auto"/>
      </w:divBdr>
    </w:div>
    <w:div w:id="617492559">
      <w:bodyDiv w:val="1"/>
      <w:marLeft w:val="0"/>
      <w:marRight w:val="0"/>
      <w:marTop w:val="0"/>
      <w:marBottom w:val="0"/>
      <w:divBdr>
        <w:top w:val="none" w:sz="0" w:space="0" w:color="auto"/>
        <w:left w:val="none" w:sz="0" w:space="0" w:color="auto"/>
        <w:bottom w:val="none" w:sz="0" w:space="0" w:color="auto"/>
        <w:right w:val="none" w:sz="0" w:space="0" w:color="auto"/>
      </w:divBdr>
    </w:div>
    <w:div w:id="663892851">
      <w:bodyDiv w:val="1"/>
      <w:marLeft w:val="0"/>
      <w:marRight w:val="0"/>
      <w:marTop w:val="0"/>
      <w:marBottom w:val="0"/>
      <w:divBdr>
        <w:top w:val="none" w:sz="0" w:space="0" w:color="auto"/>
        <w:left w:val="none" w:sz="0" w:space="0" w:color="auto"/>
        <w:bottom w:val="none" w:sz="0" w:space="0" w:color="auto"/>
        <w:right w:val="none" w:sz="0" w:space="0" w:color="auto"/>
      </w:divBdr>
    </w:div>
    <w:div w:id="764619418">
      <w:bodyDiv w:val="1"/>
      <w:marLeft w:val="0"/>
      <w:marRight w:val="0"/>
      <w:marTop w:val="0"/>
      <w:marBottom w:val="0"/>
      <w:divBdr>
        <w:top w:val="none" w:sz="0" w:space="0" w:color="auto"/>
        <w:left w:val="none" w:sz="0" w:space="0" w:color="auto"/>
        <w:bottom w:val="none" w:sz="0" w:space="0" w:color="auto"/>
        <w:right w:val="none" w:sz="0" w:space="0" w:color="auto"/>
      </w:divBdr>
    </w:div>
    <w:div w:id="771969596">
      <w:bodyDiv w:val="1"/>
      <w:marLeft w:val="0"/>
      <w:marRight w:val="0"/>
      <w:marTop w:val="0"/>
      <w:marBottom w:val="0"/>
      <w:divBdr>
        <w:top w:val="none" w:sz="0" w:space="0" w:color="auto"/>
        <w:left w:val="none" w:sz="0" w:space="0" w:color="auto"/>
        <w:bottom w:val="none" w:sz="0" w:space="0" w:color="auto"/>
        <w:right w:val="none" w:sz="0" w:space="0" w:color="auto"/>
      </w:divBdr>
    </w:div>
    <w:div w:id="911625925">
      <w:bodyDiv w:val="1"/>
      <w:marLeft w:val="0"/>
      <w:marRight w:val="0"/>
      <w:marTop w:val="0"/>
      <w:marBottom w:val="0"/>
      <w:divBdr>
        <w:top w:val="none" w:sz="0" w:space="0" w:color="auto"/>
        <w:left w:val="none" w:sz="0" w:space="0" w:color="auto"/>
        <w:bottom w:val="none" w:sz="0" w:space="0" w:color="auto"/>
        <w:right w:val="none" w:sz="0" w:space="0" w:color="auto"/>
      </w:divBdr>
    </w:div>
    <w:div w:id="922377566">
      <w:bodyDiv w:val="1"/>
      <w:marLeft w:val="0"/>
      <w:marRight w:val="0"/>
      <w:marTop w:val="0"/>
      <w:marBottom w:val="0"/>
      <w:divBdr>
        <w:top w:val="none" w:sz="0" w:space="0" w:color="auto"/>
        <w:left w:val="none" w:sz="0" w:space="0" w:color="auto"/>
        <w:bottom w:val="none" w:sz="0" w:space="0" w:color="auto"/>
        <w:right w:val="none" w:sz="0" w:space="0" w:color="auto"/>
      </w:divBdr>
    </w:div>
    <w:div w:id="1008363030">
      <w:bodyDiv w:val="1"/>
      <w:marLeft w:val="0"/>
      <w:marRight w:val="0"/>
      <w:marTop w:val="0"/>
      <w:marBottom w:val="0"/>
      <w:divBdr>
        <w:top w:val="none" w:sz="0" w:space="0" w:color="auto"/>
        <w:left w:val="none" w:sz="0" w:space="0" w:color="auto"/>
        <w:bottom w:val="none" w:sz="0" w:space="0" w:color="auto"/>
        <w:right w:val="none" w:sz="0" w:space="0" w:color="auto"/>
      </w:divBdr>
    </w:div>
    <w:div w:id="1058823133">
      <w:bodyDiv w:val="1"/>
      <w:marLeft w:val="0"/>
      <w:marRight w:val="0"/>
      <w:marTop w:val="0"/>
      <w:marBottom w:val="0"/>
      <w:divBdr>
        <w:top w:val="none" w:sz="0" w:space="0" w:color="auto"/>
        <w:left w:val="none" w:sz="0" w:space="0" w:color="auto"/>
        <w:bottom w:val="none" w:sz="0" w:space="0" w:color="auto"/>
        <w:right w:val="none" w:sz="0" w:space="0" w:color="auto"/>
      </w:divBdr>
    </w:div>
    <w:div w:id="1155799386">
      <w:bodyDiv w:val="1"/>
      <w:marLeft w:val="0"/>
      <w:marRight w:val="0"/>
      <w:marTop w:val="0"/>
      <w:marBottom w:val="0"/>
      <w:divBdr>
        <w:top w:val="none" w:sz="0" w:space="0" w:color="auto"/>
        <w:left w:val="none" w:sz="0" w:space="0" w:color="auto"/>
        <w:bottom w:val="none" w:sz="0" w:space="0" w:color="auto"/>
        <w:right w:val="none" w:sz="0" w:space="0" w:color="auto"/>
      </w:divBdr>
    </w:div>
    <w:div w:id="1245334474">
      <w:bodyDiv w:val="1"/>
      <w:marLeft w:val="0"/>
      <w:marRight w:val="0"/>
      <w:marTop w:val="0"/>
      <w:marBottom w:val="0"/>
      <w:divBdr>
        <w:top w:val="none" w:sz="0" w:space="0" w:color="auto"/>
        <w:left w:val="none" w:sz="0" w:space="0" w:color="auto"/>
        <w:bottom w:val="none" w:sz="0" w:space="0" w:color="auto"/>
        <w:right w:val="none" w:sz="0" w:space="0" w:color="auto"/>
      </w:divBdr>
    </w:div>
    <w:div w:id="1306159472">
      <w:bodyDiv w:val="1"/>
      <w:marLeft w:val="0"/>
      <w:marRight w:val="0"/>
      <w:marTop w:val="0"/>
      <w:marBottom w:val="0"/>
      <w:divBdr>
        <w:top w:val="none" w:sz="0" w:space="0" w:color="auto"/>
        <w:left w:val="none" w:sz="0" w:space="0" w:color="auto"/>
        <w:bottom w:val="none" w:sz="0" w:space="0" w:color="auto"/>
        <w:right w:val="none" w:sz="0" w:space="0" w:color="auto"/>
      </w:divBdr>
    </w:div>
    <w:div w:id="1331565823">
      <w:bodyDiv w:val="1"/>
      <w:marLeft w:val="0"/>
      <w:marRight w:val="0"/>
      <w:marTop w:val="0"/>
      <w:marBottom w:val="0"/>
      <w:divBdr>
        <w:top w:val="none" w:sz="0" w:space="0" w:color="auto"/>
        <w:left w:val="none" w:sz="0" w:space="0" w:color="auto"/>
        <w:bottom w:val="none" w:sz="0" w:space="0" w:color="auto"/>
        <w:right w:val="none" w:sz="0" w:space="0" w:color="auto"/>
      </w:divBdr>
    </w:div>
    <w:div w:id="1389719997">
      <w:bodyDiv w:val="1"/>
      <w:marLeft w:val="0"/>
      <w:marRight w:val="0"/>
      <w:marTop w:val="0"/>
      <w:marBottom w:val="0"/>
      <w:divBdr>
        <w:top w:val="none" w:sz="0" w:space="0" w:color="auto"/>
        <w:left w:val="none" w:sz="0" w:space="0" w:color="auto"/>
        <w:bottom w:val="none" w:sz="0" w:space="0" w:color="auto"/>
        <w:right w:val="none" w:sz="0" w:space="0" w:color="auto"/>
      </w:divBdr>
    </w:div>
    <w:div w:id="1666591100">
      <w:bodyDiv w:val="1"/>
      <w:marLeft w:val="0"/>
      <w:marRight w:val="0"/>
      <w:marTop w:val="0"/>
      <w:marBottom w:val="0"/>
      <w:divBdr>
        <w:top w:val="none" w:sz="0" w:space="0" w:color="auto"/>
        <w:left w:val="none" w:sz="0" w:space="0" w:color="auto"/>
        <w:bottom w:val="none" w:sz="0" w:space="0" w:color="auto"/>
        <w:right w:val="none" w:sz="0" w:space="0" w:color="auto"/>
      </w:divBdr>
    </w:div>
    <w:div w:id="1720588448">
      <w:bodyDiv w:val="1"/>
      <w:marLeft w:val="0"/>
      <w:marRight w:val="0"/>
      <w:marTop w:val="0"/>
      <w:marBottom w:val="0"/>
      <w:divBdr>
        <w:top w:val="none" w:sz="0" w:space="0" w:color="auto"/>
        <w:left w:val="none" w:sz="0" w:space="0" w:color="auto"/>
        <w:bottom w:val="none" w:sz="0" w:space="0" w:color="auto"/>
        <w:right w:val="none" w:sz="0" w:space="0" w:color="auto"/>
      </w:divBdr>
    </w:div>
    <w:div w:id="1859419430">
      <w:bodyDiv w:val="1"/>
      <w:marLeft w:val="0"/>
      <w:marRight w:val="0"/>
      <w:marTop w:val="0"/>
      <w:marBottom w:val="0"/>
      <w:divBdr>
        <w:top w:val="none" w:sz="0" w:space="0" w:color="auto"/>
        <w:left w:val="none" w:sz="0" w:space="0" w:color="auto"/>
        <w:bottom w:val="none" w:sz="0" w:space="0" w:color="auto"/>
        <w:right w:val="none" w:sz="0" w:space="0" w:color="auto"/>
      </w:divBdr>
    </w:div>
    <w:div w:id="1896163893">
      <w:bodyDiv w:val="1"/>
      <w:marLeft w:val="0"/>
      <w:marRight w:val="0"/>
      <w:marTop w:val="0"/>
      <w:marBottom w:val="0"/>
      <w:divBdr>
        <w:top w:val="none" w:sz="0" w:space="0" w:color="auto"/>
        <w:left w:val="none" w:sz="0" w:space="0" w:color="auto"/>
        <w:bottom w:val="none" w:sz="0" w:space="0" w:color="auto"/>
        <w:right w:val="none" w:sz="0" w:space="0" w:color="auto"/>
      </w:divBdr>
    </w:div>
    <w:div w:id="2032141987">
      <w:bodyDiv w:val="1"/>
      <w:marLeft w:val="0"/>
      <w:marRight w:val="0"/>
      <w:marTop w:val="0"/>
      <w:marBottom w:val="0"/>
      <w:divBdr>
        <w:top w:val="none" w:sz="0" w:space="0" w:color="auto"/>
        <w:left w:val="none" w:sz="0" w:space="0" w:color="auto"/>
        <w:bottom w:val="none" w:sz="0" w:space="0" w:color="auto"/>
        <w:right w:val="none" w:sz="0" w:space="0" w:color="auto"/>
      </w:divBdr>
    </w:div>
    <w:div w:id="21312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7D9C543F58B54589ACFCAAAEF9F75E" ma:contentTypeVersion="0" ma:contentTypeDescription="Create a new document." ma:contentTypeScope="" ma:versionID="d1156b08efc13842014ce920d9d94fdb">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67BD1-0F40-447A-9E0C-6BC0AD896B08}">
  <ds:schemaRefs>
    <ds:schemaRef ds:uri="http://schemas.microsoft.com/sharepoint/v3/contenttype/forms"/>
  </ds:schemaRefs>
</ds:datastoreItem>
</file>

<file path=customXml/itemProps2.xml><?xml version="1.0" encoding="utf-8"?>
<ds:datastoreItem xmlns:ds="http://schemas.openxmlformats.org/officeDocument/2006/customXml" ds:itemID="{EB2CB52A-89F8-4509-A3FF-98262EF88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3C69A8-1EBF-4C5E-BC14-CC077A873DB3}">
  <ds:schemaRefs>
    <ds:schemaRef ds:uri="http://schemas.microsoft.com/office/2006/metadata/properties"/>
  </ds:schemaRefs>
</ds:datastoreItem>
</file>

<file path=customXml/itemProps4.xml><?xml version="1.0" encoding="utf-8"?>
<ds:datastoreItem xmlns:ds="http://schemas.openxmlformats.org/officeDocument/2006/customXml" ds:itemID="{FB3E148A-5EC6-42CB-88B3-6D10CAD4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Clinical Governance Dept</vt:lpstr>
    </vt:vector>
  </TitlesOfParts>
  <Company>GJNH</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Governance Dept</dc:title>
  <dc:creator>Lynn Heatley (NHS GOLDEN JUBILEE)</dc:creator>
  <cp:lastModifiedBy>Kevin McMahon (NHS GOLDEN JUBILEE)</cp:lastModifiedBy>
  <cp:revision>5</cp:revision>
  <cp:lastPrinted>2019-05-07T15:04:00Z</cp:lastPrinted>
  <dcterms:created xsi:type="dcterms:W3CDTF">2025-05-15T08:12:00Z</dcterms:created>
  <dcterms:modified xsi:type="dcterms:W3CDTF">2025-05-28T15:54:00Z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0x010100AB7D9C543F58B54589ACFCAAAEF9F75E</vt:lpwstr>
  </property>
</Properties>
</file>