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000E8A" w:rsidRDefault="0023473B" w:rsidP="00B77902">
      <w:pPr>
        <w:pStyle w:val="Heading3"/>
        <w:spacing w:line="360" w:lineRule="auto"/>
        <w:ind w:left="4536" w:hanging="4536"/>
        <w:rPr>
          <w:rStyle w:val="Heading3Char"/>
          <w:b/>
        </w:rPr>
      </w:pPr>
      <w:r w:rsidRPr="00AA77F7">
        <w:rPr>
          <w:rStyle w:val="Heading3Char"/>
          <w:b/>
        </w:rPr>
        <w:t>Meeting:</w:t>
      </w:r>
      <w:r w:rsidR="00B77902">
        <w:rPr>
          <w:rStyle w:val="Heading3Char"/>
          <w:b/>
        </w:rPr>
        <w:tab/>
      </w:r>
      <w:r w:rsidR="005125BD">
        <w:rPr>
          <w:rStyle w:val="Heading3Char"/>
          <w:b/>
        </w:rPr>
        <w:t>NHS Golden Jubilee Board</w:t>
      </w:r>
    </w:p>
    <w:p w:rsidR="009B1BFA" w:rsidRDefault="00430C09" w:rsidP="00B77902">
      <w:pPr>
        <w:pStyle w:val="Heading3"/>
        <w:spacing w:line="360" w:lineRule="auto"/>
        <w:ind w:left="4536" w:hanging="4536"/>
        <w:rPr>
          <w:rStyle w:val="Heading3Char"/>
          <w:b/>
        </w:rPr>
      </w:pPr>
      <w:r w:rsidRPr="00AA77F7">
        <w:rPr>
          <w:rStyle w:val="Heading3Char"/>
          <w:b/>
        </w:rPr>
        <w:t>Meeting dat</w:t>
      </w:r>
      <w:r w:rsidR="0023473B" w:rsidRPr="00AA77F7">
        <w:rPr>
          <w:rStyle w:val="Heading3Char"/>
          <w:b/>
        </w:rPr>
        <w:t>e:</w:t>
      </w:r>
      <w:r w:rsidR="00B77902">
        <w:rPr>
          <w:rStyle w:val="Heading3Char"/>
          <w:b/>
        </w:rPr>
        <w:tab/>
      </w:r>
      <w:r w:rsidR="005125BD">
        <w:rPr>
          <w:rStyle w:val="Heading3Char"/>
          <w:b/>
        </w:rPr>
        <w:t>29</w:t>
      </w:r>
      <w:r w:rsidR="00000E8A">
        <w:rPr>
          <w:rStyle w:val="Heading3Char"/>
          <w:b/>
        </w:rPr>
        <w:t xml:space="preserve"> May 2025</w:t>
      </w:r>
    </w:p>
    <w:p w:rsidR="00B77902" w:rsidRPr="00000E8A" w:rsidRDefault="00430C09" w:rsidP="00B77902">
      <w:pPr>
        <w:pStyle w:val="Heading3"/>
        <w:spacing w:line="360" w:lineRule="auto"/>
        <w:ind w:left="4536" w:hanging="4536"/>
        <w:rPr>
          <w:rStyle w:val="Heading3Char"/>
          <w:b/>
        </w:rPr>
      </w:pPr>
      <w:r w:rsidRPr="00AF356A">
        <w:rPr>
          <w:rStyle w:val="Heading3Char"/>
          <w:b/>
        </w:rPr>
        <w:t>Title</w:t>
      </w:r>
      <w:r w:rsidR="00AA77F7" w:rsidRPr="00AF356A">
        <w:rPr>
          <w:rStyle w:val="Heading3Char"/>
          <w:b/>
        </w:rPr>
        <w:t>:</w:t>
      </w:r>
      <w:r w:rsidR="00B77902">
        <w:rPr>
          <w:rStyle w:val="Heading3Char"/>
          <w:b/>
        </w:rPr>
        <w:tab/>
      </w:r>
      <w:r w:rsidR="00000E8A" w:rsidRPr="00000E8A">
        <w:rPr>
          <w:rStyle w:val="Heading3Char"/>
          <w:b/>
        </w:rPr>
        <w:t>Golden Jubilee Research Institute Annual Report</w:t>
      </w:r>
    </w:p>
    <w:p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000E8A">
        <w:rPr>
          <w:rStyle w:val="Heading3Char"/>
          <w:b/>
        </w:rPr>
        <w:t>Mark MacGregor</w:t>
      </w:r>
      <w:r w:rsidR="00A50082">
        <w:rPr>
          <w:rStyle w:val="Heading3Char"/>
          <w:b/>
        </w:rPr>
        <w:t>, Medical Director</w:t>
      </w:r>
    </w:p>
    <w:p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000E8A">
        <w:rPr>
          <w:rStyle w:val="Heading3Char"/>
          <w:b/>
        </w:rPr>
        <w:t>Catherine Sinclair</w:t>
      </w:r>
      <w:r w:rsidR="00A50082">
        <w:rPr>
          <w:rStyle w:val="Heading3Char"/>
          <w:b/>
        </w:rPr>
        <w:t>, Head of Research</w:t>
      </w:r>
    </w:p>
    <w:p w:rsidR="00B77902" w:rsidRPr="00B77902" w:rsidRDefault="00B77902" w:rsidP="00B77902"/>
    <w:p w:rsidR="009807B4" w:rsidRPr="00E85492" w:rsidRDefault="00BF3AF0" w:rsidP="00E85492">
      <w:pPr>
        <w:pStyle w:val="Heading2"/>
        <w:spacing w:line="276" w:lineRule="auto"/>
      </w:pPr>
      <w:r>
        <w:t>1</w:t>
      </w:r>
      <w:r>
        <w:tab/>
      </w:r>
      <w:r w:rsidR="00430C09" w:rsidRPr="00F05C63">
        <w:t>Purpose</w:t>
      </w:r>
    </w:p>
    <w:p w:rsidR="009828B9" w:rsidRPr="00E85492" w:rsidRDefault="00430C09" w:rsidP="009828B9">
      <w:pPr>
        <w:autoSpaceDE w:val="0"/>
        <w:autoSpaceDN w:val="0"/>
        <w:adjustRightInd w:val="0"/>
        <w:spacing w:before="40" w:after="40" w:line="276" w:lineRule="auto"/>
        <w:ind w:left="720"/>
        <w:rPr>
          <w:rFonts w:cs="Arial"/>
          <w:b/>
          <w:color w:val="000000"/>
          <w:szCs w:val="24"/>
          <w:lang w:eastAsia="en-GB"/>
        </w:rPr>
      </w:pPr>
      <w:r w:rsidRPr="00E85492">
        <w:rPr>
          <w:b/>
          <w:lang w:eastAsia="en-GB"/>
        </w:rPr>
        <w:t>This</w:t>
      </w:r>
      <w:r w:rsidR="00446219" w:rsidRPr="00E85492">
        <w:rPr>
          <w:b/>
          <w:lang w:eastAsia="en-GB"/>
        </w:rPr>
        <w:t xml:space="preserve"> is presented to </w:t>
      </w:r>
      <w:r w:rsidR="005125BD">
        <w:rPr>
          <w:b/>
          <w:lang w:eastAsia="en-GB"/>
        </w:rPr>
        <w:t>NHS Golden Jubilee Board</w:t>
      </w:r>
      <w:r w:rsidR="00E85492">
        <w:rPr>
          <w:b/>
          <w:lang w:eastAsia="en-GB"/>
        </w:rPr>
        <w:t xml:space="preserve"> Committee</w:t>
      </w:r>
      <w:r w:rsidR="00446219" w:rsidRPr="00E85492">
        <w:rPr>
          <w:b/>
          <w:lang w:eastAsia="en-GB"/>
        </w:rPr>
        <w:t xml:space="preserve"> for: </w:t>
      </w:r>
    </w:p>
    <w:p w:rsidR="009807B4" w:rsidRPr="00000E8A" w:rsidRDefault="009807B4" w:rsidP="00687746">
      <w:pPr>
        <w:pStyle w:val="Heading3"/>
        <w:numPr>
          <w:ilvl w:val="0"/>
          <w:numId w:val="3"/>
        </w:numPr>
        <w:spacing w:line="276" w:lineRule="auto"/>
        <w:ind w:left="1080"/>
        <w:rPr>
          <w:b w:val="0"/>
          <w:lang w:eastAsia="en-GB"/>
        </w:rPr>
      </w:pPr>
      <w:r w:rsidRPr="00000E8A">
        <w:rPr>
          <w:b w:val="0"/>
          <w:lang w:eastAsia="en-GB"/>
        </w:rPr>
        <w:t>Awareness</w:t>
      </w:r>
    </w:p>
    <w:p w:rsidR="00430C09" w:rsidRDefault="009807B4" w:rsidP="00687746">
      <w:pPr>
        <w:pStyle w:val="Heading3"/>
        <w:numPr>
          <w:ilvl w:val="0"/>
          <w:numId w:val="3"/>
        </w:numPr>
        <w:spacing w:line="276" w:lineRule="auto"/>
        <w:ind w:left="1080"/>
        <w:rPr>
          <w:b w:val="0"/>
          <w:lang w:eastAsia="en-GB"/>
        </w:rPr>
      </w:pPr>
      <w:r w:rsidRPr="00000E8A">
        <w:rPr>
          <w:b w:val="0"/>
          <w:lang w:eastAsia="en-GB"/>
        </w:rPr>
        <w:t>Discussion</w:t>
      </w:r>
      <w:r w:rsidR="00F13B57">
        <w:rPr>
          <w:b w:val="0"/>
          <w:lang w:eastAsia="en-GB"/>
        </w:rPr>
        <w:t xml:space="preserve"> and approval</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9828B9">
        <w:rPr>
          <w:lang w:eastAsia="en-GB"/>
        </w:rPr>
        <w:t xml:space="preserve"> </w:t>
      </w:r>
    </w:p>
    <w:p w:rsidR="009807B4" w:rsidRPr="00000E8A" w:rsidRDefault="009807B4" w:rsidP="00687746">
      <w:pPr>
        <w:pStyle w:val="ListParagraph"/>
        <w:numPr>
          <w:ilvl w:val="0"/>
          <w:numId w:val="1"/>
        </w:numPr>
        <w:autoSpaceDE w:val="0"/>
        <w:autoSpaceDN w:val="0"/>
        <w:adjustRightInd w:val="0"/>
        <w:spacing w:before="40" w:after="40" w:line="276" w:lineRule="auto"/>
        <w:ind w:left="1080"/>
        <w:rPr>
          <w:rFonts w:ascii="Arial" w:hAnsi="Arial" w:cs="Arial"/>
          <w:color w:val="000000"/>
          <w:sz w:val="24"/>
          <w:szCs w:val="24"/>
        </w:rPr>
      </w:pPr>
      <w:r w:rsidRPr="00000E8A">
        <w:rPr>
          <w:rFonts w:ascii="Arial" w:hAnsi="Arial" w:cs="Arial"/>
          <w:color w:val="000000"/>
          <w:sz w:val="24"/>
          <w:szCs w:val="24"/>
        </w:rPr>
        <w:t xml:space="preserve">Annual </w:t>
      </w:r>
      <w:r w:rsidR="00000E8A" w:rsidRPr="00000E8A">
        <w:rPr>
          <w:rFonts w:ascii="Arial" w:hAnsi="Arial" w:cs="Arial"/>
          <w:color w:val="000000"/>
          <w:sz w:val="24"/>
          <w:szCs w:val="24"/>
        </w:rPr>
        <w:t>Report</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000E8A" w:rsidRPr="00000E8A" w:rsidRDefault="00430C09" w:rsidP="00000E8A">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rsidR="003F7F61" w:rsidRPr="00000E8A" w:rsidRDefault="003F7F61" w:rsidP="00687746">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sidRPr="00000E8A">
        <w:rPr>
          <w:rFonts w:ascii="Arial" w:hAnsi="Arial" w:cs="Arial"/>
          <w:color w:val="000000"/>
          <w:sz w:val="24"/>
          <w:szCs w:val="24"/>
        </w:rPr>
        <w:t>Safe</w:t>
      </w:r>
    </w:p>
    <w:p w:rsidR="009807B4" w:rsidRPr="00000E8A" w:rsidRDefault="009807B4" w:rsidP="00687746">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sidRPr="00000E8A">
        <w:rPr>
          <w:rFonts w:ascii="Arial" w:hAnsi="Arial" w:cs="Arial"/>
          <w:color w:val="000000"/>
          <w:sz w:val="24"/>
          <w:szCs w:val="24"/>
        </w:rPr>
        <w:t>Effective</w:t>
      </w:r>
    </w:p>
    <w:p w:rsidR="009807B4" w:rsidRPr="00000E8A" w:rsidRDefault="009807B4" w:rsidP="00687746">
      <w:pPr>
        <w:pStyle w:val="ListParagraph"/>
        <w:numPr>
          <w:ilvl w:val="0"/>
          <w:numId w:val="2"/>
        </w:numPr>
        <w:autoSpaceDE w:val="0"/>
        <w:autoSpaceDN w:val="0"/>
        <w:adjustRightInd w:val="0"/>
        <w:spacing w:before="40" w:after="40" w:line="276" w:lineRule="auto"/>
        <w:ind w:left="1080"/>
        <w:rPr>
          <w:rFonts w:ascii="Arial" w:hAnsi="Arial" w:cs="Arial"/>
          <w:color w:val="000000"/>
          <w:sz w:val="24"/>
          <w:szCs w:val="24"/>
        </w:rPr>
      </w:pPr>
      <w:r w:rsidRPr="00000E8A">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00E8A"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r w:rsidR="00000E8A">
        <w:rPr>
          <w:rFonts w:cs="Arial"/>
          <w:b/>
          <w:color w:val="000000"/>
          <w:szCs w:val="24"/>
        </w:rPr>
        <w:t>:</w:t>
      </w:r>
    </w:p>
    <w:p w:rsidR="00B546C8" w:rsidRPr="00000E8A" w:rsidRDefault="009B1BFA" w:rsidP="00687746">
      <w:pPr>
        <w:pStyle w:val="ListParagraph"/>
        <w:numPr>
          <w:ilvl w:val="0"/>
          <w:numId w:val="5"/>
        </w:numPr>
        <w:autoSpaceDE w:val="0"/>
        <w:autoSpaceDN w:val="0"/>
        <w:adjustRightInd w:val="0"/>
        <w:spacing w:before="40" w:after="40" w:line="276" w:lineRule="auto"/>
        <w:ind w:left="1134"/>
        <w:rPr>
          <w:rFonts w:cs="Arial"/>
          <w:color w:val="000000"/>
          <w:szCs w:val="24"/>
        </w:rPr>
      </w:pPr>
      <w:r w:rsidRPr="00000E8A">
        <w:rPr>
          <w:rFonts w:ascii="Arial" w:hAnsi="Arial" w:cs="Arial"/>
          <w:color w:val="000000"/>
          <w:sz w:val="24"/>
          <w:szCs w:val="24"/>
        </w:rPr>
        <w:t>Leadership, Strategy and Risk</w:t>
      </w:r>
    </w:p>
    <w:p w:rsidR="009B1BFA" w:rsidRPr="00000E8A" w:rsidRDefault="009B1BFA" w:rsidP="00687746">
      <w:pPr>
        <w:pStyle w:val="ListParagraph"/>
        <w:numPr>
          <w:ilvl w:val="0"/>
          <w:numId w:val="5"/>
        </w:numPr>
        <w:autoSpaceDE w:val="0"/>
        <w:autoSpaceDN w:val="0"/>
        <w:adjustRightInd w:val="0"/>
        <w:spacing w:before="40" w:after="40" w:line="276" w:lineRule="auto"/>
        <w:ind w:left="1134"/>
        <w:rPr>
          <w:rFonts w:ascii="Arial" w:hAnsi="Arial" w:cs="Arial"/>
          <w:color w:val="000000"/>
          <w:sz w:val="24"/>
          <w:szCs w:val="24"/>
        </w:rPr>
      </w:pPr>
      <w:r w:rsidRPr="00000E8A">
        <w:rPr>
          <w:rFonts w:ascii="Arial" w:hAnsi="Arial" w:cs="Arial"/>
          <w:color w:val="000000"/>
          <w:sz w:val="24"/>
          <w:szCs w:val="24"/>
        </w:rPr>
        <w:t>High Performing Organisation</w:t>
      </w:r>
    </w:p>
    <w:p w:rsidR="009B1BFA" w:rsidRPr="00000E8A" w:rsidRDefault="009B1BFA" w:rsidP="00687746">
      <w:pPr>
        <w:pStyle w:val="ListParagraph"/>
        <w:numPr>
          <w:ilvl w:val="0"/>
          <w:numId w:val="5"/>
        </w:numPr>
        <w:autoSpaceDE w:val="0"/>
        <w:autoSpaceDN w:val="0"/>
        <w:adjustRightInd w:val="0"/>
        <w:spacing w:before="40" w:after="40" w:line="276" w:lineRule="auto"/>
        <w:ind w:left="1134"/>
        <w:rPr>
          <w:rFonts w:ascii="Arial" w:hAnsi="Arial" w:cs="Arial"/>
          <w:color w:val="000000"/>
          <w:sz w:val="24"/>
          <w:szCs w:val="24"/>
        </w:rPr>
      </w:pPr>
      <w:r w:rsidRPr="00000E8A">
        <w:rPr>
          <w:rFonts w:ascii="Arial" w:hAnsi="Arial" w:cs="Arial"/>
          <w:color w:val="000000"/>
          <w:sz w:val="24"/>
          <w:szCs w:val="24"/>
        </w:rPr>
        <w:t>Optimal Workforce</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B42AF" w:rsidRDefault="009B139C" w:rsidP="00BF3AF0">
      <w:pPr>
        <w:spacing w:before="40" w:after="40" w:line="276" w:lineRule="auto"/>
        <w:ind w:left="720"/>
        <w:rPr>
          <w:rFonts w:cs="Arial"/>
          <w:color w:val="000000"/>
          <w:szCs w:val="24"/>
        </w:rPr>
      </w:pPr>
      <w:r w:rsidRPr="009B139C">
        <w:rPr>
          <w:rFonts w:cs="Arial"/>
          <w:color w:val="000000"/>
          <w:szCs w:val="24"/>
        </w:rPr>
        <w:t>An An</w:t>
      </w:r>
      <w:r w:rsidR="00A50082">
        <w:rPr>
          <w:rFonts w:cs="Arial"/>
          <w:color w:val="000000"/>
          <w:szCs w:val="24"/>
        </w:rPr>
        <w:t>nual Report was requested by Finance and Performance Committee</w:t>
      </w:r>
      <w:r>
        <w:rPr>
          <w:rFonts w:cs="Arial"/>
          <w:color w:val="000000"/>
          <w:szCs w:val="24"/>
        </w:rPr>
        <w:t>. It covers the 24/25 reporting period. Note that the Q4 performance report is attached as an appendix.</w:t>
      </w:r>
    </w:p>
    <w:p w:rsidR="004B42AF" w:rsidRDefault="004B42AF" w:rsidP="00BF3AF0">
      <w:pPr>
        <w:spacing w:before="40" w:after="40" w:line="276" w:lineRule="auto"/>
        <w:ind w:left="720"/>
        <w:rPr>
          <w:rFonts w:cs="Arial"/>
          <w:color w:val="000000"/>
          <w:szCs w:val="24"/>
        </w:rPr>
      </w:pPr>
    </w:p>
    <w:p w:rsidR="004B42AF" w:rsidRDefault="004B42AF" w:rsidP="00BF3AF0">
      <w:pPr>
        <w:spacing w:before="40" w:after="40" w:line="276" w:lineRule="auto"/>
        <w:ind w:left="720"/>
        <w:rPr>
          <w:rFonts w:cs="Arial"/>
          <w:color w:val="000000"/>
          <w:szCs w:val="24"/>
        </w:rPr>
      </w:pPr>
      <w:r>
        <w:rPr>
          <w:rFonts w:cs="Arial"/>
          <w:color w:val="000000"/>
          <w:szCs w:val="24"/>
        </w:rPr>
        <w:t xml:space="preserve">For ease of reference, the quarterly and annually reported Key Performance Indicators are listed in the tables below. </w:t>
      </w:r>
    </w:p>
    <w:p w:rsidR="004B42AF" w:rsidRDefault="004B42AF" w:rsidP="004B42AF">
      <w:r>
        <w:br w:type="page"/>
      </w:r>
    </w:p>
    <w:tbl>
      <w:tblPr>
        <w:tblStyle w:val="TableGrid"/>
        <w:tblW w:w="9712" w:type="dxa"/>
        <w:tblLook w:val="04A0" w:firstRow="1" w:lastRow="0" w:firstColumn="1" w:lastColumn="0" w:noHBand="0" w:noVBand="1"/>
      </w:tblPr>
      <w:tblGrid>
        <w:gridCol w:w="537"/>
        <w:gridCol w:w="1727"/>
        <w:gridCol w:w="1033"/>
        <w:gridCol w:w="1095"/>
        <w:gridCol w:w="1054"/>
        <w:gridCol w:w="1046"/>
        <w:gridCol w:w="1027"/>
        <w:gridCol w:w="1006"/>
        <w:gridCol w:w="1187"/>
      </w:tblGrid>
      <w:tr w:rsid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lastRenderedPageBreak/>
              <w:t>KPI</w:t>
            </w:r>
          </w:p>
        </w:tc>
        <w:tc>
          <w:tcPr>
            <w:tcW w:w="1873" w:type="dxa"/>
            <w:shd w:val="clear" w:color="auto" w:fill="00B0F0"/>
          </w:tcPr>
          <w:p w:rsidR="004B42AF" w:rsidRPr="004B42AF" w:rsidRDefault="004B42AF" w:rsidP="008B437A">
            <w:pPr>
              <w:rPr>
                <w:rFonts w:ascii="Arial" w:hAnsi="Arial" w:cs="Arial"/>
              </w:rPr>
            </w:pPr>
            <w:r>
              <w:rPr>
                <w:rFonts w:ascii="Arial" w:hAnsi="Arial" w:cs="Arial"/>
              </w:rPr>
              <w:t>Quarterly reporting</w:t>
            </w:r>
          </w:p>
        </w:tc>
        <w:tc>
          <w:tcPr>
            <w:tcW w:w="1039" w:type="dxa"/>
            <w:shd w:val="clear" w:color="auto" w:fill="00B0F0"/>
          </w:tcPr>
          <w:p w:rsidR="004B42AF" w:rsidRPr="004B42AF" w:rsidRDefault="004B42AF" w:rsidP="008B437A">
            <w:pPr>
              <w:rPr>
                <w:rFonts w:ascii="Arial" w:hAnsi="Arial" w:cs="Arial"/>
              </w:rPr>
            </w:pPr>
            <w:r w:rsidRPr="004B42AF">
              <w:rPr>
                <w:rFonts w:ascii="Arial" w:hAnsi="Arial" w:cs="Arial"/>
              </w:rPr>
              <w:t>Quarterly target</w:t>
            </w:r>
          </w:p>
        </w:tc>
        <w:tc>
          <w:tcPr>
            <w:tcW w:w="1113" w:type="dxa"/>
            <w:shd w:val="clear" w:color="auto" w:fill="00B0F0"/>
          </w:tcPr>
          <w:p w:rsidR="004B42AF" w:rsidRPr="004B42AF" w:rsidRDefault="004B42AF" w:rsidP="008B437A">
            <w:pPr>
              <w:rPr>
                <w:rFonts w:ascii="Arial" w:hAnsi="Arial" w:cs="Arial"/>
              </w:rPr>
            </w:pPr>
            <w:r w:rsidRPr="004B42AF">
              <w:rPr>
                <w:rFonts w:ascii="Arial" w:hAnsi="Arial" w:cs="Arial"/>
              </w:rPr>
              <w:t>Actual Q1</w:t>
            </w:r>
          </w:p>
        </w:tc>
        <w:tc>
          <w:tcPr>
            <w:tcW w:w="1061" w:type="dxa"/>
            <w:shd w:val="clear" w:color="auto" w:fill="00B0F0"/>
          </w:tcPr>
          <w:p w:rsidR="004B42AF" w:rsidRPr="004B42AF" w:rsidRDefault="004B42AF" w:rsidP="008B437A">
            <w:pPr>
              <w:rPr>
                <w:rFonts w:ascii="Arial" w:hAnsi="Arial" w:cs="Arial"/>
              </w:rPr>
            </w:pPr>
            <w:r w:rsidRPr="004B42AF">
              <w:rPr>
                <w:rFonts w:ascii="Arial" w:hAnsi="Arial" w:cs="Arial"/>
              </w:rPr>
              <w:t>Actual Q2</w:t>
            </w:r>
          </w:p>
        </w:tc>
        <w:tc>
          <w:tcPr>
            <w:tcW w:w="1051" w:type="dxa"/>
            <w:shd w:val="clear" w:color="auto" w:fill="00B0F0"/>
          </w:tcPr>
          <w:p w:rsidR="004B42AF" w:rsidRPr="004B42AF" w:rsidRDefault="004B42AF" w:rsidP="008B437A">
            <w:pPr>
              <w:rPr>
                <w:rFonts w:ascii="Arial" w:hAnsi="Arial" w:cs="Arial"/>
              </w:rPr>
            </w:pPr>
            <w:r w:rsidRPr="004B42AF">
              <w:rPr>
                <w:rFonts w:ascii="Arial" w:hAnsi="Arial" w:cs="Arial"/>
              </w:rPr>
              <w:t>Actual Q3</w:t>
            </w:r>
          </w:p>
        </w:tc>
        <w:tc>
          <w:tcPr>
            <w:tcW w:w="861" w:type="dxa"/>
            <w:shd w:val="clear" w:color="auto" w:fill="00B0F0"/>
          </w:tcPr>
          <w:p w:rsidR="004B42AF" w:rsidRPr="004B42AF" w:rsidRDefault="004B42AF" w:rsidP="008B437A">
            <w:pPr>
              <w:rPr>
                <w:rFonts w:ascii="Arial" w:hAnsi="Arial" w:cs="Arial"/>
              </w:rPr>
            </w:pPr>
            <w:r w:rsidRPr="004B42AF">
              <w:rPr>
                <w:rFonts w:ascii="Arial" w:hAnsi="Arial" w:cs="Arial"/>
              </w:rPr>
              <w:t>Actual Q4</w:t>
            </w:r>
          </w:p>
        </w:tc>
        <w:tc>
          <w:tcPr>
            <w:tcW w:w="1023" w:type="dxa"/>
            <w:shd w:val="clear" w:color="auto" w:fill="00B0F0"/>
          </w:tcPr>
          <w:p w:rsidR="004B42AF" w:rsidRPr="004B42AF" w:rsidRDefault="004B42AF" w:rsidP="008B437A">
            <w:pPr>
              <w:rPr>
                <w:rFonts w:ascii="Arial" w:hAnsi="Arial" w:cs="Arial"/>
              </w:rPr>
            </w:pPr>
            <w:r w:rsidRPr="004B42AF">
              <w:rPr>
                <w:rFonts w:ascii="Arial" w:hAnsi="Arial" w:cs="Arial"/>
              </w:rPr>
              <w:t>Target 24/25</w:t>
            </w:r>
          </w:p>
        </w:tc>
        <w:tc>
          <w:tcPr>
            <w:tcW w:w="1152" w:type="dxa"/>
            <w:shd w:val="clear" w:color="auto" w:fill="00B0F0"/>
          </w:tcPr>
          <w:p w:rsidR="004B42AF" w:rsidRPr="004B42AF" w:rsidRDefault="004B42AF" w:rsidP="008B437A">
            <w:pPr>
              <w:rPr>
                <w:rFonts w:ascii="Arial" w:hAnsi="Arial" w:cs="Arial"/>
              </w:rPr>
            </w:pPr>
            <w:r w:rsidRPr="004B42AF">
              <w:rPr>
                <w:rFonts w:ascii="Arial" w:hAnsi="Arial" w:cs="Arial"/>
              </w:rPr>
              <w:t>Actual 24/25</w:t>
            </w:r>
          </w:p>
        </w:tc>
      </w:tr>
      <w:tr w:rsid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1</w:t>
            </w:r>
          </w:p>
        </w:tc>
        <w:tc>
          <w:tcPr>
            <w:tcW w:w="1873" w:type="dxa"/>
          </w:tcPr>
          <w:p w:rsidR="004B42AF" w:rsidRPr="004B42AF" w:rsidRDefault="004B42AF" w:rsidP="008B437A">
            <w:pPr>
              <w:rPr>
                <w:rFonts w:ascii="Arial" w:hAnsi="Arial" w:cs="Arial"/>
              </w:rPr>
            </w:pPr>
            <w:r w:rsidRPr="004B42AF">
              <w:rPr>
                <w:rFonts w:ascii="Arial" w:hAnsi="Arial" w:cs="Arial"/>
              </w:rPr>
              <w:t>Number of approved research projects</w:t>
            </w:r>
          </w:p>
        </w:tc>
        <w:tc>
          <w:tcPr>
            <w:tcW w:w="1039" w:type="dxa"/>
          </w:tcPr>
          <w:p w:rsidR="004B42AF" w:rsidRPr="004B42AF" w:rsidRDefault="004B42AF" w:rsidP="008B437A">
            <w:pPr>
              <w:rPr>
                <w:rFonts w:ascii="Arial" w:hAnsi="Arial" w:cs="Arial"/>
              </w:rPr>
            </w:pPr>
            <w:r w:rsidRPr="004B42AF">
              <w:rPr>
                <w:rFonts w:ascii="Arial" w:hAnsi="Arial" w:cs="Arial"/>
              </w:rPr>
              <w:t>10</w:t>
            </w:r>
          </w:p>
        </w:tc>
        <w:tc>
          <w:tcPr>
            <w:tcW w:w="1113" w:type="dxa"/>
            <w:shd w:val="clear" w:color="auto" w:fill="00B050"/>
          </w:tcPr>
          <w:p w:rsidR="004B42AF" w:rsidRPr="004B42AF" w:rsidRDefault="004B42AF" w:rsidP="008B437A">
            <w:pPr>
              <w:rPr>
                <w:rFonts w:ascii="Arial" w:hAnsi="Arial" w:cs="Arial"/>
              </w:rPr>
            </w:pPr>
            <w:r w:rsidRPr="004B42AF">
              <w:rPr>
                <w:rFonts w:ascii="Arial" w:hAnsi="Arial" w:cs="Arial"/>
              </w:rPr>
              <w:t>10 (100% target)</w:t>
            </w:r>
          </w:p>
        </w:tc>
        <w:tc>
          <w:tcPr>
            <w:tcW w:w="1061" w:type="dxa"/>
            <w:shd w:val="clear" w:color="auto" w:fill="FFC000"/>
          </w:tcPr>
          <w:p w:rsidR="004B42AF" w:rsidRPr="004B42AF" w:rsidRDefault="004B42AF" w:rsidP="008B437A">
            <w:pPr>
              <w:rPr>
                <w:rFonts w:ascii="Arial" w:hAnsi="Arial" w:cs="Arial"/>
              </w:rPr>
            </w:pPr>
            <w:r w:rsidRPr="004B42AF">
              <w:rPr>
                <w:rFonts w:ascii="Arial" w:hAnsi="Arial" w:cs="Arial"/>
              </w:rPr>
              <w:t>7 (70% target)</w:t>
            </w:r>
          </w:p>
        </w:tc>
        <w:tc>
          <w:tcPr>
            <w:tcW w:w="1051" w:type="dxa"/>
            <w:shd w:val="clear" w:color="auto" w:fill="00B050"/>
          </w:tcPr>
          <w:p w:rsidR="004B42AF" w:rsidRPr="004B42AF" w:rsidRDefault="004B42AF" w:rsidP="008B437A">
            <w:pPr>
              <w:rPr>
                <w:rFonts w:ascii="Arial" w:hAnsi="Arial" w:cs="Arial"/>
              </w:rPr>
            </w:pPr>
            <w:r w:rsidRPr="004B42AF">
              <w:rPr>
                <w:rFonts w:ascii="Arial" w:hAnsi="Arial" w:cs="Arial"/>
              </w:rPr>
              <w:t>11 (110% target)</w:t>
            </w:r>
          </w:p>
        </w:tc>
        <w:tc>
          <w:tcPr>
            <w:tcW w:w="861" w:type="dxa"/>
            <w:shd w:val="clear" w:color="auto" w:fill="00B050"/>
          </w:tcPr>
          <w:p w:rsidR="004B42AF" w:rsidRPr="004B42AF" w:rsidRDefault="004B42AF" w:rsidP="008B437A">
            <w:pPr>
              <w:rPr>
                <w:rFonts w:ascii="Arial" w:hAnsi="Arial" w:cs="Arial"/>
              </w:rPr>
            </w:pPr>
            <w:r w:rsidRPr="004B42AF">
              <w:rPr>
                <w:rFonts w:ascii="Arial" w:hAnsi="Arial" w:cs="Arial"/>
              </w:rPr>
              <w:t>10 (100%)</w:t>
            </w:r>
          </w:p>
        </w:tc>
        <w:tc>
          <w:tcPr>
            <w:tcW w:w="1023" w:type="dxa"/>
          </w:tcPr>
          <w:p w:rsidR="004B42AF" w:rsidRPr="004B42AF" w:rsidRDefault="004B42AF" w:rsidP="008B437A">
            <w:pPr>
              <w:rPr>
                <w:rFonts w:ascii="Arial" w:hAnsi="Arial" w:cs="Arial"/>
              </w:rPr>
            </w:pPr>
            <w:r w:rsidRPr="004B42AF">
              <w:rPr>
                <w:rFonts w:ascii="Arial" w:hAnsi="Arial" w:cs="Arial"/>
              </w:rPr>
              <w:t>40</w:t>
            </w:r>
          </w:p>
        </w:tc>
        <w:tc>
          <w:tcPr>
            <w:tcW w:w="1152" w:type="dxa"/>
          </w:tcPr>
          <w:p w:rsidR="004B42AF" w:rsidRPr="004B42AF" w:rsidRDefault="004B42AF" w:rsidP="008B437A">
            <w:pPr>
              <w:rPr>
                <w:rFonts w:ascii="Arial" w:hAnsi="Arial" w:cs="Arial"/>
              </w:rPr>
            </w:pPr>
            <w:r w:rsidRPr="004B42AF">
              <w:rPr>
                <w:rFonts w:ascii="Arial" w:hAnsi="Arial" w:cs="Arial"/>
              </w:rPr>
              <w:t>38</w:t>
            </w:r>
          </w:p>
        </w:tc>
      </w:tr>
      <w:tr w:rsid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2</w:t>
            </w:r>
          </w:p>
        </w:tc>
        <w:tc>
          <w:tcPr>
            <w:tcW w:w="1873" w:type="dxa"/>
          </w:tcPr>
          <w:p w:rsidR="004B42AF" w:rsidRPr="004B42AF" w:rsidRDefault="004B42AF" w:rsidP="008B437A">
            <w:pPr>
              <w:rPr>
                <w:rFonts w:ascii="Arial" w:hAnsi="Arial" w:cs="Arial"/>
              </w:rPr>
            </w:pPr>
            <w:r w:rsidRPr="004B42AF">
              <w:rPr>
                <w:rFonts w:ascii="Arial" w:hAnsi="Arial" w:cs="Arial"/>
              </w:rPr>
              <w:t>Participant recruitment (exclude blood sampling studies)</w:t>
            </w:r>
          </w:p>
        </w:tc>
        <w:tc>
          <w:tcPr>
            <w:tcW w:w="1039" w:type="dxa"/>
          </w:tcPr>
          <w:p w:rsidR="004B42AF" w:rsidRPr="004B42AF" w:rsidRDefault="004B42AF" w:rsidP="008B437A">
            <w:pPr>
              <w:rPr>
                <w:rFonts w:ascii="Arial" w:hAnsi="Arial" w:cs="Arial"/>
              </w:rPr>
            </w:pPr>
            <w:r w:rsidRPr="004B42AF">
              <w:rPr>
                <w:rFonts w:ascii="Arial" w:hAnsi="Arial" w:cs="Arial"/>
              </w:rPr>
              <w:t>200</w:t>
            </w:r>
          </w:p>
        </w:tc>
        <w:tc>
          <w:tcPr>
            <w:tcW w:w="1113" w:type="dxa"/>
            <w:shd w:val="clear" w:color="auto" w:fill="00B050"/>
          </w:tcPr>
          <w:p w:rsidR="004B42AF" w:rsidRPr="004B42AF" w:rsidRDefault="004B42AF" w:rsidP="008B437A">
            <w:pPr>
              <w:rPr>
                <w:rFonts w:ascii="Arial" w:hAnsi="Arial" w:cs="Arial"/>
              </w:rPr>
            </w:pPr>
            <w:r w:rsidRPr="004B42AF">
              <w:rPr>
                <w:rFonts w:ascii="Arial" w:hAnsi="Arial" w:cs="Arial"/>
              </w:rPr>
              <w:t>378 (189% target)</w:t>
            </w:r>
          </w:p>
        </w:tc>
        <w:tc>
          <w:tcPr>
            <w:tcW w:w="1061" w:type="dxa"/>
            <w:shd w:val="clear" w:color="auto" w:fill="FFC000"/>
          </w:tcPr>
          <w:p w:rsidR="004B42AF" w:rsidRPr="004B42AF" w:rsidRDefault="004B42AF" w:rsidP="008B437A">
            <w:pPr>
              <w:rPr>
                <w:rFonts w:ascii="Arial" w:hAnsi="Arial" w:cs="Arial"/>
              </w:rPr>
            </w:pPr>
            <w:r w:rsidRPr="004B42AF">
              <w:rPr>
                <w:rFonts w:ascii="Arial" w:hAnsi="Arial" w:cs="Arial"/>
              </w:rPr>
              <w:t>144 (72% target)</w:t>
            </w:r>
          </w:p>
        </w:tc>
        <w:tc>
          <w:tcPr>
            <w:tcW w:w="1051" w:type="dxa"/>
            <w:shd w:val="clear" w:color="auto" w:fill="FFC000"/>
          </w:tcPr>
          <w:p w:rsidR="004B42AF" w:rsidRPr="004B42AF" w:rsidRDefault="004B42AF" w:rsidP="008B437A">
            <w:pPr>
              <w:rPr>
                <w:rFonts w:ascii="Arial" w:hAnsi="Arial" w:cs="Arial"/>
              </w:rPr>
            </w:pPr>
            <w:r w:rsidRPr="004B42AF">
              <w:rPr>
                <w:rFonts w:ascii="Arial" w:hAnsi="Arial" w:cs="Arial"/>
              </w:rPr>
              <w:t>199 (99.5% target)</w:t>
            </w:r>
          </w:p>
        </w:tc>
        <w:tc>
          <w:tcPr>
            <w:tcW w:w="861" w:type="dxa"/>
            <w:shd w:val="clear" w:color="auto" w:fill="FFC000"/>
          </w:tcPr>
          <w:p w:rsidR="004B42AF" w:rsidRPr="004B42AF" w:rsidRDefault="004B42AF" w:rsidP="008B437A">
            <w:pPr>
              <w:rPr>
                <w:rFonts w:ascii="Arial" w:hAnsi="Arial" w:cs="Arial"/>
              </w:rPr>
            </w:pPr>
            <w:r w:rsidRPr="004B42AF">
              <w:rPr>
                <w:rFonts w:ascii="Arial" w:hAnsi="Arial" w:cs="Arial"/>
              </w:rPr>
              <w:t>188 (94% target)</w:t>
            </w:r>
          </w:p>
        </w:tc>
        <w:tc>
          <w:tcPr>
            <w:tcW w:w="1023" w:type="dxa"/>
          </w:tcPr>
          <w:p w:rsidR="004B42AF" w:rsidRPr="004B42AF" w:rsidRDefault="004B42AF" w:rsidP="008B437A">
            <w:pPr>
              <w:rPr>
                <w:rFonts w:ascii="Arial" w:hAnsi="Arial" w:cs="Arial"/>
              </w:rPr>
            </w:pPr>
            <w:r w:rsidRPr="004B42AF">
              <w:rPr>
                <w:rFonts w:ascii="Arial" w:hAnsi="Arial" w:cs="Arial"/>
              </w:rPr>
              <w:t>800</w:t>
            </w:r>
          </w:p>
        </w:tc>
        <w:tc>
          <w:tcPr>
            <w:tcW w:w="1152" w:type="dxa"/>
          </w:tcPr>
          <w:p w:rsidR="004B42AF" w:rsidRPr="004B42AF" w:rsidRDefault="004B42AF" w:rsidP="008B437A">
            <w:pPr>
              <w:rPr>
                <w:rFonts w:ascii="Arial" w:hAnsi="Arial" w:cs="Arial"/>
              </w:rPr>
            </w:pPr>
            <w:r w:rsidRPr="004B42AF">
              <w:rPr>
                <w:rFonts w:ascii="Arial" w:hAnsi="Arial" w:cs="Arial"/>
              </w:rPr>
              <w:t>909</w:t>
            </w:r>
          </w:p>
        </w:tc>
      </w:tr>
      <w:tr w:rsid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3</w:t>
            </w:r>
          </w:p>
        </w:tc>
        <w:tc>
          <w:tcPr>
            <w:tcW w:w="1873" w:type="dxa"/>
          </w:tcPr>
          <w:p w:rsidR="004B42AF" w:rsidRPr="004B42AF" w:rsidRDefault="004B42AF" w:rsidP="008B437A">
            <w:pPr>
              <w:rPr>
                <w:rFonts w:ascii="Arial" w:hAnsi="Arial" w:cs="Arial"/>
              </w:rPr>
            </w:pPr>
            <w:r w:rsidRPr="004B42AF">
              <w:rPr>
                <w:rFonts w:ascii="Arial" w:hAnsi="Arial" w:cs="Arial"/>
              </w:rPr>
              <w:t>Income is maintained close to target</w:t>
            </w:r>
          </w:p>
        </w:tc>
        <w:tc>
          <w:tcPr>
            <w:tcW w:w="1039" w:type="dxa"/>
          </w:tcPr>
          <w:p w:rsidR="004B42AF" w:rsidRPr="004B42AF" w:rsidRDefault="004B42AF" w:rsidP="008B437A">
            <w:pPr>
              <w:rPr>
                <w:rFonts w:ascii="Arial" w:hAnsi="Arial" w:cs="Arial"/>
              </w:rPr>
            </w:pPr>
            <w:r w:rsidRPr="004B42AF">
              <w:rPr>
                <w:rFonts w:ascii="Arial" w:hAnsi="Arial" w:cs="Arial"/>
              </w:rPr>
              <w:t>£375K</w:t>
            </w:r>
          </w:p>
        </w:tc>
        <w:tc>
          <w:tcPr>
            <w:tcW w:w="1113" w:type="dxa"/>
            <w:shd w:val="clear" w:color="auto" w:fill="FFC000"/>
          </w:tcPr>
          <w:p w:rsidR="004B42AF" w:rsidRPr="004B42AF" w:rsidRDefault="004B42AF" w:rsidP="008B437A">
            <w:pPr>
              <w:rPr>
                <w:rFonts w:ascii="Arial" w:hAnsi="Arial" w:cs="Arial"/>
              </w:rPr>
            </w:pPr>
            <w:r w:rsidRPr="004B42AF">
              <w:rPr>
                <w:rFonts w:ascii="Arial" w:hAnsi="Arial" w:cs="Arial"/>
              </w:rPr>
              <w:t>£346,471</w:t>
            </w:r>
          </w:p>
          <w:p w:rsidR="004B42AF" w:rsidRPr="004B42AF" w:rsidRDefault="004B42AF" w:rsidP="008B437A">
            <w:pPr>
              <w:rPr>
                <w:rFonts w:ascii="Arial" w:hAnsi="Arial" w:cs="Arial"/>
              </w:rPr>
            </w:pPr>
            <w:r w:rsidRPr="004B42AF">
              <w:rPr>
                <w:rFonts w:ascii="Arial" w:hAnsi="Arial" w:cs="Arial"/>
              </w:rPr>
              <w:t>(92% target)</w:t>
            </w:r>
          </w:p>
        </w:tc>
        <w:tc>
          <w:tcPr>
            <w:tcW w:w="1061" w:type="dxa"/>
            <w:shd w:val="clear" w:color="auto" w:fill="00B050"/>
          </w:tcPr>
          <w:p w:rsidR="004B42AF" w:rsidRPr="004B42AF" w:rsidRDefault="004B42AF" w:rsidP="008B437A">
            <w:pPr>
              <w:rPr>
                <w:rFonts w:ascii="Arial" w:hAnsi="Arial" w:cs="Arial"/>
              </w:rPr>
            </w:pPr>
            <w:r w:rsidRPr="004B42AF">
              <w:rPr>
                <w:rFonts w:ascii="Arial" w:hAnsi="Arial" w:cs="Arial"/>
              </w:rPr>
              <w:t>£580,548</w:t>
            </w:r>
          </w:p>
          <w:p w:rsidR="004B42AF" w:rsidRPr="004B42AF" w:rsidRDefault="004B42AF" w:rsidP="008B437A">
            <w:pPr>
              <w:rPr>
                <w:rFonts w:ascii="Arial" w:hAnsi="Arial" w:cs="Arial"/>
              </w:rPr>
            </w:pPr>
            <w:r w:rsidRPr="004B42AF">
              <w:rPr>
                <w:rFonts w:ascii="Arial" w:hAnsi="Arial" w:cs="Arial"/>
              </w:rPr>
              <w:t>(154% target)</w:t>
            </w:r>
          </w:p>
          <w:p w:rsidR="004B42AF" w:rsidRPr="004B42AF" w:rsidRDefault="004B42AF" w:rsidP="008B437A">
            <w:pPr>
              <w:rPr>
                <w:rFonts w:ascii="Arial" w:hAnsi="Arial" w:cs="Arial"/>
              </w:rPr>
            </w:pPr>
            <w:r w:rsidRPr="004B42AF">
              <w:rPr>
                <w:rFonts w:ascii="Arial" w:hAnsi="Arial" w:cs="Arial"/>
              </w:rPr>
              <w:t xml:space="preserve"> </w:t>
            </w:r>
          </w:p>
        </w:tc>
        <w:tc>
          <w:tcPr>
            <w:tcW w:w="1051" w:type="dxa"/>
            <w:shd w:val="clear" w:color="auto" w:fill="00B050"/>
          </w:tcPr>
          <w:p w:rsidR="004B42AF" w:rsidRPr="004B42AF" w:rsidRDefault="004B42AF" w:rsidP="008B437A">
            <w:pPr>
              <w:rPr>
                <w:rFonts w:ascii="Arial" w:hAnsi="Arial" w:cs="Arial"/>
              </w:rPr>
            </w:pPr>
            <w:r w:rsidRPr="004B42AF">
              <w:rPr>
                <w:rFonts w:ascii="Arial" w:hAnsi="Arial" w:cs="Arial"/>
              </w:rPr>
              <w:t>£549,947</w:t>
            </w:r>
          </w:p>
          <w:p w:rsidR="004B42AF" w:rsidRPr="004B42AF" w:rsidRDefault="004B42AF" w:rsidP="008B437A">
            <w:pPr>
              <w:rPr>
                <w:rFonts w:ascii="Arial" w:hAnsi="Arial" w:cs="Arial"/>
              </w:rPr>
            </w:pPr>
            <w:r w:rsidRPr="004B42AF">
              <w:rPr>
                <w:rFonts w:ascii="Arial" w:hAnsi="Arial" w:cs="Arial"/>
              </w:rPr>
              <w:t>(147% target</w:t>
            </w:r>
          </w:p>
        </w:tc>
        <w:tc>
          <w:tcPr>
            <w:tcW w:w="861" w:type="dxa"/>
            <w:shd w:val="clear" w:color="auto" w:fill="00B050"/>
          </w:tcPr>
          <w:p w:rsidR="004B42AF" w:rsidRPr="004B42AF" w:rsidRDefault="004B42AF" w:rsidP="008B437A">
            <w:pPr>
              <w:rPr>
                <w:rFonts w:ascii="Arial" w:hAnsi="Arial" w:cs="Arial"/>
              </w:rPr>
            </w:pPr>
            <w:r w:rsidRPr="004B42AF">
              <w:rPr>
                <w:rFonts w:ascii="Arial" w:hAnsi="Arial" w:cs="Arial"/>
              </w:rPr>
              <w:t>£506,245</w:t>
            </w:r>
          </w:p>
          <w:p w:rsidR="004B42AF" w:rsidRPr="004B42AF" w:rsidRDefault="004B42AF" w:rsidP="008B437A">
            <w:pPr>
              <w:rPr>
                <w:rFonts w:ascii="Arial" w:hAnsi="Arial" w:cs="Arial"/>
              </w:rPr>
            </w:pPr>
            <w:r w:rsidRPr="004B42AF">
              <w:rPr>
                <w:rFonts w:ascii="Arial" w:hAnsi="Arial" w:cs="Arial"/>
              </w:rPr>
              <w:t>(135% target)</w:t>
            </w:r>
          </w:p>
        </w:tc>
        <w:tc>
          <w:tcPr>
            <w:tcW w:w="1023" w:type="dxa"/>
          </w:tcPr>
          <w:p w:rsidR="004B42AF" w:rsidRPr="004B42AF" w:rsidRDefault="004B42AF" w:rsidP="008B437A">
            <w:pPr>
              <w:rPr>
                <w:rFonts w:ascii="Arial" w:hAnsi="Arial" w:cs="Arial"/>
              </w:rPr>
            </w:pPr>
            <w:r w:rsidRPr="004B42AF">
              <w:rPr>
                <w:rFonts w:ascii="Arial" w:hAnsi="Arial" w:cs="Arial"/>
              </w:rPr>
              <w:t>£1,500K</w:t>
            </w:r>
          </w:p>
        </w:tc>
        <w:tc>
          <w:tcPr>
            <w:tcW w:w="1152" w:type="dxa"/>
          </w:tcPr>
          <w:p w:rsidR="004B42AF" w:rsidRPr="004B42AF" w:rsidRDefault="004B42AF" w:rsidP="008B437A">
            <w:pPr>
              <w:rPr>
                <w:rFonts w:ascii="Arial" w:hAnsi="Arial" w:cs="Arial"/>
              </w:rPr>
            </w:pPr>
            <w:r w:rsidRPr="004B42AF">
              <w:rPr>
                <w:rFonts w:ascii="Arial" w:hAnsi="Arial" w:cs="Arial"/>
              </w:rPr>
              <w:t>£1,983,211</w:t>
            </w:r>
          </w:p>
        </w:tc>
      </w:tr>
      <w:tr w:rsid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4</w:t>
            </w:r>
          </w:p>
        </w:tc>
        <w:tc>
          <w:tcPr>
            <w:tcW w:w="1873" w:type="dxa"/>
          </w:tcPr>
          <w:p w:rsidR="004B42AF" w:rsidRPr="004B42AF" w:rsidRDefault="004B42AF" w:rsidP="008B437A">
            <w:pPr>
              <w:rPr>
                <w:rFonts w:ascii="Arial" w:hAnsi="Arial" w:cs="Arial"/>
              </w:rPr>
            </w:pPr>
            <w:r w:rsidRPr="004B42AF">
              <w:rPr>
                <w:rFonts w:ascii="Arial" w:hAnsi="Arial" w:cs="Arial"/>
              </w:rPr>
              <w:t>The number of research project audits is in line with target</w:t>
            </w:r>
          </w:p>
        </w:tc>
        <w:tc>
          <w:tcPr>
            <w:tcW w:w="1039" w:type="dxa"/>
          </w:tcPr>
          <w:p w:rsidR="004B42AF" w:rsidRPr="004B42AF" w:rsidRDefault="004B42AF" w:rsidP="008B437A">
            <w:pPr>
              <w:rPr>
                <w:rFonts w:ascii="Arial" w:hAnsi="Arial" w:cs="Arial"/>
              </w:rPr>
            </w:pPr>
            <w:r w:rsidRPr="004B42AF">
              <w:rPr>
                <w:rFonts w:ascii="Arial" w:hAnsi="Arial" w:cs="Arial"/>
              </w:rPr>
              <w:t>3</w:t>
            </w:r>
          </w:p>
        </w:tc>
        <w:tc>
          <w:tcPr>
            <w:tcW w:w="1113" w:type="dxa"/>
            <w:shd w:val="clear" w:color="auto" w:fill="00B050"/>
          </w:tcPr>
          <w:p w:rsidR="004B42AF" w:rsidRPr="004B42AF" w:rsidRDefault="004B42AF" w:rsidP="008B437A">
            <w:pPr>
              <w:rPr>
                <w:rFonts w:ascii="Arial" w:hAnsi="Arial" w:cs="Arial"/>
              </w:rPr>
            </w:pPr>
            <w:r w:rsidRPr="004B42AF">
              <w:rPr>
                <w:rFonts w:ascii="Arial" w:hAnsi="Arial" w:cs="Arial"/>
              </w:rPr>
              <w:t>3 (100% target)</w:t>
            </w:r>
          </w:p>
        </w:tc>
        <w:tc>
          <w:tcPr>
            <w:tcW w:w="1061" w:type="dxa"/>
            <w:shd w:val="clear" w:color="auto" w:fill="FFC000"/>
          </w:tcPr>
          <w:p w:rsidR="004B42AF" w:rsidRPr="004B42AF" w:rsidRDefault="004B42AF" w:rsidP="008B437A">
            <w:pPr>
              <w:rPr>
                <w:rFonts w:ascii="Arial" w:hAnsi="Arial" w:cs="Arial"/>
              </w:rPr>
            </w:pPr>
            <w:r w:rsidRPr="004B42AF">
              <w:rPr>
                <w:rFonts w:ascii="Arial" w:hAnsi="Arial" w:cs="Arial"/>
              </w:rPr>
              <w:t>2 (67% target)</w:t>
            </w:r>
          </w:p>
        </w:tc>
        <w:tc>
          <w:tcPr>
            <w:tcW w:w="1051" w:type="dxa"/>
            <w:shd w:val="clear" w:color="auto" w:fill="FFC000"/>
          </w:tcPr>
          <w:p w:rsidR="004B42AF" w:rsidRPr="004B42AF" w:rsidRDefault="004B42AF" w:rsidP="008B437A">
            <w:pPr>
              <w:rPr>
                <w:rFonts w:ascii="Arial" w:hAnsi="Arial" w:cs="Arial"/>
              </w:rPr>
            </w:pPr>
            <w:r w:rsidRPr="004B42AF">
              <w:rPr>
                <w:rFonts w:ascii="Arial" w:hAnsi="Arial" w:cs="Arial"/>
              </w:rPr>
              <w:t>2 (67% target)</w:t>
            </w:r>
          </w:p>
        </w:tc>
        <w:tc>
          <w:tcPr>
            <w:tcW w:w="861" w:type="dxa"/>
            <w:shd w:val="clear" w:color="auto" w:fill="00B050"/>
          </w:tcPr>
          <w:p w:rsidR="004B42AF" w:rsidRPr="004B42AF" w:rsidRDefault="004B42AF" w:rsidP="008B437A">
            <w:pPr>
              <w:rPr>
                <w:rFonts w:ascii="Arial" w:hAnsi="Arial" w:cs="Arial"/>
              </w:rPr>
            </w:pPr>
            <w:r w:rsidRPr="004B42AF">
              <w:rPr>
                <w:rFonts w:ascii="Arial" w:hAnsi="Arial" w:cs="Arial"/>
              </w:rPr>
              <w:t>3 (100% target)</w:t>
            </w:r>
          </w:p>
        </w:tc>
        <w:tc>
          <w:tcPr>
            <w:tcW w:w="1023" w:type="dxa"/>
          </w:tcPr>
          <w:p w:rsidR="004B42AF" w:rsidRPr="004B42AF" w:rsidRDefault="004B42AF" w:rsidP="008B437A">
            <w:pPr>
              <w:rPr>
                <w:rFonts w:ascii="Arial" w:hAnsi="Arial" w:cs="Arial"/>
              </w:rPr>
            </w:pPr>
            <w:r w:rsidRPr="004B42AF">
              <w:rPr>
                <w:rFonts w:ascii="Arial" w:hAnsi="Arial" w:cs="Arial"/>
              </w:rPr>
              <w:t>10</w:t>
            </w:r>
          </w:p>
        </w:tc>
        <w:tc>
          <w:tcPr>
            <w:tcW w:w="1152" w:type="dxa"/>
          </w:tcPr>
          <w:p w:rsidR="004B42AF" w:rsidRPr="004B42AF" w:rsidRDefault="004B42AF" w:rsidP="008B437A">
            <w:pPr>
              <w:rPr>
                <w:rFonts w:ascii="Arial" w:hAnsi="Arial" w:cs="Arial"/>
              </w:rPr>
            </w:pPr>
            <w:r w:rsidRPr="004B42AF">
              <w:rPr>
                <w:rFonts w:ascii="Arial" w:hAnsi="Arial" w:cs="Arial"/>
              </w:rPr>
              <w:t>10</w:t>
            </w:r>
          </w:p>
        </w:tc>
      </w:tr>
    </w:tbl>
    <w:p w:rsidR="009B139C" w:rsidRDefault="009B139C" w:rsidP="00BF3AF0">
      <w:pPr>
        <w:spacing w:before="40" w:after="40" w:line="276" w:lineRule="auto"/>
        <w:ind w:left="720"/>
        <w:rPr>
          <w:rFonts w:cs="Arial"/>
          <w:color w:val="000000"/>
          <w:szCs w:val="24"/>
        </w:rPr>
      </w:pPr>
    </w:p>
    <w:tbl>
      <w:tblPr>
        <w:tblStyle w:val="TableGrid"/>
        <w:tblW w:w="9747" w:type="dxa"/>
        <w:tblLook w:val="04A0" w:firstRow="1" w:lastRow="0" w:firstColumn="1" w:lastColumn="0" w:noHBand="0" w:noVBand="1"/>
      </w:tblPr>
      <w:tblGrid>
        <w:gridCol w:w="539"/>
        <w:gridCol w:w="3964"/>
        <w:gridCol w:w="1748"/>
        <w:gridCol w:w="1748"/>
        <w:gridCol w:w="1748"/>
      </w:tblGrid>
      <w:tr w:rsidR="004B42AF" w:rsidRPr="004B42AF" w:rsidTr="008B437A">
        <w:tc>
          <w:tcPr>
            <w:tcW w:w="539" w:type="dxa"/>
            <w:shd w:val="clear" w:color="auto" w:fill="00B0F0"/>
          </w:tcPr>
          <w:p w:rsidR="004B42AF" w:rsidRPr="004B42AF" w:rsidRDefault="004B42AF" w:rsidP="008B437A">
            <w:pPr>
              <w:rPr>
                <w:rFonts w:ascii="Arial" w:hAnsi="Arial" w:cs="Arial"/>
              </w:rPr>
            </w:pPr>
          </w:p>
        </w:tc>
        <w:tc>
          <w:tcPr>
            <w:tcW w:w="3964" w:type="dxa"/>
            <w:shd w:val="clear" w:color="auto" w:fill="00B0F0"/>
          </w:tcPr>
          <w:p w:rsidR="004B42AF" w:rsidRPr="004B42AF" w:rsidRDefault="004B42AF" w:rsidP="008B437A">
            <w:pPr>
              <w:rPr>
                <w:rFonts w:ascii="Arial" w:hAnsi="Arial" w:cs="Arial"/>
              </w:rPr>
            </w:pPr>
            <w:r>
              <w:rPr>
                <w:rFonts w:ascii="Arial" w:hAnsi="Arial" w:cs="Arial"/>
              </w:rPr>
              <w:t>Annually reported</w:t>
            </w:r>
          </w:p>
        </w:tc>
        <w:tc>
          <w:tcPr>
            <w:tcW w:w="1748" w:type="dxa"/>
            <w:shd w:val="clear" w:color="auto" w:fill="00B0F0"/>
          </w:tcPr>
          <w:p w:rsidR="004B42AF" w:rsidRPr="004B42AF" w:rsidRDefault="004B42AF" w:rsidP="008B437A">
            <w:pPr>
              <w:rPr>
                <w:rFonts w:ascii="Arial" w:hAnsi="Arial" w:cs="Arial"/>
              </w:rPr>
            </w:pPr>
            <w:r w:rsidRPr="004B42AF">
              <w:rPr>
                <w:rFonts w:ascii="Arial" w:hAnsi="Arial" w:cs="Arial"/>
              </w:rPr>
              <w:t>Actual 22/23</w:t>
            </w:r>
          </w:p>
        </w:tc>
        <w:tc>
          <w:tcPr>
            <w:tcW w:w="1748" w:type="dxa"/>
            <w:shd w:val="clear" w:color="auto" w:fill="00B0F0"/>
          </w:tcPr>
          <w:p w:rsidR="004B42AF" w:rsidRPr="004B42AF" w:rsidRDefault="004B42AF" w:rsidP="008B437A">
            <w:pPr>
              <w:rPr>
                <w:rFonts w:ascii="Arial" w:hAnsi="Arial" w:cs="Arial"/>
              </w:rPr>
            </w:pPr>
            <w:r w:rsidRPr="004B42AF">
              <w:rPr>
                <w:rFonts w:ascii="Arial" w:hAnsi="Arial" w:cs="Arial"/>
              </w:rPr>
              <w:t>Actual 23/24</w:t>
            </w:r>
          </w:p>
        </w:tc>
        <w:tc>
          <w:tcPr>
            <w:tcW w:w="1748" w:type="dxa"/>
            <w:shd w:val="clear" w:color="auto" w:fill="00B0F0"/>
          </w:tcPr>
          <w:p w:rsidR="004B42AF" w:rsidRPr="004B42AF" w:rsidRDefault="004B42AF" w:rsidP="008B437A">
            <w:pPr>
              <w:rPr>
                <w:rFonts w:ascii="Arial" w:hAnsi="Arial" w:cs="Arial"/>
              </w:rPr>
            </w:pPr>
            <w:r w:rsidRPr="004B42AF">
              <w:rPr>
                <w:rFonts w:ascii="Arial" w:hAnsi="Arial" w:cs="Arial"/>
              </w:rPr>
              <w:t>Actual 24/25</w:t>
            </w:r>
          </w:p>
        </w:tc>
      </w:tr>
      <w:tr w:rsidR="004B42AF" w:rsidRP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5</w:t>
            </w:r>
          </w:p>
        </w:tc>
        <w:tc>
          <w:tcPr>
            <w:tcW w:w="3964" w:type="dxa"/>
          </w:tcPr>
          <w:p w:rsidR="004B42AF" w:rsidRPr="004B42AF" w:rsidRDefault="004B42AF" w:rsidP="008B437A">
            <w:pPr>
              <w:rPr>
                <w:rFonts w:ascii="Arial" w:hAnsi="Arial" w:cs="Arial"/>
              </w:rPr>
            </w:pPr>
            <w:r w:rsidRPr="004B42AF">
              <w:rPr>
                <w:rFonts w:ascii="Arial" w:hAnsi="Arial" w:cs="Arial"/>
              </w:rPr>
              <w:t>Number of journal publications with NHS Golden Jubilee quoted</w:t>
            </w:r>
          </w:p>
        </w:tc>
        <w:tc>
          <w:tcPr>
            <w:tcW w:w="1748" w:type="dxa"/>
          </w:tcPr>
          <w:p w:rsidR="004B42AF" w:rsidRPr="004B42AF" w:rsidRDefault="004B42AF" w:rsidP="008B437A">
            <w:pPr>
              <w:rPr>
                <w:rFonts w:ascii="Arial" w:hAnsi="Arial" w:cs="Arial"/>
              </w:rPr>
            </w:pPr>
            <w:r w:rsidRPr="004B42AF">
              <w:rPr>
                <w:rFonts w:ascii="Arial" w:hAnsi="Arial" w:cs="Arial"/>
              </w:rPr>
              <w:t>119</w:t>
            </w:r>
          </w:p>
        </w:tc>
        <w:tc>
          <w:tcPr>
            <w:tcW w:w="1748" w:type="dxa"/>
          </w:tcPr>
          <w:p w:rsidR="004B42AF" w:rsidRPr="004B42AF" w:rsidRDefault="004B42AF" w:rsidP="008B437A">
            <w:pPr>
              <w:rPr>
                <w:rFonts w:ascii="Arial" w:hAnsi="Arial" w:cs="Arial"/>
              </w:rPr>
            </w:pPr>
            <w:r w:rsidRPr="004B42AF">
              <w:rPr>
                <w:rFonts w:ascii="Arial" w:hAnsi="Arial" w:cs="Arial"/>
              </w:rPr>
              <w:t>114</w:t>
            </w:r>
          </w:p>
        </w:tc>
        <w:tc>
          <w:tcPr>
            <w:tcW w:w="1748" w:type="dxa"/>
            <w:shd w:val="clear" w:color="auto" w:fill="auto"/>
          </w:tcPr>
          <w:p w:rsidR="004B42AF" w:rsidRPr="004B42AF" w:rsidRDefault="004B42AF" w:rsidP="008B437A">
            <w:pPr>
              <w:rPr>
                <w:rFonts w:ascii="Arial" w:hAnsi="Arial" w:cs="Arial"/>
              </w:rPr>
            </w:pPr>
            <w:r w:rsidRPr="004B42AF">
              <w:rPr>
                <w:rFonts w:ascii="Arial" w:hAnsi="Arial" w:cs="Arial"/>
              </w:rPr>
              <w:t>109</w:t>
            </w:r>
          </w:p>
        </w:tc>
      </w:tr>
      <w:tr w:rsidR="004B42AF" w:rsidRP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6</w:t>
            </w:r>
          </w:p>
        </w:tc>
        <w:tc>
          <w:tcPr>
            <w:tcW w:w="3964" w:type="dxa"/>
          </w:tcPr>
          <w:p w:rsidR="004B42AF" w:rsidRPr="004B42AF" w:rsidRDefault="004B42AF" w:rsidP="008B437A">
            <w:pPr>
              <w:rPr>
                <w:rFonts w:ascii="Arial" w:hAnsi="Arial" w:cs="Arial"/>
              </w:rPr>
            </w:pPr>
            <w:r w:rsidRPr="004B42AF">
              <w:rPr>
                <w:rFonts w:ascii="Arial" w:hAnsi="Arial" w:cs="Arial"/>
              </w:rPr>
              <w:t>Number of projects sponsored by NHS Golden Jubilee approved in year</w:t>
            </w:r>
          </w:p>
        </w:tc>
        <w:tc>
          <w:tcPr>
            <w:tcW w:w="1748" w:type="dxa"/>
          </w:tcPr>
          <w:p w:rsidR="004B42AF" w:rsidRPr="004B42AF" w:rsidRDefault="004B42AF" w:rsidP="008B437A">
            <w:pPr>
              <w:rPr>
                <w:rFonts w:ascii="Arial" w:hAnsi="Arial" w:cs="Arial"/>
              </w:rPr>
            </w:pPr>
            <w:r w:rsidRPr="004B42AF">
              <w:rPr>
                <w:rFonts w:ascii="Arial" w:hAnsi="Arial" w:cs="Arial"/>
              </w:rPr>
              <w:t>10</w:t>
            </w:r>
          </w:p>
        </w:tc>
        <w:tc>
          <w:tcPr>
            <w:tcW w:w="1748" w:type="dxa"/>
          </w:tcPr>
          <w:p w:rsidR="004B42AF" w:rsidRPr="004B42AF" w:rsidRDefault="004B42AF" w:rsidP="008B437A">
            <w:pPr>
              <w:rPr>
                <w:rFonts w:ascii="Arial" w:hAnsi="Arial" w:cs="Arial"/>
              </w:rPr>
            </w:pPr>
            <w:r w:rsidRPr="004B42AF">
              <w:rPr>
                <w:rFonts w:ascii="Arial" w:hAnsi="Arial" w:cs="Arial"/>
              </w:rPr>
              <w:t>4</w:t>
            </w:r>
          </w:p>
        </w:tc>
        <w:tc>
          <w:tcPr>
            <w:tcW w:w="1748" w:type="dxa"/>
            <w:shd w:val="clear" w:color="auto" w:fill="auto"/>
          </w:tcPr>
          <w:p w:rsidR="004B42AF" w:rsidRPr="004B42AF" w:rsidRDefault="004B42AF" w:rsidP="008B437A">
            <w:pPr>
              <w:rPr>
                <w:rFonts w:ascii="Arial" w:hAnsi="Arial" w:cs="Arial"/>
              </w:rPr>
            </w:pPr>
            <w:r w:rsidRPr="004B42AF">
              <w:rPr>
                <w:rFonts w:ascii="Arial" w:hAnsi="Arial" w:cs="Arial"/>
              </w:rPr>
              <w:t>8</w:t>
            </w:r>
          </w:p>
          <w:p w:rsidR="004B42AF" w:rsidRPr="004B42AF" w:rsidRDefault="004B42AF" w:rsidP="008B437A">
            <w:pPr>
              <w:rPr>
                <w:rFonts w:ascii="Arial" w:hAnsi="Arial" w:cs="Arial"/>
              </w:rPr>
            </w:pPr>
          </w:p>
        </w:tc>
      </w:tr>
      <w:tr w:rsidR="004B42AF" w:rsidRPr="004B42AF" w:rsidTr="008B437A">
        <w:tc>
          <w:tcPr>
            <w:tcW w:w="539" w:type="dxa"/>
            <w:shd w:val="clear" w:color="auto" w:fill="00B0F0"/>
          </w:tcPr>
          <w:p w:rsidR="004B42AF" w:rsidRPr="004B42AF" w:rsidRDefault="004B42AF" w:rsidP="008B437A">
            <w:pPr>
              <w:rPr>
                <w:rFonts w:ascii="Arial" w:hAnsi="Arial" w:cs="Arial"/>
              </w:rPr>
            </w:pPr>
            <w:r w:rsidRPr="004B42AF">
              <w:rPr>
                <w:rFonts w:ascii="Arial" w:hAnsi="Arial" w:cs="Arial"/>
              </w:rPr>
              <w:t>7</w:t>
            </w:r>
          </w:p>
        </w:tc>
        <w:tc>
          <w:tcPr>
            <w:tcW w:w="3964" w:type="dxa"/>
          </w:tcPr>
          <w:p w:rsidR="004B42AF" w:rsidRPr="004B42AF" w:rsidRDefault="004B42AF" w:rsidP="008B437A">
            <w:pPr>
              <w:rPr>
                <w:rFonts w:ascii="Arial" w:hAnsi="Arial" w:cs="Arial"/>
              </w:rPr>
            </w:pPr>
            <w:r w:rsidRPr="004B42AF">
              <w:rPr>
                <w:rFonts w:ascii="Arial" w:hAnsi="Arial" w:cs="Arial"/>
              </w:rPr>
              <w:t>Number of Principal Investigators</w:t>
            </w:r>
          </w:p>
        </w:tc>
        <w:tc>
          <w:tcPr>
            <w:tcW w:w="1748" w:type="dxa"/>
          </w:tcPr>
          <w:p w:rsidR="004B42AF" w:rsidRPr="004B42AF" w:rsidRDefault="004B42AF" w:rsidP="008B437A">
            <w:pPr>
              <w:rPr>
                <w:rFonts w:ascii="Arial" w:hAnsi="Arial" w:cs="Arial"/>
              </w:rPr>
            </w:pPr>
            <w:r w:rsidRPr="004B42AF">
              <w:rPr>
                <w:rFonts w:ascii="Arial" w:hAnsi="Arial" w:cs="Arial"/>
              </w:rPr>
              <w:t>30</w:t>
            </w:r>
          </w:p>
        </w:tc>
        <w:tc>
          <w:tcPr>
            <w:tcW w:w="1748" w:type="dxa"/>
          </w:tcPr>
          <w:p w:rsidR="004B42AF" w:rsidRPr="004B42AF" w:rsidRDefault="004B42AF" w:rsidP="008B437A">
            <w:pPr>
              <w:rPr>
                <w:rFonts w:ascii="Arial" w:hAnsi="Arial" w:cs="Arial"/>
              </w:rPr>
            </w:pPr>
            <w:r w:rsidRPr="004B42AF">
              <w:rPr>
                <w:rFonts w:ascii="Arial" w:hAnsi="Arial" w:cs="Arial"/>
              </w:rPr>
              <w:t>29</w:t>
            </w:r>
          </w:p>
          <w:p w:rsidR="004B42AF" w:rsidRPr="004B42AF" w:rsidRDefault="004B42AF" w:rsidP="008B437A">
            <w:pPr>
              <w:rPr>
                <w:rFonts w:ascii="Arial" w:hAnsi="Arial" w:cs="Arial"/>
              </w:rPr>
            </w:pPr>
          </w:p>
        </w:tc>
        <w:tc>
          <w:tcPr>
            <w:tcW w:w="1748" w:type="dxa"/>
            <w:shd w:val="clear" w:color="auto" w:fill="auto"/>
          </w:tcPr>
          <w:p w:rsidR="004B42AF" w:rsidRPr="004B42AF" w:rsidRDefault="004B42AF" w:rsidP="008B437A">
            <w:pPr>
              <w:rPr>
                <w:rFonts w:ascii="Arial" w:hAnsi="Arial" w:cs="Arial"/>
              </w:rPr>
            </w:pPr>
            <w:r w:rsidRPr="004B42AF">
              <w:rPr>
                <w:rFonts w:ascii="Arial" w:hAnsi="Arial" w:cs="Arial"/>
              </w:rPr>
              <w:t>39</w:t>
            </w:r>
          </w:p>
        </w:tc>
      </w:tr>
    </w:tbl>
    <w:p w:rsidR="009B139C" w:rsidRDefault="009B139C" w:rsidP="00BF3AF0">
      <w:pPr>
        <w:spacing w:before="40" w:after="40" w:line="276" w:lineRule="auto"/>
        <w:ind w:left="720"/>
        <w:rPr>
          <w:rFonts w:cs="Arial"/>
          <w:color w:val="000000"/>
          <w:szCs w:val="24"/>
        </w:rPr>
      </w:pPr>
    </w:p>
    <w:p w:rsidR="009B139C" w:rsidRPr="009B139C" w:rsidRDefault="005125BD" w:rsidP="00BF3AF0">
      <w:pPr>
        <w:spacing w:before="40" w:after="40" w:line="276" w:lineRule="auto"/>
        <w:ind w:left="720"/>
        <w:rPr>
          <w:rFonts w:cs="Arial"/>
          <w:color w:val="000000"/>
          <w:szCs w:val="24"/>
        </w:rPr>
      </w:pPr>
      <w:r>
        <w:rPr>
          <w:rFonts w:cs="Arial"/>
          <w:color w:val="000000"/>
          <w:szCs w:val="24"/>
        </w:rPr>
        <w:t>NHS GJ Board</w:t>
      </w:r>
      <w:r w:rsidR="009B139C">
        <w:rPr>
          <w:rFonts w:cs="Arial"/>
          <w:color w:val="000000"/>
          <w:szCs w:val="24"/>
        </w:rPr>
        <w:t xml:space="preserve"> is asked to note the </w:t>
      </w:r>
      <w:r w:rsidR="004B42AF">
        <w:rPr>
          <w:rFonts w:cs="Arial"/>
          <w:color w:val="000000"/>
          <w:szCs w:val="24"/>
        </w:rPr>
        <w:t xml:space="preserve">increase in activity relating to patients recruited, and to income, and to note the </w:t>
      </w:r>
      <w:r w:rsidR="009B139C">
        <w:rPr>
          <w:rFonts w:cs="Arial"/>
          <w:color w:val="000000"/>
          <w:szCs w:val="24"/>
        </w:rPr>
        <w:t xml:space="preserve">significant increase in the number of </w:t>
      </w:r>
      <w:r w:rsidR="00681EC7">
        <w:rPr>
          <w:rFonts w:cs="Arial"/>
          <w:color w:val="000000"/>
          <w:szCs w:val="24"/>
        </w:rPr>
        <w:t xml:space="preserve">active </w:t>
      </w:r>
      <w:r w:rsidR="009B139C">
        <w:rPr>
          <w:rFonts w:cs="Arial"/>
          <w:color w:val="000000"/>
          <w:szCs w:val="24"/>
        </w:rPr>
        <w:t>research projects from 98 in April 2024 to 121 in April 2025.</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9B139C" w:rsidRDefault="009B139C" w:rsidP="009B139C">
      <w:pPr>
        <w:spacing w:before="40" w:after="40" w:line="276" w:lineRule="auto"/>
        <w:ind w:left="720"/>
        <w:rPr>
          <w:rFonts w:cs="Arial"/>
          <w:color w:val="000000"/>
          <w:szCs w:val="24"/>
        </w:rPr>
      </w:pPr>
      <w:r>
        <w:rPr>
          <w:rFonts w:cs="Arial"/>
          <w:color w:val="000000"/>
          <w:szCs w:val="24"/>
        </w:rPr>
        <w:t>Research is a critical healthcare activity because it facilitates the development of new drugs, devices and procedures which results in ongoing improvements in healthcare. The Jubilee hosts three national services - Advanced Heart Failure (AHF), the Scottish Pulmonary Vascular Unit (SPVU) and the Scottish Adult Congenital Cardiac Service (SACCS). Research in these three areas can only take place a specialist locations like the Golden Jubilee. In addition the Jubilee’s high throughput service - arthroplasty and cataract surgery - provide a unique environment for certain types of research.</w:t>
      </w:r>
    </w:p>
    <w:p w:rsidR="009B139C" w:rsidRPr="009B139C" w:rsidRDefault="009B139C" w:rsidP="009B139C">
      <w:pPr>
        <w:spacing w:before="40" w:after="40" w:line="276" w:lineRule="auto"/>
        <w:rPr>
          <w:rFonts w:cs="Arial"/>
          <w:color w:val="000000"/>
          <w:szCs w:val="24"/>
        </w:rPr>
      </w:pPr>
    </w:p>
    <w:p w:rsidR="00F3337D" w:rsidRDefault="00C87B62" w:rsidP="00BF3AF0">
      <w:pPr>
        <w:pStyle w:val="Heading2"/>
      </w:pPr>
      <w:r>
        <w:t>2</w:t>
      </w:r>
      <w:r w:rsidR="00BF3AF0">
        <w:t>.3</w:t>
      </w:r>
      <w:r w:rsidR="00BF3AF0">
        <w:tab/>
      </w:r>
      <w:r w:rsidR="00F3337D">
        <w:t>Assessment</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9B139C" w:rsidP="00BF3AF0">
      <w:pPr>
        <w:spacing w:before="40" w:after="40" w:line="276" w:lineRule="auto"/>
        <w:ind w:left="720"/>
        <w:rPr>
          <w:rFonts w:cs="Arial"/>
          <w:color w:val="000000"/>
          <w:szCs w:val="24"/>
        </w:rPr>
      </w:pPr>
      <w:r>
        <w:rPr>
          <w:rFonts w:cs="Arial"/>
          <w:color w:val="000000"/>
          <w:szCs w:val="24"/>
        </w:rPr>
        <w:t xml:space="preserve">Research positively impacts on patient </w:t>
      </w:r>
      <w:r w:rsidR="004C415E">
        <w:rPr>
          <w:rFonts w:cs="Arial"/>
          <w:color w:val="000000"/>
          <w:szCs w:val="24"/>
        </w:rPr>
        <w:t>car</w:t>
      </w:r>
      <w:r>
        <w:rPr>
          <w:rFonts w:cs="Arial"/>
          <w:color w:val="000000"/>
          <w:szCs w:val="24"/>
        </w:rPr>
        <w:t>e as follows:</w:t>
      </w:r>
    </w:p>
    <w:p w:rsidR="00860F16" w:rsidRPr="00F3685D" w:rsidRDefault="00860F16" w:rsidP="00BF3AF0">
      <w:pPr>
        <w:spacing w:before="40" w:after="40" w:line="276" w:lineRule="auto"/>
        <w:ind w:left="720"/>
        <w:rPr>
          <w:rFonts w:cs="Arial"/>
          <w:i/>
          <w:color w:val="000000"/>
          <w:szCs w:val="24"/>
        </w:rPr>
      </w:pPr>
    </w:p>
    <w:p w:rsidR="007033AA" w:rsidRDefault="009B139C" w:rsidP="00860F16">
      <w:pPr>
        <w:spacing w:before="40" w:after="40" w:line="276" w:lineRule="auto"/>
        <w:ind w:left="720"/>
        <w:rPr>
          <w:rFonts w:cs="Arial"/>
          <w:color w:val="000000"/>
          <w:szCs w:val="24"/>
        </w:rPr>
      </w:pPr>
      <w:r w:rsidRPr="00F13B57">
        <w:rPr>
          <w:rFonts w:cs="Arial"/>
          <w:b/>
          <w:color w:val="000000"/>
          <w:szCs w:val="24"/>
        </w:rPr>
        <w:t>Enabling access for patients to state of the art drugs, devices and procedures</w:t>
      </w:r>
      <w:r w:rsidRPr="00F13B57">
        <w:rPr>
          <w:rFonts w:cs="Arial"/>
          <w:color w:val="000000"/>
          <w:szCs w:val="24"/>
        </w:rPr>
        <w:t>.</w:t>
      </w:r>
      <w:r w:rsidRPr="00860F16">
        <w:rPr>
          <w:rFonts w:cs="Arial"/>
          <w:color w:val="000000"/>
          <w:szCs w:val="24"/>
        </w:rPr>
        <w:t xml:space="preserve"> These are generally provided by the </w:t>
      </w:r>
      <w:r w:rsidR="00681EC7" w:rsidRPr="00860F16">
        <w:rPr>
          <w:rFonts w:cs="Arial"/>
          <w:color w:val="000000"/>
          <w:szCs w:val="24"/>
        </w:rPr>
        <w:t xml:space="preserve">research </w:t>
      </w:r>
      <w:r w:rsidRPr="00860F16">
        <w:rPr>
          <w:rFonts w:cs="Arial"/>
          <w:color w:val="000000"/>
          <w:szCs w:val="24"/>
        </w:rPr>
        <w:t>project sponsor</w:t>
      </w:r>
      <w:r w:rsidR="00AF619F" w:rsidRPr="00860F16">
        <w:rPr>
          <w:rFonts w:cs="Arial"/>
          <w:color w:val="000000"/>
          <w:szCs w:val="24"/>
        </w:rPr>
        <w:t>, or though the provision of Excess Treatment Costs,</w:t>
      </w:r>
      <w:r w:rsidRPr="00860F16">
        <w:rPr>
          <w:rFonts w:cs="Arial"/>
          <w:color w:val="000000"/>
          <w:szCs w:val="24"/>
        </w:rPr>
        <w:t xml:space="preserve"> and can replace clinically indicated</w:t>
      </w:r>
      <w:r w:rsidR="004C415E" w:rsidRPr="00860F16">
        <w:rPr>
          <w:rFonts w:cs="Arial"/>
          <w:color w:val="000000"/>
          <w:szCs w:val="24"/>
        </w:rPr>
        <w:t xml:space="preserve"> drug, device or procedure</w:t>
      </w:r>
      <w:r w:rsidRPr="00860F16">
        <w:rPr>
          <w:rFonts w:cs="Arial"/>
          <w:color w:val="000000"/>
          <w:szCs w:val="24"/>
        </w:rPr>
        <w:t>.</w:t>
      </w:r>
      <w:r w:rsidR="00A720C9" w:rsidRPr="00860F16">
        <w:rPr>
          <w:rFonts w:cs="Arial"/>
          <w:color w:val="000000"/>
          <w:szCs w:val="24"/>
        </w:rPr>
        <w:t xml:space="preserve"> Examples include:</w:t>
      </w:r>
    </w:p>
    <w:p w:rsidR="007033AA" w:rsidRPr="00F13B57" w:rsidRDefault="007033AA" w:rsidP="00687746">
      <w:pPr>
        <w:pStyle w:val="ListParagraph"/>
        <w:numPr>
          <w:ilvl w:val="0"/>
          <w:numId w:val="6"/>
        </w:numPr>
        <w:spacing w:before="40" w:after="40" w:line="276" w:lineRule="auto"/>
        <w:rPr>
          <w:rFonts w:ascii="Arial" w:hAnsi="Arial" w:cs="Arial"/>
          <w:color w:val="000000"/>
        </w:rPr>
      </w:pPr>
      <w:r w:rsidRPr="00F13B57">
        <w:rPr>
          <w:rFonts w:ascii="Arial" w:hAnsi="Arial" w:cs="Arial"/>
          <w:color w:val="000000"/>
        </w:rPr>
        <w:t xml:space="preserve">The </w:t>
      </w:r>
      <w:r w:rsidR="00900717" w:rsidRPr="00F13B57">
        <w:rPr>
          <w:rFonts w:ascii="Arial" w:hAnsi="Arial" w:cs="Arial"/>
          <w:color w:val="000000"/>
        </w:rPr>
        <w:t>LIGHTRAY projects (24/CARD/24 and 24/CARD/05)</w:t>
      </w:r>
      <w:r w:rsidRPr="00F13B57">
        <w:rPr>
          <w:rFonts w:ascii="Arial" w:hAnsi="Arial" w:cs="Arial"/>
          <w:color w:val="000000"/>
        </w:rPr>
        <w:t>. The objective of the</w:t>
      </w:r>
      <w:r w:rsidR="00AF619F" w:rsidRPr="00F13B57">
        <w:rPr>
          <w:rFonts w:ascii="Arial" w:hAnsi="Arial" w:cs="Arial"/>
          <w:color w:val="000000"/>
        </w:rPr>
        <w:t>se</w:t>
      </w:r>
      <w:r w:rsidRPr="00F13B57">
        <w:rPr>
          <w:rFonts w:ascii="Arial" w:hAnsi="Arial" w:cs="Arial"/>
          <w:color w:val="000000"/>
        </w:rPr>
        <w:t xml:space="preserve"> project</w:t>
      </w:r>
      <w:r w:rsidR="00AF619F" w:rsidRPr="00F13B57">
        <w:rPr>
          <w:rFonts w:ascii="Arial" w:hAnsi="Arial" w:cs="Arial"/>
          <w:color w:val="000000"/>
        </w:rPr>
        <w:t>s</w:t>
      </w:r>
      <w:r w:rsidRPr="00F13B57">
        <w:rPr>
          <w:rFonts w:ascii="Arial" w:hAnsi="Arial" w:cs="Arial"/>
          <w:color w:val="000000"/>
        </w:rPr>
        <w:t xml:space="preserve"> is to evaluate two different dosing methods for a drug called </w:t>
      </w:r>
      <w:proofErr w:type="spellStart"/>
      <w:r w:rsidR="00AF619F" w:rsidRPr="00F13B57">
        <w:rPr>
          <w:rFonts w:ascii="Arial" w:hAnsi="Arial" w:cs="Arial"/>
          <w:color w:val="000000"/>
        </w:rPr>
        <w:t>S</w:t>
      </w:r>
      <w:r w:rsidRPr="00F13B57">
        <w:rPr>
          <w:rFonts w:ascii="Arial" w:hAnsi="Arial" w:cs="Arial"/>
          <w:color w:val="000000"/>
        </w:rPr>
        <w:t>otatercept</w:t>
      </w:r>
      <w:proofErr w:type="spellEnd"/>
      <w:r w:rsidR="00AF619F" w:rsidRPr="00F13B57">
        <w:rPr>
          <w:rFonts w:ascii="Arial" w:hAnsi="Arial" w:cs="Arial"/>
          <w:color w:val="000000"/>
        </w:rPr>
        <w:t xml:space="preserve"> - a medication used to treat pulmonary arterial hypertension (PAH) in adults</w:t>
      </w:r>
      <w:r w:rsidRPr="00F13B57">
        <w:rPr>
          <w:rFonts w:ascii="Arial" w:hAnsi="Arial" w:cs="Arial"/>
          <w:color w:val="000000"/>
        </w:rPr>
        <w:t xml:space="preserve">. The sponsor </w:t>
      </w:r>
      <w:r w:rsidR="00AF619F" w:rsidRPr="00F13B57">
        <w:rPr>
          <w:rFonts w:ascii="Arial" w:hAnsi="Arial" w:cs="Arial"/>
          <w:color w:val="000000"/>
        </w:rPr>
        <w:t>will provide</w:t>
      </w:r>
      <w:r w:rsidRPr="00F13B57">
        <w:rPr>
          <w:rFonts w:ascii="Arial" w:hAnsi="Arial" w:cs="Arial"/>
          <w:color w:val="000000"/>
        </w:rPr>
        <w:t xml:space="preserve"> the drug </w:t>
      </w:r>
      <w:r w:rsidRPr="00F13B57">
        <w:rPr>
          <w:rFonts w:ascii="Arial" w:hAnsi="Arial" w:cs="Arial"/>
          <w:color w:val="000000"/>
        </w:rPr>
        <w:lastRenderedPageBreak/>
        <w:t xml:space="preserve">for the duration of both trials. </w:t>
      </w:r>
      <w:r w:rsidR="00A720C9" w:rsidRPr="00F13B57">
        <w:rPr>
          <w:rFonts w:ascii="Arial" w:hAnsi="Arial" w:cs="Arial"/>
          <w:color w:val="000000"/>
        </w:rPr>
        <w:t>The drug is licensed for use in the USA at a</w:t>
      </w:r>
      <w:r w:rsidR="00AF619F" w:rsidRPr="00F13B57">
        <w:rPr>
          <w:rFonts w:ascii="Arial" w:hAnsi="Arial" w:cs="Arial"/>
          <w:color w:val="000000"/>
        </w:rPr>
        <w:t>n estimated</w:t>
      </w:r>
      <w:r w:rsidR="00A720C9" w:rsidRPr="00F13B57">
        <w:rPr>
          <w:rFonts w:ascii="Arial" w:hAnsi="Arial" w:cs="Arial"/>
          <w:color w:val="000000"/>
        </w:rPr>
        <w:t xml:space="preserve"> cost of $25,000 per month. The project provides a way for patients to access a state of the art drug</w:t>
      </w:r>
      <w:r w:rsidR="00AF619F" w:rsidRPr="00F13B57">
        <w:rPr>
          <w:rFonts w:ascii="Arial" w:hAnsi="Arial" w:cs="Arial"/>
          <w:color w:val="000000"/>
        </w:rPr>
        <w:t>.</w:t>
      </w:r>
      <w:r w:rsidR="00A720C9" w:rsidRPr="00F13B57">
        <w:rPr>
          <w:rFonts w:ascii="Arial" w:hAnsi="Arial" w:cs="Arial"/>
          <w:color w:val="000000"/>
        </w:rPr>
        <w:t xml:space="preserve"> </w:t>
      </w:r>
      <w:r w:rsidR="00AF619F" w:rsidRPr="00F13B57">
        <w:rPr>
          <w:rFonts w:ascii="Arial" w:hAnsi="Arial" w:cs="Arial"/>
          <w:color w:val="000000"/>
        </w:rPr>
        <w:t>Three patient are currently enrolled in these projects.</w:t>
      </w:r>
    </w:p>
    <w:p w:rsidR="00A41D4F" w:rsidRPr="00F13B57" w:rsidRDefault="007033AA" w:rsidP="00687746">
      <w:pPr>
        <w:pStyle w:val="ListParagraph"/>
        <w:numPr>
          <w:ilvl w:val="0"/>
          <w:numId w:val="6"/>
        </w:numPr>
        <w:spacing w:before="40" w:after="40" w:line="276" w:lineRule="auto"/>
        <w:rPr>
          <w:rFonts w:ascii="Arial" w:hAnsi="Arial" w:cs="Arial"/>
          <w:color w:val="000000"/>
        </w:rPr>
      </w:pPr>
      <w:r w:rsidRPr="00F13B57">
        <w:rPr>
          <w:rFonts w:ascii="Arial" w:hAnsi="Arial" w:cs="Arial"/>
          <w:color w:val="000000"/>
        </w:rPr>
        <w:t xml:space="preserve">CRAAFT-HF (24/CARD/10). This project looks at the use of catheter ablation to treat </w:t>
      </w:r>
      <w:r w:rsidR="00A41D4F" w:rsidRPr="00F13B57">
        <w:rPr>
          <w:rFonts w:ascii="Arial" w:hAnsi="Arial" w:cs="Arial"/>
          <w:color w:val="000000"/>
        </w:rPr>
        <w:t>patients with heart failure and atrial fibrillation. The comparison is between medical therapy alone (current treatment), and medical therapy plus ablation</w:t>
      </w:r>
      <w:r w:rsidR="00AF619F" w:rsidRPr="00F13B57">
        <w:rPr>
          <w:rFonts w:ascii="Arial" w:hAnsi="Arial" w:cs="Arial"/>
          <w:color w:val="000000"/>
        </w:rPr>
        <w:t xml:space="preserve"> (study treatment)</w:t>
      </w:r>
      <w:r w:rsidR="00860F16" w:rsidRPr="00F13B57">
        <w:rPr>
          <w:rFonts w:ascii="Arial" w:hAnsi="Arial" w:cs="Arial"/>
          <w:color w:val="000000"/>
        </w:rPr>
        <w:t>.  T</w:t>
      </w:r>
      <w:r w:rsidR="00A41D4F" w:rsidRPr="00F13B57">
        <w:rPr>
          <w:rFonts w:ascii="Arial" w:hAnsi="Arial" w:cs="Arial"/>
          <w:color w:val="000000"/>
        </w:rPr>
        <w:t>he ablation procedure is termed an Excess Treatment Cost (i.e. in excess of the current treatment cost) and is provided by the Chief Scientist Office (£210,000).</w:t>
      </w:r>
      <w:r w:rsidR="00AF619F" w:rsidRPr="00F13B57">
        <w:rPr>
          <w:rFonts w:ascii="Arial" w:hAnsi="Arial" w:cs="Arial"/>
          <w:color w:val="000000"/>
        </w:rPr>
        <w:t xml:space="preserve"> At this site, 42 participants will be recruited to each treatment arm.</w:t>
      </w:r>
    </w:p>
    <w:p w:rsidR="007033AA" w:rsidRPr="00F13B57" w:rsidRDefault="007033AA" w:rsidP="00687746">
      <w:pPr>
        <w:pStyle w:val="ListParagraph"/>
        <w:numPr>
          <w:ilvl w:val="0"/>
          <w:numId w:val="6"/>
        </w:numPr>
        <w:spacing w:before="40" w:after="40" w:line="276" w:lineRule="auto"/>
        <w:rPr>
          <w:rFonts w:ascii="Arial" w:hAnsi="Arial" w:cs="Arial"/>
          <w:color w:val="000000"/>
        </w:rPr>
      </w:pPr>
      <w:r w:rsidRPr="00F13B57">
        <w:rPr>
          <w:rFonts w:ascii="Arial" w:hAnsi="Arial" w:cs="Arial"/>
          <w:color w:val="000000"/>
        </w:rPr>
        <w:t>CHIP-BCIS3 (21/CARD/09)</w:t>
      </w:r>
      <w:r w:rsidR="00A41D4F" w:rsidRPr="00F13B57">
        <w:rPr>
          <w:rFonts w:ascii="Arial" w:hAnsi="Arial" w:cs="Arial"/>
          <w:color w:val="000000"/>
        </w:rPr>
        <w:t xml:space="preserve">. This project looks at </w:t>
      </w:r>
      <w:r w:rsidR="00A720C9" w:rsidRPr="00F13B57">
        <w:rPr>
          <w:rFonts w:ascii="Arial" w:hAnsi="Arial" w:cs="Arial"/>
          <w:color w:val="000000"/>
        </w:rPr>
        <w:t xml:space="preserve">the use of a heart pump device call </w:t>
      </w:r>
      <w:proofErr w:type="spellStart"/>
      <w:r w:rsidR="00A720C9" w:rsidRPr="00F13B57">
        <w:rPr>
          <w:rFonts w:ascii="Arial" w:hAnsi="Arial" w:cs="Arial"/>
          <w:color w:val="000000"/>
        </w:rPr>
        <w:t>Impella</w:t>
      </w:r>
      <w:proofErr w:type="spellEnd"/>
      <w:r w:rsidR="00A720C9" w:rsidRPr="00F13B57">
        <w:rPr>
          <w:rFonts w:ascii="Arial" w:hAnsi="Arial" w:cs="Arial"/>
          <w:color w:val="000000"/>
        </w:rPr>
        <w:t xml:space="preserve"> - a percutaneous ventricular assist device (PVAD) used to support the heart by temporarily assisting its pumping function. Patients are randomised to standard treatment (stent without </w:t>
      </w:r>
      <w:proofErr w:type="spellStart"/>
      <w:r w:rsidR="00A720C9" w:rsidRPr="00F13B57">
        <w:rPr>
          <w:rFonts w:ascii="Arial" w:hAnsi="Arial" w:cs="Arial"/>
          <w:color w:val="000000"/>
        </w:rPr>
        <w:t>Impella</w:t>
      </w:r>
      <w:proofErr w:type="spellEnd"/>
      <w:r w:rsidR="00A720C9" w:rsidRPr="00F13B57">
        <w:rPr>
          <w:rFonts w:ascii="Arial" w:hAnsi="Arial" w:cs="Arial"/>
          <w:color w:val="000000"/>
        </w:rPr>
        <w:t xml:space="preserve">) and the study treatment (stent procedure with </w:t>
      </w:r>
      <w:proofErr w:type="spellStart"/>
      <w:r w:rsidR="00A720C9" w:rsidRPr="00F13B57">
        <w:rPr>
          <w:rFonts w:ascii="Arial" w:hAnsi="Arial" w:cs="Arial"/>
          <w:color w:val="000000"/>
        </w:rPr>
        <w:t>Impella</w:t>
      </w:r>
      <w:proofErr w:type="spellEnd"/>
      <w:r w:rsidR="00A720C9" w:rsidRPr="00F13B57">
        <w:rPr>
          <w:rFonts w:ascii="Arial" w:hAnsi="Arial" w:cs="Arial"/>
          <w:color w:val="000000"/>
        </w:rPr>
        <w:t xml:space="preserve">). </w:t>
      </w:r>
      <w:proofErr w:type="spellStart"/>
      <w:r w:rsidR="00A720C9" w:rsidRPr="00F13B57">
        <w:rPr>
          <w:rFonts w:ascii="Arial" w:hAnsi="Arial" w:cs="Arial"/>
          <w:color w:val="000000"/>
        </w:rPr>
        <w:t>Impella</w:t>
      </w:r>
      <w:proofErr w:type="spellEnd"/>
      <w:r w:rsidR="00A720C9" w:rsidRPr="00F13B57">
        <w:rPr>
          <w:rFonts w:ascii="Arial" w:hAnsi="Arial" w:cs="Arial"/>
          <w:color w:val="000000"/>
        </w:rPr>
        <w:t xml:space="preserve"> is not part of standard care so is </w:t>
      </w:r>
      <w:r w:rsidR="00AF619F" w:rsidRPr="00F13B57">
        <w:rPr>
          <w:rFonts w:ascii="Arial" w:hAnsi="Arial" w:cs="Arial"/>
          <w:color w:val="000000"/>
        </w:rPr>
        <w:t>paid for</w:t>
      </w:r>
      <w:r w:rsidR="00A720C9" w:rsidRPr="00F13B57">
        <w:rPr>
          <w:rFonts w:ascii="Arial" w:hAnsi="Arial" w:cs="Arial"/>
          <w:color w:val="000000"/>
        </w:rPr>
        <w:t xml:space="preserve"> by the Chief Scientist Office (Excess Treatment Cost of £79,576</w:t>
      </w:r>
      <w:r w:rsidR="00D85625" w:rsidRPr="00F13B57">
        <w:rPr>
          <w:rFonts w:ascii="Arial" w:hAnsi="Arial" w:cs="Arial"/>
          <w:color w:val="000000"/>
        </w:rPr>
        <w:t>). Six participants will be recruited to each treatment arm.</w:t>
      </w:r>
    </w:p>
    <w:p w:rsidR="00860F16" w:rsidRPr="00F13B57" w:rsidRDefault="00860F16" w:rsidP="00860F16">
      <w:pPr>
        <w:pStyle w:val="ListParagraph"/>
        <w:spacing w:before="40" w:after="40" w:line="276" w:lineRule="auto"/>
        <w:ind w:left="1080"/>
        <w:rPr>
          <w:rFonts w:ascii="Arial" w:hAnsi="Arial" w:cs="Arial"/>
          <w:b/>
          <w:i/>
          <w:color w:val="000000"/>
          <w:sz w:val="20"/>
          <w:szCs w:val="20"/>
        </w:rPr>
      </w:pPr>
    </w:p>
    <w:p w:rsidR="009B139C" w:rsidRPr="00860F16" w:rsidRDefault="009B139C" w:rsidP="00860F16">
      <w:pPr>
        <w:spacing w:before="40" w:after="40" w:line="276" w:lineRule="auto"/>
        <w:ind w:left="720"/>
        <w:rPr>
          <w:rFonts w:cs="Arial"/>
          <w:color w:val="000000"/>
          <w:szCs w:val="24"/>
        </w:rPr>
      </w:pPr>
      <w:r w:rsidRPr="00F13B57">
        <w:rPr>
          <w:rFonts w:cs="Arial"/>
          <w:b/>
          <w:i/>
          <w:color w:val="000000"/>
          <w:szCs w:val="24"/>
        </w:rPr>
        <w:t>Patients who consent to take part in a research projects will normally make several return visits.</w:t>
      </w:r>
      <w:r w:rsidRPr="00860F16">
        <w:rPr>
          <w:rFonts w:cs="Arial"/>
          <w:color w:val="000000"/>
          <w:szCs w:val="24"/>
        </w:rPr>
        <w:t xml:space="preserve"> During these visits, patients will discuss their health with the attending research nurse, research fellow, or consultant, and will </w:t>
      </w:r>
      <w:r w:rsidR="004C415E" w:rsidRPr="00860F16">
        <w:rPr>
          <w:rFonts w:cs="Arial"/>
          <w:color w:val="000000"/>
          <w:szCs w:val="24"/>
        </w:rPr>
        <w:t>usually</w:t>
      </w:r>
      <w:r w:rsidRPr="00860F16">
        <w:rPr>
          <w:rFonts w:cs="Arial"/>
          <w:color w:val="000000"/>
          <w:szCs w:val="24"/>
        </w:rPr>
        <w:t xml:space="preserve"> have additional physical examinations, labs and imaging. This gives patient confidence in their recovery and add</w:t>
      </w:r>
      <w:r w:rsidR="004C415E" w:rsidRPr="00860F16">
        <w:rPr>
          <w:rFonts w:cs="Arial"/>
          <w:color w:val="000000"/>
          <w:szCs w:val="24"/>
        </w:rPr>
        <w:t>s valuable</w:t>
      </w:r>
      <w:r w:rsidRPr="00860F16">
        <w:rPr>
          <w:rFonts w:cs="Arial"/>
          <w:color w:val="000000"/>
          <w:szCs w:val="24"/>
        </w:rPr>
        <w:t xml:space="preserve"> information to their Patient Record.</w:t>
      </w:r>
    </w:p>
    <w:p w:rsidR="00F3337D" w:rsidRPr="00F3337D" w:rsidRDefault="00F3337D" w:rsidP="00BF3AF0">
      <w:pPr>
        <w:pStyle w:val="ListParagraph"/>
        <w:ind w:left="1440"/>
        <w:rPr>
          <w:rFonts w:ascii="Arial" w:hAnsi="Arial" w:cs="Arial"/>
          <w:color w:val="000000"/>
          <w:sz w:val="24"/>
          <w:szCs w:val="24"/>
        </w:rPr>
      </w:pPr>
    </w:p>
    <w:p w:rsidR="00AA77F7" w:rsidRDefault="00C87B62" w:rsidP="00AA77F7">
      <w:pPr>
        <w:pStyle w:val="Heading3"/>
        <w:spacing w:line="276" w:lineRule="auto"/>
      </w:pPr>
      <w:r>
        <w:t>2</w:t>
      </w:r>
      <w:r w:rsidR="00BF3AF0">
        <w:t>.3.2</w:t>
      </w:r>
      <w:r w:rsidR="00BF3AF0">
        <w:tab/>
      </w:r>
      <w:r w:rsidR="00AA77F7">
        <w:t>Workforce</w:t>
      </w:r>
    </w:p>
    <w:p w:rsidR="00083F14" w:rsidRDefault="00083F14" w:rsidP="00BF3AF0">
      <w:pPr>
        <w:spacing w:before="40" w:after="40" w:line="276" w:lineRule="auto"/>
        <w:ind w:left="720"/>
        <w:rPr>
          <w:rFonts w:cs="Arial"/>
          <w:color w:val="000000"/>
          <w:szCs w:val="24"/>
        </w:rPr>
      </w:pPr>
      <w:r w:rsidRPr="00083F14">
        <w:rPr>
          <w:rFonts w:cs="Arial"/>
          <w:color w:val="000000"/>
          <w:szCs w:val="24"/>
        </w:rPr>
        <w:t xml:space="preserve">Research </w:t>
      </w:r>
      <w:r>
        <w:rPr>
          <w:rFonts w:cs="Arial"/>
          <w:color w:val="000000"/>
          <w:szCs w:val="24"/>
        </w:rPr>
        <w:t>positively impacts on the workforce as follows:</w:t>
      </w:r>
    </w:p>
    <w:p w:rsidR="00083F14" w:rsidRPr="00681EC7" w:rsidRDefault="00083F14" w:rsidP="00687746">
      <w:pPr>
        <w:pStyle w:val="ListParagraph"/>
        <w:numPr>
          <w:ilvl w:val="0"/>
          <w:numId w:val="7"/>
        </w:numPr>
        <w:spacing w:before="40" w:after="40" w:line="276" w:lineRule="auto"/>
        <w:rPr>
          <w:rFonts w:ascii="Arial" w:hAnsi="Arial" w:cs="Arial"/>
          <w:color w:val="000000"/>
          <w:szCs w:val="24"/>
        </w:rPr>
      </w:pPr>
      <w:r w:rsidRPr="00681EC7">
        <w:rPr>
          <w:rFonts w:ascii="Arial" w:hAnsi="Arial" w:cs="Arial"/>
          <w:color w:val="000000"/>
          <w:szCs w:val="24"/>
        </w:rPr>
        <w:t>Give</w:t>
      </w:r>
      <w:r w:rsidR="00681EC7">
        <w:rPr>
          <w:rFonts w:ascii="Arial" w:hAnsi="Arial" w:cs="Arial"/>
          <w:color w:val="000000"/>
          <w:szCs w:val="24"/>
        </w:rPr>
        <w:t>s</w:t>
      </w:r>
      <w:r w:rsidRPr="00681EC7">
        <w:rPr>
          <w:rFonts w:ascii="Arial" w:hAnsi="Arial" w:cs="Arial"/>
          <w:color w:val="000000"/>
          <w:szCs w:val="24"/>
        </w:rPr>
        <w:t xml:space="preserve"> an alternative career choice for most healthcare professions including nursing, administration and healthcare science. </w:t>
      </w:r>
    </w:p>
    <w:p w:rsidR="00083F14" w:rsidRPr="00681EC7" w:rsidRDefault="00083F14" w:rsidP="00687746">
      <w:pPr>
        <w:pStyle w:val="ListParagraph"/>
        <w:numPr>
          <w:ilvl w:val="0"/>
          <w:numId w:val="7"/>
        </w:numPr>
        <w:spacing w:before="40" w:after="40" w:line="276" w:lineRule="auto"/>
        <w:rPr>
          <w:rFonts w:ascii="Arial" w:hAnsi="Arial" w:cs="Arial"/>
          <w:color w:val="000000"/>
          <w:szCs w:val="24"/>
        </w:rPr>
      </w:pPr>
      <w:r w:rsidRPr="00681EC7">
        <w:rPr>
          <w:rFonts w:ascii="Arial" w:hAnsi="Arial" w:cs="Arial"/>
          <w:color w:val="000000"/>
          <w:szCs w:val="24"/>
        </w:rPr>
        <w:t>Enables the wider Golden Jubilee staff group to get involved in research through the requirement for very specialist imaging etc.</w:t>
      </w:r>
    </w:p>
    <w:p w:rsidR="004C415E" w:rsidRDefault="004C415E" w:rsidP="0034307C">
      <w:pPr>
        <w:spacing w:before="40" w:after="40" w:line="276" w:lineRule="auto"/>
        <w:ind w:left="720"/>
        <w:rPr>
          <w:rFonts w:cs="Arial"/>
          <w:color w:val="000000"/>
          <w:szCs w:val="24"/>
        </w:rPr>
      </w:pPr>
    </w:p>
    <w:p w:rsidR="00083F14" w:rsidRDefault="0034307C" w:rsidP="0034307C">
      <w:pPr>
        <w:spacing w:before="40" w:after="40" w:line="276" w:lineRule="auto"/>
        <w:ind w:left="720"/>
        <w:rPr>
          <w:rFonts w:cs="Arial"/>
          <w:color w:val="000000"/>
          <w:szCs w:val="24"/>
        </w:rPr>
      </w:pPr>
      <w:r>
        <w:rPr>
          <w:rFonts w:cs="Arial"/>
          <w:color w:val="000000"/>
          <w:szCs w:val="24"/>
        </w:rPr>
        <w:t xml:space="preserve">Establishing safe staffing levels for areas out with wards is challenging however, for research support staff (research nurses and healthcare </w:t>
      </w:r>
      <w:r w:rsidR="000664E6">
        <w:rPr>
          <w:rFonts w:cs="Arial"/>
          <w:color w:val="000000"/>
          <w:szCs w:val="24"/>
        </w:rPr>
        <w:t>scientists</w:t>
      </w:r>
      <w:r>
        <w:rPr>
          <w:rFonts w:cs="Arial"/>
          <w:color w:val="000000"/>
          <w:szCs w:val="24"/>
        </w:rPr>
        <w:t xml:space="preserve">) this is starting to be addressed through the introduction of a Research Patient </w:t>
      </w:r>
      <w:r w:rsidR="004C415E">
        <w:rPr>
          <w:rFonts w:cs="Arial"/>
          <w:color w:val="000000"/>
          <w:szCs w:val="24"/>
        </w:rPr>
        <w:t>M</w:t>
      </w:r>
      <w:r>
        <w:rPr>
          <w:rFonts w:cs="Arial"/>
          <w:color w:val="000000"/>
          <w:szCs w:val="24"/>
        </w:rPr>
        <w:t xml:space="preserve">anagement System called EDGE. </w:t>
      </w:r>
    </w:p>
    <w:p w:rsidR="00A9772A" w:rsidRDefault="00A9772A" w:rsidP="0034307C">
      <w:pPr>
        <w:spacing w:before="40" w:after="40" w:line="276" w:lineRule="auto"/>
        <w:ind w:left="720"/>
        <w:rPr>
          <w:rFonts w:cs="Arial"/>
          <w:color w:val="000000"/>
          <w:szCs w:val="24"/>
        </w:rPr>
      </w:pPr>
    </w:p>
    <w:p w:rsidR="000664E6" w:rsidRDefault="000664E6" w:rsidP="0034307C">
      <w:pPr>
        <w:spacing w:before="40" w:after="40" w:line="276" w:lineRule="auto"/>
        <w:ind w:left="720"/>
        <w:rPr>
          <w:rFonts w:cs="Arial"/>
          <w:color w:val="000000"/>
          <w:szCs w:val="24"/>
        </w:rPr>
      </w:pPr>
      <w:r>
        <w:rPr>
          <w:rFonts w:cs="Arial"/>
          <w:color w:val="000000"/>
          <w:szCs w:val="24"/>
        </w:rPr>
        <w:t>For research administration, this is more challenging however, recent information demonstrates that additional staff will be needed to achieve the strategic direction of increasing the number of projects in general, and specifically, the number of home grown projects which will need specialist research project management capability.</w:t>
      </w:r>
    </w:p>
    <w:p w:rsidR="00A9772A" w:rsidRDefault="00A9772A" w:rsidP="0034307C">
      <w:pPr>
        <w:spacing w:before="40" w:after="40" w:line="276" w:lineRule="auto"/>
        <w:ind w:left="720"/>
        <w:rPr>
          <w:rFonts w:cs="Arial"/>
          <w:color w:val="000000"/>
          <w:szCs w:val="24"/>
        </w:rPr>
      </w:pPr>
    </w:p>
    <w:p w:rsidR="00A9772A" w:rsidRPr="00083F14" w:rsidRDefault="00A9772A" w:rsidP="0034307C">
      <w:pPr>
        <w:spacing w:before="40" w:after="40" w:line="276" w:lineRule="auto"/>
        <w:ind w:left="720"/>
        <w:rPr>
          <w:rFonts w:cs="Arial"/>
          <w:color w:val="000000"/>
          <w:szCs w:val="24"/>
        </w:rPr>
      </w:pPr>
      <w:r>
        <w:rPr>
          <w:rFonts w:cs="Arial"/>
          <w:color w:val="000000"/>
          <w:szCs w:val="24"/>
        </w:rPr>
        <w:t xml:space="preserve">It should be noted that, of the 39 Principal Investigators, 28 are consultants employed by the Jubilee. 3 PI’s are from the other professional groups - nursing, physiotherapy and administration. </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085D75" w:rsidRDefault="000664E6" w:rsidP="00BF3AF0">
      <w:pPr>
        <w:spacing w:before="40" w:after="40" w:line="276" w:lineRule="auto"/>
        <w:ind w:left="720"/>
        <w:rPr>
          <w:rFonts w:cs="Arial"/>
          <w:color w:val="000000"/>
          <w:szCs w:val="24"/>
        </w:rPr>
      </w:pPr>
      <w:r>
        <w:rPr>
          <w:rFonts w:cs="Arial"/>
          <w:color w:val="000000"/>
          <w:szCs w:val="24"/>
        </w:rPr>
        <w:t xml:space="preserve">The years following the pandemic were very challenging however, income generated by research activity in the 24/25 financial year is higher that it has ever been. Given the </w:t>
      </w:r>
      <w:r>
        <w:rPr>
          <w:rFonts w:cs="Arial"/>
          <w:color w:val="000000"/>
          <w:szCs w:val="24"/>
        </w:rPr>
        <w:lastRenderedPageBreak/>
        <w:t xml:space="preserve">ongoing increase in research project numbers, this trend it likely to be maintained however, that is not certain. </w:t>
      </w:r>
    </w:p>
    <w:p w:rsidR="000664E6" w:rsidRDefault="000664E6" w:rsidP="00BF3AF0">
      <w:pPr>
        <w:spacing w:before="40" w:after="40" w:line="276" w:lineRule="auto"/>
        <w:ind w:left="720"/>
        <w:rPr>
          <w:rFonts w:cs="Arial"/>
          <w:color w:val="000000"/>
          <w:szCs w:val="24"/>
        </w:rPr>
      </w:pPr>
      <w:r w:rsidRPr="000664E6">
        <w:rPr>
          <w:rFonts w:cs="Arial"/>
          <w:color w:val="000000"/>
          <w:szCs w:val="24"/>
        </w:rPr>
        <w:t xml:space="preserve"> </w:t>
      </w:r>
    </w:p>
    <w:p w:rsidR="000664E6" w:rsidRDefault="000664E6" w:rsidP="00BF3AF0">
      <w:pPr>
        <w:spacing w:before="40" w:after="40" w:line="276" w:lineRule="auto"/>
        <w:ind w:left="720"/>
        <w:rPr>
          <w:rFonts w:cs="Arial"/>
          <w:color w:val="000000"/>
          <w:szCs w:val="24"/>
        </w:rPr>
      </w:pPr>
      <w:r>
        <w:rPr>
          <w:rFonts w:cs="Arial"/>
          <w:color w:val="000000"/>
          <w:szCs w:val="24"/>
        </w:rPr>
        <w:t xml:space="preserve">In addition to direct income, research provides cost efficiencies through externally employed staff (mainly the University of Glasgow) contributing to clinical care, and the provision of drugs and devices which sometimes replace the Standard Care drug/device. </w:t>
      </w:r>
    </w:p>
    <w:p w:rsidR="00F3337D" w:rsidRDefault="00F3337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2E24AA" w:rsidRDefault="002E24AA" w:rsidP="002E24AA">
      <w:pPr>
        <w:ind w:left="720"/>
      </w:pPr>
      <w:r>
        <w:t xml:space="preserve">The Research Institute risk register is </w:t>
      </w:r>
      <w:r w:rsidR="000E2E4A">
        <w:t>discussed</w:t>
      </w:r>
      <w:r>
        <w:t xml:space="preserve"> at each Research &amp; Development Steering Group meeting.</w:t>
      </w:r>
      <w:r w:rsidR="00890FC9">
        <w:t xml:space="preserve"> The actions relating to each risk are reviewed, and any change in risk level discussed. </w:t>
      </w:r>
      <w:r>
        <w:t>The risk register is available howe</w:t>
      </w:r>
      <w:r w:rsidR="00890FC9">
        <w:t xml:space="preserve">ver, for ease of reference, </w:t>
      </w:r>
      <w:r>
        <w:t>risks are listed below:</w:t>
      </w:r>
    </w:p>
    <w:p w:rsidR="002E24AA" w:rsidRDefault="002E24AA" w:rsidP="002E24AA">
      <w:pPr>
        <w:ind w:left="720"/>
      </w:pPr>
    </w:p>
    <w:p w:rsidR="002E24AA" w:rsidRDefault="002E24AA" w:rsidP="00687746">
      <w:pPr>
        <w:pStyle w:val="ListParagraph"/>
        <w:numPr>
          <w:ilvl w:val="0"/>
          <w:numId w:val="8"/>
        </w:numPr>
        <w:rPr>
          <w:rFonts w:ascii="Arial" w:hAnsi="Arial" w:cs="Arial"/>
          <w:color w:val="000000"/>
          <w:szCs w:val="24"/>
        </w:rPr>
      </w:pPr>
      <w:r w:rsidRPr="00681EC7">
        <w:rPr>
          <w:rFonts w:ascii="Arial" w:hAnsi="Arial" w:cs="Arial"/>
          <w:color w:val="000000"/>
          <w:szCs w:val="24"/>
        </w:rPr>
        <w:t>Support department capacity.</w:t>
      </w:r>
    </w:p>
    <w:p w:rsidR="00890FC9" w:rsidRPr="00890FC9" w:rsidRDefault="00890FC9" w:rsidP="00687746">
      <w:pPr>
        <w:pStyle w:val="ListParagraph"/>
        <w:numPr>
          <w:ilvl w:val="0"/>
          <w:numId w:val="8"/>
        </w:numPr>
        <w:rPr>
          <w:rFonts w:ascii="Arial" w:hAnsi="Arial" w:cs="Arial"/>
          <w:color w:val="000000"/>
          <w:szCs w:val="24"/>
        </w:rPr>
      </w:pPr>
      <w:r w:rsidRPr="00890FC9">
        <w:rPr>
          <w:rFonts w:ascii="Arial" w:hAnsi="Arial" w:cs="Arial"/>
          <w:color w:val="000000"/>
          <w:szCs w:val="24"/>
        </w:rPr>
        <w:t xml:space="preserve">Research workforce - </w:t>
      </w:r>
      <w:r>
        <w:rPr>
          <w:rFonts w:ascii="Arial" w:hAnsi="Arial" w:cs="Arial"/>
          <w:color w:val="000000"/>
          <w:szCs w:val="24"/>
        </w:rPr>
        <w:t>Pharm</w:t>
      </w:r>
      <w:r w:rsidRPr="00890FC9">
        <w:rPr>
          <w:rFonts w:ascii="Arial" w:hAnsi="Arial" w:cs="Arial"/>
          <w:color w:val="000000"/>
          <w:szCs w:val="24"/>
        </w:rPr>
        <w:t>acy.</w:t>
      </w:r>
    </w:p>
    <w:p w:rsidR="00890FC9" w:rsidRDefault="002E24AA" w:rsidP="00687746">
      <w:pPr>
        <w:pStyle w:val="ListParagraph"/>
        <w:numPr>
          <w:ilvl w:val="0"/>
          <w:numId w:val="8"/>
        </w:numPr>
        <w:rPr>
          <w:rFonts w:ascii="Arial" w:hAnsi="Arial" w:cs="Arial"/>
          <w:color w:val="000000"/>
          <w:szCs w:val="24"/>
        </w:rPr>
      </w:pPr>
      <w:r w:rsidRPr="00890FC9">
        <w:rPr>
          <w:rFonts w:ascii="Arial" w:hAnsi="Arial" w:cs="Arial"/>
          <w:color w:val="000000"/>
          <w:szCs w:val="24"/>
        </w:rPr>
        <w:t>Research workforce</w:t>
      </w:r>
      <w:r w:rsidR="00890FC9" w:rsidRPr="00890FC9">
        <w:rPr>
          <w:rFonts w:ascii="Arial" w:hAnsi="Arial" w:cs="Arial"/>
          <w:color w:val="000000"/>
          <w:szCs w:val="24"/>
        </w:rPr>
        <w:t xml:space="preserve"> - R&amp;D Office staff</w:t>
      </w:r>
      <w:r w:rsidRPr="00890FC9">
        <w:rPr>
          <w:rFonts w:ascii="Arial" w:hAnsi="Arial" w:cs="Arial"/>
          <w:color w:val="000000"/>
          <w:szCs w:val="24"/>
        </w:rPr>
        <w:t>.</w:t>
      </w:r>
    </w:p>
    <w:p w:rsidR="002E24AA" w:rsidRPr="00890FC9" w:rsidRDefault="002E24AA" w:rsidP="00687746">
      <w:pPr>
        <w:pStyle w:val="ListParagraph"/>
        <w:numPr>
          <w:ilvl w:val="0"/>
          <w:numId w:val="8"/>
        </w:numPr>
        <w:rPr>
          <w:rFonts w:ascii="Arial" w:hAnsi="Arial" w:cs="Arial"/>
          <w:color w:val="000000"/>
          <w:szCs w:val="24"/>
        </w:rPr>
      </w:pPr>
      <w:r w:rsidRPr="00890FC9">
        <w:rPr>
          <w:rFonts w:ascii="Arial" w:hAnsi="Arial" w:cs="Arial"/>
          <w:color w:val="000000"/>
          <w:szCs w:val="24"/>
        </w:rPr>
        <w:t>Research finance.</w:t>
      </w:r>
    </w:p>
    <w:p w:rsidR="00890FC9" w:rsidRDefault="00890FC9" w:rsidP="00687746">
      <w:pPr>
        <w:pStyle w:val="ListParagraph"/>
        <w:numPr>
          <w:ilvl w:val="0"/>
          <w:numId w:val="8"/>
        </w:numPr>
        <w:rPr>
          <w:rFonts w:ascii="Arial" w:hAnsi="Arial" w:cs="Arial"/>
          <w:color w:val="000000"/>
          <w:szCs w:val="24"/>
        </w:rPr>
      </w:pPr>
      <w:r>
        <w:rPr>
          <w:rFonts w:ascii="Arial" w:hAnsi="Arial" w:cs="Arial"/>
          <w:color w:val="000000"/>
          <w:szCs w:val="24"/>
        </w:rPr>
        <w:t>Research Quality.</w:t>
      </w:r>
    </w:p>
    <w:p w:rsidR="00890FC9" w:rsidRDefault="00890FC9" w:rsidP="00687746">
      <w:pPr>
        <w:pStyle w:val="ListParagraph"/>
        <w:numPr>
          <w:ilvl w:val="0"/>
          <w:numId w:val="8"/>
        </w:numPr>
        <w:rPr>
          <w:rFonts w:ascii="Arial" w:hAnsi="Arial" w:cs="Arial"/>
          <w:color w:val="000000"/>
          <w:szCs w:val="24"/>
        </w:rPr>
      </w:pPr>
      <w:r>
        <w:rPr>
          <w:rFonts w:ascii="Arial" w:hAnsi="Arial" w:cs="Arial"/>
          <w:color w:val="000000"/>
          <w:szCs w:val="24"/>
        </w:rPr>
        <w:t>Breach of regulations.</w:t>
      </w:r>
    </w:p>
    <w:p w:rsidR="00890FC9" w:rsidRPr="00681EC7" w:rsidRDefault="00890FC9" w:rsidP="00687746">
      <w:pPr>
        <w:pStyle w:val="ListParagraph"/>
        <w:numPr>
          <w:ilvl w:val="0"/>
          <w:numId w:val="8"/>
        </w:numPr>
        <w:rPr>
          <w:rFonts w:ascii="Arial" w:hAnsi="Arial" w:cs="Arial"/>
          <w:color w:val="000000"/>
          <w:szCs w:val="24"/>
        </w:rPr>
      </w:pPr>
      <w:r>
        <w:rPr>
          <w:rFonts w:ascii="Arial" w:hAnsi="Arial" w:cs="Arial"/>
          <w:color w:val="000000"/>
          <w:szCs w:val="24"/>
        </w:rPr>
        <w:t xml:space="preserve">Research Strategy. </w:t>
      </w:r>
    </w:p>
    <w:p w:rsidR="00F3337D" w:rsidRPr="00BF3AF0" w:rsidRDefault="00F3337D" w:rsidP="00BF3AF0">
      <w:pPr>
        <w:spacing w:before="40" w:after="40" w:line="276" w:lineRule="auto"/>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890FC9" w:rsidRDefault="00F3337D" w:rsidP="009B1BFA">
      <w:pPr>
        <w:spacing w:before="40" w:after="40" w:line="276" w:lineRule="auto"/>
        <w:ind w:left="720"/>
        <w:rPr>
          <w:rFonts w:cs="Arial"/>
          <w:color w:val="000000"/>
          <w:szCs w:val="24"/>
        </w:rPr>
      </w:pPr>
      <w:r w:rsidRPr="00890FC9">
        <w:rPr>
          <w:rFonts w:cs="Arial"/>
          <w:color w:val="000000"/>
          <w:szCs w:val="24"/>
        </w:rPr>
        <w:t>An impact assessment has not been completed because</w:t>
      </w:r>
      <w:r w:rsidR="00890FC9" w:rsidRPr="00890FC9">
        <w:rPr>
          <w:rFonts w:cs="Arial"/>
          <w:color w:val="000000"/>
          <w:szCs w:val="24"/>
        </w:rPr>
        <w:t xml:space="preserve"> this is an annual report.</w:t>
      </w:r>
    </w:p>
    <w:p w:rsidR="00BF3AF0" w:rsidRPr="00BF3AF0" w:rsidRDefault="00BF3AF0" w:rsidP="00BF3AF0">
      <w:pPr>
        <w:spacing w:before="40" w:after="40" w:line="276" w:lineRule="auto"/>
        <w:ind w:left="720"/>
        <w:rPr>
          <w:rFonts w:cs="Arial"/>
          <w:color w:val="000000"/>
          <w:szCs w:val="24"/>
          <w:highlight w:val="lightGray"/>
        </w:rPr>
      </w:pPr>
    </w:p>
    <w:p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rsidR="00890FC9" w:rsidRDefault="00890FC9" w:rsidP="00617CE7">
      <w:pPr>
        <w:spacing w:before="40" w:after="40" w:line="276" w:lineRule="auto"/>
        <w:ind w:left="720"/>
        <w:rPr>
          <w:rFonts w:cs="Arial"/>
          <w:color w:val="000000"/>
          <w:szCs w:val="24"/>
        </w:rPr>
      </w:pPr>
      <w:r w:rsidRPr="00617CE7">
        <w:rPr>
          <w:rFonts w:cs="Arial"/>
          <w:color w:val="000000"/>
          <w:szCs w:val="24"/>
        </w:rPr>
        <w:t xml:space="preserve">The main impact on sustainability is that research remains a largely paper based activity. This is due to the regulations that govern research involving human subjects however, </w:t>
      </w:r>
      <w:r w:rsidR="00617CE7">
        <w:rPr>
          <w:rFonts w:cs="Arial"/>
          <w:color w:val="000000"/>
          <w:szCs w:val="24"/>
        </w:rPr>
        <w:t xml:space="preserve">the current revision of the </w:t>
      </w:r>
      <w:hyperlink r:id="rId9" w:history="1">
        <w:r w:rsidR="00617CE7" w:rsidRPr="00617CE7">
          <w:rPr>
            <w:rStyle w:val="Hyperlink"/>
            <w:rFonts w:cs="Arial"/>
            <w:szCs w:val="24"/>
          </w:rPr>
          <w:t>ICH GCP guidelines</w:t>
        </w:r>
      </w:hyperlink>
      <w:r w:rsidR="00617CE7">
        <w:rPr>
          <w:rFonts w:cs="Arial"/>
          <w:color w:val="000000"/>
          <w:szCs w:val="24"/>
        </w:rPr>
        <w:t xml:space="preserve"> allows for a less paper based approach.</w:t>
      </w:r>
    </w:p>
    <w:p w:rsidR="00617CE7" w:rsidRDefault="00617CE7" w:rsidP="00617CE7">
      <w:pPr>
        <w:spacing w:before="40" w:after="40" w:line="276" w:lineRule="auto"/>
        <w:ind w:left="720"/>
        <w:rPr>
          <w:rFonts w:cs="Arial"/>
          <w:color w:val="000000"/>
          <w:szCs w:val="24"/>
        </w:rPr>
      </w:pPr>
    </w:p>
    <w:p w:rsidR="00617CE7" w:rsidRDefault="00617CE7" w:rsidP="00617CE7">
      <w:pPr>
        <w:spacing w:before="40" w:after="40" w:line="276" w:lineRule="auto"/>
        <w:ind w:left="720"/>
        <w:rPr>
          <w:rFonts w:cs="Arial"/>
          <w:color w:val="000000"/>
          <w:szCs w:val="24"/>
        </w:rPr>
      </w:pPr>
      <w:r>
        <w:rPr>
          <w:rFonts w:cs="Arial"/>
          <w:color w:val="000000"/>
          <w:szCs w:val="24"/>
        </w:rPr>
        <w:t>The EDGE database supports the change in regulation, and the Golden Jubilee’s aim to reduce the use of paper, because it has electronic Investigator Site Files (ISF) and electronic Delegation Log</w:t>
      </w:r>
      <w:r w:rsidRPr="00617CE7">
        <w:rPr>
          <w:rFonts w:cs="Arial"/>
          <w:color w:val="000000"/>
          <w:szCs w:val="24"/>
        </w:rPr>
        <w:t xml:space="preserve"> </w:t>
      </w:r>
      <w:r>
        <w:rPr>
          <w:rFonts w:cs="Arial"/>
          <w:color w:val="000000"/>
          <w:szCs w:val="24"/>
        </w:rPr>
        <w:t>capability. These can be made mandatory only for project</w:t>
      </w:r>
      <w:r w:rsidR="000E2E4A">
        <w:rPr>
          <w:rFonts w:cs="Arial"/>
          <w:color w:val="000000"/>
          <w:szCs w:val="24"/>
        </w:rPr>
        <w:t>s</w:t>
      </w:r>
      <w:r>
        <w:rPr>
          <w:rFonts w:cs="Arial"/>
          <w:color w:val="000000"/>
          <w:szCs w:val="24"/>
        </w:rPr>
        <w:t xml:space="preserve"> sponsored by the NHS Golden Jubilee.</w:t>
      </w:r>
    </w:p>
    <w:p w:rsidR="00AA77F7" w:rsidRPr="00F3337D" w:rsidRDefault="00AA77F7" w:rsidP="00F3337D">
      <w:pPr>
        <w:pStyle w:val="ListParagraph"/>
        <w:rPr>
          <w:rFonts w:ascii="Arial" w:hAnsi="Arial" w:cs="Arial"/>
          <w:color w:val="000000"/>
          <w:sz w:val="24"/>
          <w:szCs w:val="24"/>
        </w:rPr>
      </w:pPr>
    </w:p>
    <w:p w:rsidR="00446219" w:rsidRDefault="00446219" w:rsidP="00687746">
      <w:pPr>
        <w:pStyle w:val="Heading3"/>
        <w:numPr>
          <w:ilvl w:val="2"/>
          <w:numId w:val="4"/>
        </w:numPr>
        <w:rPr>
          <w:rFonts w:eastAsia="Times New Roman"/>
        </w:rPr>
      </w:pPr>
      <w:r>
        <w:rPr>
          <w:rFonts w:eastAsia="Times New Roman"/>
        </w:rPr>
        <w:t>Communication, involvement, engagement and consultation</w:t>
      </w:r>
    </w:p>
    <w:p w:rsidR="00430C09" w:rsidRPr="00B762A7" w:rsidRDefault="00B762A7" w:rsidP="00B762A7">
      <w:pPr>
        <w:spacing w:before="40" w:after="40" w:line="276" w:lineRule="auto"/>
        <w:ind w:left="720"/>
        <w:rPr>
          <w:rFonts w:cs="Arial"/>
          <w:szCs w:val="24"/>
        </w:rPr>
      </w:pPr>
      <w:r w:rsidRPr="00B762A7">
        <w:rPr>
          <w:rFonts w:cs="Arial"/>
          <w:szCs w:val="24"/>
        </w:rPr>
        <w:t xml:space="preserve">Colleagues working in the Research Institute have a long </w:t>
      </w:r>
      <w:r w:rsidR="000E2E4A">
        <w:rPr>
          <w:rFonts w:cs="Arial"/>
          <w:szCs w:val="24"/>
        </w:rPr>
        <w:t>held</w:t>
      </w:r>
      <w:r w:rsidRPr="00B762A7">
        <w:rPr>
          <w:rFonts w:cs="Arial"/>
          <w:szCs w:val="24"/>
        </w:rPr>
        <w:t xml:space="preserve"> aim of using social media and the Golden Jubilee website to highli</w:t>
      </w:r>
      <w:r>
        <w:rPr>
          <w:rFonts w:cs="Arial"/>
          <w:szCs w:val="24"/>
        </w:rPr>
        <w:t xml:space="preserve">ght research capability, and to provide a source of information concerning the research that takes place. The R&amp;D Office is currently working with the Communications Department to take this forward.  </w:t>
      </w:r>
    </w:p>
    <w:p w:rsidR="00B851FC" w:rsidRPr="00446219" w:rsidRDefault="00B851FC" w:rsidP="00B851FC">
      <w:pPr>
        <w:pStyle w:val="ListParagraph"/>
        <w:spacing w:before="40" w:after="40" w:line="276" w:lineRule="auto"/>
        <w:ind w:left="1080"/>
        <w:rPr>
          <w:rFonts w:ascii="Arial" w:hAnsi="Arial" w:cs="Arial"/>
          <w:sz w:val="24"/>
          <w:szCs w:val="24"/>
          <w:highlight w:val="lightGray"/>
        </w:rPr>
      </w:pPr>
    </w:p>
    <w:p w:rsidR="00446219" w:rsidRDefault="00446219" w:rsidP="00687746">
      <w:pPr>
        <w:pStyle w:val="Heading3"/>
        <w:numPr>
          <w:ilvl w:val="2"/>
          <w:numId w:val="4"/>
        </w:numPr>
      </w:pPr>
      <w:r>
        <w:t>Route to the Meeting</w:t>
      </w:r>
    </w:p>
    <w:p w:rsidR="00446219" w:rsidRPr="00446219" w:rsidRDefault="00446219" w:rsidP="00446219"/>
    <w:p w:rsidR="00446219" w:rsidRPr="00C4285D" w:rsidRDefault="005125BD" w:rsidP="00C4285D">
      <w:pPr>
        <w:spacing w:line="276" w:lineRule="auto"/>
        <w:ind w:firstLine="720"/>
        <w:rPr>
          <w:rFonts w:cs="Arial"/>
        </w:rPr>
      </w:pPr>
      <w:r>
        <w:rPr>
          <w:rFonts w:cs="Arial"/>
        </w:rPr>
        <w:t>Finance and Performance Committee – May 2025</w:t>
      </w:r>
    </w:p>
    <w:p w:rsidR="00430C09" w:rsidRDefault="00430C09" w:rsidP="00430C09">
      <w:pPr>
        <w:pStyle w:val="Heading2"/>
        <w:spacing w:line="276" w:lineRule="auto"/>
      </w:pPr>
    </w:p>
    <w:p w:rsidR="00BF3AF0" w:rsidRDefault="00C87B62" w:rsidP="00BF3AF0">
      <w:pPr>
        <w:pStyle w:val="Heading2"/>
      </w:pPr>
      <w:r>
        <w:t>2.</w:t>
      </w:r>
      <w:r w:rsidR="00BF3AF0">
        <w:t>4</w:t>
      </w:r>
      <w:r w:rsidR="00BF3AF0">
        <w:tab/>
        <w:t>Recommendation</w:t>
      </w:r>
    </w:p>
    <w:p w:rsidR="00BF3AF0" w:rsidRPr="00BF3AF0" w:rsidRDefault="00BF3AF0" w:rsidP="00BF3AF0"/>
    <w:p w:rsidR="00C87B62" w:rsidRDefault="00A50082" w:rsidP="00A50082">
      <w:pPr>
        <w:spacing w:before="40" w:after="40" w:line="276" w:lineRule="auto"/>
        <w:ind w:left="709"/>
        <w:rPr>
          <w:rFonts w:cs="Arial"/>
          <w:szCs w:val="24"/>
        </w:rPr>
      </w:pPr>
      <w:r>
        <w:rPr>
          <w:rFonts w:cs="Arial"/>
          <w:szCs w:val="24"/>
        </w:rPr>
        <w:lastRenderedPageBreak/>
        <w:tab/>
        <w:t xml:space="preserve">Decision – </w:t>
      </w:r>
      <w:r w:rsidR="005125BD">
        <w:rPr>
          <w:rFonts w:cs="Arial"/>
          <w:szCs w:val="24"/>
        </w:rPr>
        <w:t>NHS GJ Board</w:t>
      </w:r>
      <w:r>
        <w:rPr>
          <w:rFonts w:cs="Arial"/>
          <w:szCs w:val="24"/>
        </w:rPr>
        <w:t xml:space="preserve"> is aske</w:t>
      </w:r>
      <w:r w:rsidR="005125BD">
        <w:rPr>
          <w:rFonts w:cs="Arial"/>
          <w:szCs w:val="24"/>
        </w:rPr>
        <w:t>d to discuss and approve the NHS</w:t>
      </w:r>
      <w:r>
        <w:rPr>
          <w:rFonts w:cs="Arial"/>
          <w:szCs w:val="24"/>
        </w:rPr>
        <w:t xml:space="preserve"> Golden Jubilee Research Institute Annual Report 2024/25.</w:t>
      </w:r>
    </w:p>
    <w:p w:rsidR="00A50082" w:rsidRDefault="00A50082" w:rsidP="00A50082">
      <w:pPr>
        <w:spacing w:before="40" w:after="40" w:line="276" w:lineRule="auto"/>
        <w:ind w:left="709"/>
        <w:rPr>
          <w:rFonts w:cs="Arial"/>
          <w:szCs w:val="24"/>
        </w:rPr>
      </w:pPr>
    </w:p>
    <w:p w:rsidR="00C87B62" w:rsidRDefault="00C87B62" w:rsidP="00687746">
      <w:pPr>
        <w:pStyle w:val="Heading2"/>
        <w:numPr>
          <w:ilvl w:val="0"/>
          <w:numId w:val="4"/>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C87B62">
      <w:pPr>
        <w:pStyle w:val="ListParagraph"/>
        <w:spacing w:before="40" w:after="40" w:line="276" w:lineRule="auto"/>
        <w:ind w:left="1253"/>
        <w:rPr>
          <w:rFonts w:ascii="Arial" w:hAnsi="Arial" w:cs="Arial"/>
          <w:color w:val="000000" w:themeColor="text1"/>
          <w:sz w:val="24"/>
          <w:szCs w:val="24"/>
        </w:rPr>
      </w:pPr>
    </w:p>
    <w:p w:rsidR="00C87B62" w:rsidRPr="00C4285D" w:rsidRDefault="00C87B62" w:rsidP="00C4285D">
      <w:pPr>
        <w:spacing w:before="40" w:after="40" w:line="276" w:lineRule="auto"/>
        <w:ind w:firstLine="525"/>
        <w:rPr>
          <w:rFonts w:cs="Arial"/>
          <w:color w:val="000000"/>
          <w:szCs w:val="24"/>
        </w:rPr>
      </w:pPr>
      <w:r w:rsidRPr="00C4285D">
        <w:rPr>
          <w:rFonts w:cs="Arial"/>
          <w:color w:val="000000"/>
          <w:szCs w:val="24"/>
        </w:rPr>
        <w:t>Appendix No</w:t>
      </w:r>
      <w:r w:rsidR="00C4285D" w:rsidRPr="00C4285D">
        <w:rPr>
          <w:rFonts w:cs="Arial"/>
          <w:color w:val="000000"/>
          <w:szCs w:val="24"/>
        </w:rPr>
        <w:t xml:space="preserve"> 1</w:t>
      </w:r>
      <w:r w:rsidRPr="00C4285D">
        <w:rPr>
          <w:rFonts w:cs="Arial"/>
          <w:color w:val="000000"/>
          <w:szCs w:val="24"/>
        </w:rPr>
        <w:t xml:space="preserve">, </w:t>
      </w:r>
      <w:r w:rsidR="00A50082">
        <w:rPr>
          <w:rFonts w:cs="Arial"/>
          <w:color w:val="000000"/>
          <w:szCs w:val="24"/>
        </w:rPr>
        <w:t>Research Institute Annual</w:t>
      </w:r>
      <w:r w:rsidR="00C4285D" w:rsidRPr="00C4285D">
        <w:rPr>
          <w:rFonts w:cs="Arial"/>
          <w:color w:val="000000"/>
          <w:szCs w:val="24"/>
        </w:rPr>
        <w:t xml:space="preserve"> performance report</w:t>
      </w:r>
      <w:r w:rsidR="00A50082">
        <w:rPr>
          <w:rFonts w:cs="Arial"/>
          <w:color w:val="000000"/>
          <w:szCs w:val="24"/>
        </w:rPr>
        <w:t xml:space="preserve"> 2024/25</w:t>
      </w:r>
    </w:p>
    <w:p w:rsidR="00687746" w:rsidRDefault="00687746">
      <w:pPr>
        <w:spacing w:after="160" w:line="259" w:lineRule="auto"/>
        <w:rPr>
          <w:rFonts w:cs="Arial"/>
          <w:color w:val="000000"/>
          <w:szCs w:val="24"/>
          <w:highlight w:val="lightGray"/>
        </w:rPr>
      </w:pPr>
      <w:r>
        <w:rPr>
          <w:rFonts w:cs="Arial"/>
          <w:color w:val="000000"/>
          <w:szCs w:val="24"/>
          <w:highlight w:val="lightGray"/>
        </w:rPr>
        <w:br w:type="page"/>
      </w:r>
      <w:bookmarkStart w:id="0" w:name="_GoBack"/>
      <w:bookmarkEnd w:id="0"/>
    </w:p>
    <w:p w:rsidR="00687746" w:rsidRDefault="00834481" w:rsidP="00834481">
      <w:pPr>
        <w:pStyle w:val="Heading4"/>
      </w:pPr>
      <w:r>
        <w:lastRenderedPageBreak/>
        <w:t>Appendix 1</w:t>
      </w:r>
    </w:p>
    <w:p w:rsidR="00687746" w:rsidRDefault="00687746" w:rsidP="00687746">
      <w:pPr>
        <w:rPr>
          <w:b/>
          <w:szCs w:val="24"/>
        </w:rPr>
      </w:pPr>
    </w:p>
    <w:p w:rsidR="00687746" w:rsidRDefault="00687746" w:rsidP="00687746">
      <w:pPr>
        <w:rPr>
          <w:b/>
          <w:sz w:val="28"/>
          <w:szCs w:val="28"/>
        </w:rPr>
      </w:pPr>
      <w:r>
        <w:rPr>
          <w:b/>
          <w:noProof/>
          <w:sz w:val="28"/>
          <w:szCs w:val="28"/>
          <w:lang w:eastAsia="en-GB"/>
        </w:rPr>
        <w:drawing>
          <wp:anchor distT="0" distB="0" distL="114300" distR="114300" simplePos="0" relativeHeight="251659264" behindDoc="0" locked="0" layoutInCell="1" allowOverlap="1" wp14:anchorId="4D68626D" wp14:editId="3894C64A">
            <wp:simplePos x="0" y="0"/>
            <wp:positionH relativeFrom="column">
              <wp:posOffset>2212340</wp:posOffset>
            </wp:positionH>
            <wp:positionV relativeFrom="paragraph">
              <wp:posOffset>17780</wp:posOffset>
            </wp:positionV>
            <wp:extent cx="1695450" cy="116967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NHS GJ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7746" w:rsidRDefault="00687746" w:rsidP="00687746">
      <w:pPr>
        <w:rPr>
          <w:b/>
          <w:sz w:val="28"/>
          <w:szCs w:val="28"/>
        </w:rPr>
      </w:pPr>
    </w:p>
    <w:p w:rsidR="00687746" w:rsidRDefault="00687746" w:rsidP="00687746">
      <w:pPr>
        <w:rPr>
          <w:b/>
          <w:sz w:val="28"/>
          <w:szCs w:val="28"/>
        </w:rPr>
      </w:pPr>
    </w:p>
    <w:p w:rsidR="00687746" w:rsidRDefault="00687746" w:rsidP="00687746">
      <w:pPr>
        <w:rPr>
          <w:b/>
          <w:sz w:val="28"/>
          <w:szCs w:val="28"/>
        </w:rPr>
      </w:pPr>
    </w:p>
    <w:p w:rsidR="00687746" w:rsidRDefault="00687746" w:rsidP="00687746">
      <w:pPr>
        <w:rPr>
          <w:b/>
          <w:sz w:val="28"/>
          <w:szCs w:val="28"/>
        </w:rPr>
      </w:pPr>
    </w:p>
    <w:p w:rsidR="00687746" w:rsidRDefault="00687746" w:rsidP="00687746">
      <w:pPr>
        <w:jc w:val="center"/>
        <w:rPr>
          <w:b/>
          <w:szCs w:val="24"/>
        </w:rPr>
      </w:pPr>
    </w:p>
    <w:p w:rsidR="00687746" w:rsidRPr="00910A5B" w:rsidRDefault="00687746" w:rsidP="00687746">
      <w:pPr>
        <w:jc w:val="center"/>
      </w:pPr>
    </w:p>
    <w:p w:rsidR="00687746" w:rsidRDefault="00687746" w:rsidP="00687746">
      <w:pPr>
        <w:jc w:val="center"/>
        <w:rPr>
          <w:b/>
          <w:szCs w:val="24"/>
        </w:rPr>
      </w:pPr>
      <w:r w:rsidRPr="00A3272A">
        <w:rPr>
          <w:b/>
          <w:color w:val="2E74B5" w:themeColor="accent1" w:themeShade="BF"/>
          <w:sz w:val="28"/>
          <w:szCs w:val="24"/>
        </w:rPr>
        <w:t>Research Institute</w:t>
      </w:r>
      <w:r w:rsidRPr="00A3272A">
        <w:rPr>
          <w:b/>
          <w:sz w:val="28"/>
          <w:szCs w:val="24"/>
        </w:rPr>
        <w:t xml:space="preserve"> </w:t>
      </w:r>
    </w:p>
    <w:p w:rsidR="00687746" w:rsidRDefault="00687746" w:rsidP="00687746">
      <w:pPr>
        <w:jc w:val="center"/>
        <w:rPr>
          <w:b/>
          <w:szCs w:val="24"/>
        </w:rPr>
      </w:pPr>
    </w:p>
    <w:p w:rsidR="00687746" w:rsidRDefault="00687746" w:rsidP="00687746">
      <w:pPr>
        <w:jc w:val="center"/>
        <w:rPr>
          <w:b/>
          <w:szCs w:val="24"/>
        </w:rPr>
      </w:pPr>
    </w:p>
    <w:p w:rsidR="00687746" w:rsidRPr="00CD12DC" w:rsidRDefault="00687746" w:rsidP="00687746">
      <w:pPr>
        <w:jc w:val="center"/>
        <w:rPr>
          <w:b/>
          <w:szCs w:val="24"/>
        </w:rPr>
      </w:pPr>
      <w:r w:rsidRPr="00CD12DC">
        <w:rPr>
          <w:b/>
          <w:szCs w:val="24"/>
        </w:rPr>
        <w:t>Performance Report</w:t>
      </w:r>
    </w:p>
    <w:p w:rsidR="00687746" w:rsidRPr="00CD12DC" w:rsidRDefault="00687746" w:rsidP="00687746">
      <w:pPr>
        <w:jc w:val="center"/>
        <w:rPr>
          <w:b/>
          <w:szCs w:val="24"/>
        </w:rPr>
      </w:pPr>
    </w:p>
    <w:p w:rsidR="00687746" w:rsidRDefault="00687746" w:rsidP="00687746">
      <w:pPr>
        <w:jc w:val="center"/>
        <w:rPr>
          <w:b/>
          <w:szCs w:val="24"/>
        </w:rPr>
      </w:pPr>
      <w:r w:rsidRPr="00CD12DC">
        <w:rPr>
          <w:b/>
          <w:szCs w:val="24"/>
        </w:rPr>
        <w:t xml:space="preserve">Reporting Period: </w:t>
      </w:r>
      <w:r>
        <w:rPr>
          <w:b/>
          <w:szCs w:val="24"/>
        </w:rPr>
        <w:t>01 January 2025 – 31 March 2025</w:t>
      </w:r>
    </w:p>
    <w:p w:rsidR="00687746" w:rsidRDefault="00687746" w:rsidP="00687746">
      <w:pPr>
        <w:jc w:val="center"/>
        <w:rPr>
          <w:b/>
          <w:szCs w:val="24"/>
        </w:rPr>
      </w:pPr>
    </w:p>
    <w:p w:rsidR="00687746" w:rsidRPr="00CD12DC" w:rsidRDefault="00687746" w:rsidP="00687746">
      <w:pPr>
        <w:jc w:val="center"/>
        <w:rPr>
          <w:b/>
          <w:szCs w:val="24"/>
        </w:rPr>
      </w:pPr>
      <w:r w:rsidRPr="00CD12DC">
        <w:rPr>
          <w:b/>
          <w:szCs w:val="24"/>
        </w:rPr>
        <w:t xml:space="preserve">Report prepared </w:t>
      </w:r>
      <w:r>
        <w:rPr>
          <w:b/>
          <w:szCs w:val="24"/>
        </w:rPr>
        <w:t>April 2025</w:t>
      </w:r>
    </w:p>
    <w:p w:rsidR="00687746" w:rsidRPr="00CD12DC" w:rsidRDefault="00687746" w:rsidP="00687746">
      <w:pPr>
        <w:jc w:val="center"/>
        <w:rPr>
          <w:b/>
          <w:szCs w:val="24"/>
        </w:rPr>
      </w:pPr>
    </w:p>
    <w:sdt>
      <w:sdtPr>
        <w:rPr>
          <w:rFonts w:ascii="Arial" w:hAnsi="Arial" w:cs="Arial"/>
          <w:b w:val="0"/>
          <w:bCs w:val="0"/>
          <w:color w:val="auto"/>
          <w:spacing w:val="-3"/>
          <w:sz w:val="20"/>
          <w:szCs w:val="20"/>
          <w:lang w:val="en-GB" w:eastAsia="en-GB"/>
        </w:rPr>
        <w:id w:val="-1792657916"/>
        <w:docPartObj>
          <w:docPartGallery w:val="Table of Contents"/>
          <w:docPartUnique/>
        </w:docPartObj>
      </w:sdtPr>
      <w:sdtEndPr>
        <w:rPr>
          <w:rFonts w:cs="Times New Roman"/>
          <w:noProof/>
          <w:sz w:val="24"/>
          <w:lang w:eastAsia="en-US"/>
        </w:rPr>
      </w:sdtEndPr>
      <w:sdtContent>
        <w:p w:rsidR="00687746" w:rsidRPr="005A72C9" w:rsidRDefault="00687746" w:rsidP="00687746">
          <w:pPr>
            <w:pStyle w:val="TOCHeading"/>
          </w:pPr>
          <w:r w:rsidRPr="005A72C9">
            <w:t>Contents</w:t>
          </w:r>
        </w:p>
        <w:p w:rsidR="00687746" w:rsidRPr="005A72C9" w:rsidRDefault="00687746" w:rsidP="00687746">
          <w:pPr>
            <w:rPr>
              <w:lang w:val="en-US"/>
            </w:rPr>
          </w:pPr>
        </w:p>
        <w:p w:rsidR="00687746" w:rsidRPr="005A72C9" w:rsidRDefault="00687746" w:rsidP="00687746">
          <w:pPr>
            <w:pStyle w:val="TOC2"/>
            <w:rPr>
              <w:rFonts w:asciiTheme="minorHAnsi" w:eastAsiaTheme="minorEastAsia" w:hAnsiTheme="minorHAnsi" w:cstheme="minorBidi"/>
              <w:noProof/>
              <w:sz w:val="22"/>
              <w:szCs w:val="22"/>
            </w:rPr>
          </w:pPr>
          <w:r w:rsidRPr="005A72C9">
            <w:rPr>
              <w:b/>
              <w:bCs/>
            </w:rPr>
            <w:fldChar w:fldCharType="begin"/>
          </w:r>
          <w:r w:rsidRPr="005A72C9">
            <w:rPr>
              <w:b/>
              <w:bCs/>
            </w:rPr>
            <w:instrText xml:space="preserve"> TOC \o "1-3" \h \z \u </w:instrText>
          </w:r>
          <w:r w:rsidRPr="005A72C9">
            <w:rPr>
              <w:b/>
              <w:bCs/>
            </w:rPr>
            <w:fldChar w:fldCharType="separate"/>
          </w:r>
          <w:hyperlink w:anchor="_Toc164670164" w:history="1">
            <w:r w:rsidRPr="005A72C9">
              <w:rPr>
                <w:rStyle w:val="Hyperlink"/>
                <w:noProof/>
              </w:rPr>
              <w:t>Section 1 – Key Performance Indicators</w:t>
            </w:r>
            <w:r w:rsidRPr="005A72C9">
              <w:rPr>
                <w:noProof/>
                <w:webHidden/>
              </w:rPr>
              <w:tab/>
            </w:r>
            <w:r w:rsidRPr="005A72C9">
              <w:rPr>
                <w:noProof/>
                <w:webHidden/>
              </w:rPr>
              <w:fldChar w:fldCharType="begin"/>
            </w:r>
            <w:r w:rsidRPr="005A72C9">
              <w:rPr>
                <w:noProof/>
                <w:webHidden/>
              </w:rPr>
              <w:instrText xml:space="preserve"> PAGEREF _Toc164670164 \h </w:instrText>
            </w:r>
            <w:r w:rsidRPr="005A72C9">
              <w:rPr>
                <w:noProof/>
                <w:webHidden/>
              </w:rPr>
            </w:r>
            <w:r w:rsidRPr="005A72C9">
              <w:rPr>
                <w:noProof/>
                <w:webHidden/>
              </w:rPr>
              <w:fldChar w:fldCharType="separate"/>
            </w:r>
            <w:r w:rsidR="00834481">
              <w:rPr>
                <w:noProof/>
                <w:webHidden/>
              </w:rPr>
              <w:t>7</w:t>
            </w:r>
            <w:r w:rsidRPr="005A72C9">
              <w:rPr>
                <w:noProof/>
                <w:webHidden/>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65" w:history="1">
            <w:r w:rsidR="00687746" w:rsidRPr="005A72C9">
              <w:rPr>
                <w:rStyle w:val="Hyperlink"/>
                <w:color w:val="auto"/>
              </w:rPr>
              <w:t>Summary</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_Toc164670165 \h </w:instrText>
            </w:r>
            <w:r w:rsidR="00687746" w:rsidRPr="005A72C9">
              <w:rPr>
                <w:webHidden/>
                <w:color w:val="auto"/>
              </w:rPr>
            </w:r>
            <w:r w:rsidR="00687746" w:rsidRPr="005A72C9">
              <w:rPr>
                <w:webHidden/>
                <w:color w:val="auto"/>
              </w:rPr>
              <w:fldChar w:fldCharType="separate"/>
            </w:r>
            <w:r w:rsidR="00834481">
              <w:rPr>
                <w:webHidden/>
                <w:color w:val="auto"/>
              </w:rPr>
              <w:t>7</w:t>
            </w:r>
            <w:r w:rsidR="00687746" w:rsidRPr="005A72C9">
              <w:rPr>
                <w:webHidden/>
                <w:color w:val="auto"/>
              </w:rPr>
              <w:fldChar w:fldCharType="end"/>
            </w:r>
          </w:hyperlink>
        </w:p>
        <w:p w:rsidR="00687746" w:rsidRPr="005A72C9" w:rsidRDefault="00687746" w:rsidP="00687746">
          <w:pPr>
            <w:pStyle w:val="TOC3"/>
            <w:rPr>
              <w:rStyle w:val="Hyperlink"/>
              <w:color w:val="auto"/>
            </w:rPr>
          </w:pPr>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66" w:history="1">
            <w:r w:rsidR="00687746" w:rsidRPr="005A72C9">
              <w:rPr>
                <w:rStyle w:val="Hyperlink"/>
                <w:color w:val="auto"/>
              </w:rPr>
              <w:t>KPI 1: Research project approvals</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_Toc164670166 \h </w:instrText>
            </w:r>
            <w:r w:rsidR="00687746" w:rsidRPr="005A72C9">
              <w:rPr>
                <w:webHidden/>
                <w:color w:val="auto"/>
              </w:rPr>
            </w:r>
            <w:r w:rsidR="00687746" w:rsidRPr="005A72C9">
              <w:rPr>
                <w:webHidden/>
                <w:color w:val="auto"/>
              </w:rPr>
              <w:fldChar w:fldCharType="separate"/>
            </w:r>
            <w:r w:rsidR="00834481">
              <w:rPr>
                <w:webHidden/>
                <w:color w:val="auto"/>
              </w:rPr>
              <w:t>7</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67" w:history="1">
            <w:r w:rsidR="00687746" w:rsidRPr="005A72C9">
              <w:rPr>
                <w:rStyle w:val="Hyperlink"/>
                <w:color w:val="auto"/>
              </w:rPr>
              <w:t>KPI 2: Participant recruitment (excluding blood sampling studies)</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_Toc164670167 \h </w:instrText>
            </w:r>
            <w:r w:rsidR="00687746" w:rsidRPr="005A72C9">
              <w:rPr>
                <w:webHidden/>
                <w:color w:val="auto"/>
              </w:rPr>
            </w:r>
            <w:r w:rsidR="00687746" w:rsidRPr="005A72C9">
              <w:rPr>
                <w:webHidden/>
                <w:color w:val="auto"/>
              </w:rPr>
              <w:fldChar w:fldCharType="separate"/>
            </w:r>
            <w:r w:rsidR="00834481">
              <w:rPr>
                <w:webHidden/>
                <w:color w:val="auto"/>
              </w:rPr>
              <w:t>13</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68" w:history="1">
            <w:r w:rsidR="00687746" w:rsidRPr="005A72C9">
              <w:rPr>
                <w:rStyle w:val="Hyperlink"/>
                <w:color w:val="auto"/>
              </w:rPr>
              <w:t>KPI 3: Income is maintained close to target</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_Toc164670168 \h </w:instrText>
            </w:r>
            <w:r w:rsidR="00687746" w:rsidRPr="005A72C9">
              <w:rPr>
                <w:webHidden/>
                <w:color w:val="auto"/>
              </w:rPr>
            </w:r>
            <w:r w:rsidR="00687746" w:rsidRPr="005A72C9">
              <w:rPr>
                <w:webHidden/>
                <w:color w:val="auto"/>
              </w:rPr>
              <w:fldChar w:fldCharType="separate"/>
            </w:r>
            <w:r w:rsidR="00834481">
              <w:rPr>
                <w:webHidden/>
                <w:color w:val="auto"/>
              </w:rPr>
              <w:t>14</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71" w:history="1">
            <w:r w:rsidR="00687746" w:rsidRPr="005A72C9">
              <w:rPr>
                <w:rStyle w:val="Hyperlink"/>
                <w:color w:val="auto"/>
              </w:rPr>
              <w:t>KPI 4: The number of research project audits is in line with target</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_Toc164670171 \h </w:instrText>
            </w:r>
            <w:r w:rsidR="00687746" w:rsidRPr="005A72C9">
              <w:rPr>
                <w:webHidden/>
                <w:color w:val="auto"/>
              </w:rPr>
            </w:r>
            <w:r w:rsidR="00687746" w:rsidRPr="005A72C9">
              <w:rPr>
                <w:webHidden/>
                <w:color w:val="auto"/>
              </w:rPr>
              <w:fldChar w:fldCharType="separate"/>
            </w:r>
            <w:r w:rsidR="00834481">
              <w:rPr>
                <w:webHidden/>
                <w:color w:val="auto"/>
              </w:rPr>
              <w:t>14</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72" w:history="1">
            <w:r w:rsidR="00687746" w:rsidRPr="005A72C9">
              <w:rPr>
                <w:rStyle w:val="Hyperlink"/>
                <w:color w:val="auto"/>
              </w:rPr>
              <w:t>KPI 5: Number of journal publications with NHS Golden Jubilee quoted</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_Toc164670172 \h </w:instrText>
            </w:r>
            <w:r w:rsidR="00687746" w:rsidRPr="005A72C9">
              <w:rPr>
                <w:webHidden/>
                <w:color w:val="auto"/>
              </w:rPr>
            </w:r>
            <w:r w:rsidR="00687746" w:rsidRPr="005A72C9">
              <w:rPr>
                <w:webHidden/>
                <w:color w:val="auto"/>
              </w:rPr>
              <w:fldChar w:fldCharType="separate"/>
            </w:r>
            <w:r w:rsidR="00834481">
              <w:rPr>
                <w:webHidden/>
                <w:color w:val="auto"/>
              </w:rPr>
              <w:t>15</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73" w:history="1">
            <w:r w:rsidR="00687746" w:rsidRPr="005A72C9">
              <w:rPr>
                <w:rStyle w:val="Hyperlink"/>
                <w:color w:val="auto"/>
              </w:rPr>
              <w:t>KPI 6: Number of projects sponsored by NHS Golden Jubilee</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_Toc164670173 \h </w:instrText>
            </w:r>
            <w:r w:rsidR="00687746" w:rsidRPr="005A72C9">
              <w:rPr>
                <w:webHidden/>
                <w:color w:val="auto"/>
              </w:rPr>
            </w:r>
            <w:r w:rsidR="00687746" w:rsidRPr="005A72C9">
              <w:rPr>
                <w:webHidden/>
                <w:color w:val="auto"/>
              </w:rPr>
              <w:fldChar w:fldCharType="separate"/>
            </w:r>
            <w:r w:rsidR="00834481">
              <w:rPr>
                <w:webHidden/>
                <w:color w:val="auto"/>
              </w:rPr>
              <w:t>15</w:t>
            </w:r>
            <w:r w:rsidR="00687746" w:rsidRPr="005A72C9">
              <w:rPr>
                <w:webHidden/>
                <w:color w:val="auto"/>
              </w:rPr>
              <w:fldChar w:fldCharType="end"/>
            </w:r>
          </w:hyperlink>
        </w:p>
        <w:p w:rsidR="00687746" w:rsidRPr="005A72C9" w:rsidRDefault="005125BD" w:rsidP="00687746">
          <w:pPr>
            <w:pStyle w:val="TOC3"/>
            <w:rPr>
              <w:rFonts w:asciiTheme="minorHAnsi" w:eastAsiaTheme="minorEastAsia" w:hAnsiTheme="minorHAnsi" w:cstheme="minorBidi"/>
              <w:color w:val="auto"/>
              <w:sz w:val="22"/>
              <w:szCs w:val="22"/>
            </w:rPr>
          </w:pPr>
          <w:hyperlink w:anchor="_Toc164670174" w:history="1">
            <w:r w:rsidR="00687746" w:rsidRPr="005A72C9">
              <w:rPr>
                <w:rStyle w:val="Hyperlink"/>
                <w:color w:val="auto"/>
              </w:rPr>
              <w:t>KPI 7: The number of Principal Investigators</w:t>
            </w:r>
            <w:r w:rsidR="00687746" w:rsidRPr="005A72C9">
              <w:rPr>
                <w:webHidden/>
                <w:color w:val="auto"/>
              </w:rPr>
              <w:tab/>
            </w:r>
            <w:r w:rsidR="00687746" w:rsidRPr="005A72C9">
              <w:rPr>
                <w:webHidden/>
                <w:color w:val="auto"/>
              </w:rPr>
              <w:fldChar w:fldCharType="begin"/>
            </w:r>
            <w:r w:rsidR="00687746" w:rsidRPr="005A72C9">
              <w:rPr>
                <w:webHidden/>
                <w:color w:val="auto"/>
              </w:rPr>
              <w:instrText xml:space="preserve"> PAGEREF _Toc164670174 \h </w:instrText>
            </w:r>
            <w:r w:rsidR="00687746" w:rsidRPr="005A72C9">
              <w:rPr>
                <w:webHidden/>
                <w:color w:val="auto"/>
              </w:rPr>
            </w:r>
            <w:r w:rsidR="00687746" w:rsidRPr="005A72C9">
              <w:rPr>
                <w:webHidden/>
                <w:color w:val="auto"/>
              </w:rPr>
              <w:fldChar w:fldCharType="separate"/>
            </w:r>
            <w:r w:rsidR="00834481">
              <w:rPr>
                <w:webHidden/>
                <w:color w:val="auto"/>
              </w:rPr>
              <w:t>16</w:t>
            </w:r>
            <w:r w:rsidR="00687746" w:rsidRPr="005A72C9">
              <w:rPr>
                <w:webHidden/>
                <w:color w:val="auto"/>
              </w:rPr>
              <w:fldChar w:fldCharType="end"/>
            </w:r>
          </w:hyperlink>
        </w:p>
        <w:p w:rsidR="00687746" w:rsidRPr="005A72C9" w:rsidRDefault="00687746" w:rsidP="00687746">
          <w:pPr>
            <w:pStyle w:val="TOC2"/>
            <w:rPr>
              <w:rStyle w:val="Hyperlink"/>
              <w:noProof/>
            </w:rPr>
          </w:pPr>
        </w:p>
        <w:p w:rsidR="00687746" w:rsidRPr="005A72C9" w:rsidRDefault="005125BD" w:rsidP="00687746">
          <w:pPr>
            <w:pStyle w:val="TOC2"/>
            <w:rPr>
              <w:rFonts w:asciiTheme="minorHAnsi" w:eastAsiaTheme="minorEastAsia" w:hAnsiTheme="minorHAnsi" w:cstheme="minorBidi"/>
              <w:noProof/>
              <w:sz w:val="22"/>
              <w:szCs w:val="22"/>
            </w:rPr>
          </w:pPr>
          <w:hyperlink w:anchor="_Toc164670175" w:history="1">
            <w:r w:rsidR="00687746" w:rsidRPr="005A72C9">
              <w:rPr>
                <w:rStyle w:val="Hyperlink"/>
                <w:noProof/>
              </w:rPr>
              <w:t>Section 2. Research Governance</w:t>
            </w:r>
            <w:r w:rsidR="00687746" w:rsidRPr="005A72C9">
              <w:rPr>
                <w:noProof/>
                <w:webHidden/>
              </w:rPr>
              <w:tab/>
            </w:r>
            <w:r w:rsidR="00687746" w:rsidRPr="005A72C9">
              <w:rPr>
                <w:noProof/>
                <w:webHidden/>
              </w:rPr>
              <w:fldChar w:fldCharType="begin"/>
            </w:r>
            <w:r w:rsidR="00687746" w:rsidRPr="005A72C9">
              <w:rPr>
                <w:noProof/>
                <w:webHidden/>
              </w:rPr>
              <w:instrText xml:space="preserve"> PAGEREF _Toc164670175 \h </w:instrText>
            </w:r>
            <w:r w:rsidR="00687746" w:rsidRPr="005A72C9">
              <w:rPr>
                <w:noProof/>
                <w:webHidden/>
              </w:rPr>
            </w:r>
            <w:r w:rsidR="00687746" w:rsidRPr="005A72C9">
              <w:rPr>
                <w:noProof/>
                <w:webHidden/>
              </w:rPr>
              <w:fldChar w:fldCharType="separate"/>
            </w:r>
            <w:r w:rsidR="00834481">
              <w:rPr>
                <w:noProof/>
                <w:webHidden/>
              </w:rPr>
              <w:t>16</w:t>
            </w:r>
            <w:r w:rsidR="00687746" w:rsidRPr="005A72C9">
              <w:rPr>
                <w:noProof/>
                <w:webHidden/>
              </w:rPr>
              <w:fldChar w:fldCharType="end"/>
            </w:r>
          </w:hyperlink>
        </w:p>
        <w:p w:rsidR="00687746" w:rsidRPr="005A72C9" w:rsidRDefault="005125BD" w:rsidP="00687746">
          <w:pPr>
            <w:pStyle w:val="TOC2"/>
            <w:rPr>
              <w:rFonts w:asciiTheme="minorHAnsi" w:eastAsiaTheme="minorEastAsia" w:hAnsiTheme="minorHAnsi" w:cstheme="minorBidi"/>
              <w:noProof/>
              <w:sz w:val="22"/>
              <w:szCs w:val="22"/>
            </w:rPr>
          </w:pPr>
          <w:hyperlink w:anchor="_Toc164670176" w:history="1">
            <w:r w:rsidR="00687746" w:rsidRPr="005A72C9">
              <w:rPr>
                <w:rStyle w:val="Hyperlink"/>
                <w:noProof/>
              </w:rPr>
              <w:t>Section 3. Staff Governance</w:t>
            </w:r>
            <w:r w:rsidR="00687746" w:rsidRPr="005A72C9">
              <w:rPr>
                <w:noProof/>
                <w:webHidden/>
              </w:rPr>
              <w:tab/>
            </w:r>
            <w:r w:rsidR="00687746" w:rsidRPr="005A72C9">
              <w:rPr>
                <w:noProof/>
                <w:webHidden/>
              </w:rPr>
              <w:fldChar w:fldCharType="begin"/>
            </w:r>
            <w:r w:rsidR="00687746" w:rsidRPr="005A72C9">
              <w:rPr>
                <w:noProof/>
                <w:webHidden/>
              </w:rPr>
              <w:instrText xml:space="preserve"> PAGEREF _Toc164670176 \h </w:instrText>
            </w:r>
            <w:r w:rsidR="00687746" w:rsidRPr="005A72C9">
              <w:rPr>
                <w:noProof/>
                <w:webHidden/>
              </w:rPr>
            </w:r>
            <w:r w:rsidR="00687746" w:rsidRPr="005A72C9">
              <w:rPr>
                <w:noProof/>
                <w:webHidden/>
              </w:rPr>
              <w:fldChar w:fldCharType="separate"/>
            </w:r>
            <w:r w:rsidR="00834481">
              <w:rPr>
                <w:noProof/>
                <w:webHidden/>
              </w:rPr>
              <w:t>17</w:t>
            </w:r>
            <w:r w:rsidR="00687746" w:rsidRPr="005A72C9">
              <w:rPr>
                <w:noProof/>
                <w:webHidden/>
              </w:rPr>
              <w:fldChar w:fldCharType="end"/>
            </w:r>
          </w:hyperlink>
        </w:p>
        <w:p w:rsidR="00687746" w:rsidRPr="005A72C9" w:rsidRDefault="005125BD" w:rsidP="00687746">
          <w:pPr>
            <w:pStyle w:val="TOC2"/>
            <w:rPr>
              <w:rFonts w:asciiTheme="minorHAnsi" w:eastAsiaTheme="minorEastAsia" w:hAnsiTheme="minorHAnsi" w:cstheme="minorBidi"/>
              <w:noProof/>
              <w:sz w:val="22"/>
              <w:szCs w:val="22"/>
            </w:rPr>
          </w:pPr>
          <w:hyperlink w:anchor="_Toc164670177" w:history="1">
            <w:r w:rsidR="00687746" w:rsidRPr="005A72C9">
              <w:rPr>
                <w:rStyle w:val="Hyperlink"/>
                <w:noProof/>
              </w:rPr>
              <w:t>Section 4. Risks &amp; Incidents</w:t>
            </w:r>
            <w:r w:rsidR="00687746" w:rsidRPr="005A72C9">
              <w:rPr>
                <w:noProof/>
                <w:webHidden/>
              </w:rPr>
              <w:tab/>
            </w:r>
            <w:r w:rsidR="00687746" w:rsidRPr="005A72C9">
              <w:rPr>
                <w:noProof/>
                <w:webHidden/>
              </w:rPr>
              <w:fldChar w:fldCharType="begin"/>
            </w:r>
            <w:r w:rsidR="00687746" w:rsidRPr="005A72C9">
              <w:rPr>
                <w:noProof/>
                <w:webHidden/>
              </w:rPr>
              <w:instrText xml:space="preserve"> PAGEREF _Toc164670177 \h </w:instrText>
            </w:r>
            <w:r w:rsidR="00687746" w:rsidRPr="005A72C9">
              <w:rPr>
                <w:noProof/>
                <w:webHidden/>
              </w:rPr>
            </w:r>
            <w:r w:rsidR="00687746" w:rsidRPr="005A72C9">
              <w:rPr>
                <w:noProof/>
                <w:webHidden/>
              </w:rPr>
              <w:fldChar w:fldCharType="separate"/>
            </w:r>
            <w:r w:rsidR="00834481">
              <w:rPr>
                <w:noProof/>
                <w:webHidden/>
              </w:rPr>
              <w:t>18</w:t>
            </w:r>
            <w:r w:rsidR="00687746" w:rsidRPr="005A72C9">
              <w:rPr>
                <w:noProof/>
                <w:webHidden/>
              </w:rPr>
              <w:fldChar w:fldCharType="end"/>
            </w:r>
          </w:hyperlink>
        </w:p>
        <w:p w:rsidR="00687746" w:rsidRDefault="00687746" w:rsidP="00687746">
          <w:r w:rsidRPr="005A72C9">
            <w:rPr>
              <w:b/>
              <w:bCs/>
              <w:noProof/>
            </w:rPr>
            <w:fldChar w:fldCharType="end"/>
          </w:r>
        </w:p>
      </w:sdtContent>
    </w:sdt>
    <w:p w:rsidR="00687746" w:rsidRPr="00910A5B" w:rsidRDefault="00687746" w:rsidP="00687746">
      <w:pPr>
        <w:rPr>
          <w:b/>
          <w:szCs w:val="24"/>
        </w:rPr>
      </w:pPr>
    </w:p>
    <w:p w:rsidR="00687746" w:rsidRPr="00910A5B" w:rsidRDefault="00687746" w:rsidP="00687746">
      <w:pPr>
        <w:rPr>
          <w:b/>
          <w:szCs w:val="24"/>
        </w:rPr>
      </w:pPr>
    </w:p>
    <w:p w:rsidR="00687746" w:rsidRPr="00910A5B" w:rsidRDefault="00687746" w:rsidP="00687746">
      <w:pPr>
        <w:rPr>
          <w:b/>
          <w:szCs w:val="24"/>
        </w:rPr>
      </w:pPr>
    </w:p>
    <w:p w:rsidR="00687746" w:rsidRPr="00910A5B" w:rsidRDefault="00687746" w:rsidP="00687746">
      <w:pPr>
        <w:rPr>
          <w:b/>
          <w:szCs w:val="24"/>
        </w:rPr>
      </w:pPr>
    </w:p>
    <w:p w:rsidR="00687746" w:rsidRPr="001F4089" w:rsidRDefault="00687746" w:rsidP="00687746">
      <w:pPr>
        <w:rPr>
          <w:b/>
          <w:szCs w:val="24"/>
        </w:rPr>
      </w:pPr>
      <w:bookmarkStart w:id="1" w:name="_Toc164670164"/>
      <w:bookmarkStart w:id="2" w:name="_Toc496702820"/>
      <w:bookmarkStart w:id="3" w:name="_Toc513041044"/>
      <w:bookmarkStart w:id="4" w:name="_Toc17280915"/>
      <w:bookmarkStart w:id="5" w:name="_Toc17372341"/>
      <w:bookmarkStart w:id="6" w:name="_Toc38265936"/>
      <w:bookmarkStart w:id="7" w:name="_Toc377550697"/>
      <w:bookmarkStart w:id="8" w:name="_Toc386453719"/>
      <w:bookmarkStart w:id="9" w:name="_Toc386453788"/>
      <w:bookmarkStart w:id="10" w:name="_Toc393187620"/>
      <w:bookmarkStart w:id="11" w:name="_Toc402166432"/>
      <w:bookmarkStart w:id="12" w:name="_Toc433297206"/>
      <w:bookmarkStart w:id="13" w:name="_Toc409006456"/>
      <w:bookmarkStart w:id="14" w:name="_Toc300740313"/>
      <w:bookmarkStart w:id="15" w:name="_Toc301168711"/>
      <w:bookmarkStart w:id="16" w:name="_Toc317069817"/>
      <w:bookmarkStart w:id="17" w:name="_Toc325023582"/>
      <w:bookmarkStart w:id="18" w:name="_Toc325023722"/>
      <w:bookmarkStart w:id="19" w:name="_Toc325031844"/>
      <w:bookmarkStart w:id="20" w:name="_Toc325031893"/>
      <w:bookmarkStart w:id="21" w:name="_Toc325032047"/>
      <w:bookmarkStart w:id="22" w:name="_Toc336954103"/>
      <w:bookmarkStart w:id="23" w:name="_Toc300740314"/>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Pr="001F4089" w:rsidRDefault="00687746" w:rsidP="00687746">
      <w:pPr>
        <w:rPr>
          <w:b/>
          <w:szCs w:val="24"/>
        </w:rPr>
      </w:pPr>
    </w:p>
    <w:p w:rsidR="00687746" w:rsidRDefault="00687746" w:rsidP="00687746">
      <w:pPr>
        <w:pStyle w:val="Heading1"/>
      </w:pPr>
    </w:p>
    <w:p w:rsidR="00687746" w:rsidRDefault="00687746" w:rsidP="00687746">
      <w:pPr>
        <w:pStyle w:val="Heading1"/>
      </w:pPr>
    </w:p>
    <w:p w:rsidR="00687746" w:rsidRPr="001A2529" w:rsidRDefault="00687746" w:rsidP="00687746">
      <w:pPr>
        <w:pStyle w:val="Heading1"/>
        <w:rPr>
          <w:highlight w:val="yellow"/>
        </w:rPr>
      </w:pPr>
      <w:r>
        <w:t>Section 1 – Key Performance Indicators</w:t>
      </w:r>
      <w:bookmarkEnd w:id="1"/>
      <w:r>
        <w:t xml:space="preserve"> </w:t>
      </w:r>
      <w:bookmarkEnd w:id="2"/>
      <w:bookmarkEnd w:id="3"/>
      <w:bookmarkEnd w:id="4"/>
      <w:bookmarkEnd w:id="5"/>
      <w:bookmarkEnd w:id="6"/>
    </w:p>
    <w:p w:rsidR="00687746" w:rsidRDefault="00687746" w:rsidP="00687746"/>
    <w:p w:rsidR="00687746" w:rsidRDefault="00687746" w:rsidP="00687746">
      <w:pPr>
        <w:pStyle w:val="Heading3"/>
      </w:pPr>
      <w:bookmarkStart w:id="24" w:name="_Toc164670165"/>
      <w:r>
        <w:t>Summary</w:t>
      </w:r>
      <w:bookmarkEnd w:id="24"/>
    </w:p>
    <w:p w:rsidR="00687746" w:rsidRDefault="00687746" w:rsidP="00687746"/>
    <w:p w:rsidR="00687746" w:rsidRPr="00A94990" w:rsidRDefault="00687746" w:rsidP="00687746">
      <w:pPr>
        <w:rPr>
          <w:b/>
        </w:rPr>
      </w:pPr>
      <w:r w:rsidRPr="00A94990">
        <w:rPr>
          <w:b/>
        </w:rPr>
        <w:t>Reported every quarter</w:t>
      </w:r>
    </w:p>
    <w:tbl>
      <w:tblPr>
        <w:tblStyle w:val="TableGrid"/>
        <w:tblW w:w="9712" w:type="dxa"/>
        <w:tblLook w:val="04A0" w:firstRow="1" w:lastRow="0" w:firstColumn="1" w:lastColumn="0" w:noHBand="0" w:noVBand="1"/>
      </w:tblPr>
      <w:tblGrid>
        <w:gridCol w:w="537"/>
        <w:gridCol w:w="1727"/>
        <w:gridCol w:w="1033"/>
        <w:gridCol w:w="1095"/>
        <w:gridCol w:w="1054"/>
        <w:gridCol w:w="1046"/>
        <w:gridCol w:w="1027"/>
        <w:gridCol w:w="1006"/>
        <w:gridCol w:w="1187"/>
      </w:tblGrid>
      <w:tr w:rsidR="00687746" w:rsidRPr="000E2E4A" w:rsidTr="009325FD">
        <w:tc>
          <w:tcPr>
            <w:tcW w:w="539" w:type="dxa"/>
            <w:shd w:val="clear" w:color="auto" w:fill="00B0F0"/>
          </w:tcPr>
          <w:p w:rsidR="00687746" w:rsidRPr="000E2E4A" w:rsidRDefault="00687746" w:rsidP="009325FD">
            <w:pPr>
              <w:rPr>
                <w:rFonts w:ascii="Arial" w:hAnsi="Arial" w:cs="Arial"/>
              </w:rPr>
            </w:pPr>
            <w:r w:rsidRPr="000E2E4A">
              <w:rPr>
                <w:rFonts w:ascii="Arial" w:hAnsi="Arial" w:cs="Arial"/>
              </w:rPr>
              <w:t>KPI</w:t>
            </w:r>
          </w:p>
        </w:tc>
        <w:tc>
          <w:tcPr>
            <w:tcW w:w="1873" w:type="dxa"/>
            <w:shd w:val="clear" w:color="auto" w:fill="00B0F0"/>
          </w:tcPr>
          <w:p w:rsidR="00687746" w:rsidRPr="000E2E4A" w:rsidRDefault="00687746" w:rsidP="009325FD">
            <w:pPr>
              <w:rPr>
                <w:rFonts w:ascii="Arial" w:hAnsi="Arial" w:cs="Arial"/>
              </w:rPr>
            </w:pPr>
          </w:p>
        </w:tc>
        <w:tc>
          <w:tcPr>
            <w:tcW w:w="1039" w:type="dxa"/>
            <w:shd w:val="clear" w:color="auto" w:fill="00B0F0"/>
          </w:tcPr>
          <w:p w:rsidR="00687746" w:rsidRPr="000E2E4A" w:rsidRDefault="00687746" w:rsidP="009325FD">
            <w:pPr>
              <w:rPr>
                <w:rFonts w:ascii="Arial" w:hAnsi="Arial" w:cs="Arial"/>
              </w:rPr>
            </w:pPr>
            <w:r w:rsidRPr="000E2E4A">
              <w:rPr>
                <w:rFonts w:ascii="Arial" w:hAnsi="Arial" w:cs="Arial"/>
              </w:rPr>
              <w:t>Quarterly target</w:t>
            </w:r>
          </w:p>
        </w:tc>
        <w:tc>
          <w:tcPr>
            <w:tcW w:w="1113" w:type="dxa"/>
            <w:shd w:val="clear" w:color="auto" w:fill="00B0F0"/>
          </w:tcPr>
          <w:p w:rsidR="00687746" w:rsidRPr="000E2E4A" w:rsidRDefault="00687746" w:rsidP="009325FD">
            <w:pPr>
              <w:rPr>
                <w:rFonts w:ascii="Arial" w:hAnsi="Arial" w:cs="Arial"/>
              </w:rPr>
            </w:pPr>
            <w:r w:rsidRPr="000E2E4A">
              <w:rPr>
                <w:rFonts w:ascii="Arial" w:hAnsi="Arial" w:cs="Arial"/>
              </w:rPr>
              <w:t>Actual Q1</w:t>
            </w:r>
          </w:p>
        </w:tc>
        <w:tc>
          <w:tcPr>
            <w:tcW w:w="1061" w:type="dxa"/>
            <w:shd w:val="clear" w:color="auto" w:fill="00B0F0"/>
          </w:tcPr>
          <w:p w:rsidR="00687746" w:rsidRPr="000E2E4A" w:rsidRDefault="00687746" w:rsidP="009325FD">
            <w:pPr>
              <w:rPr>
                <w:rFonts w:ascii="Arial" w:hAnsi="Arial" w:cs="Arial"/>
              </w:rPr>
            </w:pPr>
            <w:r w:rsidRPr="000E2E4A">
              <w:rPr>
                <w:rFonts w:ascii="Arial" w:hAnsi="Arial" w:cs="Arial"/>
              </w:rPr>
              <w:t>Actual Q2</w:t>
            </w:r>
          </w:p>
        </w:tc>
        <w:tc>
          <w:tcPr>
            <w:tcW w:w="1051" w:type="dxa"/>
            <w:shd w:val="clear" w:color="auto" w:fill="00B0F0"/>
          </w:tcPr>
          <w:p w:rsidR="00687746" w:rsidRPr="000E2E4A" w:rsidRDefault="00687746" w:rsidP="009325FD">
            <w:pPr>
              <w:rPr>
                <w:rFonts w:ascii="Arial" w:hAnsi="Arial" w:cs="Arial"/>
              </w:rPr>
            </w:pPr>
            <w:r w:rsidRPr="000E2E4A">
              <w:rPr>
                <w:rFonts w:ascii="Arial" w:hAnsi="Arial" w:cs="Arial"/>
              </w:rPr>
              <w:t>Actual Q3</w:t>
            </w:r>
          </w:p>
        </w:tc>
        <w:tc>
          <w:tcPr>
            <w:tcW w:w="861" w:type="dxa"/>
            <w:shd w:val="clear" w:color="auto" w:fill="00B0F0"/>
          </w:tcPr>
          <w:p w:rsidR="00687746" w:rsidRPr="000E2E4A" w:rsidRDefault="00687746" w:rsidP="009325FD">
            <w:pPr>
              <w:rPr>
                <w:rFonts w:ascii="Arial" w:hAnsi="Arial" w:cs="Arial"/>
              </w:rPr>
            </w:pPr>
            <w:r w:rsidRPr="000E2E4A">
              <w:rPr>
                <w:rFonts w:ascii="Arial" w:hAnsi="Arial" w:cs="Arial"/>
              </w:rPr>
              <w:t>Actual Q4</w:t>
            </w:r>
          </w:p>
        </w:tc>
        <w:tc>
          <w:tcPr>
            <w:tcW w:w="1023" w:type="dxa"/>
            <w:shd w:val="clear" w:color="auto" w:fill="00B0F0"/>
          </w:tcPr>
          <w:p w:rsidR="00687746" w:rsidRPr="000E2E4A" w:rsidRDefault="00687746" w:rsidP="009325FD">
            <w:pPr>
              <w:rPr>
                <w:rFonts w:ascii="Arial" w:hAnsi="Arial" w:cs="Arial"/>
              </w:rPr>
            </w:pPr>
            <w:r w:rsidRPr="000E2E4A">
              <w:rPr>
                <w:rFonts w:ascii="Arial" w:hAnsi="Arial" w:cs="Arial"/>
              </w:rPr>
              <w:t>Target 24/25</w:t>
            </w:r>
          </w:p>
        </w:tc>
        <w:tc>
          <w:tcPr>
            <w:tcW w:w="1152" w:type="dxa"/>
            <w:shd w:val="clear" w:color="auto" w:fill="00B0F0"/>
          </w:tcPr>
          <w:p w:rsidR="00687746" w:rsidRPr="000E2E4A" w:rsidRDefault="00687746" w:rsidP="009325FD">
            <w:pPr>
              <w:rPr>
                <w:rFonts w:ascii="Arial" w:hAnsi="Arial" w:cs="Arial"/>
              </w:rPr>
            </w:pPr>
            <w:r w:rsidRPr="000E2E4A">
              <w:rPr>
                <w:rFonts w:ascii="Arial" w:hAnsi="Arial" w:cs="Arial"/>
              </w:rPr>
              <w:t>Actual 24/25</w:t>
            </w:r>
          </w:p>
        </w:tc>
      </w:tr>
      <w:tr w:rsidR="00687746" w:rsidRPr="000E2E4A" w:rsidTr="009325FD">
        <w:tc>
          <w:tcPr>
            <w:tcW w:w="539" w:type="dxa"/>
            <w:shd w:val="clear" w:color="auto" w:fill="00B0F0"/>
          </w:tcPr>
          <w:p w:rsidR="00687746" w:rsidRPr="000E2E4A" w:rsidRDefault="00687746" w:rsidP="009325FD">
            <w:pPr>
              <w:rPr>
                <w:rFonts w:ascii="Arial" w:hAnsi="Arial" w:cs="Arial"/>
              </w:rPr>
            </w:pPr>
            <w:r w:rsidRPr="000E2E4A">
              <w:rPr>
                <w:rFonts w:ascii="Arial" w:hAnsi="Arial" w:cs="Arial"/>
              </w:rPr>
              <w:t>1</w:t>
            </w:r>
          </w:p>
        </w:tc>
        <w:tc>
          <w:tcPr>
            <w:tcW w:w="1873" w:type="dxa"/>
          </w:tcPr>
          <w:p w:rsidR="00687746" w:rsidRPr="000E2E4A" w:rsidRDefault="00687746" w:rsidP="009325FD">
            <w:pPr>
              <w:rPr>
                <w:rFonts w:ascii="Arial" w:hAnsi="Arial" w:cs="Arial"/>
              </w:rPr>
            </w:pPr>
            <w:r w:rsidRPr="000E2E4A">
              <w:rPr>
                <w:rFonts w:ascii="Arial" w:hAnsi="Arial" w:cs="Arial"/>
              </w:rPr>
              <w:t>Number of approved research projects</w:t>
            </w:r>
          </w:p>
        </w:tc>
        <w:tc>
          <w:tcPr>
            <w:tcW w:w="1039" w:type="dxa"/>
          </w:tcPr>
          <w:p w:rsidR="00687746" w:rsidRPr="000E2E4A" w:rsidRDefault="00687746" w:rsidP="009325FD">
            <w:pPr>
              <w:rPr>
                <w:rFonts w:ascii="Arial" w:hAnsi="Arial" w:cs="Arial"/>
              </w:rPr>
            </w:pPr>
            <w:r w:rsidRPr="000E2E4A">
              <w:rPr>
                <w:rFonts w:ascii="Arial" w:hAnsi="Arial" w:cs="Arial"/>
              </w:rPr>
              <w:t>10</w:t>
            </w:r>
          </w:p>
        </w:tc>
        <w:tc>
          <w:tcPr>
            <w:tcW w:w="1113" w:type="dxa"/>
            <w:shd w:val="clear" w:color="auto" w:fill="00B050"/>
          </w:tcPr>
          <w:p w:rsidR="00687746" w:rsidRPr="000E2E4A" w:rsidRDefault="00687746" w:rsidP="009325FD">
            <w:pPr>
              <w:rPr>
                <w:rFonts w:ascii="Arial" w:hAnsi="Arial" w:cs="Arial"/>
              </w:rPr>
            </w:pPr>
            <w:r w:rsidRPr="000E2E4A">
              <w:rPr>
                <w:rFonts w:ascii="Arial" w:hAnsi="Arial" w:cs="Arial"/>
              </w:rPr>
              <w:t>10 (100% target)</w:t>
            </w:r>
          </w:p>
        </w:tc>
        <w:tc>
          <w:tcPr>
            <w:tcW w:w="1061" w:type="dxa"/>
            <w:shd w:val="clear" w:color="auto" w:fill="FFC000"/>
          </w:tcPr>
          <w:p w:rsidR="00687746" w:rsidRPr="000E2E4A" w:rsidRDefault="00687746" w:rsidP="009325FD">
            <w:pPr>
              <w:rPr>
                <w:rFonts w:ascii="Arial" w:hAnsi="Arial" w:cs="Arial"/>
              </w:rPr>
            </w:pPr>
            <w:r w:rsidRPr="000E2E4A">
              <w:rPr>
                <w:rFonts w:ascii="Arial" w:hAnsi="Arial" w:cs="Arial"/>
              </w:rPr>
              <w:t>7 (70% target)</w:t>
            </w:r>
          </w:p>
        </w:tc>
        <w:tc>
          <w:tcPr>
            <w:tcW w:w="1051" w:type="dxa"/>
            <w:shd w:val="clear" w:color="auto" w:fill="00B050"/>
          </w:tcPr>
          <w:p w:rsidR="00687746" w:rsidRPr="000E2E4A" w:rsidRDefault="00687746" w:rsidP="009325FD">
            <w:pPr>
              <w:rPr>
                <w:rFonts w:ascii="Arial" w:hAnsi="Arial" w:cs="Arial"/>
              </w:rPr>
            </w:pPr>
            <w:r w:rsidRPr="000E2E4A">
              <w:rPr>
                <w:rFonts w:ascii="Arial" w:hAnsi="Arial" w:cs="Arial"/>
              </w:rPr>
              <w:t>11 (110% target)</w:t>
            </w:r>
          </w:p>
        </w:tc>
        <w:tc>
          <w:tcPr>
            <w:tcW w:w="861" w:type="dxa"/>
            <w:shd w:val="clear" w:color="auto" w:fill="00B050"/>
          </w:tcPr>
          <w:p w:rsidR="00687746" w:rsidRPr="000E2E4A" w:rsidRDefault="00687746" w:rsidP="009325FD">
            <w:pPr>
              <w:rPr>
                <w:rFonts w:ascii="Arial" w:hAnsi="Arial" w:cs="Arial"/>
              </w:rPr>
            </w:pPr>
            <w:r w:rsidRPr="000E2E4A">
              <w:rPr>
                <w:rFonts w:ascii="Arial" w:hAnsi="Arial" w:cs="Arial"/>
              </w:rPr>
              <w:t>10 (100%)</w:t>
            </w:r>
          </w:p>
        </w:tc>
        <w:tc>
          <w:tcPr>
            <w:tcW w:w="1023" w:type="dxa"/>
          </w:tcPr>
          <w:p w:rsidR="00687746" w:rsidRPr="000E2E4A" w:rsidRDefault="00687746" w:rsidP="009325FD">
            <w:pPr>
              <w:rPr>
                <w:rFonts w:ascii="Arial" w:hAnsi="Arial" w:cs="Arial"/>
              </w:rPr>
            </w:pPr>
            <w:r w:rsidRPr="000E2E4A">
              <w:rPr>
                <w:rFonts w:ascii="Arial" w:hAnsi="Arial" w:cs="Arial"/>
              </w:rPr>
              <w:t>40</w:t>
            </w:r>
          </w:p>
        </w:tc>
        <w:tc>
          <w:tcPr>
            <w:tcW w:w="1152" w:type="dxa"/>
          </w:tcPr>
          <w:p w:rsidR="00687746" w:rsidRPr="000E2E4A" w:rsidRDefault="00687746" w:rsidP="009325FD">
            <w:pPr>
              <w:rPr>
                <w:rFonts w:ascii="Arial" w:hAnsi="Arial" w:cs="Arial"/>
              </w:rPr>
            </w:pPr>
            <w:r w:rsidRPr="000E2E4A">
              <w:rPr>
                <w:rFonts w:ascii="Arial" w:hAnsi="Arial" w:cs="Arial"/>
              </w:rPr>
              <w:t>38</w:t>
            </w:r>
          </w:p>
        </w:tc>
      </w:tr>
      <w:tr w:rsidR="00687746" w:rsidRPr="000E2E4A" w:rsidTr="009325FD">
        <w:tc>
          <w:tcPr>
            <w:tcW w:w="539" w:type="dxa"/>
            <w:shd w:val="clear" w:color="auto" w:fill="00B0F0"/>
          </w:tcPr>
          <w:p w:rsidR="00687746" w:rsidRPr="000E2E4A" w:rsidRDefault="00687746" w:rsidP="009325FD">
            <w:pPr>
              <w:rPr>
                <w:rFonts w:ascii="Arial" w:hAnsi="Arial" w:cs="Arial"/>
              </w:rPr>
            </w:pPr>
            <w:r w:rsidRPr="000E2E4A">
              <w:rPr>
                <w:rFonts w:ascii="Arial" w:hAnsi="Arial" w:cs="Arial"/>
              </w:rPr>
              <w:t>2</w:t>
            </w:r>
          </w:p>
        </w:tc>
        <w:tc>
          <w:tcPr>
            <w:tcW w:w="1873" w:type="dxa"/>
          </w:tcPr>
          <w:p w:rsidR="00687746" w:rsidRPr="000E2E4A" w:rsidRDefault="00687746" w:rsidP="009325FD">
            <w:pPr>
              <w:rPr>
                <w:rFonts w:ascii="Arial" w:hAnsi="Arial" w:cs="Arial"/>
              </w:rPr>
            </w:pPr>
            <w:r w:rsidRPr="000E2E4A">
              <w:rPr>
                <w:rFonts w:ascii="Arial" w:hAnsi="Arial" w:cs="Arial"/>
              </w:rPr>
              <w:t>Participant recruitment (exclude blood sampling studies)</w:t>
            </w:r>
          </w:p>
        </w:tc>
        <w:tc>
          <w:tcPr>
            <w:tcW w:w="1039" w:type="dxa"/>
          </w:tcPr>
          <w:p w:rsidR="00687746" w:rsidRPr="000E2E4A" w:rsidRDefault="00687746" w:rsidP="009325FD">
            <w:pPr>
              <w:rPr>
                <w:rFonts w:ascii="Arial" w:hAnsi="Arial" w:cs="Arial"/>
              </w:rPr>
            </w:pPr>
            <w:r w:rsidRPr="000E2E4A">
              <w:rPr>
                <w:rFonts w:ascii="Arial" w:hAnsi="Arial" w:cs="Arial"/>
              </w:rPr>
              <w:t>200</w:t>
            </w:r>
          </w:p>
        </w:tc>
        <w:tc>
          <w:tcPr>
            <w:tcW w:w="1113" w:type="dxa"/>
            <w:shd w:val="clear" w:color="auto" w:fill="00B050"/>
          </w:tcPr>
          <w:p w:rsidR="00687746" w:rsidRPr="000E2E4A" w:rsidRDefault="00687746" w:rsidP="009325FD">
            <w:pPr>
              <w:rPr>
                <w:rFonts w:ascii="Arial" w:hAnsi="Arial" w:cs="Arial"/>
              </w:rPr>
            </w:pPr>
            <w:r w:rsidRPr="000E2E4A">
              <w:rPr>
                <w:rFonts w:ascii="Arial" w:hAnsi="Arial" w:cs="Arial"/>
              </w:rPr>
              <w:t>378 (189% target)</w:t>
            </w:r>
          </w:p>
        </w:tc>
        <w:tc>
          <w:tcPr>
            <w:tcW w:w="1061" w:type="dxa"/>
            <w:shd w:val="clear" w:color="auto" w:fill="FFC000"/>
          </w:tcPr>
          <w:p w:rsidR="00687746" w:rsidRPr="000E2E4A" w:rsidRDefault="00687746" w:rsidP="009325FD">
            <w:pPr>
              <w:rPr>
                <w:rFonts w:ascii="Arial" w:hAnsi="Arial" w:cs="Arial"/>
              </w:rPr>
            </w:pPr>
            <w:r w:rsidRPr="000E2E4A">
              <w:rPr>
                <w:rFonts w:ascii="Arial" w:hAnsi="Arial" w:cs="Arial"/>
              </w:rPr>
              <w:t>144 (72% target)</w:t>
            </w:r>
          </w:p>
        </w:tc>
        <w:tc>
          <w:tcPr>
            <w:tcW w:w="1051" w:type="dxa"/>
            <w:shd w:val="clear" w:color="auto" w:fill="FFC000"/>
          </w:tcPr>
          <w:p w:rsidR="00687746" w:rsidRPr="000E2E4A" w:rsidRDefault="00687746" w:rsidP="009325FD">
            <w:pPr>
              <w:rPr>
                <w:rFonts w:ascii="Arial" w:hAnsi="Arial" w:cs="Arial"/>
              </w:rPr>
            </w:pPr>
            <w:r w:rsidRPr="000E2E4A">
              <w:rPr>
                <w:rFonts w:ascii="Arial" w:hAnsi="Arial" w:cs="Arial"/>
              </w:rPr>
              <w:t>199 (99.5% target)</w:t>
            </w:r>
          </w:p>
        </w:tc>
        <w:tc>
          <w:tcPr>
            <w:tcW w:w="861" w:type="dxa"/>
            <w:shd w:val="clear" w:color="auto" w:fill="FFC000"/>
          </w:tcPr>
          <w:p w:rsidR="00687746" w:rsidRPr="000E2E4A" w:rsidRDefault="00687746" w:rsidP="009325FD">
            <w:pPr>
              <w:rPr>
                <w:rFonts w:ascii="Arial" w:hAnsi="Arial" w:cs="Arial"/>
              </w:rPr>
            </w:pPr>
            <w:r w:rsidRPr="000E2E4A">
              <w:rPr>
                <w:rFonts w:ascii="Arial" w:hAnsi="Arial" w:cs="Arial"/>
              </w:rPr>
              <w:t>188 (94% target)</w:t>
            </w:r>
          </w:p>
        </w:tc>
        <w:tc>
          <w:tcPr>
            <w:tcW w:w="1023" w:type="dxa"/>
          </w:tcPr>
          <w:p w:rsidR="00687746" w:rsidRPr="000E2E4A" w:rsidRDefault="00687746" w:rsidP="009325FD">
            <w:pPr>
              <w:rPr>
                <w:rFonts w:ascii="Arial" w:hAnsi="Arial" w:cs="Arial"/>
              </w:rPr>
            </w:pPr>
            <w:r w:rsidRPr="000E2E4A">
              <w:rPr>
                <w:rFonts w:ascii="Arial" w:hAnsi="Arial" w:cs="Arial"/>
              </w:rPr>
              <w:t>800</w:t>
            </w:r>
          </w:p>
        </w:tc>
        <w:tc>
          <w:tcPr>
            <w:tcW w:w="1152" w:type="dxa"/>
          </w:tcPr>
          <w:p w:rsidR="00687746" w:rsidRPr="000E2E4A" w:rsidRDefault="00687746" w:rsidP="009325FD">
            <w:pPr>
              <w:rPr>
                <w:rFonts w:ascii="Arial" w:hAnsi="Arial" w:cs="Arial"/>
              </w:rPr>
            </w:pPr>
            <w:r w:rsidRPr="000E2E4A">
              <w:rPr>
                <w:rFonts w:ascii="Arial" w:hAnsi="Arial" w:cs="Arial"/>
              </w:rPr>
              <w:t>909</w:t>
            </w:r>
          </w:p>
        </w:tc>
      </w:tr>
      <w:tr w:rsidR="00687746" w:rsidRPr="000E2E4A" w:rsidTr="009325FD">
        <w:tc>
          <w:tcPr>
            <w:tcW w:w="539" w:type="dxa"/>
            <w:shd w:val="clear" w:color="auto" w:fill="00B0F0"/>
          </w:tcPr>
          <w:p w:rsidR="00687746" w:rsidRPr="000E2E4A" w:rsidRDefault="00687746" w:rsidP="009325FD">
            <w:pPr>
              <w:rPr>
                <w:rFonts w:ascii="Arial" w:hAnsi="Arial" w:cs="Arial"/>
              </w:rPr>
            </w:pPr>
            <w:r w:rsidRPr="000E2E4A">
              <w:rPr>
                <w:rFonts w:ascii="Arial" w:hAnsi="Arial" w:cs="Arial"/>
              </w:rPr>
              <w:t>3</w:t>
            </w:r>
          </w:p>
        </w:tc>
        <w:tc>
          <w:tcPr>
            <w:tcW w:w="1873" w:type="dxa"/>
          </w:tcPr>
          <w:p w:rsidR="00687746" w:rsidRPr="000E2E4A" w:rsidRDefault="00687746" w:rsidP="009325FD">
            <w:pPr>
              <w:rPr>
                <w:rFonts w:ascii="Arial" w:hAnsi="Arial" w:cs="Arial"/>
              </w:rPr>
            </w:pPr>
            <w:r w:rsidRPr="000E2E4A">
              <w:rPr>
                <w:rFonts w:ascii="Arial" w:hAnsi="Arial" w:cs="Arial"/>
              </w:rPr>
              <w:t>Income is maintained close to target</w:t>
            </w:r>
          </w:p>
        </w:tc>
        <w:tc>
          <w:tcPr>
            <w:tcW w:w="1039" w:type="dxa"/>
          </w:tcPr>
          <w:p w:rsidR="00687746" w:rsidRPr="000E2E4A" w:rsidRDefault="00687746" w:rsidP="009325FD">
            <w:pPr>
              <w:rPr>
                <w:rFonts w:ascii="Arial" w:hAnsi="Arial" w:cs="Arial"/>
              </w:rPr>
            </w:pPr>
            <w:r w:rsidRPr="000E2E4A">
              <w:rPr>
                <w:rFonts w:ascii="Arial" w:hAnsi="Arial" w:cs="Arial"/>
              </w:rPr>
              <w:t>£375K</w:t>
            </w:r>
          </w:p>
        </w:tc>
        <w:tc>
          <w:tcPr>
            <w:tcW w:w="1113" w:type="dxa"/>
            <w:shd w:val="clear" w:color="auto" w:fill="FFC000"/>
          </w:tcPr>
          <w:p w:rsidR="00687746" w:rsidRPr="000E2E4A" w:rsidRDefault="00687746" w:rsidP="009325FD">
            <w:pPr>
              <w:rPr>
                <w:rFonts w:ascii="Arial" w:hAnsi="Arial" w:cs="Arial"/>
              </w:rPr>
            </w:pPr>
            <w:r w:rsidRPr="000E2E4A">
              <w:rPr>
                <w:rFonts w:ascii="Arial" w:hAnsi="Arial" w:cs="Arial"/>
              </w:rPr>
              <w:t>£346,471</w:t>
            </w:r>
          </w:p>
          <w:p w:rsidR="00687746" w:rsidRPr="000E2E4A" w:rsidRDefault="00687746" w:rsidP="009325FD">
            <w:pPr>
              <w:rPr>
                <w:rFonts w:ascii="Arial" w:hAnsi="Arial" w:cs="Arial"/>
              </w:rPr>
            </w:pPr>
            <w:r w:rsidRPr="000E2E4A">
              <w:rPr>
                <w:rFonts w:ascii="Arial" w:hAnsi="Arial" w:cs="Arial"/>
              </w:rPr>
              <w:t>(92% target)</w:t>
            </w:r>
          </w:p>
        </w:tc>
        <w:tc>
          <w:tcPr>
            <w:tcW w:w="1061" w:type="dxa"/>
            <w:shd w:val="clear" w:color="auto" w:fill="00B050"/>
          </w:tcPr>
          <w:p w:rsidR="00687746" w:rsidRPr="000E2E4A" w:rsidRDefault="00687746" w:rsidP="009325FD">
            <w:pPr>
              <w:rPr>
                <w:rFonts w:ascii="Arial" w:hAnsi="Arial" w:cs="Arial"/>
              </w:rPr>
            </w:pPr>
            <w:r w:rsidRPr="000E2E4A">
              <w:rPr>
                <w:rFonts w:ascii="Arial" w:hAnsi="Arial" w:cs="Arial"/>
              </w:rPr>
              <w:t>£580,548</w:t>
            </w:r>
          </w:p>
          <w:p w:rsidR="00687746" w:rsidRPr="000E2E4A" w:rsidRDefault="00687746" w:rsidP="009325FD">
            <w:pPr>
              <w:rPr>
                <w:rFonts w:ascii="Arial" w:hAnsi="Arial" w:cs="Arial"/>
              </w:rPr>
            </w:pPr>
            <w:r w:rsidRPr="000E2E4A">
              <w:rPr>
                <w:rFonts w:ascii="Arial" w:hAnsi="Arial" w:cs="Arial"/>
              </w:rPr>
              <w:t>(154% target)</w:t>
            </w:r>
          </w:p>
          <w:p w:rsidR="00687746" w:rsidRPr="000E2E4A" w:rsidRDefault="00687746" w:rsidP="009325FD">
            <w:pPr>
              <w:rPr>
                <w:rFonts w:ascii="Arial" w:hAnsi="Arial" w:cs="Arial"/>
              </w:rPr>
            </w:pPr>
            <w:r w:rsidRPr="000E2E4A">
              <w:rPr>
                <w:rFonts w:ascii="Arial" w:hAnsi="Arial" w:cs="Arial"/>
              </w:rPr>
              <w:t xml:space="preserve"> </w:t>
            </w:r>
          </w:p>
        </w:tc>
        <w:tc>
          <w:tcPr>
            <w:tcW w:w="1051" w:type="dxa"/>
            <w:shd w:val="clear" w:color="auto" w:fill="00B050"/>
          </w:tcPr>
          <w:p w:rsidR="00687746" w:rsidRPr="000E2E4A" w:rsidRDefault="00687746" w:rsidP="009325FD">
            <w:pPr>
              <w:rPr>
                <w:rFonts w:ascii="Arial" w:hAnsi="Arial" w:cs="Arial"/>
              </w:rPr>
            </w:pPr>
            <w:r w:rsidRPr="000E2E4A">
              <w:rPr>
                <w:rFonts w:ascii="Arial" w:hAnsi="Arial" w:cs="Arial"/>
              </w:rPr>
              <w:t>£549,947</w:t>
            </w:r>
          </w:p>
          <w:p w:rsidR="00687746" w:rsidRPr="000E2E4A" w:rsidRDefault="00687746" w:rsidP="009325FD">
            <w:pPr>
              <w:rPr>
                <w:rFonts w:ascii="Arial" w:hAnsi="Arial" w:cs="Arial"/>
              </w:rPr>
            </w:pPr>
            <w:r w:rsidRPr="000E2E4A">
              <w:rPr>
                <w:rFonts w:ascii="Arial" w:hAnsi="Arial" w:cs="Arial"/>
              </w:rPr>
              <w:t>(147% target</w:t>
            </w:r>
          </w:p>
        </w:tc>
        <w:tc>
          <w:tcPr>
            <w:tcW w:w="861" w:type="dxa"/>
            <w:shd w:val="clear" w:color="auto" w:fill="00B050"/>
          </w:tcPr>
          <w:p w:rsidR="00687746" w:rsidRPr="000E2E4A" w:rsidRDefault="00687746" w:rsidP="009325FD">
            <w:pPr>
              <w:rPr>
                <w:rFonts w:ascii="Arial" w:hAnsi="Arial" w:cs="Arial"/>
              </w:rPr>
            </w:pPr>
            <w:r w:rsidRPr="000E2E4A">
              <w:rPr>
                <w:rFonts w:ascii="Arial" w:hAnsi="Arial" w:cs="Arial"/>
              </w:rPr>
              <w:t>£506,245</w:t>
            </w:r>
          </w:p>
          <w:p w:rsidR="00687746" w:rsidRPr="000E2E4A" w:rsidRDefault="00687746" w:rsidP="009325FD">
            <w:pPr>
              <w:rPr>
                <w:rFonts w:ascii="Arial" w:hAnsi="Arial" w:cs="Arial"/>
              </w:rPr>
            </w:pPr>
            <w:r w:rsidRPr="000E2E4A">
              <w:rPr>
                <w:rFonts w:ascii="Arial" w:hAnsi="Arial" w:cs="Arial"/>
              </w:rPr>
              <w:t>(135% target)</w:t>
            </w:r>
          </w:p>
        </w:tc>
        <w:tc>
          <w:tcPr>
            <w:tcW w:w="1023" w:type="dxa"/>
          </w:tcPr>
          <w:p w:rsidR="00687746" w:rsidRPr="000E2E4A" w:rsidRDefault="00687746" w:rsidP="009325FD">
            <w:pPr>
              <w:rPr>
                <w:rFonts w:ascii="Arial" w:hAnsi="Arial" w:cs="Arial"/>
              </w:rPr>
            </w:pPr>
            <w:r w:rsidRPr="000E2E4A">
              <w:rPr>
                <w:rFonts w:ascii="Arial" w:hAnsi="Arial" w:cs="Arial"/>
              </w:rPr>
              <w:t>£1,500K</w:t>
            </w:r>
          </w:p>
        </w:tc>
        <w:tc>
          <w:tcPr>
            <w:tcW w:w="1152" w:type="dxa"/>
          </w:tcPr>
          <w:p w:rsidR="00687746" w:rsidRPr="000E2E4A" w:rsidRDefault="00687746" w:rsidP="009325FD">
            <w:pPr>
              <w:rPr>
                <w:rFonts w:ascii="Arial" w:hAnsi="Arial" w:cs="Arial"/>
              </w:rPr>
            </w:pPr>
            <w:r w:rsidRPr="000E2E4A">
              <w:rPr>
                <w:rFonts w:ascii="Arial" w:hAnsi="Arial" w:cs="Arial"/>
              </w:rPr>
              <w:t>£1,983,211</w:t>
            </w:r>
          </w:p>
        </w:tc>
      </w:tr>
      <w:tr w:rsidR="00687746" w:rsidRPr="000E2E4A" w:rsidTr="009325FD">
        <w:tc>
          <w:tcPr>
            <w:tcW w:w="539" w:type="dxa"/>
            <w:shd w:val="clear" w:color="auto" w:fill="00B0F0"/>
          </w:tcPr>
          <w:p w:rsidR="00687746" w:rsidRPr="000E2E4A" w:rsidRDefault="00687746" w:rsidP="009325FD">
            <w:pPr>
              <w:rPr>
                <w:rFonts w:ascii="Arial" w:hAnsi="Arial" w:cs="Arial"/>
              </w:rPr>
            </w:pPr>
            <w:r w:rsidRPr="000E2E4A">
              <w:rPr>
                <w:rFonts w:ascii="Arial" w:hAnsi="Arial" w:cs="Arial"/>
              </w:rPr>
              <w:t>4</w:t>
            </w:r>
          </w:p>
        </w:tc>
        <w:tc>
          <w:tcPr>
            <w:tcW w:w="1873" w:type="dxa"/>
          </w:tcPr>
          <w:p w:rsidR="00687746" w:rsidRPr="000E2E4A" w:rsidRDefault="00687746" w:rsidP="009325FD">
            <w:pPr>
              <w:rPr>
                <w:rFonts w:ascii="Arial" w:hAnsi="Arial" w:cs="Arial"/>
              </w:rPr>
            </w:pPr>
            <w:r w:rsidRPr="000E2E4A">
              <w:rPr>
                <w:rFonts w:ascii="Arial" w:hAnsi="Arial" w:cs="Arial"/>
              </w:rPr>
              <w:t>The number of research project audits is in line with target</w:t>
            </w:r>
          </w:p>
        </w:tc>
        <w:tc>
          <w:tcPr>
            <w:tcW w:w="1039" w:type="dxa"/>
          </w:tcPr>
          <w:p w:rsidR="00687746" w:rsidRPr="000E2E4A" w:rsidRDefault="00687746" w:rsidP="009325FD">
            <w:pPr>
              <w:rPr>
                <w:rFonts w:ascii="Arial" w:hAnsi="Arial" w:cs="Arial"/>
              </w:rPr>
            </w:pPr>
            <w:r w:rsidRPr="000E2E4A">
              <w:rPr>
                <w:rFonts w:ascii="Arial" w:hAnsi="Arial" w:cs="Arial"/>
              </w:rPr>
              <w:t>3</w:t>
            </w:r>
          </w:p>
        </w:tc>
        <w:tc>
          <w:tcPr>
            <w:tcW w:w="1113" w:type="dxa"/>
            <w:shd w:val="clear" w:color="auto" w:fill="00B050"/>
          </w:tcPr>
          <w:p w:rsidR="00687746" w:rsidRPr="000E2E4A" w:rsidRDefault="00687746" w:rsidP="009325FD">
            <w:pPr>
              <w:rPr>
                <w:rFonts w:ascii="Arial" w:hAnsi="Arial" w:cs="Arial"/>
              </w:rPr>
            </w:pPr>
            <w:r w:rsidRPr="000E2E4A">
              <w:rPr>
                <w:rFonts w:ascii="Arial" w:hAnsi="Arial" w:cs="Arial"/>
              </w:rPr>
              <w:t>3 (100% target)</w:t>
            </w:r>
          </w:p>
        </w:tc>
        <w:tc>
          <w:tcPr>
            <w:tcW w:w="1061" w:type="dxa"/>
            <w:shd w:val="clear" w:color="auto" w:fill="FFC000"/>
          </w:tcPr>
          <w:p w:rsidR="00687746" w:rsidRPr="000E2E4A" w:rsidRDefault="00687746" w:rsidP="009325FD">
            <w:pPr>
              <w:rPr>
                <w:rFonts w:ascii="Arial" w:hAnsi="Arial" w:cs="Arial"/>
              </w:rPr>
            </w:pPr>
            <w:r w:rsidRPr="000E2E4A">
              <w:rPr>
                <w:rFonts w:ascii="Arial" w:hAnsi="Arial" w:cs="Arial"/>
              </w:rPr>
              <w:t>2 (67% target)</w:t>
            </w:r>
          </w:p>
        </w:tc>
        <w:tc>
          <w:tcPr>
            <w:tcW w:w="1051" w:type="dxa"/>
            <w:shd w:val="clear" w:color="auto" w:fill="FFC000"/>
          </w:tcPr>
          <w:p w:rsidR="00687746" w:rsidRPr="000E2E4A" w:rsidRDefault="00687746" w:rsidP="009325FD">
            <w:pPr>
              <w:rPr>
                <w:rFonts w:ascii="Arial" w:hAnsi="Arial" w:cs="Arial"/>
              </w:rPr>
            </w:pPr>
            <w:r w:rsidRPr="000E2E4A">
              <w:rPr>
                <w:rFonts w:ascii="Arial" w:hAnsi="Arial" w:cs="Arial"/>
              </w:rPr>
              <w:t>2 (67% target)</w:t>
            </w:r>
          </w:p>
        </w:tc>
        <w:tc>
          <w:tcPr>
            <w:tcW w:w="861" w:type="dxa"/>
            <w:shd w:val="clear" w:color="auto" w:fill="00B050"/>
          </w:tcPr>
          <w:p w:rsidR="00687746" w:rsidRPr="000E2E4A" w:rsidRDefault="00687746" w:rsidP="009325FD">
            <w:pPr>
              <w:rPr>
                <w:rFonts w:ascii="Arial" w:hAnsi="Arial" w:cs="Arial"/>
              </w:rPr>
            </w:pPr>
            <w:r w:rsidRPr="000E2E4A">
              <w:rPr>
                <w:rFonts w:ascii="Arial" w:hAnsi="Arial" w:cs="Arial"/>
              </w:rPr>
              <w:t>3 (100% target)</w:t>
            </w:r>
          </w:p>
        </w:tc>
        <w:tc>
          <w:tcPr>
            <w:tcW w:w="1023" w:type="dxa"/>
          </w:tcPr>
          <w:p w:rsidR="00687746" w:rsidRPr="000E2E4A" w:rsidRDefault="00687746" w:rsidP="009325FD">
            <w:pPr>
              <w:rPr>
                <w:rFonts w:ascii="Arial" w:hAnsi="Arial" w:cs="Arial"/>
              </w:rPr>
            </w:pPr>
            <w:r w:rsidRPr="000E2E4A">
              <w:rPr>
                <w:rFonts w:ascii="Arial" w:hAnsi="Arial" w:cs="Arial"/>
              </w:rPr>
              <w:t>10</w:t>
            </w:r>
          </w:p>
        </w:tc>
        <w:tc>
          <w:tcPr>
            <w:tcW w:w="1152" w:type="dxa"/>
          </w:tcPr>
          <w:p w:rsidR="00687746" w:rsidRPr="000E2E4A" w:rsidRDefault="00687746" w:rsidP="009325FD">
            <w:pPr>
              <w:rPr>
                <w:rFonts w:ascii="Arial" w:hAnsi="Arial" w:cs="Arial"/>
              </w:rPr>
            </w:pPr>
            <w:r w:rsidRPr="000E2E4A">
              <w:rPr>
                <w:rFonts w:ascii="Arial" w:hAnsi="Arial" w:cs="Arial"/>
              </w:rPr>
              <w:t>10</w:t>
            </w:r>
          </w:p>
        </w:tc>
      </w:tr>
    </w:tbl>
    <w:p w:rsidR="00687746" w:rsidRDefault="00687746" w:rsidP="00687746"/>
    <w:p w:rsidR="00687746" w:rsidRDefault="00687746" w:rsidP="00687746"/>
    <w:p w:rsidR="00687746" w:rsidRPr="00A94990" w:rsidRDefault="00687746" w:rsidP="00687746">
      <w:pPr>
        <w:rPr>
          <w:b/>
        </w:rPr>
      </w:pPr>
      <w:r w:rsidRPr="00A94990">
        <w:rPr>
          <w:b/>
        </w:rPr>
        <w:t>Reported annually</w:t>
      </w:r>
    </w:p>
    <w:tbl>
      <w:tblPr>
        <w:tblStyle w:val="TableGrid"/>
        <w:tblW w:w="9747" w:type="dxa"/>
        <w:tblLook w:val="04A0" w:firstRow="1" w:lastRow="0" w:firstColumn="1" w:lastColumn="0" w:noHBand="0" w:noVBand="1"/>
      </w:tblPr>
      <w:tblGrid>
        <w:gridCol w:w="539"/>
        <w:gridCol w:w="3964"/>
        <w:gridCol w:w="1748"/>
        <w:gridCol w:w="1748"/>
        <w:gridCol w:w="1748"/>
      </w:tblGrid>
      <w:tr w:rsidR="00687746" w:rsidRPr="000E2E4A" w:rsidTr="009325FD">
        <w:tc>
          <w:tcPr>
            <w:tcW w:w="539" w:type="dxa"/>
            <w:shd w:val="clear" w:color="auto" w:fill="00B0F0"/>
          </w:tcPr>
          <w:p w:rsidR="00687746" w:rsidRPr="000E2E4A" w:rsidRDefault="00687746" w:rsidP="009325FD">
            <w:pPr>
              <w:rPr>
                <w:rFonts w:ascii="Arial" w:hAnsi="Arial" w:cs="Arial"/>
                <w:sz w:val="18"/>
                <w:szCs w:val="18"/>
              </w:rPr>
            </w:pPr>
          </w:p>
        </w:tc>
        <w:tc>
          <w:tcPr>
            <w:tcW w:w="3964" w:type="dxa"/>
            <w:shd w:val="clear" w:color="auto" w:fill="00B0F0"/>
          </w:tcPr>
          <w:p w:rsidR="00687746" w:rsidRPr="000E2E4A" w:rsidRDefault="00687746" w:rsidP="009325FD">
            <w:pPr>
              <w:rPr>
                <w:rFonts w:ascii="Arial" w:hAnsi="Arial" w:cs="Arial"/>
                <w:sz w:val="18"/>
                <w:szCs w:val="18"/>
              </w:rPr>
            </w:pPr>
          </w:p>
        </w:tc>
        <w:tc>
          <w:tcPr>
            <w:tcW w:w="1748"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Actual 22/23</w:t>
            </w:r>
          </w:p>
        </w:tc>
        <w:tc>
          <w:tcPr>
            <w:tcW w:w="1748"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Actual 23/24</w:t>
            </w:r>
          </w:p>
        </w:tc>
        <w:tc>
          <w:tcPr>
            <w:tcW w:w="1748"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Actual 24/25</w:t>
            </w:r>
          </w:p>
        </w:tc>
      </w:tr>
      <w:tr w:rsidR="00687746" w:rsidRPr="000E2E4A" w:rsidTr="009325FD">
        <w:tc>
          <w:tcPr>
            <w:tcW w:w="539"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5</w:t>
            </w:r>
          </w:p>
        </w:tc>
        <w:tc>
          <w:tcPr>
            <w:tcW w:w="3964" w:type="dxa"/>
          </w:tcPr>
          <w:p w:rsidR="00687746" w:rsidRPr="000E2E4A" w:rsidRDefault="00687746" w:rsidP="009325FD">
            <w:pPr>
              <w:rPr>
                <w:rFonts w:ascii="Arial" w:hAnsi="Arial" w:cs="Arial"/>
                <w:sz w:val="18"/>
                <w:szCs w:val="18"/>
              </w:rPr>
            </w:pPr>
            <w:r w:rsidRPr="000E2E4A">
              <w:rPr>
                <w:rFonts w:ascii="Arial" w:hAnsi="Arial" w:cs="Arial"/>
                <w:sz w:val="18"/>
                <w:szCs w:val="18"/>
              </w:rPr>
              <w:t>Number of journal publications with NHS Golden Jubilee quoted</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119</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114</w:t>
            </w:r>
          </w:p>
        </w:tc>
        <w:tc>
          <w:tcPr>
            <w:tcW w:w="1748" w:type="dxa"/>
            <w:shd w:val="clear" w:color="auto" w:fill="auto"/>
          </w:tcPr>
          <w:p w:rsidR="00687746" w:rsidRPr="000E2E4A" w:rsidRDefault="00687746" w:rsidP="009325FD">
            <w:pPr>
              <w:rPr>
                <w:rFonts w:ascii="Arial" w:hAnsi="Arial" w:cs="Arial"/>
                <w:sz w:val="18"/>
                <w:szCs w:val="18"/>
              </w:rPr>
            </w:pPr>
            <w:r w:rsidRPr="000E2E4A">
              <w:rPr>
                <w:rFonts w:ascii="Arial" w:hAnsi="Arial" w:cs="Arial"/>
                <w:sz w:val="18"/>
                <w:szCs w:val="18"/>
              </w:rPr>
              <w:t>109</w:t>
            </w:r>
          </w:p>
        </w:tc>
      </w:tr>
      <w:tr w:rsidR="00687746" w:rsidRPr="000E2E4A" w:rsidTr="009325FD">
        <w:tc>
          <w:tcPr>
            <w:tcW w:w="539"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6</w:t>
            </w:r>
          </w:p>
        </w:tc>
        <w:tc>
          <w:tcPr>
            <w:tcW w:w="3964" w:type="dxa"/>
          </w:tcPr>
          <w:p w:rsidR="00687746" w:rsidRPr="000E2E4A" w:rsidRDefault="00687746" w:rsidP="009325FD">
            <w:pPr>
              <w:rPr>
                <w:rFonts w:ascii="Arial" w:hAnsi="Arial" w:cs="Arial"/>
                <w:sz w:val="18"/>
                <w:szCs w:val="18"/>
              </w:rPr>
            </w:pPr>
            <w:r w:rsidRPr="000E2E4A">
              <w:rPr>
                <w:rFonts w:ascii="Arial" w:hAnsi="Arial" w:cs="Arial"/>
                <w:sz w:val="18"/>
                <w:szCs w:val="18"/>
              </w:rPr>
              <w:t>Number of projects sponsored by NHS Golden Jubilee approved in year</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10</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4</w:t>
            </w:r>
          </w:p>
        </w:tc>
        <w:tc>
          <w:tcPr>
            <w:tcW w:w="1748" w:type="dxa"/>
            <w:shd w:val="clear" w:color="auto" w:fill="auto"/>
          </w:tcPr>
          <w:p w:rsidR="00687746" w:rsidRPr="000E2E4A" w:rsidRDefault="00687746" w:rsidP="009325FD">
            <w:pPr>
              <w:rPr>
                <w:rFonts w:ascii="Arial" w:hAnsi="Arial" w:cs="Arial"/>
                <w:sz w:val="18"/>
                <w:szCs w:val="18"/>
              </w:rPr>
            </w:pPr>
            <w:r w:rsidRPr="000E2E4A">
              <w:rPr>
                <w:rFonts w:ascii="Arial" w:hAnsi="Arial" w:cs="Arial"/>
                <w:sz w:val="18"/>
                <w:szCs w:val="18"/>
              </w:rPr>
              <w:t>8</w:t>
            </w:r>
          </w:p>
          <w:p w:rsidR="00687746" w:rsidRPr="000E2E4A" w:rsidRDefault="00687746" w:rsidP="009325FD">
            <w:pPr>
              <w:rPr>
                <w:rFonts w:ascii="Arial" w:hAnsi="Arial" w:cs="Arial"/>
                <w:sz w:val="18"/>
                <w:szCs w:val="18"/>
              </w:rPr>
            </w:pPr>
          </w:p>
        </w:tc>
      </w:tr>
      <w:tr w:rsidR="00687746" w:rsidRPr="000E2E4A" w:rsidTr="009325FD">
        <w:tc>
          <w:tcPr>
            <w:tcW w:w="539" w:type="dxa"/>
            <w:shd w:val="clear" w:color="auto" w:fill="00B0F0"/>
          </w:tcPr>
          <w:p w:rsidR="00687746" w:rsidRPr="000E2E4A" w:rsidRDefault="00687746" w:rsidP="009325FD">
            <w:pPr>
              <w:rPr>
                <w:rFonts w:ascii="Arial" w:hAnsi="Arial" w:cs="Arial"/>
                <w:sz w:val="18"/>
                <w:szCs w:val="18"/>
              </w:rPr>
            </w:pPr>
            <w:r w:rsidRPr="000E2E4A">
              <w:rPr>
                <w:rFonts w:ascii="Arial" w:hAnsi="Arial" w:cs="Arial"/>
                <w:sz w:val="18"/>
                <w:szCs w:val="18"/>
              </w:rPr>
              <w:t>7</w:t>
            </w:r>
          </w:p>
        </w:tc>
        <w:tc>
          <w:tcPr>
            <w:tcW w:w="3964" w:type="dxa"/>
          </w:tcPr>
          <w:p w:rsidR="00687746" w:rsidRPr="000E2E4A" w:rsidRDefault="00687746" w:rsidP="009325FD">
            <w:pPr>
              <w:rPr>
                <w:rFonts w:ascii="Arial" w:hAnsi="Arial" w:cs="Arial"/>
                <w:sz w:val="18"/>
                <w:szCs w:val="18"/>
              </w:rPr>
            </w:pPr>
            <w:r w:rsidRPr="000E2E4A">
              <w:rPr>
                <w:rFonts w:ascii="Arial" w:hAnsi="Arial" w:cs="Arial"/>
                <w:sz w:val="18"/>
                <w:szCs w:val="18"/>
              </w:rPr>
              <w:t>Number of Principal Investigators</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30</w:t>
            </w:r>
          </w:p>
        </w:tc>
        <w:tc>
          <w:tcPr>
            <w:tcW w:w="1748" w:type="dxa"/>
          </w:tcPr>
          <w:p w:rsidR="00687746" w:rsidRPr="000E2E4A" w:rsidRDefault="00687746" w:rsidP="009325FD">
            <w:pPr>
              <w:rPr>
                <w:rFonts w:ascii="Arial" w:hAnsi="Arial" w:cs="Arial"/>
                <w:sz w:val="18"/>
                <w:szCs w:val="18"/>
              </w:rPr>
            </w:pPr>
            <w:r w:rsidRPr="000E2E4A">
              <w:rPr>
                <w:rFonts w:ascii="Arial" w:hAnsi="Arial" w:cs="Arial"/>
                <w:sz w:val="18"/>
                <w:szCs w:val="18"/>
              </w:rPr>
              <w:t>29</w:t>
            </w:r>
          </w:p>
          <w:p w:rsidR="00687746" w:rsidRPr="000E2E4A" w:rsidRDefault="00687746" w:rsidP="009325FD">
            <w:pPr>
              <w:rPr>
                <w:rFonts w:ascii="Arial" w:hAnsi="Arial" w:cs="Arial"/>
                <w:sz w:val="18"/>
                <w:szCs w:val="18"/>
              </w:rPr>
            </w:pPr>
          </w:p>
        </w:tc>
        <w:tc>
          <w:tcPr>
            <w:tcW w:w="1748" w:type="dxa"/>
            <w:shd w:val="clear" w:color="auto" w:fill="auto"/>
          </w:tcPr>
          <w:p w:rsidR="00687746" w:rsidRPr="000E2E4A" w:rsidRDefault="00687746" w:rsidP="009325FD">
            <w:pPr>
              <w:rPr>
                <w:rFonts w:ascii="Arial" w:hAnsi="Arial" w:cs="Arial"/>
                <w:sz w:val="18"/>
                <w:szCs w:val="18"/>
              </w:rPr>
            </w:pPr>
            <w:r w:rsidRPr="000E2E4A">
              <w:rPr>
                <w:rFonts w:ascii="Arial" w:hAnsi="Arial" w:cs="Arial"/>
                <w:sz w:val="18"/>
                <w:szCs w:val="18"/>
              </w:rPr>
              <w:t>39</w:t>
            </w:r>
          </w:p>
        </w:tc>
      </w:tr>
    </w:tbl>
    <w:p w:rsidR="00687746" w:rsidRDefault="00687746" w:rsidP="00687746"/>
    <w:p w:rsidR="00687746" w:rsidRDefault="00687746" w:rsidP="00687746"/>
    <w:p w:rsidR="00687746" w:rsidRDefault="00687746" w:rsidP="00687746">
      <w:bookmarkStart w:id="25" w:name="_Toc17372342"/>
      <w:bookmarkStart w:id="26" w:name="_Toc164670166"/>
      <w:bookmarkEnd w:id="7"/>
      <w:bookmarkEnd w:id="8"/>
      <w:bookmarkEnd w:id="9"/>
      <w:bookmarkEnd w:id="10"/>
      <w:bookmarkEnd w:id="11"/>
      <w:bookmarkEnd w:id="12"/>
      <w:bookmarkEnd w:id="13"/>
      <w:r w:rsidRPr="001E4861">
        <w:rPr>
          <w:b/>
        </w:rPr>
        <w:t xml:space="preserve">RAG </w:t>
      </w:r>
      <w:r>
        <w:rPr>
          <w:b/>
        </w:rPr>
        <w:t>key</w:t>
      </w:r>
    </w:p>
    <w:tbl>
      <w:tblPr>
        <w:tblStyle w:val="TableGrid"/>
        <w:tblW w:w="0" w:type="auto"/>
        <w:tblLook w:val="04A0" w:firstRow="1" w:lastRow="0" w:firstColumn="1" w:lastColumn="0" w:noHBand="0" w:noVBand="1"/>
      </w:tblPr>
      <w:tblGrid>
        <w:gridCol w:w="2376"/>
        <w:gridCol w:w="2127"/>
      </w:tblGrid>
      <w:tr w:rsidR="00687746" w:rsidRPr="000E2E4A" w:rsidTr="009325FD">
        <w:tc>
          <w:tcPr>
            <w:tcW w:w="2376" w:type="dxa"/>
          </w:tcPr>
          <w:p w:rsidR="00687746" w:rsidRPr="000E2E4A" w:rsidRDefault="00687746" w:rsidP="009325FD">
            <w:pPr>
              <w:rPr>
                <w:rFonts w:ascii="Arial" w:hAnsi="Arial" w:cs="Arial"/>
              </w:rPr>
            </w:pPr>
            <w:r w:rsidRPr="000E2E4A">
              <w:rPr>
                <w:rFonts w:ascii="Arial" w:hAnsi="Arial" w:cs="Arial"/>
              </w:rPr>
              <w:t xml:space="preserve">100% or above </w:t>
            </w:r>
          </w:p>
        </w:tc>
        <w:tc>
          <w:tcPr>
            <w:tcW w:w="2127" w:type="dxa"/>
            <w:shd w:val="clear" w:color="auto" w:fill="00B050"/>
          </w:tcPr>
          <w:p w:rsidR="00687746" w:rsidRPr="000E2E4A" w:rsidRDefault="00687746" w:rsidP="009325FD">
            <w:pPr>
              <w:rPr>
                <w:rFonts w:ascii="Arial" w:hAnsi="Arial" w:cs="Arial"/>
              </w:rPr>
            </w:pPr>
          </w:p>
        </w:tc>
      </w:tr>
      <w:tr w:rsidR="00687746" w:rsidRPr="000E2E4A" w:rsidTr="009325FD">
        <w:tc>
          <w:tcPr>
            <w:tcW w:w="2376" w:type="dxa"/>
          </w:tcPr>
          <w:p w:rsidR="00687746" w:rsidRPr="000E2E4A" w:rsidRDefault="00687746" w:rsidP="009325FD">
            <w:pPr>
              <w:rPr>
                <w:rFonts w:ascii="Arial" w:hAnsi="Arial" w:cs="Arial"/>
              </w:rPr>
            </w:pPr>
            <w:r w:rsidRPr="000E2E4A">
              <w:rPr>
                <w:rFonts w:ascii="Arial" w:hAnsi="Arial" w:cs="Arial"/>
              </w:rPr>
              <w:t xml:space="preserve">Between 50 and 99% </w:t>
            </w:r>
          </w:p>
        </w:tc>
        <w:tc>
          <w:tcPr>
            <w:tcW w:w="2127" w:type="dxa"/>
            <w:shd w:val="clear" w:color="auto" w:fill="FFC000"/>
          </w:tcPr>
          <w:p w:rsidR="00687746" w:rsidRPr="000E2E4A" w:rsidRDefault="00687746" w:rsidP="009325FD">
            <w:pPr>
              <w:rPr>
                <w:rFonts w:ascii="Arial" w:hAnsi="Arial" w:cs="Arial"/>
              </w:rPr>
            </w:pPr>
          </w:p>
        </w:tc>
      </w:tr>
      <w:tr w:rsidR="00687746" w:rsidRPr="000E2E4A" w:rsidTr="009325FD">
        <w:tc>
          <w:tcPr>
            <w:tcW w:w="2376" w:type="dxa"/>
          </w:tcPr>
          <w:p w:rsidR="00687746" w:rsidRPr="000E2E4A" w:rsidRDefault="00687746" w:rsidP="009325FD">
            <w:pPr>
              <w:rPr>
                <w:rFonts w:ascii="Arial" w:hAnsi="Arial" w:cs="Arial"/>
              </w:rPr>
            </w:pPr>
            <w:r w:rsidRPr="000E2E4A">
              <w:rPr>
                <w:rFonts w:ascii="Arial" w:hAnsi="Arial" w:cs="Arial"/>
              </w:rPr>
              <w:t xml:space="preserve">Between 1 and 49% </w:t>
            </w:r>
          </w:p>
        </w:tc>
        <w:tc>
          <w:tcPr>
            <w:tcW w:w="2127" w:type="dxa"/>
            <w:shd w:val="clear" w:color="auto" w:fill="FF0000"/>
          </w:tcPr>
          <w:p w:rsidR="00687746" w:rsidRPr="000E2E4A" w:rsidRDefault="00687746" w:rsidP="009325FD">
            <w:pPr>
              <w:rPr>
                <w:rFonts w:ascii="Arial" w:hAnsi="Arial" w:cs="Arial"/>
              </w:rPr>
            </w:pPr>
          </w:p>
        </w:tc>
      </w:tr>
    </w:tbl>
    <w:p w:rsidR="00687746" w:rsidRDefault="00687746" w:rsidP="00687746"/>
    <w:p w:rsidR="00687746" w:rsidRDefault="00687746" w:rsidP="00687746">
      <w:pPr>
        <w:rPr>
          <w:b/>
          <w:bCs/>
          <w:sz w:val="26"/>
          <w:szCs w:val="26"/>
        </w:rPr>
      </w:pPr>
    </w:p>
    <w:p w:rsidR="00687746" w:rsidRDefault="00687746" w:rsidP="00687746">
      <w:pPr>
        <w:rPr>
          <w:b/>
          <w:bCs/>
          <w:sz w:val="26"/>
          <w:szCs w:val="26"/>
        </w:rPr>
      </w:pPr>
      <w:r>
        <w:br w:type="page"/>
      </w:r>
    </w:p>
    <w:p w:rsidR="00687746" w:rsidRDefault="00687746" w:rsidP="00687746">
      <w:pPr>
        <w:pStyle w:val="Heading3"/>
      </w:pPr>
      <w:r>
        <w:lastRenderedPageBreak/>
        <w:t>KPI 1</w:t>
      </w:r>
      <w:r w:rsidRPr="001B7B32">
        <w:t>:</w:t>
      </w:r>
      <w:bookmarkEnd w:id="25"/>
      <w:r>
        <w:t xml:space="preserve"> Research project approvals</w:t>
      </w:r>
      <w:bookmarkEnd w:id="26"/>
    </w:p>
    <w:p w:rsidR="00687746" w:rsidRDefault="00687746" w:rsidP="00687746"/>
    <w:p w:rsidR="00687746" w:rsidRDefault="00687746" w:rsidP="00687746">
      <w:r>
        <w:t xml:space="preserve">The target for Q4, 24/25 was 10. </w:t>
      </w:r>
      <w:proofErr w:type="gramStart"/>
      <w:r>
        <w:t>ten</w:t>
      </w:r>
      <w:proofErr w:type="gramEnd"/>
      <w:r>
        <w:t xml:space="preserve"> projects were approved. This section provides details for each project. Note that the information is from the lay summary section of each ethics application. </w:t>
      </w:r>
      <w:r w:rsidRPr="0022234B">
        <w:t xml:space="preserve"> </w:t>
      </w:r>
    </w:p>
    <w:p w:rsidR="00687746" w:rsidRDefault="00687746" w:rsidP="00687746">
      <w:pPr>
        <w:pBdr>
          <w:bottom w:val="single" w:sz="4" w:space="1" w:color="auto"/>
        </w:pBdr>
      </w:pPr>
    </w:p>
    <w:p w:rsidR="00687746" w:rsidRDefault="00687746" w:rsidP="00687746"/>
    <w:p w:rsidR="00687746" w:rsidRPr="00744449" w:rsidRDefault="00687746" w:rsidP="00687746">
      <w:r>
        <w:rPr>
          <w:b/>
        </w:rPr>
        <w:t>24/CARD/11</w:t>
      </w:r>
      <w:r w:rsidRPr="00744449">
        <w:rPr>
          <w:b/>
        </w:rPr>
        <w:t xml:space="preserve"> </w:t>
      </w:r>
      <w:r w:rsidRPr="00744449">
        <w:t xml:space="preserve">– </w:t>
      </w:r>
      <w:r>
        <w:t>PROSERA-Ext</w:t>
      </w:r>
      <w:r w:rsidRPr="00744449">
        <w:t xml:space="preserve"> - An Open-label Extension Study Evaluating the Long-term Safety and Efficacy of </w:t>
      </w:r>
      <w:proofErr w:type="spellStart"/>
      <w:r w:rsidRPr="00744449">
        <w:t>Seralutinib</w:t>
      </w:r>
      <w:proofErr w:type="spellEnd"/>
      <w:r w:rsidRPr="00744449">
        <w:t xml:space="preserve"> Orally </w:t>
      </w:r>
      <w:proofErr w:type="gramStart"/>
      <w:r w:rsidRPr="00744449">
        <w:t>Inhaled</w:t>
      </w:r>
      <w:proofErr w:type="gramEnd"/>
      <w:r w:rsidRPr="00744449">
        <w:t xml:space="preserve"> for the Treatment of Pulmonary Arterial Hypertension (PAH).</w:t>
      </w:r>
    </w:p>
    <w:p w:rsidR="00687746" w:rsidRPr="00744449" w:rsidRDefault="00687746" w:rsidP="00687746"/>
    <w:p w:rsidR="00687746" w:rsidRPr="00744449" w:rsidRDefault="00687746" w:rsidP="00687746">
      <w:r w:rsidRPr="00744449">
        <w:t xml:space="preserve">PI – </w:t>
      </w:r>
      <w:r>
        <w:t>Colin Church</w:t>
      </w:r>
      <w:r w:rsidRPr="00744449">
        <w:t xml:space="preserve">; </w:t>
      </w:r>
      <w:r>
        <w:t>SPVU</w:t>
      </w:r>
      <w:r w:rsidRPr="00744449">
        <w:t xml:space="preserve"> Research Delivery Team, site target recruitment is </w:t>
      </w:r>
      <w:r>
        <w:t>2</w:t>
      </w:r>
      <w:r w:rsidRPr="00744449">
        <w:t>.</w:t>
      </w:r>
    </w:p>
    <w:p w:rsidR="00687746" w:rsidRPr="00744449" w:rsidRDefault="00687746" w:rsidP="00687746"/>
    <w:p w:rsidR="00687746" w:rsidRPr="00744449" w:rsidRDefault="00687746" w:rsidP="00687746">
      <w:r w:rsidRPr="00744449">
        <w:t xml:space="preserve">Sponsor – </w:t>
      </w:r>
      <w:r>
        <w:t>GB002, Inc</w:t>
      </w:r>
      <w:r w:rsidRPr="00744449">
        <w:t>.</w:t>
      </w:r>
    </w:p>
    <w:p w:rsidR="00687746" w:rsidRPr="00744449" w:rsidRDefault="00687746" w:rsidP="00687746"/>
    <w:p w:rsidR="00687746" w:rsidRPr="00744449" w:rsidRDefault="00687746" w:rsidP="00687746">
      <w:pPr>
        <w:autoSpaceDE w:val="0"/>
        <w:autoSpaceDN w:val="0"/>
        <w:adjustRightInd w:val="0"/>
      </w:pPr>
      <w:r w:rsidRPr="00744449">
        <w:t xml:space="preserve">This is an open-label, single-arm study to evaluate the long-term safety, tolerability, and efficacy of orally inhaled </w:t>
      </w:r>
      <w:proofErr w:type="spellStart"/>
      <w:r w:rsidRPr="00744449">
        <w:t>seralutinib</w:t>
      </w:r>
      <w:proofErr w:type="spellEnd"/>
      <w:r w:rsidRPr="00744449">
        <w:t xml:space="preserve"> in</w:t>
      </w:r>
      <w:r>
        <w:t xml:space="preserve"> </w:t>
      </w:r>
      <w:r w:rsidRPr="00744449">
        <w:t>subjects with Pulmonary Arterial Hypertension (PAH). PAH is a progressive, ultimately fatal disease that affects the daily activity and</w:t>
      </w:r>
      <w:r>
        <w:t xml:space="preserve"> </w:t>
      </w:r>
      <w:r w:rsidRPr="00744449">
        <w:t xml:space="preserve">quality of life of patients. The purpose of this study is to examine the effects of </w:t>
      </w:r>
      <w:proofErr w:type="spellStart"/>
      <w:r w:rsidRPr="00744449">
        <w:t>seralutinib</w:t>
      </w:r>
      <w:proofErr w:type="spellEnd"/>
      <w:r w:rsidRPr="00744449">
        <w:t xml:space="preserve"> in patients who have already completed a “blinded” clinical trial (in which the effects of </w:t>
      </w:r>
      <w:proofErr w:type="spellStart"/>
      <w:r w:rsidRPr="00744449">
        <w:t>seralutinib</w:t>
      </w:r>
      <w:proofErr w:type="spellEnd"/>
      <w:r w:rsidRPr="00744449">
        <w:t xml:space="preserve"> are compared to a placebo). This Phase 3 study is supported by data from the Phase 2 TORREY study, in which participants taking existing therapy for PAH were randomised to receive </w:t>
      </w:r>
      <w:proofErr w:type="spellStart"/>
      <w:r w:rsidRPr="00744449">
        <w:t>seralutinib</w:t>
      </w:r>
      <w:proofErr w:type="spellEnd"/>
      <w:r w:rsidRPr="00744449">
        <w:t xml:space="preserve"> or placebo for 24 weeks. The TORREY study demonstrated a statistically significant</w:t>
      </w:r>
      <w:r>
        <w:t xml:space="preserve"> i</w:t>
      </w:r>
      <w:r w:rsidRPr="00744449">
        <w:t>mprovement in its primary endpoint, pulmonary vascular resistance (PVR).</w:t>
      </w:r>
    </w:p>
    <w:p w:rsidR="00687746" w:rsidRPr="00744449" w:rsidRDefault="00687746" w:rsidP="00687746">
      <w:pPr>
        <w:autoSpaceDE w:val="0"/>
        <w:autoSpaceDN w:val="0"/>
        <w:adjustRightInd w:val="0"/>
      </w:pPr>
    </w:p>
    <w:p w:rsidR="00687746" w:rsidRPr="00744449" w:rsidRDefault="00687746" w:rsidP="00687746">
      <w:pPr>
        <w:autoSpaceDE w:val="0"/>
        <w:autoSpaceDN w:val="0"/>
        <w:adjustRightInd w:val="0"/>
      </w:pPr>
      <w:proofErr w:type="spellStart"/>
      <w:r w:rsidRPr="00744449">
        <w:t>Seralutinib</w:t>
      </w:r>
      <w:proofErr w:type="spellEnd"/>
      <w:r w:rsidRPr="00744449">
        <w:t xml:space="preserve"> was formulated to be inhaled so that it is delivered right where it is needed. This also means the amount of medication in</w:t>
      </w:r>
      <w:r>
        <w:t xml:space="preserve"> </w:t>
      </w:r>
      <w:r w:rsidRPr="00744449">
        <w:t xml:space="preserve">the body is reduced. This study includes a treatment period with regular visits to the clinic (10 visits in the first year and every 16 weeks after that), and a follow-up visit 4 weeks after end of treatment. The study treatment is a powder that is inhaled with a dry powder inhaler device, taken twice daily. At the end of the study patients are asked to complete a User Survey to evaluate ease of use and satisfaction with the study medication. The follow-up period will begin at the end of study visit. The total number of participants to be enrolled is expected to be approximately 300 but will depend on the number of participants completing a previous </w:t>
      </w:r>
      <w:proofErr w:type="spellStart"/>
      <w:r w:rsidRPr="00744449">
        <w:t>seralutinib</w:t>
      </w:r>
      <w:proofErr w:type="spellEnd"/>
      <w:r w:rsidRPr="00744449">
        <w:t xml:space="preserve"> study who are eligible and consent to participate in this OLE study</w:t>
      </w:r>
    </w:p>
    <w:p w:rsidR="00687746" w:rsidRPr="00744449" w:rsidRDefault="00687746" w:rsidP="00687746">
      <w:pPr>
        <w:autoSpaceDE w:val="0"/>
        <w:autoSpaceDN w:val="0"/>
        <w:adjustRightInd w:val="0"/>
      </w:pPr>
    </w:p>
    <w:p w:rsidR="00687746" w:rsidRPr="00744449" w:rsidRDefault="00687746" w:rsidP="00687746">
      <w:pPr>
        <w:autoSpaceDE w:val="0"/>
        <w:autoSpaceDN w:val="0"/>
        <w:adjustRightInd w:val="0"/>
      </w:pPr>
      <w:r w:rsidRPr="00744449">
        <w:t>The study involves procedures including physical examinations, vital signs, ECG, Six Minute Walk Test (6MWT), and pulmonary</w:t>
      </w:r>
      <w:r>
        <w:t xml:space="preserve"> </w:t>
      </w:r>
      <w:r w:rsidRPr="00744449">
        <w:t>function tests. Some patients may also receive additional CT-scans of their chest.</w:t>
      </w:r>
    </w:p>
    <w:p w:rsidR="00687746" w:rsidRDefault="00687746" w:rsidP="00687746">
      <w:pPr>
        <w:pBdr>
          <w:bottom w:val="single" w:sz="4" w:space="1" w:color="auto"/>
        </w:pBdr>
        <w:rPr>
          <w:b/>
          <w:highlight w:val="yellow"/>
        </w:rPr>
      </w:pPr>
    </w:p>
    <w:p w:rsidR="00687746" w:rsidRDefault="00687746" w:rsidP="00687746">
      <w:pPr>
        <w:rPr>
          <w:b/>
          <w:highlight w:val="yellow"/>
        </w:rPr>
      </w:pPr>
    </w:p>
    <w:p w:rsidR="00687746" w:rsidRPr="00121BFA" w:rsidRDefault="00687746" w:rsidP="00687746">
      <w:r w:rsidRPr="00121BFA">
        <w:rPr>
          <w:b/>
        </w:rPr>
        <w:t xml:space="preserve">24/CARD/18 </w:t>
      </w:r>
      <w:r w:rsidRPr="00121BFA">
        <w:t>– STICH3-BCIS4</w:t>
      </w:r>
      <w:r>
        <w:t xml:space="preserve"> </w:t>
      </w:r>
      <w:r w:rsidRPr="00121BFA">
        <w:t>- A multicentre randomised trial of surgical versus percutaneous revascularisation of ischaemic left ventricular dysfunction (</w:t>
      </w:r>
      <w:proofErr w:type="spellStart"/>
      <w:r w:rsidRPr="00121BFA">
        <w:t>iLVSD</w:t>
      </w:r>
      <w:proofErr w:type="spellEnd"/>
      <w:r w:rsidRPr="00121BFA">
        <w:t>) in the United Kingdom, with embedded internal pilot and health economic analysis</w:t>
      </w:r>
      <w:r>
        <w:t>.</w:t>
      </w:r>
    </w:p>
    <w:p w:rsidR="00687746" w:rsidRPr="00121BFA" w:rsidRDefault="00687746" w:rsidP="00687746"/>
    <w:p w:rsidR="00687746" w:rsidRPr="00121BFA" w:rsidRDefault="00687746" w:rsidP="00687746">
      <w:r w:rsidRPr="00121BFA">
        <w:t xml:space="preserve">PI – </w:t>
      </w:r>
      <w:proofErr w:type="spellStart"/>
      <w:r>
        <w:t>Aadil</w:t>
      </w:r>
      <w:proofErr w:type="spellEnd"/>
      <w:r>
        <w:t xml:space="preserve"> </w:t>
      </w:r>
      <w:proofErr w:type="spellStart"/>
      <w:r>
        <w:t>Shaukut</w:t>
      </w:r>
      <w:proofErr w:type="spellEnd"/>
      <w:r w:rsidRPr="00121BFA">
        <w:t xml:space="preserve">; </w:t>
      </w:r>
      <w:r>
        <w:t>Interventional Cardiology</w:t>
      </w:r>
      <w:r w:rsidRPr="00121BFA">
        <w:t xml:space="preserve"> Research Delivery Team; site target recruitment target is 2</w:t>
      </w:r>
      <w:r>
        <w:t>8</w:t>
      </w:r>
      <w:r w:rsidRPr="00121BFA">
        <w:t>.</w:t>
      </w:r>
    </w:p>
    <w:p w:rsidR="00687746" w:rsidRPr="00121BFA" w:rsidRDefault="00687746" w:rsidP="00687746"/>
    <w:p w:rsidR="00687746" w:rsidRPr="00121BFA" w:rsidRDefault="00687746" w:rsidP="00687746">
      <w:r w:rsidRPr="00121BFA">
        <w:t xml:space="preserve">Sponsor – </w:t>
      </w:r>
      <w:r>
        <w:t>University of Leicester</w:t>
      </w:r>
      <w:r w:rsidRPr="00121BFA">
        <w:t>.</w:t>
      </w:r>
    </w:p>
    <w:p w:rsidR="00687746" w:rsidRPr="00121BFA" w:rsidRDefault="00687746" w:rsidP="00687746"/>
    <w:p w:rsidR="00687746" w:rsidRDefault="00687746" w:rsidP="00687746">
      <w:pPr>
        <w:autoSpaceDE w:val="0"/>
        <w:autoSpaceDN w:val="0"/>
        <w:adjustRightInd w:val="0"/>
      </w:pPr>
      <w:r w:rsidRPr="00121BFA">
        <w:t>Heart failure affects 1-2% of the population and is increasing in prevalence due to a growing, ageing, more sedentary</w:t>
      </w:r>
      <w:r>
        <w:t xml:space="preserve"> </w:t>
      </w:r>
      <w:r w:rsidRPr="00121BFA">
        <w:t>population, and improved management of heart attacks. Heart failure causes severe, debilitating symptoms, high</w:t>
      </w:r>
      <w:r>
        <w:t xml:space="preserve"> </w:t>
      </w:r>
      <w:r w:rsidRPr="00121BFA">
        <w:t>rates of mortality, frequent long hospitalisations, and costs the NHS £2 billion per year (2% of the total NHS budget).</w:t>
      </w:r>
      <w:r>
        <w:t xml:space="preserve"> </w:t>
      </w:r>
      <w:r w:rsidRPr="00121BFA">
        <w:t xml:space="preserve">Coronary artery disease (CAD) is </w:t>
      </w:r>
      <w:r w:rsidRPr="00121BFA">
        <w:lastRenderedPageBreak/>
        <w:t>the most common cause of heart failure, responsible for 52% of cases in patients</w:t>
      </w:r>
      <w:r>
        <w:t xml:space="preserve"> </w:t>
      </w:r>
      <w:r w:rsidRPr="00121BFA">
        <w:t>under 75 years of age, and is the primary cause of heart failure where the heart is not pumping sufficient blood.</w:t>
      </w:r>
    </w:p>
    <w:p w:rsidR="00687746" w:rsidRPr="00121BFA" w:rsidRDefault="00687746" w:rsidP="00687746">
      <w:pPr>
        <w:autoSpaceDE w:val="0"/>
        <w:autoSpaceDN w:val="0"/>
        <w:adjustRightInd w:val="0"/>
      </w:pPr>
    </w:p>
    <w:p w:rsidR="00687746" w:rsidRDefault="00687746" w:rsidP="00687746">
      <w:pPr>
        <w:autoSpaceDE w:val="0"/>
        <w:autoSpaceDN w:val="0"/>
        <w:adjustRightInd w:val="0"/>
      </w:pPr>
      <w:r w:rsidRPr="00121BFA">
        <w:t>We are comparing two treatments to restore blood flow to the part of the heart where flow is limited or blocked:</w:t>
      </w:r>
      <w:r>
        <w:t xml:space="preserve"> </w:t>
      </w:r>
      <w:r w:rsidRPr="00121BFA">
        <w:t>Percutaneous coronary intervention (PCI)</w:t>
      </w:r>
      <w:r>
        <w:t xml:space="preserve"> </w:t>
      </w:r>
      <w:r w:rsidRPr="00121BFA">
        <w:t>- a minimally-invasive procedure that restores blood flow from the inside.</w:t>
      </w:r>
      <w:r>
        <w:t xml:space="preserve"> </w:t>
      </w:r>
      <w:r w:rsidRPr="00121BFA">
        <w:t>Coronary artery bypass (CABG) - surgery where a bypass (detour) is created around a blocked section of an artery.</w:t>
      </w:r>
    </w:p>
    <w:p w:rsidR="00687746" w:rsidRPr="00121BFA" w:rsidRDefault="00687746" w:rsidP="00687746">
      <w:pPr>
        <w:autoSpaceDE w:val="0"/>
        <w:autoSpaceDN w:val="0"/>
        <w:adjustRightInd w:val="0"/>
      </w:pPr>
    </w:p>
    <w:p w:rsidR="00687746" w:rsidRDefault="00687746" w:rsidP="00687746">
      <w:pPr>
        <w:autoSpaceDE w:val="0"/>
        <w:autoSpaceDN w:val="0"/>
        <w:adjustRightInd w:val="0"/>
      </w:pPr>
      <w:r w:rsidRPr="00121BFA">
        <w:t>Both PCI and CABG are currently offered to patients in the NHS. This trial aims to understand which type of procedure</w:t>
      </w:r>
      <w:r>
        <w:t xml:space="preserve"> </w:t>
      </w:r>
      <w:r w:rsidRPr="00121BFA">
        <w:t>is better for patients with ischaemic left ventricular dysfunction (</w:t>
      </w:r>
      <w:proofErr w:type="spellStart"/>
      <w:r w:rsidRPr="00121BFA">
        <w:t>iLVSD</w:t>
      </w:r>
      <w:proofErr w:type="spellEnd"/>
      <w:r w:rsidRPr="00121BFA">
        <w:t>) plus CAD, which type will lead to a better quality</w:t>
      </w:r>
      <w:r>
        <w:t xml:space="preserve"> </w:t>
      </w:r>
      <w:r w:rsidRPr="00121BFA">
        <w:t>of life for the patient and which is better resource-wise for the NHS.</w:t>
      </w:r>
    </w:p>
    <w:p w:rsidR="00687746" w:rsidRPr="00121BFA" w:rsidRDefault="00687746" w:rsidP="00687746">
      <w:pPr>
        <w:pBdr>
          <w:bottom w:val="single" w:sz="4" w:space="1" w:color="auto"/>
        </w:pBdr>
        <w:autoSpaceDE w:val="0"/>
        <w:autoSpaceDN w:val="0"/>
        <w:adjustRightInd w:val="0"/>
      </w:pPr>
    </w:p>
    <w:p w:rsidR="00687746" w:rsidRPr="00012232" w:rsidRDefault="00687746" w:rsidP="00687746">
      <w:pPr>
        <w:rPr>
          <w:highlight w:val="yellow"/>
        </w:rPr>
      </w:pPr>
    </w:p>
    <w:p w:rsidR="00687746" w:rsidRPr="006B2798" w:rsidRDefault="00687746" w:rsidP="00687746">
      <w:r w:rsidRPr="006B2798">
        <w:rPr>
          <w:b/>
        </w:rPr>
        <w:t xml:space="preserve">23/CARD/13 – </w:t>
      </w:r>
      <w:r w:rsidRPr="006B2798">
        <w:t>TRICS IV</w:t>
      </w:r>
      <w:r w:rsidRPr="006B2798">
        <w:rPr>
          <w:b/>
        </w:rPr>
        <w:t xml:space="preserve"> - </w:t>
      </w:r>
      <w:r w:rsidRPr="006B2798">
        <w:t>Transfusion Requirements in Younger Patients Undergoing Cardiac Surgery.</w:t>
      </w:r>
    </w:p>
    <w:p w:rsidR="00687746" w:rsidRPr="006B2798" w:rsidRDefault="00687746" w:rsidP="00687746"/>
    <w:p w:rsidR="00687746" w:rsidRPr="006B2798" w:rsidRDefault="00687746" w:rsidP="00687746">
      <w:r w:rsidRPr="006B2798">
        <w:t xml:space="preserve">PI – </w:t>
      </w:r>
      <w:r>
        <w:t>Nawwar Al-Attar</w:t>
      </w:r>
      <w:r w:rsidRPr="006B2798">
        <w:t xml:space="preserve">; </w:t>
      </w:r>
      <w:r>
        <w:t>Cardiac Surgery</w:t>
      </w:r>
      <w:r w:rsidRPr="006B2798">
        <w:t xml:space="preserve"> Research Delivery Team, site recruitment target is </w:t>
      </w:r>
      <w:r>
        <w:t>15</w:t>
      </w:r>
      <w:r w:rsidRPr="006B2798">
        <w:t>.</w:t>
      </w:r>
    </w:p>
    <w:p w:rsidR="00687746" w:rsidRPr="006B2798" w:rsidRDefault="00687746" w:rsidP="00687746"/>
    <w:p w:rsidR="00687746" w:rsidRDefault="00687746" w:rsidP="00687746">
      <w:r w:rsidRPr="006B2798">
        <w:t xml:space="preserve">Sponsor – </w:t>
      </w:r>
      <w:r>
        <w:t>St Michael’s Hospital and Mount Sinai Hospital</w:t>
      </w:r>
      <w:r w:rsidRPr="006B2798">
        <w:t>.</w:t>
      </w:r>
    </w:p>
    <w:p w:rsidR="00687746" w:rsidRPr="006B2798" w:rsidRDefault="00687746" w:rsidP="00687746"/>
    <w:p w:rsidR="00687746" w:rsidRDefault="00687746" w:rsidP="00687746">
      <w:pPr>
        <w:autoSpaceDE w:val="0"/>
        <w:autoSpaceDN w:val="0"/>
        <w:adjustRightInd w:val="0"/>
      </w:pPr>
      <w:r w:rsidRPr="006B2798">
        <w:t>Heart surgery is one of the most frequent surgical procedures and 50% of patients having heart surgery are &lt;65 years</w:t>
      </w:r>
      <w:r>
        <w:t xml:space="preserve"> </w:t>
      </w:r>
      <w:r w:rsidRPr="006B2798">
        <w:t>of age. During heart surgery, the use of a heart-lung machine and blood loss typically leads to anaemia. Anaemia</w:t>
      </w:r>
      <w:r>
        <w:t xml:space="preserve"> </w:t>
      </w:r>
      <w:r w:rsidRPr="006B2798">
        <w:t>occurs when there are lower than normal levels of red blood cells (RBCs) and haemoglobin, which carries oxygen to</w:t>
      </w:r>
      <w:r>
        <w:t xml:space="preserve"> </w:t>
      </w:r>
      <w:r w:rsidRPr="006B2798">
        <w:t>the rest of the body so that it can remain healthy and work properly. Anaemia could potentially lead to heart attack,</w:t>
      </w:r>
      <w:r>
        <w:t xml:space="preserve"> </w:t>
      </w:r>
      <w:r w:rsidRPr="006B2798">
        <w:t>kidney failure, stroke, or death.</w:t>
      </w:r>
    </w:p>
    <w:p w:rsidR="00687746" w:rsidRPr="006B2798" w:rsidRDefault="00687746" w:rsidP="00687746">
      <w:pPr>
        <w:autoSpaceDE w:val="0"/>
        <w:autoSpaceDN w:val="0"/>
        <w:adjustRightInd w:val="0"/>
      </w:pPr>
    </w:p>
    <w:p w:rsidR="00687746" w:rsidRDefault="00687746" w:rsidP="00687746">
      <w:pPr>
        <w:autoSpaceDE w:val="0"/>
        <w:autoSpaceDN w:val="0"/>
        <w:adjustRightInd w:val="0"/>
      </w:pPr>
      <w:r w:rsidRPr="006B2798">
        <w:t>To lower the risks associated with anaemia during and after heart surgery, there is a very high chance that patients will</w:t>
      </w:r>
      <w:r>
        <w:t xml:space="preserve"> </w:t>
      </w:r>
      <w:r w:rsidRPr="006B2798">
        <w:t>need to receive a red blood cell transfusion</w:t>
      </w:r>
      <w:r>
        <w:t>.</w:t>
      </w:r>
      <w:r w:rsidRPr="006B2798">
        <w:t xml:space="preserve"> </w:t>
      </w:r>
    </w:p>
    <w:p w:rsidR="00687746" w:rsidRPr="006B2798" w:rsidRDefault="00687746" w:rsidP="00687746">
      <w:pPr>
        <w:autoSpaceDE w:val="0"/>
        <w:autoSpaceDN w:val="0"/>
        <w:adjustRightInd w:val="0"/>
      </w:pPr>
    </w:p>
    <w:p w:rsidR="00687746" w:rsidRDefault="00687746" w:rsidP="00687746">
      <w:pPr>
        <w:autoSpaceDE w:val="0"/>
        <w:autoSpaceDN w:val="0"/>
        <w:adjustRightInd w:val="0"/>
      </w:pPr>
      <w:r w:rsidRPr="006B2798">
        <w:t>A similar trial (TRICS III) was recently completed. It included about 5000 patients aged &gt;18 years undergoing heart</w:t>
      </w:r>
      <w:r>
        <w:t xml:space="preserve"> </w:t>
      </w:r>
      <w:r w:rsidRPr="006B2798">
        <w:t>surgery using the heart-lung machine, comparing the restrictive transfusion strategy to the liberal transfusion strategy.</w:t>
      </w:r>
      <w:r>
        <w:t xml:space="preserve"> </w:t>
      </w:r>
      <w:r w:rsidRPr="006B2798">
        <w:t>The results of this study showed that the restrictive transfusion strategy was favoured in elderly patients, but we don’t</w:t>
      </w:r>
      <w:r>
        <w:t xml:space="preserve"> </w:t>
      </w:r>
      <w:r w:rsidRPr="006B2798">
        <w:t>know yet which transfusion strategy is best for younger patients.</w:t>
      </w:r>
    </w:p>
    <w:p w:rsidR="00687746" w:rsidRPr="006B2798" w:rsidRDefault="00687746" w:rsidP="00687746">
      <w:pPr>
        <w:autoSpaceDE w:val="0"/>
        <w:autoSpaceDN w:val="0"/>
        <w:adjustRightInd w:val="0"/>
      </w:pPr>
    </w:p>
    <w:p w:rsidR="00687746" w:rsidRPr="006B2798" w:rsidRDefault="00687746" w:rsidP="00687746">
      <w:pPr>
        <w:autoSpaceDE w:val="0"/>
        <w:autoSpaceDN w:val="0"/>
        <w:adjustRightInd w:val="0"/>
      </w:pPr>
      <w:r w:rsidRPr="006B2798">
        <w:t>TRICS IV will help us see if there is a difference in health outcomes in patients between the ages of 18-65 who receive</w:t>
      </w:r>
      <w:r>
        <w:t xml:space="preserve"> </w:t>
      </w:r>
      <w:r w:rsidRPr="006B2798">
        <w:t>red blood cell transfusions based on the ‘liberal’ versus ‘restrictive’ transfusion strategies. The ’restrictive’ strategy will</w:t>
      </w:r>
      <w:r>
        <w:t xml:space="preserve"> </w:t>
      </w:r>
      <w:r w:rsidRPr="006B2798">
        <w:t>use a lower haemoglobin level, and the ‘liberal’ strategy will use a higher haemoglobin level for transfusion triggers. If</w:t>
      </w:r>
      <w:r>
        <w:t xml:space="preserve"> </w:t>
      </w:r>
      <w:r w:rsidRPr="006B2798">
        <w:t>a restrictive transfusion strategy in younger patients might lead to harm, a study is needed to make sure that these</w:t>
      </w:r>
      <w:r>
        <w:t xml:space="preserve"> </w:t>
      </w:r>
      <w:r w:rsidRPr="006B2798">
        <w:t>patients are given a transfusion at an appropriate haemoglobin level. If younger patients are not experiencing harm</w:t>
      </w:r>
      <w:r>
        <w:t xml:space="preserve"> </w:t>
      </w:r>
      <w:r w:rsidRPr="006B2798">
        <w:t>rom a restrictive transfusion strategy, then they should not be exposed to the risk of being transfused unnecessarily.</w:t>
      </w:r>
    </w:p>
    <w:p w:rsidR="00687746" w:rsidRPr="00012232" w:rsidRDefault="00687746" w:rsidP="00687746">
      <w:pPr>
        <w:pBdr>
          <w:bottom w:val="single" w:sz="4" w:space="1" w:color="auto"/>
        </w:pBdr>
        <w:rPr>
          <w:highlight w:val="yellow"/>
        </w:rPr>
      </w:pPr>
    </w:p>
    <w:p w:rsidR="00687746" w:rsidRPr="00012232" w:rsidRDefault="00687746" w:rsidP="00687746">
      <w:pPr>
        <w:rPr>
          <w:highlight w:val="yellow"/>
        </w:rPr>
      </w:pPr>
    </w:p>
    <w:p w:rsidR="00687746" w:rsidRDefault="00687746" w:rsidP="00687746">
      <w:r w:rsidRPr="00E402A3">
        <w:rPr>
          <w:b/>
        </w:rPr>
        <w:t xml:space="preserve">23/CARD/22 – </w:t>
      </w:r>
      <w:r w:rsidRPr="00E402A3">
        <w:t>F-</w:t>
      </w:r>
      <w:proofErr w:type="spellStart"/>
      <w:r w:rsidRPr="00E402A3">
        <w:t>CUSToS</w:t>
      </w:r>
      <w:proofErr w:type="spellEnd"/>
      <w:r w:rsidRPr="00E402A3">
        <w:t xml:space="preserve"> </w:t>
      </w:r>
      <w:r>
        <w:t xml:space="preserve">- </w:t>
      </w:r>
      <w:r w:rsidRPr="00E402A3">
        <w:t xml:space="preserve">Feasibility study for Randomised Controlled Trial of </w:t>
      </w:r>
      <w:proofErr w:type="spellStart"/>
      <w:r w:rsidRPr="00E402A3">
        <w:t>Custodiol</w:t>
      </w:r>
      <w:proofErr w:type="spellEnd"/>
      <w:r w:rsidRPr="00E402A3">
        <w:t xml:space="preserve">-HTK vs St Thomas’ solution for </w:t>
      </w:r>
      <w:proofErr w:type="spellStart"/>
      <w:r w:rsidRPr="00E402A3">
        <w:t>cardioplegia</w:t>
      </w:r>
      <w:proofErr w:type="spellEnd"/>
      <w:r w:rsidRPr="00E402A3">
        <w:t xml:space="preserve"> and cold static storage of UK donor hearts in cardiac transplantation</w:t>
      </w:r>
      <w:r>
        <w:t>.</w:t>
      </w:r>
    </w:p>
    <w:p w:rsidR="00687746" w:rsidRPr="00012232" w:rsidRDefault="00687746" w:rsidP="00687746">
      <w:pPr>
        <w:rPr>
          <w:highlight w:val="yellow"/>
        </w:rPr>
      </w:pPr>
    </w:p>
    <w:p w:rsidR="00687746" w:rsidRPr="00E402A3" w:rsidRDefault="00687746" w:rsidP="00687746">
      <w:r w:rsidRPr="00E402A3">
        <w:t xml:space="preserve">PI – </w:t>
      </w:r>
      <w:r>
        <w:t>Philip Curry</w:t>
      </w:r>
      <w:r w:rsidRPr="00E402A3">
        <w:t xml:space="preserve">: </w:t>
      </w:r>
      <w:r>
        <w:t>Cardiac Surgery</w:t>
      </w:r>
      <w:r w:rsidRPr="00E402A3">
        <w:t xml:space="preserve"> Research Delivery Group; site recruitment target is </w:t>
      </w:r>
      <w:r>
        <w:t>8</w:t>
      </w:r>
      <w:r w:rsidRPr="00E402A3">
        <w:t>.</w:t>
      </w:r>
    </w:p>
    <w:p w:rsidR="00687746" w:rsidRPr="00E402A3" w:rsidRDefault="00687746" w:rsidP="00687746"/>
    <w:p w:rsidR="00687746" w:rsidRPr="00E402A3" w:rsidRDefault="00687746" w:rsidP="00687746">
      <w:r w:rsidRPr="00E402A3">
        <w:lastRenderedPageBreak/>
        <w:t xml:space="preserve">Sponsor – </w:t>
      </w:r>
      <w:r>
        <w:t>Royal Papworth Hospital NHS Foundation Trust</w:t>
      </w:r>
      <w:r w:rsidRPr="00E402A3">
        <w:t>.</w:t>
      </w:r>
    </w:p>
    <w:p w:rsidR="00687746" w:rsidRPr="00012232" w:rsidRDefault="00687746" w:rsidP="00687746">
      <w:pPr>
        <w:rPr>
          <w:highlight w:val="yellow"/>
        </w:rPr>
      </w:pPr>
    </w:p>
    <w:p w:rsidR="00687746" w:rsidRDefault="00687746" w:rsidP="00687746">
      <w:pPr>
        <w:autoSpaceDE w:val="0"/>
        <w:autoSpaceDN w:val="0"/>
        <w:adjustRightInd w:val="0"/>
      </w:pPr>
      <w:r w:rsidRPr="00E402A3">
        <w:t>Background: Donor hearts are injected with a preservative fluid to protect them during transport to the transplant recipient. Currently,</w:t>
      </w:r>
      <w:r>
        <w:t xml:space="preserve"> </w:t>
      </w:r>
      <w:r w:rsidRPr="00E402A3">
        <w:t xml:space="preserve">there are two different fluids used for this purpose in the UK, St Thomas’ solution and </w:t>
      </w:r>
      <w:proofErr w:type="spellStart"/>
      <w:r w:rsidRPr="00E402A3">
        <w:t>Custodiol</w:t>
      </w:r>
      <w:proofErr w:type="spellEnd"/>
      <w:r w:rsidRPr="00E402A3">
        <w:t>-HTK. St Thomas’ is the standard</w:t>
      </w:r>
      <w:r>
        <w:t xml:space="preserve"> </w:t>
      </w:r>
      <w:r w:rsidRPr="00E402A3">
        <w:t xml:space="preserve">fluid used in most UK transplants. Some animal studies and data from previous transplants have suggested that </w:t>
      </w:r>
      <w:proofErr w:type="spellStart"/>
      <w:r w:rsidRPr="00E402A3">
        <w:t>Custodiol</w:t>
      </w:r>
      <w:proofErr w:type="spellEnd"/>
      <w:r w:rsidRPr="00E402A3">
        <w:t>-HTK may</w:t>
      </w:r>
      <w:r>
        <w:t xml:space="preserve"> </w:t>
      </w:r>
      <w:r w:rsidRPr="00E402A3">
        <w:t>preserve the heart better. However, we do not know if this is true, because no one has ever tested this in a controlled way in</w:t>
      </w:r>
      <w:r>
        <w:t xml:space="preserve"> </w:t>
      </w:r>
      <w:r w:rsidRPr="00E402A3">
        <w:t>humans.</w:t>
      </w:r>
    </w:p>
    <w:p w:rsidR="00687746" w:rsidRPr="00E402A3" w:rsidRDefault="00687746" w:rsidP="00687746">
      <w:pPr>
        <w:autoSpaceDE w:val="0"/>
        <w:autoSpaceDN w:val="0"/>
        <w:adjustRightInd w:val="0"/>
      </w:pPr>
    </w:p>
    <w:p w:rsidR="00687746" w:rsidRDefault="00687746" w:rsidP="00687746">
      <w:pPr>
        <w:autoSpaceDE w:val="0"/>
        <w:autoSpaceDN w:val="0"/>
        <w:adjustRightInd w:val="0"/>
      </w:pPr>
      <w:r w:rsidRPr="00E402A3">
        <w:t>Aims: We aim to conduct a randomised controlled trial (RCT) - the gold standard in research - to compare the two fluids. To test</w:t>
      </w:r>
      <w:r>
        <w:t xml:space="preserve"> </w:t>
      </w:r>
      <w:r w:rsidRPr="00E402A3">
        <w:t>whether there is truly a difference, we need to collect data from around 450 patients. This will take a long time. Therefore, we first</w:t>
      </w:r>
      <w:r>
        <w:t xml:space="preserve"> </w:t>
      </w:r>
      <w:r w:rsidRPr="00E402A3">
        <w:t>want to test if enough patients will consent to take part in the study to make it realistically possible. This is called a feasibility study.</w:t>
      </w:r>
    </w:p>
    <w:p w:rsidR="00687746" w:rsidRPr="00E402A3" w:rsidRDefault="00687746" w:rsidP="00687746">
      <w:pPr>
        <w:autoSpaceDE w:val="0"/>
        <w:autoSpaceDN w:val="0"/>
        <w:adjustRightInd w:val="0"/>
      </w:pPr>
    </w:p>
    <w:p w:rsidR="00687746" w:rsidRDefault="00687746" w:rsidP="00687746">
      <w:pPr>
        <w:autoSpaceDE w:val="0"/>
        <w:autoSpaceDN w:val="0"/>
        <w:adjustRightInd w:val="0"/>
      </w:pPr>
      <w:r w:rsidRPr="00E402A3">
        <w:t>Methods: We intend to ask all UK heart transplant recipients whether they wish to be involved in the trial. If they do, we will randomly</w:t>
      </w:r>
      <w:r>
        <w:t xml:space="preserve"> </w:t>
      </w:r>
      <w:r w:rsidRPr="00E402A3">
        <w:t xml:space="preserve">allocate hearts to receive either </w:t>
      </w:r>
      <w:proofErr w:type="spellStart"/>
      <w:r w:rsidRPr="00E402A3">
        <w:t>Custodiol</w:t>
      </w:r>
      <w:proofErr w:type="spellEnd"/>
      <w:r w:rsidRPr="00E402A3">
        <w:t>-HTK or St Thomas' solution before they are transplanted. We will do this for 50 hearts,</w:t>
      </w:r>
      <w:r>
        <w:t xml:space="preserve"> </w:t>
      </w:r>
      <w:r w:rsidRPr="00E402A3">
        <w:t>which should take less than 1 year. The primary aim of the project is to see if more than two-thirds of eligible heart transplant</w:t>
      </w:r>
      <w:r>
        <w:t xml:space="preserve"> </w:t>
      </w:r>
      <w:r w:rsidRPr="00E402A3">
        <w:t>recipients consent to take part and go on to receive a heart that has been correctly randomised.</w:t>
      </w:r>
    </w:p>
    <w:p w:rsidR="00687746" w:rsidRPr="00E402A3" w:rsidRDefault="00687746" w:rsidP="00687746">
      <w:pPr>
        <w:autoSpaceDE w:val="0"/>
        <w:autoSpaceDN w:val="0"/>
        <w:adjustRightInd w:val="0"/>
      </w:pPr>
    </w:p>
    <w:p w:rsidR="00687746" w:rsidRDefault="00687746" w:rsidP="00687746">
      <w:pPr>
        <w:autoSpaceDE w:val="0"/>
        <w:autoSpaceDN w:val="0"/>
        <w:adjustRightInd w:val="0"/>
      </w:pPr>
      <w:r w:rsidRPr="00E402A3">
        <w:t>Benefits: We believe that by conducting this feasibility study we can prove that it is possible to conduct the RCT. We believe that by</w:t>
      </w:r>
      <w:r>
        <w:t xml:space="preserve"> </w:t>
      </w:r>
      <w:r w:rsidRPr="00E402A3">
        <w:t>conducting the RCT we can finally answer the question: “Which preservative fluid should we use in heart transplantation?” and, if</w:t>
      </w:r>
      <w:r>
        <w:t xml:space="preserve"> </w:t>
      </w:r>
      <w:r w:rsidRPr="00E402A3">
        <w:t>one is shown to be better, change practice in the UK, saving the lives of transplant recipients.</w:t>
      </w:r>
    </w:p>
    <w:p w:rsidR="00687746" w:rsidRPr="00E402A3" w:rsidRDefault="00687746" w:rsidP="00687746">
      <w:pPr>
        <w:pBdr>
          <w:bottom w:val="single" w:sz="4" w:space="1" w:color="auto"/>
        </w:pBdr>
        <w:autoSpaceDE w:val="0"/>
        <w:autoSpaceDN w:val="0"/>
        <w:adjustRightInd w:val="0"/>
      </w:pPr>
    </w:p>
    <w:p w:rsidR="00687746" w:rsidRPr="00012232" w:rsidRDefault="00687746" w:rsidP="00687746">
      <w:pPr>
        <w:rPr>
          <w:highlight w:val="yellow"/>
        </w:rPr>
      </w:pPr>
    </w:p>
    <w:p w:rsidR="00687746" w:rsidRPr="00012232" w:rsidRDefault="00687746" w:rsidP="00687746">
      <w:pPr>
        <w:rPr>
          <w:highlight w:val="yellow"/>
        </w:rPr>
      </w:pPr>
      <w:r w:rsidRPr="00641158">
        <w:rPr>
          <w:b/>
        </w:rPr>
        <w:t xml:space="preserve">24/CARD/10 – </w:t>
      </w:r>
      <w:r w:rsidRPr="00641158">
        <w:t xml:space="preserve">CRAAFT-HF: </w:t>
      </w:r>
      <w:proofErr w:type="spellStart"/>
      <w:r w:rsidRPr="00641158">
        <w:t>Cryoballoon</w:t>
      </w:r>
      <w:proofErr w:type="spellEnd"/>
      <w:r w:rsidRPr="00641158">
        <w:t>/Radiofrequency Ablation of Atrial Fibrillation versus Medical Treatment for Heart Failure</w:t>
      </w:r>
    </w:p>
    <w:p w:rsidR="00687746" w:rsidRPr="00012232" w:rsidRDefault="00687746" w:rsidP="00687746">
      <w:pPr>
        <w:rPr>
          <w:highlight w:val="yellow"/>
        </w:rPr>
      </w:pPr>
    </w:p>
    <w:p w:rsidR="00687746" w:rsidRPr="00641158" w:rsidRDefault="00687746" w:rsidP="00687746">
      <w:r w:rsidRPr="00641158">
        <w:t xml:space="preserve">PI – </w:t>
      </w:r>
      <w:r>
        <w:t>Roy Gardner</w:t>
      </w:r>
      <w:r w:rsidRPr="00641158">
        <w:t xml:space="preserve">; </w:t>
      </w:r>
      <w:r>
        <w:t>Interventional Cardiology</w:t>
      </w:r>
      <w:r w:rsidRPr="00641158">
        <w:t xml:space="preserve"> Research Delivery Group; site recruitment target is </w:t>
      </w:r>
      <w:r>
        <w:t>84</w:t>
      </w:r>
      <w:r w:rsidRPr="00641158">
        <w:t>.</w:t>
      </w:r>
    </w:p>
    <w:p w:rsidR="00687746" w:rsidRPr="00641158" w:rsidRDefault="00687746" w:rsidP="00687746"/>
    <w:p w:rsidR="00687746" w:rsidRPr="00641158" w:rsidRDefault="00687746" w:rsidP="00687746">
      <w:r w:rsidRPr="00641158">
        <w:t xml:space="preserve">Sponsor – </w:t>
      </w:r>
      <w:r>
        <w:t>University College London</w:t>
      </w:r>
      <w:r w:rsidRPr="00641158">
        <w:t>.</w:t>
      </w:r>
    </w:p>
    <w:p w:rsidR="00687746" w:rsidRPr="00641158" w:rsidRDefault="00687746" w:rsidP="00687746"/>
    <w:p w:rsidR="00687746" w:rsidRDefault="00687746" w:rsidP="00687746">
      <w:pPr>
        <w:autoSpaceDE w:val="0"/>
        <w:autoSpaceDN w:val="0"/>
        <w:adjustRightInd w:val="0"/>
      </w:pPr>
      <w:r w:rsidRPr="00641158">
        <w:t>Atrial fibrillation (AF) is a common heart rhythm disorder that causes an irregular heart beat and is a cause of heart</w:t>
      </w:r>
      <w:r>
        <w:t xml:space="preserve"> </w:t>
      </w:r>
      <w:r w:rsidRPr="00641158">
        <w:t>failure (HF). Treatments include drugs to slow the heart rate, anti-arrhythmic drugs or ablation of the heart to help</w:t>
      </w:r>
      <w:r>
        <w:t xml:space="preserve"> </w:t>
      </w:r>
      <w:r w:rsidRPr="00641158">
        <w:t>preserve normal rhythm. A number of trials have suggested that ablation may be superior to drug treatment to reduce</w:t>
      </w:r>
      <w:r>
        <w:t xml:space="preserve"> </w:t>
      </w:r>
      <w:r w:rsidRPr="00641158">
        <w:t>hospitalisations or prevent early death. However, these studies have been small and the results not applicable to the</w:t>
      </w:r>
      <w:r>
        <w:t xml:space="preserve"> </w:t>
      </w:r>
      <w:r w:rsidRPr="00641158">
        <w:t>general population with AF and heart failure in the UK. This international study will compare optimal medical therapy</w:t>
      </w:r>
      <w:r>
        <w:t xml:space="preserve"> </w:t>
      </w:r>
      <w:r w:rsidRPr="00641158">
        <w:t>with catheter ablation versus optimal medical therapy alone to see if catheter ablation reduces unplanned heart failure</w:t>
      </w:r>
      <w:r>
        <w:t xml:space="preserve"> </w:t>
      </w:r>
      <w:r w:rsidRPr="00641158">
        <w:t>hospitalisations and death rates and improves quality of life.</w:t>
      </w:r>
    </w:p>
    <w:p w:rsidR="00687746" w:rsidRPr="00641158" w:rsidRDefault="00687746" w:rsidP="00687746">
      <w:pPr>
        <w:pBdr>
          <w:bottom w:val="single" w:sz="4" w:space="1" w:color="auto"/>
        </w:pBdr>
        <w:autoSpaceDE w:val="0"/>
        <w:autoSpaceDN w:val="0"/>
        <w:adjustRightInd w:val="0"/>
      </w:pPr>
    </w:p>
    <w:p w:rsidR="00687746" w:rsidRPr="00012232" w:rsidRDefault="00687746" w:rsidP="00687746">
      <w:pPr>
        <w:rPr>
          <w:highlight w:val="yellow"/>
        </w:rPr>
      </w:pPr>
    </w:p>
    <w:p w:rsidR="00687746" w:rsidRPr="00012232" w:rsidRDefault="00687746" w:rsidP="00687746">
      <w:pPr>
        <w:rPr>
          <w:highlight w:val="yellow"/>
        </w:rPr>
      </w:pPr>
      <w:r w:rsidRPr="00E3319B">
        <w:rPr>
          <w:b/>
        </w:rPr>
        <w:t>23/ORTH/03 -</w:t>
      </w:r>
      <w:r w:rsidRPr="00E3319B">
        <w:t xml:space="preserve"> OPAL - Occupational support for Patients undergoing Arthro</w:t>
      </w:r>
      <w:r>
        <w:t>plasty of the Lower limb trial.</w:t>
      </w:r>
    </w:p>
    <w:p w:rsidR="00687746" w:rsidRPr="00012232" w:rsidRDefault="00687746" w:rsidP="00687746">
      <w:pPr>
        <w:rPr>
          <w:highlight w:val="yellow"/>
        </w:rPr>
      </w:pPr>
    </w:p>
    <w:p w:rsidR="00687746" w:rsidRPr="00E3319B" w:rsidRDefault="00687746" w:rsidP="00687746">
      <w:r w:rsidRPr="00E3319B">
        <w:t xml:space="preserve">PI – </w:t>
      </w:r>
      <w:r>
        <w:t>Swati Chopra</w:t>
      </w:r>
      <w:r w:rsidRPr="00E3319B">
        <w:t xml:space="preserve">; </w:t>
      </w:r>
      <w:r>
        <w:t>Orthopaedic Surgery</w:t>
      </w:r>
      <w:r w:rsidRPr="00E3319B">
        <w:t xml:space="preserve"> Research Delivery Team; site recruitment target is 40.</w:t>
      </w:r>
    </w:p>
    <w:p w:rsidR="00687746" w:rsidRPr="00E3319B" w:rsidRDefault="00687746" w:rsidP="00687746"/>
    <w:p w:rsidR="00687746" w:rsidRPr="00E3319B" w:rsidRDefault="00687746" w:rsidP="00687746">
      <w:r w:rsidRPr="00E3319B">
        <w:t xml:space="preserve">Sponsor – </w:t>
      </w:r>
      <w:r>
        <w:t>South Tees Hospitals NHS Foundation Trust</w:t>
      </w:r>
      <w:r w:rsidRPr="00E3319B">
        <w:t>.</w:t>
      </w:r>
    </w:p>
    <w:p w:rsidR="00687746" w:rsidRPr="00E3319B" w:rsidRDefault="00687746" w:rsidP="00687746"/>
    <w:p w:rsidR="00687746" w:rsidRDefault="00687746" w:rsidP="00687746">
      <w:pPr>
        <w:autoSpaceDE w:val="0"/>
        <w:autoSpaceDN w:val="0"/>
        <w:adjustRightInd w:val="0"/>
      </w:pPr>
      <w:r w:rsidRPr="003A7D0A">
        <w:lastRenderedPageBreak/>
        <w:t>Hip and knee joint replacements relieve pain and improve function in patients with arthritis. One in four patients are in</w:t>
      </w:r>
      <w:r>
        <w:t xml:space="preserve"> </w:t>
      </w:r>
      <w:r w:rsidRPr="003A7D0A">
        <w:t>work at the time of their hip or knee replacement surgery, equivalent to 50,000 people in the UK each year. Many</w:t>
      </w:r>
      <w:r>
        <w:t xml:space="preserve"> </w:t>
      </w:r>
      <w:r w:rsidRPr="003A7D0A">
        <w:t>patients get back to work after surgery, however, the time this takes varies considerably. A lengthy recovery time can</w:t>
      </w:r>
      <w:r>
        <w:t xml:space="preserve"> </w:t>
      </w:r>
      <w:r w:rsidRPr="003A7D0A">
        <w:t>affect patients’ physical and mental wellbeing. Patients receive little or no return-to-work support from their hospital or</w:t>
      </w:r>
      <w:r>
        <w:t xml:space="preserve"> </w:t>
      </w:r>
      <w:r w:rsidRPr="003A7D0A">
        <w:t>GP specific to their individual needs and work situation. As part of an earlier research study we developed an</w:t>
      </w:r>
      <w:r>
        <w:t xml:space="preserve"> </w:t>
      </w:r>
      <w:r w:rsidRPr="003A7D0A">
        <w:t>‘occupational’ (back-to- work) programme (known as OPAL) that supports return-to-work after surgery. We now need to</w:t>
      </w:r>
      <w:r>
        <w:t xml:space="preserve"> </w:t>
      </w:r>
      <w:r w:rsidRPr="003A7D0A">
        <w:t>assess whether this is effective in supporting a timely, safe and sustained return-to-work.</w:t>
      </w:r>
    </w:p>
    <w:p w:rsidR="00687746" w:rsidRPr="003A7D0A" w:rsidRDefault="00687746" w:rsidP="00687746">
      <w:pPr>
        <w:autoSpaceDE w:val="0"/>
        <w:autoSpaceDN w:val="0"/>
        <w:adjustRightInd w:val="0"/>
      </w:pPr>
    </w:p>
    <w:p w:rsidR="00687746" w:rsidRDefault="00687746" w:rsidP="00687746">
      <w:pPr>
        <w:autoSpaceDE w:val="0"/>
        <w:autoSpaceDN w:val="0"/>
        <w:adjustRightInd w:val="0"/>
      </w:pPr>
      <w:r w:rsidRPr="003A7D0A">
        <w:t>The OPAL occupational support programme provides personalised, targeted support for people in a range of jobs. As</w:t>
      </w:r>
      <w:r>
        <w:t xml:space="preserve"> </w:t>
      </w:r>
      <w:r w:rsidRPr="003A7D0A">
        <w:t>part of the programme, patients receive a variety of resources to help them plan their return-to-work. This includes</w:t>
      </w:r>
      <w:r>
        <w:t xml:space="preserve"> </w:t>
      </w:r>
      <w:r w:rsidRPr="003A7D0A">
        <w:t>access to a trained co-ordinator who helps and supports them before and after surgery. We will compare the OPAL</w:t>
      </w:r>
      <w:r>
        <w:t xml:space="preserve"> </w:t>
      </w:r>
      <w:r w:rsidRPr="003A7D0A">
        <w:t>occupational support programme against standard care.</w:t>
      </w:r>
    </w:p>
    <w:p w:rsidR="00687746" w:rsidRPr="003A7D0A" w:rsidRDefault="00687746" w:rsidP="00687746">
      <w:pPr>
        <w:autoSpaceDE w:val="0"/>
        <w:autoSpaceDN w:val="0"/>
        <w:adjustRightInd w:val="0"/>
      </w:pPr>
    </w:p>
    <w:p w:rsidR="00687746" w:rsidRDefault="00687746" w:rsidP="00687746">
      <w:pPr>
        <w:autoSpaceDE w:val="0"/>
        <w:autoSpaceDN w:val="0"/>
        <w:adjustRightInd w:val="0"/>
        <w:rPr>
          <w:rFonts w:ascii="ArialMT" w:hAnsi="ArialMT" w:cs="ArialMT"/>
          <w:sz w:val="18"/>
          <w:szCs w:val="18"/>
        </w:rPr>
      </w:pPr>
      <w:r w:rsidRPr="003A7D0A">
        <w:t>All adults listed for elective primary hip or knee replacement from a minimum of 14 UK hospitals, who are in paid or</w:t>
      </w:r>
      <w:r>
        <w:t xml:space="preserve"> </w:t>
      </w:r>
      <w:r w:rsidRPr="003A7D0A">
        <w:t>unpaid work, will be invited to take part. Consenting participants will then be randomly assigned (using a computer) to</w:t>
      </w:r>
      <w:r>
        <w:t xml:space="preserve"> </w:t>
      </w:r>
      <w:r w:rsidRPr="003A7D0A">
        <w:t>receive either the OPAL programme or standard care. We aim to recruit 742 participants over 15 months. We will ask</w:t>
      </w:r>
      <w:r>
        <w:t xml:space="preserve"> </w:t>
      </w:r>
      <w:r w:rsidRPr="003A7D0A">
        <w:t>participants to complete questionnaires for 12 months following surgery in relation to when and how they return to</w:t>
      </w:r>
      <w:r>
        <w:t xml:space="preserve"> </w:t>
      </w:r>
      <w:r w:rsidRPr="003A7D0A">
        <w:t>work, and their normal activities. From these, we will understand if the OPAL programme helps to reduce the length of</w:t>
      </w:r>
      <w:r>
        <w:t xml:space="preserve"> </w:t>
      </w:r>
      <w:r w:rsidRPr="003A7D0A">
        <w:t>time until full, sustained return-to-work. We will find</w:t>
      </w:r>
      <w:r>
        <w:t xml:space="preserve"> </w:t>
      </w:r>
      <w:r w:rsidRPr="009B1B0E">
        <w:rPr>
          <w:rFonts w:cs="Arial"/>
          <w:sz w:val="20"/>
        </w:rPr>
        <w:t>out if the cost of care differs between the two groups, to determine whether one is better value for money for the NHS.</w:t>
      </w:r>
    </w:p>
    <w:p w:rsidR="00687746" w:rsidRPr="003A7D0A" w:rsidRDefault="00687746" w:rsidP="00687746">
      <w:pPr>
        <w:pBdr>
          <w:bottom w:val="single" w:sz="4" w:space="1" w:color="auto"/>
        </w:pBdr>
        <w:autoSpaceDE w:val="0"/>
        <w:autoSpaceDN w:val="0"/>
        <w:adjustRightInd w:val="0"/>
      </w:pPr>
    </w:p>
    <w:p w:rsidR="00687746" w:rsidRPr="00012232" w:rsidRDefault="00687746" w:rsidP="00687746">
      <w:pPr>
        <w:rPr>
          <w:highlight w:val="yellow"/>
        </w:rPr>
      </w:pPr>
    </w:p>
    <w:p w:rsidR="00687746" w:rsidRPr="00712EE3" w:rsidRDefault="00687746" w:rsidP="00687746">
      <w:r w:rsidRPr="00712EE3">
        <w:rPr>
          <w:b/>
        </w:rPr>
        <w:t xml:space="preserve">23/CARD/18 </w:t>
      </w:r>
      <w:r w:rsidRPr="000E2E4A">
        <w:t>– LIMIT -</w:t>
      </w:r>
      <w:r w:rsidR="000E2E4A">
        <w:rPr>
          <w:b/>
        </w:rPr>
        <w:t xml:space="preserve"> </w:t>
      </w:r>
      <w:r w:rsidRPr="00712EE3">
        <w:t xml:space="preserve">Low INR to </w:t>
      </w:r>
      <w:proofErr w:type="gramStart"/>
      <w:r w:rsidRPr="00712EE3">
        <w:t>Minimize</w:t>
      </w:r>
      <w:proofErr w:type="gramEnd"/>
      <w:r w:rsidRPr="00712EE3">
        <w:t xml:space="preserve"> bleeding with mechanical valves Trial.</w:t>
      </w:r>
    </w:p>
    <w:p w:rsidR="00687746" w:rsidRPr="00712EE3" w:rsidRDefault="00687746" w:rsidP="00687746"/>
    <w:p w:rsidR="00687746" w:rsidRPr="00712EE3" w:rsidRDefault="00687746" w:rsidP="00687746">
      <w:r w:rsidRPr="00712EE3">
        <w:t xml:space="preserve">PI – </w:t>
      </w:r>
      <w:r>
        <w:t>Nawwar Al-Attar</w:t>
      </w:r>
      <w:r w:rsidRPr="00712EE3">
        <w:t xml:space="preserve"> – </w:t>
      </w:r>
      <w:r>
        <w:t>Cardiac Surgery</w:t>
      </w:r>
      <w:r w:rsidRPr="00712EE3">
        <w:t xml:space="preserve"> Research Delivery Team; site recruitment is </w:t>
      </w:r>
      <w:r>
        <w:t>20</w:t>
      </w:r>
      <w:r w:rsidRPr="00712EE3">
        <w:t>.</w:t>
      </w:r>
    </w:p>
    <w:p w:rsidR="00687746" w:rsidRPr="00712EE3" w:rsidRDefault="00687746" w:rsidP="00687746"/>
    <w:p w:rsidR="00687746" w:rsidRPr="00712EE3" w:rsidRDefault="00687746" w:rsidP="00687746">
      <w:r w:rsidRPr="00712EE3">
        <w:t xml:space="preserve">Sponsor – </w:t>
      </w:r>
      <w:r>
        <w:t>Hamilton Health Sciences Corporation</w:t>
      </w:r>
      <w:r w:rsidRPr="00712EE3">
        <w:t>.</w:t>
      </w:r>
    </w:p>
    <w:p w:rsidR="00687746" w:rsidRPr="00012232" w:rsidRDefault="00687746" w:rsidP="00687746">
      <w:pPr>
        <w:rPr>
          <w:highlight w:val="yellow"/>
        </w:rPr>
      </w:pPr>
    </w:p>
    <w:p w:rsidR="00687746" w:rsidRPr="00712EE3" w:rsidRDefault="00687746" w:rsidP="00687746">
      <w:pPr>
        <w:autoSpaceDE w:val="0"/>
        <w:autoSpaceDN w:val="0"/>
        <w:adjustRightInd w:val="0"/>
      </w:pPr>
      <w:r w:rsidRPr="00712EE3">
        <w:t>Heart valves control blood flow through the heart. If they are damaged, patients may need heart surgery to replace the diseased</w:t>
      </w:r>
      <w:r>
        <w:t xml:space="preserve"> </w:t>
      </w:r>
      <w:r w:rsidRPr="00712EE3">
        <w:t>valve with a mechanical valve. Mechanical heart valves require life-long blood thinners to prevent blood clots from forming. These</w:t>
      </w:r>
      <w:r>
        <w:t xml:space="preserve"> </w:t>
      </w:r>
      <w:r w:rsidRPr="00712EE3">
        <w:t>clots can cause strokes or valve failure. The only approved blood thinners for mechanical valves are vitamin K antagonists (VKA).</w:t>
      </w:r>
      <w:r>
        <w:t xml:space="preserve"> </w:t>
      </w:r>
      <w:r w:rsidRPr="00712EE3">
        <w:t>The amount of VKA that a patient takes is adjusted to achieve a degree of blood thinness called the International Normalized Ratio</w:t>
      </w:r>
    </w:p>
    <w:p w:rsidR="00687746" w:rsidRDefault="00687746" w:rsidP="00687746">
      <w:pPr>
        <w:autoSpaceDE w:val="0"/>
        <w:autoSpaceDN w:val="0"/>
        <w:adjustRightInd w:val="0"/>
      </w:pPr>
      <w:r w:rsidRPr="00712EE3">
        <w:t>(INR). If the INR is too high, the risk of bleeding is higher, while an INR that is too low increases the risk of blood clots.</w:t>
      </w:r>
      <w:r>
        <w:t xml:space="preserve"> </w:t>
      </w:r>
      <w:r w:rsidRPr="00712EE3">
        <w:t>Recommended INR targets for patients with mechanical heart valves aim to prevent blood clots while keeping the risk of bleeding</w:t>
      </w:r>
      <w:r>
        <w:t xml:space="preserve"> </w:t>
      </w:r>
      <w:r w:rsidRPr="00712EE3">
        <w:t xml:space="preserve">low, but these recommended targets are based on low quality evidence. </w:t>
      </w:r>
    </w:p>
    <w:p w:rsidR="00687746" w:rsidRDefault="00687746" w:rsidP="00687746">
      <w:pPr>
        <w:autoSpaceDE w:val="0"/>
        <w:autoSpaceDN w:val="0"/>
        <w:adjustRightInd w:val="0"/>
      </w:pPr>
    </w:p>
    <w:p w:rsidR="00687746" w:rsidRDefault="00687746" w:rsidP="00687746">
      <w:pPr>
        <w:autoSpaceDE w:val="0"/>
        <w:autoSpaceDN w:val="0"/>
        <w:adjustRightInd w:val="0"/>
      </w:pPr>
      <w:r w:rsidRPr="00712EE3">
        <w:t>Newer mechanical valves are thought to be at lower risk of</w:t>
      </w:r>
      <w:r>
        <w:t xml:space="preserve"> </w:t>
      </w:r>
      <w:r w:rsidRPr="00712EE3">
        <w:t>clot formation and may not require the INR targets to be as high as once believed. A summary of studies on higher versus lower INR</w:t>
      </w:r>
      <w:r>
        <w:t xml:space="preserve"> </w:t>
      </w:r>
      <w:r w:rsidRPr="00712EE3">
        <w:t>targets suggests that lower INR targets may prevent blood clots just as well as higher INR targets with less risk of bleeding. A large</w:t>
      </w:r>
      <w:r>
        <w:t xml:space="preserve"> </w:t>
      </w:r>
      <w:r w:rsidRPr="00712EE3">
        <w:t>study comparing a lower INR target to standard INR targets in patients with a mechanical heart valve is needed to determine the</w:t>
      </w:r>
      <w:r>
        <w:t xml:space="preserve"> </w:t>
      </w:r>
      <w:r w:rsidRPr="00712EE3">
        <w:t>optimal target. We have demonstrated conducting such a study is feasible. In the Low INR to Minimize bleeding with mechanical</w:t>
      </w:r>
      <w:r>
        <w:t xml:space="preserve"> </w:t>
      </w:r>
      <w:r w:rsidRPr="00712EE3">
        <w:t>valves Trial (LIMIT trial), patients are randomized (like the flip of a coin) to either a low INR target or to the current recommended</w:t>
      </w:r>
      <w:r>
        <w:t xml:space="preserve"> </w:t>
      </w:r>
      <w:r w:rsidRPr="00712EE3">
        <w:t>INR target. Patients who have had their aortic heart valve replaced with a mechanical valve for at least 3 months are eligible. We will</w:t>
      </w:r>
      <w:r>
        <w:t xml:space="preserve"> </w:t>
      </w:r>
      <w:proofErr w:type="spellStart"/>
      <w:r w:rsidRPr="00712EE3">
        <w:t>enroll</w:t>
      </w:r>
      <w:proofErr w:type="spellEnd"/>
      <w:r w:rsidRPr="00712EE3">
        <w:t xml:space="preserve"> 2625 patients from 30 centres internationally to evaluate the safety and efficacy of a common, </w:t>
      </w:r>
      <w:r w:rsidRPr="00712EE3">
        <w:lastRenderedPageBreak/>
        <w:t>lower INR range in patients with</w:t>
      </w:r>
      <w:r>
        <w:t xml:space="preserve"> </w:t>
      </w:r>
      <w:proofErr w:type="spellStart"/>
      <w:r w:rsidRPr="00712EE3">
        <w:t>bileaflet</w:t>
      </w:r>
      <w:proofErr w:type="spellEnd"/>
      <w:r w:rsidRPr="00712EE3">
        <w:t xml:space="preserve"> aortic mechanical valves. The LIMIT trial will increase the safety of using blood thinners in patients with mechanical heart</w:t>
      </w:r>
      <w:r>
        <w:t xml:space="preserve"> </w:t>
      </w:r>
      <w:r w:rsidRPr="00712EE3">
        <w:t>valves.</w:t>
      </w:r>
    </w:p>
    <w:p w:rsidR="00687746" w:rsidRPr="00712EE3" w:rsidRDefault="00687746" w:rsidP="00687746">
      <w:pPr>
        <w:pBdr>
          <w:bottom w:val="single" w:sz="4" w:space="1" w:color="auto"/>
        </w:pBdr>
        <w:autoSpaceDE w:val="0"/>
        <w:autoSpaceDN w:val="0"/>
        <w:adjustRightInd w:val="0"/>
      </w:pPr>
    </w:p>
    <w:p w:rsidR="00687746" w:rsidRDefault="00687746" w:rsidP="00687746">
      <w:pPr>
        <w:rPr>
          <w:b/>
          <w:highlight w:val="yellow"/>
        </w:rPr>
      </w:pPr>
    </w:p>
    <w:p w:rsidR="00687746" w:rsidRPr="005A3F5F" w:rsidRDefault="00687746" w:rsidP="00687746">
      <w:r w:rsidRPr="005A3F5F">
        <w:rPr>
          <w:b/>
        </w:rPr>
        <w:t>24/CARD/21</w:t>
      </w:r>
      <w:r>
        <w:rPr>
          <w:b/>
        </w:rPr>
        <w:t xml:space="preserve"> </w:t>
      </w:r>
      <w:r w:rsidRPr="005A3F5F">
        <w:t xml:space="preserve">- CHOICE ICD - To co-develop and test an eHealth intervention to improve knowledge, attitude and experience in patients living with </w:t>
      </w:r>
      <w:proofErr w:type="spellStart"/>
      <w:r w:rsidRPr="005A3F5F">
        <w:t>anImplantable</w:t>
      </w:r>
      <w:proofErr w:type="spellEnd"/>
      <w:r w:rsidRPr="005A3F5F">
        <w:t xml:space="preserve"> Cardioverter Defibrillator</w:t>
      </w:r>
    </w:p>
    <w:p w:rsidR="00687746" w:rsidRPr="005A3F5F" w:rsidRDefault="00687746" w:rsidP="00687746"/>
    <w:p w:rsidR="00687746" w:rsidRDefault="00687746" w:rsidP="00687746">
      <w:r w:rsidRPr="005A3F5F">
        <w:t xml:space="preserve">PI – </w:t>
      </w:r>
      <w:r>
        <w:t>Roy Gardner</w:t>
      </w:r>
      <w:r w:rsidRPr="005A3F5F">
        <w:t xml:space="preserve">; </w:t>
      </w:r>
      <w:r>
        <w:t>AHF</w:t>
      </w:r>
      <w:r w:rsidRPr="005A3F5F">
        <w:t xml:space="preserve"> Research Delivery Team; site recruitment is </w:t>
      </w:r>
      <w:r>
        <w:t>64</w:t>
      </w:r>
      <w:r w:rsidRPr="005A3F5F">
        <w:t>.</w:t>
      </w:r>
    </w:p>
    <w:p w:rsidR="00687746" w:rsidRPr="005A3F5F" w:rsidRDefault="00687746" w:rsidP="00687746"/>
    <w:p w:rsidR="00687746" w:rsidRPr="005A3F5F" w:rsidRDefault="00687746" w:rsidP="00687746">
      <w:r w:rsidRPr="005A3F5F">
        <w:t xml:space="preserve">Sponsor – </w:t>
      </w:r>
      <w:r>
        <w:t>Ulster University</w:t>
      </w:r>
      <w:r w:rsidRPr="005A3F5F">
        <w:t>.</w:t>
      </w:r>
    </w:p>
    <w:p w:rsidR="00687746" w:rsidRPr="00012232" w:rsidRDefault="00687746" w:rsidP="00687746">
      <w:pPr>
        <w:rPr>
          <w:highlight w:val="yellow"/>
        </w:rPr>
      </w:pPr>
    </w:p>
    <w:p w:rsidR="00687746" w:rsidRDefault="00687746" w:rsidP="00687746">
      <w:pPr>
        <w:autoSpaceDE w:val="0"/>
        <w:autoSpaceDN w:val="0"/>
        <w:adjustRightInd w:val="0"/>
      </w:pPr>
      <w:r w:rsidRPr="005A3F5F">
        <w:t>The role of the implantable cardioverter defibrillator (ICD) is to monitor heart rate and discharge a small electrical</w:t>
      </w:r>
      <w:r>
        <w:t xml:space="preserve"> </w:t>
      </w:r>
      <w:r w:rsidRPr="005A3F5F">
        <w:t>discharge or shock if the heart rate becomes life threatening. Previous studies have found that patients and family</w:t>
      </w:r>
      <w:r>
        <w:t xml:space="preserve"> </w:t>
      </w:r>
      <w:r w:rsidRPr="005A3F5F">
        <w:t>members have requested more information about their ICD, how it works and how to live well with the device. This</w:t>
      </w:r>
      <w:r>
        <w:t xml:space="preserve"> </w:t>
      </w:r>
      <w:r w:rsidRPr="005A3F5F">
        <w:t>study will build on this evidence by designing, in collaboration with patients, family members and professionals (PPI),</w:t>
      </w:r>
      <w:r>
        <w:t xml:space="preserve"> </w:t>
      </w:r>
      <w:r w:rsidRPr="005A3F5F">
        <w:t>an online resource (APP) to provide up to date information to reduce anxiety and improve quality of life.</w:t>
      </w:r>
    </w:p>
    <w:p w:rsidR="00687746" w:rsidRPr="005A3F5F" w:rsidRDefault="00687746" w:rsidP="00687746">
      <w:pPr>
        <w:autoSpaceDE w:val="0"/>
        <w:autoSpaceDN w:val="0"/>
        <w:adjustRightInd w:val="0"/>
      </w:pPr>
    </w:p>
    <w:p w:rsidR="00687746" w:rsidRDefault="00687746" w:rsidP="00687746">
      <w:pPr>
        <w:autoSpaceDE w:val="0"/>
        <w:autoSpaceDN w:val="0"/>
        <w:adjustRightInd w:val="0"/>
      </w:pPr>
      <w:r w:rsidRPr="005A3F5F">
        <w:t>The CHOICE-ICD APP will be easy to use with up to date information on the ICD, day to day practical advice, as well as</w:t>
      </w:r>
      <w:r>
        <w:t xml:space="preserve"> </w:t>
      </w:r>
      <w:r w:rsidRPr="005A3F5F">
        <w:t>animation clips, 2-3 minute patient videos and a virtual reality option. A total of 128 patients will be randomized to</w:t>
      </w:r>
      <w:r>
        <w:t xml:space="preserve"> </w:t>
      </w:r>
      <w:r w:rsidRPr="005A3F5F">
        <w:t>receive the intervention (Choice-ICD APP, and BHF booklet) or usual care (BHF booklet).</w:t>
      </w:r>
      <w:r>
        <w:t xml:space="preserve"> </w:t>
      </w:r>
      <w:r w:rsidRPr="005A3F5F">
        <w:t>The CHOICE-ICD APP will be made available to 64 patients awaiting or with a recently implanted ICD in Belfast and</w:t>
      </w:r>
      <w:r>
        <w:t xml:space="preserve"> </w:t>
      </w:r>
      <w:r w:rsidRPr="005A3F5F">
        <w:t>Clydebank. Patients will use the APP for 3 months, with follow-up at 3 months and 6 months. During follow-up, the</w:t>
      </w:r>
      <w:r>
        <w:t xml:space="preserve"> </w:t>
      </w:r>
      <w:r w:rsidRPr="005A3F5F">
        <w:t>patients randomised to the Choice-ICD intervention will have the option to access the VR component of the</w:t>
      </w:r>
      <w:r>
        <w:t xml:space="preserve"> </w:t>
      </w:r>
      <w:r w:rsidRPr="005A3F5F">
        <w:t>intervention. Patients and family members will be asked at each of the 3 stages to complete validated questionnaires,</w:t>
      </w:r>
      <w:r>
        <w:t xml:space="preserve"> </w:t>
      </w:r>
      <w:r w:rsidRPr="005A3F5F">
        <w:t>and at 6 months invited to share their thoughts in a focus group on the choice-ICD intervention. For example, how well</w:t>
      </w:r>
      <w:r>
        <w:t xml:space="preserve"> </w:t>
      </w:r>
      <w:r w:rsidRPr="005A3F5F">
        <w:t>the APP worked and if they would use it again. Anonymized data will be downloaded from the APP, such as the content</w:t>
      </w:r>
      <w:r>
        <w:t xml:space="preserve"> </w:t>
      </w:r>
      <w:r w:rsidRPr="005A3F5F">
        <w:t>viewed and the time spent on each topic.</w:t>
      </w:r>
    </w:p>
    <w:p w:rsidR="00687746" w:rsidRPr="005A3F5F" w:rsidRDefault="00687746" w:rsidP="00687746">
      <w:pPr>
        <w:pBdr>
          <w:bottom w:val="single" w:sz="4" w:space="1" w:color="auto"/>
        </w:pBdr>
        <w:autoSpaceDE w:val="0"/>
        <w:autoSpaceDN w:val="0"/>
        <w:adjustRightInd w:val="0"/>
      </w:pPr>
    </w:p>
    <w:p w:rsidR="00687746" w:rsidRPr="00012232" w:rsidRDefault="00687746" w:rsidP="00687746">
      <w:pPr>
        <w:rPr>
          <w:bCs/>
          <w:highlight w:val="yellow"/>
        </w:rPr>
      </w:pPr>
    </w:p>
    <w:p w:rsidR="00687746" w:rsidRDefault="00687746" w:rsidP="00687746">
      <w:pPr>
        <w:rPr>
          <w:bCs/>
        </w:rPr>
      </w:pPr>
      <w:r w:rsidRPr="005B07BC">
        <w:rPr>
          <w:b/>
          <w:bCs/>
        </w:rPr>
        <w:t>24/CARD/12</w:t>
      </w:r>
      <w:r w:rsidRPr="005B07BC">
        <w:rPr>
          <w:bCs/>
        </w:rPr>
        <w:t xml:space="preserve"> – MATRIX-2 - Monotherapy with a P2Y12 inhibitor followed by a direct-acting oral anticoagulant in patients with </w:t>
      </w:r>
      <w:proofErr w:type="spellStart"/>
      <w:proofErr w:type="gramStart"/>
      <w:r w:rsidRPr="005B07BC">
        <w:rPr>
          <w:bCs/>
        </w:rPr>
        <w:t>ATRial</w:t>
      </w:r>
      <w:proofErr w:type="spellEnd"/>
      <w:proofErr w:type="gramEnd"/>
      <w:r w:rsidRPr="005B07BC">
        <w:rPr>
          <w:bCs/>
        </w:rPr>
        <w:t xml:space="preserve"> </w:t>
      </w:r>
      <w:proofErr w:type="spellStart"/>
      <w:r w:rsidRPr="005B07BC">
        <w:rPr>
          <w:bCs/>
        </w:rPr>
        <w:t>fIbrillation</w:t>
      </w:r>
      <w:proofErr w:type="spellEnd"/>
      <w:r w:rsidRPr="005B07BC">
        <w:rPr>
          <w:bCs/>
        </w:rPr>
        <w:t xml:space="preserve"> undergoing </w:t>
      </w:r>
      <w:proofErr w:type="spellStart"/>
      <w:r w:rsidRPr="005B07BC">
        <w:rPr>
          <w:bCs/>
        </w:rPr>
        <w:t>suprafleX</w:t>
      </w:r>
      <w:proofErr w:type="spellEnd"/>
      <w:r w:rsidRPr="005B07BC">
        <w:rPr>
          <w:bCs/>
        </w:rPr>
        <w:t xml:space="preserve"> Cruz coronary stent implantation.</w:t>
      </w:r>
    </w:p>
    <w:p w:rsidR="00687746" w:rsidRDefault="00687746" w:rsidP="00687746">
      <w:pPr>
        <w:rPr>
          <w:bCs/>
        </w:rPr>
      </w:pPr>
    </w:p>
    <w:p w:rsidR="00687746" w:rsidRPr="005B07BC" w:rsidRDefault="00687746" w:rsidP="00687746">
      <w:pPr>
        <w:rPr>
          <w:bCs/>
        </w:rPr>
      </w:pPr>
      <w:r>
        <w:rPr>
          <w:bCs/>
        </w:rPr>
        <w:t>Note: this study was suspended shortly after approval because the stent is no longer used at the Jubilee. If the type of stent is changed, the study may re-open.</w:t>
      </w:r>
    </w:p>
    <w:p w:rsidR="00687746" w:rsidRPr="00012232" w:rsidRDefault="00687746" w:rsidP="00687746">
      <w:pPr>
        <w:rPr>
          <w:bCs/>
          <w:highlight w:val="yellow"/>
        </w:rPr>
      </w:pPr>
    </w:p>
    <w:p w:rsidR="00687746" w:rsidRDefault="00687746" w:rsidP="00687746">
      <w:r w:rsidRPr="005B07BC">
        <w:rPr>
          <w:bCs/>
        </w:rPr>
        <w:t>PI – Paul Rocchiccioli</w:t>
      </w:r>
      <w:r>
        <w:rPr>
          <w:bCs/>
        </w:rPr>
        <w:t xml:space="preserve"> -</w:t>
      </w:r>
      <w:r w:rsidRPr="005B07BC">
        <w:t xml:space="preserve"> </w:t>
      </w:r>
      <w:r>
        <w:t>Interventional Cardiology</w:t>
      </w:r>
      <w:r w:rsidRPr="005A3F5F">
        <w:t xml:space="preserve"> Research Delivery Team; site recruitment is </w:t>
      </w:r>
      <w:r>
        <w:t>64</w:t>
      </w:r>
    </w:p>
    <w:p w:rsidR="00687746" w:rsidRDefault="00687746" w:rsidP="00687746"/>
    <w:p w:rsidR="00687746" w:rsidRPr="005A3F5F" w:rsidRDefault="00687746" w:rsidP="00687746">
      <w:r w:rsidRPr="005A3F5F">
        <w:t xml:space="preserve">Sponsor – </w:t>
      </w:r>
      <w:proofErr w:type="spellStart"/>
      <w:r>
        <w:t>Insel</w:t>
      </w:r>
      <w:proofErr w:type="spellEnd"/>
      <w:r>
        <w:t xml:space="preserve"> </w:t>
      </w:r>
      <w:proofErr w:type="spellStart"/>
      <w:r>
        <w:t>Gruppe</w:t>
      </w:r>
      <w:proofErr w:type="spellEnd"/>
      <w:r>
        <w:t xml:space="preserve"> AG</w:t>
      </w:r>
      <w:r w:rsidRPr="005A3F5F">
        <w:t>.</w:t>
      </w:r>
    </w:p>
    <w:p w:rsidR="00687746" w:rsidRPr="005B07BC" w:rsidRDefault="00687746" w:rsidP="00687746">
      <w:pPr>
        <w:rPr>
          <w:bCs/>
        </w:rPr>
      </w:pPr>
    </w:p>
    <w:p w:rsidR="00687746" w:rsidRDefault="00687746" w:rsidP="00687746">
      <w:pPr>
        <w:pBdr>
          <w:bottom w:val="single" w:sz="4" w:space="1" w:color="auto"/>
        </w:pBdr>
        <w:autoSpaceDE w:val="0"/>
        <w:autoSpaceDN w:val="0"/>
        <w:adjustRightInd w:val="0"/>
      </w:pPr>
      <w:r w:rsidRPr="005B07BC">
        <w:t>Patients with atrial fibrillation (AF) with indication for long-term oral anticoagulation undergoing undergone successful percutaneous</w:t>
      </w:r>
      <w:r>
        <w:t xml:space="preserve"> </w:t>
      </w:r>
      <w:r w:rsidRPr="005B07BC">
        <w:t xml:space="preserve">coronary intervention (PCI) with one or more </w:t>
      </w:r>
      <w:proofErr w:type="spellStart"/>
      <w:r w:rsidRPr="005B07BC">
        <w:t>Supraflex</w:t>
      </w:r>
      <w:proofErr w:type="spellEnd"/>
      <w:r w:rsidRPr="005B07BC">
        <w:t xml:space="preserve"> Cruz stent implantation are routinely treated with a combination of</w:t>
      </w:r>
      <w:r>
        <w:t xml:space="preserve"> </w:t>
      </w:r>
      <w:r w:rsidRPr="005B07BC">
        <w:t>antithrombotic medications. In this study we would like to investigate whether treatment with a single antithrombotic drug</w:t>
      </w:r>
      <w:r>
        <w:t xml:space="preserve"> </w:t>
      </w:r>
      <w:r w:rsidRPr="005B07BC">
        <w:t>(“monotherapy strategy”) is associated with benefits compared to the currently recommended combination therapy of antithrombotic</w:t>
      </w:r>
      <w:r>
        <w:t xml:space="preserve"> </w:t>
      </w:r>
      <w:r w:rsidRPr="005B07BC">
        <w:t>medications (“standard-of-care strategy”). Participants will be randomly allocated to one of the two groups. The antithrombotic</w:t>
      </w:r>
      <w:r>
        <w:t xml:space="preserve"> </w:t>
      </w:r>
      <w:r w:rsidRPr="005B07BC">
        <w:t>treatment regimen will then be prescribed according to group assignment. All drugs used in this study are approved and used in</w:t>
      </w:r>
      <w:r>
        <w:t xml:space="preserve"> </w:t>
      </w:r>
      <w:r w:rsidRPr="005B07BC">
        <w:t>clinical practice. The duration of participation is 15</w:t>
      </w:r>
      <w:r>
        <w:t xml:space="preserve"> </w:t>
      </w:r>
      <w:r w:rsidRPr="005B07BC">
        <w:t>months. After completion of the study, the patient will receive antithrombotic therapy according to routine care.</w:t>
      </w:r>
    </w:p>
    <w:p w:rsidR="00687746" w:rsidRPr="005B07BC" w:rsidRDefault="00687746" w:rsidP="00687746">
      <w:pPr>
        <w:pBdr>
          <w:bottom w:val="single" w:sz="4" w:space="1" w:color="auto"/>
        </w:pBdr>
        <w:autoSpaceDE w:val="0"/>
        <w:autoSpaceDN w:val="0"/>
        <w:adjustRightInd w:val="0"/>
      </w:pPr>
    </w:p>
    <w:p w:rsidR="00687746" w:rsidRPr="00012232" w:rsidRDefault="00687746" w:rsidP="00687746">
      <w:pPr>
        <w:rPr>
          <w:bCs/>
          <w:highlight w:val="yellow"/>
        </w:rPr>
      </w:pPr>
    </w:p>
    <w:p w:rsidR="00687746" w:rsidRPr="00E82BC2" w:rsidRDefault="00687746" w:rsidP="00687746">
      <w:pPr>
        <w:rPr>
          <w:bCs/>
        </w:rPr>
      </w:pPr>
      <w:r w:rsidRPr="001E4CA3">
        <w:rPr>
          <w:b/>
          <w:bCs/>
        </w:rPr>
        <w:t>24/CARD/33</w:t>
      </w:r>
      <w:r w:rsidRPr="00E82BC2">
        <w:rPr>
          <w:bCs/>
        </w:rPr>
        <w:t xml:space="preserve"> - Accuracy and predictive value of echocardiography in pulmonary hypertension screening: impact of the revised haemodynamic threshold in clinical guidelines.</w:t>
      </w:r>
    </w:p>
    <w:p w:rsidR="00687746" w:rsidRPr="00E82BC2" w:rsidRDefault="00687746" w:rsidP="00687746">
      <w:pPr>
        <w:rPr>
          <w:bCs/>
        </w:rPr>
      </w:pPr>
    </w:p>
    <w:p w:rsidR="00687746" w:rsidRPr="00E82BC2" w:rsidRDefault="00687746" w:rsidP="00687746">
      <w:r w:rsidRPr="00E82BC2">
        <w:t>PI – Martin Johnson; SPVU Research Delivery Team.</w:t>
      </w:r>
    </w:p>
    <w:p w:rsidR="00687746" w:rsidRPr="00E82BC2" w:rsidRDefault="00687746" w:rsidP="00687746"/>
    <w:p w:rsidR="00687746" w:rsidRPr="00E82BC2" w:rsidRDefault="00687746" w:rsidP="00687746">
      <w:r w:rsidRPr="00E82BC2">
        <w:t>Sponsor - NHS Golden Jubilee</w:t>
      </w:r>
    </w:p>
    <w:p w:rsidR="00687746" w:rsidRPr="00012232" w:rsidRDefault="00687746" w:rsidP="00687746">
      <w:pPr>
        <w:rPr>
          <w:highlight w:val="yellow"/>
        </w:rPr>
      </w:pPr>
    </w:p>
    <w:p w:rsidR="00687746" w:rsidRDefault="00687746" w:rsidP="00687746">
      <w:pPr>
        <w:autoSpaceDE w:val="0"/>
        <w:autoSpaceDN w:val="0"/>
        <w:adjustRightInd w:val="0"/>
      </w:pPr>
      <w:r w:rsidRPr="00E82BC2">
        <w:t>Pulmonary hypertension (PH) is a condition that happens when the blood pressure in the circulation of the lungs is too</w:t>
      </w:r>
      <w:r>
        <w:t xml:space="preserve"> </w:t>
      </w:r>
      <w:r w:rsidRPr="00E82BC2">
        <w:t>high, leading to serious symptoms and irreversible damage to the heart over time. Identifying it early is key to prevent</w:t>
      </w:r>
      <w:r>
        <w:t xml:space="preserve"> </w:t>
      </w:r>
      <w:r w:rsidRPr="00E82BC2">
        <w:t>this damage and heart failure.</w:t>
      </w:r>
    </w:p>
    <w:p w:rsidR="00687746" w:rsidRPr="00E82BC2" w:rsidRDefault="00687746" w:rsidP="00687746">
      <w:pPr>
        <w:autoSpaceDE w:val="0"/>
        <w:autoSpaceDN w:val="0"/>
        <w:adjustRightInd w:val="0"/>
      </w:pPr>
    </w:p>
    <w:p w:rsidR="00687746" w:rsidRDefault="00687746" w:rsidP="00687746">
      <w:pPr>
        <w:autoSpaceDE w:val="0"/>
        <w:autoSpaceDN w:val="0"/>
        <w:adjustRightInd w:val="0"/>
      </w:pPr>
      <w:r w:rsidRPr="00E82BC2">
        <w:t>The best way to diagnose PH is to directly measure the blood pressure inside the right side of the heart and the blood</w:t>
      </w:r>
      <w:r>
        <w:t xml:space="preserve"> </w:t>
      </w:r>
      <w:r w:rsidRPr="00E82BC2">
        <w:t>vessels of the lungs. This is done directly inside the right heart and lungs in a procedure called right heart</w:t>
      </w:r>
      <w:r>
        <w:t xml:space="preserve"> </w:t>
      </w:r>
      <w:r w:rsidRPr="00E82BC2">
        <w:t>catheterisation (RHC). However, catheterisation involves going into the body, exposing patients to x-rays, and cannot</w:t>
      </w:r>
      <w:r>
        <w:t xml:space="preserve"> </w:t>
      </w:r>
      <w:r w:rsidRPr="00E82BC2">
        <w:t>be done at every hospital.</w:t>
      </w:r>
    </w:p>
    <w:p w:rsidR="00687746" w:rsidRPr="00E82BC2" w:rsidRDefault="00687746" w:rsidP="00687746">
      <w:pPr>
        <w:autoSpaceDE w:val="0"/>
        <w:autoSpaceDN w:val="0"/>
        <w:adjustRightInd w:val="0"/>
      </w:pPr>
    </w:p>
    <w:p w:rsidR="00687746" w:rsidRDefault="00687746" w:rsidP="00687746">
      <w:pPr>
        <w:autoSpaceDE w:val="0"/>
        <w:autoSpaceDN w:val="0"/>
        <w:adjustRightInd w:val="0"/>
      </w:pPr>
      <w:r w:rsidRPr="00E82BC2">
        <w:t>An alternative way of measuring the pressure in the right heart is cardiac ultrasound imaging, or echocardiography</w:t>
      </w:r>
      <w:r>
        <w:t xml:space="preserve"> </w:t>
      </w:r>
      <w:r w:rsidRPr="00E82BC2">
        <w:t>(echo). This does not involve any equipment entering the body or radiation and can be done in most hospitals. Echo</w:t>
      </w:r>
      <w:r>
        <w:t xml:space="preserve"> </w:t>
      </w:r>
      <w:r w:rsidRPr="00E82BC2">
        <w:t>can estimate the pressure in the heart and lung vessels to work out whether a patient might need RHC.</w:t>
      </w:r>
    </w:p>
    <w:p w:rsidR="00687746" w:rsidRPr="00E82BC2" w:rsidRDefault="00687746" w:rsidP="00687746">
      <w:pPr>
        <w:autoSpaceDE w:val="0"/>
        <w:autoSpaceDN w:val="0"/>
        <w:adjustRightInd w:val="0"/>
      </w:pPr>
    </w:p>
    <w:p w:rsidR="00687746" w:rsidRDefault="00687746" w:rsidP="00687746">
      <w:pPr>
        <w:autoSpaceDE w:val="0"/>
        <w:autoSpaceDN w:val="0"/>
        <w:adjustRightInd w:val="0"/>
      </w:pPr>
      <w:r w:rsidRPr="00E82BC2">
        <w:t>New guidelines for pulmonary hypertension have lowered the pressure threshold that leads to diagnosis. Previous</w:t>
      </w:r>
      <w:r>
        <w:t xml:space="preserve"> </w:t>
      </w:r>
      <w:r w:rsidRPr="00E82BC2">
        <w:t>studies about how well echo and invasive measurement compare in PH mostly use the older definition. It is important</w:t>
      </w:r>
      <w:r>
        <w:t xml:space="preserve"> </w:t>
      </w:r>
      <w:r w:rsidRPr="00E82BC2">
        <w:t>to know how well echo can predict PH under the new guidelines, especially for patients with mild PH that echo might</w:t>
      </w:r>
      <w:r>
        <w:t xml:space="preserve"> </w:t>
      </w:r>
      <w:r w:rsidRPr="00E82BC2">
        <w:t>miss.</w:t>
      </w:r>
    </w:p>
    <w:p w:rsidR="00687746" w:rsidRPr="00E82BC2" w:rsidRDefault="00687746" w:rsidP="00687746">
      <w:pPr>
        <w:autoSpaceDE w:val="0"/>
        <w:autoSpaceDN w:val="0"/>
        <w:adjustRightInd w:val="0"/>
      </w:pPr>
    </w:p>
    <w:p w:rsidR="00687746" w:rsidRDefault="00687746" w:rsidP="00687746">
      <w:pPr>
        <w:pBdr>
          <w:bottom w:val="single" w:sz="4" w:space="1" w:color="auto"/>
        </w:pBdr>
        <w:autoSpaceDE w:val="0"/>
        <w:autoSpaceDN w:val="0"/>
        <w:adjustRightInd w:val="0"/>
      </w:pPr>
      <w:r w:rsidRPr="00E82BC2">
        <w:t>To test this, the study will compare echo and catheterisation results previously collected while patients attended the</w:t>
      </w:r>
      <w:r>
        <w:t xml:space="preserve"> </w:t>
      </w:r>
      <w:r w:rsidRPr="00E82BC2">
        <w:t>Golden Jubilee National Hospital for pulmonary hypertension testing. The main study aim is to confirm how sensitive</w:t>
      </w:r>
      <w:r>
        <w:t xml:space="preserve"> </w:t>
      </w:r>
      <w:r w:rsidRPr="00E82BC2">
        <w:t>and specific echo is for PH testing compared with RHC, looking at how this is affected by using the new threshold. If</w:t>
      </w:r>
      <w:r>
        <w:t xml:space="preserve"> </w:t>
      </w:r>
      <w:r w:rsidRPr="00E82BC2">
        <w:t>echo is also reliable for mild pulmonary hypertension, it may reduce invasive tests and unnecessary patient risk.</w:t>
      </w:r>
    </w:p>
    <w:p w:rsidR="00687746" w:rsidRPr="00E82BC2" w:rsidRDefault="00687746" w:rsidP="00687746">
      <w:pPr>
        <w:pBdr>
          <w:bottom w:val="single" w:sz="4" w:space="1" w:color="auto"/>
        </w:pBdr>
        <w:autoSpaceDE w:val="0"/>
        <w:autoSpaceDN w:val="0"/>
        <w:adjustRightInd w:val="0"/>
      </w:pPr>
    </w:p>
    <w:p w:rsidR="00687746" w:rsidRDefault="00687746" w:rsidP="00687746">
      <w:pPr>
        <w:rPr>
          <w:b/>
          <w:bCs/>
          <w:sz w:val="26"/>
          <w:szCs w:val="26"/>
        </w:rPr>
      </w:pPr>
      <w:bookmarkStart w:id="27" w:name="_Toc164670167"/>
      <w:bookmarkStart w:id="28" w:name="_Toc17372345"/>
      <w:bookmarkStart w:id="29" w:name="_Toc300740315"/>
      <w:bookmarkEnd w:id="14"/>
      <w:bookmarkEnd w:id="15"/>
      <w:bookmarkEnd w:id="16"/>
      <w:bookmarkEnd w:id="17"/>
      <w:bookmarkEnd w:id="18"/>
      <w:bookmarkEnd w:id="19"/>
      <w:bookmarkEnd w:id="20"/>
      <w:bookmarkEnd w:id="21"/>
      <w:bookmarkEnd w:id="22"/>
      <w:bookmarkEnd w:id="23"/>
    </w:p>
    <w:p w:rsidR="00687746" w:rsidRDefault="00687746" w:rsidP="00687746">
      <w:pPr>
        <w:pStyle w:val="Heading3"/>
      </w:pPr>
      <w:r>
        <w:t>KPI 2: Participant recruitment (excluding blood sampling studies)</w:t>
      </w:r>
      <w:bookmarkEnd w:id="27"/>
    </w:p>
    <w:p w:rsidR="00687746" w:rsidRDefault="00687746" w:rsidP="00687746">
      <w:r>
        <w:t xml:space="preserve">The target for Q4, 24/25 </w:t>
      </w:r>
      <w:r w:rsidRPr="00FA3F80">
        <w:t xml:space="preserve">was 200, Recruitment was under target for this quarter with </w:t>
      </w:r>
      <w:r>
        <w:t>188</w:t>
      </w:r>
      <w:r w:rsidRPr="00FA3F80">
        <w:t xml:space="preserve"> participants recruited (this excludes NOVEL which is a blood sampling project).</w:t>
      </w:r>
      <w:r w:rsidRPr="0022234B">
        <w:t xml:space="preserve"> </w:t>
      </w:r>
    </w:p>
    <w:p w:rsidR="00687746" w:rsidRPr="00F17D0A" w:rsidRDefault="00687746" w:rsidP="00687746"/>
    <w:tbl>
      <w:tblPr>
        <w:tblStyle w:val="GridTable1Light-Accent1"/>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568"/>
        <w:gridCol w:w="926"/>
        <w:gridCol w:w="759"/>
        <w:gridCol w:w="826"/>
        <w:gridCol w:w="997"/>
        <w:gridCol w:w="766"/>
        <w:gridCol w:w="826"/>
        <w:gridCol w:w="822"/>
        <w:gridCol w:w="883"/>
        <w:gridCol w:w="883"/>
        <w:gridCol w:w="602"/>
      </w:tblGrid>
      <w:tr w:rsidR="00687746" w:rsidRPr="000E2E4A" w:rsidTr="009325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rsidR="00687746" w:rsidRPr="000E2E4A" w:rsidRDefault="00687746" w:rsidP="009325FD">
            <w:pPr>
              <w:jc w:val="center"/>
              <w:rPr>
                <w:rFonts w:ascii="Arial" w:hAnsi="Arial" w:cs="Arial"/>
                <w:b w:val="0"/>
                <w:sz w:val="18"/>
                <w:szCs w:val="18"/>
              </w:rPr>
            </w:pPr>
          </w:p>
        </w:tc>
        <w:tc>
          <w:tcPr>
            <w:tcW w:w="543"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AHF</w:t>
            </w:r>
          </w:p>
        </w:tc>
        <w:tc>
          <w:tcPr>
            <w:tcW w:w="865"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0000"/>
                <w:sz w:val="18"/>
                <w:szCs w:val="18"/>
              </w:rPr>
            </w:pPr>
            <w:r w:rsidRPr="000E2E4A">
              <w:rPr>
                <w:rFonts w:ascii="Arial" w:hAnsi="Arial" w:cs="Arial"/>
                <w:b w:val="0"/>
                <w:color w:val="FF0000"/>
                <w:sz w:val="18"/>
                <w:szCs w:val="18"/>
              </w:rPr>
              <w:t>AHF (NOVEL)</w:t>
            </w:r>
          </w:p>
        </w:tc>
        <w:tc>
          <w:tcPr>
            <w:tcW w:w="733"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proofErr w:type="spellStart"/>
            <w:r w:rsidRPr="000E2E4A">
              <w:rPr>
                <w:rFonts w:ascii="Arial" w:hAnsi="Arial" w:cs="Arial"/>
                <w:b w:val="0"/>
                <w:color w:val="000000"/>
                <w:sz w:val="18"/>
                <w:szCs w:val="18"/>
              </w:rPr>
              <w:t>Anaes</w:t>
            </w:r>
            <w:proofErr w:type="spellEnd"/>
            <w:r w:rsidRPr="000E2E4A">
              <w:rPr>
                <w:rFonts w:ascii="Arial" w:hAnsi="Arial" w:cs="Arial"/>
                <w:b w:val="0"/>
                <w:color w:val="000000"/>
                <w:sz w:val="18"/>
                <w:szCs w:val="18"/>
              </w:rPr>
              <w:t>/ CC</w:t>
            </w:r>
          </w:p>
        </w:tc>
        <w:tc>
          <w:tcPr>
            <w:tcW w:w="812"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Cardiac Surgery</w:t>
            </w:r>
          </w:p>
        </w:tc>
        <w:tc>
          <w:tcPr>
            <w:tcW w:w="987"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 xml:space="preserve">Colorectal </w:t>
            </w:r>
          </w:p>
        </w:tc>
        <w:tc>
          <w:tcPr>
            <w:tcW w:w="760"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proofErr w:type="spellStart"/>
            <w:r w:rsidRPr="000E2E4A">
              <w:rPr>
                <w:rFonts w:ascii="Arial" w:hAnsi="Arial" w:cs="Arial"/>
                <w:b w:val="0"/>
                <w:color w:val="000000"/>
                <w:sz w:val="18"/>
                <w:szCs w:val="18"/>
              </w:rPr>
              <w:t>Int</w:t>
            </w:r>
            <w:proofErr w:type="spellEnd"/>
            <w:r w:rsidRPr="000E2E4A">
              <w:rPr>
                <w:rFonts w:ascii="Arial" w:hAnsi="Arial" w:cs="Arial"/>
                <w:b w:val="0"/>
                <w:color w:val="000000"/>
                <w:sz w:val="18"/>
                <w:szCs w:val="18"/>
              </w:rPr>
              <w:t xml:space="preserve"> </w:t>
            </w:r>
            <w:proofErr w:type="spellStart"/>
            <w:r w:rsidRPr="000E2E4A">
              <w:rPr>
                <w:rFonts w:ascii="Arial" w:hAnsi="Arial" w:cs="Arial"/>
                <w:b w:val="0"/>
                <w:color w:val="000000"/>
                <w:sz w:val="18"/>
                <w:szCs w:val="18"/>
              </w:rPr>
              <w:t>Cardiol</w:t>
            </w:r>
            <w:proofErr w:type="spellEnd"/>
          </w:p>
        </w:tc>
        <w:tc>
          <w:tcPr>
            <w:tcW w:w="812"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Ortho Surgery</w:t>
            </w:r>
          </w:p>
        </w:tc>
        <w:tc>
          <w:tcPr>
            <w:tcW w:w="769"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SACCS</w:t>
            </w:r>
          </w:p>
        </w:tc>
        <w:tc>
          <w:tcPr>
            <w:tcW w:w="883"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SPVU</w:t>
            </w:r>
          </w:p>
        </w:tc>
        <w:tc>
          <w:tcPr>
            <w:tcW w:w="873" w:type="dxa"/>
            <w:shd w:val="clear" w:color="auto" w:fill="D5DCE4" w:themeFill="text2" w:themeFillTint="33"/>
            <w:noWrap/>
            <w:hideMark/>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Thoracic Surgery</w:t>
            </w:r>
          </w:p>
        </w:tc>
        <w:tc>
          <w:tcPr>
            <w:tcW w:w="592"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8"/>
                <w:szCs w:val="18"/>
              </w:rPr>
            </w:pPr>
            <w:r w:rsidRPr="000E2E4A">
              <w:rPr>
                <w:rFonts w:ascii="Arial" w:hAnsi="Arial" w:cs="Arial"/>
                <w:b w:val="0"/>
                <w:color w:val="000000"/>
                <w:sz w:val="18"/>
                <w:szCs w:val="18"/>
              </w:rPr>
              <w:t>Total</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April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91</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13</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102</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137</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May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6</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74</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112</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143</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hideMark/>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Jun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91</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8</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78</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98</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July-24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91</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8</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14</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6</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8</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44</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August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95</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12</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6</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17</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59</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September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85</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11</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19</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41</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October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18</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88</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13</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18</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7</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71</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November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18</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51</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11</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27</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73</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December 24</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12</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57</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17</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55</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lastRenderedPageBreak/>
              <w:t>January 25</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75</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16</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53</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February 25</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13</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77</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13</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19</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3</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61</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March 25</w:t>
            </w:r>
          </w:p>
        </w:tc>
        <w:tc>
          <w:tcPr>
            <w:tcW w:w="54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14</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74</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8</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16</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21</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0</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w:t>
            </w:r>
          </w:p>
        </w:tc>
        <w:tc>
          <w:tcPr>
            <w:tcW w:w="592"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74</w:t>
            </w:r>
          </w:p>
        </w:tc>
      </w:tr>
      <w:tr w:rsidR="00687746" w:rsidRPr="000E2E4A" w:rsidTr="009325FD">
        <w:trPr>
          <w:trHeight w:val="300"/>
        </w:trPr>
        <w:tc>
          <w:tcPr>
            <w:cnfStyle w:val="001000000000" w:firstRow="0" w:lastRow="0" w:firstColumn="1" w:lastColumn="0" w:oddVBand="0" w:evenVBand="0" w:oddHBand="0" w:evenHBand="0" w:firstRowFirstColumn="0" w:firstRowLastColumn="0" w:lastRowFirstColumn="0" w:lastRowLastColumn="0"/>
            <w:tcW w:w="1083" w:type="dxa"/>
            <w:shd w:val="clear" w:color="auto" w:fill="D5DCE4" w:themeFill="text2" w:themeFillTint="33"/>
            <w:noWrap/>
            <w:vAlign w:val="center"/>
          </w:tcPr>
          <w:p w:rsidR="00687746" w:rsidRPr="000E2E4A" w:rsidRDefault="00687746" w:rsidP="009325FD">
            <w:pPr>
              <w:jc w:val="center"/>
              <w:rPr>
                <w:rFonts w:ascii="Arial" w:hAnsi="Arial" w:cs="Arial"/>
                <w:color w:val="000000"/>
                <w:sz w:val="18"/>
                <w:szCs w:val="18"/>
              </w:rPr>
            </w:pPr>
          </w:p>
          <w:p w:rsidR="00687746" w:rsidRPr="000E2E4A" w:rsidRDefault="00687746" w:rsidP="009325FD">
            <w:pPr>
              <w:jc w:val="center"/>
              <w:rPr>
                <w:rFonts w:ascii="Arial" w:hAnsi="Arial" w:cs="Arial"/>
                <w:color w:val="000000"/>
                <w:sz w:val="18"/>
                <w:szCs w:val="18"/>
              </w:rPr>
            </w:pPr>
            <w:r w:rsidRPr="000E2E4A">
              <w:rPr>
                <w:rFonts w:ascii="Arial" w:hAnsi="Arial" w:cs="Arial"/>
                <w:color w:val="000000"/>
                <w:sz w:val="18"/>
                <w:szCs w:val="18"/>
              </w:rPr>
              <w:t>Total</w:t>
            </w:r>
          </w:p>
        </w:tc>
        <w:tc>
          <w:tcPr>
            <w:tcW w:w="543" w:type="dxa"/>
            <w:noWrap/>
            <w:vAlign w:val="center"/>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102</w:t>
            </w:r>
          </w:p>
        </w:tc>
        <w:tc>
          <w:tcPr>
            <w:tcW w:w="865" w:type="dxa"/>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sz w:val="18"/>
                <w:szCs w:val="18"/>
              </w:rPr>
            </w:pPr>
            <w:r w:rsidRPr="000E2E4A">
              <w:rPr>
                <w:rFonts w:ascii="Arial" w:hAnsi="Arial" w:cs="Arial"/>
                <w:color w:val="FF0000"/>
                <w:sz w:val="18"/>
                <w:szCs w:val="18"/>
              </w:rPr>
              <w:t>956</w:t>
            </w:r>
          </w:p>
        </w:tc>
        <w:tc>
          <w:tcPr>
            <w:tcW w:w="73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120</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15</w:t>
            </w:r>
          </w:p>
        </w:tc>
        <w:tc>
          <w:tcPr>
            <w:tcW w:w="987"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99</w:t>
            </w:r>
          </w:p>
        </w:tc>
        <w:tc>
          <w:tcPr>
            <w:tcW w:w="760"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450</w:t>
            </w:r>
          </w:p>
        </w:tc>
        <w:tc>
          <w:tcPr>
            <w:tcW w:w="812"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42</w:t>
            </w:r>
          </w:p>
        </w:tc>
        <w:tc>
          <w:tcPr>
            <w:tcW w:w="769"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25</w:t>
            </w:r>
          </w:p>
        </w:tc>
        <w:tc>
          <w:tcPr>
            <w:tcW w:w="88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46</w:t>
            </w:r>
          </w:p>
        </w:tc>
        <w:tc>
          <w:tcPr>
            <w:tcW w:w="873" w:type="dxa"/>
            <w:noWrap/>
            <w:vAlign w:val="center"/>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10</w:t>
            </w:r>
          </w:p>
        </w:tc>
        <w:tc>
          <w:tcPr>
            <w:tcW w:w="592" w:type="dxa"/>
            <w:vAlign w:val="center"/>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E2E4A">
              <w:rPr>
                <w:rFonts w:ascii="Arial" w:hAnsi="Arial" w:cs="Arial"/>
                <w:color w:val="000000"/>
                <w:sz w:val="18"/>
                <w:szCs w:val="18"/>
              </w:rPr>
              <w:t>909</w:t>
            </w:r>
          </w:p>
        </w:tc>
      </w:tr>
    </w:tbl>
    <w:p w:rsidR="00687746" w:rsidRDefault="00687746" w:rsidP="00687746">
      <w:pPr>
        <w:pStyle w:val="Heading2"/>
        <w:pBdr>
          <w:bottom w:val="single" w:sz="4" w:space="1" w:color="auto"/>
        </w:pBdr>
      </w:pPr>
    </w:p>
    <w:p w:rsidR="00687746" w:rsidRPr="00F17D0A" w:rsidRDefault="00687746" w:rsidP="00687746">
      <w:pPr>
        <w:pStyle w:val="Heading3"/>
      </w:pPr>
      <w:bookmarkStart w:id="30" w:name="_Toc164670168"/>
      <w:r>
        <w:t>KPI 3: Income is maintained close to target</w:t>
      </w:r>
      <w:bookmarkEnd w:id="30"/>
    </w:p>
    <w:bookmarkEnd w:id="28"/>
    <w:p w:rsidR="00687746" w:rsidRDefault="00687746" w:rsidP="00687746">
      <w:pPr>
        <w:tabs>
          <w:tab w:val="left" w:pos="3686"/>
        </w:tabs>
        <w:rPr>
          <w:szCs w:val="24"/>
        </w:rPr>
      </w:pPr>
      <w:r w:rsidRPr="00232C99">
        <w:rPr>
          <w:szCs w:val="24"/>
        </w:rPr>
        <w:t>The</w:t>
      </w:r>
      <w:r>
        <w:rPr>
          <w:szCs w:val="24"/>
        </w:rPr>
        <w:t xml:space="preserve"> annual</w:t>
      </w:r>
      <w:r w:rsidRPr="00232C99">
        <w:rPr>
          <w:szCs w:val="24"/>
        </w:rPr>
        <w:t xml:space="preserve"> income target is £1.5M. This includes invoiced income from commercial research, non-commercial research and </w:t>
      </w:r>
      <w:r w:rsidRPr="00F61A5B">
        <w:rPr>
          <w:szCs w:val="24"/>
        </w:rPr>
        <w:t>the Chief Scientist Office (CSO) allocation. The total invoiced income for Q</w:t>
      </w:r>
      <w:r>
        <w:rPr>
          <w:szCs w:val="24"/>
        </w:rPr>
        <w:t>4</w:t>
      </w:r>
      <w:r w:rsidRPr="00F61A5B">
        <w:rPr>
          <w:szCs w:val="24"/>
        </w:rPr>
        <w:t xml:space="preserve"> 24/25 was </w:t>
      </w:r>
      <w:r>
        <w:rPr>
          <w:szCs w:val="24"/>
        </w:rPr>
        <w:t xml:space="preserve">£506,245 </w:t>
      </w:r>
      <w:r w:rsidRPr="00F61A5B">
        <w:rPr>
          <w:szCs w:val="24"/>
        </w:rPr>
        <w:t xml:space="preserve">which is </w:t>
      </w:r>
      <w:r>
        <w:rPr>
          <w:szCs w:val="24"/>
        </w:rPr>
        <w:t>above the</w:t>
      </w:r>
      <w:r w:rsidRPr="00232C99">
        <w:rPr>
          <w:szCs w:val="24"/>
        </w:rPr>
        <w:t xml:space="preserve"> target of £375,000. The table below shows the summary of income to the Golden Jubilee Research Institute for 202</w:t>
      </w:r>
      <w:r>
        <w:rPr>
          <w:szCs w:val="24"/>
        </w:rPr>
        <w:t>4</w:t>
      </w:r>
      <w:r w:rsidRPr="00232C99">
        <w:rPr>
          <w:szCs w:val="24"/>
        </w:rPr>
        <w:t>/202</w:t>
      </w:r>
      <w:r>
        <w:rPr>
          <w:szCs w:val="24"/>
        </w:rPr>
        <w:t>5</w:t>
      </w:r>
      <w:r w:rsidRPr="00232C99">
        <w:rPr>
          <w:szCs w:val="24"/>
        </w:rPr>
        <w:t>.</w:t>
      </w:r>
      <w:r>
        <w:rPr>
          <w:szCs w:val="24"/>
        </w:rPr>
        <w:t xml:space="preserve">  </w:t>
      </w:r>
    </w:p>
    <w:p w:rsidR="00687746" w:rsidRDefault="00687746" w:rsidP="00687746">
      <w:pPr>
        <w:tabs>
          <w:tab w:val="left" w:pos="3686"/>
        </w:tabs>
        <w:rPr>
          <w:rFonts w:ascii="Times New Roman" w:hAnsi="Times New Roman"/>
        </w:rPr>
      </w:pPr>
      <w:r>
        <w:fldChar w:fldCharType="begin"/>
      </w:r>
      <w:r>
        <w:instrText xml:space="preserve"> LINK Excel.Sheet.12 "\\\\nwtc-filesrv\\Research&amp;DevelopmentPrivate$\\2. Research Management CATHERINE\\7. Reporting\\4. Performance and Planning Reporting\\2024 - 2025 Reports\\KPI work CATHERINE\\1. KPI Tracker 24_25.xlsx" "KPI 3_CS_Research Income!R3C1:R9C6" \a \f 4 \h  \* MERGEFORMAT </w:instrText>
      </w:r>
      <w:r>
        <w:fldChar w:fldCharType="separate"/>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373"/>
        <w:gridCol w:w="1068"/>
        <w:gridCol w:w="1220"/>
        <w:gridCol w:w="1343"/>
        <w:gridCol w:w="1706"/>
      </w:tblGrid>
      <w:tr w:rsidR="00687746" w:rsidRPr="000E2E4A" w:rsidTr="000E2E4A">
        <w:trPr>
          <w:trHeight w:val="510"/>
          <w:jc w:val="center"/>
        </w:trPr>
        <w:tc>
          <w:tcPr>
            <w:tcW w:w="1869" w:type="dxa"/>
            <w:shd w:val="clear" w:color="auto" w:fill="D5DCE4" w:themeFill="text2" w:themeFillTint="33"/>
            <w:vAlign w:val="center"/>
            <w:hideMark/>
          </w:tcPr>
          <w:p w:rsidR="00687746" w:rsidRPr="000E2E4A" w:rsidRDefault="00687746" w:rsidP="009325FD">
            <w:pPr>
              <w:rPr>
                <w:sz w:val="20"/>
              </w:rPr>
            </w:pPr>
            <w:r w:rsidRPr="000E2E4A">
              <w:rPr>
                <w:sz w:val="20"/>
              </w:rPr>
              <w:t>2024/25</w:t>
            </w:r>
          </w:p>
        </w:tc>
        <w:tc>
          <w:tcPr>
            <w:tcW w:w="1373" w:type="dxa"/>
            <w:shd w:val="clear" w:color="auto" w:fill="D5DCE4" w:themeFill="text2" w:themeFillTint="33"/>
            <w:vAlign w:val="center"/>
            <w:hideMark/>
          </w:tcPr>
          <w:p w:rsidR="00687746" w:rsidRPr="000E2E4A" w:rsidRDefault="00687746" w:rsidP="009325FD">
            <w:pPr>
              <w:rPr>
                <w:sz w:val="20"/>
              </w:rPr>
            </w:pPr>
            <w:r w:rsidRPr="000E2E4A">
              <w:rPr>
                <w:sz w:val="20"/>
              </w:rPr>
              <w:t>Q1</w:t>
            </w:r>
          </w:p>
        </w:tc>
        <w:tc>
          <w:tcPr>
            <w:tcW w:w="1068" w:type="dxa"/>
            <w:shd w:val="clear" w:color="auto" w:fill="D5DCE4" w:themeFill="text2" w:themeFillTint="33"/>
            <w:vAlign w:val="center"/>
            <w:hideMark/>
          </w:tcPr>
          <w:p w:rsidR="00687746" w:rsidRPr="000E2E4A" w:rsidRDefault="00687746" w:rsidP="009325FD">
            <w:pPr>
              <w:rPr>
                <w:sz w:val="20"/>
              </w:rPr>
            </w:pPr>
            <w:r w:rsidRPr="000E2E4A">
              <w:rPr>
                <w:sz w:val="20"/>
              </w:rPr>
              <w:t>Q2</w:t>
            </w:r>
          </w:p>
        </w:tc>
        <w:tc>
          <w:tcPr>
            <w:tcW w:w="1220" w:type="dxa"/>
            <w:shd w:val="clear" w:color="auto" w:fill="D5DCE4" w:themeFill="text2" w:themeFillTint="33"/>
            <w:vAlign w:val="center"/>
            <w:hideMark/>
          </w:tcPr>
          <w:p w:rsidR="00687746" w:rsidRPr="000E2E4A" w:rsidRDefault="00687746" w:rsidP="009325FD">
            <w:pPr>
              <w:rPr>
                <w:sz w:val="20"/>
              </w:rPr>
            </w:pPr>
            <w:r w:rsidRPr="000E2E4A">
              <w:rPr>
                <w:sz w:val="20"/>
              </w:rPr>
              <w:t>Q3</w:t>
            </w:r>
          </w:p>
        </w:tc>
        <w:tc>
          <w:tcPr>
            <w:tcW w:w="1343" w:type="dxa"/>
            <w:shd w:val="clear" w:color="auto" w:fill="D5DCE4" w:themeFill="text2" w:themeFillTint="33"/>
            <w:vAlign w:val="center"/>
            <w:hideMark/>
          </w:tcPr>
          <w:p w:rsidR="00687746" w:rsidRPr="000E2E4A" w:rsidRDefault="00687746" w:rsidP="009325FD">
            <w:pPr>
              <w:rPr>
                <w:sz w:val="20"/>
              </w:rPr>
            </w:pPr>
            <w:r w:rsidRPr="000E2E4A">
              <w:rPr>
                <w:sz w:val="20"/>
              </w:rPr>
              <w:t>Q4</w:t>
            </w:r>
          </w:p>
        </w:tc>
        <w:tc>
          <w:tcPr>
            <w:tcW w:w="1706" w:type="dxa"/>
            <w:shd w:val="clear" w:color="auto" w:fill="D5DCE4" w:themeFill="text2" w:themeFillTint="33"/>
            <w:vAlign w:val="center"/>
            <w:hideMark/>
          </w:tcPr>
          <w:p w:rsidR="00687746" w:rsidRPr="000E2E4A" w:rsidRDefault="00687746" w:rsidP="009325FD">
            <w:pPr>
              <w:rPr>
                <w:b/>
                <w:sz w:val="20"/>
              </w:rPr>
            </w:pPr>
            <w:r w:rsidRPr="000E2E4A">
              <w:rPr>
                <w:b/>
                <w:sz w:val="20"/>
              </w:rPr>
              <w:t>Total</w:t>
            </w:r>
          </w:p>
        </w:tc>
      </w:tr>
      <w:tr w:rsidR="00687746" w:rsidRPr="000E2E4A" w:rsidTr="000E2E4A">
        <w:trPr>
          <w:trHeight w:val="547"/>
          <w:jc w:val="center"/>
        </w:trPr>
        <w:tc>
          <w:tcPr>
            <w:tcW w:w="1869" w:type="dxa"/>
            <w:shd w:val="clear" w:color="auto" w:fill="D5DCE4" w:themeFill="text2" w:themeFillTint="33"/>
            <w:vAlign w:val="center"/>
            <w:hideMark/>
          </w:tcPr>
          <w:p w:rsidR="00687746" w:rsidRPr="000E2E4A" w:rsidRDefault="00687746" w:rsidP="009325FD">
            <w:pPr>
              <w:rPr>
                <w:sz w:val="20"/>
              </w:rPr>
            </w:pPr>
            <w:r w:rsidRPr="000E2E4A">
              <w:rPr>
                <w:sz w:val="20"/>
              </w:rPr>
              <w:t>Invoiced income - commercial research</w:t>
            </w:r>
          </w:p>
        </w:tc>
        <w:tc>
          <w:tcPr>
            <w:tcW w:w="1373" w:type="dxa"/>
            <w:shd w:val="clear" w:color="auto" w:fill="auto"/>
            <w:noWrap/>
            <w:vAlign w:val="center"/>
            <w:hideMark/>
          </w:tcPr>
          <w:p w:rsidR="00687746" w:rsidRPr="000E2E4A" w:rsidRDefault="00687746" w:rsidP="009325FD">
            <w:pPr>
              <w:jc w:val="center"/>
              <w:rPr>
                <w:sz w:val="20"/>
              </w:rPr>
            </w:pPr>
            <w:r w:rsidRPr="000E2E4A">
              <w:rPr>
                <w:sz w:val="20"/>
              </w:rPr>
              <w:t>£160,537</w:t>
            </w:r>
          </w:p>
        </w:tc>
        <w:tc>
          <w:tcPr>
            <w:tcW w:w="1068" w:type="dxa"/>
            <w:shd w:val="clear" w:color="auto" w:fill="auto"/>
            <w:noWrap/>
            <w:vAlign w:val="center"/>
            <w:hideMark/>
          </w:tcPr>
          <w:p w:rsidR="00687746" w:rsidRPr="000E2E4A" w:rsidRDefault="00687746" w:rsidP="009325FD">
            <w:pPr>
              <w:jc w:val="center"/>
              <w:rPr>
                <w:sz w:val="20"/>
              </w:rPr>
            </w:pPr>
            <w:r w:rsidRPr="000E2E4A">
              <w:rPr>
                <w:sz w:val="20"/>
              </w:rPr>
              <w:t>£271,088</w:t>
            </w:r>
          </w:p>
        </w:tc>
        <w:tc>
          <w:tcPr>
            <w:tcW w:w="1220" w:type="dxa"/>
            <w:shd w:val="clear" w:color="auto" w:fill="auto"/>
            <w:noWrap/>
            <w:vAlign w:val="center"/>
            <w:hideMark/>
          </w:tcPr>
          <w:p w:rsidR="00687746" w:rsidRPr="000E2E4A" w:rsidRDefault="00687746" w:rsidP="009325FD">
            <w:pPr>
              <w:jc w:val="center"/>
              <w:rPr>
                <w:sz w:val="20"/>
              </w:rPr>
            </w:pPr>
            <w:r w:rsidRPr="000E2E4A">
              <w:rPr>
                <w:sz w:val="20"/>
              </w:rPr>
              <w:t>£223,114</w:t>
            </w:r>
          </w:p>
        </w:tc>
        <w:tc>
          <w:tcPr>
            <w:tcW w:w="1343" w:type="dxa"/>
            <w:shd w:val="clear" w:color="auto" w:fill="auto"/>
            <w:noWrap/>
            <w:vAlign w:val="center"/>
            <w:hideMark/>
          </w:tcPr>
          <w:p w:rsidR="00687746" w:rsidRPr="000E2E4A" w:rsidRDefault="00687746" w:rsidP="009325FD">
            <w:pPr>
              <w:jc w:val="center"/>
              <w:rPr>
                <w:sz w:val="20"/>
              </w:rPr>
            </w:pPr>
            <w:r w:rsidRPr="000E2E4A">
              <w:rPr>
                <w:sz w:val="20"/>
              </w:rPr>
              <w:t>£112,061</w:t>
            </w:r>
          </w:p>
        </w:tc>
        <w:tc>
          <w:tcPr>
            <w:tcW w:w="1706" w:type="dxa"/>
            <w:shd w:val="clear" w:color="auto" w:fill="auto"/>
            <w:noWrap/>
            <w:vAlign w:val="center"/>
            <w:hideMark/>
          </w:tcPr>
          <w:p w:rsidR="00687746" w:rsidRPr="000E2E4A" w:rsidRDefault="00687746" w:rsidP="009325FD">
            <w:pPr>
              <w:jc w:val="center"/>
              <w:rPr>
                <w:b/>
                <w:sz w:val="20"/>
              </w:rPr>
            </w:pPr>
            <w:r w:rsidRPr="000E2E4A">
              <w:rPr>
                <w:b/>
                <w:sz w:val="20"/>
              </w:rPr>
              <w:t>£766,800</w:t>
            </w:r>
          </w:p>
        </w:tc>
      </w:tr>
      <w:tr w:rsidR="00687746" w:rsidRPr="000E2E4A" w:rsidTr="000E2E4A">
        <w:trPr>
          <w:trHeight w:val="547"/>
          <w:jc w:val="center"/>
        </w:trPr>
        <w:tc>
          <w:tcPr>
            <w:tcW w:w="1869" w:type="dxa"/>
            <w:shd w:val="clear" w:color="auto" w:fill="D5DCE4" w:themeFill="text2" w:themeFillTint="33"/>
            <w:vAlign w:val="center"/>
            <w:hideMark/>
          </w:tcPr>
          <w:p w:rsidR="00687746" w:rsidRPr="000E2E4A" w:rsidRDefault="00687746" w:rsidP="009325FD">
            <w:pPr>
              <w:rPr>
                <w:sz w:val="20"/>
              </w:rPr>
            </w:pPr>
            <w:r w:rsidRPr="000E2E4A">
              <w:rPr>
                <w:sz w:val="20"/>
              </w:rPr>
              <w:t>Invoiced income for non-commercial research</w:t>
            </w:r>
          </w:p>
        </w:tc>
        <w:tc>
          <w:tcPr>
            <w:tcW w:w="1373" w:type="dxa"/>
            <w:shd w:val="clear" w:color="auto" w:fill="auto"/>
            <w:noWrap/>
            <w:vAlign w:val="center"/>
            <w:hideMark/>
          </w:tcPr>
          <w:p w:rsidR="00687746" w:rsidRPr="000E2E4A" w:rsidRDefault="00687746" w:rsidP="009325FD">
            <w:pPr>
              <w:jc w:val="center"/>
              <w:rPr>
                <w:sz w:val="20"/>
              </w:rPr>
            </w:pPr>
            <w:r w:rsidRPr="000E2E4A">
              <w:rPr>
                <w:sz w:val="20"/>
              </w:rPr>
              <w:t>£40,934</w:t>
            </w:r>
          </w:p>
        </w:tc>
        <w:tc>
          <w:tcPr>
            <w:tcW w:w="1068" w:type="dxa"/>
            <w:shd w:val="clear" w:color="auto" w:fill="auto"/>
            <w:noWrap/>
            <w:vAlign w:val="center"/>
            <w:hideMark/>
          </w:tcPr>
          <w:p w:rsidR="00687746" w:rsidRPr="000E2E4A" w:rsidRDefault="00687746" w:rsidP="009325FD">
            <w:pPr>
              <w:jc w:val="center"/>
              <w:rPr>
                <w:sz w:val="20"/>
              </w:rPr>
            </w:pPr>
            <w:r w:rsidRPr="000E2E4A">
              <w:rPr>
                <w:sz w:val="20"/>
              </w:rPr>
              <w:t>£164,460</w:t>
            </w:r>
          </w:p>
        </w:tc>
        <w:tc>
          <w:tcPr>
            <w:tcW w:w="1220" w:type="dxa"/>
            <w:shd w:val="clear" w:color="auto" w:fill="auto"/>
            <w:noWrap/>
            <w:vAlign w:val="center"/>
            <w:hideMark/>
          </w:tcPr>
          <w:p w:rsidR="00687746" w:rsidRPr="000E2E4A" w:rsidRDefault="00687746" w:rsidP="009325FD">
            <w:pPr>
              <w:jc w:val="center"/>
              <w:rPr>
                <w:sz w:val="20"/>
              </w:rPr>
            </w:pPr>
            <w:r w:rsidRPr="000E2E4A">
              <w:rPr>
                <w:sz w:val="20"/>
              </w:rPr>
              <w:t>£181,833</w:t>
            </w:r>
          </w:p>
        </w:tc>
        <w:tc>
          <w:tcPr>
            <w:tcW w:w="1343" w:type="dxa"/>
            <w:shd w:val="clear" w:color="auto" w:fill="auto"/>
            <w:noWrap/>
            <w:vAlign w:val="center"/>
            <w:hideMark/>
          </w:tcPr>
          <w:p w:rsidR="00687746" w:rsidRPr="000E2E4A" w:rsidRDefault="00687746" w:rsidP="009325FD">
            <w:pPr>
              <w:jc w:val="center"/>
              <w:rPr>
                <w:sz w:val="20"/>
              </w:rPr>
            </w:pPr>
            <w:r w:rsidRPr="000E2E4A">
              <w:rPr>
                <w:sz w:val="20"/>
              </w:rPr>
              <w:t>£108,833</w:t>
            </w:r>
          </w:p>
        </w:tc>
        <w:tc>
          <w:tcPr>
            <w:tcW w:w="1706" w:type="dxa"/>
            <w:shd w:val="clear" w:color="auto" w:fill="auto"/>
            <w:noWrap/>
            <w:vAlign w:val="center"/>
            <w:hideMark/>
          </w:tcPr>
          <w:p w:rsidR="00687746" w:rsidRPr="000E2E4A" w:rsidRDefault="00687746" w:rsidP="009325FD">
            <w:pPr>
              <w:jc w:val="center"/>
              <w:rPr>
                <w:b/>
                <w:sz w:val="20"/>
              </w:rPr>
            </w:pPr>
            <w:r w:rsidRPr="000E2E4A">
              <w:rPr>
                <w:b/>
                <w:sz w:val="20"/>
              </w:rPr>
              <w:t>£496,060</w:t>
            </w:r>
          </w:p>
        </w:tc>
      </w:tr>
      <w:tr w:rsidR="00687746" w:rsidRPr="000E2E4A" w:rsidTr="000E2E4A">
        <w:trPr>
          <w:trHeight w:val="547"/>
          <w:jc w:val="center"/>
        </w:trPr>
        <w:tc>
          <w:tcPr>
            <w:tcW w:w="1869" w:type="dxa"/>
            <w:shd w:val="clear" w:color="auto" w:fill="D5DCE4" w:themeFill="text2" w:themeFillTint="33"/>
            <w:vAlign w:val="center"/>
            <w:hideMark/>
          </w:tcPr>
          <w:p w:rsidR="00687746" w:rsidRPr="000E2E4A" w:rsidRDefault="00687746" w:rsidP="009325FD">
            <w:pPr>
              <w:rPr>
                <w:sz w:val="20"/>
              </w:rPr>
            </w:pPr>
            <w:r w:rsidRPr="000E2E4A">
              <w:rPr>
                <w:sz w:val="20"/>
              </w:rPr>
              <w:t>invoiced income (non-commercial research – other)</w:t>
            </w:r>
          </w:p>
        </w:tc>
        <w:tc>
          <w:tcPr>
            <w:tcW w:w="1373" w:type="dxa"/>
            <w:shd w:val="clear" w:color="auto" w:fill="auto"/>
            <w:noWrap/>
            <w:vAlign w:val="center"/>
            <w:hideMark/>
          </w:tcPr>
          <w:p w:rsidR="00687746" w:rsidRPr="000E2E4A" w:rsidRDefault="00687746" w:rsidP="009325FD">
            <w:pPr>
              <w:jc w:val="center"/>
              <w:rPr>
                <w:sz w:val="20"/>
              </w:rPr>
            </w:pPr>
            <w:r w:rsidRPr="000E2E4A">
              <w:rPr>
                <w:sz w:val="20"/>
              </w:rPr>
              <w:t>£0</w:t>
            </w:r>
          </w:p>
        </w:tc>
        <w:tc>
          <w:tcPr>
            <w:tcW w:w="1068" w:type="dxa"/>
            <w:shd w:val="clear" w:color="auto" w:fill="auto"/>
            <w:noWrap/>
            <w:vAlign w:val="center"/>
            <w:hideMark/>
          </w:tcPr>
          <w:p w:rsidR="00687746" w:rsidRPr="000E2E4A" w:rsidRDefault="00687746" w:rsidP="009325FD">
            <w:pPr>
              <w:jc w:val="center"/>
              <w:rPr>
                <w:sz w:val="20"/>
              </w:rPr>
            </w:pPr>
            <w:r w:rsidRPr="000E2E4A">
              <w:rPr>
                <w:sz w:val="20"/>
              </w:rPr>
              <w:t>£0</w:t>
            </w:r>
          </w:p>
        </w:tc>
        <w:tc>
          <w:tcPr>
            <w:tcW w:w="1220" w:type="dxa"/>
            <w:shd w:val="clear" w:color="auto" w:fill="auto"/>
            <w:noWrap/>
            <w:vAlign w:val="center"/>
            <w:hideMark/>
          </w:tcPr>
          <w:p w:rsidR="00687746" w:rsidRPr="000E2E4A" w:rsidRDefault="00687746" w:rsidP="009325FD">
            <w:pPr>
              <w:jc w:val="center"/>
              <w:rPr>
                <w:sz w:val="20"/>
              </w:rPr>
            </w:pPr>
            <w:r w:rsidRPr="000E2E4A">
              <w:rPr>
                <w:sz w:val="20"/>
              </w:rPr>
              <w:t>£0</w:t>
            </w:r>
          </w:p>
        </w:tc>
        <w:tc>
          <w:tcPr>
            <w:tcW w:w="1343" w:type="dxa"/>
            <w:shd w:val="clear" w:color="auto" w:fill="auto"/>
            <w:noWrap/>
            <w:vAlign w:val="center"/>
            <w:hideMark/>
          </w:tcPr>
          <w:p w:rsidR="00687746" w:rsidRPr="000E2E4A" w:rsidRDefault="00687746" w:rsidP="009325FD">
            <w:pPr>
              <w:jc w:val="center"/>
              <w:rPr>
                <w:sz w:val="20"/>
              </w:rPr>
            </w:pPr>
            <w:r w:rsidRPr="000E2E4A">
              <w:rPr>
                <w:sz w:val="20"/>
              </w:rPr>
              <w:t>£140,351</w:t>
            </w:r>
          </w:p>
        </w:tc>
        <w:tc>
          <w:tcPr>
            <w:tcW w:w="1706" w:type="dxa"/>
            <w:shd w:val="clear" w:color="auto" w:fill="auto"/>
            <w:noWrap/>
            <w:vAlign w:val="center"/>
            <w:hideMark/>
          </w:tcPr>
          <w:p w:rsidR="00687746" w:rsidRPr="000E2E4A" w:rsidRDefault="00687746" w:rsidP="009325FD">
            <w:pPr>
              <w:jc w:val="center"/>
              <w:rPr>
                <w:b/>
                <w:sz w:val="20"/>
              </w:rPr>
            </w:pPr>
            <w:r w:rsidRPr="000E2E4A">
              <w:rPr>
                <w:b/>
                <w:sz w:val="20"/>
              </w:rPr>
              <w:t>£140,351</w:t>
            </w:r>
          </w:p>
        </w:tc>
      </w:tr>
      <w:tr w:rsidR="00687746" w:rsidRPr="000E2E4A" w:rsidTr="000E2E4A">
        <w:trPr>
          <w:trHeight w:val="547"/>
          <w:jc w:val="center"/>
        </w:trPr>
        <w:tc>
          <w:tcPr>
            <w:tcW w:w="1869" w:type="dxa"/>
            <w:shd w:val="clear" w:color="auto" w:fill="D5DCE4" w:themeFill="text2" w:themeFillTint="33"/>
            <w:vAlign w:val="center"/>
            <w:hideMark/>
          </w:tcPr>
          <w:p w:rsidR="00687746" w:rsidRPr="000E2E4A" w:rsidRDefault="00687746" w:rsidP="009325FD">
            <w:pPr>
              <w:rPr>
                <w:sz w:val="20"/>
              </w:rPr>
            </w:pPr>
            <w:r w:rsidRPr="000E2E4A">
              <w:rPr>
                <w:sz w:val="20"/>
              </w:rPr>
              <w:t>CSO Research Support fund</w:t>
            </w:r>
            <w:r w:rsidRPr="000E2E4A">
              <w:rPr>
                <w:sz w:val="20"/>
                <w:vertAlign w:val="superscript"/>
              </w:rPr>
              <w:t>1</w:t>
            </w:r>
            <w:r w:rsidRPr="000E2E4A">
              <w:rPr>
                <w:b/>
                <w:sz w:val="20"/>
                <w:vertAlign w:val="superscript"/>
              </w:rPr>
              <w:t xml:space="preserve"> </w:t>
            </w:r>
          </w:p>
        </w:tc>
        <w:tc>
          <w:tcPr>
            <w:tcW w:w="1373" w:type="dxa"/>
            <w:shd w:val="clear" w:color="auto" w:fill="auto"/>
            <w:noWrap/>
            <w:vAlign w:val="center"/>
            <w:hideMark/>
          </w:tcPr>
          <w:p w:rsidR="00687746" w:rsidRPr="000E2E4A" w:rsidRDefault="00687746" w:rsidP="009325FD">
            <w:pPr>
              <w:jc w:val="center"/>
              <w:rPr>
                <w:sz w:val="20"/>
              </w:rPr>
            </w:pPr>
            <w:r w:rsidRPr="000E2E4A">
              <w:rPr>
                <w:sz w:val="20"/>
              </w:rPr>
              <w:t>£145,000</w:t>
            </w:r>
          </w:p>
        </w:tc>
        <w:tc>
          <w:tcPr>
            <w:tcW w:w="1068" w:type="dxa"/>
            <w:shd w:val="clear" w:color="auto" w:fill="auto"/>
            <w:noWrap/>
            <w:vAlign w:val="center"/>
            <w:hideMark/>
          </w:tcPr>
          <w:p w:rsidR="00687746" w:rsidRPr="000E2E4A" w:rsidRDefault="00687746" w:rsidP="009325FD">
            <w:pPr>
              <w:jc w:val="center"/>
              <w:rPr>
                <w:sz w:val="20"/>
              </w:rPr>
            </w:pPr>
            <w:r w:rsidRPr="000E2E4A">
              <w:rPr>
                <w:sz w:val="20"/>
              </w:rPr>
              <w:t>£145,000</w:t>
            </w:r>
          </w:p>
        </w:tc>
        <w:tc>
          <w:tcPr>
            <w:tcW w:w="1220" w:type="dxa"/>
            <w:shd w:val="clear" w:color="auto" w:fill="auto"/>
            <w:noWrap/>
            <w:vAlign w:val="center"/>
            <w:hideMark/>
          </w:tcPr>
          <w:p w:rsidR="00687746" w:rsidRPr="000E2E4A" w:rsidRDefault="00687746" w:rsidP="009325FD">
            <w:pPr>
              <w:jc w:val="center"/>
              <w:rPr>
                <w:sz w:val="20"/>
              </w:rPr>
            </w:pPr>
            <w:r w:rsidRPr="000E2E4A">
              <w:rPr>
                <w:sz w:val="20"/>
              </w:rPr>
              <w:t>£145,000</w:t>
            </w:r>
          </w:p>
        </w:tc>
        <w:tc>
          <w:tcPr>
            <w:tcW w:w="1343" w:type="dxa"/>
            <w:shd w:val="clear" w:color="auto" w:fill="auto"/>
            <w:noWrap/>
            <w:vAlign w:val="center"/>
            <w:hideMark/>
          </w:tcPr>
          <w:p w:rsidR="00687746" w:rsidRPr="000E2E4A" w:rsidRDefault="00687746" w:rsidP="009325FD">
            <w:pPr>
              <w:jc w:val="center"/>
              <w:rPr>
                <w:sz w:val="20"/>
              </w:rPr>
            </w:pPr>
            <w:r w:rsidRPr="000E2E4A">
              <w:rPr>
                <w:sz w:val="20"/>
              </w:rPr>
              <w:t>£145,000</w:t>
            </w:r>
          </w:p>
        </w:tc>
        <w:tc>
          <w:tcPr>
            <w:tcW w:w="1706" w:type="dxa"/>
            <w:shd w:val="clear" w:color="auto" w:fill="auto"/>
            <w:noWrap/>
            <w:vAlign w:val="center"/>
            <w:hideMark/>
          </w:tcPr>
          <w:p w:rsidR="00687746" w:rsidRPr="000E2E4A" w:rsidRDefault="00687746" w:rsidP="009325FD">
            <w:pPr>
              <w:jc w:val="center"/>
              <w:rPr>
                <w:b/>
                <w:sz w:val="20"/>
              </w:rPr>
            </w:pPr>
            <w:r w:rsidRPr="000E2E4A">
              <w:rPr>
                <w:b/>
                <w:sz w:val="20"/>
              </w:rPr>
              <w:t>£580,000</w:t>
            </w:r>
          </w:p>
        </w:tc>
      </w:tr>
      <w:tr w:rsidR="00687746" w:rsidRPr="000E2E4A" w:rsidTr="000E2E4A">
        <w:trPr>
          <w:trHeight w:val="547"/>
          <w:jc w:val="center"/>
        </w:trPr>
        <w:tc>
          <w:tcPr>
            <w:tcW w:w="1869" w:type="dxa"/>
            <w:shd w:val="clear" w:color="auto" w:fill="D5DCE4" w:themeFill="text2" w:themeFillTint="33"/>
            <w:vAlign w:val="center"/>
          </w:tcPr>
          <w:p w:rsidR="00687746" w:rsidRPr="000E2E4A" w:rsidRDefault="00687746" w:rsidP="009325FD">
            <w:pPr>
              <w:rPr>
                <w:b/>
                <w:sz w:val="20"/>
              </w:rPr>
            </w:pPr>
            <w:r w:rsidRPr="000E2E4A">
              <w:rPr>
                <w:b/>
                <w:sz w:val="20"/>
              </w:rPr>
              <w:t>Total invoiced income</w:t>
            </w:r>
          </w:p>
        </w:tc>
        <w:tc>
          <w:tcPr>
            <w:tcW w:w="1373" w:type="dxa"/>
            <w:shd w:val="clear" w:color="auto" w:fill="D5DCE4" w:themeFill="text2" w:themeFillTint="33"/>
            <w:noWrap/>
            <w:vAlign w:val="center"/>
          </w:tcPr>
          <w:p w:rsidR="00687746" w:rsidRPr="000E2E4A" w:rsidRDefault="00687746" w:rsidP="009325FD">
            <w:pPr>
              <w:jc w:val="center"/>
              <w:rPr>
                <w:b/>
                <w:sz w:val="20"/>
              </w:rPr>
            </w:pPr>
            <w:r w:rsidRPr="000E2E4A">
              <w:rPr>
                <w:b/>
                <w:sz w:val="20"/>
              </w:rPr>
              <w:t>£346,471</w:t>
            </w:r>
          </w:p>
        </w:tc>
        <w:tc>
          <w:tcPr>
            <w:tcW w:w="1068" w:type="dxa"/>
            <w:shd w:val="clear" w:color="auto" w:fill="D5DCE4" w:themeFill="text2" w:themeFillTint="33"/>
            <w:noWrap/>
            <w:vAlign w:val="center"/>
          </w:tcPr>
          <w:p w:rsidR="00687746" w:rsidRPr="000E2E4A" w:rsidRDefault="00687746" w:rsidP="009325FD">
            <w:pPr>
              <w:jc w:val="center"/>
              <w:rPr>
                <w:b/>
                <w:sz w:val="20"/>
              </w:rPr>
            </w:pPr>
            <w:r w:rsidRPr="000E2E4A">
              <w:rPr>
                <w:b/>
                <w:sz w:val="20"/>
              </w:rPr>
              <w:t>£580,548</w:t>
            </w:r>
          </w:p>
        </w:tc>
        <w:tc>
          <w:tcPr>
            <w:tcW w:w="1220" w:type="dxa"/>
            <w:shd w:val="clear" w:color="auto" w:fill="D5DCE4" w:themeFill="text2" w:themeFillTint="33"/>
            <w:noWrap/>
            <w:vAlign w:val="center"/>
          </w:tcPr>
          <w:p w:rsidR="00687746" w:rsidRPr="000E2E4A" w:rsidRDefault="00687746" w:rsidP="009325FD">
            <w:pPr>
              <w:jc w:val="center"/>
              <w:rPr>
                <w:b/>
                <w:sz w:val="20"/>
              </w:rPr>
            </w:pPr>
            <w:r w:rsidRPr="000E2E4A">
              <w:rPr>
                <w:b/>
                <w:sz w:val="20"/>
              </w:rPr>
              <w:t>£549,947</w:t>
            </w:r>
          </w:p>
        </w:tc>
        <w:tc>
          <w:tcPr>
            <w:tcW w:w="1343" w:type="dxa"/>
            <w:shd w:val="clear" w:color="auto" w:fill="D5DCE4" w:themeFill="text2" w:themeFillTint="33"/>
            <w:noWrap/>
            <w:vAlign w:val="center"/>
          </w:tcPr>
          <w:p w:rsidR="00687746" w:rsidRPr="000E2E4A" w:rsidRDefault="00687746" w:rsidP="009325FD">
            <w:pPr>
              <w:jc w:val="center"/>
              <w:rPr>
                <w:b/>
                <w:sz w:val="20"/>
              </w:rPr>
            </w:pPr>
            <w:r w:rsidRPr="000E2E4A">
              <w:rPr>
                <w:b/>
                <w:sz w:val="20"/>
              </w:rPr>
              <w:t>£506,245</w:t>
            </w:r>
          </w:p>
        </w:tc>
        <w:tc>
          <w:tcPr>
            <w:tcW w:w="1706" w:type="dxa"/>
            <w:shd w:val="clear" w:color="auto" w:fill="D5DCE4" w:themeFill="text2" w:themeFillTint="33"/>
            <w:noWrap/>
            <w:vAlign w:val="center"/>
          </w:tcPr>
          <w:p w:rsidR="00687746" w:rsidRPr="000E2E4A" w:rsidRDefault="00687746" w:rsidP="009325FD">
            <w:pPr>
              <w:jc w:val="center"/>
              <w:rPr>
                <w:b/>
                <w:sz w:val="20"/>
              </w:rPr>
            </w:pPr>
            <w:r w:rsidRPr="000E2E4A">
              <w:rPr>
                <w:b/>
                <w:sz w:val="20"/>
              </w:rPr>
              <w:t>£1,983,211</w:t>
            </w:r>
          </w:p>
        </w:tc>
      </w:tr>
    </w:tbl>
    <w:p w:rsidR="00687746" w:rsidRDefault="00687746" w:rsidP="00687746">
      <w:pPr>
        <w:tabs>
          <w:tab w:val="left" w:pos="3686"/>
        </w:tabs>
        <w:rPr>
          <w:szCs w:val="24"/>
        </w:rPr>
      </w:pPr>
      <w:r>
        <w:rPr>
          <w:szCs w:val="24"/>
        </w:rPr>
        <w:fldChar w:fldCharType="end"/>
      </w:r>
    </w:p>
    <w:p w:rsidR="00687746" w:rsidRDefault="00687746" w:rsidP="000E2E4A">
      <w:bookmarkStart w:id="31" w:name="_Toc149717480"/>
      <w:bookmarkStart w:id="32" w:name="_Toc164670169"/>
      <w:bookmarkStart w:id="33" w:name="_Toc521403351"/>
      <w:bookmarkStart w:id="34" w:name="_Toc17280920"/>
      <w:bookmarkStart w:id="35" w:name="_Toc17372346"/>
      <w:bookmarkStart w:id="36" w:name="_Toc31200383"/>
      <w:bookmarkStart w:id="37" w:name="_Toc38265940"/>
      <w:bookmarkStart w:id="38" w:name="_Toc38266101"/>
      <w:bookmarkStart w:id="39" w:name="_Toc38266145"/>
      <w:bookmarkStart w:id="40" w:name="_Toc69838100"/>
      <w:bookmarkStart w:id="41" w:name="_Toc111790729"/>
      <w:bookmarkStart w:id="42" w:name="_Toc126850478"/>
      <w:bookmarkStart w:id="43" w:name="_Toc142555642"/>
      <w:bookmarkStart w:id="44" w:name="_Toc142559030"/>
      <w:bookmarkStart w:id="45" w:name="_Toc142565384"/>
      <w:r w:rsidRPr="00232C99">
        <w:t>Note</w:t>
      </w:r>
      <w:r>
        <w:t xml:space="preserve"> 1:</w:t>
      </w:r>
      <w:r w:rsidRPr="00232C99">
        <w:t xml:space="preserve"> </w:t>
      </w:r>
      <w:r>
        <w:t>T</w:t>
      </w:r>
      <w:r w:rsidRPr="00232C99">
        <w:t xml:space="preserve">he </w:t>
      </w:r>
      <w:r>
        <w:t xml:space="preserve">CSO Research Support fund </w:t>
      </w:r>
      <w:r w:rsidRPr="00232C99">
        <w:t>stated value excludes funding for the NRS Cardiovascular Speciality Group.</w:t>
      </w:r>
      <w:bookmarkEnd w:id="31"/>
      <w:bookmarkEnd w:id="32"/>
    </w:p>
    <w:p w:rsidR="000E2E4A" w:rsidRPr="000E2E4A" w:rsidRDefault="000E2E4A" w:rsidP="000E2E4A"/>
    <w:p w:rsidR="000E2E4A" w:rsidRDefault="00687746" w:rsidP="000E2E4A">
      <w:pPr>
        <w:rPr>
          <w:bCs/>
          <w:iCs/>
          <w:sz w:val="20"/>
          <w:szCs w:val="24"/>
        </w:rPr>
      </w:pPr>
      <w:bookmarkStart w:id="46" w:name="_Toc149717481"/>
      <w:bookmarkStart w:id="47" w:name="_Toc164670170"/>
      <w:r w:rsidRPr="000E2E4A">
        <w:rPr>
          <w:bCs/>
          <w:iCs/>
          <w:sz w:val="20"/>
          <w:szCs w:val="24"/>
        </w:rPr>
        <w:t>The table below shows trends in GJRI income for this and the past four financial years.</w:t>
      </w:r>
      <w:bookmarkStart w:id="48" w:name="_Toc17280926"/>
      <w:bookmarkStart w:id="49" w:name="_Toc17372352"/>
      <w:bookmarkStart w:id="50" w:name="_Toc31200387"/>
      <w:bookmarkStart w:id="51" w:name="_Toc38265944"/>
      <w:bookmarkStart w:id="52" w:name="_Toc38266105"/>
      <w:bookmarkStart w:id="53" w:name="_Toc38266149"/>
      <w:bookmarkStart w:id="54" w:name="_Toc164670171"/>
      <w:bookmarkEnd w:id="2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687746" w:rsidRPr="000E2E4A" w:rsidRDefault="00687746" w:rsidP="000E2E4A">
      <w:pPr>
        <w:rPr>
          <w:rFonts w:cs="Arial"/>
          <w:sz w:val="20"/>
          <w:szCs w:val="24"/>
        </w:rPr>
      </w:pPr>
      <w:r w:rsidRPr="000E2E4A">
        <w:fldChar w:fldCharType="begin"/>
      </w:r>
      <w:r w:rsidRPr="000E2E4A">
        <w:instrText xml:space="preserve"> LINK Excel.Sheet.12 "\\\\nwtc-filesrv\\Research&amp;DevelopmentPrivate$\\2. Research Management CATHERINE\\7. Reporting\\4. Performance and Planning Reporting\\2024 - 2025 Reports\\KPI work CATHERINE\\1. KPI Tracker 24_25.xlsx" "KPI 3_CS_Research Income!R3C8:R10C16" \a \f 4 \h  \* MERGEFORMAT </w:instrText>
      </w:r>
      <w:r w:rsidRPr="000E2E4A">
        <w:fldChar w:fldCharType="separate"/>
      </w:r>
    </w:p>
    <w:tbl>
      <w:tblPr>
        <w:tblW w:w="9540" w:type="dxa"/>
        <w:jc w:val="center"/>
        <w:tblLook w:val="04A0" w:firstRow="1" w:lastRow="0" w:firstColumn="1" w:lastColumn="0" w:noHBand="0" w:noVBand="1"/>
      </w:tblPr>
      <w:tblGrid>
        <w:gridCol w:w="1283"/>
        <w:gridCol w:w="1350"/>
        <w:gridCol w:w="1303"/>
        <w:gridCol w:w="1450"/>
        <w:gridCol w:w="1461"/>
        <w:gridCol w:w="1405"/>
        <w:gridCol w:w="1288"/>
      </w:tblGrid>
      <w:tr w:rsidR="00687746" w:rsidRPr="000E2E4A" w:rsidTr="000E2E4A">
        <w:trPr>
          <w:trHeight w:val="510"/>
          <w:jc w:val="center"/>
        </w:trPr>
        <w:tc>
          <w:tcPr>
            <w:tcW w:w="12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Source of income</w:t>
            </w:r>
          </w:p>
        </w:tc>
        <w:tc>
          <w:tcPr>
            <w:tcW w:w="135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Explanation</w:t>
            </w:r>
          </w:p>
        </w:tc>
        <w:tc>
          <w:tcPr>
            <w:tcW w:w="1303"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2020/21</w:t>
            </w:r>
          </w:p>
        </w:tc>
        <w:tc>
          <w:tcPr>
            <w:tcW w:w="1450"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2021/22</w:t>
            </w:r>
          </w:p>
        </w:tc>
        <w:tc>
          <w:tcPr>
            <w:tcW w:w="146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2022/23</w:t>
            </w:r>
            <w:r w:rsidRPr="000E2E4A">
              <w:rPr>
                <w:rFonts w:cs="Arial"/>
                <w:bCs/>
                <w:iCs/>
                <w:color w:val="000000"/>
                <w:sz w:val="20"/>
              </w:rPr>
              <w:t xml:space="preserve"> </w:t>
            </w:r>
          </w:p>
        </w:tc>
        <w:tc>
          <w:tcPr>
            <w:tcW w:w="1405"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2023/24</w:t>
            </w:r>
          </w:p>
        </w:tc>
        <w:tc>
          <w:tcPr>
            <w:tcW w:w="128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iCs/>
                <w:color w:val="000000"/>
                <w:sz w:val="20"/>
              </w:rPr>
            </w:pPr>
            <w:r w:rsidRPr="000E2E4A">
              <w:rPr>
                <w:rFonts w:cs="Arial"/>
                <w:bCs/>
                <w:iCs/>
                <w:color w:val="000000"/>
                <w:sz w:val="20"/>
              </w:rPr>
              <w:t>2024/25</w:t>
            </w:r>
          </w:p>
        </w:tc>
      </w:tr>
      <w:tr w:rsidR="00687746" w:rsidRPr="000E2E4A" w:rsidTr="000E2E4A">
        <w:trPr>
          <w:trHeight w:val="525"/>
          <w:jc w:val="center"/>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Commercial research</w:t>
            </w:r>
          </w:p>
        </w:tc>
        <w:tc>
          <w:tcPr>
            <w:tcW w:w="13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Per patient fees</w:t>
            </w:r>
          </w:p>
        </w:tc>
        <w:tc>
          <w:tcPr>
            <w:tcW w:w="1303"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£285,820</w:t>
            </w:r>
          </w:p>
        </w:tc>
        <w:tc>
          <w:tcPr>
            <w:tcW w:w="14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£373,961</w:t>
            </w:r>
          </w:p>
        </w:tc>
        <w:tc>
          <w:tcPr>
            <w:tcW w:w="1461"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£558,035</w:t>
            </w:r>
          </w:p>
        </w:tc>
        <w:tc>
          <w:tcPr>
            <w:tcW w:w="1405"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£391,292</w:t>
            </w:r>
          </w:p>
        </w:tc>
        <w:tc>
          <w:tcPr>
            <w:tcW w:w="1288"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£766,800</w:t>
            </w:r>
          </w:p>
        </w:tc>
      </w:tr>
      <w:tr w:rsidR="00687746" w:rsidRPr="000E2E4A" w:rsidTr="000E2E4A">
        <w:trPr>
          <w:trHeight w:val="780"/>
          <w:jc w:val="center"/>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Non-commercial research</w:t>
            </w:r>
          </w:p>
        </w:tc>
        <w:tc>
          <w:tcPr>
            <w:tcW w:w="13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Per patient fees</w:t>
            </w:r>
          </w:p>
        </w:tc>
        <w:tc>
          <w:tcPr>
            <w:tcW w:w="1303"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£394,754</w:t>
            </w:r>
          </w:p>
        </w:tc>
        <w:tc>
          <w:tcPr>
            <w:tcW w:w="14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£158,583</w:t>
            </w:r>
          </w:p>
        </w:tc>
        <w:tc>
          <w:tcPr>
            <w:tcW w:w="1461"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£222,369</w:t>
            </w:r>
          </w:p>
        </w:tc>
        <w:tc>
          <w:tcPr>
            <w:tcW w:w="1405"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£203,815</w:t>
            </w:r>
          </w:p>
        </w:tc>
        <w:tc>
          <w:tcPr>
            <w:tcW w:w="1288"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£496,060</w:t>
            </w:r>
          </w:p>
        </w:tc>
      </w:tr>
      <w:tr w:rsidR="00687746" w:rsidRPr="000E2E4A" w:rsidTr="000E2E4A">
        <w:trPr>
          <w:trHeight w:val="1035"/>
          <w:jc w:val="center"/>
        </w:trPr>
        <w:tc>
          <w:tcPr>
            <w:tcW w:w="1283" w:type="dxa"/>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Non-commercial research (other)</w:t>
            </w:r>
          </w:p>
        </w:tc>
        <w:tc>
          <w:tcPr>
            <w:tcW w:w="13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Income for directly funded research posts, grant income</w:t>
            </w:r>
          </w:p>
        </w:tc>
        <w:tc>
          <w:tcPr>
            <w:tcW w:w="1303"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£199,226</w:t>
            </w:r>
          </w:p>
        </w:tc>
        <w:tc>
          <w:tcPr>
            <w:tcW w:w="1450"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£173,102</w:t>
            </w:r>
          </w:p>
        </w:tc>
        <w:tc>
          <w:tcPr>
            <w:tcW w:w="1461" w:type="dxa"/>
            <w:tcBorders>
              <w:top w:val="nil"/>
              <w:left w:val="nil"/>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£197,182</w:t>
            </w:r>
          </w:p>
        </w:tc>
        <w:tc>
          <w:tcPr>
            <w:tcW w:w="1405"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£66,054</w:t>
            </w:r>
          </w:p>
        </w:tc>
        <w:tc>
          <w:tcPr>
            <w:tcW w:w="1288" w:type="dxa"/>
            <w:tcBorders>
              <w:top w:val="nil"/>
              <w:left w:val="nil"/>
              <w:bottom w:val="single" w:sz="4" w:space="0" w:color="auto"/>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£140,351</w:t>
            </w:r>
          </w:p>
        </w:tc>
      </w:tr>
      <w:tr w:rsidR="00687746" w:rsidRPr="000E2E4A" w:rsidTr="000E2E4A">
        <w:trPr>
          <w:trHeight w:val="315"/>
          <w:jc w:val="center"/>
        </w:trPr>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CSO income</w:t>
            </w:r>
          </w:p>
        </w:tc>
        <w:tc>
          <w:tcPr>
            <w:tcW w:w="1350"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 </w:t>
            </w:r>
          </w:p>
        </w:tc>
        <w:tc>
          <w:tcPr>
            <w:tcW w:w="1303"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£363,785</w:t>
            </w:r>
          </w:p>
        </w:tc>
        <w:tc>
          <w:tcPr>
            <w:tcW w:w="1450"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£475,000</w:t>
            </w:r>
          </w:p>
        </w:tc>
        <w:tc>
          <w:tcPr>
            <w:tcW w:w="1461"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£475,000</w:t>
            </w:r>
          </w:p>
        </w:tc>
        <w:tc>
          <w:tcPr>
            <w:tcW w:w="1405" w:type="dxa"/>
            <w:vMerge w:val="restart"/>
            <w:tcBorders>
              <w:top w:val="nil"/>
              <w:left w:val="single" w:sz="4" w:space="0" w:color="auto"/>
              <w:bottom w:val="single" w:sz="4" w:space="0" w:color="auto"/>
              <w:right w:val="single" w:sz="4" w:space="0" w:color="auto"/>
            </w:tcBorders>
            <w:shd w:val="clear" w:color="auto" w:fill="auto"/>
            <w:vAlign w:val="center"/>
            <w:hideMark/>
          </w:tcPr>
          <w:p w:rsidR="00687746" w:rsidRPr="000E2E4A" w:rsidRDefault="00687746" w:rsidP="000E2E4A">
            <w:pPr>
              <w:rPr>
                <w:rFonts w:cs="Arial"/>
                <w:color w:val="000000"/>
                <w:sz w:val="20"/>
              </w:rPr>
            </w:pPr>
            <w:r w:rsidRPr="000E2E4A">
              <w:rPr>
                <w:rFonts w:cs="Arial"/>
                <w:color w:val="000000"/>
                <w:sz w:val="20"/>
              </w:rPr>
              <w:t>£484,000</w:t>
            </w:r>
          </w:p>
        </w:tc>
        <w:tc>
          <w:tcPr>
            <w:tcW w:w="128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7746" w:rsidRPr="000E2E4A" w:rsidRDefault="00687746" w:rsidP="000E2E4A">
            <w:pPr>
              <w:rPr>
                <w:rFonts w:cs="Arial"/>
                <w:color w:val="000000"/>
                <w:sz w:val="20"/>
              </w:rPr>
            </w:pPr>
            <w:r w:rsidRPr="000E2E4A">
              <w:rPr>
                <w:rFonts w:cs="Arial"/>
                <w:color w:val="000000"/>
                <w:sz w:val="20"/>
              </w:rPr>
              <w:t>£580,000</w:t>
            </w:r>
          </w:p>
        </w:tc>
      </w:tr>
      <w:tr w:rsidR="00687746" w:rsidRPr="000E2E4A" w:rsidTr="000E2E4A">
        <w:trPr>
          <w:trHeight w:val="458"/>
          <w:jc w:val="center"/>
        </w:trPr>
        <w:tc>
          <w:tcPr>
            <w:tcW w:w="1283"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350"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303"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450"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461"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405" w:type="dxa"/>
            <w:vMerge/>
            <w:tcBorders>
              <w:top w:val="nil"/>
              <w:left w:val="single" w:sz="4" w:space="0" w:color="auto"/>
              <w:bottom w:val="single" w:sz="4" w:space="0" w:color="auto"/>
              <w:right w:val="single" w:sz="4" w:space="0" w:color="auto"/>
            </w:tcBorders>
            <w:vAlign w:val="center"/>
            <w:hideMark/>
          </w:tcPr>
          <w:p w:rsidR="00687746" w:rsidRPr="000E2E4A" w:rsidRDefault="00687746" w:rsidP="000E2E4A">
            <w:pPr>
              <w:rPr>
                <w:rFonts w:cs="Arial"/>
                <w:color w:val="000000"/>
                <w:sz w:val="20"/>
              </w:rPr>
            </w:pPr>
          </w:p>
        </w:tc>
        <w:tc>
          <w:tcPr>
            <w:tcW w:w="1288" w:type="dxa"/>
            <w:vMerge/>
            <w:tcBorders>
              <w:top w:val="nil"/>
              <w:left w:val="single" w:sz="4" w:space="0" w:color="auto"/>
              <w:bottom w:val="single" w:sz="4" w:space="0" w:color="000000"/>
              <w:right w:val="single" w:sz="4" w:space="0" w:color="auto"/>
            </w:tcBorders>
            <w:vAlign w:val="center"/>
            <w:hideMark/>
          </w:tcPr>
          <w:p w:rsidR="00687746" w:rsidRPr="000E2E4A" w:rsidRDefault="00687746" w:rsidP="000E2E4A">
            <w:pPr>
              <w:rPr>
                <w:rFonts w:cs="Arial"/>
                <w:color w:val="000000"/>
                <w:sz w:val="20"/>
              </w:rPr>
            </w:pPr>
          </w:p>
        </w:tc>
      </w:tr>
      <w:tr w:rsidR="000E2E4A" w:rsidRPr="000E2E4A" w:rsidTr="000E2E4A">
        <w:trPr>
          <w:trHeight w:val="300"/>
          <w:jc w:val="center"/>
        </w:trPr>
        <w:tc>
          <w:tcPr>
            <w:tcW w:w="1283"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 Total</w:t>
            </w:r>
          </w:p>
        </w:tc>
        <w:tc>
          <w:tcPr>
            <w:tcW w:w="1350" w:type="dxa"/>
            <w:tcBorders>
              <w:top w:val="nil"/>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 </w:t>
            </w:r>
          </w:p>
        </w:tc>
        <w:tc>
          <w:tcPr>
            <w:tcW w:w="1303" w:type="dxa"/>
            <w:tcBorders>
              <w:top w:val="nil"/>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£1,243,585 </w:t>
            </w:r>
          </w:p>
        </w:tc>
        <w:tc>
          <w:tcPr>
            <w:tcW w:w="1450" w:type="dxa"/>
            <w:tcBorders>
              <w:top w:val="nil"/>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£1,180,646 </w:t>
            </w:r>
          </w:p>
        </w:tc>
        <w:tc>
          <w:tcPr>
            <w:tcW w:w="1461" w:type="dxa"/>
            <w:tcBorders>
              <w:top w:val="nil"/>
              <w:left w:val="nil"/>
              <w:bottom w:val="single" w:sz="4" w:space="0" w:color="auto"/>
              <w:right w:val="single" w:sz="4" w:space="0" w:color="auto"/>
            </w:tcBorders>
            <w:shd w:val="clear" w:color="auto" w:fill="D5DCE4" w:themeFill="text2" w:themeFillTint="33"/>
            <w:vAlign w:val="center"/>
            <w:hideMark/>
          </w:tcPr>
          <w:p w:rsidR="00687746" w:rsidRPr="000E2E4A" w:rsidRDefault="00687746" w:rsidP="000E2E4A">
            <w:pPr>
              <w:rPr>
                <w:rFonts w:cs="Arial"/>
                <w:bCs/>
                <w:color w:val="000000"/>
                <w:sz w:val="20"/>
              </w:rPr>
            </w:pPr>
            <w:r w:rsidRPr="000E2E4A">
              <w:rPr>
                <w:rFonts w:cs="Arial"/>
                <w:bCs/>
                <w:color w:val="000000"/>
                <w:sz w:val="20"/>
              </w:rPr>
              <w:t>£1,452,586 </w:t>
            </w:r>
          </w:p>
        </w:tc>
        <w:tc>
          <w:tcPr>
            <w:tcW w:w="1405" w:type="dxa"/>
            <w:tcBorders>
              <w:top w:val="nil"/>
              <w:left w:val="nil"/>
              <w:bottom w:val="single" w:sz="4" w:space="0" w:color="auto"/>
              <w:right w:val="single" w:sz="4" w:space="0" w:color="auto"/>
            </w:tcBorders>
            <w:shd w:val="clear" w:color="auto" w:fill="D5DCE4" w:themeFill="text2" w:themeFillTint="33"/>
            <w:noWrap/>
            <w:vAlign w:val="bottom"/>
            <w:hideMark/>
          </w:tcPr>
          <w:p w:rsidR="00687746" w:rsidRPr="000E2E4A" w:rsidRDefault="00687746" w:rsidP="000E2E4A">
            <w:pPr>
              <w:rPr>
                <w:rFonts w:cs="Arial"/>
                <w:bCs/>
                <w:color w:val="000000"/>
                <w:sz w:val="20"/>
              </w:rPr>
            </w:pPr>
            <w:r w:rsidRPr="000E2E4A">
              <w:rPr>
                <w:rFonts w:cs="Arial"/>
                <w:bCs/>
                <w:color w:val="000000"/>
                <w:sz w:val="20"/>
              </w:rPr>
              <w:t>£1,145,161 </w:t>
            </w:r>
          </w:p>
        </w:tc>
        <w:tc>
          <w:tcPr>
            <w:tcW w:w="1288" w:type="dxa"/>
            <w:tcBorders>
              <w:top w:val="nil"/>
              <w:left w:val="nil"/>
              <w:bottom w:val="single" w:sz="4" w:space="0" w:color="auto"/>
              <w:right w:val="single" w:sz="4" w:space="0" w:color="auto"/>
            </w:tcBorders>
            <w:shd w:val="clear" w:color="auto" w:fill="D5DCE4" w:themeFill="text2" w:themeFillTint="33"/>
            <w:noWrap/>
            <w:vAlign w:val="center"/>
            <w:hideMark/>
          </w:tcPr>
          <w:p w:rsidR="00687746" w:rsidRPr="000E2E4A" w:rsidRDefault="00687746" w:rsidP="000E2E4A">
            <w:pPr>
              <w:rPr>
                <w:rFonts w:cs="Arial"/>
                <w:bCs/>
                <w:color w:val="000000"/>
                <w:sz w:val="20"/>
              </w:rPr>
            </w:pPr>
            <w:r w:rsidRPr="000E2E4A">
              <w:rPr>
                <w:rFonts w:cs="Arial"/>
                <w:bCs/>
                <w:color w:val="000000"/>
                <w:sz w:val="20"/>
              </w:rPr>
              <w:t>£1,983,211 </w:t>
            </w:r>
          </w:p>
        </w:tc>
      </w:tr>
    </w:tbl>
    <w:p w:rsidR="00687746" w:rsidRDefault="00687746" w:rsidP="000E2E4A">
      <w:pPr>
        <w:rPr>
          <w:b/>
          <w:bCs/>
          <w:sz w:val="26"/>
          <w:szCs w:val="26"/>
        </w:rPr>
      </w:pPr>
      <w:r w:rsidRPr="000E2E4A">
        <w:rPr>
          <w:bCs/>
          <w:sz w:val="26"/>
          <w:szCs w:val="26"/>
        </w:rPr>
        <w:fldChar w:fldCharType="end"/>
      </w:r>
    </w:p>
    <w:p w:rsidR="000E2E4A" w:rsidRDefault="000E2E4A">
      <w:pPr>
        <w:spacing w:after="160" w:line="259" w:lineRule="auto"/>
        <w:rPr>
          <w:rFonts w:eastAsiaTheme="majorEastAsia" w:cstheme="majorBidi"/>
          <w:b/>
          <w:color w:val="000000" w:themeColor="text1"/>
          <w:szCs w:val="24"/>
        </w:rPr>
      </w:pPr>
      <w:r>
        <w:br w:type="page"/>
      </w:r>
    </w:p>
    <w:p w:rsidR="00687746" w:rsidRDefault="00687746" w:rsidP="00687746">
      <w:pPr>
        <w:pStyle w:val="Heading3"/>
      </w:pPr>
      <w:r>
        <w:lastRenderedPageBreak/>
        <w:t xml:space="preserve">KPI 4: </w:t>
      </w:r>
      <w:r w:rsidRPr="00FF37D5">
        <w:t>The number of research project audits is in line with target</w:t>
      </w:r>
      <w:bookmarkStart w:id="55" w:name="_Toc17372354"/>
      <w:bookmarkEnd w:id="48"/>
      <w:bookmarkEnd w:id="49"/>
      <w:bookmarkEnd w:id="50"/>
      <w:bookmarkEnd w:id="51"/>
      <w:bookmarkEnd w:id="52"/>
      <w:bookmarkEnd w:id="53"/>
      <w:bookmarkEnd w:id="54"/>
    </w:p>
    <w:p w:rsidR="00687746" w:rsidRPr="00C02AE5" w:rsidRDefault="00687746" w:rsidP="00687746"/>
    <w:p w:rsidR="00687746" w:rsidRDefault="00687746" w:rsidP="00687746">
      <w:pPr>
        <w:rPr>
          <w:szCs w:val="24"/>
        </w:rPr>
      </w:pPr>
      <w:r>
        <w:rPr>
          <w:szCs w:val="24"/>
        </w:rPr>
        <w:t xml:space="preserve">In Q4, 24/25 financial year, 3 research project audits were carried out. Audit reports are available on request. </w:t>
      </w:r>
    </w:p>
    <w:p w:rsidR="00687746" w:rsidRDefault="00687746" w:rsidP="00687746">
      <w:pPr>
        <w:rPr>
          <w:szCs w:val="24"/>
        </w:rPr>
      </w:pPr>
    </w:p>
    <w:tbl>
      <w:tblPr>
        <w:tblW w:w="8522" w:type="dxa"/>
        <w:jc w:val="center"/>
        <w:tblLook w:val="04A0" w:firstRow="1" w:lastRow="0" w:firstColumn="1" w:lastColumn="0" w:noHBand="0" w:noVBand="1"/>
      </w:tblPr>
      <w:tblGrid>
        <w:gridCol w:w="1451"/>
        <w:gridCol w:w="2535"/>
        <w:gridCol w:w="1878"/>
        <w:gridCol w:w="1524"/>
        <w:gridCol w:w="1134"/>
      </w:tblGrid>
      <w:tr w:rsidR="00687746" w:rsidRPr="000E2E4A" w:rsidTr="009325FD">
        <w:trPr>
          <w:trHeight w:val="576"/>
          <w:jc w:val="center"/>
        </w:trPr>
        <w:tc>
          <w:tcPr>
            <w:tcW w:w="1451" w:type="dxa"/>
            <w:tcBorders>
              <w:top w:val="single" w:sz="4" w:space="0" w:color="auto"/>
              <w:left w:val="single" w:sz="4" w:space="0" w:color="auto"/>
              <w:bottom w:val="single" w:sz="4" w:space="0" w:color="auto"/>
              <w:right w:val="single" w:sz="4" w:space="0" w:color="auto"/>
            </w:tcBorders>
            <w:shd w:val="clear" w:color="auto" w:fill="D5DCE4" w:themeFill="text2" w:themeFillTint="33"/>
            <w:noWrap/>
            <w:hideMark/>
          </w:tcPr>
          <w:p w:rsidR="00687746" w:rsidRPr="000E2E4A" w:rsidRDefault="00687746" w:rsidP="009325FD">
            <w:pPr>
              <w:rPr>
                <w:rFonts w:cs="Arial"/>
                <w:b/>
                <w:bCs/>
                <w:color w:val="000000"/>
                <w:sz w:val="20"/>
              </w:rPr>
            </w:pPr>
            <w:r w:rsidRPr="000E2E4A">
              <w:rPr>
                <w:rFonts w:cs="Arial"/>
                <w:sz w:val="20"/>
              </w:rPr>
              <w:t>GJ Ref Number</w:t>
            </w:r>
          </w:p>
        </w:tc>
        <w:tc>
          <w:tcPr>
            <w:tcW w:w="2535" w:type="dxa"/>
            <w:tcBorders>
              <w:top w:val="single" w:sz="4" w:space="0" w:color="auto"/>
              <w:left w:val="nil"/>
              <w:bottom w:val="single" w:sz="4" w:space="0" w:color="auto"/>
              <w:right w:val="single" w:sz="4" w:space="0" w:color="auto"/>
            </w:tcBorders>
            <w:shd w:val="clear" w:color="auto" w:fill="D5DCE4" w:themeFill="text2" w:themeFillTint="33"/>
            <w:noWrap/>
            <w:hideMark/>
          </w:tcPr>
          <w:p w:rsidR="00687746" w:rsidRPr="000E2E4A" w:rsidRDefault="00687746" w:rsidP="009325FD">
            <w:pPr>
              <w:rPr>
                <w:rFonts w:cs="Arial"/>
                <w:b/>
                <w:bCs/>
                <w:color w:val="000000"/>
                <w:sz w:val="20"/>
              </w:rPr>
            </w:pPr>
            <w:r w:rsidRPr="000E2E4A">
              <w:rPr>
                <w:rFonts w:cs="Arial"/>
                <w:sz w:val="20"/>
              </w:rPr>
              <w:t>Study Title</w:t>
            </w:r>
          </w:p>
        </w:tc>
        <w:tc>
          <w:tcPr>
            <w:tcW w:w="1878" w:type="dxa"/>
            <w:tcBorders>
              <w:top w:val="single" w:sz="4" w:space="0" w:color="auto"/>
              <w:left w:val="nil"/>
              <w:bottom w:val="single" w:sz="4" w:space="0" w:color="auto"/>
              <w:right w:val="single" w:sz="4" w:space="0" w:color="auto"/>
            </w:tcBorders>
            <w:shd w:val="clear" w:color="auto" w:fill="D5DCE4" w:themeFill="text2" w:themeFillTint="33"/>
            <w:hideMark/>
          </w:tcPr>
          <w:p w:rsidR="00687746" w:rsidRPr="000E2E4A" w:rsidRDefault="00687746" w:rsidP="009325FD">
            <w:pPr>
              <w:jc w:val="center"/>
              <w:rPr>
                <w:rFonts w:cs="Arial"/>
                <w:b/>
                <w:bCs/>
                <w:color w:val="000000"/>
                <w:sz w:val="20"/>
              </w:rPr>
            </w:pPr>
            <w:r w:rsidRPr="000E2E4A">
              <w:rPr>
                <w:rFonts w:cs="Arial"/>
                <w:sz w:val="20"/>
              </w:rPr>
              <w:t>Risk Assessment Score</w:t>
            </w:r>
          </w:p>
        </w:tc>
        <w:tc>
          <w:tcPr>
            <w:tcW w:w="1524" w:type="dxa"/>
            <w:tcBorders>
              <w:top w:val="single" w:sz="4" w:space="0" w:color="auto"/>
              <w:left w:val="nil"/>
              <w:bottom w:val="single" w:sz="4" w:space="0" w:color="auto"/>
              <w:right w:val="single" w:sz="4" w:space="0" w:color="auto"/>
            </w:tcBorders>
            <w:shd w:val="clear" w:color="auto" w:fill="D5DCE4" w:themeFill="text2" w:themeFillTint="33"/>
            <w:noWrap/>
            <w:hideMark/>
          </w:tcPr>
          <w:p w:rsidR="00687746" w:rsidRPr="000E2E4A" w:rsidRDefault="00687746" w:rsidP="009325FD">
            <w:pPr>
              <w:jc w:val="center"/>
              <w:rPr>
                <w:rFonts w:cs="Arial"/>
                <w:b/>
                <w:bCs/>
                <w:color w:val="000000"/>
                <w:sz w:val="20"/>
              </w:rPr>
            </w:pPr>
            <w:r w:rsidRPr="000E2E4A">
              <w:rPr>
                <w:rFonts w:cs="Arial"/>
                <w:sz w:val="20"/>
              </w:rPr>
              <w:t>Date of audit</w:t>
            </w:r>
          </w:p>
        </w:tc>
        <w:tc>
          <w:tcPr>
            <w:tcW w:w="1134" w:type="dxa"/>
            <w:tcBorders>
              <w:top w:val="single" w:sz="4" w:space="0" w:color="auto"/>
              <w:left w:val="nil"/>
              <w:bottom w:val="single" w:sz="4" w:space="0" w:color="auto"/>
              <w:right w:val="single" w:sz="4" w:space="0" w:color="auto"/>
            </w:tcBorders>
            <w:shd w:val="clear" w:color="auto" w:fill="D5DCE4" w:themeFill="text2" w:themeFillTint="33"/>
            <w:noWrap/>
            <w:hideMark/>
          </w:tcPr>
          <w:p w:rsidR="00687746" w:rsidRPr="000E2E4A" w:rsidRDefault="00687746" w:rsidP="009325FD">
            <w:pPr>
              <w:rPr>
                <w:rFonts w:cs="Arial"/>
                <w:b/>
                <w:bCs/>
                <w:color w:val="000000"/>
                <w:sz w:val="20"/>
              </w:rPr>
            </w:pPr>
            <w:r w:rsidRPr="000E2E4A">
              <w:rPr>
                <w:rFonts w:cs="Arial"/>
                <w:sz w:val="20"/>
              </w:rPr>
              <w:t>Status</w:t>
            </w:r>
          </w:p>
        </w:tc>
      </w:tr>
      <w:tr w:rsidR="00687746" w:rsidRPr="000E2E4A" w:rsidTr="009325FD">
        <w:trPr>
          <w:trHeight w:val="288"/>
          <w:jc w:val="center"/>
        </w:trPr>
        <w:tc>
          <w:tcPr>
            <w:tcW w:w="1451" w:type="dxa"/>
            <w:tcBorders>
              <w:top w:val="nil"/>
              <w:left w:val="single" w:sz="4" w:space="0" w:color="auto"/>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21/CARD/05</w:t>
            </w:r>
          </w:p>
        </w:tc>
        <w:tc>
          <w:tcPr>
            <w:tcW w:w="2535"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INSIGNIA</w:t>
            </w:r>
          </w:p>
        </w:tc>
        <w:tc>
          <w:tcPr>
            <w:tcW w:w="1878"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7</w:t>
            </w:r>
          </w:p>
        </w:tc>
        <w:tc>
          <w:tcPr>
            <w:tcW w:w="152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17/04/2023</w:t>
            </w:r>
          </w:p>
        </w:tc>
        <w:tc>
          <w:tcPr>
            <w:tcW w:w="113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576"/>
          <w:jc w:val="center"/>
        </w:trPr>
        <w:tc>
          <w:tcPr>
            <w:tcW w:w="1451" w:type="dxa"/>
            <w:tcBorders>
              <w:top w:val="nil"/>
              <w:left w:val="single" w:sz="4" w:space="0" w:color="auto"/>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21/CARD/15</w:t>
            </w:r>
          </w:p>
        </w:tc>
        <w:tc>
          <w:tcPr>
            <w:tcW w:w="2535"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Integrated  Flow Reserve in the Heart and End-organs of ACHD patients</w:t>
            </w:r>
          </w:p>
        </w:tc>
        <w:tc>
          <w:tcPr>
            <w:tcW w:w="1878" w:type="dxa"/>
            <w:tcBorders>
              <w:top w:val="nil"/>
              <w:left w:val="nil"/>
              <w:bottom w:val="single" w:sz="4" w:space="0" w:color="auto"/>
              <w:right w:val="single" w:sz="4" w:space="0" w:color="auto"/>
            </w:tcBorders>
            <w:shd w:val="clear" w:color="000000" w:fill="FFFFFF"/>
            <w:hideMark/>
          </w:tcPr>
          <w:p w:rsidR="00687746" w:rsidRPr="000E2E4A" w:rsidRDefault="00687746" w:rsidP="009325FD">
            <w:pPr>
              <w:jc w:val="center"/>
              <w:rPr>
                <w:rFonts w:cs="Arial"/>
                <w:color w:val="000000"/>
                <w:sz w:val="20"/>
              </w:rPr>
            </w:pPr>
            <w:r w:rsidRPr="000E2E4A">
              <w:rPr>
                <w:rFonts w:cs="Arial"/>
                <w:sz w:val="20"/>
              </w:rPr>
              <w:t>8</w:t>
            </w:r>
          </w:p>
        </w:tc>
        <w:tc>
          <w:tcPr>
            <w:tcW w:w="1524" w:type="dxa"/>
            <w:tcBorders>
              <w:top w:val="nil"/>
              <w:left w:val="nil"/>
              <w:bottom w:val="single" w:sz="4" w:space="0" w:color="auto"/>
              <w:right w:val="single" w:sz="4" w:space="0" w:color="auto"/>
            </w:tcBorders>
            <w:shd w:val="clear" w:color="000000" w:fill="FFFFFF"/>
            <w:hideMark/>
          </w:tcPr>
          <w:p w:rsidR="00687746" w:rsidRPr="000E2E4A" w:rsidRDefault="00687746" w:rsidP="009325FD">
            <w:pPr>
              <w:jc w:val="center"/>
              <w:rPr>
                <w:rFonts w:cs="Arial"/>
                <w:color w:val="000000"/>
                <w:sz w:val="20"/>
              </w:rPr>
            </w:pPr>
            <w:r w:rsidRPr="000E2E4A">
              <w:rPr>
                <w:rFonts w:cs="Arial"/>
                <w:sz w:val="20"/>
              </w:rPr>
              <w:t>10/05/2024</w:t>
            </w:r>
          </w:p>
        </w:tc>
        <w:tc>
          <w:tcPr>
            <w:tcW w:w="1134"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288"/>
          <w:jc w:val="center"/>
        </w:trPr>
        <w:tc>
          <w:tcPr>
            <w:tcW w:w="1451" w:type="dxa"/>
            <w:tcBorders>
              <w:top w:val="nil"/>
              <w:left w:val="single" w:sz="4" w:space="0" w:color="auto"/>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22/ANAES/06</w:t>
            </w:r>
          </w:p>
        </w:tc>
        <w:tc>
          <w:tcPr>
            <w:tcW w:w="2535"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proofErr w:type="spellStart"/>
            <w:r w:rsidRPr="000E2E4A">
              <w:rPr>
                <w:rFonts w:cs="Arial"/>
                <w:sz w:val="20"/>
              </w:rPr>
              <w:t>IMPRoVE</w:t>
            </w:r>
            <w:proofErr w:type="spellEnd"/>
          </w:p>
        </w:tc>
        <w:tc>
          <w:tcPr>
            <w:tcW w:w="1878" w:type="dxa"/>
            <w:tcBorders>
              <w:top w:val="nil"/>
              <w:left w:val="nil"/>
              <w:bottom w:val="single" w:sz="4" w:space="0" w:color="auto"/>
              <w:right w:val="single" w:sz="4" w:space="0" w:color="auto"/>
            </w:tcBorders>
            <w:shd w:val="clear" w:color="000000" w:fill="FFFFFF"/>
            <w:hideMark/>
          </w:tcPr>
          <w:p w:rsidR="00687746" w:rsidRPr="000E2E4A" w:rsidRDefault="00687746" w:rsidP="009325FD">
            <w:pPr>
              <w:jc w:val="center"/>
              <w:rPr>
                <w:rFonts w:cs="Arial"/>
                <w:color w:val="000000"/>
                <w:sz w:val="20"/>
              </w:rPr>
            </w:pPr>
            <w:r w:rsidRPr="000E2E4A">
              <w:rPr>
                <w:rFonts w:cs="Arial"/>
                <w:sz w:val="20"/>
              </w:rPr>
              <w:t>1</w:t>
            </w:r>
          </w:p>
        </w:tc>
        <w:tc>
          <w:tcPr>
            <w:tcW w:w="1524" w:type="dxa"/>
            <w:tcBorders>
              <w:top w:val="nil"/>
              <w:left w:val="nil"/>
              <w:bottom w:val="single" w:sz="4" w:space="0" w:color="auto"/>
              <w:right w:val="single" w:sz="4" w:space="0" w:color="auto"/>
            </w:tcBorders>
            <w:shd w:val="clear" w:color="000000" w:fill="FFFFFF"/>
            <w:hideMark/>
          </w:tcPr>
          <w:p w:rsidR="00687746" w:rsidRPr="000E2E4A" w:rsidRDefault="00687746" w:rsidP="009325FD">
            <w:pPr>
              <w:jc w:val="center"/>
              <w:rPr>
                <w:rFonts w:cs="Arial"/>
                <w:color w:val="000000"/>
                <w:sz w:val="20"/>
              </w:rPr>
            </w:pPr>
            <w:r w:rsidRPr="000E2E4A">
              <w:rPr>
                <w:rFonts w:cs="Arial"/>
                <w:sz w:val="20"/>
              </w:rPr>
              <w:t>06/06/2024</w:t>
            </w:r>
          </w:p>
        </w:tc>
        <w:tc>
          <w:tcPr>
            <w:tcW w:w="1134"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288"/>
          <w:jc w:val="center"/>
        </w:trPr>
        <w:tc>
          <w:tcPr>
            <w:tcW w:w="1451" w:type="dxa"/>
            <w:tcBorders>
              <w:top w:val="nil"/>
              <w:left w:val="single" w:sz="4" w:space="0" w:color="auto"/>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21/COLO/01</w:t>
            </w:r>
          </w:p>
        </w:tc>
        <w:tc>
          <w:tcPr>
            <w:tcW w:w="2535"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proofErr w:type="spellStart"/>
            <w:r w:rsidRPr="000E2E4A">
              <w:rPr>
                <w:rFonts w:cs="Arial"/>
                <w:sz w:val="20"/>
              </w:rPr>
              <w:t>Colo</w:t>
            </w:r>
            <w:proofErr w:type="spellEnd"/>
            <w:r w:rsidRPr="000E2E4A">
              <w:rPr>
                <w:rFonts w:cs="Arial"/>
                <w:sz w:val="20"/>
              </w:rPr>
              <w:t>-cohort</w:t>
            </w:r>
          </w:p>
        </w:tc>
        <w:tc>
          <w:tcPr>
            <w:tcW w:w="1878"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2</w:t>
            </w:r>
          </w:p>
        </w:tc>
        <w:tc>
          <w:tcPr>
            <w:tcW w:w="152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28/08/2024</w:t>
            </w:r>
          </w:p>
        </w:tc>
        <w:tc>
          <w:tcPr>
            <w:tcW w:w="113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288"/>
          <w:jc w:val="center"/>
        </w:trPr>
        <w:tc>
          <w:tcPr>
            <w:tcW w:w="1451" w:type="dxa"/>
            <w:tcBorders>
              <w:top w:val="nil"/>
              <w:left w:val="single" w:sz="4" w:space="0" w:color="auto"/>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23/CARD/09</w:t>
            </w:r>
          </w:p>
        </w:tc>
        <w:tc>
          <w:tcPr>
            <w:tcW w:w="2535"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Garden TIMI</w:t>
            </w:r>
          </w:p>
        </w:tc>
        <w:tc>
          <w:tcPr>
            <w:tcW w:w="1878"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7</w:t>
            </w:r>
          </w:p>
        </w:tc>
        <w:tc>
          <w:tcPr>
            <w:tcW w:w="152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20/09/2024</w:t>
            </w:r>
          </w:p>
        </w:tc>
        <w:tc>
          <w:tcPr>
            <w:tcW w:w="113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576"/>
          <w:jc w:val="center"/>
        </w:trPr>
        <w:tc>
          <w:tcPr>
            <w:tcW w:w="1451" w:type="dxa"/>
            <w:tcBorders>
              <w:top w:val="nil"/>
              <w:left w:val="single" w:sz="4" w:space="0" w:color="auto"/>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24/MISC/01</w:t>
            </w:r>
          </w:p>
        </w:tc>
        <w:tc>
          <w:tcPr>
            <w:tcW w:w="2535" w:type="dxa"/>
            <w:tcBorders>
              <w:top w:val="nil"/>
              <w:left w:val="nil"/>
              <w:bottom w:val="single" w:sz="4" w:space="0" w:color="auto"/>
              <w:right w:val="single" w:sz="4" w:space="0" w:color="auto"/>
            </w:tcBorders>
            <w:shd w:val="clear" w:color="000000" w:fill="FFFFFF"/>
            <w:hideMark/>
          </w:tcPr>
          <w:p w:rsidR="00687746" w:rsidRPr="000E2E4A" w:rsidRDefault="00687746" w:rsidP="009325FD">
            <w:pPr>
              <w:rPr>
                <w:rFonts w:cs="Arial"/>
                <w:color w:val="000000"/>
                <w:sz w:val="20"/>
              </w:rPr>
            </w:pPr>
            <w:proofErr w:type="spellStart"/>
            <w:r w:rsidRPr="000E2E4A">
              <w:rPr>
                <w:rFonts w:cs="Arial"/>
                <w:sz w:val="20"/>
              </w:rPr>
              <w:t>Interoceptive</w:t>
            </w:r>
            <w:proofErr w:type="spellEnd"/>
            <w:r w:rsidRPr="000E2E4A">
              <w:rPr>
                <w:rFonts w:cs="Arial"/>
                <w:sz w:val="20"/>
              </w:rPr>
              <w:t xml:space="preserve"> Based Intervention in Pulmonary Hypertension</w:t>
            </w:r>
          </w:p>
        </w:tc>
        <w:tc>
          <w:tcPr>
            <w:tcW w:w="1878"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0</w:t>
            </w:r>
          </w:p>
        </w:tc>
        <w:tc>
          <w:tcPr>
            <w:tcW w:w="152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color w:val="000000"/>
                <w:sz w:val="20"/>
              </w:rPr>
            </w:pPr>
            <w:r w:rsidRPr="000E2E4A">
              <w:rPr>
                <w:rFonts w:cs="Arial"/>
                <w:sz w:val="20"/>
              </w:rPr>
              <w:t>31/10/2024</w:t>
            </w:r>
          </w:p>
        </w:tc>
        <w:tc>
          <w:tcPr>
            <w:tcW w:w="1134" w:type="dxa"/>
            <w:tcBorders>
              <w:top w:val="nil"/>
              <w:left w:val="nil"/>
              <w:bottom w:val="single" w:sz="4" w:space="0" w:color="auto"/>
              <w:right w:val="single" w:sz="4" w:space="0" w:color="auto"/>
            </w:tcBorders>
            <w:shd w:val="clear" w:color="000000" w:fill="FFFFFF"/>
            <w:noWrap/>
            <w:hideMark/>
          </w:tcPr>
          <w:p w:rsidR="00687746" w:rsidRPr="000E2E4A" w:rsidRDefault="00687746" w:rsidP="009325FD">
            <w:pPr>
              <w:rPr>
                <w:rFonts w:cs="Arial"/>
                <w:color w:val="000000"/>
                <w:sz w:val="20"/>
              </w:rPr>
            </w:pPr>
            <w:r w:rsidRPr="000E2E4A">
              <w:rPr>
                <w:rFonts w:cs="Arial"/>
                <w:sz w:val="20"/>
              </w:rPr>
              <w:t>Complete</w:t>
            </w:r>
          </w:p>
        </w:tc>
      </w:tr>
      <w:tr w:rsidR="00687746" w:rsidRPr="000E2E4A" w:rsidTr="009325FD">
        <w:trPr>
          <w:trHeight w:val="576"/>
          <w:jc w:val="center"/>
        </w:trPr>
        <w:tc>
          <w:tcPr>
            <w:tcW w:w="1451" w:type="dxa"/>
            <w:tcBorders>
              <w:top w:val="single" w:sz="4" w:space="0" w:color="auto"/>
              <w:left w:val="single" w:sz="4" w:space="0" w:color="auto"/>
              <w:bottom w:val="single" w:sz="4" w:space="0" w:color="auto"/>
              <w:right w:val="single" w:sz="4" w:space="0" w:color="auto"/>
            </w:tcBorders>
            <w:shd w:val="clear" w:color="000000" w:fill="FFFFFF"/>
            <w:noWrap/>
            <w:hideMark/>
          </w:tcPr>
          <w:p w:rsidR="00687746" w:rsidRPr="000E2E4A" w:rsidRDefault="00687746" w:rsidP="009325FD">
            <w:pPr>
              <w:rPr>
                <w:rFonts w:cs="Arial"/>
                <w:sz w:val="20"/>
              </w:rPr>
            </w:pPr>
            <w:r w:rsidRPr="000E2E4A">
              <w:rPr>
                <w:rFonts w:cs="Arial"/>
                <w:sz w:val="20"/>
              </w:rPr>
              <w:t>24/MISC/02</w:t>
            </w:r>
          </w:p>
        </w:tc>
        <w:tc>
          <w:tcPr>
            <w:tcW w:w="2535" w:type="dxa"/>
            <w:tcBorders>
              <w:top w:val="single" w:sz="4" w:space="0" w:color="auto"/>
              <w:left w:val="nil"/>
              <w:bottom w:val="single" w:sz="4" w:space="0" w:color="auto"/>
              <w:right w:val="single" w:sz="4" w:space="0" w:color="auto"/>
            </w:tcBorders>
            <w:shd w:val="clear" w:color="000000" w:fill="FFFFFF"/>
            <w:hideMark/>
          </w:tcPr>
          <w:p w:rsidR="00687746" w:rsidRPr="000E2E4A" w:rsidRDefault="00687746" w:rsidP="009325FD">
            <w:pPr>
              <w:rPr>
                <w:rFonts w:cs="Arial"/>
                <w:sz w:val="20"/>
              </w:rPr>
            </w:pPr>
            <w:r w:rsidRPr="000E2E4A">
              <w:rPr>
                <w:rFonts w:cs="Arial"/>
                <w:sz w:val="20"/>
              </w:rPr>
              <w:t>Adults with CHD- exploring their knowledge of their condition</w:t>
            </w:r>
          </w:p>
        </w:tc>
        <w:tc>
          <w:tcPr>
            <w:tcW w:w="1878" w:type="dxa"/>
            <w:tcBorders>
              <w:top w:val="single" w:sz="4" w:space="0" w:color="auto"/>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sz w:val="20"/>
              </w:rPr>
            </w:pPr>
            <w:r w:rsidRPr="000E2E4A">
              <w:rPr>
                <w:rFonts w:cs="Arial"/>
                <w:sz w:val="20"/>
              </w:rPr>
              <w:t>6</w:t>
            </w:r>
          </w:p>
        </w:tc>
        <w:tc>
          <w:tcPr>
            <w:tcW w:w="1524" w:type="dxa"/>
            <w:tcBorders>
              <w:top w:val="single" w:sz="4" w:space="0" w:color="auto"/>
              <w:left w:val="nil"/>
              <w:bottom w:val="single" w:sz="4" w:space="0" w:color="auto"/>
              <w:right w:val="single" w:sz="4" w:space="0" w:color="auto"/>
            </w:tcBorders>
            <w:shd w:val="clear" w:color="000000" w:fill="FFFFFF"/>
            <w:noWrap/>
            <w:hideMark/>
          </w:tcPr>
          <w:p w:rsidR="00687746" w:rsidRPr="000E2E4A" w:rsidRDefault="00687746" w:rsidP="009325FD">
            <w:pPr>
              <w:jc w:val="center"/>
              <w:rPr>
                <w:rFonts w:cs="Arial"/>
                <w:sz w:val="20"/>
              </w:rPr>
            </w:pPr>
            <w:r w:rsidRPr="000E2E4A">
              <w:rPr>
                <w:rFonts w:cs="Arial"/>
                <w:sz w:val="20"/>
              </w:rPr>
              <w:t>18/11/2024</w:t>
            </w:r>
          </w:p>
        </w:tc>
        <w:tc>
          <w:tcPr>
            <w:tcW w:w="1134" w:type="dxa"/>
            <w:tcBorders>
              <w:top w:val="single" w:sz="4" w:space="0" w:color="auto"/>
              <w:left w:val="nil"/>
              <w:bottom w:val="single" w:sz="4" w:space="0" w:color="auto"/>
              <w:right w:val="single" w:sz="4" w:space="0" w:color="auto"/>
            </w:tcBorders>
            <w:shd w:val="clear" w:color="000000" w:fill="FFFFFF"/>
            <w:noWrap/>
            <w:hideMark/>
          </w:tcPr>
          <w:p w:rsidR="00687746" w:rsidRPr="000E2E4A" w:rsidRDefault="00687746" w:rsidP="009325FD">
            <w:pPr>
              <w:rPr>
                <w:rFonts w:cs="Arial"/>
                <w:sz w:val="20"/>
              </w:rPr>
            </w:pPr>
            <w:r w:rsidRPr="000E2E4A">
              <w:rPr>
                <w:rFonts w:cs="Arial"/>
                <w:sz w:val="20"/>
              </w:rPr>
              <w:t>Complete</w:t>
            </w:r>
          </w:p>
        </w:tc>
      </w:tr>
      <w:tr w:rsidR="00687746" w:rsidRPr="000E2E4A" w:rsidTr="009325FD">
        <w:trPr>
          <w:trHeight w:val="430"/>
          <w:jc w:val="center"/>
        </w:trPr>
        <w:tc>
          <w:tcPr>
            <w:tcW w:w="1451" w:type="dxa"/>
            <w:tcBorders>
              <w:top w:val="single" w:sz="4" w:space="0" w:color="auto"/>
              <w:left w:val="single" w:sz="4" w:space="0" w:color="auto"/>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23/CARD/12</w:t>
            </w:r>
          </w:p>
        </w:tc>
        <w:tc>
          <w:tcPr>
            <w:tcW w:w="2535" w:type="dxa"/>
            <w:tcBorders>
              <w:top w:val="single" w:sz="4" w:space="0" w:color="auto"/>
              <w:left w:val="nil"/>
              <w:bottom w:val="single" w:sz="4" w:space="0" w:color="auto"/>
              <w:right w:val="single" w:sz="4" w:space="0" w:color="auto"/>
            </w:tcBorders>
            <w:shd w:val="clear" w:color="000000" w:fill="FFFFFF"/>
          </w:tcPr>
          <w:p w:rsidR="00687746" w:rsidRPr="000E2E4A" w:rsidRDefault="00687746" w:rsidP="009325FD">
            <w:pPr>
              <w:rPr>
                <w:rFonts w:cs="Arial"/>
                <w:sz w:val="20"/>
              </w:rPr>
            </w:pPr>
            <w:proofErr w:type="spellStart"/>
            <w:r w:rsidRPr="000E2E4A">
              <w:rPr>
                <w:rFonts w:cs="Arial"/>
                <w:sz w:val="20"/>
              </w:rPr>
              <w:t>Librexia</w:t>
            </w:r>
            <w:proofErr w:type="spellEnd"/>
            <w:r w:rsidRPr="000E2E4A">
              <w:rPr>
                <w:rFonts w:cs="Arial"/>
                <w:sz w:val="20"/>
              </w:rPr>
              <w:t xml:space="preserve"> - Atrial Fibrillation</w:t>
            </w:r>
          </w:p>
        </w:tc>
        <w:tc>
          <w:tcPr>
            <w:tcW w:w="1878"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7</w:t>
            </w:r>
          </w:p>
        </w:tc>
        <w:tc>
          <w:tcPr>
            <w:tcW w:w="152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27/01/2025</w:t>
            </w:r>
          </w:p>
        </w:tc>
        <w:tc>
          <w:tcPr>
            <w:tcW w:w="113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Complete</w:t>
            </w:r>
          </w:p>
        </w:tc>
      </w:tr>
      <w:tr w:rsidR="00687746" w:rsidRPr="000E2E4A" w:rsidTr="009325FD">
        <w:trPr>
          <w:trHeight w:val="296"/>
          <w:jc w:val="center"/>
        </w:trPr>
        <w:tc>
          <w:tcPr>
            <w:tcW w:w="1451" w:type="dxa"/>
            <w:tcBorders>
              <w:top w:val="single" w:sz="4" w:space="0" w:color="auto"/>
              <w:left w:val="single" w:sz="4" w:space="0" w:color="auto"/>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23/CARD/29</w:t>
            </w:r>
          </w:p>
        </w:tc>
        <w:tc>
          <w:tcPr>
            <w:tcW w:w="2535" w:type="dxa"/>
            <w:tcBorders>
              <w:top w:val="single" w:sz="4" w:space="0" w:color="auto"/>
              <w:left w:val="nil"/>
              <w:bottom w:val="single" w:sz="4" w:space="0" w:color="auto"/>
              <w:right w:val="single" w:sz="4" w:space="0" w:color="auto"/>
            </w:tcBorders>
            <w:shd w:val="clear" w:color="000000" w:fill="FFFFFF"/>
          </w:tcPr>
          <w:p w:rsidR="00687746" w:rsidRPr="000E2E4A" w:rsidRDefault="00687746" w:rsidP="009325FD">
            <w:pPr>
              <w:rPr>
                <w:rFonts w:cs="Arial"/>
                <w:sz w:val="20"/>
              </w:rPr>
            </w:pPr>
            <w:r w:rsidRPr="000E2E4A">
              <w:rPr>
                <w:rFonts w:cs="Arial"/>
                <w:sz w:val="20"/>
              </w:rPr>
              <w:t>TROPOS</w:t>
            </w:r>
          </w:p>
        </w:tc>
        <w:tc>
          <w:tcPr>
            <w:tcW w:w="1878"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7</w:t>
            </w:r>
          </w:p>
        </w:tc>
        <w:tc>
          <w:tcPr>
            <w:tcW w:w="152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10/02/2025</w:t>
            </w:r>
          </w:p>
        </w:tc>
        <w:tc>
          <w:tcPr>
            <w:tcW w:w="113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Complete</w:t>
            </w:r>
          </w:p>
        </w:tc>
      </w:tr>
      <w:tr w:rsidR="00687746" w:rsidRPr="000E2E4A" w:rsidTr="009325FD">
        <w:trPr>
          <w:trHeight w:val="458"/>
          <w:jc w:val="center"/>
        </w:trPr>
        <w:tc>
          <w:tcPr>
            <w:tcW w:w="1451" w:type="dxa"/>
            <w:tcBorders>
              <w:top w:val="single" w:sz="4" w:space="0" w:color="auto"/>
              <w:left w:val="single" w:sz="4" w:space="0" w:color="auto"/>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24/CARD/08</w:t>
            </w:r>
          </w:p>
        </w:tc>
        <w:tc>
          <w:tcPr>
            <w:tcW w:w="2535" w:type="dxa"/>
            <w:tcBorders>
              <w:top w:val="single" w:sz="4" w:space="0" w:color="auto"/>
              <w:left w:val="nil"/>
              <w:bottom w:val="single" w:sz="4" w:space="0" w:color="auto"/>
              <w:right w:val="single" w:sz="4" w:space="0" w:color="auto"/>
            </w:tcBorders>
            <w:shd w:val="clear" w:color="000000" w:fill="FFFFFF"/>
          </w:tcPr>
          <w:p w:rsidR="00687746" w:rsidRPr="000E2E4A" w:rsidRDefault="00687746" w:rsidP="009325FD">
            <w:pPr>
              <w:rPr>
                <w:rFonts w:cs="Arial"/>
                <w:sz w:val="20"/>
              </w:rPr>
            </w:pPr>
            <w:proofErr w:type="spellStart"/>
            <w:r w:rsidRPr="000E2E4A">
              <w:rPr>
                <w:rFonts w:cs="Arial"/>
                <w:sz w:val="20"/>
              </w:rPr>
              <w:t>CorMicA</w:t>
            </w:r>
            <w:proofErr w:type="spellEnd"/>
            <w:r w:rsidRPr="000E2E4A">
              <w:rPr>
                <w:rFonts w:cs="Arial"/>
                <w:sz w:val="20"/>
              </w:rPr>
              <w:t>-PCI</w:t>
            </w:r>
          </w:p>
        </w:tc>
        <w:tc>
          <w:tcPr>
            <w:tcW w:w="1878"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6</w:t>
            </w:r>
          </w:p>
        </w:tc>
        <w:tc>
          <w:tcPr>
            <w:tcW w:w="152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jc w:val="center"/>
              <w:rPr>
                <w:rFonts w:cs="Arial"/>
                <w:sz w:val="20"/>
              </w:rPr>
            </w:pPr>
            <w:r w:rsidRPr="000E2E4A">
              <w:rPr>
                <w:rFonts w:cs="Arial"/>
                <w:sz w:val="20"/>
              </w:rPr>
              <w:t>25/03/2025</w:t>
            </w:r>
          </w:p>
        </w:tc>
        <w:tc>
          <w:tcPr>
            <w:tcW w:w="1134" w:type="dxa"/>
            <w:tcBorders>
              <w:top w:val="single" w:sz="4" w:space="0" w:color="auto"/>
              <w:left w:val="nil"/>
              <w:bottom w:val="single" w:sz="4" w:space="0" w:color="auto"/>
              <w:right w:val="single" w:sz="4" w:space="0" w:color="auto"/>
            </w:tcBorders>
            <w:shd w:val="clear" w:color="000000" w:fill="FFFFFF"/>
            <w:noWrap/>
          </w:tcPr>
          <w:p w:rsidR="00687746" w:rsidRPr="000E2E4A" w:rsidRDefault="00687746" w:rsidP="009325FD">
            <w:pPr>
              <w:rPr>
                <w:rFonts w:cs="Arial"/>
                <w:sz w:val="20"/>
              </w:rPr>
            </w:pPr>
            <w:r w:rsidRPr="000E2E4A">
              <w:rPr>
                <w:rFonts w:cs="Arial"/>
                <w:sz w:val="20"/>
              </w:rPr>
              <w:t>Complete</w:t>
            </w:r>
          </w:p>
        </w:tc>
      </w:tr>
    </w:tbl>
    <w:p w:rsidR="00687746" w:rsidRDefault="00687746" w:rsidP="00687746"/>
    <w:p w:rsidR="00687746" w:rsidRDefault="00687746" w:rsidP="00687746">
      <w:pPr>
        <w:pStyle w:val="Heading3"/>
      </w:pPr>
      <w:bookmarkStart w:id="56" w:name="_Toc164670172"/>
      <w:r>
        <w:t xml:space="preserve">KPI 5: </w:t>
      </w:r>
      <w:r w:rsidRPr="008C2449">
        <w:t>Number of journal publications with NHS Golden Jubilee quoted</w:t>
      </w:r>
      <w:bookmarkEnd w:id="56"/>
    </w:p>
    <w:p w:rsidR="00687746" w:rsidRDefault="00687746" w:rsidP="00687746">
      <w:r>
        <w:t xml:space="preserve">The number of journal publication remains stable with 109 in 24/25. The impact factor is also in line with previous years. Interventional Cardiology has the most publications, and SPVU the least. </w:t>
      </w:r>
    </w:p>
    <w:p w:rsidR="000E2E4A" w:rsidRPr="00854DFC" w:rsidRDefault="000E2E4A" w:rsidP="00687746"/>
    <w:p w:rsidR="00687746" w:rsidRDefault="00687746" w:rsidP="00687746">
      <w:r w:rsidRPr="00EB743C">
        <w:rPr>
          <w:noProof/>
          <w:lang w:eastAsia="en-GB"/>
        </w:rPr>
        <w:drawing>
          <wp:inline distT="0" distB="0" distL="0" distR="0" wp14:anchorId="3E87E4CB" wp14:editId="7E610666">
            <wp:extent cx="6029960" cy="2819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960" cy="2819765"/>
                    </a:xfrm>
                    <a:prstGeom prst="rect">
                      <a:avLst/>
                    </a:prstGeom>
                    <a:noFill/>
                    <a:ln>
                      <a:noFill/>
                    </a:ln>
                  </pic:spPr>
                </pic:pic>
              </a:graphicData>
            </a:graphic>
          </wp:inline>
        </w:drawing>
      </w:r>
    </w:p>
    <w:p w:rsidR="000E2E4A" w:rsidRDefault="000E2E4A" w:rsidP="00687746">
      <w:pPr>
        <w:pStyle w:val="Heading3"/>
      </w:pPr>
      <w:bookmarkStart w:id="57" w:name="_Toc164670173"/>
    </w:p>
    <w:p w:rsidR="00687746" w:rsidRDefault="00687746" w:rsidP="00687746">
      <w:pPr>
        <w:pStyle w:val="Heading3"/>
      </w:pPr>
      <w:r>
        <w:t xml:space="preserve">KPI 6: </w:t>
      </w:r>
      <w:r w:rsidRPr="00EC6FA2">
        <w:t xml:space="preserve">Number of </w:t>
      </w:r>
      <w:r>
        <w:t xml:space="preserve">approved </w:t>
      </w:r>
      <w:r w:rsidRPr="00EC6FA2">
        <w:t>projects sponsored by NHS Golden Jubilee</w:t>
      </w:r>
      <w:bookmarkEnd w:id="57"/>
    </w:p>
    <w:p w:rsidR="00687746" w:rsidRDefault="00687746" w:rsidP="00687746"/>
    <w:p w:rsidR="00687746" w:rsidRDefault="00687746" w:rsidP="00687746">
      <w:r>
        <w:t xml:space="preserve">The number of projects sponsored by the Jubilee gives an indication of the number of projects that originate from the organisation. The strategic intent is to increase this number. </w:t>
      </w:r>
    </w:p>
    <w:p w:rsidR="00687746" w:rsidRDefault="00687746" w:rsidP="00687746"/>
    <w:p w:rsidR="00687746" w:rsidRDefault="00687746" w:rsidP="00687746">
      <w:r>
        <w:t xml:space="preserve">There is also a strategic intent of increasing the number of multi-site sponsored projects however, the major limitation on this development is that lack of a Project Manager - whose remit would be to manage the external sites.  The establishment of a Project Manager post is a key remit. </w:t>
      </w:r>
    </w:p>
    <w:p w:rsidR="00687746" w:rsidRPr="009B67F5" w:rsidRDefault="00687746" w:rsidP="00687746"/>
    <w:tbl>
      <w:tblPr>
        <w:tblStyle w:val="TableGrid"/>
        <w:tblW w:w="0" w:type="auto"/>
        <w:jc w:val="center"/>
        <w:tblLook w:val="04A0" w:firstRow="1" w:lastRow="0" w:firstColumn="1" w:lastColumn="0" w:noHBand="0" w:noVBand="1"/>
      </w:tblPr>
      <w:tblGrid>
        <w:gridCol w:w="1599"/>
        <w:gridCol w:w="1848"/>
        <w:gridCol w:w="1848"/>
        <w:gridCol w:w="1600"/>
      </w:tblGrid>
      <w:tr w:rsidR="00687746" w:rsidRPr="000E2E4A" w:rsidTr="009325FD">
        <w:trPr>
          <w:trHeight w:val="308"/>
          <w:jc w:val="center"/>
        </w:trPr>
        <w:tc>
          <w:tcPr>
            <w:tcW w:w="1599" w:type="dxa"/>
            <w:shd w:val="clear" w:color="auto" w:fill="DEEAF6" w:themeFill="accent1" w:themeFillTint="33"/>
          </w:tcPr>
          <w:p w:rsidR="00687746" w:rsidRPr="000E2E4A" w:rsidRDefault="00687746" w:rsidP="009325FD">
            <w:pPr>
              <w:pStyle w:val="Heading3"/>
              <w:outlineLvl w:val="2"/>
              <w:rPr>
                <w:rFonts w:ascii="Arial" w:hAnsi="Arial" w:cs="Arial"/>
              </w:rPr>
            </w:pPr>
            <w:bookmarkStart w:id="58" w:name="_Toc164670174"/>
          </w:p>
        </w:tc>
        <w:tc>
          <w:tcPr>
            <w:tcW w:w="1848" w:type="dxa"/>
            <w:shd w:val="clear" w:color="auto" w:fill="DEEAF6" w:themeFill="accent1" w:themeFillTint="33"/>
          </w:tcPr>
          <w:p w:rsidR="00687746" w:rsidRPr="000E2E4A" w:rsidRDefault="00687746" w:rsidP="009325FD">
            <w:pPr>
              <w:pStyle w:val="Heading3"/>
              <w:jc w:val="center"/>
              <w:outlineLvl w:val="2"/>
              <w:rPr>
                <w:rFonts w:ascii="Arial" w:hAnsi="Arial" w:cs="Arial"/>
              </w:rPr>
            </w:pPr>
            <w:r w:rsidRPr="000E2E4A">
              <w:rPr>
                <w:rFonts w:ascii="Arial" w:hAnsi="Arial" w:cs="Arial"/>
              </w:rPr>
              <w:t>2022/23</w:t>
            </w:r>
          </w:p>
        </w:tc>
        <w:tc>
          <w:tcPr>
            <w:tcW w:w="1848" w:type="dxa"/>
            <w:shd w:val="clear" w:color="auto" w:fill="DEEAF6" w:themeFill="accent1" w:themeFillTint="33"/>
          </w:tcPr>
          <w:p w:rsidR="00687746" w:rsidRPr="000E2E4A" w:rsidRDefault="00687746" w:rsidP="009325FD">
            <w:pPr>
              <w:pStyle w:val="Heading3"/>
              <w:jc w:val="center"/>
              <w:outlineLvl w:val="2"/>
              <w:rPr>
                <w:rFonts w:ascii="Arial" w:hAnsi="Arial" w:cs="Arial"/>
              </w:rPr>
            </w:pPr>
            <w:r w:rsidRPr="000E2E4A">
              <w:rPr>
                <w:rFonts w:ascii="Arial" w:hAnsi="Arial" w:cs="Arial"/>
              </w:rPr>
              <w:t>2023/24</w:t>
            </w:r>
          </w:p>
        </w:tc>
        <w:tc>
          <w:tcPr>
            <w:tcW w:w="1600" w:type="dxa"/>
            <w:shd w:val="clear" w:color="auto" w:fill="DEEAF6" w:themeFill="accent1" w:themeFillTint="33"/>
          </w:tcPr>
          <w:p w:rsidR="00687746" w:rsidRPr="000E2E4A" w:rsidRDefault="00687746" w:rsidP="009325FD">
            <w:pPr>
              <w:pStyle w:val="Heading3"/>
              <w:jc w:val="center"/>
              <w:outlineLvl w:val="2"/>
              <w:rPr>
                <w:rFonts w:ascii="Arial" w:hAnsi="Arial" w:cs="Arial"/>
              </w:rPr>
            </w:pPr>
            <w:r w:rsidRPr="000E2E4A">
              <w:rPr>
                <w:rFonts w:ascii="Arial" w:hAnsi="Arial" w:cs="Arial"/>
              </w:rPr>
              <w:t>2024/25</w:t>
            </w:r>
          </w:p>
        </w:tc>
      </w:tr>
      <w:tr w:rsidR="00687746" w:rsidRPr="000E2E4A" w:rsidTr="009325FD">
        <w:trPr>
          <w:trHeight w:val="308"/>
          <w:jc w:val="center"/>
        </w:trPr>
        <w:tc>
          <w:tcPr>
            <w:tcW w:w="1599" w:type="dxa"/>
            <w:shd w:val="clear" w:color="auto" w:fill="DEEAF6" w:themeFill="accent1" w:themeFillTint="33"/>
          </w:tcPr>
          <w:p w:rsidR="00687746" w:rsidRPr="000E2E4A" w:rsidRDefault="00687746" w:rsidP="009325FD">
            <w:pPr>
              <w:pStyle w:val="Heading3"/>
              <w:outlineLvl w:val="2"/>
              <w:rPr>
                <w:rFonts w:ascii="Arial" w:hAnsi="Arial" w:cs="Arial"/>
              </w:rPr>
            </w:pPr>
            <w:r w:rsidRPr="000E2E4A">
              <w:rPr>
                <w:rFonts w:ascii="Arial" w:hAnsi="Arial" w:cs="Arial"/>
              </w:rPr>
              <w:t>Single-site</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7</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2</w:t>
            </w:r>
          </w:p>
        </w:tc>
        <w:tc>
          <w:tcPr>
            <w:tcW w:w="1600"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7</w:t>
            </w:r>
          </w:p>
        </w:tc>
      </w:tr>
      <w:tr w:rsidR="00687746" w:rsidRPr="000E2E4A" w:rsidTr="009325FD">
        <w:trPr>
          <w:trHeight w:val="308"/>
          <w:jc w:val="center"/>
        </w:trPr>
        <w:tc>
          <w:tcPr>
            <w:tcW w:w="1599" w:type="dxa"/>
            <w:shd w:val="clear" w:color="auto" w:fill="DEEAF6" w:themeFill="accent1" w:themeFillTint="33"/>
          </w:tcPr>
          <w:p w:rsidR="00687746" w:rsidRPr="000E2E4A" w:rsidRDefault="00687746" w:rsidP="009325FD">
            <w:pPr>
              <w:pStyle w:val="Heading3"/>
              <w:outlineLvl w:val="2"/>
              <w:rPr>
                <w:rFonts w:ascii="Arial" w:hAnsi="Arial" w:cs="Arial"/>
              </w:rPr>
            </w:pPr>
            <w:r w:rsidRPr="000E2E4A">
              <w:rPr>
                <w:rFonts w:ascii="Arial" w:hAnsi="Arial" w:cs="Arial"/>
              </w:rPr>
              <w:t>Multi-site</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3</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2</w:t>
            </w:r>
          </w:p>
        </w:tc>
        <w:tc>
          <w:tcPr>
            <w:tcW w:w="1600"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1</w:t>
            </w:r>
          </w:p>
        </w:tc>
      </w:tr>
      <w:tr w:rsidR="00687746" w:rsidRPr="000E2E4A" w:rsidTr="009325FD">
        <w:trPr>
          <w:trHeight w:val="22"/>
          <w:jc w:val="center"/>
        </w:trPr>
        <w:tc>
          <w:tcPr>
            <w:tcW w:w="1599" w:type="dxa"/>
            <w:shd w:val="clear" w:color="auto" w:fill="DEEAF6" w:themeFill="accent1" w:themeFillTint="33"/>
          </w:tcPr>
          <w:p w:rsidR="00687746" w:rsidRPr="000E2E4A" w:rsidRDefault="00687746" w:rsidP="009325FD">
            <w:pPr>
              <w:pStyle w:val="Heading3"/>
              <w:outlineLvl w:val="2"/>
              <w:rPr>
                <w:rFonts w:ascii="Arial" w:hAnsi="Arial" w:cs="Arial"/>
              </w:rPr>
            </w:pPr>
            <w:r w:rsidRPr="000E2E4A">
              <w:rPr>
                <w:rFonts w:ascii="Arial" w:hAnsi="Arial" w:cs="Arial"/>
              </w:rPr>
              <w:t>Total</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10</w:t>
            </w:r>
          </w:p>
        </w:tc>
        <w:tc>
          <w:tcPr>
            <w:tcW w:w="1848"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4</w:t>
            </w:r>
          </w:p>
        </w:tc>
        <w:tc>
          <w:tcPr>
            <w:tcW w:w="1600" w:type="dxa"/>
          </w:tcPr>
          <w:p w:rsidR="00687746" w:rsidRPr="000E2E4A" w:rsidRDefault="00687746" w:rsidP="009325FD">
            <w:pPr>
              <w:pStyle w:val="Heading3"/>
              <w:jc w:val="center"/>
              <w:outlineLvl w:val="2"/>
              <w:rPr>
                <w:rFonts w:ascii="Arial" w:hAnsi="Arial" w:cs="Arial"/>
                <w:b w:val="0"/>
              </w:rPr>
            </w:pPr>
            <w:r w:rsidRPr="000E2E4A">
              <w:rPr>
                <w:rFonts w:ascii="Arial" w:hAnsi="Arial" w:cs="Arial"/>
                <w:b w:val="0"/>
              </w:rPr>
              <w:t>8</w:t>
            </w:r>
          </w:p>
        </w:tc>
      </w:tr>
    </w:tbl>
    <w:p w:rsidR="00687746" w:rsidRDefault="00687746" w:rsidP="00687746">
      <w:pPr>
        <w:pStyle w:val="Heading3"/>
      </w:pPr>
    </w:p>
    <w:p w:rsidR="00687746" w:rsidRDefault="00687746" w:rsidP="00687746">
      <w:pPr>
        <w:pStyle w:val="Heading3"/>
      </w:pPr>
      <w:r>
        <w:t>KPI 7: The number of Principal Investigators</w:t>
      </w:r>
      <w:bookmarkEnd w:id="58"/>
    </w:p>
    <w:p w:rsidR="00687746" w:rsidRPr="004D1C81" w:rsidRDefault="00687746" w:rsidP="00687746"/>
    <w:p w:rsidR="00687746" w:rsidRDefault="00687746" w:rsidP="00687746">
      <w:r w:rsidRPr="004D1C81">
        <w:rPr>
          <w:noProof/>
          <w:lang w:eastAsia="en-GB"/>
        </w:rPr>
        <w:drawing>
          <wp:inline distT="0" distB="0" distL="0" distR="0" wp14:anchorId="6B3F8245" wp14:editId="7E757DC9">
            <wp:extent cx="6149233" cy="29445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819" cy="2954444"/>
                    </a:xfrm>
                    <a:prstGeom prst="rect">
                      <a:avLst/>
                    </a:prstGeom>
                    <a:noFill/>
                    <a:ln>
                      <a:noFill/>
                    </a:ln>
                  </pic:spPr>
                </pic:pic>
              </a:graphicData>
            </a:graphic>
          </wp:inline>
        </w:drawing>
      </w:r>
    </w:p>
    <w:p w:rsidR="000E2E4A" w:rsidRDefault="000E2E4A" w:rsidP="00687746"/>
    <w:p w:rsidR="00687746" w:rsidRPr="00296BDA" w:rsidRDefault="00687746" w:rsidP="00687746">
      <w:r>
        <w:t xml:space="preserve">This is calculated using the April 2025 research project portfolio report and relates to projects that are either actively recruiting, or are in follow-up. The number of PIs has increased significantly - in line with the significant increase in the number of projects (121 compared to 98 in the last financial year). Of the 39 PIs, 3 are employed by the University of Glasgow, 3 by NHS GG&amp;C and 2 are external to the Jubilee. The remaining 31 are employed by the NHS Golden Jubilee, 28 are from the medical staff group, and 3 from either nursing, physiotherapy or administration. </w:t>
      </w:r>
    </w:p>
    <w:p w:rsidR="00687746" w:rsidRDefault="00687746" w:rsidP="00687746">
      <w:pPr>
        <w:rPr>
          <w:b/>
          <w:bCs/>
          <w:i/>
          <w:iCs/>
          <w:sz w:val="28"/>
          <w:szCs w:val="28"/>
        </w:rPr>
      </w:pPr>
    </w:p>
    <w:p w:rsidR="00687746" w:rsidRDefault="00687746" w:rsidP="00687746">
      <w:pPr>
        <w:pStyle w:val="Heading2"/>
      </w:pPr>
      <w:bookmarkStart w:id="59" w:name="_Toc164670175"/>
      <w:r w:rsidRPr="006B3227">
        <w:t>Section 2. Research Governance</w:t>
      </w:r>
      <w:bookmarkEnd w:id="59"/>
      <w:r>
        <w:t xml:space="preserve"> </w:t>
      </w:r>
    </w:p>
    <w:p w:rsidR="00687746" w:rsidRDefault="00687746" w:rsidP="00687746"/>
    <w:tbl>
      <w:tblPr>
        <w:tblStyle w:val="GridTable1Light-Accent1"/>
        <w:tblW w:w="4580" w:type="pct"/>
        <w:jc w:val="center"/>
        <w:tblLayout w:type="fixed"/>
        <w:tblLook w:val="04A0" w:firstRow="1" w:lastRow="0" w:firstColumn="1" w:lastColumn="0" w:noHBand="0" w:noVBand="1"/>
      </w:tblPr>
      <w:tblGrid>
        <w:gridCol w:w="1285"/>
        <w:gridCol w:w="3962"/>
        <w:gridCol w:w="1028"/>
        <w:gridCol w:w="2934"/>
      </w:tblGrid>
      <w:tr w:rsidR="00687746" w:rsidRPr="000E2E4A" w:rsidTr="009325FD">
        <w:trPr>
          <w:cnfStyle w:val="100000000000" w:firstRow="1" w:lastRow="0" w:firstColumn="0" w:lastColumn="0" w:oddVBand="0" w:evenVBand="0" w:oddHBand="0"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iCs/>
              </w:rPr>
            </w:pPr>
            <w:r w:rsidRPr="000E2E4A">
              <w:rPr>
                <w:rFonts w:ascii="Arial" w:eastAsiaTheme="majorEastAsia" w:hAnsi="Arial" w:cs="Arial"/>
                <w:b w:val="0"/>
                <w:bCs w:val="0"/>
                <w:iCs/>
              </w:rPr>
              <w:t>GJRI Reference</w:t>
            </w:r>
          </w:p>
        </w:tc>
        <w:tc>
          <w:tcPr>
            <w:tcW w:w="2151" w:type="pct"/>
            <w:shd w:val="clear" w:color="auto" w:fill="D5DCE4" w:themeFill="text2" w:themeFillTint="33"/>
          </w:tcPr>
          <w:p w:rsidR="00687746" w:rsidRPr="000E2E4A" w:rsidRDefault="00687746" w:rsidP="009325F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0E2E4A">
              <w:rPr>
                <w:rFonts w:ascii="Arial" w:eastAsiaTheme="majorEastAsia" w:hAnsi="Arial" w:cs="Arial"/>
                <w:b w:val="0"/>
                <w:bCs w:val="0"/>
                <w:iCs/>
              </w:rPr>
              <w:t>Document name</w:t>
            </w:r>
          </w:p>
        </w:tc>
        <w:tc>
          <w:tcPr>
            <w:tcW w:w="558" w:type="pct"/>
            <w:shd w:val="clear" w:color="auto" w:fill="D5DCE4" w:themeFill="text2" w:themeFillTint="33"/>
          </w:tcPr>
          <w:p w:rsidR="00687746" w:rsidRPr="000E2E4A" w:rsidRDefault="00687746" w:rsidP="009325F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0E2E4A">
              <w:rPr>
                <w:rFonts w:ascii="Arial" w:eastAsiaTheme="majorEastAsia" w:hAnsi="Arial" w:cs="Arial"/>
                <w:b w:val="0"/>
                <w:bCs w:val="0"/>
                <w:iCs/>
              </w:rPr>
              <w:t>Version</w:t>
            </w:r>
          </w:p>
        </w:tc>
        <w:tc>
          <w:tcPr>
            <w:tcW w:w="1593" w:type="pct"/>
            <w:shd w:val="clear" w:color="auto" w:fill="D5DCE4" w:themeFill="text2" w:themeFillTint="33"/>
          </w:tcPr>
          <w:p w:rsidR="00687746" w:rsidRPr="000E2E4A" w:rsidRDefault="00687746" w:rsidP="009325FD">
            <w:pPr>
              <w:spacing w:line="360" w:lineRule="auto"/>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rPr>
            </w:pPr>
            <w:r w:rsidRPr="000E2E4A">
              <w:rPr>
                <w:rFonts w:ascii="Arial" w:eastAsiaTheme="majorEastAsia" w:hAnsi="Arial" w:cs="Arial"/>
                <w:b w:val="0"/>
                <w:bCs w:val="0"/>
                <w:iCs/>
              </w:rPr>
              <w:t>Review date</w:t>
            </w:r>
          </w:p>
        </w:tc>
      </w:tr>
      <w:tr w:rsidR="00687746" w:rsidRPr="000E2E4A" w:rsidTr="009325FD">
        <w:trPr>
          <w:trHeight w:val="411"/>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000</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Research Quality Framework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3.0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August 2024 (in work plan)</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001</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Informed Consent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October 2027</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002</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Research Project Protocol Peer Review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4.0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November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003</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Review and Approval of Amendments</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3.0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September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004</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Delegation Log - Guidance</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3.0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July 2025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006</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Monitoring and Audit of Clinical Research Projects - Policy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3.0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May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GJRI008</w:t>
            </w:r>
          </w:p>
          <w:p w:rsidR="00687746" w:rsidRPr="000E2E4A" w:rsidRDefault="00687746" w:rsidP="009325FD">
            <w:pPr>
              <w:spacing w:line="360" w:lineRule="auto"/>
              <w:jc w:val="center"/>
              <w:rPr>
                <w:rFonts w:ascii="Arial" w:eastAsiaTheme="majorEastAsia" w:hAnsi="Arial" w:cs="Arial"/>
                <w:b w:val="0"/>
                <w:bCs w:val="0"/>
              </w:rPr>
            </w:pP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Guidance for setting up and maintaining a Research Site File.</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July 2025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 I009</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Serious Adverse Event Reporting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3.0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April 2025</w:t>
            </w:r>
          </w:p>
        </w:tc>
      </w:tr>
      <w:tr w:rsidR="00687746" w:rsidRPr="000E2E4A" w:rsidTr="009325FD">
        <w:trPr>
          <w:trHeight w:val="386"/>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010</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Research Archiving Policy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Aug 2027</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lastRenderedPageBreak/>
              <w:t>GJRI 011</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Training for staff engaged in Research</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November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012</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Management of Intellectual Property</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4.1</w:t>
            </w:r>
          </w:p>
        </w:tc>
        <w:tc>
          <w:tcPr>
            <w:tcW w:w="1593"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December 2024 (in review)</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013</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Research Fraud and Misconduct Policy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4.0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November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014</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Honorary Research Contract / Letter of Access for researchers</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June 2023 (awaiting national guidance)</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015</w:t>
            </w:r>
          </w:p>
        </w:tc>
        <w:tc>
          <w:tcPr>
            <w:tcW w:w="2151" w:type="pct"/>
          </w:tcPr>
          <w:p w:rsidR="00687746" w:rsidRPr="000E2E4A" w:rsidRDefault="00687746" w:rsidP="009325FD">
            <w:pPr>
              <w:tabs>
                <w:tab w:val="left" w:pos="955"/>
              </w:tabs>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Research Project Indemnity Guidance Document</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November 2026 </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016</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Medical Emergency in the CRF</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November 2026</w:t>
            </w:r>
          </w:p>
        </w:tc>
      </w:tr>
      <w:tr w:rsidR="00687746" w:rsidRPr="000E2E4A" w:rsidTr="009325FD">
        <w:trPr>
          <w:trHeight w:val="273"/>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017</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 xml:space="preserve">Management of Source data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2.0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eastAsiaTheme="majorEastAsia" w:hAnsi="Arial" w:cs="Arial"/>
              </w:rPr>
              <w:t>December 2026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 xml:space="preserve">GJRI 022 </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sidRPr="000E2E4A">
              <w:rPr>
                <w:rFonts w:ascii="Arial" w:eastAsiaTheme="majorEastAsia" w:hAnsi="Arial" w:cs="Arial"/>
                <w:bCs/>
                <w:lang w:val="en-US"/>
              </w:rPr>
              <w:t xml:space="preserve">Management of Policies, guidance documents and SOPs </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1.0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September 2025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697" w:type="pct"/>
            <w:shd w:val="clear" w:color="auto" w:fill="D5DCE4" w:themeFill="text2" w:themeFillTint="33"/>
          </w:tcPr>
          <w:p w:rsidR="00687746" w:rsidRPr="000E2E4A" w:rsidRDefault="00687746" w:rsidP="009325FD">
            <w:pPr>
              <w:spacing w:line="360" w:lineRule="auto"/>
              <w:rPr>
                <w:rFonts w:ascii="Arial" w:eastAsiaTheme="majorEastAsia" w:hAnsi="Arial" w:cs="Arial"/>
                <w:b w:val="0"/>
                <w:bCs w:val="0"/>
              </w:rPr>
            </w:pPr>
            <w:r w:rsidRPr="000E2E4A">
              <w:rPr>
                <w:rFonts w:ascii="Arial" w:eastAsiaTheme="majorEastAsia" w:hAnsi="Arial" w:cs="Arial"/>
                <w:b w:val="0"/>
                <w:bCs w:val="0"/>
              </w:rPr>
              <w:t>GJRI 024</w:t>
            </w:r>
          </w:p>
        </w:tc>
        <w:tc>
          <w:tcPr>
            <w:tcW w:w="2151"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bCs/>
                <w:lang w:val="en-US"/>
              </w:rPr>
            </w:pPr>
            <w:r w:rsidRPr="000E2E4A">
              <w:rPr>
                <w:rFonts w:ascii="Arial" w:eastAsiaTheme="majorEastAsia" w:hAnsi="Arial" w:cs="Arial"/>
                <w:bCs/>
                <w:lang w:val="en-US"/>
              </w:rPr>
              <w:t>Principal Investigator – role and responsibilities</w:t>
            </w:r>
          </w:p>
        </w:tc>
        <w:tc>
          <w:tcPr>
            <w:tcW w:w="558" w:type="pct"/>
          </w:tcPr>
          <w:p w:rsidR="00687746" w:rsidRPr="000E2E4A" w:rsidRDefault="00687746" w:rsidP="009325FD">
            <w:pPr>
              <w:spacing w:line="360" w:lineRule="auto"/>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1.0</w:t>
            </w:r>
          </w:p>
        </w:tc>
        <w:tc>
          <w:tcPr>
            <w:tcW w:w="1593" w:type="pct"/>
          </w:tcPr>
          <w:p w:rsidR="00687746" w:rsidRPr="000E2E4A" w:rsidRDefault="00687746" w:rsidP="009325FD">
            <w:pPr>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rPr>
            </w:pPr>
            <w:r w:rsidRPr="000E2E4A">
              <w:rPr>
                <w:rFonts w:ascii="Arial" w:eastAsiaTheme="majorEastAsia" w:hAnsi="Arial" w:cs="Arial"/>
              </w:rPr>
              <w:t>May 2025</w:t>
            </w:r>
          </w:p>
        </w:tc>
      </w:tr>
    </w:tbl>
    <w:p w:rsidR="00687746" w:rsidRDefault="00687746" w:rsidP="00687746"/>
    <w:p w:rsidR="00687746" w:rsidRDefault="00687746" w:rsidP="00687746"/>
    <w:p w:rsidR="00687746" w:rsidRPr="00B54357" w:rsidRDefault="00687746" w:rsidP="00687746">
      <w:pPr>
        <w:pStyle w:val="Heading2"/>
      </w:pPr>
      <w:bookmarkStart w:id="60" w:name="_Toc164670176"/>
      <w:r>
        <w:t>Section 3</w:t>
      </w:r>
      <w:r w:rsidRPr="00B54357">
        <w:t>. Staff Governance</w:t>
      </w:r>
      <w:bookmarkEnd w:id="60"/>
    </w:p>
    <w:p w:rsidR="00687746" w:rsidRPr="00B54357" w:rsidRDefault="00687746" w:rsidP="00687746"/>
    <w:p w:rsidR="00687746" w:rsidRDefault="00687746" w:rsidP="00687746">
      <w:pPr>
        <w:rPr>
          <w:b/>
        </w:rPr>
      </w:pPr>
      <w:r w:rsidRPr="00FC0337">
        <w:rPr>
          <w:b/>
        </w:rPr>
        <w:t>Sickness/absence</w:t>
      </w:r>
      <w:r>
        <w:rPr>
          <w:b/>
        </w:rPr>
        <w:t xml:space="preserve"> </w:t>
      </w:r>
    </w:p>
    <w:p w:rsidR="000E2E4A" w:rsidRPr="00B54357" w:rsidRDefault="000E2E4A" w:rsidP="00687746"/>
    <w:tbl>
      <w:tblPr>
        <w:tblStyle w:val="GridTable1Light-Accent1"/>
        <w:tblW w:w="0" w:type="auto"/>
        <w:jc w:val="center"/>
        <w:tblLook w:val="04A0" w:firstRow="1" w:lastRow="0" w:firstColumn="1" w:lastColumn="0" w:noHBand="0" w:noVBand="1"/>
      </w:tblPr>
      <w:tblGrid>
        <w:gridCol w:w="2262"/>
        <w:gridCol w:w="2179"/>
        <w:gridCol w:w="2073"/>
        <w:gridCol w:w="2441"/>
      </w:tblGrid>
      <w:tr w:rsidR="00687746" w:rsidRPr="000E2E4A" w:rsidTr="009325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p>
        </w:tc>
        <w:tc>
          <w:tcPr>
            <w:tcW w:w="2179"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Research admin/ governance (Headcount = 7)</w:t>
            </w:r>
          </w:p>
        </w:tc>
        <w:tc>
          <w:tcPr>
            <w:tcW w:w="2073"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Research Support (Headcount = 22)</w:t>
            </w:r>
          </w:p>
        </w:tc>
        <w:tc>
          <w:tcPr>
            <w:tcW w:w="2441"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Average for Board</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January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0.8%</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3.3%</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6.3%</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February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2.9%</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6.3%</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March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5.4%</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3.2%</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6.1%</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April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3.6%</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4.3%</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5.9%</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May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6.2%</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5.6%</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6.2%</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June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1.7%</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8.9%</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6.8%</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July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10.3%</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6.8%</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August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6.1%</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5.9%</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September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0.7%</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October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6.8%</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0.5%</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6.4%</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November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1.5%</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6.6%</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December 2024</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2.0%</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7.0%</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January 2025</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4.1%</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0.8%</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7.0%</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February 2025</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27.5%</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4.5%</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2262"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March 2025</w:t>
            </w:r>
          </w:p>
        </w:tc>
        <w:tc>
          <w:tcPr>
            <w:tcW w:w="2179"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3.5%</w:t>
            </w:r>
          </w:p>
        </w:tc>
        <w:tc>
          <w:tcPr>
            <w:tcW w:w="207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4.1%</w:t>
            </w:r>
          </w:p>
        </w:tc>
        <w:tc>
          <w:tcPr>
            <w:tcW w:w="2441"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6.0%</w:t>
            </w:r>
          </w:p>
        </w:tc>
      </w:tr>
    </w:tbl>
    <w:p w:rsidR="00687746" w:rsidRDefault="00687746" w:rsidP="00687746">
      <w:pPr>
        <w:rPr>
          <w:rFonts w:ascii="Calibri" w:eastAsiaTheme="minorHAnsi" w:hAnsi="Calibri" w:cs="Calibri"/>
          <w:color w:val="1F497D"/>
          <w:sz w:val="22"/>
          <w:szCs w:val="22"/>
        </w:rPr>
      </w:pPr>
    </w:p>
    <w:p w:rsidR="00687746" w:rsidRDefault="00687746" w:rsidP="00687746"/>
    <w:p w:rsidR="00687746" w:rsidRDefault="00687746" w:rsidP="00687746">
      <w:pPr>
        <w:rPr>
          <w:b/>
        </w:rPr>
      </w:pPr>
      <w:r w:rsidRPr="00FC0337">
        <w:rPr>
          <w:b/>
        </w:rPr>
        <w:t>TURAS completion rate</w:t>
      </w:r>
    </w:p>
    <w:p w:rsidR="000E2E4A" w:rsidRPr="00B54357" w:rsidRDefault="000E2E4A" w:rsidP="00687746"/>
    <w:tbl>
      <w:tblPr>
        <w:tblStyle w:val="GridTable1Light-Accent1"/>
        <w:tblW w:w="0" w:type="auto"/>
        <w:jc w:val="center"/>
        <w:tblLook w:val="04A0" w:firstRow="1" w:lastRow="0" w:firstColumn="1" w:lastColumn="0" w:noHBand="0" w:noVBand="1"/>
      </w:tblPr>
      <w:tblGrid>
        <w:gridCol w:w="1979"/>
        <w:gridCol w:w="2552"/>
        <w:gridCol w:w="2693"/>
      </w:tblGrid>
      <w:tr w:rsidR="00687746" w:rsidRPr="000E2E4A" w:rsidTr="009325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p>
        </w:tc>
        <w:tc>
          <w:tcPr>
            <w:tcW w:w="2552" w:type="dxa"/>
            <w:shd w:val="clear" w:color="auto" w:fill="D5DCE4" w:themeFill="text2" w:themeFillTint="33"/>
          </w:tcPr>
          <w:p w:rsidR="00687746" w:rsidRPr="000E2E4A" w:rsidRDefault="000E2E4A" w:rsidP="009325FD">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R&amp;D Office</w:t>
            </w:r>
            <w:r w:rsidR="00687746" w:rsidRPr="000E2E4A">
              <w:rPr>
                <w:rFonts w:ascii="Arial" w:hAnsi="Arial" w:cs="Arial"/>
              </w:rPr>
              <w:t xml:space="preserve"> (Headcount = 7)</w:t>
            </w:r>
          </w:p>
        </w:tc>
        <w:tc>
          <w:tcPr>
            <w:tcW w:w="2693" w:type="dxa"/>
            <w:shd w:val="clear" w:color="auto" w:fill="D5DCE4" w:themeFill="text2" w:themeFillTint="33"/>
          </w:tcPr>
          <w:p w:rsidR="00687746" w:rsidRPr="000E2E4A" w:rsidRDefault="00687746" w:rsidP="009325F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 xml:space="preserve">Research Support </w:t>
            </w:r>
          </w:p>
          <w:p w:rsidR="00687746" w:rsidRPr="000E2E4A" w:rsidRDefault="00687746" w:rsidP="009325FD">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(Headcount = 22)</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January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50%</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February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33%</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March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50%</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61%</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April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63%</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May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67%</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June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70%</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July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August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68%</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September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61%</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October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70%</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November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70%</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lastRenderedPageBreak/>
              <w:t>December 2024</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43%</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74%</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January 2025</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43%</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68%</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February 2025</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82%</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197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March 2025</w:t>
            </w:r>
          </w:p>
        </w:tc>
        <w:tc>
          <w:tcPr>
            <w:tcW w:w="2552"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57%</w:t>
            </w:r>
          </w:p>
        </w:tc>
        <w:tc>
          <w:tcPr>
            <w:tcW w:w="2693"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82%</w:t>
            </w:r>
          </w:p>
        </w:tc>
      </w:tr>
    </w:tbl>
    <w:p w:rsidR="00687746" w:rsidRDefault="00687746" w:rsidP="00687746"/>
    <w:p w:rsidR="00687746" w:rsidRDefault="00687746" w:rsidP="00687746">
      <w:pPr>
        <w:rPr>
          <w:b/>
        </w:rPr>
      </w:pPr>
      <w:r w:rsidRPr="0002573B">
        <w:rPr>
          <w:b/>
        </w:rPr>
        <w:t xml:space="preserve">Mandatory learning </w:t>
      </w:r>
    </w:p>
    <w:p w:rsidR="00687746" w:rsidRDefault="00687746" w:rsidP="00687746"/>
    <w:tbl>
      <w:tblPr>
        <w:tblStyle w:val="GridTable1Light-Accent1"/>
        <w:tblW w:w="0" w:type="auto"/>
        <w:jc w:val="center"/>
        <w:tblLook w:val="04A0" w:firstRow="1" w:lastRow="0" w:firstColumn="1" w:lastColumn="0" w:noHBand="0" w:noVBand="1"/>
      </w:tblPr>
      <w:tblGrid>
        <w:gridCol w:w="3969"/>
        <w:gridCol w:w="2300"/>
      </w:tblGrid>
      <w:tr w:rsidR="00687746" w:rsidRPr="000E2E4A" w:rsidTr="009325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Course</w:t>
            </w:r>
          </w:p>
        </w:tc>
        <w:tc>
          <w:tcPr>
            <w:tcW w:w="2300" w:type="dxa"/>
            <w:shd w:val="clear" w:color="auto" w:fill="D5DCE4" w:themeFill="text2" w:themeFillTint="33"/>
          </w:tcPr>
          <w:p w:rsidR="00687746" w:rsidRPr="000E2E4A" w:rsidRDefault="00687746" w:rsidP="009325F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 compliance</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Fire Awareness</w:t>
            </w:r>
          </w:p>
        </w:tc>
        <w:tc>
          <w:tcPr>
            <w:tcW w:w="2300" w:type="dxa"/>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78%</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Mandatory Hand Hygiene</w:t>
            </w:r>
          </w:p>
        </w:tc>
        <w:tc>
          <w:tcPr>
            <w:tcW w:w="2300" w:type="dxa"/>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81%</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Manual handling theory module part A</w:t>
            </w:r>
          </w:p>
        </w:tc>
        <w:tc>
          <w:tcPr>
            <w:tcW w:w="2300"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85%</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Safe Information handling</w:t>
            </w:r>
          </w:p>
        </w:tc>
        <w:tc>
          <w:tcPr>
            <w:tcW w:w="2300"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81%</w:t>
            </w:r>
          </w:p>
        </w:tc>
      </w:tr>
      <w:tr w:rsidR="00687746" w:rsidRPr="000E2E4A" w:rsidTr="009325FD">
        <w:trPr>
          <w:jc w:val="center"/>
        </w:trPr>
        <w:tc>
          <w:tcPr>
            <w:cnfStyle w:val="001000000000" w:firstRow="0" w:lastRow="0" w:firstColumn="1" w:lastColumn="0" w:oddVBand="0" w:evenVBand="0" w:oddHBand="0" w:evenHBand="0" w:firstRowFirstColumn="0" w:firstRowLastColumn="0" w:lastRowFirstColumn="0" w:lastRowLastColumn="0"/>
            <w:tcW w:w="3969" w:type="dxa"/>
            <w:shd w:val="clear" w:color="auto" w:fill="D5DCE4" w:themeFill="text2" w:themeFillTint="33"/>
          </w:tcPr>
          <w:p w:rsidR="00687746" w:rsidRPr="000E2E4A" w:rsidRDefault="00687746" w:rsidP="009325FD">
            <w:pPr>
              <w:rPr>
                <w:rFonts w:ascii="Arial" w:hAnsi="Arial" w:cs="Arial"/>
              </w:rPr>
            </w:pPr>
            <w:r w:rsidRPr="000E2E4A">
              <w:rPr>
                <w:rFonts w:ascii="Arial" w:hAnsi="Arial" w:cs="Arial"/>
              </w:rPr>
              <w:t>Valuing diversity part 1</w:t>
            </w:r>
          </w:p>
        </w:tc>
        <w:tc>
          <w:tcPr>
            <w:tcW w:w="2300" w:type="dxa"/>
            <w:shd w:val="clear" w:color="auto" w:fill="auto"/>
          </w:tcPr>
          <w:p w:rsidR="00687746" w:rsidRPr="000E2E4A" w:rsidRDefault="00687746" w:rsidP="009325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E2E4A">
              <w:rPr>
                <w:rFonts w:ascii="Arial" w:hAnsi="Arial" w:cs="Arial"/>
              </w:rPr>
              <w:t>89%</w:t>
            </w:r>
          </w:p>
        </w:tc>
      </w:tr>
    </w:tbl>
    <w:p w:rsidR="00687746" w:rsidRDefault="00687746" w:rsidP="00687746"/>
    <w:p w:rsidR="00687746" w:rsidRPr="00F70F46" w:rsidRDefault="00687746" w:rsidP="00687746">
      <w:pPr>
        <w:pStyle w:val="Heading2"/>
      </w:pPr>
      <w:bookmarkStart w:id="61" w:name="_Toc164670177"/>
      <w:r w:rsidRPr="006B3227">
        <w:t>Section 4. Risks &amp; Incidents</w:t>
      </w:r>
      <w:bookmarkEnd w:id="55"/>
      <w:bookmarkEnd w:id="61"/>
    </w:p>
    <w:p w:rsidR="00687746" w:rsidRDefault="00687746" w:rsidP="00687746"/>
    <w:p w:rsidR="00687746" w:rsidRDefault="00687746" w:rsidP="00687746">
      <w:r>
        <w:t xml:space="preserve">One </w:t>
      </w:r>
      <w:r w:rsidRPr="008E771B">
        <w:t xml:space="preserve">incident (12390) </w:t>
      </w:r>
      <w:r>
        <w:t xml:space="preserve">is </w:t>
      </w:r>
      <w:r w:rsidRPr="008E771B">
        <w:t>currently under review.</w:t>
      </w:r>
    </w:p>
    <w:p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13"/>
      <w:footerReference w:type="default" r:id="rId14"/>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1A8" w:rsidRDefault="006A01A8">
      <w:r>
        <w:separator/>
      </w:r>
    </w:p>
  </w:endnote>
  <w:endnote w:type="continuationSeparator" w:id="0">
    <w:p w:rsidR="006A01A8" w:rsidRDefault="006A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MS Gothic"/>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125BD">
      <w:rPr>
        <w:rFonts w:cs="Arial"/>
        <w:noProof/>
        <w:sz w:val="16"/>
        <w:szCs w:val="16"/>
      </w:rPr>
      <w:t>18</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125BD">
      <w:rPr>
        <w:rFonts w:cs="Arial"/>
        <w:noProof/>
        <w:sz w:val="16"/>
        <w:szCs w:val="16"/>
      </w:rPr>
      <w:t>18</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1A8" w:rsidRDefault="006A01A8">
      <w:r>
        <w:separator/>
      </w:r>
    </w:p>
  </w:footnote>
  <w:footnote w:type="continuationSeparator" w:id="0">
    <w:p w:rsidR="006A01A8" w:rsidRDefault="006A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5125BD"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D731C9"/>
    <w:multiLevelType w:val="hybridMultilevel"/>
    <w:tmpl w:val="6180E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962369"/>
    <w:multiLevelType w:val="hybridMultilevel"/>
    <w:tmpl w:val="6B588C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7EB719B"/>
    <w:multiLevelType w:val="hybridMultilevel"/>
    <w:tmpl w:val="7D024DC0"/>
    <w:lvl w:ilvl="0" w:tplc="E4065F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2"/>
  </w:num>
  <w:num w:numId="5">
    <w:abstractNumId w:val="0"/>
  </w:num>
  <w:num w:numId="6">
    <w:abstractNumId w:val="6"/>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0E8A"/>
    <w:rsid w:val="00007CF5"/>
    <w:rsid w:val="0003098A"/>
    <w:rsid w:val="00047714"/>
    <w:rsid w:val="000664E6"/>
    <w:rsid w:val="00083F14"/>
    <w:rsid w:val="00085D75"/>
    <w:rsid w:val="00091974"/>
    <w:rsid w:val="000945DB"/>
    <w:rsid w:val="000E2E4A"/>
    <w:rsid w:val="000F7706"/>
    <w:rsid w:val="00121852"/>
    <w:rsid w:val="00125A9E"/>
    <w:rsid w:val="00140DB3"/>
    <w:rsid w:val="00164750"/>
    <w:rsid w:val="0023473B"/>
    <w:rsid w:val="002E24AA"/>
    <w:rsid w:val="0033790B"/>
    <w:rsid w:val="0034307C"/>
    <w:rsid w:val="003A1E61"/>
    <w:rsid w:val="003D47EE"/>
    <w:rsid w:val="003E5654"/>
    <w:rsid w:val="003F7F61"/>
    <w:rsid w:val="00430C09"/>
    <w:rsid w:val="00446219"/>
    <w:rsid w:val="00467700"/>
    <w:rsid w:val="00495B36"/>
    <w:rsid w:val="004A39D0"/>
    <w:rsid w:val="004B42AF"/>
    <w:rsid w:val="004C24DE"/>
    <w:rsid w:val="004C415E"/>
    <w:rsid w:val="005125BD"/>
    <w:rsid w:val="00591C18"/>
    <w:rsid w:val="00593821"/>
    <w:rsid w:val="00610728"/>
    <w:rsid w:val="006173A9"/>
    <w:rsid w:val="00617CE7"/>
    <w:rsid w:val="00681EC7"/>
    <w:rsid w:val="00687746"/>
    <w:rsid w:val="006A01A8"/>
    <w:rsid w:val="006C5C9F"/>
    <w:rsid w:val="006D1343"/>
    <w:rsid w:val="007033AA"/>
    <w:rsid w:val="007A2E94"/>
    <w:rsid w:val="007F32CF"/>
    <w:rsid w:val="00816E22"/>
    <w:rsid w:val="00834481"/>
    <w:rsid w:val="00860F16"/>
    <w:rsid w:val="00890FC9"/>
    <w:rsid w:val="00900717"/>
    <w:rsid w:val="00927C6C"/>
    <w:rsid w:val="009807B4"/>
    <w:rsid w:val="009828B9"/>
    <w:rsid w:val="009B139C"/>
    <w:rsid w:val="009B1BFA"/>
    <w:rsid w:val="00A2680C"/>
    <w:rsid w:val="00A41D4F"/>
    <w:rsid w:val="00A50082"/>
    <w:rsid w:val="00A62B58"/>
    <w:rsid w:val="00A720C9"/>
    <w:rsid w:val="00A84C97"/>
    <w:rsid w:val="00A9772A"/>
    <w:rsid w:val="00AA77F7"/>
    <w:rsid w:val="00AE522B"/>
    <w:rsid w:val="00AF0530"/>
    <w:rsid w:val="00AF356A"/>
    <w:rsid w:val="00AF619F"/>
    <w:rsid w:val="00B178D4"/>
    <w:rsid w:val="00B546C8"/>
    <w:rsid w:val="00B562FA"/>
    <w:rsid w:val="00B7445F"/>
    <w:rsid w:val="00B762A7"/>
    <w:rsid w:val="00B77902"/>
    <w:rsid w:val="00B851FC"/>
    <w:rsid w:val="00BF3AF0"/>
    <w:rsid w:val="00C4285D"/>
    <w:rsid w:val="00C87B62"/>
    <w:rsid w:val="00C94BF7"/>
    <w:rsid w:val="00D17B29"/>
    <w:rsid w:val="00D82973"/>
    <w:rsid w:val="00D85625"/>
    <w:rsid w:val="00DD2D3D"/>
    <w:rsid w:val="00DD6252"/>
    <w:rsid w:val="00DF1BE0"/>
    <w:rsid w:val="00E163A7"/>
    <w:rsid w:val="00E66132"/>
    <w:rsid w:val="00E71CD2"/>
    <w:rsid w:val="00E85492"/>
    <w:rsid w:val="00F13B57"/>
    <w:rsid w:val="00F3337D"/>
    <w:rsid w:val="00F34850"/>
    <w:rsid w:val="00F3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CCCB"/>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8344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uiPriority w:val="99"/>
    <w:rsid w:val="00430C09"/>
    <w:pPr>
      <w:tabs>
        <w:tab w:val="center" w:pos="4153"/>
        <w:tab w:val="right" w:pos="8306"/>
      </w:tabs>
    </w:pPr>
  </w:style>
  <w:style w:type="character" w:customStyle="1" w:styleId="FooterChar">
    <w:name w:val="Footer Char"/>
    <w:basedOn w:val="DefaultParagraphFont"/>
    <w:link w:val="Footer"/>
    <w:uiPriority w:val="99"/>
    <w:rsid w:val="00430C09"/>
    <w:rPr>
      <w:rFonts w:eastAsia="Times New Roman" w:cs="Times New Roman"/>
      <w:spacing w:val="-3"/>
      <w:szCs w:val="20"/>
    </w:rPr>
  </w:style>
  <w:style w:type="paragraph" w:styleId="Title">
    <w:name w:val="Title"/>
    <w:basedOn w:val="Normal"/>
    <w:link w:val="TitleChar"/>
    <w:uiPriority w:val="10"/>
    <w:qFormat/>
    <w:rsid w:val="00430C09"/>
    <w:pPr>
      <w:jc w:val="center"/>
    </w:pPr>
    <w:rPr>
      <w:rFonts w:ascii="Times New Roman" w:hAnsi="Times New Roman"/>
      <w:b/>
      <w:spacing w:val="0"/>
    </w:rPr>
  </w:style>
  <w:style w:type="character" w:customStyle="1" w:styleId="TitleChar">
    <w:name w:val="Title Char"/>
    <w:basedOn w:val="DefaultParagraphFont"/>
    <w:link w:val="Title"/>
    <w:uiPriority w:val="10"/>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4B42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CE7"/>
    <w:rPr>
      <w:color w:val="0563C1" w:themeColor="hyperlink"/>
      <w:u w:val="single"/>
    </w:rPr>
  </w:style>
  <w:style w:type="paragraph" w:styleId="TOC1">
    <w:name w:val="toc 1"/>
    <w:basedOn w:val="Normal"/>
    <w:next w:val="Normal"/>
    <w:autoRedefine/>
    <w:uiPriority w:val="39"/>
    <w:rsid w:val="00687746"/>
    <w:pPr>
      <w:tabs>
        <w:tab w:val="right" w:leader="dot" w:pos="9781"/>
      </w:tabs>
      <w:jc w:val="center"/>
    </w:pPr>
    <w:rPr>
      <w:rFonts w:cs="Arial"/>
      <w:iCs/>
      <w:noProof/>
      <w:spacing w:val="0"/>
      <w:sz w:val="20"/>
      <w:lang w:eastAsia="en-GB"/>
    </w:rPr>
  </w:style>
  <w:style w:type="character" w:styleId="PageNumber">
    <w:name w:val="page number"/>
    <w:basedOn w:val="DefaultParagraphFont"/>
    <w:uiPriority w:val="99"/>
    <w:rsid w:val="00687746"/>
    <w:rPr>
      <w:rFonts w:cs="Times New Roman"/>
    </w:rPr>
  </w:style>
  <w:style w:type="paragraph" w:styleId="NormalWeb">
    <w:name w:val="Normal (Web)"/>
    <w:basedOn w:val="Normal"/>
    <w:uiPriority w:val="99"/>
    <w:rsid w:val="00687746"/>
    <w:pPr>
      <w:spacing w:before="100" w:beforeAutospacing="1" w:after="100" w:afterAutospacing="1"/>
    </w:pPr>
    <w:rPr>
      <w:rFonts w:ascii="Times New Roman" w:hAnsi="Times New Roman"/>
      <w:spacing w:val="0"/>
      <w:szCs w:val="24"/>
      <w:lang w:eastAsia="en-GB"/>
    </w:rPr>
  </w:style>
  <w:style w:type="character" w:styleId="FollowedHyperlink">
    <w:name w:val="FollowedHyperlink"/>
    <w:basedOn w:val="DefaultParagraphFont"/>
    <w:uiPriority w:val="99"/>
    <w:rsid w:val="00687746"/>
    <w:rPr>
      <w:rFonts w:cs="Times New Roman"/>
      <w:color w:val="800080"/>
      <w:u w:val="single"/>
    </w:rPr>
  </w:style>
  <w:style w:type="paragraph" w:styleId="TOC2">
    <w:name w:val="toc 2"/>
    <w:basedOn w:val="Normal"/>
    <w:next w:val="Normal"/>
    <w:autoRedefine/>
    <w:uiPriority w:val="39"/>
    <w:rsid w:val="00687746"/>
    <w:pPr>
      <w:tabs>
        <w:tab w:val="right" w:leader="dot" w:pos="9781"/>
      </w:tabs>
      <w:spacing w:line="360" w:lineRule="auto"/>
      <w:ind w:left="200" w:hanging="200"/>
    </w:pPr>
    <w:rPr>
      <w:rFonts w:cs="Arial"/>
      <w:spacing w:val="0"/>
      <w:sz w:val="20"/>
      <w:lang w:eastAsia="en-GB"/>
    </w:rPr>
  </w:style>
  <w:style w:type="character" w:styleId="Strong">
    <w:name w:val="Strong"/>
    <w:basedOn w:val="DefaultParagraphFont"/>
    <w:uiPriority w:val="22"/>
    <w:qFormat/>
    <w:rsid w:val="00687746"/>
    <w:rPr>
      <w:rFonts w:cs="Times New Roman"/>
      <w:b/>
      <w:bCs/>
    </w:rPr>
  </w:style>
  <w:style w:type="character" w:styleId="Emphasis">
    <w:name w:val="Emphasis"/>
    <w:basedOn w:val="DefaultParagraphFont"/>
    <w:uiPriority w:val="20"/>
    <w:qFormat/>
    <w:rsid w:val="00687746"/>
    <w:rPr>
      <w:rFonts w:cs="Times New Roman"/>
      <w:i/>
      <w:iCs/>
    </w:rPr>
  </w:style>
  <w:style w:type="character" w:customStyle="1" w:styleId="apple-converted-space">
    <w:name w:val="apple-converted-space"/>
    <w:basedOn w:val="DefaultParagraphFont"/>
    <w:rsid w:val="00687746"/>
    <w:rPr>
      <w:rFonts w:cs="Times New Roman"/>
    </w:rPr>
  </w:style>
  <w:style w:type="paragraph" w:styleId="FootnoteText">
    <w:name w:val="footnote text"/>
    <w:basedOn w:val="Normal"/>
    <w:link w:val="FootnoteTextChar"/>
    <w:uiPriority w:val="99"/>
    <w:semiHidden/>
    <w:rsid w:val="00687746"/>
    <w:rPr>
      <w:rFonts w:cs="Arial"/>
      <w:spacing w:val="0"/>
      <w:sz w:val="20"/>
      <w:lang w:eastAsia="en-GB"/>
    </w:rPr>
  </w:style>
  <w:style w:type="character" w:customStyle="1" w:styleId="FootnoteTextChar">
    <w:name w:val="Footnote Text Char"/>
    <w:basedOn w:val="DefaultParagraphFont"/>
    <w:link w:val="FootnoteText"/>
    <w:uiPriority w:val="99"/>
    <w:semiHidden/>
    <w:rsid w:val="00687746"/>
    <w:rPr>
      <w:rFonts w:eastAsia="Times New Roman"/>
      <w:sz w:val="20"/>
      <w:szCs w:val="20"/>
      <w:lang w:eastAsia="en-GB"/>
    </w:rPr>
  </w:style>
  <w:style w:type="character" w:styleId="FootnoteReference">
    <w:name w:val="footnote reference"/>
    <w:basedOn w:val="DefaultParagraphFont"/>
    <w:uiPriority w:val="99"/>
    <w:semiHidden/>
    <w:rsid w:val="00687746"/>
    <w:rPr>
      <w:rFonts w:cs="Times New Roman"/>
      <w:vertAlign w:val="superscript"/>
    </w:rPr>
  </w:style>
  <w:style w:type="paragraph" w:styleId="EndnoteText">
    <w:name w:val="endnote text"/>
    <w:basedOn w:val="Normal"/>
    <w:link w:val="EndnoteTextChar"/>
    <w:uiPriority w:val="99"/>
    <w:rsid w:val="00687746"/>
    <w:rPr>
      <w:rFonts w:cs="Arial"/>
      <w:spacing w:val="0"/>
      <w:sz w:val="20"/>
      <w:lang w:eastAsia="en-GB"/>
    </w:rPr>
  </w:style>
  <w:style w:type="character" w:customStyle="1" w:styleId="EndnoteTextChar">
    <w:name w:val="Endnote Text Char"/>
    <w:basedOn w:val="DefaultParagraphFont"/>
    <w:link w:val="EndnoteText"/>
    <w:uiPriority w:val="99"/>
    <w:rsid w:val="00687746"/>
    <w:rPr>
      <w:rFonts w:eastAsia="Times New Roman"/>
      <w:sz w:val="20"/>
      <w:szCs w:val="20"/>
      <w:lang w:eastAsia="en-GB"/>
    </w:rPr>
  </w:style>
  <w:style w:type="character" w:styleId="EndnoteReference">
    <w:name w:val="endnote reference"/>
    <w:basedOn w:val="DefaultParagraphFont"/>
    <w:uiPriority w:val="99"/>
    <w:rsid w:val="00687746"/>
    <w:rPr>
      <w:rFonts w:cs="Times New Roman"/>
      <w:vertAlign w:val="superscript"/>
    </w:rPr>
  </w:style>
  <w:style w:type="paragraph" w:styleId="TOCHeading">
    <w:name w:val="TOC Heading"/>
    <w:basedOn w:val="Heading1"/>
    <w:next w:val="Normal"/>
    <w:uiPriority w:val="39"/>
    <w:qFormat/>
    <w:rsid w:val="00687746"/>
    <w:pPr>
      <w:spacing w:before="480" w:line="276" w:lineRule="auto"/>
      <w:outlineLvl w:val="9"/>
    </w:pPr>
    <w:rPr>
      <w:rFonts w:ascii="Cambria" w:eastAsia="Times New Roman" w:hAnsi="Cambria" w:cs="Times New Roman"/>
      <w:bCs/>
      <w:color w:val="365F91"/>
      <w:spacing w:val="0"/>
      <w:sz w:val="28"/>
      <w:szCs w:val="28"/>
      <w:lang w:val="en-US"/>
    </w:rPr>
  </w:style>
  <w:style w:type="paragraph" w:styleId="TOC3">
    <w:name w:val="toc 3"/>
    <w:basedOn w:val="Normal"/>
    <w:next w:val="Normal"/>
    <w:autoRedefine/>
    <w:uiPriority w:val="39"/>
    <w:rsid w:val="00687746"/>
    <w:pPr>
      <w:tabs>
        <w:tab w:val="right" w:leader="dot" w:pos="9781"/>
      </w:tabs>
    </w:pPr>
    <w:rPr>
      <w:rFonts w:cs="Arial"/>
      <w:noProof/>
      <w:color w:val="FF0000"/>
      <w:spacing w:val="0"/>
      <w:sz w:val="20"/>
      <w:lang w:eastAsia="en-GB"/>
    </w:rPr>
  </w:style>
  <w:style w:type="paragraph" w:styleId="BodyTextIndent">
    <w:name w:val="Body Text Indent"/>
    <w:basedOn w:val="Normal"/>
    <w:link w:val="BodyTextIndentChar"/>
    <w:rsid w:val="00687746"/>
    <w:pPr>
      <w:ind w:left="720" w:hanging="720"/>
    </w:pPr>
    <w:rPr>
      <w:rFonts w:ascii="Times New Roman" w:hAnsi="Times New Roman"/>
      <w:spacing w:val="0"/>
      <w:szCs w:val="24"/>
    </w:rPr>
  </w:style>
  <w:style w:type="character" w:customStyle="1" w:styleId="BodyTextIndentChar">
    <w:name w:val="Body Text Indent Char"/>
    <w:basedOn w:val="DefaultParagraphFont"/>
    <w:link w:val="BodyTextIndent"/>
    <w:rsid w:val="00687746"/>
    <w:rPr>
      <w:rFonts w:ascii="Times New Roman" w:eastAsia="Times New Roman" w:hAnsi="Times New Roman" w:cs="Times New Roman"/>
    </w:rPr>
  </w:style>
  <w:style w:type="paragraph" w:styleId="Subtitle">
    <w:name w:val="Subtitle"/>
    <w:basedOn w:val="Normal"/>
    <w:next w:val="Normal"/>
    <w:link w:val="SubtitleChar"/>
    <w:qFormat/>
    <w:rsid w:val="00687746"/>
    <w:pPr>
      <w:numPr>
        <w:ilvl w:val="1"/>
      </w:numPr>
    </w:pPr>
    <w:rPr>
      <w:rFonts w:asciiTheme="majorHAnsi" w:eastAsiaTheme="majorEastAsia" w:hAnsiTheme="majorHAnsi" w:cstheme="majorBidi"/>
      <w:i/>
      <w:iCs/>
      <w:color w:val="5B9BD5" w:themeColor="accent1"/>
      <w:spacing w:val="15"/>
      <w:szCs w:val="24"/>
      <w:lang w:eastAsia="en-GB"/>
    </w:rPr>
  </w:style>
  <w:style w:type="character" w:customStyle="1" w:styleId="SubtitleChar">
    <w:name w:val="Subtitle Char"/>
    <w:basedOn w:val="DefaultParagraphFont"/>
    <w:link w:val="Subtitle"/>
    <w:rsid w:val="00687746"/>
    <w:rPr>
      <w:rFonts w:asciiTheme="majorHAnsi" w:eastAsiaTheme="majorEastAsia" w:hAnsiTheme="majorHAnsi" w:cstheme="majorBidi"/>
      <w:i/>
      <w:iCs/>
      <w:color w:val="5B9BD5" w:themeColor="accent1"/>
      <w:spacing w:val="15"/>
      <w:lang w:eastAsia="en-GB"/>
    </w:rPr>
  </w:style>
  <w:style w:type="table" w:customStyle="1" w:styleId="TableGrid1">
    <w:name w:val="Table Grid1"/>
    <w:basedOn w:val="TableNormal"/>
    <w:next w:val="TableGrid"/>
    <w:rsid w:val="0068774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7746"/>
    <w:pPr>
      <w:spacing w:after="0" w:line="240" w:lineRule="auto"/>
    </w:pPr>
    <w:rPr>
      <w:rFonts w:eastAsia="Times New Roman"/>
      <w:sz w:val="20"/>
      <w:szCs w:val="20"/>
      <w:lang w:eastAsia="en-GB"/>
    </w:rPr>
  </w:style>
  <w:style w:type="table" w:styleId="GridTable5Dark-Accent1">
    <w:name w:val="Grid Table 5 Dark Accent 1"/>
    <w:basedOn w:val="TableNormal"/>
    <w:uiPriority w:val="50"/>
    <w:rsid w:val="0068774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1Light-Accent1">
    <w:name w:val="Grid Table 1 Light Accent 1"/>
    <w:basedOn w:val="TableNormal"/>
    <w:uiPriority w:val="46"/>
    <w:rsid w:val="0068774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687746"/>
    <w:pPr>
      <w:spacing w:after="0" w:line="240" w:lineRule="auto"/>
    </w:pPr>
    <w:rPr>
      <w:rFonts w:eastAsia="SimSun"/>
      <w:color w:val="000000"/>
      <w:sz w:val="20"/>
      <w:szCs w:val="22"/>
      <w:lang w:eastAsia="en-GB"/>
    </w:rPr>
  </w:style>
  <w:style w:type="character" w:styleId="PlaceholderText">
    <w:name w:val="Placeholder Text"/>
    <w:basedOn w:val="DefaultParagraphFont"/>
    <w:uiPriority w:val="99"/>
    <w:semiHidden/>
    <w:rsid w:val="00687746"/>
    <w:rPr>
      <w:color w:val="808080"/>
    </w:rPr>
  </w:style>
  <w:style w:type="character" w:customStyle="1" w:styleId="Heading4Char">
    <w:name w:val="Heading 4 Char"/>
    <w:basedOn w:val="DefaultParagraphFont"/>
    <w:link w:val="Heading4"/>
    <w:uiPriority w:val="9"/>
    <w:rsid w:val="00834481"/>
    <w:rPr>
      <w:rFonts w:asciiTheme="majorHAnsi" w:eastAsiaTheme="majorEastAsia" w:hAnsiTheme="majorHAnsi" w:cstheme="majorBidi"/>
      <w:i/>
      <w:iCs/>
      <w:color w:val="2E74B5" w:themeColor="accent1" w:themeShade="BF"/>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atabase.ich.org/sites/default/files/ICH_E6%28R3%29_Step4_FinalGuideline_2025_010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0A09-BD5B-4F45-ABBB-6B969F91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18</Pages>
  <Words>5734</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38</cp:revision>
  <cp:lastPrinted>2019-10-07T12:25:00Z</cp:lastPrinted>
  <dcterms:created xsi:type="dcterms:W3CDTF">2022-09-21T13:39:00Z</dcterms:created>
  <dcterms:modified xsi:type="dcterms:W3CDTF">2025-05-21T12:27:00Z</dcterms:modified>
</cp:coreProperties>
</file>