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94A96" w14:textId="7F7BD986" w:rsidR="004D5880" w:rsidRDefault="004D5880" w:rsidP="00300317">
      <w:pPr>
        <w:ind w:left="709"/>
        <w:contextualSpacing/>
        <w:rPr>
          <w:rFonts w:cs="Arial"/>
          <w:b/>
          <w:szCs w:val="24"/>
        </w:rPr>
      </w:pPr>
    </w:p>
    <w:p w14:paraId="4D54F39F" w14:textId="34A30F8E" w:rsidR="002750C8" w:rsidRDefault="002750C8" w:rsidP="00300317">
      <w:pPr>
        <w:ind w:left="709"/>
        <w:contextualSpacing/>
        <w:rPr>
          <w:rFonts w:cs="Arial"/>
          <w:b/>
          <w:szCs w:val="24"/>
        </w:rPr>
      </w:pPr>
    </w:p>
    <w:p w14:paraId="6E989698" w14:textId="1AF7E56A" w:rsidR="002750C8" w:rsidRDefault="002750C8" w:rsidP="00300317">
      <w:pPr>
        <w:ind w:left="709"/>
        <w:contextualSpacing/>
        <w:rPr>
          <w:rFonts w:cs="Arial"/>
          <w:b/>
          <w:szCs w:val="24"/>
        </w:rPr>
      </w:pPr>
    </w:p>
    <w:p w14:paraId="3328DE10" w14:textId="61E6C135" w:rsidR="002750C8" w:rsidRDefault="002750C8" w:rsidP="00300317">
      <w:pPr>
        <w:ind w:left="709"/>
        <w:contextualSpacing/>
        <w:rPr>
          <w:rFonts w:cs="Arial"/>
          <w:b/>
          <w:szCs w:val="24"/>
        </w:rPr>
      </w:pPr>
      <w:r>
        <w:rPr>
          <w:rFonts w:ascii="Times New Roman" w:hAnsi="Times New Roman"/>
          <w:noProof/>
          <w:szCs w:val="24"/>
          <w:lang w:eastAsia="en-GB"/>
        </w:rPr>
        <mc:AlternateContent>
          <mc:Choice Requires="wpg">
            <w:drawing>
              <wp:anchor distT="0" distB="0" distL="114300" distR="114300" simplePos="0" relativeHeight="251661312" behindDoc="1" locked="0" layoutInCell="1" allowOverlap="1" wp14:anchorId="0AA66E63" wp14:editId="5EB50752">
                <wp:simplePos x="0" y="0"/>
                <wp:positionH relativeFrom="margin">
                  <wp:posOffset>0</wp:posOffset>
                </wp:positionH>
                <wp:positionV relativeFrom="page">
                  <wp:posOffset>1111250</wp:posOffset>
                </wp:positionV>
                <wp:extent cx="5618480" cy="7068185"/>
                <wp:effectExtent l="0" t="0" r="1239520" b="0"/>
                <wp:wrapNone/>
                <wp:docPr id="2" name="Group 2"/>
                <wp:cNvGraphicFramePr/>
                <a:graphic xmlns:a="http://schemas.openxmlformats.org/drawingml/2006/main">
                  <a:graphicData uri="http://schemas.microsoft.com/office/word/2010/wordprocessingGroup">
                    <wpg:wgp>
                      <wpg:cNvGrpSpPr/>
                      <wpg:grpSpPr>
                        <a:xfrm>
                          <a:off x="0" y="0"/>
                          <a:ext cx="6858635" cy="6739255"/>
                          <a:chOff x="0" y="0"/>
                          <a:chExt cx="5561330" cy="5404485"/>
                        </a:xfrm>
                        <a:solidFill>
                          <a:schemeClr val="accent5">
                            <a:lumMod val="75000"/>
                          </a:schemeClr>
                        </a:solidFill>
                      </wpg:grpSpPr>
                      <wps:wsp>
                        <wps:cNvPr id="13" name="Freeform 13"/>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grpFill/>
                          <a:ln>
                            <a:noFill/>
                          </a:ln>
                        </wps:spPr>
                        <wps:style>
                          <a:lnRef idx="0">
                            <a:scrgbClr r="0" g="0" b="0"/>
                          </a:lnRef>
                          <a:fillRef idx="1003">
                            <a:schemeClr val="dk2"/>
                          </a:fillRef>
                          <a:effectRef idx="0">
                            <a:scrgbClr r="0" g="0" b="0"/>
                          </a:effectRef>
                          <a:fontRef idx="major"/>
                        </wps:style>
                        <wps:txbx>
                          <w:txbxContent>
                            <w:p w14:paraId="2DE59326" w14:textId="58231E38" w:rsidR="002750C8" w:rsidRDefault="00CB4B63" w:rsidP="002750C8">
                              <w:pPr>
                                <w:rPr>
                                  <w:rFonts w:cs="Arial"/>
                                  <w:color w:val="FFFFFF" w:themeColor="background1"/>
                                  <w:sz w:val="96"/>
                                  <w:szCs w:val="72"/>
                                </w:rPr>
                              </w:pPr>
                              <w:sdt>
                                <w:sdtPr>
                                  <w:rPr>
                                    <w:rFonts w:cs="Arial"/>
                                    <w:color w:val="FFFFFF" w:themeColor="background1"/>
                                    <w:sz w:val="96"/>
                                    <w:szCs w:val="72"/>
                                  </w:rPr>
                                  <w:alias w:val="Title"/>
                                  <w:id w:val="-554696155"/>
                                  <w:dataBinding w:prefixMappings="xmlns:ns0='http://purl.org/dc/elements/1.1/' xmlns:ns1='http://schemas.openxmlformats.org/package/2006/metadata/core-properties' " w:xpath="/ns1:coreProperties[1]/ns0:title[1]" w:storeItemID="{6C3C8BC8-F283-45AE-878A-BAB7291924A1}"/>
                                  <w:text/>
                                </w:sdtPr>
                                <w:sdtEndPr/>
                                <w:sdtContent>
                                  <w:r w:rsidR="001724A5">
                                    <w:rPr>
                                      <w:rFonts w:cs="Arial"/>
                                      <w:color w:val="FFFFFF" w:themeColor="background1"/>
                                      <w:sz w:val="96"/>
                                      <w:szCs w:val="72"/>
                                    </w:rPr>
                                    <w:t xml:space="preserve">Corporate Governance Quarter </w:t>
                                  </w:r>
                                  <w:r w:rsidR="00A1316D">
                                    <w:rPr>
                                      <w:rFonts w:cs="Arial"/>
                                      <w:color w:val="FFFFFF" w:themeColor="background1"/>
                                      <w:sz w:val="96"/>
                                      <w:szCs w:val="72"/>
                                    </w:rPr>
                                    <w:t>One</w:t>
                                  </w:r>
                                  <w:r w:rsidR="001724A5">
                                    <w:rPr>
                                      <w:rFonts w:cs="Arial"/>
                                      <w:color w:val="FFFFFF" w:themeColor="background1"/>
                                      <w:sz w:val="96"/>
                                      <w:szCs w:val="72"/>
                                    </w:rPr>
                                    <w:t xml:space="preserve"> Report 2025/26</w:t>
                                  </w:r>
                                </w:sdtContent>
                              </w:sdt>
                              <w:r w:rsidR="002750C8">
                                <w:rPr>
                                  <w:rFonts w:cs="Arial"/>
                                  <w:noProof/>
                                  <w:lang w:eastAsia="en-GB"/>
                                </w:rPr>
                                <w:t xml:space="preserve"> </w:t>
                              </w:r>
                            </w:p>
                          </w:txbxContent>
                        </wps:txbx>
                        <wps:bodyPr rot="0" vert="horz" wrap="square" lIns="914400" tIns="1097280" rIns="1097280" bIns="1097280" anchor="b" anchorCtr="0" upright="1">
                          <a:noAutofit/>
                        </wps:bodyPr>
                      </wps:wsp>
                      <wps:wsp>
                        <wps:cNvPr id="14" name="Freeform 14"/>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rgbClr val="00B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AA66E63" id="Group 2" o:spid="_x0000_s1026" style="position:absolute;left:0;text-align:left;margin-left:0;margin-top:87.5pt;width:442.4pt;height:556.55pt;z-index:-251655168;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">
                <v:shape id="Freeform 13"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" adj="-11796480,,5400" path="m,c,644,,644,,644v23,6,62,14,113,21c250,685,476,700,720,644v,-27,,-27,,-27c720,,720,,720,,,,,,,e" filled="f" stroked="f">
                  <v:stroke joinstyle="miter"/>
                  <v:formulas/>
                  <v:path arrowok="t" o:connecttype="custom" o:connectlocs="0,0;0,4972126;872222,5134261;5557520,4972126;5557520,4763667;5557520,0;0,0" o:connectangles="0,0,0,0,0,0,0" textboxrect="0,0,720,700"/>
                  <v:textbox inset="1in,86.4pt,86.4pt,86.4pt">
                    <w:txbxContent>
                      <w:p w14:paraId="2DE59326" w14:textId="58231E38" w:rsidR="002750C8" w:rsidRDefault="004D6F43" w:rsidP="002750C8">
                        <w:pPr>
                          <w:rPr>
                            <w:rFonts w:cs="Arial"/>
                            <w:color w:val="FFFFFF" w:themeColor="background1"/>
                            <w:sz w:val="96"/>
                            <w:szCs w:val="72"/>
                          </w:rPr>
                        </w:pPr>
                        <w:sdt>
                          <w:sdtPr>
                            <w:rPr>
                              <w:rFonts w:cs="Arial"/>
                              <w:color w:val="FFFFFF" w:themeColor="background1"/>
                              <w:sz w:val="96"/>
                              <w:szCs w:val="72"/>
                            </w:rPr>
                            <w:alias w:val="Title"/>
                            <w:id w:val="-554696155"/>
                            <w:dataBinding w:prefixMappings="xmlns:ns0='http://purl.org/dc/elements/1.1/' xmlns:ns1='http://schemas.openxmlformats.org/package/2006/metadata/core-properties' " w:xpath="/ns1:coreProperties[1]/ns0:title[1]" w:storeItemID="{6C3C8BC8-F283-45AE-878A-BAB7291924A1}"/>
                            <w:text/>
                          </w:sdtPr>
                          <w:sdtEndPr/>
                          <w:sdtContent>
                            <w:r w:rsidR="001724A5">
                              <w:rPr>
                                <w:rFonts w:cs="Arial"/>
                                <w:color w:val="FFFFFF" w:themeColor="background1"/>
                                <w:sz w:val="96"/>
                                <w:szCs w:val="72"/>
                              </w:rPr>
                              <w:t xml:space="preserve">Corporate Governance Quarter </w:t>
                            </w:r>
                            <w:r w:rsidR="00A1316D">
                              <w:rPr>
                                <w:rFonts w:cs="Arial"/>
                                <w:color w:val="FFFFFF" w:themeColor="background1"/>
                                <w:sz w:val="96"/>
                                <w:szCs w:val="72"/>
                              </w:rPr>
                              <w:t>One</w:t>
                            </w:r>
                            <w:r w:rsidR="001724A5">
                              <w:rPr>
                                <w:rFonts w:cs="Arial"/>
                                <w:color w:val="FFFFFF" w:themeColor="background1"/>
                                <w:sz w:val="96"/>
                                <w:szCs w:val="72"/>
                              </w:rPr>
                              <w:t xml:space="preserve"> Report 2025/26</w:t>
                            </w:r>
                          </w:sdtContent>
                        </w:sdt>
                        <w:r w:rsidR="002750C8">
                          <w:rPr>
                            <w:rFonts w:cs="Arial"/>
                            <w:noProof/>
                            <w:lang w:eastAsia="en-GB"/>
                          </w:rPr>
                          <w:t xml:space="preserve"> </w:t>
                        </w:r>
                      </w:p>
                    </w:txbxContent>
                  </v:textbox>
                </v:shape>
                <v:shape id="Freeform 14"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" path="m607,c450,44,300,57,176,57,109,57,49,53,,48,66,58,152,66,251,66,358,66,480,56,607,27,607,,607,,607,e" fillcolor="#00b0f0" stroked="f">
                  <v:path arrowok="t" o:connecttype="custom" o:connectlocs="4685030,0;1358427,440373;0,370840;1937302,509905;4685030,208598;4685030,0" o:connectangles="0,0,0,0,0,0"/>
                </v:shape>
                <w10:wrap anchorx="margin" anchory="page"/>
              </v:group>
            </w:pict>
          </mc:Fallback>
        </mc:AlternateContent>
      </w:r>
    </w:p>
    <w:p w14:paraId="077C716E" w14:textId="142153B5" w:rsidR="002750C8" w:rsidRDefault="002750C8" w:rsidP="00300317">
      <w:pPr>
        <w:ind w:left="709"/>
        <w:contextualSpacing/>
        <w:rPr>
          <w:rFonts w:cs="Arial"/>
          <w:b/>
          <w:szCs w:val="24"/>
        </w:rPr>
      </w:pPr>
    </w:p>
    <w:p w14:paraId="5D94FE59" w14:textId="4ECE538E" w:rsidR="002750C8" w:rsidRDefault="002750C8" w:rsidP="00300317">
      <w:pPr>
        <w:ind w:left="709"/>
        <w:contextualSpacing/>
        <w:rPr>
          <w:rFonts w:cs="Arial"/>
          <w:b/>
          <w:szCs w:val="24"/>
        </w:rPr>
      </w:pPr>
    </w:p>
    <w:p w14:paraId="5C6844C1" w14:textId="315E9BB5" w:rsidR="002750C8" w:rsidRDefault="002750C8" w:rsidP="00300317">
      <w:pPr>
        <w:ind w:left="709"/>
        <w:contextualSpacing/>
        <w:rPr>
          <w:rFonts w:cs="Arial"/>
          <w:b/>
          <w:szCs w:val="24"/>
        </w:rPr>
      </w:pPr>
    </w:p>
    <w:p w14:paraId="15882F32" w14:textId="3FE8EEAD" w:rsidR="002750C8" w:rsidRDefault="002750C8" w:rsidP="00300317">
      <w:pPr>
        <w:ind w:left="709"/>
        <w:contextualSpacing/>
        <w:rPr>
          <w:rFonts w:cs="Arial"/>
          <w:b/>
          <w:szCs w:val="24"/>
        </w:rPr>
      </w:pPr>
    </w:p>
    <w:p w14:paraId="66194C32" w14:textId="63578BB4" w:rsidR="002750C8" w:rsidRDefault="002750C8" w:rsidP="00300317">
      <w:pPr>
        <w:ind w:left="709"/>
        <w:contextualSpacing/>
        <w:rPr>
          <w:rFonts w:cs="Arial"/>
          <w:b/>
          <w:szCs w:val="24"/>
        </w:rPr>
      </w:pPr>
    </w:p>
    <w:p w14:paraId="30976843" w14:textId="7AFD1A53" w:rsidR="002750C8" w:rsidRDefault="002750C8" w:rsidP="00300317">
      <w:pPr>
        <w:ind w:left="709"/>
        <w:contextualSpacing/>
        <w:rPr>
          <w:rFonts w:cs="Arial"/>
          <w:b/>
          <w:szCs w:val="24"/>
        </w:rPr>
      </w:pPr>
    </w:p>
    <w:p w14:paraId="5AE7E952" w14:textId="2D185AD6" w:rsidR="002750C8" w:rsidRDefault="002750C8" w:rsidP="00300317">
      <w:pPr>
        <w:ind w:left="709"/>
        <w:contextualSpacing/>
        <w:rPr>
          <w:rFonts w:cs="Arial"/>
          <w:b/>
          <w:szCs w:val="24"/>
        </w:rPr>
      </w:pPr>
    </w:p>
    <w:p w14:paraId="1A619232" w14:textId="51DD6076" w:rsidR="002750C8" w:rsidRDefault="002750C8" w:rsidP="00300317">
      <w:pPr>
        <w:ind w:left="709"/>
        <w:contextualSpacing/>
        <w:rPr>
          <w:rFonts w:cs="Arial"/>
          <w:b/>
          <w:szCs w:val="24"/>
        </w:rPr>
      </w:pPr>
      <w:bookmarkStart w:id="0" w:name="_GoBack"/>
      <w:bookmarkEnd w:id="0"/>
    </w:p>
    <w:p w14:paraId="34CA81F5" w14:textId="2C00F924" w:rsidR="002750C8" w:rsidRDefault="002750C8" w:rsidP="00300317">
      <w:pPr>
        <w:ind w:left="709"/>
        <w:contextualSpacing/>
        <w:rPr>
          <w:rFonts w:cs="Arial"/>
          <w:b/>
          <w:szCs w:val="24"/>
        </w:rPr>
      </w:pPr>
    </w:p>
    <w:p w14:paraId="3C62A109" w14:textId="6565D882" w:rsidR="002750C8" w:rsidRDefault="002750C8" w:rsidP="00300317">
      <w:pPr>
        <w:ind w:left="709"/>
        <w:contextualSpacing/>
        <w:rPr>
          <w:rFonts w:cs="Arial"/>
          <w:b/>
          <w:szCs w:val="24"/>
        </w:rPr>
      </w:pPr>
    </w:p>
    <w:p w14:paraId="0F2FD9E2" w14:textId="64122236" w:rsidR="002750C8" w:rsidRDefault="002750C8" w:rsidP="00300317">
      <w:pPr>
        <w:ind w:left="709"/>
        <w:contextualSpacing/>
        <w:rPr>
          <w:rFonts w:cs="Arial"/>
          <w:b/>
          <w:szCs w:val="24"/>
        </w:rPr>
      </w:pPr>
    </w:p>
    <w:p w14:paraId="26B75B0B" w14:textId="76616818" w:rsidR="002750C8" w:rsidRDefault="002750C8" w:rsidP="00300317">
      <w:pPr>
        <w:ind w:left="709"/>
        <w:contextualSpacing/>
        <w:rPr>
          <w:rFonts w:cs="Arial"/>
          <w:b/>
          <w:szCs w:val="24"/>
        </w:rPr>
      </w:pPr>
    </w:p>
    <w:p w14:paraId="11E34CD8" w14:textId="52AA6F65" w:rsidR="002750C8" w:rsidRDefault="002750C8" w:rsidP="00300317">
      <w:pPr>
        <w:ind w:left="709"/>
        <w:contextualSpacing/>
        <w:rPr>
          <w:rFonts w:cs="Arial"/>
          <w:b/>
          <w:szCs w:val="24"/>
        </w:rPr>
      </w:pPr>
    </w:p>
    <w:p w14:paraId="6F804E54" w14:textId="06D953D8" w:rsidR="002750C8" w:rsidRDefault="002750C8" w:rsidP="00300317">
      <w:pPr>
        <w:ind w:left="709"/>
        <w:contextualSpacing/>
        <w:rPr>
          <w:rFonts w:cs="Arial"/>
          <w:b/>
          <w:szCs w:val="24"/>
        </w:rPr>
      </w:pPr>
    </w:p>
    <w:p w14:paraId="5A723FC3" w14:textId="72BE620C" w:rsidR="002750C8" w:rsidRDefault="002750C8" w:rsidP="00300317">
      <w:pPr>
        <w:ind w:left="709"/>
        <w:contextualSpacing/>
        <w:rPr>
          <w:rFonts w:cs="Arial"/>
          <w:b/>
          <w:szCs w:val="24"/>
        </w:rPr>
      </w:pPr>
    </w:p>
    <w:p w14:paraId="0CC4497E" w14:textId="06E1BA1D" w:rsidR="002750C8" w:rsidRDefault="002750C8" w:rsidP="00300317">
      <w:pPr>
        <w:ind w:left="709"/>
        <w:contextualSpacing/>
        <w:rPr>
          <w:rFonts w:cs="Arial"/>
          <w:b/>
          <w:szCs w:val="24"/>
        </w:rPr>
      </w:pPr>
    </w:p>
    <w:p w14:paraId="1CAD9266" w14:textId="09548666" w:rsidR="002750C8" w:rsidRDefault="002750C8" w:rsidP="00300317">
      <w:pPr>
        <w:ind w:left="709"/>
        <w:contextualSpacing/>
        <w:rPr>
          <w:rFonts w:cs="Arial"/>
          <w:b/>
          <w:szCs w:val="24"/>
        </w:rPr>
      </w:pPr>
    </w:p>
    <w:p w14:paraId="0AB4BA6B" w14:textId="6173ADDE" w:rsidR="002750C8" w:rsidRDefault="002750C8" w:rsidP="00300317">
      <w:pPr>
        <w:ind w:left="709"/>
        <w:contextualSpacing/>
        <w:rPr>
          <w:rFonts w:cs="Arial"/>
          <w:b/>
          <w:szCs w:val="24"/>
        </w:rPr>
      </w:pPr>
    </w:p>
    <w:p w14:paraId="2DE209EC" w14:textId="4ABBE1A9" w:rsidR="002750C8" w:rsidRDefault="002750C8" w:rsidP="00300317">
      <w:pPr>
        <w:ind w:left="709"/>
        <w:contextualSpacing/>
        <w:rPr>
          <w:rFonts w:cs="Arial"/>
          <w:b/>
          <w:szCs w:val="24"/>
        </w:rPr>
      </w:pPr>
    </w:p>
    <w:p w14:paraId="24CCFB9E" w14:textId="5E89D084" w:rsidR="002750C8" w:rsidRDefault="002750C8" w:rsidP="00300317">
      <w:pPr>
        <w:ind w:left="709"/>
        <w:contextualSpacing/>
        <w:rPr>
          <w:rFonts w:cs="Arial"/>
          <w:b/>
          <w:szCs w:val="24"/>
        </w:rPr>
      </w:pPr>
    </w:p>
    <w:p w14:paraId="6811413A" w14:textId="2D8A64E1" w:rsidR="002750C8" w:rsidRDefault="002750C8" w:rsidP="00300317">
      <w:pPr>
        <w:ind w:left="709"/>
        <w:contextualSpacing/>
        <w:rPr>
          <w:rFonts w:cs="Arial"/>
          <w:b/>
          <w:szCs w:val="24"/>
        </w:rPr>
      </w:pPr>
    </w:p>
    <w:p w14:paraId="314CCE5A" w14:textId="7C428223" w:rsidR="002750C8" w:rsidRDefault="002750C8" w:rsidP="00300317">
      <w:pPr>
        <w:ind w:left="709"/>
        <w:contextualSpacing/>
        <w:rPr>
          <w:rFonts w:cs="Arial"/>
          <w:b/>
          <w:szCs w:val="24"/>
        </w:rPr>
      </w:pPr>
    </w:p>
    <w:p w14:paraId="1E87630A" w14:textId="6D109266" w:rsidR="002750C8" w:rsidRDefault="002750C8" w:rsidP="00300317">
      <w:pPr>
        <w:ind w:left="709"/>
        <w:contextualSpacing/>
        <w:rPr>
          <w:rFonts w:cs="Arial"/>
          <w:b/>
          <w:szCs w:val="24"/>
        </w:rPr>
      </w:pPr>
    </w:p>
    <w:p w14:paraId="2FCD3AFB" w14:textId="55EEE443" w:rsidR="002750C8" w:rsidRDefault="002750C8" w:rsidP="00300317">
      <w:pPr>
        <w:ind w:left="709"/>
        <w:contextualSpacing/>
        <w:rPr>
          <w:rFonts w:cs="Arial"/>
          <w:b/>
          <w:szCs w:val="24"/>
        </w:rPr>
      </w:pPr>
    </w:p>
    <w:p w14:paraId="48B7B27C" w14:textId="58AE48E5" w:rsidR="002750C8" w:rsidRDefault="002750C8" w:rsidP="00300317">
      <w:pPr>
        <w:ind w:left="709"/>
        <w:contextualSpacing/>
        <w:rPr>
          <w:rFonts w:cs="Arial"/>
          <w:b/>
          <w:szCs w:val="24"/>
        </w:rPr>
      </w:pPr>
    </w:p>
    <w:p w14:paraId="312F6371" w14:textId="6A8E87CA" w:rsidR="002750C8" w:rsidRDefault="002750C8" w:rsidP="00300317">
      <w:pPr>
        <w:ind w:left="709"/>
        <w:contextualSpacing/>
        <w:rPr>
          <w:rFonts w:cs="Arial"/>
          <w:b/>
          <w:szCs w:val="24"/>
        </w:rPr>
      </w:pPr>
    </w:p>
    <w:p w14:paraId="78FC389B" w14:textId="0E23F9E2" w:rsidR="002750C8" w:rsidRDefault="002750C8" w:rsidP="00300317">
      <w:pPr>
        <w:ind w:left="709"/>
        <w:contextualSpacing/>
        <w:rPr>
          <w:rFonts w:cs="Arial"/>
          <w:b/>
          <w:szCs w:val="24"/>
        </w:rPr>
      </w:pPr>
    </w:p>
    <w:p w14:paraId="1536187D" w14:textId="42F75091" w:rsidR="002750C8" w:rsidRDefault="002750C8" w:rsidP="00300317">
      <w:pPr>
        <w:ind w:left="709"/>
        <w:contextualSpacing/>
        <w:rPr>
          <w:rFonts w:cs="Arial"/>
          <w:b/>
          <w:szCs w:val="24"/>
        </w:rPr>
      </w:pPr>
    </w:p>
    <w:p w14:paraId="24DA9202" w14:textId="44E03EF4" w:rsidR="002750C8" w:rsidRDefault="002750C8" w:rsidP="00300317">
      <w:pPr>
        <w:ind w:left="709"/>
        <w:contextualSpacing/>
        <w:rPr>
          <w:rFonts w:cs="Arial"/>
          <w:b/>
          <w:szCs w:val="24"/>
        </w:rPr>
      </w:pPr>
    </w:p>
    <w:p w14:paraId="69DBE77C" w14:textId="3ACCEFB0" w:rsidR="002750C8" w:rsidRDefault="002750C8" w:rsidP="00300317">
      <w:pPr>
        <w:ind w:left="709"/>
        <w:contextualSpacing/>
        <w:rPr>
          <w:rFonts w:cs="Arial"/>
          <w:b/>
          <w:szCs w:val="24"/>
        </w:rPr>
      </w:pPr>
    </w:p>
    <w:p w14:paraId="6313F58C" w14:textId="7B221E77" w:rsidR="002750C8" w:rsidRDefault="002750C8" w:rsidP="00300317">
      <w:pPr>
        <w:ind w:left="709"/>
        <w:contextualSpacing/>
        <w:rPr>
          <w:rFonts w:cs="Arial"/>
          <w:b/>
          <w:szCs w:val="24"/>
        </w:rPr>
      </w:pPr>
    </w:p>
    <w:p w14:paraId="66F7A58D" w14:textId="160B6CDB" w:rsidR="002750C8" w:rsidRDefault="002750C8" w:rsidP="00300317">
      <w:pPr>
        <w:ind w:left="709"/>
        <w:contextualSpacing/>
        <w:rPr>
          <w:rFonts w:cs="Arial"/>
          <w:b/>
          <w:szCs w:val="24"/>
        </w:rPr>
      </w:pPr>
    </w:p>
    <w:p w14:paraId="4F5BCF0C" w14:textId="677DD208" w:rsidR="002750C8" w:rsidRDefault="002750C8" w:rsidP="00300317">
      <w:pPr>
        <w:ind w:left="709"/>
        <w:contextualSpacing/>
        <w:rPr>
          <w:rFonts w:cs="Arial"/>
          <w:b/>
          <w:szCs w:val="24"/>
        </w:rPr>
      </w:pPr>
    </w:p>
    <w:p w14:paraId="60EF5EC3" w14:textId="6F1CDF15" w:rsidR="002750C8" w:rsidRDefault="002750C8" w:rsidP="00300317">
      <w:pPr>
        <w:ind w:left="709"/>
        <w:contextualSpacing/>
        <w:rPr>
          <w:rFonts w:cs="Arial"/>
          <w:b/>
          <w:szCs w:val="24"/>
        </w:rPr>
      </w:pPr>
    </w:p>
    <w:p w14:paraId="41A71713" w14:textId="49231B79" w:rsidR="002750C8" w:rsidRDefault="002750C8" w:rsidP="00300317">
      <w:pPr>
        <w:ind w:left="709"/>
        <w:contextualSpacing/>
        <w:rPr>
          <w:rFonts w:cs="Arial"/>
          <w:b/>
          <w:szCs w:val="24"/>
        </w:rPr>
      </w:pPr>
    </w:p>
    <w:p w14:paraId="62E1D595" w14:textId="6E2E7ED1" w:rsidR="002750C8" w:rsidRDefault="002750C8" w:rsidP="00300317">
      <w:pPr>
        <w:ind w:left="709"/>
        <w:contextualSpacing/>
        <w:rPr>
          <w:rFonts w:cs="Arial"/>
          <w:b/>
          <w:szCs w:val="24"/>
        </w:rPr>
      </w:pPr>
    </w:p>
    <w:p w14:paraId="08C40D44" w14:textId="4097AF73" w:rsidR="002750C8" w:rsidRDefault="002750C8" w:rsidP="00300317">
      <w:pPr>
        <w:ind w:left="709"/>
        <w:contextualSpacing/>
        <w:rPr>
          <w:rFonts w:cs="Arial"/>
          <w:b/>
          <w:szCs w:val="24"/>
        </w:rPr>
      </w:pPr>
    </w:p>
    <w:p w14:paraId="1632B26F" w14:textId="24C61640" w:rsidR="002750C8" w:rsidRDefault="002750C8" w:rsidP="00300317">
      <w:pPr>
        <w:ind w:left="709"/>
        <w:contextualSpacing/>
        <w:rPr>
          <w:rFonts w:cs="Arial"/>
          <w:b/>
          <w:szCs w:val="24"/>
        </w:rPr>
      </w:pPr>
    </w:p>
    <w:p w14:paraId="5E506665" w14:textId="73FE9F42" w:rsidR="002750C8" w:rsidRDefault="002750C8" w:rsidP="00300317">
      <w:pPr>
        <w:ind w:left="709"/>
        <w:contextualSpacing/>
        <w:rPr>
          <w:rFonts w:cs="Arial"/>
          <w:b/>
          <w:szCs w:val="24"/>
        </w:rPr>
      </w:pPr>
    </w:p>
    <w:p w14:paraId="0A3097BF" w14:textId="1B67F235" w:rsidR="002750C8" w:rsidRDefault="002750C8" w:rsidP="00300317">
      <w:pPr>
        <w:ind w:left="709"/>
        <w:contextualSpacing/>
        <w:rPr>
          <w:rFonts w:cs="Arial"/>
          <w:b/>
          <w:szCs w:val="24"/>
        </w:rPr>
      </w:pPr>
    </w:p>
    <w:p w14:paraId="7DC38B48" w14:textId="1324501E" w:rsidR="002750C8" w:rsidRDefault="002750C8" w:rsidP="00300317">
      <w:pPr>
        <w:ind w:left="709"/>
        <w:contextualSpacing/>
        <w:rPr>
          <w:rFonts w:cs="Arial"/>
          <w:b/>
          <w:szCs w:val="24"/>
        </w:rPr>
      </w:pPr>
    </w:p>
    <w:p w14:paraId="73225840" w14:textId="3C365238" w:rsidR="002750C8" w:rsidRDefault="002750C8" w:rsidP="00300317">
      <w:pPr>
        <w:ind w:left="709"/>
        <w:contextualSpacing/>
        <w:rPr>
          <w:rFonts w:cs="Arial"/>
          <w:b/>
          <w:szCs w:val="24"/>
        </w:rPr>
      </w:pPr>
    </w:p>
    <w:p w14:paraId="0AFCF59B" w14:textId="6E94465C" w:rsidR="002750C8" w:rsidRDefault="002750C8" w:rsidP="00300317">
      <w:pPr>
        <w:ind w:left="709"/>
        <w:contextualSpacing/>
        <w:rPr>
          <w:rFonts w:cs="Arial"/>
          <w:b/>
          <w:szCs w:val="24"/>
        </w:rPr>
      </w:pPr>
    </w:p>
    <w:p w14:paraId="495C3B85" w14:textId="59983992" w:rsidR="002750C8" w:rsidRDefault="002750C8" w:rsidP="002750C8">
      <w:pPr>
        <w:ind w:left="709"/>
        <w:contextualSpacing/>
        <w:jc w:val="right"/>
        <w:rPr>
          <w:rFonts w:cs="Arial"/>
          <w:b/>
          <w:szCs w:val="24"/>
        </w:rPr>
      </w:pPr>
      <w:r>
        <w:rPr>
          <w:noProof/>
          <w:lang w:eastAsia="en-GB"/>
        </w:rPr>
        <w:drawing>
          <wp:inline distT="0" distB="0" distL="0" distR="0" wp14:anchorId="3EF2E3A7" wp14:editId="20904891">
            <wp:extent cx="1768475" cy="1223645"/>
            <wp:effectExtent l="0" t="0" r="3175" b="0"/>
            <wp:docPr id="54" name="Picture 1"/>
            <wp:cNvGraphicFramePr/>
            <a:graphic xmlns:a="http://schemas.openxmlformats.org/drawingml/2006/main">
              <a:graphicData uri="http://schemas.openxmlformats.org/drawingml/2006/picture">
                <pic:pic xmlns:pic="http://schemas.openxmlformats.org/drawingml/2006/picture">
                  <pic:nvPicPr>
                    <pic:cNvPr id="54"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8475" cy="1223645"/>
                    </a:xfrm>
                    <a:prstGeom prst="rect">
                      <a:avLst/>
                    </a:prstGeom>
                  </pic:spPr>
                </pic:pic>
              </a:graphicData>
            </a:graphic>
          </wp:inline>
        </w:drawing>
      </w:r>
    </w:p>
    <w:p w14:paraId="3C975715" w14:textId="072990B1" w:rsidR="0079685E" w:rsidRDefault="002750C8" w:rsidP="00300317">
      <w:pPr>
        <w:pStyle w:val="Default"/>
        <w:ind w:left="709"/>
      </w:pPr>
      <w:r>
        <w:rPr>
          <w:noProof/>
          <w:lang w:eastAsia="en-GB"/>
        </w:rPr>
        <w:lastRenderedPageBreak/>
        <mc:AlternateContent>
          <mc:Choice Requires="wps">
            <w:drawing>
              <wp:anchor distT="0" distB="0" distL="114300" distR="114300" simplePos="0" relativeHeight="251663360" behindDoc="0" locked="0" layoutInCell="1" allowOverlap="1" wp14:anchorId="18481955" wp14:editId="60A077B8">
                <wp:simplePos x="0" y="0"/>
                <wp:positionH relativeFrom="column">
                  <wp:posOffset>0</wp:posOffset>
                </wp:positionH>
                <wp:positionV relativeFrom="paragraph">
                  <wp:posOffset>37465</wp:posOffset>
                </wp:positionV>
                <wp:extent cx="6544310" cy="532765"/>
                <wp:effectExtent l="38100" t="38100" r="104140" b="95885"/>
                <wp:wrapNone/>
                <wp:docPr id="39" name="Pentagon 39"/>
                <wp:cNvGraphicFramePr/>
                <a:graphic xmlns:a="http://schemas.openxmlformats.org/drawingml/2006/main">
                  <a:graphicData uri="http://schemas.microsoft.com/office/word/2010/wordprocessingShape">
                    <wps:wsp>
                      <wps:cNvSpPr/>
                      <wps:spPr>
                        <a:xfrm>
                          <a:off x="0" y="0"/>
                          <a:ext cx="6544310" cy="532765"/>
                        </a:xfrm>
                        <a:prstGeom prst="homePlate">
                          <a:avLst/>
                        </a:prstGeom>
                        <a:solidFill>
                          <a:schemeClr val="accent5">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9C8F2" w14:textId="4F27A050" w:rsidR="002750C8" w:rsidRPr="002750C8" w:rsidRDefault="002750C8" w:rsidP="002750C8">
                            <w:pPr>
                              <w:pStyle w:val="ListParagraph"/>
                              <w:numPr>
                                <w:ilvl w:val="0"/>
                                <w:numId w:val="46"/>
                              </w:numPr>
                              <w:rPr>
                                <w:rFonts w:ascii="Arial" w:hAnsi="Arial" w:cs="Arial"/>
                                <w:color w:val="002060"/>
                                <w:sz w:val="36"/>
                              </w:rPr>
                            </w:pPr>
                            <w:r w:rsidRPr="002750C8">
                              <w:rPr>
                                <w:rFonts w:ascii="Arial" w:hAnsi="Arial" w:cs="Arial"/>
                                <w:color w:val="002060"/>
                                <w:sz w:val="36"/>
                              </w:rPr>
                              <w:t>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848195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9" o:spid="_x0000_s1029" type="#_x0000_t15" style="position:absolute;left:0;text-align:left;margin-left:0;margin-top:2.95pt;width:515.3pt;height:4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" adj="20721" fillcolor="#d9e2f3 [664]" stroked="f" strokeweight="1pt">
                <v:shadow on="t" color="black" opacity="26214f" origin="-.5,-.5" offset=".74836mm,.74836mm"/>
                <v:textbox>
                  <w:txbxContent>
                    <w:p w14:paraId="7059C8F2" w14:textId="4F27A050" w:rsidR="002750C8" w:rsidRPr="002750C8" w:rsidRDefault="002750C8" w:rsidP="002750C8">
                      <w:pPr>
                        <w:pStyle w:val="ListParagraph"/>
                        <w:numPr>
                          <w:ilvl w:val="0"/>
                          <w:numId w:val="46"/>
                        </w:numPr>
                        <w:rPr>
                          <w:rFonts w:ascii="Arial" w:hAnsi="Arial" w:cs="Arial"/>
                          <w:color w:val="002060"/>
                          <w:sz w:val="36"/>
                        </w:rPr>
                      </w:pPr>
                      <w:r w:rsidRPr="002750C8">
                        <w:rPr>
                          <w:rFonts w:ascii="Arial" w:hAnsi="Arial" w:cs="Arial"/>
                          <w:color w:val="002060"/>
                          <w:sz w:val="36"/>
                        </w:rPr>
                        <w:t>Governance</w:t>
                      </w:r>
                    </w:p>
                  </w:txbxContent>
                </v:textbox>
              </v:shape>
            </w:pict>
          </mc:Fallback>
        </mc:AlternateContent>
      </w:r>
    </w:p>
    <w:p w14:paraId="14F49F1E" w14:textId="77777777" w:rsidR="00F3337D" w:rsidRDefault="00C87B62" w:rsidP="00300317">
      <w:pPr>
        <w:pStyle w:val="Heading2"/>
        <w:spacing w:before="0"/>
      </w:pPr>
      <w:r>
        <w:t>2</w:t>
      </w:r>
      <w:r w:rsidR="00BF3AF0">
        <w:t>.3</w:t>
      </w:r>
      <w:r w:rsidR="00BF3AF0">
        <w:tab/>
      </w:r>
      <w:r w:rsidR="00F3337D">
        <w:t>Assessment</w:t>
      </w:r>
    </w:p>
    <w:p w14:paraId="0788F740" w14:textId="77777777" w:rsidR="008859A8" w:rsidRPr="008859A8" w:rsidRDefault="008859A8" w:rsidP="00FA0C60">
      <w:pPr>
        <w:jc w:val="right"/>
      </w:pPr>
    </w:p>
    <w:p w14:paraId="2C821251" w14:textId="1E25244D" w:rsidR="004D5880" w:rsidRDefault="005B2E7C" w:rsidP="00300317">
      <w:pPr>
        <w:ind w:left="851" w:hanging="142"/>
        <w:rPr>
          <w:b/>
        </w:rPr>
      </w:pPr>
      <w:r w:rsidRPr="00FA0C60">
        <w:rPr>
          <w:noProof/>
          <w:lang w:eastAsia="en-GB"/>
        </w:rPr>
        <w:drawing>
          <wp:anchor distT="0" distB="0" distL="114300" distR="114300" simplePos="0" relativeHeight="251658240" behindDoc="0" locked="0" layoutInCell="1" allowOverlap="1" wp14:anchorId="18DCC534" wp14:editId="3E5CB6D1">
            <wp:simplePos x="0" y="0"/>
            <wp:positionH relativeFrom="column">
              <wp:posOffset>4021455</wp:posOffset>
            </wp:positionH>
            <wp:positionV relativeFrom="paragraph">
              <wp:posOffset>6985</wp:posOffset>
            </wp:positionV>
            <wp:extent cx="2892425" cy="3253105"/>
            <wp:effectExtent l="0" t="0" r="317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2425" cy="3253105"/>
                    </a:xfrm>
                    <a:prstGeom prst="rect">
                      <a:avLst/>
                    </a:prstGeom>
                  </pic:spPr>
                </pic:pic>
              </a:graphicData>
            </a:graphic>
            <wp14:sizeRelH relativeFrom="page">
              <wp14:pctWidth>0</wp14:pctWidth>
            </wp14:sizeRelH>
            <wp14:sizeRelV relativeFrom="page">
              <wp14:pctHeight>0</wp14:pctHeight>
            </wp14:sizeRelV>
          </wp:anchor>
        </w:drawing>
      </w:r>
    </w:p>
    <w:p w14:paraId="15056C85" w14:textId="77777777" w:rsidR="005B2E7C" w:rsidRDefault="005B2E7C" w:rsidP="0053140A">
      <w:pPr>
        <w:ind w:left="720"/>
      </w:pPr>
    </w:p>
    <w:p w14:paraId="0C20DB8C" w14:textId="587B1F35" w:rsidR="00B37CC0" w:rsidRDefault="0072170F" w:rsidP="0053140A">
      <w:pPr>
        <w:ind w:left="720"/>
        <w:rPr>
          <w:rFonts w:cs="Arial"/>
          <w:szCs w:val="24"/>
        </w:rPr>
      </w:pPr>
      <w:r>
        <w:t>The</w:t>
      </w:r>
      <w:r w:rsidR="004D5880">
        <w:t xml:space="preserve"> Board continued to meet regularly within a hybrid model. </w:t>
      </w:r>
      <w:r w:rsidR="00FA0C60">
        <w:t xml:space="preserve">  </w:t>
      </w:r>
      <w:r w:rsidR="00566C8C">
        <w:rPr>
          <w:rFonts w:cs="Arial"/>
          <w:szCs w:val="24"/>
        </w:rPr>
        <w:t xml:space="preserve">In total </w:t>
      </w:r>
      <w:r w:rsidR="000C067F">
        <w:rPr>
          <w:rFonts w:cs="Arial"/>
          <w:szCs w:val="24"/>
        </w:rPr>
        <w:t>14</w:t>
      </w:r>
      <w:r w:rsidR="00566C8C">
        <w:rPr>
          <w:rFonts w:cs="Arial"/>
          <w:szCs w:val="24"/>
        </w:rPr>
        <w:t xml:space="preserve"> papers were presented to NHS GJ Board for approval</w:t>
      </w:r>
      <w:r w:rsidR="00D83005">
        <w:rPr>
          <w:rFonts w:cs="Arial"/>
          <w:szCs w:val="24"/>
        </w:rPr>
        <w:t xml:space="preserve"> during Quarter </w:t>
      </w:r>
      <w:r w:rsidR="00393C0A">
        <w:rPr>
          <w:rFonts w:cs="Arial"/>
          <w:szCs w:val="24"/>
        </w:rPr>
        <w:t>1</w:t>
      </w:r>
      <w:r w:rsidR="00B37CC0">
        <w:rPr>
          <w:rFonts w:cs="Arial"/>
          <w:szCs w:val="24"/>
        </w:rPr>
        <w:t>.  These were:</w:t>
      </w:r>
    </w:p>
    <w:p w14:paraId="63934A4C" w14:textId="77777777" w:rsidR="00B37CC0" w:rsidRPr="00B37CC0" w:rsidRDefault="00585DF9" w:rsidP="00FA0C60">
      <w:pPr>
        <w:pStyle w:val="ListParagraph"/>
        <w:numPr>
          <w:ilvl w:val="0"/>
          <w:numId w:val="34"/>
        </w:numPr>
        <w:spacing w:before="120"/>
        <w:ind w:left="1134"/>
        <w:rPr>
          <w:rFonts w:ascii="Arial" w:hAnsi="Arial" w:cs="Arial"/>
          <w:sz w:val="24"/>
          <w:szCs w:val="24"/>
        </w:rPr>
      </w:pPr>
      <w:r w:rsidRPr="00B37CC0">
        <w:rPr>
          <w:rFonts w:ascii="Arial" w:hAnsi="Arial" w:cs="Arial"/>
          <w:sz w:val="24"/>
          <w:szCs w:val="24"/>
        </w:rPr>
        <w:t xml:space="preserve">Integrated Performance Report </w:t>
      </w:r>
    </w:p>
    <w:p w14:paraId="206CD15C" w14:textId="60AC5CEA" w:rsidR="00B37CC0" w:rsidRPr="00B37CC0" w:rsidRDefault="00B37CC0" w:rsidP="00FA0C60">
      <w:pPr>
        <w:pStyle w:val="ListParagraph"/>
        <w:numPr>
          <w:ilvl w:val="0"/>
          <w:numId w:val="34"/>
        </w:numPr>
        <w:ind w:left="1134"/>
        <w:rPr>
          <w:rFonts w:ascii="Arial" w:hAnsi="Arial" w:cs="Arial"/>
          <w:sz w:val="24"/>
          <w:szCs w:val="24"/>
        </w:rPr>
      </w:pPr>
      <w:r w:rsidRPr="00B37CC0">
        <w:rPr>
          <w:rFonts w:ascii="Arial" w:hAnsi="Arial" w:cs="Arial"/>
          <w:sz w:val="24"/>
          <w:szCs w:val="24"/>
        </w:rPr>
        <w:t xml:space="preserve">Whistleblowing </w:t>
      </w:r>
      <w:r w:rsidR="00393C0A">
        <w:rPr>
          <w:rFonts w:ascii="Arial" w:hAnsi="Arial" w:cs="Arial"/>
          <w:sz w:val="24"/>
          <w:szCs w:val="24"/>
        </w:rPr>
        <w:t xml:space="preserve">Annual Report for 2024/25 </w:t>
      </w:r>
      <w:proofErr w:type="spellStart"/>
      <w:r w:rsidR="00393C0A">
        <w:rPr>
          <w:rFonts w:ascii="Arial" w:hAnsi="Arial" w:cs="Arial"/>
          <w:sz w:val="24"/>
          <w:szCs w:val="24"/>
        </w:rPr>
        <w:t>incl</w:t>
      </w:r>
      <w:proofErr w:type="spellEnd"/>
      <w:r w:rsidR="00393C0A">
        <w:rPr>
          <w:rFonts w:ascii="Arial" w:hAnsi="Arial" w:cs="Arial"/>
          <w:sz w:val="24"/>
          <w:szCs w:val="24"/>
        </w:rPr>
        <w:t xml:space="preserve"> Q4</w:t>
      </w:r>
    </w:p>
    <w:p w14:paraId="09A886C0" w14:textId="7B7739D9" w:rsidR="00B37CC0" w:rsidRPr="000C067F" w:rsidRDefault="00393C0A" w:rsidP="00FA0C60">
      <w:pPr>
        <w:pStyle w:val="ListParagraph"/>
        <w:numPr>
          <w:ilvl w:val="0"/>
          <w:numId w:val="34"/>
        </w:numPr>
        <w:ind w:left="1134"/>
        <w:rPr>
          <w:rFonts w:ascii="Arial" w:hAnsi="Arial" w:cs="Arial"/>
          <w:sz w:val="24"/>
          <w:szCs w:val="24"/>
        </w:rPr>
      </w:pPr>
      <w:r w:rsidRPr="000C067F">
        <w:rPr>
          <w:rFonts w:ascii="Arial" w:hAnsi="Arial" w:cs="Arial"/>
          <w:sz w:val="24"/>
          <w:szCs w:val="24"/>
        </w:rPr>
        <w:t>Golden Jubilee Research Institute Annual Report for 2024/25</w:t>
      </w:r>
    </w:p>
    <w:p w14:paraId="6E91D3F5" w14:textId="77777777" w:rsidR="00393C0A" w:rsidRPr="000C067F" w:rsidRDefault="00393C0A" w:rsidP="00D83005">
      <w:pPr>
        <w:pStyle w:val="ListParagraph"/>
        <w:numPr>
          <w:ilvl w:val="0"/>
          <w:numId w:val="34"/>
        </w:numPr>
        <w:ind w:left="1134"/>
        <w:rPr>
          <w:rFonts w:ascii="Arial" w:hAnsi="Arial" w:cs="Arial"/>
          <w:sz w:val="24"/>
          <w:szCs w:val="24"/>
        </w:rPr>
      </w:pPr>
      <w:r w:rsidRPr="000C067F">
        <w:rPr>
          <w:rFonts w:ascii="Arial" w:hAnsi="Arial" w:cs="Arial"/>
          <w:sz w:val="24"/>
          <w:szCs w:val="24"/>
        </w:rPr>
        <w:t>Health and Safety Annual Report for 2024/25</w:t>
      </w:r>
    </w:p>
    <w:p w14:paraId="215D0CA1" w14:textId="77777777" w:rsidR="00393C0A" w:rsidRPr="000C067F" w:rsidRDefault="00393C0A" w:rsidP="00D83005">
      <w:pPr>
        <w:pStyle w:val="ListParagraph"/>
        <w:numPr>
          <w:ilvl w:val="0"/>
          <w:numId w:val="34"/>
        </w:numPr>
        <w:ind w:left="1134"/>
        <w:rPr>
          <w:rFonts w:ascii="Arial" w:hAnsi="Arial" w:cs="Arial"/>
          <w:sz w:val="24"/>
          <w:szCs w:val="24"/>
        </w:rPr>
      </w:pPr>
      <w:r w:rsidRPr="000C067F">
        <w:rPr>
          <w:rFonts w:ascii="Arial" w:hAnsi="Arial" w:cs="Arial"/>
          <w:sz w:val="24"/>
          <w:szCs w:val="24"/>
        </w:rPr>
        <w:t>Duty of Candour Annual Report for 2024/25</w:t>
      </w:r>
    </w:p>
    <w:p w14:paraId="0866BF55" w14:textId="77777777" w:rsidR="00393C0A" w:rsidRPr="000C067F" w:rsidRDefault="00393C0A" w:rsidP="00D83005">
      <w:pPr>
        <w:pStyle w:val="ListParagraph"/>
        <w:numPr>
          <w:ilvl w:val="0"/>
          <w:numId w:val="34"/>
        </w:numPr>
        <w:ind w:left="1134"/>
        <w:rPr>
          <w:rFonts w:ascii="Arial" w:hAnsi="Arial" w:cs="Arial"/>
          <w:sz w:val="24"/>
          <w:szCs w:val="24"/>
        </w:rPr>
      </w:pPr>
      <w:r w:rsidRPr="000C067F">
        <w:rPr>
          <w:rFonts w:ascii="Arial" w:hAnsi="Arial" w:cs="Arial"/>
          <w:sz w:val="24"/>
          <w:szCs w:val="24"/>
        </w:rPr>
        <w:t xml:space="preserve">NHS Golden Jubilee Code of Conduct </w:t>
      </w:r>
    </w:p>
    <w:p w14:paraId="38725E17" w14:textId="77777777" w:rsidR="00393C0A" w:rsidRPr="000C067F" w:rsidRDefault="00393C0A" w:rsidP="00D83005">
      <w:pPr>
        <w:pStyle w:val="ListParagraph"/>
        <w:numPr>
          <w:ilvl w:val="0"/>
          <w:numId w:val="34"/>
        </w:numPr>
        <w:ind w:left="1134"/>
        <w:rPr>
          <w:rFonts w:ascii="Arial" w:hAnsi="Arial" w:cs="Arial"/>
          <w:sz w:val="24"/>
          <w:szCs w:val="24"/>
        </w:rPr>
      </w:pPr>
      <w:r w:rsidRPr="000C067F">
        <w:rPr>
          <w:rFonts w:ascii="Arial" w:hAnsi="Arial" w:cs="Arial"/>
          <w:sz w:val="24"/>
          <w:szCs w:val="24"/>
        </w:rPr>
        <w:t xml:space="preserve">NHS Golden Jubilee Standing Orders </w:t>
      </w:r>
    </w:p>
    <w:p w14:paraId="7130E28C" w14:textId="77777777" w:rsidR="00393C0A" w:rsidRPr="000C067F" w:rsidRDefault="00393C0A" w:rsidP="00D83005">
      <w:pPr>
        <w:pStyle w:val="ListParagraph"/>
        <w:numPr>
          <w:ilvl w:val="0"/>
          <w:numId w:val="34"/>
        </w:numPr>
        <w:ind w:left="1134"/>
        <w:rPr>
          <w:rFonts w:ascii="Arial" w:hAnsi="Arial" w:cs="Arial"/>
          <w:sz w:val="24"/>
          <w:szCs w:val="24"/>
        </w:rPr>
      </w:pPr>
      <w:r w:rsidRPr="000C067F">
        <w:rPr>
          <w:rFonts w:ascii="Arial" w:hAnsi="Arial" w:cs="Arial"/>
          <w:sz w:val="24"/>
          <w:szCs w:val="24"/>
        </w:rPr>
        <w:t>End of Year Overview for Health Associated Infection Reporting Template (HAIRT) Report 2024/25</w:t>
      </w:r>
    </w:p>
    <w:p w14:paraId="33609DBA" w14:textId="77777777" w:rsidR="00393C0A" w:rsidRPr="000C067F" w:rsidRDefault="00393C0A" w:rsidP="00D83005">
      <w:pPr>
        <w:pStyle w:val="ListParagraph"/>
        <w:numPr>
          <w:ilvl w:val="0"/>
          <w:numId w:val="34"/>
        </w:numPr>
        <w:ind w:left="1134"/>
        <w:rPr>
          <w:rFonts w:ascii="Arial" w:hAnsi="Arial" w:cs="Arial"/>
          <w:sz w:val="24"/>
          <w:szCs w:val="24"/>
        </w:rPr>
      </w:pPr>
      <w:r w:rsidRPr="000C067F">
        <w:rPr>
          <w:rFonts w:ascii="Arial" w:hAnsi="Arial" w:cs="Arial"/>
          <w:sz w:val="24"/>
          <w:szCs w:val="24"/>
        </w:rPr>
        <w:t xml:space="preserve">Volunteer Charter </w:t>
      </w:r>
    </w:p>
    <w:p w14:paraId="11BAE65E" w14:textId="77777777" w:rsidR="00393C0A" w:rsidRPr="000C067F" w:rsidRDefault="00393C0A" w:rsidP="00D83005">
      <w:pPr>
        <w:pStyle w:val="ListParagraph"/>
        <w:numPr>
          <w:ilvl w:val="0"/>
          <w:numId w:val="34"/>
        </w:numPr>
        <w:ind w:left="1134"/>
        <w:rPr>
          <w:rFonts w:ascii="Arial" w:hAnsi="Arial" w:cs="Arial"/>
          <w:sz w:val="24"/>
          <w:szCs w:val="24"/>
        </w:rPr>
      </w:pPr>
      <w:r w:rsidRPr="000C067F">
        <w:rPr>
          <w:rFonts w:ascii="Arial" w:hAnsi="Arial" w:cs="Arial"/>
          <w:sz w:val="24"/>
          <w:szCs w:val="24"/>
        </w:rPr>
        <w:t>Financial Report, Month 12 (as at 31 March 2025)</w:t>
      </w:r>
    </w:p>
    <w:p w14:paraId="225B8839" w14:textId="77777777" w:rsidR="00393C0A" w:rsidRPr="000C067F" w:rsidRDefault="00393C0A" w:rsidP="00D83005">
      <w:pPr>
        <w:pStyle w:val="ListParagraph"/>
        <w:numPr>
          <w:ilvl w:val="0"/>
          <w:numId w:val="34"/>
        </w:numPr>
        <w:ind w:left="1134"/>
        <w:rPr>
          <w:rFonts w:ascii="Arial" w:hAnsi="Arial" w:cs="Arial"/>
          <w:sz w:val="24"/>
          <w:szCs w:val="24"/>
        </w:rPr>
      </w:pPr>
      <w:r w:rsidRPr="000C067F">
        <w:rPr>
          <w:rFonts w:ascii="Arial" w:hAnsi="Arial" w:cs="Arial"/>
          <w:sz w:val="24"/>
          <w:szCs w:val="24"/>
        </w:rPr>
        <w:t xml:space="preserve">2024/25 Annual Delivery Plan Q4 Update </w:t>
      </w:r>
    </w:p>
    <w:p w14:paraId="4A582CCA" w14:textId="77777777" w:rsidR="00393C0A" w:rsidRPr="000C067F" w:rsidRDefault="00393C0A" w:rsidP="00D83005">
      <w:pPr>
        <w:pStyle w:val="ListParagraph"/>
        <w:numPr>
          <w:ilvl w:val="0"/>
          <w:numId w:val="34"/>
        </w:numPr>
        <w:ind w:left="1134"/>
        <w:rPr>
          <w:rFonts w:ascii="Arial" w:hAnsi="Arial" w:cs="Arial"/>
          <w:sz w:val="24"/>
          <w:szCs w:val="24"/>
        </w:rPr>
      </w:pPr>
      <w:r w:rsidRPr="000C067F">
        <w:rPr>
          <w:rFonts w:ascii="Arial" w:hAnsi="Arial" w:cs="Arial"/>
          <w:sz w:val="24"/>
          <w:szCs w:val="24"/>
        </w:rPr>
        <w:t xml:space="preserve">Performance Report </w:t>
      </w:r>
    </w:p>
    <w:p w14:paraId="11406224" w14:textId="77777777" w:rsidR="00393C0A" w:rsidRPr="000C067F" w:rsidRDefault="00393C0A" w:rsidP="00D83005">
      <w:pPr>
        <w:pStyle w:val="ListParagraph"/>
        <w:numPr>
          <w:ilvl w:val="0"/>
          <w:numId w:val="34"/>
        </w:numPr>
        <w:ind w:left="1134"/>
        <w:rPr>
          <w:rFonts w:ascii="Arial" w:hAnsi="Arial" w:cs="Arial"/>
          <w:sz w:val="24"/>
          <w:szCs w:val="24"/>
        </w:rPr>
      </w:pPr>
      <w:r w:rsidRPr="000C067F">
        <w:rPr>
          <w:rFonts w:ascii="Arial" w:hAnsi="Arial" w:cs="Arial"/>
          <w:sz w:val="24"/>
          <w:szCs w:val="24"/>
        </w:rPr>
        <w:t xml:space="preserve">Strategic Risk Register </w:t>
      </w:r>
    </w:p>
    <w:p w14:paraId="48247D3A" w14:textId="359877F2" w:rsidR="000C067F" w:rsidRPr="000C067F" w:rsidRDefault="000C067F" w:rsidP="00D83005">
      <w:pPr>
        <w:pStyle w:val="ListParagraph"/>
        <w:numPr>
          <w:ilvl w:val="0"/>
          <w:numId w:val="34"/>
        </w:numPr>
        <w:ind w:left="1134"/>
        <w:rPr>
          <w:rFonts w:ascii="Arial" w:hAnsi="Arial" w:cs="Arial"/>
          <w:sz w:val="24"/>
          <w:szCs w:val="24"/>
        </w:rPr>
      </w:pPr>
      <w:r w:rsidRPr="000C067F">
        <w:rPr>
          <w:rFonts w:ascii="Arial" w:hAnsi="Arial" w:cs="Arial"/>
          <w:iCs/>
          <w:sz w:val="24"/>
          <w:szCs w:val="24"/>
        </w:rPr>
        <w:t>Corporate Governance Annual Report for 2024/25</w:t>
      </w:r>
    </w:p>
    <w:p w14:paraId="04776D38" w14:textId="77777777" w:rsidR="00585DF9" w:rsidRDefault="00585DF9" w:rsidP="00585DF9">
      <w:pPr>
        <w:spacing w:line="276" w:lineRule="auto"/>
        <w:ind w:left="720"/>
      </w:pPr>
    </w:p>
    <w:p w14:paraId="74A5BEE7" w14:textId="36E04750" w:rsidR="00B37CC0" w:rsidRDefault="00566C8C" w:rsidP="00170AAD">
      <w:pPr>
        <w:pStyle w:val="ListParagraph"/>
        <w:rPr>
          <w:rFonts w:ascii="Arial" w:hAnsi="Arial" w:cs="Arial"/>
          <w:sz w:val="24"/>
          <w:szCs w:val="24"/>
        </w:rPr>
      </w:pPr>
      <w:r>
        <w:rPr>
          <w:rFonts w:ascii="Arial" w:hAnsi="Arial" w:cs="Arial"/>
          <w:sz w:val="24"/>
          <w:szCs w:val="24"/>
        </w:rPr>
        <w:t xml:space="preserve">In total </w:t>
      </w:r>
      <w:r w:rsidR="00E9328B">
        <w:rPr>
          <w:rFonts w:ascii="Arial" w:hAnsi="Arial" w:cs="Arial"/>
          <w:sz w:val="24"/>
          <w:szCs w:val="24"/>
        </w:rPr>
        <w:t>6</w:t>
      </w:r>
      <w:r w:rsidR="0070299E">
        <w:rPr>
          <w:rFonts w:ascii="Arial" w:hAnsi="Arial" w:cs="Arial"/>
          <w:sz w:val="24"/>
          <w:szCs w:val="24"/>
        </w:rPr>
        <w:t xml:space="preserve"> papers were</w:t>
      </w:r>
      <w:r>
        <w:rPr>
          <w:rFonts w:ascii="Arial" w:hAnsi="Arial" w:cs="Arial"/>
          <w:sz w:val="24"/>
          <w:szCs w:val="24"/>
        </w:rPr>
        <w:t xml:space="preserve"> presented to NHS GJ Board Private Session for approval</w:t>
      </w:r>
      <w:r w:rsidR="00D83005">
        <w:rPr>
          <w:rFonts w:ascii="Arial" w:hAnsi="Arial" w:cs="Arial"/>
          <w:sz w:val="24"/>
          <w:szCs w:val="24"/>
        </w:rPr>
        <w:t xml:space="preserve"> during Quarter </w:t>
      </w:r>
      <w:r w:rsidR="000C067F">
        <w:rPr>
          <w:rFonts w:ascii="Arial" w:hAnsi="Arial" w:cs="Arial"/>
          <w:sz w:val="24"/>
          <w:szCs w:val="24"/>
        </w:rPr>
        <w:t>1</w:t>
      </w:r>
      <w:r>
        <w:rPr>
          <w:rFonts w:ascii="Arial" w:hAnsi="Arial" w:cs="Arial"/>
          <w:sz w:val="24"/>
          <w:szCs w:val="24"/>
        </w:rPr>
        <w:t xml:space="preserve">. </w:t>
      </w:r>
      <w:r w:rsidR="00B37CC0">
        <w:rPr>
          <w:rFonts w:ascii="Arial" w:hAnsi="Arial" w:cs="Arial"/>
          <w:sz w:val="24"/>
          <w:szCs w:val="24"/>
        </w:rPr>
        <w:t xml:space="preserve"> These were:</w:t>
      </w:r>
    </w:p>
    <w:p w14:paraId="316579D5" w14:textId="77777777" w:rsidR="00E9328B" w:rsidRDefault="00E9328B" w:rsidP="00170AAD">
      <w:pPr>
        <w:pStyle w:val="ListParagraph"/>
        <w:rPr>
          <w:rFonts w:ascii="Arial" w:hAnsi="Arial" w:cs="Arial"/>
          <w:sz w:val="24"/>
          <w:szCs w:val="24"/>
        </w:rPr>
      </w:pPr>
    </w:p>
    <w:p w14:paraId="3ECBDB58" w14:textId="74713E99" w:rsidR="0070299E" w:rsidRPr="000C067F" w:rsidRDefault="000C067F" w:rsidP="0070299E">
      <w:pPr>
        <w:pStyle w:val="ListParagraph"/>
        <w:numPr>
          <w:ilvl w:val="0"/>
          <w:numId w:val="35"/>
        </w:numPr>
        <w:ind w:left="1134"/>
        <w:rPr>
          <w:rFonts w:ascii="Arial" w:hAnsi="Arial" w:cs="Arial"/>
          <w:sz w:val="24"/>
          <w:szCs w:val="24"/>
        </w:rPr>
      </w:pPr>
      <w:r w:rsidRPr="000C067F">
        <w:rPr>
          <w:rFonts w:ascii="Arial" w:hAnsi="Arial" w:cs="Arial"/>
          <w:sz w:val="24"/>
          <w:szCs w:val="24"/>
        </w:rPr>
        <w:t>Annual NHSSA Financial Report for 2024/25</w:t>
      </w:r>
    </w:p>
    <w:p w14:paraId="377B688C" w14:textId="06E2AAD0" w:rsidR="000C067F" w:rsidRPr="000C067F" w:rsidRDefault="000C067F" w:rsidP="0070299E">
      <w:pPr>
        <w:pStyle w:val="ListParagraph"/>
        <w:numPr>
          <w:ilvl w:val="0"/>
          <w:numId w:val="35"/>
        </w:numPr>
        <w:ind w:left="1134"/>
        <w:rPr>
          <w:rFonts w:ascii="Arial" w:hAnsi="Arial" w:cs="Arial"/>
          <w:sz w:val="24"/>
          <w:szCs w:val="24"/>
        </w:rPr>
      </w:pPr>
      <w:r w:rsidRPr="000C067F">
        <w:rPr>
          <w:rFonts w:ascii="Arial" w:hAnsi="Arial" w:cs="Arial"/>
          <w:sz w:val="24"/>
          <w:szCs w:val="24"/>
        </w:rPr>
        <w:t>Annual CfSD Finance Report for 2024/25</w:t>
      </w:r>
    </w:p>
    <w:p w14:paraId="40BF9892" w14:textId="5B98AEB4" w:rsidR="000C067F" w:rsidRPr="000C067F" w:rsidRDefault="000C067F" w:rsidP="0070299E">
      <w:pPr>
        <w:pStyle w:val="ListParagraph"/>
        <w:numPr>
          <w:ilvl w:val="0"/>
          <w:numId w:val="35"/>
        </w:numPr>
        <w:ind w:left="1134"/>
        <w:rPr>
          <w:rFonts w:ascii="Arial" w:hAnsi="Arial" w:cs="Arial"/>
          <w:sz w:val="24"/>
          <w:szCs w:val="24"/>
        </w:rPr>
      </w:pPr>
      <w:r w:rsidRPr="000C067F">
        <w:rPr>
          <w:rFonts w:ascii="Arial" w:hAnsi="Arial" w:cs="Arial"/>
          <w:sz w:val="24"/>
          <w:szCs w:val="24"/>
        </w:rPr>
        <w:t>NHS GJ Governance Committees Annual Reports for 2024/25</w:t>
      </w:r>
    </w:p>
    <w:p w14:paraId="0B73057D" w14:textId="51C608FF" w:rsidR="000C067F" w:rsidRPr="000C067F" w:rsidRDefault="000C067F" w:rsidP="0070299E">
      <w:pPr>
        <w:pStyle w:val="ListParagraph"/>
        <w:numPr>
          <w:ilvl w:val="0"/>
          <w:numId w:val="35"/>
        </w:numPr>
        <w:ind w:left="1134"/>
        <w:rPr>
          <w:rFonts w:ascii="Arial" w:hAnsi="Arial" w:cs="Arial"/>
          <w:sz w:val="24"/>
          <w:szCs w:val="24"/>
        </w:rPr>
      </w:pPr>
      <w:r w:rsidRPr="000C067F">
        <w:rPr>
          <w:rFonts w:ascii="Arial" w:hAnsi="Arial" w:cs="Arial"/>
          <w:sz w:val="24"/>
          <w:szCs w:val="24"/>
        </w:rPr>
        <w:t>Draft Governance Statement</w:t>
      </w:r>
    </w:p>
    <w:p w14:paraId="3554121A" w14:textId="4C040DBC" w:rsidR="000C067F" w:rsidRPr="000C067F" w:rsidRDefault="000C067F" w:rsidP="0070299E">
      <w:pPr>
        <w:pStyle w:val="ListParagraph"/>
        <w:numPr>
          <w:ilvl w:val="0"/>
          <w:numId w:val="35"/>
        </w:numPr>
        <w:ind w:left="1134"/>
        <w:rPr>
          <w:rFonts w:ascii="Arial" w:hAnsi="Arial" w:cs="Arial"/>
          <w:sz w:val="24"/>
          <w:szCs w:val="24"/>
        </w:rPr>
      </w:pPr>
      <w:r w:rsidRPr="000C067F">
        <w:rPr>
          <w:rFonts w:ascii="Arial" w:hAnsi="Arial" w:cs="Arial"/>
          <w:sz w:val="24"/>
          <w:szCs w:val="24"/>
        </w:rPr>
        <w:t>NHS Golden Jubilee Annual Report and Accounts 2024/25 (Final)</w:t>
      </w:r>
    </w:p>
    <w:p w14:paraId="13B77821" w14:textId="6D3465AD" w:rsidR="00813CF1" w:rsidRPr="000C067F" w:rsidRDefault="000C067F" w:rsidP="000C067F">
      <w:pPr>
        <w:pStyle w:val="ListParagraph"/>
        <w:numPr>
          <w:ilvl w:val="0"/>
          <w:numId w:val="35"/>
        </w:numPr>
        <w:ind w:left="1134"/>
        <w:rPr>
          <w:rFonts w:ascii="Arial" w:hAnsi="Arial" w:cs="Arial"/>
          <w:sz w:val="24"/>
          <w:szCs w:val="24"/>
        </w:rPr>
      </w:pPr>
      <w:r w:rsidRPr="000C067F">
        <w:rPr>
          <w:rFonts w:ascii="Arial" w:hAnsi="Arial" w:cs="Arial"/>
          <w:sz w:val="24"/>
          <w:szCs w:val="24"/>
        </w:rPr>
        <w:t>Letter of Representation</w:t>
      </w:r>
    </w:p>
    <w:p w14:paraId="5059FED3" w14:textId="262AEC1E" w:rsidR="00027257" w:rsidRDefault="00027257" w:rsidP="00027257">
      <w:pPr>
        <w:pStyle w:val="ListParagraph"/>
        <w:ind w:left="1440"/>
        <w:rPr>
          <w:rFonts w:ascii="Arial" w:hAnsi="Arial" w:cs="Arial"/>
          <w:sz w:val="24"/>
          <w:szCs w:val="24"/>
        </w:rPr>
      </w:pPr>
    </w:p>
    <w:p w14:paraId="7949D4C0" w14:textId="24D1E77F" w:rsidR="00A703E3" w:rsidRDefault="00027257" w:rsidP="00A703E3">
      <w:pPr>
        <w:rPr>
          <w:rFonts w:cs="Arial"/>
          <w:szCs w:val="24"/>
        </w:rPr>
      </w:pPr>
      <w:r>
        <w:rPr>
          <w:noProof/>
          <w:lang w:eastAsia="en-GB"/>
        </w:rPr>
        <mc:AlternateContent>
          <mc:Choice Requires="wps">
            <w:drawing>
              <wp:anchor distT="0" distB="0" distL="114300" distR="114300" simplePos="0" relativeHeight="251667456" behindDoc="0" locked="0" layoutInCell="1" allowOverlap="1" wp14:anchorId="08764ECF" wp14:editId="430BDEAD">
                <wp:simplePos x="0" y="0"/>
                <wp:positionH relativeFrom="column">
                  <wp:posOffset>71755</wp:posOffset>
                </wp:positionH>
                <wp:positionV relativeFrom="paragraph">
                  <wp:posOffset>125730</wp:posOffset>
                </wp:positionV>
                <wp:extent cx="6544310" cy="532765"/>
                <wp:effectExtent l="38100" t="38100" r="104140" b="95885"/>
                <wp:wrapNone/>
                <wp:docPr id="16" name="Pentagon 16"/>
                <wp:cNvGraphicFramePr/>
                <a:graphic xmlns:a="http://schemas.openxmlformats.org/drawingml/2006/main">
                  <a:graphicData uri="http://schemas.microsoft.com/office/word/2010/wordprocessingShape">
                    <wps:wsp>
                      <wps:cNvSpPr/>
                      <wps:spPr>
                        <a:xfrm>
                          <a:off x="0" y="0"/>
                          <a:ext cx="6544310" cy="532765"/>
                        </a:xfrm>
                        <a:prstGeom prst="homePlate">
                          <a:avLst/>
                        </a:prstGeom>
                        <a:solidFill>
                          <a:schemeClr val="accent5">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9758E92" w14:textId="74AACE45" w:rsidR="00027257" w:rsidRPr="002750C8" w:rsidRDefault="00027257" w:rsidP="00027257">
                            <w:pPr>
                              <w:pStyle w:val="ListParagraph"/>
                              <w:numPr>
                                <w:ilvl w:val="0"/>
                                <w:numId w:val="46"/>
                              </w:numPr>
                              <w:rPr>
                                <w:rFonts w:ascii="Arial" w:hAnsi="Arial" w:cs="Arial"/>
                                <w:color w:val="002060"/>
                                <w:sz w:val="36"/>
                              </w:rPr>
                            </w:pPr>
                            <w:r>
                              <w:rPr>
                                <w:rFonts w:ascii="Arial" w:hAnsi="Arial" w:cs="Arial"/>
                                <w:color w:val="002060"/>
                                <w:sz w:val="36"/>
                              </w:rPr>
                              <w:t>Non-Executive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764ECF" id="Pentagon 16" o:spid="_x0000_s1030" type="#_x0000_t15" style="position:absolute;margin-left:5.65pt;margin-top:9.9pt;width:515.3pt;height:41.9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" adj="20721" fillcolor="#d9e2f3 [664]" stroked="f" strokeweight="1pt">
                <v:shadow on="t" color="black" opacity="26214f" origin="-.5,-.5" offset=".74836mm,.74836mm"/>
                <v:textbox>
                  <w:txbxContent>
                    <w:p w14:paraId="49758E92" w14:textId="74AACE45" w:rsidR="00027257" w:rsidRPr="002750C8" w:rsidRDefault="00027257" w:rsidP="00027257">
                      <w:pPr>
                        <w:pStyle w:val="ListParagraph"/>
                        <w:numPr>
                          <w:ilvl w:val="0"/>
                          <w:numId w:val="46"/>
                        </w:numPr>
                        <w:rPr>
                          <w:rFonts w:ascii="Arial" w:hAnsi="Arial" w:cs="Arial"/>
                          <w:color w:val="002060"/>
                          <w:sz w:val="36"/>
                        </w:rPr>
                      </w:pPr>
                      <w:r>
                        <w:rPr>
                          <w:rFonts w:ascii="Arial" w:hAnsi="Arial" w:cs="Arial"/>
                          <w:color w:val="002060"/>
                          <w:sz w:val="36"/>
                        </w:rPr>
                        <w:t>Non-Executive Directors</w:t>
                      </w:r>
                    </w:p>
                  </w:txbxContent>
                </v:textbox>
              </v:shape>
            </w:pict>
          </mc:Fallback>
        </mc:AlternateContent>
      </w:r>
    </w:p>
    <w:p w14:paraId="102FE1ED" w14:textId="7A9AEF0E" w:rsidR="00027257" w:rsidRPr="002750C8" w:rsidRDefault="00027257" w:rsidP="00027257">
      <w:pPr>
        <w:pStyle w:val="ListParagraph"/>
        <w:numPr>
          <w:ilvl w:val="0"/>
          <w:numId w:val="46"/>
        </w:numPr>
        <w:rPr>
          <w:rFonts w:ascii="Arial" w:hAnsi="Arial" w:cs="Arial"/>
          <w:color w:val="002060"/>
          <w:sz w:val="36"/>
        </w:rPr>
      </w:pPr>
      <w:r w:rsidRPr="002750C8">
        <w:rPr>
          <w:rFonts w:ascii="Arial" w:hAnsi="Arial" w:cs="Arial"/>
          <w:color w:val="002060"/>
          <w:sz w:val="36"/>
        </w:rPr>
        <w:t>Governance</w:t>
      </w:r>
    </w:p>
    <w:p w14:paraId="38E43914" w14:textId="77777777" w:rsidR="00027257" w:rsidRDefault="00027257" w:rsidP="00A703E3">
      <w:pPr>
        <w:rPr>
          <w:rFonts w:cs="Arial"/>
          <w:szCs w:val="24"/>
        </w:rPr>
      </w:pPr>
    </w:p>
    <w:p w14:paraId="656F653E" w14:textId="77777777" w:rsidR="00A703E3" w:rsidRPr="00A703E3" w:rsidRDefault="00A703E3" w:rsidP="00A703E3">
      <w:pPr>
        <w:rPr>
          <w:rFonts w:cs="Arial"/>
          <w:szCs w:val="24"/>
        </w:rPr>
      </w:pPr>
    </w:p>
    <w:p w14:paraId="1EACBC21" w14:textId="77777777" w:rsidR="00FA0C60" w:rsidRDefault="00FA0C60" w:rsidP="00FA0C60">
      <w:pPr>
        <w:ind w:left="720"/>
        <w:jc w:val="right"/>
      </w:pPr>
    </w:p>
    <w:p w14:paraId="560B551B" w14:textId="1B1CF589" w:rsidR="00022D51" w:rsidRDefault="00022D51" w:rsidP="00022D51">
      <w:pPr>
        <w:ind w:left="720"/>
      </w:pPr>
      <w:r w:rsidRPr="000416DF">
        <w:t xml:space="preserve">The Board Chair attended the Board Chairs Group </w:t>
      </w:r>
      <w:r>
        <w:t xml:space="preserve">in April and May </w:t>
      </w:r>
      <w:r w:rsidRPr="000416DF">
        <w:t xml:space="preserve">and </w:t>
      </w:r>
      <w:r>
        <w:t>also met</w:t>
      </w:r>
      <w:r w:rsidRPr="000416DF">
        <w:t xml:space="preserve"> with the Cabinet Secretary </w:t>
      </w:r>
      <w:r>
        <w:t>on 14 May 2025</w:t>
      </w:r>
      <w:r w:rsidRPr="000416DF">
        <w:t>.</w:t>
      </w:r>
      <w:r>
        <w:t xml:space="preserve">  The Board Chairs met with the new Chief Operating Officer regarding Waiting Times Improvement of Long Waits.</w:t>
      </w:r>
    </w:p>
    <w:p w14:paraId="0BCCD94F" w14:textId="77777777" w:rsidR="00022D51" w:rsidRDefault="00022D51" w:rsidP="00022D51">
      <w:pPr>
        <w:ind w:left="720"/>
      </w:pPr>
    </w:p>
    <w:p w14:paraId="4CB95FC6" w14:textId="77777777" w:rsidR="00022D51" w:rsidRDefault="00022D51" w:rsidP="00022D51">
      <w:pPr>
        <w:ind w:left="720"/>
      </w:pPr>
      <w:r>
        <w:t xml:space="preserve">The Board Chair chaired the first National Care Service Advisory Board. </w:t>
      </w:r>
    </w:p>
    <w:p w14:paraId="7E9C11FB" w14:textId="77777777" w:rsidR="00022D51" w:rsidRDefault="00022D51" w:rsidP="00022D51">
      <w:pPr>
        <w:ind w:left="720"/>
      </w:pPr>
    </w:p>
    <w:p w14:paraId="446ACF55" w14:textId="77777777" w:rsidR="00022D51" w:rsidRDefault="00022D51" w:rsidP="00022D51">
      <w:pPr>
        <w:ind w:left="720"/>
      </w:pPr>
      <w:r>
        <w:t>The Board Chair attended the NHS Scotland Event on 9 June 2025.</w:t>
      </w:r>
    </w:p>
    <w:p w14:paraId="50A0C12D" w14:textId="77777777" w:rsidR="00022D51" w:rsidRDefault="00022D51" w:rsidP="00022D51">
      <w:pPr>
        <w:ind w:left="720"/>
      </w:pPr>
    </w:p>
    <w:p w14:paraId="421FB842" w14:textId="77777777" w:rsidR="00022D51" w:rsidRDefault="00022D51" w:rsidP="00022D51">
      <w:pPr>
        <w:ind w:left="720"/>
      </w:pPr>
      <w:r>
        <w:t>An informal drop-in session was held on 11 June 2-25 for potential Non-Executive Director Candidates.</w:t>
      </w:r>
    </w:p>
    <w:p w14:paraId="55EC9ECE" w14:textId="77777777" w:rsidR="00022D51" w:rsidRDefault="00022D51" w:rsidP="00022D51">
      <w:pPr>
        <w:ind w:left="720"/>
      </w:pPr>
    </w:p>
    <w:p w14:paraId="71953513" w14:textId="77777777" w:rsidR="00022D51" w:rsidRDefault="00022D51" w:rsidP="00022D51">
      <w:pPr>
        <w:ind w:left="720"/>
      </w:pPr>
      <w:r>
        <w:t>The Board Chair attended a photo-call for the public announcement of NHS GJ University status with Glasgow.</w:t>
      </w:r>
    </w:p>
    <w:p w14:paraId="01D424AC" w14:textId="77777777" w:rsidR="00022D51" w:rsidRDefault="00022D51" w:rsidP="00393C0A">
      <w:pPr>
        <w:ind w:left="720"/>
      </w:pPr>
    </w:p>
    <w:p w14:paraId="1F64D2F2" w14:textId="50EC95D5" w:rsidR="00F708AB" w:rsidRPr="006A0EF6" w:rsidRDefault="007F0E93" w:rsidP="00300317">
      <w:pPr>
        <w:ind w:left="709"/>
        <w:rPr>
          <w:rFonts w:cs="Arial"/>
        </w:rPr>
      </w:pPr>
      <w:r w:rsidRPr="005F45C0">
        <w:rPr>
          <w:noProof/>
          <w:lang w:eastAsia="en-GB"/>
        </w:rPr>
        <w:drawing>
          <wp:anchor distT="0" distB="0" distL="114300" distR="114300" simplePos="0" relativeHeight="251668480" behindDoc="0" locked="0" layoutInCell="1" allowOverlap="1" wp14:anchorId="5F535E36" wp14:editId="45C5ADB3">
            <wp:simplePos x="0" y="0"/>
            <wp:positionH relativeFrom="column">
              <wp:posOffset>459105</wp:posOffset>
            </wp:positionH>
            <wp:positionV relativeFrom="paragraph">
              <wp:posOffset>172085</wp:posOffset>
            </wp:positionV>
            <wp:extent cx="1543050" cy="158686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543050" cy="1586865"/>
                    </a:xfrm>
                    <a:prstGeom prst="rect">
                      <a:avLst/>
                    </a:prstGeom>
                  </pic:spPr>
                </pic:pic>
              </a:graphicData>
            </a:graphic>
            <wp14:sizeRelH relativeFrom="page">
              <wp14:pctWidth>0</wp14:pctWidth>
            </wp14:sizeRelH>
            <wp14:sizeRelV relativeFrom="page">
              <wp14:pctHeight>0</wp14:pctHeight>
            </wp14:sizeRelV>
          </wp:anchor>
        </w:drawing>
      </w:r>
    </w:p>
    <w:p w14:paraId="4F9EAB2B" w14:textId="77777777" w:rsidR="00C62A9F" w:rsidRPr="007F676F" w:rsidRDefault="00C62A9F" w:rsidP="00C62A9F">
      <w:pPr>
        <w:ind w:left="720"/>
        <w:rPr>
          <w:highlight w:val="yellow"/>
        </w:rPr>
      </w:pPr>
      <w:r w:rsidRPr="004F2DCF">
        <w:t>The Chair of Staff Governance Person Centred Committee received</w:t>
      </w:r>
      <w:r>
        <w:t xml:space="preserve"> an update on the Kindness Matters programme and welcomed further updates once the survey results were shared. The Committee received an update on </w:t>
      </w:r>
      <w:r>
        <w:rPr>
          <w:rFonts w:cs="Arial"/>
          <w:szCs w:val="24"/>
        </w:rPr>
        <w:t>Agenda for Change and was pleased with the progress on the outline plan for Reduced Working Week and the Band 5 Nursing Review. Other reports to the Committee included the approval of the Volunteer Charter and welcomed the news that NHS GJ were continuing to increase Volunteer numbers.</w:t>
      </w:r>
      <w:r w:rsidRPr="007F676F">
        <w:rPr>
          <w:highlight w:val="yellow"/>
        </w:rPr>
        <w:t xml:space="preserve"> </w:t>
      </w:r>
    </w:p>
    <w:p w14:paraId="7A30692C" w14:textId="3F68F42A" w:rsidR="00E015D5" w:rsidRDefault="00E015D5" w:rsidP="00300317">
      <w:pPr>
        <w:ind w:left="720"/>
      </w:pPr>
    </w:p>
    <w:p w14:paraId="386BBFBB" w14:textId="77777777" w:rsidR="00C62A9F" w:rsidRPr="006A0EF6" w:rsidRDefault="00C62A9F" w:rsidP="00300317">
      <w:pPr>
        <w:ind w:left="720"/>
      </w:pPr>
    </w:p>
    <w:p w14:paraId="0682AB52" w14:textId="2D69B92E" w:rsidR="00736182" w:rsidRPr="0070299E" w:rsidRDefault="00C62A9F" w:rsidP="00300317">
      <w:pPr>
        <w:ind w:left="720"/>
        <w:rPr>
          <w:color w:val="FF0000"/>
          <w:highlight w:val="yellow"/>
        </w:rPr>
      </w:pPr>
      <w:r w:rsidRPr="00E015D5">
        <w:rPr>
          <w:noProof/>
          <w:lang w:eastAsia="en-GB"/>
        </w:rPr>
        <w:drawing>
          <wp:anchor distT="0" distB="0" distL="114300" distR="114300" simplePos="0" relativeHeight="251669504" behindDoc="0" locked="0" layoutInCell="1" allowOverlap="1" wp14:anchorId="635D7DA8" wp14:editId="1825C562">
            <wp:simplePos x="0" y="0"/>
            <wp:positionH relativeFrom="column">
              <wp:posOffset>452755</wp:posOffset>
            </wp:positionH>
            <wp:positionV relativeFrom="paragraph">
              <wp:posOffset>142875</wp:posOffset>
            </wp:positionV>
            <wp:extent cx="1481455" cy="1689100"/>
            <wp:effectExtent l="0" t="0" r="4445" b="635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481455" cy="1689100"/>
                    </a:xfrm>
                    <a:prstGeom prst="rect">
                      <a:avLst/>
                    </a:prstGeom>
                  </pic:spPr>
                </pic:pic>
              </a:graphicData>
            </a:graphic>
            <wp14:sizeRelH relativeFrom="page">
              <wp14:pctWidth>0</wp14:pctWidth>
            </wp14:sizeRelH>
            <wp14:sizeRelV relativeFrom="page">
              <wp14:pctHeight>0</wp14:pctHeight>
            </wp14:sizeRelV>
          </wp:anchor>
        </w:drawing>
      </w:r>
    </w:p>
    <w:p w14:paraId="1C6FE879" w14:textId="77777777" w:rsidR="00A1316D" w:rsidRDefault="00A1316D" w:rsidP="00C62A9F">
      <w:pPr>
        <w:ind w:left="720"/>
      </w:pPr>
    </w:p>
    <w:p w14:paraId="0E5A86B7" w14:textId="564B28FA" w:rsidR="00C62A9F" w:rsidRDefault="00C62A9F" w:rsidP="00C62A9F">
      <w:pPr>
        <w:ind w:left="720"/>
        <w:rPr>
          <w:rFonts w:eastAsiaTheme="minorHAnsi" w:cs="Arial"/>
          <w:spacing w:val="0"/>
          <w:szCs w:val="24"/>
          <w:lang w:val="en-US"/>
        </w:rPr>
      </w:pPr>
      <w:r w:rsidRPr="00A44B99">
        <w:t>The Chair of Finance and Performance Committee</w:t>
      </w:r>
      <w:r>
        <w:t xml:space="preserve"> </w:t>
      </w:r>
      <w:r>
        <w:rPr>
          <w:rFonts w:eastAsiaTheme="minorHAnsi" w:cs="Arial"/>
          <w:spacing w:val="0"/>
          <w:szCs w:val="24"/>
          <w:lang w:val="en-US"/>
        </w:rPr>
        <w:t>noted the approval of the Operational Performance Report for Month 11, reporting all areas performed well and maintained a level which was close to the stated Annual Delivery Plan target, despite challenges such as Storm Eowyn and the delay to the opening of Phase 2. The Chair noted the improvement work on aligning risks to objectives and the establishment of the Executive Risk Group.</w:t>
      </w:r>
    </w:p>
    <w:p w14:paraId="5DF30FAD" w14:textId="2D154B60" w:rsidR="00DE3207" w:rsidRDefault="00DE3207" w:rsidP="00300317">
      <w:pPr>
        <w:ind w:left="720"/>
      </w:pPr>
    </w:p>
    <w:p w14:paraId="24F97738" w14:textId="7EB3D631" w:rsidR="00022D51" w:rsidRDefault="00022D51" w:rsidP="00300317">
      <w:pPr>
        <w:ind w:left="720"/>
      </w:pPr>
    </w:p>
    <w:p w14:paraId="542D054B" w14:textId="29EA314F" w:rsidR="00022D51" w:rsidRDefault="00022D51" w:rsidP="00300317">
      <w:pPr>
        <w:ind w:left="720"/>
      </w:pPr>
    </w:p>
    <w:p w14:paraId="50AD441A" w14:textId="7C602A31" w:rsidR="00DE3207" w:rsidRPr="0070299E" w:rsidRDefault="00A1316D" w:rsidP="00300317">
      <w:pPr>
        <w:ind w:left="720"/>
        <w:rPr>
          <w:i/>
          <w:color w:val="FF0000"/>
          <w:highlight w:val="yellow"/>
        </w:rPr>
      </w:pPr>
      <w:r w:rsidRPr="003345ED">
        <w:rPr>
          <w:noProof/>
          <w:lang w:eastAsia="en-GB"/>
        </w:rPr>
        <w:drawing>
          <wp:anchor distT="0" distB="0" distL="114300" distR="114300" simplePos="0" relativeHeight="251670528" behindDoc="0" locked="0" layoutInCell="1" allowOverlap="1" wp14:anchorId="7E3EFF70" wp14:editId="79ACFC83">
            <wp:simplePos x="0" y="0"/>
            <wp:positionH relativeFrom="column">
              <wp:posOffset>459105</wp:posOffset>
            </wp:positionH>
            <wp:positionV relativeFrom="paragraph">
              <wp:posOffset>121920</wp:posOffset>
            </wp:positionV>
            <wp:extent cx="1038225" cy="1514475"/>
            <wp:effectExtent l="0" t="0" r="9525" b="952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038225" cy="1514475"/>
                    </a:xfrm>
                    <a:prstGeom prst="rect">
                      <a:avLst/>
                    </a:prstGeom>
                  </pic:spPr>
                </pic:pic>
              </a:graphicData>
            </a:graphic>
            <wp14:sizeRelH relativeFrom="page">
              <wp14:pctWidth>0</wp14:pctWidth>
            </wp14:sizeRelH>
            <wp14:sizeRelV relativeFrom="page">
              <wp14:pctHeight>0</wp14:pctHeight>
            </wp14:sizeRelV>
          </wp:anchor>
        </w:drawing>
      </w:r>
    </w:p>
    <w:p w14:paraId="79FCAA6F" w14:textId="32A7712C" w:rsidR="00C62A9F" w:rsidRPr="007F676F" w:rsidRDefault="00C62A9F" w:rsidP="00C62A9F">
      <w:pPr>
        <w:ind w:left="720"/>
        <w:rPr>
          <w:highlight w:val="yellow"/>
        </w:rPr>
      </w:pPr>
      <w:r w:rsidRPr="00BE0D19">
        <w:t>The Chair of Strategic Portfolio Governance Committee</w:t>
      </w:r>
      <w:r>
        <w:t xml:space="preserve"> </w:t>
      </w:r>
      <w:r>
        <w:rPr>
          <w:rFonts w:cs="Arial"/>
          <w:szCs w:val="24"/>
        </w:rPr>
        <w:t>commended the work undertaken by Stuart Graham and the eHealth team on the Digital Improvement Plan. The Chair noted the Committee received an update on the proposed Diagnostic Centre which included project management arrangements and the agreed governance procedures. The Chair advised the Committee expressed concern over the proposed timeline and Gordon James advised this had been expressed to Alan Morrison and the Policy Team within Scottish Government.</w:t>
      </w:r>
    </w:p>
    <w:p w14:paraId="272617D3" w14:textId="435FD7D6" w:rsidR="00EE152F" w:rsidRPr="00B76528" w:rsidRDefault="00EE152F" w:rsidP="00300317">
      <w:pPr>
        <w:ind w:left="720"/>
      </w:pPr>
    </w:p>
    <w:p w14:paraId="6BF946DC" w14:textId="72C8E92E" w:rsidR="006619E8" w:rsidRPr="0070299E" w:rsidRDefault="007F0E93" w:rsidP="00300317">
      <w:pPr>
        <w:ind w:left="720"/>
        <w:rPr>
          <w:color w:val="FF0000"/>
          <w:highlight w:val="yellow"/>
        </w:rPr>
      </w:pPr>
      <w:r w:rsidRPr="00EE152F">
        <w:rPr>
          <w:noProof/>
          <w:lang w:eastAsia="en-GB"/>
        </w:rPr>
        <w:drawing>
          <wp:anchor distT="0" distB="0" distL="114300" distR="114300" simplePos="0" relativeHeight="251671552" behindDoc="0" locked="0" layoutInCell="1" allowOverlap="1" wp14:anchorId="6558AE38" wp14:editId="25892C6B">
            <wp:simplePos x="0" y="0"/>
            <wp:positionH relativeFrom="column">
              <wp:posOffset>452755</wp:posOffset>
            </wp:positionH>
            <wp:positionV relativeFrom="paragraph">
              <wp:posOffset>173990</wp:posOffset>
            </wp:positionV>
            <wp:extent cx="984250" cy="1422400"/>
            <wp:effectExtent l="0" t="0" r="6350" b="635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84250" cy="1422400"/>
                    </a:xfrm>
                    <a:prstGeom prst="rect">
                      <a:avLst/>
                    </a:prstGeom>
                  </pic:spPr>
                </pic:pic>
              </a:graphicData>
            </a:graphic>
            <wp14:sizeRelH relativeFrom="page">
              <wp14:pctWidth>0</wp14:pctWidth>
            </wp14:sizeRelH>
            <wp14:sizeRelV relativeFrom="page">
              <wp14:pctHeight>0</wp14:pctHeight>
            </wp14:sizeRelV>
          </wp:anchor>
        </w:drawing>
      </w:r>
    </w:p>
    <w:p w14:paraId="22D4E8D8" w14:textId="77777777" w:rsidR="00A1316D" w:rsidRDefault="00A1316D" w:rsidP="00C62A9F">
      <w:pPr>
        <w:ind w:left="720"/>
      </w:pPr>
    </w:p>
    <w:p w14:paraId="00C9C93A" w14:textId="2C1AFFD2" w:rsidR="00C62A9F" w:rsidRPr="00E04E89" w:rsidRDefault="00C62A9F" w:rsidP="00C62A9F">
      <w:pPr>
        <w:ind w:left="720"/>
      </w:pPr>
      <w:r w:rsidRPr="00BE0D19">
        <w:t xml:space="preserve">The Chair of Clinical Governance </w:t>
      </w:r>
      <w:r w:rsidRPr="00E04E89">
        <w:t>Committee</w:t>
      </w:r>
      <w:r w:rsidRPr="00BE0D19">
        <w:t xml:space="preserve"> </w:t>
      </w:r>
      <w:r>
        <w:t>commended the work of the teams who supported the work around Health Associated Infection Annual Report 2024/25. The Chair welcomed the news for both patients and staff around the 38 new research projects.</w:t>
      </w:r>
      <w:r w:rsidR="00A1316D">
        <w:t xml:space="preserve">  The Committee received a Patient Story of a positive patient experience and thanked all staff who were involved in the patient journey.</w:t>
      </w:r>
    </w:p>
    <w:p w14:paraId="20E3F0C8" w14:textId="033E1C21" w:rsidR="00B76528" w:rsidRDefault="00B76528" w:rsidP="00B76528">
      <w:pPr>
        <w:tabs>
          <w:tab w:val="left" w:pos="980"/>
        </w:tabs>
        <w:ind w:left="709"/>
        <w:rPr>
          <w:rFonts w:eastAsiaTheme="minorHAnsi" w:cs="Arial"/>
          <w:spacing w:val="0"/>
          <w:szCs w:val="24"/>
          <w:lang w:val="en-US"/>
        </w:rPr>
      </w:pPr>
    </w:p>
    <w:p w14:paraId="3CAF0A41" w14:textId="5F3EF10F" w:rsidR="00EE152F" w:rsidRDefault="00EE152F" w:rsidP="00B76528">
      <w:pPr>
        <w:tabs>
          <w:tab w:val="left" w:pos="980"/>
        </w:tabs>
        <w:ind w:left="709"/>
        <w:rPr>
          <w:rFonts w:eastAsiaTheme="minorHAnsi" w:cs="Arial"/>
          <w:spacing w:val="0"/>
          <w:szCs w:val="24"/>
          <w:lang w:val="en-US"/>
        </w:rPr>
      </w:pPr>
    </w:p>
    <w:p w14:paraId="0CB2B607" w14:textId="4D7C5831" w:rsidR="00C62A9F" w:rsidRDefault="00C62A9F" w:rsidP="00B76528">
      <w:pPr>
        <w:tabs>
          <w:tab w:val="left" w:pos="980"/>
        </w:tabs>
        <w:ind w:left="709"/>
        <w:rPr>
          <w:rFonts w:eastAsiaTheme="minorHAnsi" w:cs="Arial"/>
          <w:spacing w:val="0"/>
          <w:szCs w:val="24"/>
          <w:lang w:val="en-US"/>
        </w:rPr>
      </w:pPr>
    </w:p>
    <w:p w14:paraId="365036AE" w14:textId="380E6754" w:rsidR="00C62A9F" w:rsidRDefault="00C62A9F" w:rsidP="00B76528">
      <w:pPr>
        <w:tabs>
          <w:tab w:val="left" w:pos="980"/>
        </w:tabs>
        <w:ind w:left="709"/>
        <w:rPr>
          <w:rFonts w:eastAsiaTheme="minorHAnsi" w:cs="Arial"/>
          <w:spacing w:val="0"/>
          <w:szCs w:val="24"/>
          <w:lang w:val="en-US"/>
        </w:rPr>
      </w:pPr>
    </w:p>
    <w:p w14:paraId="1B9EC388" w14:textId="43E39929" w:rsidR="00C62A9F" w:rsidRDefault="00C62A9F" w:rsidP="00B76528">
      <w:pPr>
        <w:tabs>
          <w:tab w:val="left" w:pos="980"/>
        </w:tabs>
        <w:ind w:left="709"/>
        <w:rPr>
          <w:rFonts w:eastAsiaTheme="minorHAnsi" w:cs="Arial"/>
          <w:spacing w:val="0"/>
          <w:szCs w:val="24"/>
          <w:lang w:val="en-US"/>
        </w:rPr>
      </w:pPr>
    </w:p>
    <w:p w14:paraId="44060D91" w14:textId="1D196E7C" w:rsidR="00C62A9F" w:rsidRDefault="00C62A9F" w:rsidP="00B76528">
      <w:pPr>
        <w:tabs>
          <w:tab w:val="left" w:pos="980"/>
        </w:tabs>
        <w:ind w:left="709"/>
        <w:rPr>
          <w:rFonts w:eastAsiaTheme="minorHAnsi" w:cs="Arial"/>
          <w:spacing w:val="0"/>
          <w:szCs w:val="24"/>
          <w:lang w:val="en-US"/>
        </w:rPr>
      </w:pPr>
    </w:p>
    <w:p w14:paraId="574B27C0" w14:textId="651BC840" w:rsidR="00C34769" w:rsidRPr="0070299E" w:rsidRDefault="00EE152F" w:rsidP="00300317">
      <w:pPr>
        <w:pStyle w:val="ListParagraph"/>
        <w:rPr>
          <w:rFonts w:ascii="Arial" w:hAnsi="Arial" w:cs="Arial"/>
          <w:color w:val="FF0000"/>
          <w:sz w:val="24"/>
          <w:szCs w:val="24"/>
          <w:highlight w:val="yellow"/>
        </w:rPr>
      </w:pPr>
      <w:r w:rsidRPr="00EE152F">
        <w:rPr>
          <w:noProof/>
        </w:rPr>
        <w:drawing>
          <wp:anchor distT="0" distB="0" distL="114300" distR="114300" simplePos="0" relativeHeight="251672576" behindDoc="0" locked="0" layoutInCell="1" allowOverlap="1" wp14:anchorId="08A8B7AA" wp14:editId="0372815D">
            <wp:simplePos x="0" y="0"/>
            <wp:positionH relativeFrom="column">
              <wp:posOffset>454660</wp:posOffset>
            </wp:positionH>
            <wp:positionV relativeFrom="paragraph">
              <wp:posOffset>172720</wp:posOffset>
            </wp:positionV>
            <wp:extent cx="1240155" cy="148145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40155" cy="1481455"/>
                    </a:xfrm>
                    <a:prstGeom prst="rect">
                      <a:avLst/>
                    </a:prstGeom>
                  </pic:spPr>
                </pic:pic>
              </a:graphicData>
            </a:graphic>
            <wp14:sizeRelH relativeFrom="page">
              <wp14:pctWidth>0</wp14:pctWidth>
            </wp14:sizeRelH>
            <wp14:sizeRelV relativeFrom="page">
              <wp14:pctHeight>0</wp14:pctHeight>
            </wp14:sizeRelV>
          </wp:anchor>
        </w:drawing>
      </w:r>
    </w:p>
    <w:p w14:paraId="0D1813F3" w14:textId="77777777" w:rsidR="00A1316D" w:rsidRDefault="00A1316D" w:rsidP="00C62A9F">
      <w:pPr>
        <w:ind w:left="720"/>
      </w:pPr>
    </w:p>
    <w:p w14:paraId="71E7B40F" w14:textId="2B418F02" w:rsidR="00C62A9F" w:rsidRPr="00E04E89" w:rsidRDefault="00C62A9F" w:rsidP="00C62A9F">
      <w:pPr>
        <w:ind w:left="720"/>
      </w:pPr>
      <w:r w:rsidRPr="00E04E89">
        <w:t>The Chair of Audit and Risk Committee received va</w:t>
      </w:r>
      <w:r>
        <w:t xml:space="preserve">rious Audit Progress reports, </w:t>
      </w:r>
      <w:r>
        <w:rPr>
          <w:rFonts w:cs="Arial"/>
          <w:szCs w:val="24"/>
        </w:rPr>
        <w:t>recognising</w:t>
      </w:r>
      <w:r w:rsidRPr="00E04E89">
        <w:rPr>
          <w:rFonts w:cs="Arial"/>
          <w:szCs w:val="24"/>
        </w:rPr>
        <w:t xml:space="preserve"> the large volume of work which had been achieved</w:t>
      </w:r>
      <w:r w:rsidRPr="00E04E89">
        <w:t>.</w:t>
      </w:r>
      <w:r w:rsidR="00A1316D">
        <w:t xml:space="preserve">  The Chair commended the communication and relationship between External/Internal Auditors and Management.  The Committee recognised the large volume of work that had been undertaken by the Committee within the annual report.</w:t>
      </w:r>
    </w:p>
    <w:p w14:paraId="6BE2C7E8" w14:textId="23426EAF" w:rsidR="00EE152F" w:rsidRDefault="00EE152F" w:rsidP="00300317">
      <w:pPr>
        <w:ind w:left="720"/>
      </w:pPr>
    </w:p>
    <w:p w14:paraId="469CF58F" w14:textId="05DBD580" w:rsidR="00C62A9F" w:rsidRDefault="00C62A9F" w:rsidP="00300317">
      <w:pPr>
        <w:ind w:left="720"/>
      </w:pPr>
    </w:p>
    <w:p w14:paraId="5D9A4AEB" w14:textId="4B7702A8" w:rsidR="00C62A9F" w:rsidRDefault="00C62A9F" w:rsidP="00300317">
      <w:pPr>
        <w:ind w:left="720"/>
      </w:pPr>
    </w:p>
    <w:p w14:paraId="63C9DA78" w14:textId="7C2B137A" w:rsidR="007F0E93" w:rsidRDefault="007F0E93" w:rsidP="00300317">
      <w:pPr>
        <w:ind w:left="720"/>
      </w:pPr>
    </w:p>
    <w:p w14:paraId="1B9718BF" w14:textId="77777777" w:rsidR="007F0E93" w:rsidRPr="007919BE" w:rsidRDefault="007F0E93" w:rsidP="00300317">
      <w:pPr>
        <w:ind w:left="720"/>
      </w:pPr>
    </w:p>
    <w:p w14:paraId="0D6C830C" w14:textId="52FAE304" w:rsidR="007F0E93" w:rsidRPr="002750C8" w:rsidRDefault="007F0E93" w:rsidP="007F0E93">
      <w:pPr>
        <w:pStyle w:val="ListParagraph"/>
        <w:numPr>
          <w:ilvl w:val="0"/>
          <w:numId w:val="46"/>
        </w:numPr>
        <w:rPr>
          <w:rFonts w:ascii="Arial" w:hAnsi="Arial" w:cs="Arial"/>
          <w:color w:val="002060"/>
          <w:sz w:val="36"/>
        </w:rPr>
      </w:pPr>
      <w:r>
        <w:rPr>
          <w:noProof/>
        </w:rPr>
        <mc:AlternateContent>
          <mc:Choice Requires="wps">
            <w:drawing>
              <wp:anchor distT="0" distB="0" distL="114300" distR="114300" simplePos="0" relativeHeight="251675648" behindDoc="0" locked="0" layoutInCell="1" allowOverlap="1" wp14:anchorId="0F6FD872" wp14:editId="2B7AB29A">
                <wp:simplePos x="0" y="0"/>
                <wp:positionH relativeFrom="column">
                  <wp:posOffset>-23495</wp:posOffset>
                </wp:positionH>
                <wp:positionV relativeFrom="paragraph">
                  <wp:posOffset>-77470</wp:posOffset>
                </wp:positionV>
                <wp:extent cx="6544310" cy="532765"/>
                <wp:effectExtent l="38100" t="38100" r="104140" b="95885"/>
                <wp:wrapNone/>
                <wp:docPr id="24" name="Pentagon 24"/>
                <wp:cNvGraphicFramePr/>
                <a:graphic xmlns:a="http://schemas.openxmlformats.org/drawingml/2006/main">
                  <a:graphicData uri="http://schemas.microsoft.com/office/word/2010/wordprocessingShape">
                    <wps:wsp>
                      <wps:cNvSpPr/>
                      <wps:spPr>
                        <a:xfrm>
                          <a:off x="0" y="0"/>
                          <a:ext cx="6544310" cy="532765"/>
                        </a:xfrm>
                        <a:prstGeom prst="homePlate">
                          <a:avLst/>
                        </a:prstGeom>
                        <a:solidFill>
                          <a:schemeClr val="accent5">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249E184" w14:textId="2C078A9F" w:rsidR="007F0E93" w:rsidRPr="002750C8" w:rsidRDefault="00022D51" w:rsidP="007F0E93">
                            <w:pPr>
                              <w:pStyle w:val="ListParagraph"/>
                              <w:numPr>
                                <w:ilvl w:val="0"/>
                                <w:numId w:val="46"/>
                              </w:numPr>
                              <w:rPr>
                                <w:rFonts w:ascii="Arial" w:hAnsi="Arial" w:cs="Arial"/>
                                <w:color w:val="002060"/>
                                <w:sz w:val="36"/>
                              </w:rPr>
                            </w:pPr>
                            <w:r>
                              <w:rPr>
                                <w:rFonts w:ascii="Arial" w:hAnsi="Arial" w:cs="Arial"/>
                                <w:color w:val="002060"/>
                                <w:sz w:val="36"/>
                              </w:rPr>
                              <w:t>Board 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6FD872" id="Pentagon 24" o:spid="_x0000_s1031" type="#_x0000_t15" style="position:absolute;left:0;text-align:left;margin-left:-1.85pt;margin-top:-6.1pt;width:515.3pt;height:41.9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" adj="20721" fillcolor="#d9e2f3 [664]" stroked="f" strokeweight="1pt">
                <v:shadow on="t" color="black" opacity="26214f" origin="-.5,-.5" offset=".74836mm,.74836mm"/>
                <v:textbox>
                  <w:txbxContent>
                    <w:p w14:paraId="1249E184" w14:textId="2C078A9F" w:rsidR="007F0E93" w:rsidRPr="002750C8" w:rsidRDefault="00022D51" w:rsidP="007F0E93">
                      <w:pPr>
                        <w:pStyle w:val="ListParagraph"/>
                        <w:numPr>
                          <w:ilvl w:val="0"/>
                          <w:numId w:val="46"/>
                        </w:numPr>
                        <w:rPr>
                          <w:rFonts w:ascii="Arial" w:hAnsi="Arial" w:cs="Arial"/>
                          <w:color w:val="002060"/>
                          <w:sz w:val="36"/>
                        </w:rPr>
                      </w:pPr>
                      <w:r>
                        <w:rPr>
                          <w:rFonts w:ascii="Arial" w:hAnsi="Arial" w:cs="Arial"/>
                          <w:color w:val="002060"/>
                          <w:sz w:val="36"/>
                        </w:rPr>
                        <w:t>Board Development</w:t>
                      </w:r>
                    </w:p>
                  </w:txbxContent>
                </v:textbox>
              </v:shape>
            </w:pict>
          </mc:Fallback>
        </mc:AlternateContent>
      </w:r>
      <w:r>
        <w:rPr>
          <w:rFonts w:ascii="Arial" w:hAnsi="Arial" w:cs="Arial"/>
          <w:color w:val="002060"/>
          <w:sz w:val="36"/>
        </w:rPr>
        <w:t>Non-Executive Directors</w:t>
      </w:r>
    </w:p>
    <w:p w14:paraId="72ED093F" w14:textId="6F7362B7" w:rsidR="001C0974" w:rsidRDefault="00C96E92" w:rsidP="00300317">
      <w:pPr>
        <w:ind w:left="720"/>
        <w:rPr>
          <w:b/>
        </w:rPr>
      </w:pPr>
      <w:r>
        <w:rPr>
          <w:b/>
        </w:rPr>
        <w:t>3</w:t>
      </w:r>
      <w:r w:rsidR="008859A8">
        <w:rPr>
          <w:b/>
        </w:rPr>
        <w:t>.0</w:t>
      </w:r>
      <w:r w:rsidR="008859A8">
        <w:rPr>
          <w:b/>
        </w:rPr>
        <w:tab/>
      </w:r>
      <w:r w:rsidR="001C0974">
        <w:rPr>
          <w:b/>
        </w:rPr>
        <w:t>Board Development</w:t>
      </w:r>
      <w:r w:rsidR="00FA0C60">
        <w:rPr>
          <w:b/>
        </w:rPr>
        <w:t xml:space="preserve">                                                                                     </w:t>
      </w:r>
    </w:p>
    <w:p w14:paraId="0A88B27F" w14:textId="66197AF9" w:rsidR="00D52F96" w:rsidRDefault="00D52F96" w:rsidP="00300317">
      <w:pPr>
        <w:ind w:left="720"/>
      </w:pPr>
    </w:p>
    <w:p w14:paraId="649B66F6" w14:textId="77777777" w:rsidR="00393C0A" w:rsidRPr="00C34769" w:rsidRDefault="00393C0A" w:rsidP="00393C0A">
      <w:pPr>
        <w:ind w:left="720"/>
      </w:pPr>
      <w:r w:rsidRPr="0038365B">
        <w:t>Board development is a key priority and to support this a Board Seminar took place on 29 April 2025 which focussed on the Proposed Diagnostic Centre.  In addition, a seminar held on 26 June 2025 prioritised Kindness Matters Feedback and the Public Sector Reform Publication, Service Renewal Framework and the Population Health Framework.</w:t>
      </w:r>
    </w:p>
    <w:p w14:paraId="38C9DA09" w14:textId="77777777" w:rsidR="00393C0A" w:rsidRPr="00C34769" w:rsidRDefault="00393C0A" w:rsidP="00393C0A">
      <w:pPr>
        <w:rPr>
          <w:b/>
        </w:rPr>
      </w:pPr>
    </w:p>
    <w:p w14:paraId="20D2D4BB" w14:textId="0C7C3DFB" w:rsidR="00460D34" w:rsidRDefault="00393C0A" w:rsidP="00393C0A">
      <w:pPr>
        <w:ind w:left="720"/>
      </w:pPr>
      <w:r>
        <w:t>Non-Executive Director development</w:t>
      </w:r>
      <w:r w:rsidRPr="00C34769">
        <w:t xml:space="preserve"> is continually embedded throughout the Board calendar.  </w:t>
      </w:r>
    </w:p>
    <w:p w14:paraId="022EA6ED" w14:textId="77777777" w:rsidR="00A1316D" w:rsidRDefault="00A1316D" w:rsidP="000C067F"/>
    <w:p w14:paraId="096BC6FC" w14:textId="6FC20B0B" w:rsidR="00460D34" w:rsidRDefault="00460D34" w:rsidP="000C067F">
      <w:r>
        <w:rPr>
          <w:noProof/>
          <w:lang w:eastAsia="en-GB"/>
        </w:rPr>
        <mc:AlternateContent>
          <mc:Choice Requires="wps">
            <w:drawing>
              <wp:anchor distT="0" distB="0" distL="114300" distR="114300" simplePos="0" relativeHeight="251677696" behindDoc="0" locked="0" layoutInCell="1" allowOverlap="1" wp14:anchorId="7767D094" wp14:editId="5FDF308F">
                <wp:simplePos x="0" y="0"/>
                <wp:positionH relativeFrom="column">
                  <wp:posOffset>-99695</wp:posOffset>
                </wp:positionH>
                <wp:positionV relativeFrom="paragraph">
                  <wp:posOffset>148590</wp:posOffset>
                </wp:positionV>
                <wp:extent cx="6544310" cy="532765"/>
                <wp:effectExtent l="38100" t="38100" r="104140" b="95885"/>
                <wp:wrapNone/>
                <wp:docPr id="25" name="Pentagon 25"/>
                <wp:cNvGraphicFramePr/>
                <a:graphic xmlns:a="http://schemas.openxmlformats.org/drawingml/2006/main">
                  <a:graphicData uri="http://schemas.microsoft.com/office/word/2010/wordprocessingShape">
                    <wps:wsp>
                      <wps:cNvSpPr/>
                      <wps:spPr>
                        <a:xfrm>
                          <a:off x="0" y="0"/>
                          <a:ext cx="6544310" cy="532765"/>
                        </a:xfrm>
                        <a:prstGeom prst="homePlate">
                          <a:avLst/>
                        </a:prstGeom>
                        <a:solidFill>
                          <a:schemeClr val="accent5">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81EBFBF" w14:textId="33D32B94" w:rsidR="00460D34" w:rsidRPr="002750C8" w:rsidRDefault="00460D34" w:rsidP="00460D34">
                            <w:pPr>
                              <w:pStyle w:val="ListParagraph"/>
                              <w:numPr>
                                <w:ilvl w:val="0"/>
                                <w:numId w:val="46"/>
                              </w:numPr>
                              <w:rPr>
                                <w:rFonts w:ascii="Arial" w:hAnsi="Arial" w:cs="Arial"/>
                                <w:color w:val="002060"/>
                                <w:sz w:val="36"/>
                              </w:rPr>
                            </w:pPr>
                            <w:r>
                              <w:rPr>
                                <w:rFonts w:ascii="Arial" w:hAnsi="Arial" w:cs="Arial"/>
                                <w:color w:val="002060"/>
                                <w:sz w:val="36"/>
                              </w:rPr>
                              <w:t>Executive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67D094" id="Pentagon 25" o:spid="_x0000_s1032" type="#_x0000_t15" style="position:absolute;margin-left:-7.85pt;margin-top:11.7pt;width:515.3pt;height:41.9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" adj="20721" fillcolor="#d9e2f3 [664]" stroked="f" strokeweight="1pt">
                <v:shadow on="t" color="black" opacity="26214f" origin="-.5,-.5" offset=".74836mm,.74836mm"/>
                <v:textbox>
                  <w:txbxContent>
                    <w:p w14:paraId="581EBFBF" w14:textId="33D32B94" w:rsidR="00460D34" w:rsidRPr="002750C8" w:rsidRDefault="00460D34" w:rsidP="00460D34">
                      <w:pPr>
                        <w:pStyle w:val="ListParagraph"/>
                        <w:numPr>
                          <w:ilvl w:val="0"/>
                          <w:numId w:val="46"/>
                        </w:numPr>
                        <w:rPr>
                          <w:rFonts w:ascii="Arial" w:hAnsi="Arial" w:cs="Arial"/>
                          <w:color w:val="002060"/>
                          <w:sz w:val="36"/>
                        </w:rPr>
                      </w:pPr>
                      <w:r>
                        <w:rPr>
                          <w:rFonts w:ascii="Arial" w:hAnsi="Arial" w:cs="Arial"/>
                          <w:color w:val="002060"/>
                          <w:sz w:val="36"/>
                        </w:rPr>
                        <w:t>Executive Directors</w:t>
                      </w:r>
                    </w:p>
                  </w:txbxContent>
                </v:textbox>
              </v:shape>
            </w:pict>
          </mc:Fallback>
        </mc:AlternateContent>
      </w:r>
    </w:p>
    <w:p w14:paraId="3EEF1027" w14:textId="7D97E041" w:rsidR="00460D34" w:rsidRDefault="00460D34" w:rsidP="00300317">
      <w:pPr>
        <w:ind w:left="720"/>
      </w:pPr>
    </w:p>
    <w:p w14:paraId="3D26083D" w14:textId="3B7B3A52" w:rsidR="00460D34" w:rsidRPr="002750C8" w:rsidRDefault="00460D34" w:rsidP="00460D34">
      <w:pPr>
        <w:pStyle w:val="ListParagraph"/>
        <w:numPr>
          <w:ilvl w:val="0"/>
          <w:numId w:val="46"/>
        </w:numPr>
        <w:rPr>
          <w:rFonts w:ascii="Arial" w:hAnsi="Arial" w:cs="Arial"/>
          <w:color w:val="002060"/>
          <w:sz w:val="36"/>
        </w:rPr>
      </w:pPr>
      <w:r>
        <w:rPr>
          <w:rFonts w:ascii="Arial" w:hAnsi="Arial" w:cs="Arial"/>
          <w:color w:val="002060"/>
          <w:sz w:val="36"/>
        </w:rPr>
        <w:t>Non-Executive Directors</w:t>
      </w:r>
    </w:p>
    <w:p w14:paraId="1B166BD7" w14:textId="43FC6A19" w:rsidR="00460D34" w:rsidRDefault="00460D34" w:rsidP="00300317">
      <w:pPr>
        <w:ind w:left="720"/>
      </w:pPr>
    </w:p>
    <w:p w14:paraId="7E272DE2" w14:textId="1B06D387" w:rsidR="00460D34" w:rsidRDefault="00460D34" w:rsidP="00300317">
      <w:pPr>
        <w:ind w:left="720"/>
      </w:pPr>
    </w:p>
    <w:p w14:paraId="369BE7A3" w14:textId="77777777" w:rsidR="00022D51" w:rsidRDefault="00022D51" w:rsidP="00022D51">
      <w:pPr>
        <w:ind w:left="720"/>
      </w:pPr>
      <w:r>
        <w:t>Executive Director Appraisals were carried out during June 2025 and the Executive Directors developed the Corporate Objectives for 2025/26.</w:t>
      </w:r>
    </w:p>
    <w:p w14:paraId="16122804" w14:textId="77777777" w:rsidR="00022D51" w:rsidRDefault="00022D51" w:rsidP="00022D51">
      <w:pPr>
        <w:ind w:left="720"/>
      </w:pPr>
    </w:p>
    <w:p w14:paraId="5195E616" w14:textId="77777777" w:rsidR="00022D51" w:rsidRPr="00CD1816" w:rsidRDefault="00022D51" w:rsidP="00022D51">
      <w:pPr>
        <w:ind w:left="720"/>
      </w:pPr>
      <w:r>
        <w:t>The Chief Executive and Director of Finance</w:t>
      </w:r>
      <w:r>
        <w:rPr>
          <w:rFonts w:cs="Arial"/>
          <w:szCs w:val="24"/>
        </w:rPr>
        <w:t xml:space="preserve"> met with Central Legal Office (CLO) for the Annual CLO Performance Service meeting.</w:t>
      </w:r>
    </w:p>
    <w:p w14:paraId="5EE0A45A" w14:textId="7261078B" w:rsidR="00E6597D" w:rsidRDefault="00E6597D" w:rsidP="00312F5F">
      <w:pPr>
        <w:pStyle w:val="xmsonormal"/>
        <w:ind w:left="720"/>
        <w:rPr>
          <w:rFonts w:ascii="Arial" w:hAnsi="Arial" w:cs="Arial"/>
          <w:sz w:val="24"/>
        </w:rPr>
      </w:pPr>
    </w:p>
    <w:p w14:paraId="771E6A35" w14:textId="63531B8F" w:rsidR="00E6597D" w:rsidRDefault="00E6597D" w:rsidP="00393C0A">
      <w:pPr>
        <w:pStyle w:val="xmsonormal"/>
        <w:ind w:left="720"/>
        <w:rPr>
          <w:rFonts w:ascii="Arial" w:hAnsi="Arial" w:cs="Arial"/>
          <w:sz w:val="24"/>
        </w:rPr>
      </w:pPr>
      <w:r>
        <w:rPr>
          <w:rFonts w:ascii="Arial" w:hAnsi="Arial" w:cs="Arial"/>
          <w:sz w:val="24"/>
        </w:rPr>
        <w:t>Executive Directors continued to meet</w:t>
      </w:r>
      <w:r w:rsidRPr="00312F5F">
        <w:rPr>
          <w:rFonts w:ascii="Arial" w:hAnsi="Arial" w:cs="Arial"/>
          <w:sz w:val="24"/>
        </w:rPr>
        <w:t xml:space="preserve"> fortnightly to discuss the A</w:t>
      </w:r>
      <w:r>
        <w:rPr>
          <w:rFonts w:ascii="Arial" w:hAnsi="Arial" w:cs="Arial"/>
          <w:sz w:val="24"/>
        </w:rPr>
        <w:t>chieving the Balance programme.</w:t>
      </w:r>
    </w:p>
    <w:p w14:paraId="03A7E2A5" w14:textId="2B3C5C66" w:rsidR="000C067F" w:rsidRDefault="000C067F" w:rsidP="00312F5F">
      <w:pPr>
        <w:pStyle w:val="xmsonormal"/>
        <w:ind w:left="720"/>
        <w:rPr>
          <w:rFonts w:ascii="Arial" w:hAnsi="Arial" w:cs="Arial"/>
          <w:sz w:val="24"/>
        </w:rPr>
      </w:pPr>
    </w:p>
    <w:p w14:paraId="154BE7F2" w14:textId="77777777" w:rsidR="004D6F43" w:rsidRDefault="004D6F43" w:rsidP="00312F5F">
      <w:pPr>
        <w:pStyle w:val="xmsonormal"/>
        <w:ind w:left="720"/>
        <w:rPr>
          <w:rFonts w:ascii="Arial" w:hAnsi="Arial" w:cs="Arial"/>
          <w:sz w:val="24"/>
        </w:rPr>
      </w:pPr>
    </w:p>
    <w:p w14:paraId="64A0919D" w14:textId="77789E40" w:rsidR="00615D90" w:rsidRPr="00312F5F" w:rsidRDefault="00472F41" w:rsidP="00312F5F">
      <w:pPr>
        <w:pStyle w:val="xmsonormal"/>
        <w:ind w:left="720"/>
        <w:rPr>
          <w:rFonts w:ascii="Arial" w:hAnsi="Arial" w:cs="Arial"/>
          <w:sz w:val="24"/>
        </w:rPr>
      </w:pPr>
      <w:r>
        <w:rPr>
          <w:noProof/>
        </w:rPr>
        <mc:AlternateContent>
          <mc:Choice Requires="wps">
            <w:drawing>
              <wp:anchor distT="0" distB="0" distL="114300" distR="114300" simplePos="0" relativeHeight="251679744" behindDoc="0" locked="0" layoutInCell="1" allowOverlap="1" wp14:anchorId="7EAC4C89" wp14:editId="45450700">
                <wp:simplePos x="0" y="0"/>
                <wp:positionH relativeFrom="column">
                  <wp:posOffset>20955</wp:posOffset>
                </wp:positionH>
                <wp:positionV relativeFrom="paragraph">
                  <wp:posOffset>135890</wp:posOffset>
                </wp:positionV>
                <wp:extent cx="6544310" cy="532765"/>
                <wp:effectExtent l="38100" t="38100" r="104140" b="95885"/>
                <wp:wrapNone/>
                <wp:docPr id="27" name="Pentagon 27"/>
                <wp:cNvGraphicFramePr/>
                <a:graphic xmlns:a="http://schemas.openxmlformats.org/drawingml/2006/main">
                  <a:graphicData uri="http://schemas.microsoft.com/office/word/2010/wordprocessingShape">
                    <wps:wsp>
                      <wps:cNvSpPr/>
                      <wps:spPr>
                        <a:xfrm>
                          <a:off x="0" y="0"/>
                          <a:ext cx="6544310" cy="532765"/>
                        </a:xfrm>
                        <a:prstGeom prst="homePlate">
                          <a:avLst/>
                        </a:prstGeom>
                        <a:solidFill>
                          <a:schemeClr val="accent5">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42C234A" w14:textId="13F1279B" w:rsidR="00472F41" w:rsidRPr="002750C8" w:rsidRDefault="00472F41" w:rsidP="00472F41">
                            <w:pPr>
                              <w:pStyle w:val="ListParagraph"/>
                              <w:numPr>
                                <w:ilvl w:val="0"/>
                                <w:numId w:val="46"/>
                              </w:numPr>
                              <w:rPr>
                                <w:rFonts w:ascii="Arial" w:hAnsi="Arial" w:cs="Arial"/>
                                <w:color w:val="002060"/>
                                <w:sz w:val="36"/>
                              </w:rPr>
                            </w:pPr>
                            <w:r>
                              <w:rPr>
                                <w:rFonts w:ascii="Arial" w:hAnsi="Arial" w:cs="Arial"/>
                                <w:color w:val="002060"/>
                                <w:sz w:val="36"/>
                              </w:rPr>
                              <w:t xml:space="preserve">Corporate </w:t>
                            </w:r>
                            <w:r w:rsidR="00A1316D">
                              <w:rPr>
                                <w:rFonts w:ascii="Arial" w:hAnsi="Arial" w:cs="Arial"/>
                                <w:color w:val="002060"/>
                                <w:sz w:val="36"/>
                              </w:rPr>
                              <w:t xml:space="preserve">Governance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AC4C89" id="Pentagon 27" o:spid="_x0000_s1033" type="#_x0000_t15" style="position:absolute;left:0;text-align:left;margin-left:1.65pt;margin-top:10.7pt;width:515.3pt;height:41.9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" adj="20721" fillcolor="#d9e2f3 [664]" stroked="f" strokeweight="1pt">
                <v:shadow on="t" color="black" opacity="26214f" origin="-.5,-.5" offset=".74836mm,.74836mm"/>
                <v:textbox>
                  <w:txbxContent>
                    <w:p w14:paraId="142C234A" w14:textId="13F1279B" w:rsidR="00472F41" w:rsidRPr="002750C8" w:rsidRDefault="00472F41" w:rsidP="00472F41">
                      <w:pPr>
                        <w:pStyle w:val="ListParagraph"/>
                        <w:numPr>
                          <w:ilvl w:val="0"/>
                          <w:numId w:val="46"/>
                        </w:numPr>
                        <w:rPr>
                          <w:rFonts w:ascii="Arial" w:hAnsi="Arial" w:cs="Arial"/>
                          <w:color w:val="002060"/>
                          <w:sz w:val="36"/>
                        </w:rPr>
                      </w:pPr>
                      <w:r>
                        <w:rPr>
                          <w:rFonts w:ascii="Arial" w:hAnsi="Arial" w:cs="Arial"/>
                          <w:color w:val="002060"/>
                          <w:sz w:val="36"/>
                        </w:rPr>
                        <w:t xml:space="preserve">Corporate </w:t>
                      </w:r>
                      <w:r w:rsidR="00A1316D">
                        <w:rPr>
                          <w:rFonts w:ascii="Arial" w:hAnsi="Arial" w:cs="Arial"/>
                          <w:color w:val="002060"/>
                          <w:sz w:val="36"/>
                        </w:rPr>
                        <w:t xml:space="preserve">Governance </w:t>
                      </w:r>
                    </w:p>
                  </w:txbxContent>
                </v:textbox>
              </v:shape>
            </w:pict>
          </mc:Fallback>
        </mc:AlternateContent>
      </w:r>
    </w:p>
    <w:p w14:paraId="56085C09" w14:textId="0C65D154" w:rsidR="00D52F96" w:rsidRDefault="00D52F96" w:rsidP="00300317">
      <w:pPr>
        <w:ind w:left="720"/>
        <w:rPr>
          <w:b/>
        </w:rPr>
      </w:pPr>
    </w:p>
    <w:p w14:paraId="391C4202" w14:textId="2239FBC5" w:rsidR="00472F41" w:rsidRDefault="00472F41" w:rsidP="00300317">
      <w:pPr>
        <w:ind w:left="720"/>
        <w:rPr>
          <w:b/>
        </w:rPr>
      </w:pPr>
    </w:p>
    <w:p w14:paraId="257C7E5F" w14:textId="4C1FE9B2" w:rsidR="00472F41" w:rsidRDefault="00472F41" w:rsidP="00300317">
      <w:pPr>
        <w:ind w:left="720"/>
        <w:rPr>
          <w:b/>
        </w:rPr>
      </w:pPr>
    </w:p>
    <w:p w14:paraId="7F553970" w14:textId="77777777" w:rsidR="00472F41" w:rsidRDefault="00472F41" w:rsidP="00300317">
      <w:pPr>
        <w:ind w:left="720"/>
        <w:rPr>
          <w:b/>
        </w:rPr>
      </w:pPr>
    </w:p>
    <w:p w14:paraId="56FC93D3" w14:textId="7C54E99F" w:rsidR="00393C0A" w:rsidRDefault="00393C0A" w:rsidP="00393C0A">
      <w:pPr>
        <w:ind w:left="720"/>
      </w:pPr>
      <w:r w:rsidRPr="00984061">
        <w:t xml:space="preserve">The </w:t>
      </w:r>
      <w:r w:rsidRPr="0038365B">
        <w:t>Board approved the Corporate Governance Annual Report for 2024/25, the Code of Conduct</w:t>
      </w:r>
      <w:r w:rsidR="00A1316D">
        <w:t xml:space="preserve">, the Standing Orders </w:t>
      </w:r>
      <w:r w:rsidRPr="0038365B">
        <w:t>and Work Plans for Board meetings and Seminars for 2025/26.</w:t>
      </w:r>
      <w:r w:rsidR="004D6F43">
        <w:t xml:space="preserve">  The Patient Story was added as a standing agenda item for the private sessions.</w:t>
      </w:r>
    </w:p>
    <w:p w14:paraId="33136263" w14:textId="6B9184B2" w:rsidR="00E572B5" w:rsidRDefault="00E572B5" w:rsidP="00393C0A">
      <w:pPr>
        <w:ind w:left="720"/>
      </w:pPr>
    </w:p>
    <w:p w14:paraId="489C9314" w14:textId="77777777" w:rsidR="00E572B5" w:rsidRDefault="00E572B5" w:rsidP="00393C0A">
      <w:pPr>
        <w:ind w:left="720"/>
      </w:pPr>
    </w:p>
    <w:p w14:paraId="0788E6A2" w14:textId="77777777" w:rsidR="004D6F43" w:rsidRDefault="004D6F43" w:rsidP="00393C0A">
      <w:pPr>
        <w:ind w:left="720"/>
      </w:pPr>
    </w:p>
    <w:p w14:paraId="0DC90656" w14:textId="77777777" w:rsidR="004D6F43" w:rsidRDefault="004D6F43" w:rsidP="00393C0A">
      <w:pPr>
        <w:ind w:left="720"/>
      </w:pPr>
    </w:p>
    <w:p w14:paraId="7661A3EC" w14:textId="77777777" w:rsidR="004D6F43" w:rsidRDefault="004D6F43" w:rsidP="00393C0A">
      <w:pPr>
        <w:ind w:left="720"/>
      </w:pPr>
    </w:p>
    <w:p w14:paraId="4CB36267" w14:textId="77777777" w:rsidR="004D6F43" w:rsidRDefault="004D6F43" w:rsidP="00393C0A">
      <w:pPr>
        <w:ind w:left="720"/>
      </w:pPr>
    </w:p>
    <w:p w14:paraId="6D680C84" w14:textId="77777777" w:rsidR="004D6F43" w:rsidRDefault="004D6F43" w:rsidP="00393C0A">
      <w:pPr>
        <w:ind w:left="720"/>
      </w:pPr>
    </w:p>
    <w:p w14:paraId="64EC8E86" w14:textId="6F3DEEC2" w:rsidR="00BF72EA" w:rsidRDefault="00472F41" w:rsidP="00300317">
      <w:pPr>
        <w:ind w:left="720"/>
      </w:pPr>
      <w:r>
        <w:rPr>
          <w:noProof/>
          <w:lang w:eastAsia="en-GB"/>
        </w:rPr>
        <mc:AlternateContent>
          <mc:Choice Requires="wps">
            <w:drawing>
              <wp:anchor distT="0" distB="0" distL="114300" distR="114300" simplePos="0" relativeHeight="251681792" behindDoc="0" locked="0" layoutInCell="1" allowOverlap="1" wp14:anchorId="47814DA4" wp14:editId="16496628">
                <wp:simplePos x="0" y="0"/>
                <wp:positionH relativeFrom="column">
                  <wp:posOffset>84455</wp:posOffset>
                </wp:positionH>
                <wp:positionV relativeFrom="paragraph">
                  <wp:posOffset>-42545</wp:posOffset>
                </wp:positionV>
                <wp:extent cx="6544310" cy="532765"/>
                <wp:effectExtent l="38100" t="38100" r="104140" b="95885"/>
                <wp:wrapNone/>
                <wp:docPr id="28" name="Pentagon 28"/>
                <wp:cNvGraphicFramePr/>
                <a:graphic xmlns:a="http://schemas.openxmlformats.org/drawingml/2006/main">
                  <a:graphicData uri="http://schemas.microsoft.com/office/word/2010/wordprocessingShape">
                    <wps:wsp>
                      <wps:cNvSpPr/>
                      <wps:spPr>
                        <a:xfrm>
                          <a:off x="0" y="0"/>
                          <a:ext cx="6544310" cy="532765"/>
                        </a:xfrm>
                        <a:prstGeom prst="homePlate">
                          <a:avLst/>
                        </a:prstGeom>
                        <a:solidFill>
                          <a:schemeClr val="accent5">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C25794" w14:textId="63922C41" w:rsidR="00472F41" w:rsidRPr="002750C8" w:rsidRDefault="00472F41" w:rsidP="00472F41">
                            <w:pPr>
                              <w:pStyle w:val="ListParagraph"/>
                              <w:numPr>
                                <w:ilvl w:val="0"/>
                                <w:numId w:val="46"/>
                              </w:numPr>
                              <w:rPr>
                                <w:rFonts w:ascii="Arial" w:hAnsi="Arial" w:cs="Arial"/>
                                <w:color w:val="002060"/>
                                <w:sz w:val="36"/>
                              </w:rPr>
                            </w:pPr>
                            <w:r>
                              <w:rPr>
                                <w:rFonts w:ascii="Arial" w:hAnsi="Arial" w:cs="Arial"/>
                                <w:color w:val="002060"/>
                                <w:sz w:val="36"/>
                              </w:rPr>
                              <w:t>Blueprint for Good Governance – Second Edition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814DA4" id="Pentagon 28" o:spid="_x0000_s1034" type="#_x0000_t15" style="position:absolute;left:0;text-align:left;margin-left:6.65pt;margin-top:-3.35pt;width:515.3pt;height:41.9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" adj="20721" fillcolor="#d9e2f3 [664]" stroked="f" strokeweight="1pt">
                <v:shadow on="t" color="black" opacity="26214f" origin="-.5,-.5" offset=".74836mm,.74836mm"/>
                <v:textbox>
                  <w:txbxContent>
                    <w:p w14:paraId="76C25794" w14:textId="63922C41" w:rsidR="00472F41" w:rsidRPr="002750C8" w:rsidRDefault="00472F41" w:rsidP="00472F41">
                      <w:pPr>
                        <w:pStyle w:val="ListParagraph"/>
                        <w:numPr>
                          <w:ilvl w:val="0"/>
                          <w:numId w:val="46"/>
                        </w:numPr>
                        <w:rPr>
                          <w:rFonts w:ascii="Arial" w:hAnsi="Arial" w:cs="Arial"/>
                          <w:color w:val="002060"/>
                          <w:sz w:val="36"/>
                        </w:rPr>
                      </w:pPr>
                      <w:r>
                        <w:rPr>
                          <w:rFonts w:ascii="Arial" w:hAnsi="Arial" w:cs="Arial"/>
                          <w:color w:val="002060"/>
                          <w:sz w:val="36"/>
                        </w:rPr>
                        <w:t>Blueprint for Good Governance – Second Edition</w:t>
                      </w:r>
                    </w:p>
                  </w:txbxContent>
                </v:textbox>
              </v:shape>
            </w:pict>
          </mc:Fallback>
        </mc:AlternateContent>
      </w:r>
    </w:p>
    <w:p w14:paraId="523CF048" w14:textId="18D2EF95" w:rsidR="00472F41" w:rsidRDefault="00472F41" w:rsidP="00300317">
      <w:pPr>
        <w:ind w:left="720"/>
      </w:pPr>
    </w:p>
    <w:p w14:paraId="26030222" w14:textId="2668B0FA" w:rsidR="00472F41" w:rsidRDefault="00472F41" w:rsidP="000C067F"/>
    <w:p w14:paraId="2F39EC83" w14:textId="0B2FAD2C" w:rsidR="00472F41" w:rsidRDefault="00472F41" w:rsidP="00300317">
      <w:pPr>
        <w:ind w:left="720"/>
      </w:pPr>
    </w:p>
    <w:p w14:paraId="4CADBA9A" w14:textId="2023DEB3" w:rsidR="00D52F96" w:rsidRDefault="00F34468" w:rsidP="00300317">
      <w:pPr>
        <w:ind w:left="720"/>
      </w:pPr>
      <w:r w:rsidRPr="00F34468">
        <w:rPr>
          <w:noProof/>
          <w:lang w:eastAsia="en-GB"/>
        </w:rPr>
        <w:drawing>
          <wp:anchor distT="0" distB="0" distL="114300" distR="114300" simplePos="0" relativeHeight="251659264" behindDoc="0" locked="0" layoutInCell="1" allowOverlap="1" wp14:anchorId="503118CA" wp14:editId="0690E84F">
            <wp:simplePos x="0" y="0"/>
            <wp:positionH relativeFrom="column">
              <wp:posOffset>499745</wp:posOffset>
            </wp:positionH>
            <wp:positionV relativeFrom="paragraph">
              <wp:posOffset>98425</wp:posOffset>
            </wp:positionV>
            <wp:extent cx="1159510" cy="1657985"/>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59510" cy="1657985"/>
                    </a:xfrm>
                    <a:prstGeom prst="rect">
                      <a:avLst/>
                    </a:prstGeom>
                  </pic:spPr>
                </pic:pic>
              </a:graphicData>
            </a:graphic>
            <wp14:sizeRelH relativeFrom="page">
              <wp14:pctWidth>0</wp14:pctWidth>
            </wp14:sizeRelH>
            <wp14:sizeRelV relativeFrom="page">
              <wp14:pctHeight>0</wp14:pctHeight>
            </wp14:sizeRelV>
          </wp:anchor>
        </w:drawing>
      </w:r>
    </w:p>
    <w:p w14:paraId="3FDC857B" w14:textId="6E31C043" w:rsidR="00311235" w:rsidRPr="00D52F96" w:rsidRDefault="00311235" w:rsidP="00300317">
      <w:pPr>
        <w:ind w:left="720"/>
      </w:pPr>
      <w:r w:rsidRPr="00D52F96">
        <w:t>The Blueprint for Good Governance – Second Edition (“the Blueprint”) sets an expectation that each Board’s governance arrangements will be subject to a systematic evaluation annually via a self-assessment exercise and once every three years by som</w:t>
      </w:r>
      <w:r w:rsidR="00807A12" w:rsidRPr="00D52F96">
        <w:t xml:space="preserve">eone external to the Board. </w:t>
      </w:r>
    </w:p>
    <w:p w14:paraId="09F989DE" w14:textId="77777777" w:rsidR="00C96E92" w:rsidRPr="00D52F96" w:rsidRDefault="00C96E92" w:rsidP="00300317">
      <w:pPr>
        <w:ind w:left="720"/>
      </w:pPr>
    </w:p>
    <w:p w14:paraId="452AB661" w14:textId="20C4CF3C" w:rsidR="005A0E7D" w:rsidRDefault="00870C63" w:rsidP="00300317">
      <w:pPr>
        <w:ind w:left="720"/>
      </w:pPr>
      <w:r>
        <w:t xml:space="preserve">The Blueprint for Good Governance Implementation Plan was approved in </w:t>
      </w:r>
      <w:r w:rsidR="000316A2">
        <w:t>March 202</w:t>
      </w:r>
      <w:r w:rsidR="00393C0A">
        <w:t>5</w:t>
      </w:r>
      <w:r w:rsidR="000316A2">
        <w:t>.  Governance Committees discuss progress of their relevant actions</w:t>
      </w:r>
      <w:r w:rsidR="00300317">
        <w:t xml:space="preserve"> at each meeting</w:t>
      </w:r>
      <w:r w:rsidR="000316A2">
        <w:t xml:space="preserve"> and the Board receive an update on progress of the actions within the Implementation Plan.</w:t>
      </w:r>
    </w:p>
    <w:p w14:paraId="67D9ECA6" w14:textId="6EF792A4" w:rsidR="0020591E" w:rsidRDefault="0020591E" w:rsidP="00300317">
      <w:pPr>
        <w:ind w:left="720"/>
      </w:pPr>
    </w:p>
    <w:p w14:paraId="5F3F3F22" w14:textId="77777777" w:rsidR="004D6F43" w:rsidRDefault="004D6F43" w:rsidP="00300317">
      <w:pPr>
        <w:ind w:left="720"/>
      </w:pPr>
    </w:p>
    <w:p w14:paraId="2AC198FD" w14:textId="6542C90F" w:rsidR="0020591E" w:rsidRDefault="0020591E" w:rsidP="00300317">
      <w:pPr>
        <w:ind w:left="720"/>
      </w:pPr>
      <w:r>
        <w:rPr>
          <w:noProof/>
          <w:lang w:eastAsia="en-GB"/>
        </w:rPr>
        <mc:AlternateContent>
          <mc:Choice Requires="wps">
            <w:drawing>
              <wp:anchor distT="0" distB="0" distL="114300" distR="114300" simplePos="0" relativeHeight="251683840" behindDoc="0" locked="0" layoutInCell="1" allowOverlap="1" wp14:anchorId="41CF3793" wp14:editId="212615BA">
                <wp:simplePos x="0" y="0"/>
                <wp:positionH relativeFrom="column">
                  <wp:posOffset>20955</wp:posOffset>
                </wp:positionH>
                <wp:positionV relativeFrom="paragraph">
                  <wp:posOffset>42545</wp:posOffset>
                </wp:positionV>
                <wp:extent cx="6544310" cy="532765"/>
                <wp:effectExtent l="38100" t="38100" r="104140" b="95885"/>
                <wp:wrapNone/>
                <wp:docPr id="29" name="Pentagon 29"/>
                <wp:cNvGraphicFramePr/>
                <a:graphic xmlns:a="http://schemas.openxmlformats.org/drawingml/2006/main">
                  <a:graphicData uri="http://schemas.microsoft.com/office/word/2010/wordprocessingShape">
                    <wps:wsp>
                      <wps:cNvSpPr/>
                      <wps:spPr>
                        <a:xfrm>
                          <a:off x="0" y="0"/>
                          <a:ext cx="6544310" cy="532765"/>
                        </a:xfrm>
                        <a:prstGeom prst="homePlate">
                          <a:avLst/>
                        </a:prstGeom>
                        <a:solidFill>
                          <a:schemeClr val="accent5">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3D8D9B0" w14:textId="2C4384E3" w:rsidR="0020591E" w:rsidRPr="002750C8" w:rsidRDefault="0020591E" w:rsidP="0020591E">
                            <w:pPr>
                              <w:pStyle w:val="ListParagraph"/>
                              <w:numPr>
                                <w:ilvl w:val="0"/>
                                <w:numId w:val="46"/>
                              </w:numPr>
                              <w:rPr>
                                <w:rFonts w:ascii="Arial" w:hAnsi="Arial" w:cs="Arial"/>
                                <w:color w:val="002060"/>
                                <w:sz w:val="36"/>
                              </w:rPr>
                            </w:pPr>
                            <w:r>
                              <w:rPr>
                                <w:rFonts w:ascii="Arial" w:hAnsi="Arial" w:cs="Arial"/>
                                <w:color w:val="002060"/>
                                <w:sz w:val="36"/>
                              </w:rPr>
                              <w:t>Directors Letters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CF3793" id="Pentagon 29" o:spid="_x0000_s1035" type="#_x0000_t15" style="position:absolute;left:0;text-align:left;margin-left:1.65pt;margin-top:3.35pt;width:515.3pt;height:41.9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" adj="20721" fillcolor="#d9e2f3 [664]" stroked="f" strokeweight="1pt">
                <v:shadow on="t" color="black" opacity="26214f" origin="-.5,-.5" offset=".74836mm,.74836mm"/>
                <v:textbox>
                  <w:txbxContent>
                    <w:p w14:paraId="43D8D9B0" w14:textId="2C4384E3" w:rsidR="0020591E" w:rsidRPr="002750C8" w:rsidRDefault="0020591E" w:rsidP="0020591E">
                      <w:pPr>
                        <w:pStyle w:val="ListParagraph"/>
                        <w:numPr>
                          <w:ilvl w:val="0"/>
                          <w:numId w:val="46"/>
                        </w:numPr>
                        <w:rPr>
                          <w:rFonts w:ascii="Arial" w:hAnsi="Arial" w:cs="Arial"/>
                          <w:color w:val="002060"/>
                          <w:sz w:val="36"/>
                        </w:rPr>
                      </w:pPr>
                      <w:r>
                        <w:rPr>
                          <w:rFonts w:ascii="Arial" w:hAnsi="Arial" w:cs="Arial"/>
                          <w:color w:val="002060"/>
                          <w:sz w:val="36"/>
                        </w:rPr>
                        <w:t>Directors Letters</w:t>
                      </w:r>
                    </w:p>
                  </w:txbxContent>
                </v:textbox>
              </v:shape>
            </w:pict>
          </mc:Fallback>
        </mc:AlternateContent>
      </w:r>
    </w:p>
    <w:p w14:paraId="48B0BEBA" w14:textId="66625424" w:rsidR="0020591E" w:rsidRDefault="0020591E" w:rsidP="00300317">
      <w:pPr>
        <w:ind w:left="720"/>
      </w:pPr>
    </w:p>
    <w:p w14:paraId="12A391F0" w14:textId="7013F651" w:rsidR="00F34468" w:rsidRDefault="00F34468" w:rsidP="00300317">
      <w:pPr>
        <w:ind w:left="720"/>
      </w:pPr>
    </w:p>
    <w:p w14:paraId="48DD786A" w14:textId="5F9F1127" w:rsidR="0020591E" w:rsidRDefault="0020591E" w:rsidP="00300317">
      <w:pPr>
        <w:ind w:left="720"/>
      </w:pPr>
    </w:p>
    <w:p w14:paraId="282270D7" w14:textId="5C71194D" w:rsidR="0027089E" w:rsidRPr="0027089E" w:rsidRDefault="005B2E7C" w:rsidP="0020591E">
      <w:pPr>
        <w:ind w:left="720"/>
        <w:jc w:val="right"/>
        <w:rPr>
          <w:b/>
        </w:rPr>
      </w:pPr>
      <w:r>
        <w:rPr>
          <w:b/>
        </w:rPr>
        <w:t xml:space="preserve">                            </w:t>
      </w:r>
      <w:r w:rsidRPr="005B2E7C">
        <w:rPr>
          <w:b/>
          <w:noProof/>
          <w:lang w:eastAsia="en-GB"/>
        </w:rPr>
        <w:drawing>
          <wp:inline distT="0" distB="0" distL="0" distR="0" wp14:anchorId="002CD9E6" wp14:editId="53AFECB3">
            <wp:extent cx="3510167" cy="4203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585073" cy="429330"/>
                    </a:xfrm>
                    <a:prstGeom prst="rect">
                      <a:avLst/>
                    </a:prstGeom>
                  </pic:spPr>
                </pic:pic>
              </a:graphicData>
            </a:graphic>
          </wp:inline>
        </w:drawing>
      </w:r>
    </w:p>
    <w:p w14:paraId="4C4FBAFA" w14:textId="47CAEEDC" w:rsidR="00D52F96" w:rsidRDefault="00D52F96" w:rsidP="00300317">
      <w:pPr>
        <w:ind w:left="720"/>
      </w:pPr>
    </w:p>
    <w:p w14:paraId="0A30C921" w14:textId="77777777" w:rsidR="00022D51" w:rsidRDefault="00022D51" w:rsidP="00022D51">
      <w:pPr>
        <w:ind w:left="720"/>
      </w:pPr>
      <w:r>
        <w:t>There were a total of 4 Directors Letters (DLs) received during Quarter 1, which are detailed in Appendix One.  Eight of these have now been closed.  The four that remain open relate to the following:</w:t>
      </w:r>
    </w:p>
    <w:p w14:paraId="0CA0B87B" w14:textId="77777777" w:rsidR="00022D51" w:rsidRDefault="00022D51" w:rsidP="00022D51">
      <w:pPr>
        <w:ind w:left="720"/>
      </w:pPr>
    </w:p>
    <w:p w14:paraId="0CD1F0B9" w14:textId="77777777" w:rsidR="00022D51" w:rsidRPr="00EB67AC" w:rsidRDefault="00022D51" w:rsidP="00022D51">
      <w:pPr>
        <w:pStyle w:val="ListParagraph"/>
        <w:numPr>
          <w:ilvl w:val="0"/>
          <w:numId w:val="48"/>
        </w:numPr>
        <w:ind w:left="1134"/>
        <w:rPr>
          <w:rFonts w:ascii="Arial" w:hAnsi="Arial" w:cs="Arial"/>
          <w:sz w:val="24"/>
          <w:szCs w:val="24"/>
        </w:rPr>
      </w:pPr>
      <w:r w:rsidRPr="00EB67AC">
        <w:rPr>
          <w:rFonts w:ascii="Arial" w:hAnsi="Arial" w:cs="Arial"/>
          <w:sz w:val="24"/>
          <w:szCs w:val="24"/>
        </w:rPr>
        <w:t>DL(2025) 10 – Update to the Code of Practice for the International Recruitment of Health and Social Care Personnel in Scotland – minor update to the code of practice.</w:t>
      </w:r>
    </w:p>
    <w:p w14:paraId="6D0C98DC" w14:textId="77777777" w:rsidR="00022D51" w:rsidRPr="00EB67AC" w:rsidRDefault="00022D51" w:rsidP="00022D51">
      <w:pPr>
        <w:pStyle w:val="ListParagraph"/>
        <w:numPr>
          <w:ilvl w:val="0"/>
          <w:numId w:val="48"/>
        </w:numPr>
        <w:ind w:left="1134"/>
        <w:rPr>
          <w:rFonts w:ascii="Arial" w:hAnsi="Arial" w:cs="Arial"/>
          <w:sz w:val="24"/>
          <w:szCs w:val="24"/>
        </w:rPr>
      </w:pPr>
      <w:r w:rsidRPr="00EB67AC">
        <w:rPr>
          <w:rFonts w:ascii="Arial" w:hAnsi="Arial" w:cs="Arial"/>
          <w:sz w:val="24"/>
          <w:szCs w:val="24"/>
        </w:rPr>
        <w:t>DL(2025)12 – Foundation Year One (F1) Doctors Mandatory Induction/Shadowing Arrangement – internal induction event scheduled 6 August 2025 – Dr Lorna Swan</w:t>
      </w:r>
    </w:p>
    <w:p w14:paraId="17511DD8" w14:textId="77777777" w:rsidR="00022D51" w:rsidRPr="00EB67AC" w:rsidRDefault="00022D51" w:rsidP="00022D51">
      <w:pPr>
        <w:pStyle w:val="ListParagraph"/>
        <w:numPr>
          <w:ilvl w:val="0"/>
          <w:numId w:val="48"/>
        </w:numPr>
        <w:ind w:left="1134"/>
        <w:rPr>
          <w:rFonts w:ascii="Arial" w:hAnsi="Arial" w:cs="Arial"/>
          <w:sz w:val="24"/>
          <w:szCs w:val="24"/>
        </w:rPr>
      </w:pPr>
      <w:r w:rsidRPr="00EB67AC">
        <w:rPr>
          <w:rFonts w:ascii="Arial" w:hAnsi="Arial" w:cs="Arial"/>
          <w:sz w:val="24"/>
          <w:szCs w:val="24"/>
        </w:rPr>
        <w:t>DL(2025) 10 – Update to the Code of Practice for the International Recruitment of Health and Social Care Personnel in Scotland – minor update to the code of practice.</w:t>
      </w:r>
    </w:p>
    <w:p w14:paraId="1DF2ACEE" w14:textId="77777777" w:rsidR="00022D51" w:rsidRPr="00EB67AC" w:rsidRDefault="00022D51" w:rsidP="00022D51">
      <w:pPr>
        <w:pStyle w:val="ListParagraph"/>
        <w:numPr>
          <w:ilvl w:val="0"/>
          <w:numId w:val="48"/>
        </w:numPr>
        <w:ind w:left="1134"/>
        <w:rPr>
          <w:rFonts w:ascii="Arial" w:hAnsi="Arial" w:cs="Arial"/>
          <w:sz w:val="24"/>
          <w:szCs w:val="24"/>
        </w:rPr>
      </w:pPr>
      <w:r w:rsidRPr="00EB67AC">
        <w:rPr>
          <w:rFonts w:ascii="Arial" w:hAnsi="Arial" w:cs="Arial"/>
          <w:sz w:val="24"/>
          <w:szCs w:val="24"/>
        </w:rPr>
        <w:t>DL(2025)12 – Foundation Year One (F1) Doctors Mandatory Induction/Shadowing Arrangement – internal induction event scheduled 6 August 2025 – Dr Lorna Swan</w:t>
      </w:r>
    </w:p>
    <w:p w14:paraId="01E0E88D" w14:textId="77777777" w:rsidR="00022D51" w:rsidRDefault="00022D51" w:rsidP="00022D51">
      <w:pPr>
        <w:rPr>
          <w:rFonts w:cs="Arial"/>
          <w:szCs w:val="24"/>
        </w:rPr>
      </w:pPr>
    </w:p>
    <w:p w14:paraId="2C4624A4" w14:textId="77777777" w:rsidR="00022D51" w:rsidRDefault="00022D51" w:rsidP="00022D51">
      <w:pPr>
        <w:ind w:left="709"/>
        <w:rPr>
          <w:spacing w:val="0"/>
        </w:rPr>
      </w:pPr>
      <w:r>
        <w:rPr>
          <w:rFonts w:cs="Arial"/>
          <w:szCs w:val="24"/>
        </w:rPr>
        <w:tab/>
        <w:t xml:space="preserve">If you wish to view any of the DLs then please use the following web address:  </w:t>
      </w:r>
      <w:hyperlink r:id="rId20" w:history="1">
        <w:r>
          <w:rPr>
            <w:rStyle w:val="Hyperlink"/>
            <w:rFonts w:eastAsiaTheme="majorEastAsia"/>
          </w:rPr>
          <w:t>https://www.publications.scot.nhs.uk/</w:t>
        </w:r>
      </w:hyperlink>
    </w:p>
    <w:p w14:paraId="530E610C" w14:textId="2C829AC6" w:rsidR="00022D51" w:rsidRDefault="00022D51" w:rsidP="00022D51"/>
    <w:p w14:paraId="15EFC7A1" w14:textId="77777777" w:rsidR="004D6F43" w:rsidRDefault="004D6F43" w:rsidP="00022D51"/>
    <w:p w14:paraId="27301A58" w14:textId="621935A2" w:rsidR="004C1DC6" w:rsidRDefault="004C1DC6" w:rsidP="00191924">
      <w:pPr>
        <w:ind w:left="709"/>
        <w:rPr>
          <w:rStyle w:val="Hyperlink"/>
          <w:rFonts w:eastAsiaTheme="majorEastAsia"/>
        </w:rPr>
      </w:pPr>
    </w:p>
    <w:p w14:paraId="7C2B837B" w14:textId="51EA1FA4" w:rsidR="004C1DC6" w:rsidRDefault="004C1DC6" w:rsidP="00191924">
      <w:pPr>
        <w:ind w:left="709"/>
        <w:rPr>
          <w:rStyle w:val="Hyperlink"/>
          <w:rFonts w:eastAsiaTheme="majorEastAsia"/>
        </w:rPr>
      </w:pPr>
      <w:r>
        <w:rPr>
          <w:noProof/>
          <w:lang w:eastAsia="en-GB"/>
        </w:rPr>
        <mc:AlternateContent>
          <mc:Choice Requires="wps">
            <w:drawing>
              <wp:anchor distT="0" distB="0" distL="114300" distR="114300" simplePos="0" relativeHeight="251685888" behindDoc="0" locked="0" layoutInCell="1" allowOverlap="1" wp14:anchorId="2C8EA4F8" wp14:editId="136BB2A8">
                <wp:simplePos x="0" y="0"/>
                <wp:positionH relativeFrom="column">
                  <wp:posOffset>128905</wp:posOffset>
                </wp:positionH>
                <wp:positionV relativeFrom="paragraph">
                  <wp:posOffset>5715</wp:posOffset>
                </wp:positionV>
                <wp:extent cx="6544310" cy="532765"/>
                <wp:effectExtent l="38100" t="38100" r="104140" b="95885"/>
                <wp:wrapNone/>
                <wp:docPr id="30" name="Pentagon 30"/>
                <wp:cNvGraphicFramePr/>
                <a:graphic xmlns:a="http://schemas.openxmlformats.org/drawingml/2006/main">
                  <a:graphicData uri="http://schemas.microsoft.com/office/word/2010/wordprocessingShape">
                    <wps:wsp>
                      <wps:cNvSpPr/>
                      <wps:spPr>
                        <a:xfrm>
                          <a:off x="0" y="0"/>
                          <a:ext cx="6544310" cy="532765"/>
                        </a:xfrm>
                        <a:prstGeom prst="homePlate">
                          <a:avLst/>
                        </a:prstGeom>
                        <a:solidFill>
                          <a:schemeClr val="accent5">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4CA83B3" w14:textId="024B5101" w:rsidR="004C1DC6" w:rsidRPr="002750C8" w:rsidRDefault="004C1DC6" w:rsidP="004C1DC6">
                            <w:pPr>
                              <w:pStyle w:val="ListParagraph"/>
                              <w:numPr>
                                <w:ilvl w:val="0"/>
                                <w:numId w:val="46"/>
                              </w:numPr>
                              <w:rPr>
                                <w:rFonts w:ascii="Arial" w:hAnsi="Arial" w:cs="Arial"/>
                                <w:color w:val="002060"/>
                                <w:sz w:val="36"/>
                              </w:rPr>
                            </w:pPr>
                            <w:r>
                              <w:rPr>
                                <w:rFonts w:ascii="Arial" w:hAnsi="Arial" w:cs="Arial"/>
                                <w:color w:val="002060"/>
                                <w:sz w:val="36"/>
                              </w:rPr>
                              <w:t>Other Communications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8EA4F8" id="Pentagon 30" o:spid="_x0000_s1036" type="#_x0000_t15" style="position:absolute;left:0;text-align:left;margin-left:10.15pt;margin-top:.45pt;width:515.3pt;height:41.9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" adj="20721" fillcolor="#d9e2f3 [664]" stroked="f" strokeweight="1pt">
                <v:shadow on="t" color="black" opacity="26214f" origin="-.5,-.5" offset=".74836mm,.74836mm"/>
                <v:textbox>
                  <w:txbxContent>
                    <w:p w14:paraId="54CA83B3" w14:textId="024B5101" w:rsidR="004C1DC6" w:rsidRPr="002750C8" w:rsidRDefault="004C1DC6" w:rsidP="004C1DC6">
                      <w:pPr>
                        <w:pStyle w:val="ListParagraph"/>
                        <w:numPr>
                          <w:ilvl w:val="0"/>
                          <w:numId w:val="46"/>
                        </w:numPr>
                        <w:rPr>
                          <w:rFonts w:ascii="Arial" w:hAnsi="Arial" w:cs="Arial"/>
                          <w:color w:val="002060"/>
                          <w:sz w:val="36"/>
                        </w:rPr>
                      </w:pPr>
                      <w:r>
                        <w:rPr>
                          <w:rFonts w:ascii="Arial" w:hAnsi="Arial" w:cs="Arial"/>
                          <w:color w:val="002060"/>
                          <w:sz w:val="36"/>
                        </w:rPr>
                        <w:t>Other Communications</w:t>
                      </w:r>
                    </w:p>
                  </w:txbxContent>
                </v:textbox>
              </v:shape>
            </w:pict>
          </mc:Fallback>
        </mc:AlternateContent>
      </w:r>
    </w:p>
    <w:p w14:paraId="3C99D5FE" w14:textId="754DAF8E" w:rsidR="004C1DC6" w:rsidRDefault="004C1DC6" w:rsidP="00191924">
      <w:pPr>
        <w:ind w:left="709"/>
        <w:rPr>
          <w:spacing w:val="0"/>
        </w:rPr>
      </w:pPr>
    </w:p>
    <w:p w14:paraId="2779B3AC" w14:textId="327F1F8D" w:rsidR="0027089E" w:rsidRDefault="0027089E" w:rsidP="0027089E">
      <w:pPr>
        <w:rPr>
          <w:rFonts w:cs="Arial"/>
          <w:szCs w:val="24"/>
        </w:rPr>
      </w:pPr>
    </w:p>
    <w:p w14:paraId="26141A62" w14:textId="77777777" w:rsidR="00022D51" w:rsidRDefault="00022D51" w:rsidP="00022D51">
      <w:pPr>
        <w:rPr>
          <w:rFonts w:cs="Arial"/>
          <w:b/>
          <w:szCs w:val="24"/>
        </w:rPr>
      </w:pPr>
    </w:p>
    <w:p w14:paraId="67B580BF" w14:textId="502B3EC6" w:rsidR="00022D51" w:rsidRDefault="00022D51" w:rsidP="00022D51">
      <w:pPr>
        <w:rPr>
          <w:rFonts w:cs="Arial"/>
          <w:szCs w:val="24"/>
        </w:rPr>
      </w:pPr>
      <w:r>
        <w:rPr>
          <w:rFonts w:cs="Arial"/>
          <w:b/>
          <w:szCs w:val="24"/>
        </w:rPr>
        <w:tab/>
      </w:r>
      <w:r>
        <w:rPr>
          <w:rFonts w:cs="Arial"/>
          <w:szCs w:val="24"/>
        </w:rPr>
        <w:t>Other Communications received by the Board within Quarter 1 were as follows:</w:t>
      </w:r>
    </w:p>
    <w:p w14:paraId="39191DB7" w14:textId="77777777" w:rsidR="00022D51" w:rsidRDefault="00022D51" w:rsidP="00022D51">
      <w:pPr>
        <w:rPr>
          <w:rFonts w:cs="Arial"/>
          <w:szCs w:val="24"/>
        </w:rPr>
      </w:pPr>
    </w:p>
    <w:p w14:paraId="1395D8C3" w14:textId="77777777" w:rsidR="00022D51" w:rsidRPr="00D10CBA" w:rsidRDefault="00022D51" w:rsidP="00022D51">
      <w:pPr>
        <w:pStyle w:val="ListParagraph"/>
        <w:numPr>
          <w:ilvl w:val="0"/>
          <w:numId w:val="47"/>
        </w:numPr>
        <w:ind w:left="1134"/>
        <w:rPr>
          <w:rFonts w:ascii="Arial" w:hAnsi="Arial" w:cs="Arial"/>
          <w:sz w:val="24"/>
          <w:szCs w:val="24"/>
        </w:rPr>
      </w:pPr>
      <w:r w:rsidRPr="00D10CBA">
        <w:rPr>
          <w:rFonts w:ascii="Arial" w:hAnsi="Arial" w:cs="Arial"/>
          <w:sz w:val="24"/>
          <w:szCs w:val="24"/>
        </w:rPr>
        <w:t>PCS(AFC)2025-5 – Pay and Conditions for NHS staff covered by the Agenda for Change Agreement</w:t>
      </w:r>
    </w:p>
    <w:p w14:paraId="76A97E2A" w14:textId="77777777" w:rsidR="00022D51" w:rsidRDefault="00022D51" w:rsidP="00022D51">
      <w:pPr>
        <w:pStyle w:val="ListParagraph"/>
        <w:numPr>
          <w:ilvl w:val="0"/>
          <w:numId w:val="47"/>
        </w:numPr>
        <w:ind w:left="1134"/>
        <w:rPr>
          <w:rFonts w:ascii="Arial" w:hAnsi="Arial" w:cs="Arial"/>
          <w:sz w:val="24"/>
          <w:szCs w:val="24"/>
        </w:rPr>
      </w:pPr>
      <w:r w:rsidRPr="00D10CBA">
        <w:rPr>
          <w:rFonts w:ascii="Arial" w:hAnsi="Arial" w:cs="Arial"/>
          <w:sz w:val="24"/>
          <w:szCs w:val="24"/>
        </w:rPr>
        <w:t>SGH CMO(23025) 08 – Ceasing Flu Antivirals 2024/25</w:t>
      </w:r>
    </w:p>
    <w:p w14:paraId="5F59FC7B" w14:textId="77777777" w:rsidR="00022D51" w:rsidRPr="00EB67AC"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Publication of the Population Health Framework – framework published</w:t>
      </w:r>
    </w:p>
    <w:p w14:paraId="1A37D1D4" w14:textId="77777777" w:rsidR="00022D51"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Children (Care, Care Experience and Services Planning (Scotland) Bill –  Bill introduced to Parliament 17 June 2025 by First Minister</w:t>
      </w:r>
    </w:p>
    <w:p w14:paraId="6A796F01" w14:textId="77777777" w:rsidR="00022D51"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Public Bodies Climate Change Duties – progress on IESS.21.012</w:t>
      </w:r>
    </w:p>
    <w:p w14:paraId="4FA47405" w14:textId="77777777" w:rsidR="00022D51" w:rsidRPr="00EB67AC"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STAC(TC502)2025 (re PCS(AFC)2025/6) – NHS Scotland Annual Leave Policy for Agenda for Change Staff – new guidance on how to deal with Annual Leave and Public Holidays during 2025/26.</w:t>
      </w:r>
    </w:p>
    <w:p w14:paraId="7303CAEA" w14:textId="77777777" w:rsidR="00022D51" w:rsidRPr="00EB67AC"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PCS(AFC_2025/26) – NHS Annual Leave Policy for Agenda for Change Staff – updated policy</w:t>
      </w:r>
    </w:p>
    <w:p w14:paraId="738C70CF" w14:textId="77777777" w:rsidR="00022D51" w:rsidRPr="00EB67AC"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PCS(DD)2025/01 – Pay and Conditions for Service Remuneration of Hospital Medical and Dental Staff, Doctors and Dentists in Public health Medicine and the Community Health Service – authorised changes in the pay and national terms and conditions of service as noted.</w:t>
      </w:r>
    </w:p>
    <w:p w14:paraId="6DD0B480" w14:textId="77777777" w:rsidR="00022D51" w:rsidRPr="00EB67AC"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PCS(SDIA)2025/1 – Scottish Distant Islands Allowance – no action.</w:t>
      </w:r>
    </w:p>
    <w:p w14:paraId="7AA983B7" w14:textId="77777777" w:rsidR="00022D51" w:rsidRPr="00EB67AC"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PCS(DD)2025/01 – Update Pay and Conditions of Service Remuneration of Hospital, Medical and Dental Staff, Doctors and Dentists in Public Health Medicine and the Community Health Service – reference in paragraph 14 referring to the uplift being payable in September was incorrect.  The uplift will instead be reflected in the July 2025 salaries and will be backdated to April 2025.</w:t>
      </w:r>
    </w:p>
    <w:p w14:paraId="542EEF00" w14:textId="77777777" w:rsidR="00022D51"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STAC(TCS01)2025 – UK Staff Council: Publication of Reviewed Nursing and Midwifery Profiles for Bands 2-9 – for guidance.</w:t>
      </w:r>
    </w:p>
    <w:p w14:paraId="2793C604" w14:textId="77777777" w:rsidR="00022D51" w:rsidRDefault="00022D51" w:rsidP="00022D51">
      <w:pPr>
        <w:ind w:left="720"/>
        <w:rPr>
          <w:rFonts w:cs="Arial"/>
          <w:szCs w:val="24"/>
        </w:rPr>
      </w:pPr>
    </w:p>
    <w:p w14:paraId="6B205A52" w14:textId="77777777" w:rsidR="00022D51" w:rsidRDefault="00022D51" w:rsidP="00022D51">
      <w:pPr>
        <w:ind w:left="720"/>
        <w:rPr>
          <w:rFonts w:cs="Arial"/>
          <w:b/>
          <w:szCs w:val="24"/>
        </w:rPr>
      </w:pPr>
      <w:r>
        <w:rPr>
          <w:rFonts w:cs="Arial"/>
          <w:b/>
          <w:szCs w:val="24"/>
        </w:rPr>
        <w:t>Funding Letters</w:t>
      </w:r>
    </w:p>
    <w:p w14:paraId="5335F7F2" w14:textId="77777777" w:rsidR="00022D51" w:rsidRDefault="00022D51" w:rsidP="00022D51">
      <w:pPr>
        <w:pStyle w:val="ListParagraph"/>
        <w:numPr>
          <w:ilvl w:val="0"/>
          <w:numId w:val="47"/>
        </w:numPr>
        <w:ind w:left="1134"/>
        <w:rPr>
          <w:rFonts w:ascii="Arial" w:hAnsi="Arial" w:cs="Arial"/>
          <w:sz w:val="24"/>
          <w:szCs w:val="24"/>
        </w:rPr>
      </w:pPr>
      <w:r w:rsidRPr="00D10CBA">
        <w:rPr>
          <w:rFonts w:ascii="Arial" w:hAnsi="Arial" w:cs="Arial"/>
          <w:sz w:val="24"/>
          <w:szCs w:val="24"/>
        </w:rPr>
        <w:t>NHS GJ Foundation Allocations – Update</w:t>
      </w:r>
    </w:p>
    <w:p w14:paraId="5875D801" w14:textId="77777777" w:rsidR="00022D51" w:rsidRPr="00EB67AC" w:rsidRDefault="00022D51" w:rsidP="00022D51">
      <w:pPr>
        <w:pStyle w:val="ListParagraph"/>
        <w:numPr>
          <w:ilvl w:val="0"/>
          <w:numId w:val="47"/>
        </w:numPr>
        <w:ind w:left="1134"/>
        <w:rPr>
          <w:rFonts w:ascii="Arial" w:hAnsi="Arial" w:cs="Arial"/>
          <w:sz w:val="24"/>
          <w:szCs w:val="24"/>
        </w:rPr>
      </w:pPr>
      <w:r w:rsidRPr="00D10CBA">
        <w:rPr>
          <w:rFonts w:ascii="Arial" w:hAnsi="Arial" w:cs="Arial"/>
          <w:sz w:val="24"/>
          <w:szCs w:val="24"/>
        </w:rPr>
        <w:t>Confirmation of Additional Planned Care Funding 2025/26</w:t>
      </w:r>
    </w:p>
    <w:p w14:paraId="3BEC7714" w14:textId="77777777" w:rsidR="00022D51" w:rsidRDefault="00022D51" w:rsidP="00022D51">
      <w:pPr>
        <w:pStyle w:val="ListParagraph"/>
        <w:ind w:left="1440"/>
        <w:rPr>
          <w:rFonts w:ascii="Arial" w:hAnsi="Arial" w:cs="Arial"/>
          <w:szCs w:val="24"/>
        </w:rPr>
      </w:pPr>
    </w:p>
    <w:p w14:paraId="79A11680" w14:textId="77777777" w:rsidR="00022D51" w:rsidRDefault="00022D51" w:rsidP="00022D51">
      <w:pPr>
        <w:rPr>
          <w:rFonts w:cs="Arial"/>
          <w:b/>
          <w:szCs w:val="24"/>
        </w:rPr>
      </w:pPr>
      <w:r>
        <w:rPr>
          <w:rFonts w:cs="Arial"/>
          <w:szCs w:val="24"/>
        </w:rPr>
        <w:tab/>
      </w:r>
      <w:r>
        <w:rPr>
          <w:rFonts w:cs="Arial"/>
          <w:b/>
          <w:szCs w:val="24"/>
        </w:rPr>
        <w:t>Letters</w:t>
      </w:r>
    </w:p>
    <w:p w14:paraId="33E91D58" w14:textId="77777777" w:rsidR="00022D51"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BCE/BCG First Minister Letter Strategic Update on Reducing Long Waits</w:t>
      </w:r>
    </w:p>
    <w:p w14:paraId="111781BA" w14:textId="77777777" w:rsidR="00022D51" w:rsidRPr="00D10CBA" w:rsidRDefault="00022D51" w:rsidP="00022D51">
      <w:pPr>
        <w:pStyle w:val="ListParagraph"/>
        <w:numPr>
          <w:ilvl w:val="0"/>
          <w:numId w:val="47"/>
        </w:numPr>
        <w:ind w:left="1134"/>
        <w:rPr>
          <w:rFonts w:ascii="Arial" w:hAnsi="Arial" w:cs="Arial"/>
          <w:sz w:val="24"/>
          <w:szCs w:val="24"/>
        </w:rPr>
      </w:pPr>
      <w:r w:rsidRPr="00D10CBA">
        <w:rPr>
          <w:rFonts w:ascii="Arial" w:hAnsi="Arial" w:cs="Arial"/>
          <w:sz w:val="24"/>
          <w:szCs w:val="24"/>
        </w:rPr>
        <w:t>TCI Booking Process</w:t>
      </w:r>
      <w:r>
        <w:rPr>
          <w:rFonts w:ascii="Arial" w:hAnsi="Arial" w:cs="Arial"/>
          <w:sz w:val="24"/>
          <w:szCs w:val="24"/>
        </w:rPr>
        <w:t xml:space="preserve"> – Update to Booking Process and Data Tracking/Reporting</w:t>
      </w:r>
    </w:p>
    <w:p w14:paraId="4DD87E5B" w14:textId="77777777" w:rsidR="00022D51" w:rsidRPr="00EB67AC"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Public Bodies Climate Change Duties – progress on IESS.21.012</w:t>
      </w:r>
    </w:p>
    <w:p w14:paraId="05745555" w14:textId="77777777" w:rsidR="00022D51" w:rsidRPr="00EB67AC"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Publication of the Population Health Framework – framework published</w:t>
      </w:r>
    </w:p>
    <w:p w14:paraId="5AFA6369" w14:textId="77777777" w:rsidR="00022D51"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 xml:space="preserve">Children (Care, Care Experience and Services Planning (Scotland) Bill –  </w:t>
      </w:r>
      <w:r>
        <w:rPr>
          <w:rFonts w:ascii="Arial" w:hAnsi="Arial" w:cs="Arial"/>
          <w:sz w:val="24"/>
          <w:szCs w:val="24"/>
        </w:rPr>
        <w:t xml:space="preserve">Bill </w:t>
      </w:r>
      <w:r w:rsidRPr="00EB67AC">
        <w:rPr>
          <w:rFonts w:ascii="Arial" w:hAnsi="Arial" w:cs="Arial"/>
          <w:sz w:val="24"/>
          <w:szCs w:val="24"/>
        </w:rPr>
        <w:t>introduced to Parliament 17 June 2025 by First Minister</w:t>
      </w:r>
    </w:p>
    <w:p w14:paraId="52C4A290" w14:textId="77777777" w:rsidR="00022D51" w:rsidRDefault="00022D51" w:rsidP="00022D51">
      <w:pPr>
        <w:rPr>
          <w:rFonts w:cs="Arial"/>
          <w:szCs w:val="24"/>
        </w:rPr>
      </w:pPr>
    </w:p>
    <w:p w14:paraId="5C9D4BF9" w14:textId="77777777" w:rsidR="00022D51" w:rsidRPr="00BE37A5" w:rsidRDefault="00022D51" w:rsidP="00022D51">
      <w:pPr>
        <w:rPr>
          <w:rFonts w:cs="Arial"/>
          <w:b/>
          <w:szCs w:val="24"/>
        </w:rPr>
      </w:pPr>
      <w:r>
        <w:rPr>
          <w:rFonts w:cs="Arial"/>
          <w:szCs w:val="24"/>
        </w:rPr>
        <w:tab/>
      </w:r>
      <w:r>
        <w:rPr>
          <w:rFonts w:cs="Arial"/>
          <w:b/>
          <w:szCs w:val="24"/>
        </w:rPr>
        <w:t>Guidance</w:t>
      </w:r>
    </w:p>
    <w:p w14:paraId="19786B3F" w14:textId="77777777" w:rsidR="00022D51" w:rsidRPr="00BE37A5" w:rsidRDefault="00022D51" w:rsidP="00022D51">
      <w:pPr>
        <w:pStyle w:val="ListParagraph"/>
        <w:numPr>
          <w:ilvl w:val="0"/>
          <w:numId w:val="47"/>
        </w:numPr>
        <w:ind w:left="1134"/>
        <w:rPr>
          <w:rFonts w:ascii="Arial" w:hAnsi="Arial" w:cs="Arial"/>
          <w:sz w:val="24"/>
          <w:szCs w:val="24"/>
        </w:rPr>
      </w:pPr>
      <w:r w:rsidRPr="00EB67AC">
        <w:rPr>
          <w:rFonts w:ascii="Arial" w:hAnsi="Arial" w:cs="Arial"/>
          <w:sz w:val="24"/>
          <w:szCs w:val="24"/>
        </w:rPr>
        <w:t xml:space="preserve">Band 5 Nursing Roles Review - Roadshows scheduled to encourage members to consider applying for a review of role as part of national </w:t>
      </w:r>
      <w:r>
        <w:rPr>
          <w:rFonts w:ascii="Arial" w:hAnsi="Arial" w:cs="Arial"/>
          <w:sz w:val="24"/>
          <w:szCs w:val="24"/>
        </w:rPr>
        <w:t>guidance.</w:t>
      </w:r>
    </w:p>
    <w:p w14:paraId="3BB716EB" w14:textId="77777777" w:rsidR="00022D51" w:rsidRPr="00D3501E" w:rsidRDefault="00022D51" w:rsidP="00022D51">
      <w:pPr>
        <w:ind w:left="720"/>
        <w:rPr>
          <w:rFonts w:cs="Arial"/>
          <w:szCs w:val="24"/>
        </w:rPr>
      </w:pPr>
    </w:p>
    <w:p w14:paraId="79F716B3" w14:textId="77777777" w:rsidR="00022D51" w:rsidRPr="00D3501E" w:rsidRDefault="00022D51" w:rsidP="00022D51">
      <w:pPr>
        <w:ind w:left="720"/>
        <w:rPr>
          <w:rFonts w:cs="Arial"/>
          <w:b/>
          <w:szCs w:val="24"/>
        </w:rPr>
      </w:pPr>
      <w:r w:rsidRPr="00D3501E">
        <w:rPr>
          <w:rFonts w:cs="Arial"/>
          <w:b/>
          <w:szCs w:val="24"/>
        </w:rPr>
        <w:t>Chief Medical Officer (CMOs)</w:t>
      </w:r>
    </w:p>
    <w:p w14:paraId="172ECF5C" w14:textId="77777777" w:rsidR="00022D51" w:rsidRPr="005B2E7C" w:rsidRDefault="00022D51" w:rsidP="00022D51">
      <w:pPr>
        <w:rPr>
          <w:rFonts w:cs="Arial"/>
          <w:szCs w:val="24"/>
        </w:rPr>
      </w:pPr>
      <w:r>
        <w:rPr>
          <w:rFonts w:cs="Arial"/>
          <w:szCs w:val="24"/>
        </w:rPr>
        <w:tab/>
        <w:t>There was no correspondence received from CMO during this Quarter.</w:t>
      </w:r>
    </w:p>
    <w:p w14:paraId="79D5B97C" w14:textId="77777777" w:rsidR="00022D51" w:rsidRDefault="00022D51" w:rsidP="00022D51">
      <w:pPr>
        <w:rPr>
          <w:rFonts w:cs="Arial"/>
          <w:szCs w:val="24"/>
        </w:rPr>
      </w:pPr>
    </w:p>
    <w:p w14:paraId="1739CBAD" w14:textId="77777777" w:rsidR="00022D51" w:rsidRDefault="00022D51" w:rsidP="00022D51">
      <w:pPr>
        <w:ind w:left="720"/>
        <w:rPr>
          <w:rFonts w:cs="Arial"/>
          <w:szCs w:val="24"/>
        </w:rPr>
      </w:pPr>
      <w:r w:rsidRPr="00BE37A5">
        <w:rPr>
          <w:rFonts w:cs="Arial"/>
          <w:szCs w:val="24"/>
        </w:rPr>
        <w:t>Rele</w:t>
      </w:r>
      <w:r>
        <w:rPr>
          <w:rFonts w:cs="Arial"/>
          <w:szCs w:val="24"/>
        </w:rPr>
        <w:t>v</w:t>
      </w:r>
      <w:r w:rsidRPr="00BE37A5">
        <w:rPr>
          <w:rFonts w:cs="Arial"/>
          <w:szCs w:val="24"/>
        </w:rPr>
        <w:t>ant communications have been shared with Partnership Forum and discussed within the Staff Governance and Committee meetings.</w:t>
      </w:r>
      <w:r>
        <w:rPr>
          <w:rFonts w:cs="Arial"/>
          <w:szCs w:val="24"/>
        </w:rPr>
        <w:t xml:space="preserve"> </w:t>
      </w:r>
    </w:p>
    <w:p w14:paraId="1F47689E" w14:textId="77777777" w:rsidR="00022D51" w:rsidRDefault="00022D51" w:rsidP="00022D51">
      <w:pPr>
        <w:ind w:left="720"/>
      </w:pPr>
    </w:p>
    <w:p w14:paraId="4B80DF70" w14:textId="77777777" w:rsidR="00022D51" w:rsidRDefault="00B3764E" w:rsidP="0027089E">
      <w:pPr>
        <w:rPr>
          <w:rFonts w:cs="Arial"/>
          <w:szCs w:val="24"/>
        </w:rPr>
      </w:pPr>
      <w:r>
        <w:rPr>
          <w:rFonts w:cs="Arial"/>
          <w:szCs w:val="24"/>
        </w:rPr>
        <w:tab/>
      </w:r>
    </w:p>
    <w:p w14:paraId="6A149425" w14:textId="77777777" w:rsidR="00022D51" w:rsidRDefault="00022D51" w:rsidP="0027089E">
      <w:pPr>
        <w:rPr>
          <w:rFonts w:cs="Arial"/>
          <w:szCs w:val="24"/>
        </w:rPr>
      </w:pPr>
    </w:p>
    <w:p w14:paraId="763EB6CE" w14:textId="77777777" w:rsidR="00022D51" w:rsidRDefault="00022D51" w:rsidP="0027089E">
      <w:pPr>
        <w:rPr>
          <w:rFonts w:cs="Arial"/>
          <w:szCs w:val="24"/>
        </w:rPr>
      </w:pPr>
    </w:p>
    <w:p w14:paraId="6DBFBC2B" w14:textId="77777777" w:rsidR="00022D51" w:rsidRDefault="00022D51" w:rsidP="0027089E">
      <w:pPr>
        <w:rPr>
          <w:rFonts w:cs="Arial"/>
          <w:szCs w:val="24"/>
        </w:rPr>
      </w:pPr>
    </w:p>
    <w:p w14:paraId="3A6DC404" w14:textId="5261A273" w:rsidR="000E03AA" w:rsidRPr="005B2E7C" w:rsidRDefault="00D3501E" w:rsidP="005B2E7C">
      <w:pPr>
        <w:rPr>
          <w:rFonts w:cs="Arial"/>
          <w:szCs w:val="24"/>
        </w:rPr>
      </w:pPr>
      <w:r>
        <w:rPr>
          <w:rFonts w:cs="Arial"/>
          <w:szCs w:val="24"/>
        </w:rPr>
        <w:t>.</w:t>
      </w:r>
    </w:p>
    <w:p w14:paraId="20059589" w14:textId="77777777" w:rsidR="00375E68" w:rsidRPr="0027089E" w:rsidRDefault="00375E68" w:rsidP="0027089E">
      <w:pPr>
        <w:rPr>
          <w:rFonts w:cs="Arial"/>
          <w:szCs w:val="24"/>
        </w:rPr>
      </w:pPr>
    </w:p>
    <w:sectPr w:rsidR="00375E68" w:rsidRPr="0027089E" w:rsidSect="00FA0C60">
      <w:headerReference w:type="default" r:id="rId21"/>
      <w:footerReference w:type="default" r:id="rId22"/>
      <w:pgSz w:w="11906" w:h="16838"/>
      <w:pgMar w:top="567" w:right="567" w:bottom="284" w:left="567" w:header="573"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832EA" w14:textId="77777777" w:rsidR="00990914" w:rsidRDefault="00990914">
      <w:r>
        <w:separator/>
      </w:r>
    </w:p>
  </w:endnote>
  <w:endnote w:type="continuationSeparator" w:id="0">
    <w:p w14:paraId="44AF50EF" w14:textId="77777777" w:rsidR="00990914" w:rsidRDefault="00990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520C6" w14:textId="77777777" w:rsidR="00E9328B" w:rsidRDefault="00E9328B" w:rsidP="003F7F61">
    <w:pPr>
      <w:pStyle w:val="Footer"/>
      <w:jc w:val="center"/>
      <w:rPr>
        <w:rFonts w:cs="Arial"/>
        <w:sz w:val="16"/>
        <w:szCs w:val="16"/>
      </w:rPr>
    </w:pPr>
  </w:p>
  <w:p w14:paraId="3F47350E" w14:textId="4AD64469" w:rsidR="00E9328B" w:rsidRPr="00C35168" w:rsidRDefault="00E9328B"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CB4B63">
      <w:rPr>
        <w:rFonts w:cs="Arial"/>
        <w:noProof/>
        <w:sz w:val="16"/>
        <w:szCs w:val="16"/>
      </w:rPr>
      <w:t>5</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CB4B63">
      <w:rPr>
        <w:rFonts w:cs="Arial"/>
        <w:noProof/>
        <w:sz w:val="16"/>
        <w:szCs w:val="16"/>
      </w:rPr>
      <w:t>6</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C431A" w14:textId="77777777" w:rsidR="00990914" w:rsidRDefault="00990914">
      <w:r>
        <w:separator/>
      </w:r>
    </w:p>
  </w:footnote>
  <w:footnote w:type="continuationSeparator" w:id="0">
    <w:p w14:paraId="66BC3D7D" w14:textId="77777777" w:rsidR="00990914" w:rsidRDefault="009909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55085" w14:textId="1352A09E" w:rsidR="00E9328B" w:rsidRPr="00125A9E" w:rsidRDefault="00E9328B"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 xml:space="preserve">Board Item </w:t>
    </w:r>
    <w:r w:rsidR="00CB4B63">
      <w:rPr>
        <w:rFonts w:cs="Arial"/>
        <w:b/>
        <w:color w:val="2E74B5" w:themeColor="accent1" w:themeShade="BF"/>
        <w:sz w:val="20"/>
      </w:rPr>
      <w:t>2.10a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BA12D5"/>
    <w:multiLevelType w:val="hybridMultilevel"/>
    <w:tmpl w:val="597A2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64773A8"/>
    <w:multiLevelType w:val="hybridMultilevel"/>
    <w:tmpl w:val="65746F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B1DFD"/>
    <w:multiLevelType w:val="hybridMultilevel"/>
    <w:tmpl w:val="3F761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9B7DA7"/>
    <w:multiLevelType w:val="hybridMultilevel"/>
    <w:tmpl w:val="7AB291DA"/>
    <w:lvl w:ilvl="0" w:tplc="08090001">
      <w:start w:val="1"/>
      <w:numFmt w:val="bullet"/>
      <w:lvlText w:val=""/>
      <w:lvlJc w:val="left"/>
      <w:pPr>
        <w:ind w:left="1635" w:hanging="360"/>
      </w:pPr>
      <w:rPr>
        <w:rFonts w:ascii="Symbol" w:hAnsi="Symbol" w:hint="default"/>
      </w:rPr>
    </w:lvl>
    <w:lvl w:ilvl="1" w:tplc="08090003" w:tentative="1">
      <w:start w:val="1"/>
      <w:numFmt w:val="bullet"/>
      <w:lvlText w:val="o"/>
      <w:lvlJc w:val="left"/>
      <w:pPr>
        <w:ind w:left="2355" w:hanging="360"/>
      </w:pPr>
      <w:rPr>
        <w:rFonts w:ascii="Courier New" w:hAnsi="Courier New" w:cs="Courier New" w:hint="default"/>
      </w:rPr>
    </w:lvl>
    <w:lvl w:ilvl="2" w:tplc="08090005" w:tentative="1">
      <w:start w:val="1"/>
      <w:numFmt w:val="bullet"/>
      <w:lvlText w:val=""/>
      <w:lvlJc w:val="left"/>
      <w:pPr>
        <w:ind w:left="3075" w:hanging="360"/>
      </w:pPr>
      <w:rPr>
        <w:rFonts w:ascii="Wingdings" w:hAnsi="Wingdings" w:hint="default"/>
      </w:rPr>
    </w:lvl>
    <w:lvl w:ilvl="3" w:tplc="08090001" w:tentative="1">
      <w:start w:val="1"/>
      <w:numFmt w:val="bullet"/>
      <w:lvlText w:val=""/>
      <w:lvlJc w:val="left"/>
      <w:pPr>
        <w:ind w:left="3795" w:hanging="360"/>
      </w:pPr>
      <w:rPr>
        <w:rFonts w:ascii="Symbol" w:hAnsi="Symbol" w:hint="default"/>
      </w:rPr>
    </w:lvl>
    <w:lvl w:ilvl="4" w:tplc="08090003" w:tentative="1">
      <w:start w:val="1"/>
      <w:numFmt w:val="bullet"/>
      <w:lvlText w:val="o"/>
      <w:lvlJc w:val="left"/>
      <w:pPr>
        <w:ind w:left="4515" w:hanging="360"/>
      </w:pPr>
      <w:rPr>
        <w:rFonts w:ascii="Courier New" w:hAnsi="Courier New" w:cs="Courier New" w:hint="default"/>
      </w:rPr>
    </w:lvl>
    <w:lvl w:ilvl="5" w:tplc="08090005" w:tentative="1">
      <w:start w:val="1"/>
      <w:numFmt w:val="bullet"/>
      <w:lvlText w:val=""/>
      <w:lvlJc w:val="left"/>
      <w:pPr>
        <w:ind w:left="5235" w:hanging="360"/>
      </w:pPr>
      <w:rPr>
        <w:rFonts w:ascii="Wingdings" w:hAnsi="Wingdings" w:hint="default"/>
      </w:rPr>
    </w:lvl>
    <w:lvl w:ilvl="6" w:tplc="08090001" w:tentative="1">
      <w:start w:val="1"/>
      <w:numFmt w:val="bullet"/>
      <w:lvlText w:val=""/>
      <w:lvlJc w:val="left"/>
      <w:pPr>
        <w:ind w:left="5955" w:hanging="360"/>
      </w:pPr>
      <w:rPr>
        <w:rFonts w:ascii="Symbol" w:hAnsi="Symbol" w:hint="default"/>
      </w:rPr>
    </w:lvl>
    <w:lvl w:ilvl="7" w:tplc="08090003" w:tentative="1">
      <w:start w:val="1"/>
      <w:numFmt w:val="bullet"/>
      <w:lvlText w:val="o"/>
      <w:lvlJc w:val="left"/>
      <w:pPr>
        <w:ind w:left="6675" w:hanging="360"/>
      </w:pPr>
      <w:rPr>
        <w:rFonts w:ascii="Courier New" w:hAnsi="Courier New" w:cs="Courier New" w:hint="default"/>
      </w:rPr>
    </w:lvl>
    <w:lvl w:ilvl="8" w:tplc="08090005" w:tentative="1">
      <w:start w:val="1"/>
      <w:numFmt w:val="bullet"/>
      <w:lvlText w:val=""/>
      <w:lvlJc w:val="left"/>
      <w:pPr>
        <w:ind w:left="7395" w:hanging="360"/>
      </w:pPr>
      <w:rPr>
        <w:rFonts w:ascii="Wingdings" w:hAnsi="Wingdings" w:hint="default"/>
      </w:rPr>
    </w:lvl>
  </w:abstractNum>
  <w:abstractNum w:abstractNumId="5" w15:restartNumberingAfterBreak="0">
    <w:nsid w:val="13334C1D"/>
    <w:multiLevelType w:val="hybridMultilevel"/>
    <w:tmpl w:val="0C685206"/>
    <w:lvl w:ilvl="0" w:tplc="A92EF83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3F14652"/>
    <w:multiLevelType w:val="hybridMultilevel"/>
    <w:tmpl w:val="FB86D8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490B6A"/>
    <w:multiLevelType w:val="hybridMultilevel"/>
    <w:tmpl w:val="37A2CD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A5523A"/>
    <w:multiLevelType w:val="hybridMultilevel"/>
    <w:tmpl w:val="68503F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164020"/>
    <w:multiLevelType w:val="hybridMultilevel"/>
    <w:tmpl w:val="BACE02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2" w15:restartNumberingAfterBreak="0">
    <w:nsid w:val="1CDE32A8"/>
    <w:multiLevelType w:val="hybridMultilevel"/>
    <w:tmpl w:val="19E6D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E4B6CB9"/>
    <w:multiLevelType w:val="hybridMultilevel"/>
    <w:tmpl w:val="7D627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0B0334B"/>
    <w:multiLevelType w:val="multilevel"/>
    <w:tmpl w:val="23EEA656"/>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 w15:restartNumberingAfterBreak="0">
    <w:nsid w:val="24D10ECF"/>
    <w:multiLevelType w:val="hybridMultilevel"/>
    <w:tmpl w:val="BE368F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4EB1704"/>
    <w:multiLevelType w:val="hybridMultilevel"/>
    <w:tmpl w:val="B9FEE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9" w15:restartNumberingAfterBreak="0">
    <w:nsid w:val="272E5C0D"/>
    <w:multiLevelType w:val="hybridMultilevel"/>
    <w:tmpl w:val="4C48C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7DB311A"/>
    <w:multiLevelType w:val="hybridMultilevel"/>
    <w:tmpl w:val="BA54B9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7E70BCC"/>
    <w:multiLevelType w:val="hybridMultilevel"/>
    <w:tmpl w:val="7568968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AC928E9"/>
    <w:multiLevelType w:val="hybridMultilevel"/>
    <w:tmpl w:val="5FE2E3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2B2F6793"/>
    <w:multiLevelType w:val="hybridMultilevel"/>
    <w:tmpl w:val="EA8EF13E"/>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8" w15:restartNumberingAfterBreak="0">
    <w:nsid w:val="2BF3531B"/>
    <w:multiLevelType w:val="hybridMultilevel"/>
    <w:tmpl w:val="0FCEBE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328A0A47"/>
    <w:multiLevelType w:val="hybridMultilevel"/>
    <w:tmpl w:val="DADE1A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2840146"/>
    <w:multiLevelType w:val="hybridMultilevel"/>
    <w:tmpl w:val="0D4EB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635723"/>
    <w:multiLevelType w:val="multilevel"/>
    <w:tmpl w:val="5B82FDEC"/>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58707EC"/>
    <w:multiLevelType w:val="hybridMultilevel"/>
    <w:tmpl w:val="311097A6"/>
    <w:lvl w:ilvl="0" w:tplc="08090001">
      <w:start w:val="1"/>
      <w:numFmt w:val="bullet"/>
      <w:lvlText w:val=""/>
      <w:lvlJc w:val="left"/>
      <w:pPr>
        <w:ind w:left="360" w:hanging="360"/>
      </w:pPr>
      <w:rPr>
        <w:rFonts w:ascii="Symbol" w:hAnsi="Symbol" w:hint="default"/>
      </w:rPr>
    </w:lvl>
    <w:lvl w:ilvl="1" w:tplc="403C9EE6">
      <w:numFmt w:val="bullet"/>
      <w:lvlText w:val="•"/>
      <w:lvlJc w:val="left"/>
      <w:pPr>
        <w:ind w:left="1080" w:hanging="360"/>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88E2617"/>
    <w:multiLevelType w:val="hybridMultilevel"/>
    <w:tmpl w:val="EE548B06"/>
    <w:lvl w:ilvl="0" w:tplc="1A5EECB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6"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39" w15:restartNumberingAfterBreak="0">
    <w:nsid w:val="67445DB9"/>
    <w:multiLevelType w:val="hybridMultilevel"/>
    <w:tmpl w:val="74A43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0B2E4C"/>
    <w:multiLevelType w:val="hybridMultilevel"/>
    <w:tmpl w:val="CB5E7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D3958"/>
    <w:multiLevelType w:val="hybridMultilevel"/>
    <w:tmpl w:val="4948A3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F316B86"/>
    <w:multiLevelType w:val="hybridMultilevel"/>
    <w:tmpl w:val="8B888A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F416E63"/>
    <w:multiLevelType w:val="hybridMultilevel"/>
    <w:tmpl w:val="327AF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2A046AE"/>
    <w:multiLevelType w:val="hybridMultilevel"/>
    <w:tmpl w:val="993E7C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890721"/>
    <w:multiLevelType w:val="hybridMultilevel"/>
    <w:tmpl w:val="3910A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8"/>
  </w:num>
  <w:num w:numId="2">
    <w:abstractNumId w:val="0"/>
  </w:num>
  <w:num w:numId="3">
    <w:abstractNumId w:val="30"/>
  </w:num>
  <w:num w:numId="4">
    <w:abstractNumId w:val="42"/>
  </w:num>
  <w:num w:numId="5">
    <w:abstractNumId w:val="24"/>
  </w:num>
  <w:num w:numId="6">
    <w:abstractNumId w:val="18"/>
  </w:num>
  <w:num w:numId="7">
    <w:abstractNumId w:val="33"/>
  </w:num>
  <w:num w:numId="8">
    <w:abstractNumId w:val="17"/>
  </w:num>
  <w:num w:numId="9">
    <w:abstractNumId w:val="36"/>
  </w:num>
  <w:num w:numId="10">
    <w:abstractNumId w:val="11"/>
  </w:num>
  <w:num w:numId="11">
    <w:abstractNumId w:val="37"/>
  </w:num>
  <w:num w:numId="12">
    <w:abstractNumId w:val="7"/>
  </w:num>
  <w:num w:numId="13">
    <w:abstractNumId w:val="15"/>
  </w:num>
  <w:num w:numId="14">
    <w:abstractNumId w:val="22"/>
  </w:num>
  <w:num w:numId="15">
    <w:abstractNumId w:val="25"/>
  </w:num>
  <w:num w:numId="16">
    <w:abstractNumId w:val="23"/>
  </w:num>
  <w:num w:numId="17">
    <w:abstractNumId w:val="35"/>
  </w:num>
  <w:num w:numId="18">
    <w:abstractNumId w:val="21"/>
  </w:num>
  <w:num w:numId="19">
    <w:abstractNumId w:val="5"/>
  </w:num>
  <w:num w:numId="20">
    <w:abstractNumId w:val="41"/>
  </w:num>
  <w:num w:numId="21">
    <w:abstractNumId w:val="9"/>
  </w:num>
  <w:num w:numId="22">
    <w:abstractNumId w:val="31"/>
  </w:num>
  <w:num w:numId="23">
    <w:abstractNumId w:val="14"/>
  </w:num>
  <w:num w:numId="24">
    <w:abstractNumId w:val="32"/>
  </w:num>
  <w:num w:numId="25">
    <w:abstractNumId w:val="44"/>
  </w:num>
  <w:num w:numId="26">
    <w:abstractNumId w:val="17"/>
  </w:num>
  <w:num w:numId="27">
    <w:abstractNumId w:val="46"/>
  </w:num>
  <w:num w:numId="28">
    <w:abstractNumId w:val="4"/>
  </w:num>
  <w:num w:numId="29">
    <w:abstractNumId w:val="45"/>
  </w:num>
  <w:num w:numId="30">
    <w:abstractNumId w:val="12"/>
  </w:num>
  <w:num w:numId="31">
    <w:abstractNumId w:val="39"/>
  </w:num>
  <w:num w:numId="32">
    <w:abstractNumId w:val="8"/>
  </w:num>
  <w:num w:numId="33">
    <w:abstractNumId w:val="1"/>
  </w:num>
  <w:num w:numId="34">
    <w:abstractNumId w:val="28"/>
  </w:num>
  <w:num w:numId="35">
    <w:abstractNumId w:val="20"/>
  </w:num>
  <w:num w:numId="36">
    <w:abstractNumId w:val="2"/>
  </w:num>
  <w:num w:numId="37">
    <w:abstractNumId w:val="16"/>
  </w:num>
  <w:num w:numId="38">
    <w:abstractNumId w:val="34"/>
  </w:num>
  <w:num w:numId="39">
    <w:abstractNumId w:val="3"/>
  </w:num>
  <w:num w:numId="40">
    <w:abstractNumId w:val="40"/>
  </w:num>
  <w:num w:numId="41">
    <w:abstractNumId w:val="6"/>
  </w:num>
  <w:num w:numId="42">
    <w:abstractNumId w:val="19"/>
  </w:num>
  <w:num w:numId="43">
    <w:abstractNumId w:val="27"/>
  </w:num>
  <w:num w:numId="44">
    <w:abstractNumId w:val="13"/>
  </w:num>
  <w:num w:numId="45">
    <w:abstractNumId w:val="43"/>
  </w:num>
  <w:num w:numId="46">
    <w:abstractNumId w:val="29"/>
  </w:num>
  <w:num w:numId="47">
    <w:abstractNumId w:val="26"/>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01E49"/>
    <w:rsid w:val="00022C05"/>
    <w:rsid w:val="00022D51"/>
    <w:rsid w:val="00023E30"/>
    <w:rsid w:val="00027257"/>
    <w:rsid w:val="0003098A"/>
    <w:rsid w:val="000316A2"/>
    <w:rsid w:val="00045131"/>
    <w:rsid w:val="00045A5C"/>
    <w:rsid w:val="00047714"/>
    <w:rsid w:val="00050596"/>
    <w:rsid w:val="000660D1"/>
    <w:rsid w:val="000706A4"/>
    <w:rsid w:val="00073441"/>
    <w:rsid w:val="000917BD"/>
    <w:rsid w:val="00091974"/>
    <w:rsid w:val="000945DB"/>
    <w:rsid w:val="000A412A"/>
    <w:rsid w:val="000C067F"/>
    <w:rsid w:val="000C6B67"/>
    <w:rsid w:val="000D595C"/>
    <w:rsid w:val="000D716E"/>
    <w:rsid w:val="000E03AA"/>
    <w:rsid w:val="000F7706"/>
    <w:rsid w:val="00100DA6"/>
    <w:rsid w:val="00114FE5"/>
    <w:rsid w:val="00125A0E"/>
    <w:rsid w:val="00125A9E"/>
    <w:rsid w:val="00140DB3"/>
    <w:rsid w:val="001462C8"/>
    <w:rsid w:val="00162597"/>
    <w:rsid w:val="00170AAD"/>
    <w:rsid w:val="001724A5"/>
    <w:rsid w:val="00191924"/>
    <w:rsid w:val="001A2D24"/>
    <w:rsid w:val="001A6CBE"/>
    <w:rsid w:val="001C0974"/>
    <w:rsid w:val="001D6887"/>
    <w:rsid w:val="001E4436"/>
    <w:rsid w:val="001F1C76"/>
    <w:rsid w:val="00200867"/>
    <w:rsid w:val="00203B06"/>
    <w:rsid w:val="0020591E"/>
    <w:rsid w:val="00206AF0"/>
    <w:rsid w:val="00207804"/>
    <w:rsid w:val="00215FBB"/>
    <w:rsid w:val="00227777"/>
    <w:rsid w:val="0023473B"/>
    <w:rsid w:val="00256109"/>
    <w:rsid w:val="0025768D"/>
    <w:rsid w:val="0026587E"/>
    <w:rsid w:val="00266503"/>
    <w:rsid w:val="0027089E"/>
    <w:rsid w:val="002750C8"/>
    <w:rsid w:val="0027517F"/>
    <w:rsid w:val="00282302"/>
    <w:rsid w:val="002C1CB1"/>
    <w:rsid w:val="002D28B4"/>
    <w:rsid w:val="002D7B0E"/>
    <w:rsid w:val="002E0D1A"/>
    <w:rsid w:val="002E24EC"/>
    <w:rsid w:val="002E55F4"/>
    <w:rsid w:val="002F34F7"/>
    <w:rsid w:val="002F62FC"/>
    <w:rsid w:val="00300317"/>
    <w:rsid w:val="0030193D"/>
    <w:rsid w:val="00304BFE"/>
    <w:rsid w:val="00311235"/>
    <w:rsid w:val="00311A57"/>
    <w:rsid w:val="00312F5F"/>
    <w:rsid w:val="003235A0"/>
    <w:rsid w:val="003310DC"/>
    <w:rsid w:val="003345ED"/>
    <w:rsid w:val="0033790B"/>
    <w:rsid w:val="00357348"/>
    <w:rsid w:val="003674E1"/>
    <w:rsid w:val="00375E68"/>
    <w:rsid w:val="003821BA"/>
    <w:rsid w:val="00385D06"/>
    <w:rsid w:val="00393C0A"/>
    <w:rsid w:val="003A7F53"/>
    <w:rsid w:val="003C3FE6"/>
    <w:rsid w:val="003C5DEF"/>
    <w:rsid w:val="003F76B2"/>
    <w:rsid w:val="003F7F61"/>
    <w:rsid w:val="004170C7"/>
    <w:rsid w:val="00430C09"/>
    <w:rsid w:val="0043507A"/>
    <w:rsid w:val="00437F2B"/>
    <w:rsid w:val="00446219"/>
    <w:rsid w:val="00460D34"/>
    <w:rsid w:val="004727DA"/>
    <w:rsid w:val="00472F41"/>
    <w:rsid w:val="004840B7"/>
    <w:rsid w:val="00486989"/>
    <w:rsid w:val="00495B36"/>
    <w:rsid w:val="00496769"/>
    <w:rsid w:val="00496B29"/>
    <w:rsid w:val="004A3621"/>
    <w:rsid w:val="004A39D0"/>
    <w:rsid w:val="004B5BB8"/>
    <w:rsid w:val="004C1DC6"/>
    <w:rsid w:val="004C24DE"/>
    <w:rsid w:val="004C3A6F"/>
    <w:rsid w:val="004D5880"/>
    <w:rsid w:val="004D6F43"/>
    <w:rsid w:val="004E6B99"/>
    <w:rsid w:val="00517FDE"/>
    <w:rsid w:val="00526FB4"/>
    <w:rsid w:val="0053140A"/>
    <w:rsid w:val="00566C8C"/>
    <w:rsid w:val="0056755D"/>
    <w:rsid w:val="00582CD3"/>
    <w:rsid w:val="00585DF9"/>
    <w:rsid w:val="00586307"/>
    <w:rsid w:val="00591C18"/>
    <w:rsid w:val="005A0E7D"/>
    <w:rsid w:val="005B2E7C"/>
    <w:rsid w:val="005C2BE9"/>
    <w:rsid w:val="005E15D3"/>
    <w:rsid w:val="005F45C0"/>
    <w:rsid w:val="00610728"/>
    <w:rsid w:val="00615D90"/>
    <w:rsid w:val="006173A9"/>
    <w:rsid w:val="00630CF1"/>
    <w:rsid w:val="00631726"/>
    <w:rsid w:val="006619E8"/>
    <w:rsid w:val="006659EB"/>
    <w:rsid w:val="0066601C"/>
    <w:rsid w:val="006876BD"/>
    <w:rsid w:val="00696201"/>
    <w:rsid w:val="006A0EF6"/>
    <w:rsid w:val="006B0556"/>
    <w:rsid w:val="006B3CCC"/>
    <w:rsid w:val="006D1343"/>
    <w:rsid w:val="006E37BD"/>
    <w:rsid w:val="006F31BD"/>
    <w:rsid w:val="0070299E"/>
    <w:rsid w:val="0072170F"/>
    <w:rsid w:val="00736182"/>
    <w:rsid w:val="00740CDD"/>
    <w:rsid w:val="007634C5"/>
    <w:rsid w:val="007645A9"/>
    <w:rsid w:val="00777D48"/>
    <w:rsid w:val="00790042"/>
    <w:rsid w:val="007919BE"/>
    <w:rsid w:val="00792FA9"/>
    <w:rsid w:val="00793A3E"/>
    <w:rsid w:val="0079685E"/>
    <w:rsid w:val="00797822"/>
    <w:rsid w:val="007C6CBD"/>
    <w:rsid w:val="007D1FA1"/>
    <w:rsid w:val="007D357F"/>
    <w:rsid w:val="007D75CF"/>
    <w:rsid w:val="007E0450"/>
    <w:rsid w:val="007E3A9D"/>
    <w:rsid w:val="007E586D"/>
    <w:rsid w:val="007F0E93"/>
    <w:rsid w:val="007F32CF"/>
    <w:rsid w:val="00807A12"/>
    <w:rsid w:val="00811002"/>
    <w:rsid w:val="00813CF1"/>
    <w:rsid w:val="00816E22"/>
    <w:rsid w:val="00837891"/>
    <w:rsid w:val="00837A9E"/>
    <w:rsid w:val="008675CA"/>
    <w:rsid w:val="00870C63"/>
    <w:rsid w:val="00876447"/>
    <w:rsid w:val="008802AC"/>
    <w:rsid w:val="00883828"/>
    <w:rsid w:val="008859A8"/>
    <w:rsid w:val="00886D18"/>
    <w:rsid w:val="008B1B1F"/>
    <w:rsid w:val="008E0D64"/>
    <w:rsid w:val="008E39CA"/>
    <w:rsid w:val="009036D4"/>
    <w:rsid w:val="00912CBC"/>
    <w:rsid w:val="00927C6C"/>
    <w:rsid w:val="009376AC"/>
    <w:rsid w:val="00945CA9"/>
    <w:rsid w:val="009610EC"/>
    <w:rsid w:val="009747ED"/>
    <w:rsid w:val="0098047C"/>
    <w:rsid w:val="009807B4"/>
    <w:rsid w:val="00980C97"/>
    <w:rsid w:val="00982B81"/>
    <w:rsid w:val="00990914"/>
    <w:rsid w:val="009A1437"/>
    <w:rsid w:val="009A59AE"/>
    <w:rsid w:val="009B778A"/>
    <w:rsid w:val="009D1859"/>
    <w:rsid w:val="009E564F"/>
    <w:rsid w:val="009F2E44"/>
    <w:rsid w:val="009F4E13"/>
    <w:rsid w:val="00A12F83"/>
    <w:rsid w:val="00A1316D"/>
    <w:rsid w:val="00A13C6D"/>
    <w:rsid w:val="00A13CC8"/>
    <w:rsid w:val="00A2680C"/>
    <w:rsid w:val="00A27231"/>
    <w:rsid w:val="00A37E93"/>
    <w:rsid w:val="00A40076"/>
    <w:rsid w:val="00A40F5A"/>
    <w:rsid w:val="00A54B0F"/>
    <w:rsid w:val="00A57E56"/>
    <w:rsid w:val="00A62B58"/>
    <w:rsid w:val="00A703E3"/>
    <w:rsid w:val="00A75D01"/>
    <w:rsid w:val="00A83805"/>
    <w:rsid w:val="00A84C97"/>
    <w:rsid w:val="00A854FD"/>
    <w:rsid w:val="00A90CF6"/>
    <w:rsid w:val="00AA1016"/>
    <w:rsid w:val="00AA4BAF"/>
    <w:rsid w:val="00AA77F7"/>
    <w:rsid w:val="00AB3906"/>
    <w:rsid w:val="00AC5742"/>
    <w:rsid w:val="00AE522B"/>
    <w:rsid w:val="00AE7869"/>
    <w:rsid w:val="00AF0530"/>
    <w:rsid w:val="00AF356A"/>
    <w:rsid w:val="00AF700B"/>
    <w:rsid w:val="00AF790B"/>
    <w:rsid w:val="00B00970"/>
    <w:rsid w:val="00B178D4"/>
    <w:rsid w:val="00B33E6B"/>
    <w:rsid w:val="00B347E2"/>
    <w:rsid w:val="00B3764E"/>
    <w:rsid w:val="00B37CC0"/>
    <w:rsid w:val="00B4605A"/>
    <w:rsid w:val="00B546C8"/>
    <w:rsid w:val="00B562FA"/>
    <w:rsid w:val="00B60832"/>
    <w:rsid w:val="00B62D15"/>
    <w:rsid w:val="00B7445F"/>
    <w:rsid w:val="00B76528"/>
    <w:rsid w:val="00B77902"/>
    <w:rsid w:val="00B8122A"/>
    <w:rsid w:val="00B851FC"/>
    <w:rsid w:val="00BA04D3"/>
    <w:rsid w:val="00BA23E6"/>
    <w:rsid w:val="00BA30B1"/>
    <w:rsid w:val="00BD4F63"/>
    <w:rsid w:val="00BD56D1"/>
    <w:rsid w:val="00BE2A60"/>
    <w:rsid w:val="00BE48E0"/>
    <w:rsid w:val="00BE4F71"/>
    <w:rsid w:val="00BF0CBD"/>
    <w:rsid w:val="00BF3AF0"/>
    <w:rsid w:val="00BF4341"/>
    <w:rsid w:val="00BF72EA"/>
    <w:rsid w:val="00C01B6B"/>
    <w:rsid w:val="00C029BD"/>
    <w:rsid w:val="00C031EF"/>
    <w:rsid w:val="00C06047"/>
    <w:rsid w:val="00C13F1B"/>
    <w:rsid w:val="00C17B99"/>
    <w:rsid w:val="00C17CA5"/>
    <w:rsid w:val="00C20ED7"/>
    <w:rsid w:val="00C22AD9"/>
    <w:rsid w:val="00C26551"/>
    <w:rsid w:val="00C34769"/>
    <w:rsid w:val="00C62A9F"/>
    <w:rsid w:val="00C7219F"/>
    <w:rsid w:val="00C768E7"/>
    <w:rsid w:val="00C87B62"/>
    <w:rsid w:val="00C9008D"/>
    <w:rsid w:val="00C92F2F"/>
    <w:rsid w:val="00C94BF7"/>
    <w:rsid w:val="00C96E92"/>
    <w:rsid w:val="00C97BAD"/>
    <w:rsid w:val="00CA0C3A"/>
    <w:rsid w:val="00CB1AA7"/>
    <w:rsid w:val="00CB1B60"/>
    <w:rsid w:val="00CB47F0"/>
    <w:rsid w:val="00CB4B63"/>
    <w:rsid w:val="00CB4BE9"/>
    <w:rsid w:val="00CB5AE7"/>
    <w:rsid w:val="00CB6A58"/>
    <w:rsid w:val="00CC16B2"/>
    <w:rsid w:val="00CC57B7"/>
    <w:rsid w:val="00CC6308"/>
    <w:rsid w:val="00CE1F80"/>
    <w:rsid w:val="00CF7A21"/>
    <w:rsid w:val="00D34D65"/>
    <w:rsid w:val="00D3501E"/>
    <w:rsid w:val="00D37BB7"/>
    <w:rsid w:val="00D51CAC"/>
    <w:rsid w:val="00D52F96"/>
    <w:rsid w:val="00D619C7"/>
    <w:rsid w:val="00D62FC3"/>
    <w:rsid w:val="00D83005"/>
    <w:rsid w:val="00D87604"/>
    <w:rsid w:val="00D87F74"/>
    <w:rsid w:val="00D913E0"/>
    <w:rsid w:val="00DA317B"/>
    <w:rsid w:val="00DA3DA9"/>
    <w:rsid w:val="00DA409D"/>
    <w:rsid w:val="00DA5259"/>
    <w:rsid w:val="00DA6E1E"/>
    <w:rsid w:val="00DC2591"/>
    <w:rsid w:val="00DD2D3D"/>
    <w:rsid w:val="00DD5B77"/>
    <w:rsid w:val="00DD6252"/>
    <w:rsid w:val="00DE06F2"/>
    <w:rsid w:val="00DE3207"/>
    <w:rsid w:val="00DF1BE0"/>
    <w:rsid w:val="00DF6470"/>
    <w:rsid w:val="00DF69D5"/>
    <w:rsid w:val="00E015D5"/>
    <w:rsid w:val="00E16D19"/>
    <w:rsid w:val="00E353DE"/>
    <w:rsid w:val="00E46CD6"/>
    <w:rsid w:val="00E572B5"/>
    <w:rsid w:val="00E616EB"/>
    <w:rsid w:val="00E64C12"/>
    <w:rsid w:val="00E6597D"/>
    <w:rsid w:val="00E66152"/>
    <w:rsid w:val="00E71596"/>
    <w:rsid w:val="00E71CD2"/>
    <w:rsid w:val="00E9328B"/>
    <w:rsid w:val="00EC0016"/>
    <w:rsid w:val="00EC76CB"/>
    <w:rsid w:val="00ED6F88"/>
    <w:rsid w:val="00EE152F"/>
    <w:rsid w:val="00EE3F3C"/>
    <w:rsid w:val="00EE451D"/>
    <w:rsid w:val="00EF1DB7"/>
    <w:rsid w:val="00F13B10"/>
    <w:rsid w:val="00F152FB"/>
    <w:rsid w:val="00F17960"/>
    <w:rsid w:val="00F2602E"/>
    <w:rsid w:val="00F3256A"/>
    <w:rsid w:val="00F3337D"/>
    <w:rsid w:val="00F34468"/>
    <w:rsid w:val="00F42301"/>
    <w:rsid w:val="00F701BA"/>
    <w:rsid w:val="00F708AB"/>
    <w:rsid w:val="00F802D3"/>
    <w:rsid w:val="00F944D9"/>
    <w:rsid w:val="00F971C4"/>
    <w:rsid w:val="00FA0C60"/>
    <w:rsid w:val="00FA2A2E"/>
    <w:rsid w:val="00FA76B2"/>
    <w:rsid w:val="00FD5A48"/>
    <w:rsid w:val="00FF5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E806CE"/>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Default">
    <w:name w:val="Default"/>
    <w:rsid w:val="00BD4F63"/>
    <w:pPr>
      <w:autoSpaceDE w:val="0"/>
      <w:autoSpaceDN w:val="0"/>
      <w:adjustRightInd w:val="0"/>
      <w:spacing w:after="0" w:line="240" w:lineRule="auto"/>
    </w:pPr>
    <w:rPr>
      <w:color w:val="000000"/>
    </w:rPr>
  </w:style>
  <w:style w:type="table" w:styleId="TableGrid">
    <w:name w:val="Table Grid"/>
    <w:basedOn w:val="TableNormal"/>
    <w:uiPriority w:val="39"/>
    <w:rsid w:val="00F13B10"/>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qFormat/>
    <w:locked/>
    <w:rsid w:val="00F13B10"/>
    <w:rPr>
      <w:rFonts w:ascii="Calibri" w:eastAsia="Calibri" w:hAnsi="Calibri" w:cs="Times New Roman"/>
      <w:sz w:val="22"/>
      <w:szCs w:val="22"/>
      <w:lang w:eastAsia="en-GB"/>
    </w:rPr>
  </w:style>
  <w:style w:type="paragraph" w:styleId="BodyText3">
    <w:name w:val="Body Text 3"/>
    <w:basedOn w:val="Normal"/>
    <w:link w:val="BodyText3Char"/>
    <w:uiPriority w:val="99"/>
    <w:semiHidden/>
    <w:unhideWhenUsed/>
    <w:rsid w:val="009747ED"/>
    <w:pPr>
      <w:widowControl w:val="0"/>
      <w:jc w:val="both"/>
    </w:pPr>
    <w:rPr>
      <w:rFonts w:ascii="Times New Roman" w:hAnsi="Times New Roman"/>
      <w:spacing w:val="0"/>
      <w:sz w:val="28"/>
    </w:rPr>
  </w:style>
  <w:style w:type="character" w:customStyle="1" w:styleId="BodyText3Char">
    <w:name w:val="Body Text 3 Char"/>
    <w:basedOn w:val="DefaultParagraphFont"/>
    <w:link w:val="BodyText3"/>
    <w:uiPriority w:val="99"/>
    <w:semiHidden/>
    <w:rsid w:val="009747ED"/>
    <w:rPr>
      <w:rFonts w:ascii="Times New Roman" w:eastAsia="Times New Roman" w:hAnsi="Times New Roman" w:cs="Times New Roman"/>
      <w:sz w:val="28"/>
      <w:szCs w:val="20"/>
    </w:rPr>
  </w:style>
  <w:style w:type="character" w:styleId="Hyperlink">
    <w:name w:val="Hyperlink"/>
    <w:basedOn w:val="DefaultParagraphFont"/>
    <w:uiPriority w:val="99"/>
    <w:semiHidden/>
    <w:unhideWhenUsed/>
    <w:rsid w:val="00191924"/>
    <w:rPr>
      <w:color w:val="0563C1"/>
      <w:u w:val="single"/>
    </w:rPr>
  </w:style>
  <w:style w:type="paragraph" w:customStyle="1" w:styleId="xmsonormal">
    <w:name w:val="x_msonormal"/>
    <w:basedOn w:val="Normal"/>
    <w:uiPriority w:val="99"/>
    <w:rsid w:val="00312F5F"/>
    <w:rPr>
      <w:rFonts w:ascii="Calibri" w:eastAsiaTheme="minorHAnsi" w:hAnsi="Calibri"/>
      <w:spacing w:val="0"/>
      <w:sz w:val="22"/>
      <w:szCs w:val="22"/>
      <w:lang w:eastAsia="en-GB"/>
    </w:rPr>
  </w:style>
  <w:style w:type="character" w:styleId="Strong">
    <w:name w:val="Strong"/>
    <w:basedOn w:val="DefaultParagraphFont"/>
    <w:uiPriority w:val="22"/>
    <w:qFormat/>
    <w:rsid w:val="00517FDE"/>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94443">
      <w:bodyDiv w:val="1"/>
      <w:marLeft w:val="0"/>
      <w:marRight w:val="0"/>
      <w:marTop w:val="0"/>
      <w:marBottom w:val="0"/>
      <w:divBdr>
        <w:top w:val="none" w:sz="0" w:space="0" w:color="auto"/>
        <w:left w:val="none" w:sz="0" w:space="0" w:color="auto"/>
        <w:bottom w:val="none" w:sz="0" w:space="0" w:color="auto"/>
        <w:right w:val="none" w:sz="0" w:space="0" w:color="auto"/>
      </w:divBdr>
    </w:div>
    <w:div w:id="205141296">
      <w:bodyDiv w:val="1"/>
      <w:marLeft w:val="0"/>
      <w:marRight w:val="0"/>
      <w:marTop w:val="0"/>
      <w:marBottom w:val="0"/>
      <w:divBdr>
        <w:top w:val="none" w:sz="0" w:space="0" w:color="auto"/>
        <w:left w:val="none" w:sz="0" w:space="0" w:color="auto"/>
        <w:bottom w:val="none" w:sz="0" w:space="0" w:color="auto"/>
        <w:right w:val="none" w:sz="0" w:space="0" w:color="auto"/>
      </w:divBdr>
    </w:div>
    <w:div w:id="486484818">
      <w:bodyDiv w:val="1"/>
      <w:marLeft w:val="0"/>
      <w:marRight w:val="0"/>
      <w:marTop w:val="0"/>
      <w:marBottom w:val="0"/>
      <w:divBdr>
        <w:top w:val="none" w:sz="0" w:space="0" w:color="auto"/>
        <w:left w:val="none" w:sz="0" w:space="0" w:color="auto"/>
        <w:bottom w:val="none" w:sz="0" w:space="0" w:color="auto"/>
        <w:right w:val="none" w:sz="0" w:space="0" w:color="auto"/>
      </w:divBdr>
    </w:div>
    <w:div w:id="748305938">
      <w:bodyDiv w:val="1"/>
      <w:marLeft w:val="0"/>
      <w:marRight w:val="0"/>
      <w:marTop w:val="0"/>
      <w:marBottom w:val="0"/>
      <w:divBdr>
        <w:top w:val="none" w:sz="0" w:space="0" w:color="auto"/>
        <w:left w:val="none" w:sz="0" w:space="0" w:color="auto"/>
        <w:bottom w:val="none" w:sz="0" w:space="0" w:color="auto"/>
        <w:right w:val="none" w:sz="0" w:space="0" w:color="auto"/>
      </w:divBdr>
    </w:div>
    <w:div w:id="783887863">
      <w:bodyDiv w:val="1"/>
      <w:marLeft w:val="0"/>
      <w:marRight w:val="0"/>
      <w:marTop w:val="0"/>
      <w:marBottom w:val="0"/>
      <w:divBdr>
        <w:top w:val="none" w:sz="0" w:space="0" w:color="auto"/>
        <w:left w:val="none" w:sz="0" w:space="0" w:color="auto"/>
        <w:bottom w:val="none" w:sz="0" w:space="0" w:color="auto"/>
        <w:right w:val="none" w:sz="0" w:space="0" w:color="auto"/>
      </w:divBdr>
    </w:div>
    <w:div w:id="797647180">
      <w:bodyDiv w:val="1"/>
      <w:marLeft w:val="0"/>
      <w:marRight w:val="0"/>
      <w:marTop w:val="0"/>
      <w:marBottom w:val="0"/>
      <w:divBdr>
        <w:top w:val="none" w:sz="0" w:space="0" w:color="auto"/>
        <w:left w:val="none" w:sz="0" w:space="0" w:color="auto"/>
        <w:bottom w:val="none" w:sz="0" w:space="0" w:color="auto"/>
        <w:right w:val="none" w:sz="0" w:space="0" w:color="auto"/>
      </w:divBdr>
    </w:div>
    <w:div w:id="846477246">
      <w:bodyDiv w:val="1"/>
      <w:marLeft w:val="0"/>
      <w:marRight w:val="0"/>
      <w:marTop w:val="0"/>
      <w:marBottom w:val="0"/>
      <w:divBdr>
        <w:top w:val="none" w:sz="0" w:space="0" w:color="auto"/>
        <w:left w:val="none" w:sz="0" w:space="0" w:color="auto"/>
        <w:bottom w:val="none" w:sz="0" w:space="0" w:color="auto"/>
        <w:right w:val="none" w:sz="0" w:space="0" w:color="auto"/>
      </w:divBdr>
    </w:div>
    <w:div w:id="968169362">
      <w:bodyDiv w:val="1"/>
      <w:marLeft w:val="0"/>
      <w:marRight w:val="0"/>
      <w:marTop w:val="0"/>
      <w:marBottom w:val="0"/>
      <w:divBdr>
        <w:top w:val="none" w:sz="0" w:space="0" w:color="auto"/>
        <w:left w:val="none" w:sz="0" w:space="0" w:color="auto"/>
        <w:bottom w:val="none" w:sz="0" w:space="0" w:color="auto"/>
        <w:right w:val="none" w:sz="0" w:space="0" w:color="auto"/>
      </w:divBdr>
    </w:div>
    <w:div w:id="1116372109">
      <w:bodyDiv w:val="1"/>
      <w:marLeft w:val="0"/>
      <w:marRight w:val="0"/>
      <w:marTop w:val="0"/>
      <w:marBottom w:val="0"/>
      <w:divBdr>
        <w:top w:val="none" w:sz="0" w:space="0" w:color="auto"/>
        <w:left w:val="none" w:sz="0" w:space="0" w:color="auto"/>
        <w:bottom w:val="none" w:sz="0" w:space="0" w:color="auto"/>
        <w:right w:val="none" w:sz="0" w:space="0" w:color="auto"/>
      </w:divBdr>
    </w:div>
    <w:div w:id="1306280062">
      <w:bodyDiv w:val="1"/>
      <w:marLeft w:val="0"/>
      <w:marRight w:val="0"/>
      <w:marTop w:val="0"/>
      <w:marBottom w:val="0"/>
      <w:divBdr>
        <w:top w:val="none" w:sz="0" w:space="0" w:color="auto"/>
        <w:left w:val="none" w:sz="0" w:space="0" w:color="auto"/>
        <w:bottom w:val="none" w:sz="0" w:space="0" w:color="auto"/>
        <w:right w:val="none" w:sz="0" w:space="0" w:color="auto"/>
      </w:divBdr>
    </w:div>
    <w:div w:id="1761095371">
      <w:bodyDiv w:val="1"/>
      <w:marLeft w:val="0"/>
      <w:marRight w:val="0"/>
      <w:marTop w:val="0"/>
      <w:marBottom w:val="0"/>
      <w:divBdr>
        <w:top w:val="none" w:sz="0" w:space="0" w:color="auto"/>
        <w:left w:val="none" w:sz="0" w:space="0" w:color="auto"/>
        <w:bottom w:val="none" w:sz="0" w:space="0" w:color="auto"/>
        <w:right w:val="none" w:sz="0" w:space="0" w:color="auto"/>
      </w:divBdr>
    </w:div>
    <w:div w:id="1785729695">
      <w:bodyDiv w:val="1"/>
      <w:marLeft w:val="0"/>
      <w:marRight w:val="0"/>
      <w:marTop w:val="0"/>
      <w:marBottom w:val="0"/>
      <w:divBdr>
        <w:top w:val="none" w:sz="0" w:space="0" w:color="auto"/>
        <w:left w:val="none" w:sz="0" w:space="0" w:color="auto"/>
        <w:bottom w:val="none" w:sz="0" w:space="0" w:color="auto"/>
        <w:right w:val="none" w:sz="0" w:space="0" w:color="auto"/>
      </w:divBdr>
    </w:div>
    <w:div w:id="181518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eur01.safelinks.protection.outlook.com/?url=https%3A%2F%2Fwww.publications.scot.nhs.uk%2F&amp;data=05%7C02%7CChristine.Nelson%40gjnh.scot.nhs.uk%7Cd76f20a76f654690b3f808dcc76bd0ed%7C10efe0bda0304bca809cb5e6745e499a%7C0%7C0%7C638604513073313283%7CUnknown%7CTWFpbGZsb3d8eyJWIjoiMC4wLjAwMDAiLCJQIjoiV2luMzIiLCJBTiI6Ik1haWwiLCJXVCI6Mn0%3D%7C0%7C%7C%7C&amp;sdata=CUPtLYN0xpfqz6sn0IbtlIZnK46%2Bo2%2BigUoqP6ERMKc%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14" ma:contentTypeDescription="Create a new document." ma:contentTypeScope="" ma:versionID="9fe316953644f12f306e69ac2a35fb03">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e69b468a13409ad21a2219b2abc8fa24"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973F8-42D2-43E7-86B7-6B0BFC681A68}">
  <ds:schemaRefs>
    <ds:schemaRef ds:uri="http://schemas.microsoft.com/sharepoint/v3/contenttype/forms"/>
  </ds:schemaRefs>
</ds:datastoreItem>
</file>

<file path=customXml/itemProps2.xml><?xml version="1.0" encoding="utf-8"?>
<ds:datastoreItem xmlns:ds="http://schemas.openxmlformats.org/officeDocument/2006/customXml" ds:itemID="{A8358635-EE5F-4F9C-93DE-1C1B9ACB55D3}">
  <ds:schemaRefs>
    <ds:schemaRef ds:uri="http://schemas.microsoft.com/office/2006/metadata/properties"/>
    <ds:schemaRef ds:uri="http://schemas.microsoft.com/office/infopath/2007/PartnerControls"/>
    <ds:schemaRef ds:uri="7624fbc7-be4c-4bb9-9907-572dd2157b4d"/>
  </ds:schemaRefs>
</ds:datastoreItem>
</file>

<file path=customXml/itemProps3.xml><?xml version="1.0" encoding="utf-8"?>
<ds:datastoreItem xmlns:ds="http://schemas.openxmlformats.org/officeDocument/2006/customXml" ds:itemID="{44220FCF-615D-4B8D-B8A0-96CE1EF02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87CD5B-F21A-4573-9916-CF09D288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1454</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Corporate Governance Quarter Q1 Report 2025/26</vt:lpstr>
    </vt:vector>
  </TitlesOfParts>
  <Company>GJNH</Company>
  <LinksUpToDate>false</LinksUpToDate>
  <CharactersWithSpaces>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Governance Quarter One Report 2025/26</dc:title>
  <dc:subject/>
  <dc:creator>Christine McGuinness</dc:creator>
  <cp:keywords/>
  <dc:description/>
  <cp:lastModifiedBy>Shannon Curran (NHS GOLDEN JUBILEE)</cp:lastModifiedBy>
  <cp:revision>3</cp:revision>
  <cp:lastPrinted>2025-03-21T17:48:00Z</cp:lastPrinted>
  <dcterms:created xsi:type="dcterms:W3CDTF">2025-08-22T06:50:00Z</dcterms:created>
  <dcterms:modified xsi:type="dcterms:W3CDTF">2025-08-27T13:43:00Z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