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5F5DE665" w:rsidR="009807B4" w:rsidRDefault="0023473B" w:rsidP="00B77902">
      <w:pPr>
        <w:pStyle w:val="Heading3"/>
        <w:spacing w:line="360" w:lineRule="auto"/>
        <w:ind w:left="4536" w:hanging="4536"/>
        <w:rPr>
          <w:highlight w:val="lightGray"/>
        </w:rPr>
      </w:pPr>
      <w:r w:rsidRPr="00AA77F7">
        <w:rPr>
          <w:rStyle w:val="Heading3Char"/>
          <w:b/>
        </w:rPr>
        <w:t>Meeting:</w:t>
      </w:r>
      <w:r w:rsidR="00B77902">
        <w:rPr>
          <w:rStyle w:val="Heading3Char"/>
          <w:b/>
        </w:rPr>
        <w:tab/>
      </w:r>
      <w:r w:rsidR="00C031BD">
        <w:rPr>
          <w:rStyle w:val="Heading3Char"/>
          <w:b/>
        </w:rPr>
        <w:t>NHS Golden Jubilee Board</w:t>
      </w:r>
      <w:r w:rsidR="008079B0">
        <w:rPr>
          <w:rStyle w:val="Heading3Char"/>
          <w:b/>
        </w:rPr>
        <w:t xml:space="preserve"> </w:t>
      </w:r>
    </w:p>
    <w:p w14:paraId="4C58DF73" w14:textId="60E4EA37" w:rsidR="00430C09" w:rsidRPr="00F3337D" w:rsidRDefault="00430C09" w:rsidP="00B77902">
      <w:pPr>
        <w:pStyle w:val="Heading3"/>
        <w:spacing w:line="360" w:lineRule="auto"/>
        <w:ind w:left="4536" w:hanging="4536"/>
        <w:rPr>
          <w:highlight w:val="lightGray"/>
        </w:rPr>
      </w:pPr>
      <w:r w:rsidRPr="00AA77F7">
        <w:rPr>
          <w:rStyle w:val="Heading3Char"/>
          <w:b/>
        </w:rPr>
        <w:t>Meeting dat</w:t>
      </w:r>
      <w:r w:rsidR="0023473B" w:rsidRPr="00AA77F7">
        <w:rPr>
          <w:rStyle w:val="Heading3Char"/>
          <w:b/>
        </w:rPr>
        <w:t>e:</w:t>
      </w:r>
      <w:r w:rsidR="00B77902">
        <w:rPr>
          <w:rStyle w:val="Heading3Char"/>
          <w:b/>
        </w:rPr>
        <w:tab/>
      </w:r>
      <w:r w:rsidR="00C031BD">
        <w:rPr>
          <w:rStyle w:val="Heading3Char"/>
          <w:b/>
        </w:rPr>
        <w:t>28</w:t>
      </w:r>
      <w:r w:rsidR="008079B0">
        <w:rPr>
          <w:rStyle w:val="Heading3Char"/>
          <w:b/>
        </w:rPr>
        <w:t xml:space="preserve"> August 2025</w:t>
      </w:r>
    </w:p>
    <w:p w14:paraId="08812E0D" w14:textId="3E2369EA"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7A31C7">
        <w:rPr>
          <w:rStyle w:val="Heading3Char"/>
          <w:b/>
        </w:rPr>
        <w:t>Public Records (Scotland) Act 2011. Progress Update Review Report</w:t>
      </w:r>
    </w:p>
    <w:p w14:paraId="5ED05215" w14:textId="13B58646"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8764A7">
        <w:rPr>
          <w:rStyle w:val="Heading3Char"/>
          <w:b/>
        </w:rPr>
        <w:t>Jonny Gamble,</w:t>
      </w:r>
      <w:r w:rsidR="009E36DC">
        <w:rPr>
          <w:rStyle w:val="Heading3Char"/>
          <w:b/>
        </w:rPr>
        <w:t xml:space="preserve"> </w:t>
      </w:r>
      <w:r w:rsidR="002B265A">
        <w:rPr>
          <w:rStyle w:val="Heading3Char"/>
          <w:b/>
        </w:rPr>
        <w:t xml:space="preserve">Executive </w:t>
      </w:r>
      <w:r w:rsidR="00D3774D">
        <w:rPr>
          <w:rStyle w:val="Heading3Char"/>
          <w:b/>
        </w:rPr>
        <w:t>Direct</w:t>
      </w:r>
      <w:r w:rsidR="009E36DC">
        <w:rPr>
          <w:rStyle w:val="Heading3Char"/>
          <w:b/>
        </w:rPr>
        <w:t>or of Finance</w:t>
      </w:r>
      <w:r w:rsidR="008764A7">
        <w:rPr>
          <w:rStyle w:val="Heading3Char"/>
          <w:b/>
        </w:rPr>
        <w:t xml:space="preserve"> and SIRO</w:t>
      </w:r>
    </w:p>
    <w:p w14:paraId="78E9D3A8" w14:textId="430466FC"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910ACD">
        <w:rPr>
          <w:rStyle w:val="Heading3Char"/>
          <w:b/>
        </w:rPr>
        <w:t>Sharon Stott</w:t>
      </w:r>
      <w:r w:rsidR="00D3774D">
        <w:rPr>
          <w:rStyle w:val="Heading3Char"/>
          <w:b/>
        </w:rPr>
        <w:t>, Head of Digital Governance/Data Protection Officer (DPO)</w:t>
      </w:r>
    </w:p>
    <w:p w14:paraId="3D69C0AE" w14:textId="77777777" w:rsidR="00B77902" w:rsidRPr="00B77902" w:rsidRDefault="00B77902" w:rsidP="00B77902"/>
    <w:p w14:paraId="74404FA1" w14:textId="7426DF13" w:rsidR="009807B4" w:rsidRPr="00743A5A" w:rsidRDefault="00BF3AF0" w:rsidP="00743A5A">
      <w:pPr>
        <w:pStyle w:val="Heading2"/>
        <w:spacing w:line="276" w:lineRule="auto"/>
      </w:pPr>
      <w:r>
        <w:t>1</w:t>
      </w:r>
      <w:r>
        <w:tab/>
      </w:r>
      <w:r w:rsidR="00430C09" w:rsidRPr="00F05C63">
        <w:t>Purpose</w:t>
      </w:r>
    </w:p>
    <w:p w14:paraId="623BC4C7" w14:textId="7B74CC7B"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is presented to </w:t>
      </w:r>
      <w:r w:rsidR="00C031BD">
        <w:rPr>
          <w:lang w:eastAsia="en-GB"/>
        </w:rPr>
        <w:t>NHS Golden Jubilee Board</w:t>
      </w:r>
      <w:r w:rsidR="00446219" w:rsidRPr="009807B4">
        <w:rPr>
          <w:lang w:eastAsia="en-GB"/>
        </w:rPr>
        <w:t xml:space="preserve"> for: </w:t>
      </w:r>
    </w:p>
    <w:p w14:paraId="4F6A1F9B" w14:textId="1E351F58" w:rsidR="009807B4" w:rsidRPr="00743A5A" w:rsidRDefault="009807B4" w:rsidP="00743A5A">
      <w:pPr>
        <w:pStyle w:val="Heading3"/>
        <w:numPr>
          <w:ilvl w:val="0"/>
          <w:numId w:val="9"/>
        </w:numPr>
        <w:spacing w:line="276" w:lineRule="auto"/>
        <w:ind w:left="1080"/>
        <w:rPr>
          <w:b w:val="0"/>
          <w:lang w:eastAsia="en-GB"/>
        </w:rPr>
      </w:pPr>
      <w:r w:rsidRPr="00743A5A">
        <w:rPr>
          <w:b w:val="0"/>
          <w:lang w:eastAsia="en-GB"/>
        </w:rPr>
        <w:t>Awareness</w:t>
      </w:r>
    </w:p>
    <w:p w14:paraId="354B4DB5" w14:textId="533A6C65" w:rsidR="00430C09" w:rsidRPr="009807B4" w:rsidRDefault="00743A5A" w:rsidP="00BF3AF0">
      <w:pPr>
        <w:pStyle w:val="Heading3"/>
        <w:numPr>
          <w:ilvl w:val="0"/>
          <w:numId w:val="9"/>
        </w:numPr>
        <w:spacing w:line="276" w:lineRule="auto"/>
        <w:ind w:left="1080"/>
        <w:rPr>
          <w:b w:val="0"/>
          <w:lang w:eastAsia="en-GB"/>
        </w:rPr>
      </w:pPr>
      <w:r>
        <w:rPr>
          <w:b w:val="0"/>
          <w:lang w:eastAsia="en-GB"/>
        </w:rPr>
        <w:t>Noting</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79A9CF9" w14:textId="05BABD35" w:rsidR="009807B4" w:rsidRPr="00743A5A" w:rsidRDefault="00430C09" w:rsidP="00743A5A">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1184D780" w14:textId="77777777" w:rsidR="009807B4" w:rsidRPr="00743A5A"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743A5A">
        <w:rPr>
          <w:rFonts w:ascii="Arial" w:hAnsi="Arial" w:cs="Arial"/>
          <w:color w:val="000000"/>
          <w:sz w:val="24"/>
          <w:szCs w:val="24"/>
        </w:rPr>
        <w:t>Legal requirement</w:t>
      </w:r>
    </w:p>
    <w:p w14:paraId="6C7188CB" w14:textId="3C877CA3" w:rsidR="009807B4" w:rsidRPr="00743A5A" w:rsidRDefault="009807B4" w:rsidP="00743A5A">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743A5A">
        <w:rPr>
          <w:rFonts w:ascii="Arial" w:hAnsi="Arial" w:cs="Arial"/>
          <w:color w:val="000000"/>
          <w:sz w:val="24"/>
          <w:szCs w:val="24"/>
        </w:rPr>
        <w:t>Local policy</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2CDBEBDD"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w:t>
      </w:r>
      <w:r w:rsidR="00DA2FB5">
        <w:rPr>
          <w:lang w:eastAsia="en-GB"/>
        </w:rPr>
        <w:t xml:space="preserve"> </w:t>
      </w:r>
      <w:r w:rsidR="00047714">
        <w:rPr>
          <w:lang w:eastAsia="en-GB"/>
        </w:rPr>
        <w:t>Scotland</w:t>
      </w:r>
      <w:r w:rsidRPr="003114D5">
        <w:rPr>
          <w:lang w:eastAsia="en-GB"/>
        </w:rPr>
        <w:t xml:space="preserve"> quality </w:t>
      </w:r>
      <w:r w:rsidR="009807B4">
        <w:rPr>
          <w:lang w:eastAsia="en-GB"/>
        </w:rPr>
        <w:t>ambition(s)</w:t>
      </w:r>
      <w:r>
        <w:rPr>
          <w:lang w:eastAsia="en-GB"/>
        </w:rPr>
        <w:t>:</w:t>
      </w:r>
    </w:p>
    <w:p w14:paraId="1CC257DF" w14:textId="77777777" w:rsidR="003F7F61" w:rsidRPr="00743A5A" w:rsidRDefault="003F7F61" w:rsidP="003F7F61">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743A5A">
        <w:rPr>
          <w:rFonts w:ascii="Arial" w:hAnsi="Arial" w:cs="Arial"/>
          <w:color w:val="000000"/>
          <w:sz w:val="24"/>
          <w:szCs w:val="24"/>
        </w:rPr>
        <w:t>Safe</w:t>
      </w:r>
    </w:p>
    <w:p w14:paraId="66B1B823" w14:textId="77777777" w:rsidR="009807B4" w:rsidRPr="00743A5A"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743A5A">
        <w:rPr>
          <w:rFonts w:ascii="Arial" w:hAnsi="Arial" w:cs="Arial"/>
          <w:color w:val="000000"/>
          <w:sz w:val="24"/>
          <w:szCs w:val="24"/>
        </w:rPr>
        <w:t>Effective</w:t>
      </w:r>
    </w:p>
    <w:p w14:paraId="4AF20469" w14:textId="362327B5" w:rsidR="009807B4" w:rsidRPr="00743A5A"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743A5A">
        <w:rPr>
          <w:rFonts w:ascii="Arial" w:hAnsi="Arial" w:cs="Arial"/>
          <w:color w:val="000000"/>
          <w:sz w:val="24"/>
          <w:szCs w:val="24"/>
        </w:rPr>
        <w:t>Person Centred</w:t>
      </w:r>
    </w:p>
    <w:p w14:paraId="7DB70AAA" w14:textId="2AF7D19E"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52A2F8E2" w14:textId="6324BECC" w:rsidR="00B546C8" w:rsidRPr="00C031BD" w:rsidRDefault="00B546C8" w:rsidP="00C031BD">
      <w:pPr>
        <w:autoSpaceDE w:val="0"/>
        <w:autoSpaceDN w:val="0"/>
        <w:adjustRightInd w:val="0"/>
        <w:spacing w:before="40" w:after="40" w:line="276" w:lineRule="auto"/>
        <w:ind w:left="720"/>
        <w:rPr>
          <w:rFonts w:cs="Arial"/>
          <w:b/>
          <w:color w:val="000000"/>
          <w:szCs w:val="24"/>
        </w:rPr>
      </w:pPr>
      <w:r w:rsidRPr="00B546C8">
        <w:rPr>
          <w:rFonts w:cs="Arial"/>
          <w:b/>
          <w:color w:val="000000"/>
          <w:szCs w:val="24"/>
        </w:rPr>
        <w:t>This aligns to the following NHSGJ Corporate Objectives:</w:t>
      </w:r>
    </w:p>
    <w:p w14:paraId="41A006FD" w14:textId="77777777" w:rsidR="00430C09" w:rsidRDefault="00430C09" w:rsidP="009807B4">
      <w:pPr>
        <w:spacing w:line="276" w:lineRule="auto"/>
      </w:pPr>
    </w:p>
    <w:p w14:paraId="3338DF65" w14:textId="77777777" w:rsidR="00430C09" w:rsidRDefault="00C94BF7" w:rsidP="00430C09">
      <w:pPr>
        <w:pStyle w:val="Heading2"/>
        <w:spacing w:line="276" w:lineRule="auto"/>
      </w:pPr>
      <w:r>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77777777" w:rsidR="00430C09" w:rsidRDefault="00C94BF7" w:rsidP="00BF3AF0">
      <w:pPr>
        <w:pStyle w:val="Heading2"/>
      </w:pPr>
      <w:r>
        <w:t>2</w:t>
      </w:r>
      <w:r w:rsidR="00BF3AF0">
        <w:t>.1</w:t>
      </w:r>
      <w:r w:rsidR="00BF3AF0">
        <w:tab/>
      </w:r>
      <w:r w:rsidR="00430C09" w:rsidRPr="00DA354A">
        <w:t>Situation</w:t>
      </w:r>
    </w:p>
    <w:p w14:paraId="06D1EDFD" w14:textId="315D3208" w:rsidR="00C12CED" w:rsidRPr="00367CC0" w:rsidRDefault="00C12CED" w:rsidP="00C12CED">
      <w:pPr>
        <w:spacing w:before="40" w:after="40" w:line="276" w:lineRule="auto"/>
        <w:ind w:left="709"/>
        <w:rPr>
          <w:rFonts w:cs="Arial"/>
          <w:color w:val="000000"/>
          <w:szCs w:val="24"/>
        </w:rPr>
      </w:pPr>
      <w:r>
        <w:rPr>
          <w:rFonts w:cs="Arial"/>
          <w:color w:val="000000"/>
          <w:szCs w:val="24"/>
        </w:rPr>
        <w:t>The purpose of this update is to provide members with a progress summary of the ongoing work on the Board’s obligations under the Public Records (Scotland) Act 2011. This is to ensure we satisfy all 14 elements of the Records Management Plan.</w:t>
      </w:r>
    </w:p>
    <w:p w14:paraId="2AFF95A7" w14:textId="1D79382D" w:rsidR="00470B62" w:rsidRPr="00367CC0" w:rsidRDefault="00C1114A" w:rsidP="00367CC0">
      <w:pPr>
        <w:spacing w:before="40" w:after="40" w:line="276" w:lineRule="auto"/>
        <w:ind w:left="709"/>
        <w:rPr>
          <w:rFonts w:cs="Arial"/>
          <w:color w:val="000000"/>
          <w:szCs w:val="24"/>
        </w:rPr>
      </w:pPr>
      <w:r>
        <w:rPr>
          <w:rFonts w:cs="Arial"/>
          <w:color w:val="000000"/>
          <w:szCs w:val="24"/>
        </w:rPr>
        <w:t xml:space="preserve"> </w:t>
      </w:r>
    </w:p>
    <w:p w14:paraId="1B27CF0C" w14:textId="77777777" w:rsidR="00430C09" w:rsidRDefault="00430C09" w:rsidP="00BF3AF0">
      <w:pPr>
        <w:spacing w:before="40" w:after="40" w:line="276" w:lineRule="auto"/>
        <w:rPr>
          <w:rFonts w:cs="Arial"/>
          <w:color w:val="000000"/>
          <w:szCs w:val="24"/>
        </w:rPr>
      </w:pPr>
    </w:p>
    <w:p w14:paraId="613EBBD3" w14:textId="77777777" w:rsidR="00430C09" w:rsidRDefault="00C87B62" w:rsidP="00BF3AF0">
      <w:pPr>
        <w:pStyle w:val="Heading2"/>
        <w:ind w:left="686" w:hanging="686"/>
      </w:pPr>
      <w:r>
        <w:lastRenderedPageBreak/>
        <w:t>2</w:t>
      </w:r>
      <w:r w:rsidR="00BF3AF0">
        <w:t>.2</w:t>
      </w:r>
      <w:r w:rsidR="00BF3AF0">
        <w:tab/>
      </w:r>
      <w:r w:rsidR="00430C09">
        <w:t>Background</w:t>
      </w:r>
    </w:p>
    <w:p w14:paraId="38E84759" w14:textId="41A93B2E" w:rsidR="00C1114A" w:rsidRPr="00367CC0" w:rsidRDefault="00C12CED" w:rsidP="00C1114A">
      <w:pPr>
        <w:spacing w:before="40" w:after="40" w:line="276" w:lineRule="auto"/>
        <w:ind w:left="709"/>
        <w:rPr>
          <w:rFonts w:cs="Arial"/>
          <w:color w:val="000000"/>
          <w:szCs w:val="24"/>
        </w:rPr>
      </w:pPr>
      <w:r>
        <w:rPr>
          <w:rFonts w:cs="Arial"/>
          <w:color w:val="000000"/>
          <w:szCs w:val="24"/>
        </w:rPr>
        <w:t>Under the Public Records (Scotland) Act 2011, a</w:t>
      </w:r>
      <w:r w:rsidR="00C1114A">
        <w:rPr>
          <w:rFonts w:cs="Arial"/>
          <w:color w:val="000000"/>
          <w:szCs w:val="24"/>
        </w:rPr>
        <w:t>ll Scottish Public Authorities are required to pr</w:t>
      </w:r>
      <w:r>
        <w:rPr>
          <w:rFonts w:cs="Arial"/>
          <w:color w:val="000000"/>
          <w:szCs w:val="24"/>
        </w:rPr>
        <w:t>oduce a Records Management Plan.</w:t>
      </w:r>
      <w:r w:rsidR="00C1114A">
        <w:rPr>
          <w:rFonts w:cs="Arial"/>
          <w:color w:val="000000"/>
          <w:szCs w:val="24"/>
        </w:rPr>
        <w:t xml:space="preserve"> T</w:t>
      </w:r>
      <w:r w:rsidR="00650863">
        <w:rPr>
          <w:rFonts w:cs="Arial"/>
          <w:color w:val="000000"/>
          <w:szCs w:val="24"/>
        </w:rPr>
        <w:t xml:space="preserve">hese Plans are required to be </w:t>
      </w:r>
      <w:r w:rsidR="00C1114A">
        <w:rPr>
          <w:rFonts w:cs="Arial"/>
          <w:color w:val="000000"/>
          <w:szCs w:val="24"/>
        </w:rPr>
        <w:t>submitted every 5 years, with yearly Progress Update Reviews (PUR) submitted to the Keeper of the Records of Scotland’s Assessment</w:t>
      </w:r>
      <w:r w:rsidR="00BE166F">
        <w:rPr>
          <w:rFonts w:cs="Arial"/>
          <w:color w:val="000000"/>
          <w:szCs w:val="24"/>
        </w:rPr>
        <w:t xml:space="preserve"> Team</w:t>
      </w:r>
      <w:r>
        <w:rPr>
          <w:rFonts w:cs="Arial"/>
          <w:color w:val="000000"/>
          <w:szCs w:val="24"/>
        </w:rPr>
        <w:t>. This update is in relation to the most recent PUR the Board submitted to the As</w:t>
      </w:r>
      <w:bookmarkStart w:id="0" w:name="_GoBack"/>
      <w:bookmarkEnd w:id="0"/>
      <w:r>
        <w:rPr>
          <w:rFonts w:cs="Arial"/>
          <w:color w:val="000000"/>
          <w:szCs w:val="24"/>
        </w:rPr>
        <w:t xml:space="preserve">sessment Team in November 2024, and the final report the Board received from the Assessment Team in May 2025. </w:t>
      </w:r>
      <w:r w:rsidR="00C1114A">
        <w:rPr>
          <w:rFonts w:cs="Arial"/>
          <w:color w:val="000000"/>
          <w:szCs w:val="24"/>
        </w:rPr>
        <w:t xml:space="preserve">  </w:t>
      </w:r>
    </w:p>
    <w:p w14:paraId="7C7A813A" w14:textId="1D0752D1" w:rsidR="00B67180" w:rsidRDefault="00B67180" w:rsidP="002359BE">
      <w:pPr>
        <w:spacing w:before="40" w:after="40"/>
        <w:ind w:left="709"/>
        <w:rPr>
          <w:rFonts w:cs="Arial"/>
          <w:color w:val="000000"/>
          <w:szCs w:val="24"/>
        </w:rPr>
      </w:pPr>
    </w:p>
    <w:p w14:paraId="46C297C7" w14:textId="77777777" w:rsidR="00430C09" w:rsidRDefault="00430C09" w:rsidP="00BF3AF0">
      <w:pPr>
        <w:pStyle w:val="ListParagraph"/>
        <w:spacing w:before="40" w:after="40" w:line="276" w:lineRule="auto"/>
        <w:ind w:left="1253"/>
        <w:rPr>
          <w:rFonts w:ascii="Arial" w:hAnsi="Arial" w:cs="Arial"/>
          <w:color w:val="000000"/>
          <w:sz w:val="24"/>
          <w:szCs w:val="24"/>
        </w:rPr>
      </w:pPr>
    </w:p>
    <w:p w14:paraId="3245821D" w14:textId="77777777" w:rsidR="00F3337D" w:rsidRDefault="00C87B62" w:rsidP="00BF3AF0">
      <w:pPr>
        <w:pStyle w:val="Heading2"/>
      </w:pPr>
      <w:r>
        <w:t>2</w:t>
      </w:r>
      <w:r w:rsidR="00BF3AF0">
        <w:t>.3</w:t>
      </w:r>
      <w:r w:rsidR="00BF3AF0">
        <w:tab/>
      </w:r>
      <w:r w:rsidR="00F3337D">
        <w:t>Assessment</w:t>
      </w:r>
    </w:p>
    <w:p w14:paraId="3FC6751F" w14:textId="141E5378" w:rsidR="00DE0C3C" w:rsidRDefault="00650863" w:rsidP="007D420F">
      <w:pPr>
        <w:ind w:left="720"/>
        <w:rPr>
          <w:rFonts w:cs="Arial"/>
          <w:szCs w:val="24"/>
        </w:rPr>
      </w:pPr>
      <w:r>
        <w:rPr>
          <w:rFonts w:cs="Arial"/>
          <w:szCs w:val="24"/>
        </w:rPr>
        <w:t>The Records Management Plan has 14 Elements, these are listed below:</w:t>
      </w:r>
    </w:p>
    <w:p w14:paraId="6A74ED38" w14:textId="24672F53" w:rsidR="00650863" w:rsidRDefault="00650863" w:rsidP="007D420F">
      <w:pPr>
        <w:ind w:left="720"/>
        <w:rPr>
          <w:rFonts w:cs="Arial"/>
          <w:szCs w:val="24"/>
        </w:rPr>
      </w:pPr>
    </w:p>
    <w:p w14:paraId="258F537A" w14:textId="65D89D03" w:rsidR="00650863" w:rsidRDefault="00650863" w:rsidP="00650863">
      <w:pPr>
        <w:pStyle w:val="ListParagraph"/>
        <w:numPr>
          <w:ilvl w:val="0"/>
          <w:numId w:val="30"/>
        </w:numPr>
        <w:rPr>
          <w:rFonts w:ascii="Arial" w:hAnsi="Arial" w:cs="Arial"/>
          <w:sz w:val="24"/>
          <w:szCs w:val="24"/>
        </w:rPr>
      </w:pPr>
      <w:r>
        <w:rPr>
          <w:rFonts w:ascii="Arial" w:hAnsi="Arial" w:cs="Arial"/>
          <w:sz w:val="24"/>
          <w:szCs w:val="24"/>
        </w:rPr>
        <w:t xml:space="preserve">Element 1 - </w:t>
      </w:r>
      <w:r w:rsidRPr="00650863">
        <w:rPr>
          <w:rFonts w:ascii="Arial" w:hAnsi="Arial" w:cs="Arial"/>
          <w:sz w:val="24"/>
          <w:szCs w:val="24"/>
        </w:rPr>
        <w:t>Senior Accountable Officer of the Plan</w:t>
      </w:r>
    </w:p>
    <w:p w14:paraId="420C7A58" w14:textId="552E8865" w:rsidR="00650863" w:rsidRDefault="00650863" w:rsidP="00650863">
      <w:pPr>
        <w:pStyle w:val="ListParagraph"/>
        <w:numPr>
          <w:ilvl w:val="0"/>
          <w:numId w:val="30"/>
        </w:numPr>
        <w:rPr>
          <w:rFonts w:ascii="Arial" w:hAnsi="Arial" w:cs="Arial"/>
          <w:sz w:val="24"/>
          <w:szCs w:val="24"/>
        </w:rPr>
      </w:pPr>
      <w:r>
        <w:rPr>
          <w:rFonts w:ascii="Arial" w:hAnsi="Arial" w:cs="Arial"/>
          <w:sz w:val="24"/>
          <w:szCs w:val="24"/>
        </w:rPr>
        <w:t>Element 2 – Records Manager</w:t>
      </w:r>
    </w:p>
    <w:p w14:paraId="75337F47" w14:textId="4900E0F0" w:rsidR="00650863" w:rsidRDefault="00650863" w:rsidP="00650863">
      <w:pPr>
        <w:pStyle w:val="ListParagraph"/>
        <w:numPr>
          <w:ilvl w:val="0"/>
          <w:numId w:val="30"/>
        </w:numPr>
        <w:rPr>
          <w:rFonts w:ascii="Arial" w:hAnsi="Arial" w:cs="Arial"/>
          <w:sz w:val="24"/>
          <w:szCs w:val="24"/>
        </w:rPr>
      </w:pPr>
      <w:r>
        <w:rPr>
          <w:rFonts w:ascii="Arial" w:hAnsi="Arial" w:cs="Arial"/>
          <w:sz w:val="24"/>
          <w:szCs w:val="24"/>
        </w:rPr>
        <w:t>Element 3 – Policies</w:t>
      </w:r>
    </w:p>
    <w:p w14:paraId="3A410462" w14:textId="69A5D6D3" w:rsidR="00650863" w:rsidRDefault="00650863" w:rsidP="00650863">
      <w:pPr>
        <w:pStyle w:val="ListParagraph"/>
        <w:numPr>
          <w:ilvl w:val="0"/>
          <w:numId w:val="30"/>
        </w:numPr>
        <w:rPr>
          <w:rFonts w:ascii="Arial" w:hAnsi="Arial" w:cs="Arial"/>
          <w:sz w:val="24"/>
          <w:szCs w:val="24"/>
        </w:rPr>
      </w:pPr>
      <w:r>
        <w:rPr>
          <w:rFonts w:ascii="Arial" w:hAnsi="Arial" w:cs="Arial"/>
          <w:sz w:val="24"/>
          <w:szCs w:val="24"/>
        </w:rPr>
        <w:t>Element 4 – Business Classification</w:t>
      </w:r>
    </w:p>
    <w:p w14:paraId="1A2F5716" w14:textId="1DFC6617" w:rsidR="00650863" w:rsidRDefault="00650863" w:rsidP="00650863">
      <w:pPr>
        <w:pStyle w:val="ListParagraph"/>
        <w:numPr>
          <w:ilvl w:val="0"/>
          <w:numId w:val="30"/>
        </w:numPr>
        <w:rPr>
          <w:rFonts w:ascii="Arial" w:hAnsi="Arial" w:cs="Arial"/>
          <w:sz w:val="24"/>
          <w:szCs w:val="24"/>
        </w:rPr>
      </w:pPr>
      <w:r>
        <w:rPr>
          <w:rFonts w:ascii="Arial" w:hAnsi="Arial" w:cs="Arial"/>
          <w:sz w:val="24"/>
          <w:szCs w:val="24"/>
        </w:rPr>
        <w:t>Element 5 – Retention Schedule</w:t>
      </w:r>
    </w:p>
    <w:p w14:paraId="76E54E94" w14:textId="63DF1739" w:rsidR="00650863" w:rsidRDefault="00650863" w:rsidP="00650863">
      <w:pPr>
        <w:pStyle w:val="ListParagraph"/>
        <w:numPr>
          <w:ilvl w:val="0"/>
          <w:numId w:val="30"/>
        </w:numPr>
        <w:rPr>
          <w:rFonts w:ascii="Arial" w:hAnsi="Arial" w:cs="Arial"/>
          <w:sz w:val="24"/>
          <w:szCs w:val="24"/>
        </w:rPr>
      </w:pPr>
      <w:r>
        <w:rPr>
          <w:rFonts w:ascii="Arial" w:hAnsi="Arial" w:cs="Arial"/>
          <w:sz w:val="24"/>
          <w:szCs w:val="24"/>
        </w:rPr>
        <w:t>Element 6 – Destruction Arrangements</w:t>
      </w:r>
    </w:p>
    <w:p w14:paraId="008ADCD9" w14:textId="3A4FDD67" w:rsidR="00650863" w:rsidRDefault="00650863" w:rsidP="00650863">
      <w:pPr>
        <w:pStyle w:val="ListParagraph"/>
        <w:numPr>
          <w:ilvl w:val="0"/>
          <w:numId w:val="30"/>
        </w:numPr>
        <w:rPr>
          <w:rFonts w:ascii="Arial" w:hAnsi="Arial" w:cs="Arial"/>
          <w:sz w:val="24"/>
          <w:szCs w:val="24"/>
        </w:rPr>
      </w:pPr>
      <w:r>
        <w:rPr>
          <w:rFonts w:ascii="Arial" w:hAnsi="Arial" w:cs="Arial"/>
          <w:sz w:val="24"/>
          <w:szCs w:val="24"/>
        </w:rPr>
        <w:t>Element 7 – Archiving and Transfer</w:t>
      </w:r>
    </w:p>
    <w:p w14:paraId="24ED9E19" w14:textId="58C3A097" w:rsidR="00650863" w:rsidRDefault="00650863" w:rsidP="00650863">
      <w:pPr>
        <w:pStyle w:val="ListParagraph"/>
        <w:numPr>
          <w:ilvl w:val="0"/>
          <w:numId w:val="30"/>
        </w:numPr>
        <w:rPr>
          <w:rFonts w:ascii="Arial" w:hAnsi="Arial" w:cs="Arial"/>
          <w:sz w:val="24"/>
          <w:szCs w:val="24"/>
        </w:rPr>
      </w:pPr>
      <w:r>
        <w:rPr>
          <w:rFonts w:ascii="Arial" w:hAnsi="Arial" w:cs="Arial"/>
          <w:sz w:val="24"/>
          <w:szCs w:val="24"/>
        </w:rPr>
        <w:t>Element 8 – Information Security</w:t>
      </w:r>
    </w:p>
    <w:p w14:paraId="63F4AD93" w14:textId="71B16993" w:rsidR="00650863" w:rsidRDefault="00650863" w:rsidP="00650863">
      <w:pPr>
        <w:pStyle w:val="ListParagraph"/>
        <w:numPr>
          <w:ilvl w:val="0"/>
          <w:numId w:val="30"/>
        </w:numPr>
        <w:rPr>
          <w:rFonts w:ascii="Arial" w:hAnsi="Arial" w:cs="Arial"/>
          <w:sz w:val="24"/>
          <w:szCs w:val="24"/>
        </w:rPr>
      </w:pPr>
      <w:r>
        <w:rPr>
          <w:rFonts w:ascii="Arial" w:hAnsi="Arial" w:cs="Arial"/>
          <w:sz w:val="24"/>
          <w:szCs w:val="24"/>
        </w:rPr>
        <w:t>Element 9 – Data Protection</w:t>
      </w:r>
    </w:p>
    <w:p w14:paraId="3E2C250A" w14:textId="6CFBDC6A" w:rsidR="00650863" w:rsidRDefault="00650863" w:rsidP="00650863">
      <w:pPr>
        <w:pStyle w:val="ListParagraph"/>
        <w:numPr>
          <w:ilvl w:val="0"/>
          <w:numId w:val="30"/>
        </w:numPr>
        <w:rPr>
          <w:rFonts w:ascii="Arial" w:hAnsi="Arial" w:cs="Arial"/>
          <w:sz w:val="24"/>
          <w:szCs w:val="24"/>
        </w:rPr>
      </w:pPr>
      <w:r>
        <w:rPr>
          <w:rFonts w:ascii="Arial" w:hAnsi="Arial" w:cs="Arial"/>
          <w:sz w:val="24"/>
          <w:szCs w:val="24"/>
        </w:rPr>
        <w:t>Element 10 – Business Continuity and Vital Records</w:t>
      </w:r>
    </w:p>
    <w:p w14:paraId="1543B889" w14:textId="624B1F79" w:rsidR="00650863" w:rsidRDefault="00650863" w:rsidP="00650863">
      <w:pPr>
        <w:pStyle w:val="ListParagraph"/>
        <w:numPr>
          <w:ilvl w:val="0"/>
          <w:numId w:val="30"/>
        </w:numPr>
        <w:rPr>
          <w:rFonts w:ascii="Arial" w:hAnsi="Arial" w:cs="Arial"/>
          <w:sz w:val="24"/>
          <w:szCs w:val="24"/>
        </w:rPr>
      </w:pPr>
      <w:r>
        <w:rPr>
          <w:rFonts w:ascii="Arial" w:hAnsi="Arial" w:cs="Arial"/>
          <w:sz w:val="24"/>
          <w:szCs w:val="24"/>
        </w:rPr>
        <w:t>Element 11 – Audit Trail</w:t>
      </w:r>
    </w:p>
    <w:p w14:paraId="770360E3" w14:textId="6A8673E5" w:rsidR="00650863" w:rsidRDefault="00650863" w:rsidP="00650863">
      <w:pPr>
        <w:pStyle w:val="ListParagraph"/>
        <w:numPr>
          <w:ilvl w:val="0"/>
          <w:numId w:val="30"/>
        </w:numPr>
        <w:rPr>
          <w:rFonts w:ascii="Arial" w:hAnsi="Arial" w:cs="Arial"/>
          <w:sz w:val="24"/>
          <w:szCs w:val="24"/>
        </w:rPr>
      </w:pPr>
      <w:r>
        <w:rPr>
          <w:rFonts w:ascii="Arial" w:hAnsi="Arial" w:cs="Arial"/>
          <w:sz w:val="24"/>
          <w:szCs w:val="24"/>
        </w:rPr>
        <w:t>Element 12 – Competency Framework</w:t>
      </w:r>
    </w:p>
    <w:p w14:paraId="4318FD58" w14:textId="2ECF371B" w:rsidR="00650863" w:rsidRDefault="00650863" w:rsidP="00650863">
      <w:pPr>
        <w:pStyle w:val="ListParagraph"/>
        <w:numPr>
          <w:ilvl w:val="0"/>
          <w:numId w:val="30"/>
        </w:numPr>
        <w:rPr>
          <w:rFonts w:ascii="Arial" w:hAnsi="Arial" w:cs="Arial"/>
          <w:sz w:val="24"/>
          <w:szCs w:val="24"/>
        </w:rPr>
      </w:pPr>
      <w:r>
        <w:rPr>
          <w:rFonts w:ascii="Arial" w:hAnsi="Arial" w:cs="Arial"/>
          <w:sz w:val="24"/>
          <w:szCs w:val="24"/>
        </w:rPr>
        <w:t>Element 13 – Assessment and Review of the Plan</w:t>
      </w:r>
    </w:p>
    <w:p w14:paraId="5E81C393" w14:textId="08354413" w:rsidR="00650863" w:rsidRDefault="00650863" w:rsidP="00650863">
      <w:pPr>
        <w:pStyle w:val="ListParagraph"/>
        <w:numPr>
          <w:ilvl w:val="0"/>
          <w:numId w:val="30"/>
        </w:numPr>
        <w:rPr>
          <w:rFonts w:ascii="Arial" w:hAnsi="Arial" w:cs="Arial"/>
          <w:sz w:val="24"/>
          <w:szCs w:val="24"/>
        </w:rPr>
      </w:pPr>
      <w:r>
        <w:rPr>
          <w:rFonts w:ascii="Arial" w:hAnsi="Arial" w:cs="Arial"/>
          <w:sz w:val="24"/>
          <w:szCs w:val="24"/>
        </w:rPr>
        <w:t>Element 14 – Shared Information (the management of)</w:t>
      </w:r>
    </w:p>
    <w:p w14:paraId="7E814911" w14:textId="214A0A6E" w:rsidR="00487BC5" w:rsidRDefault="00487BC5" w:rsidP="00487BC5">
      <w:pPr>
        <w:ind w:left="851"/>
        <w:rPr>
          <w:rFonts w:cs="Arial"/>
          <w:szCs w:val="24"/>
        </w:rPr>
      </w:pPr>
    </w:p>
    <w:p w14:paraId="307EF1CF" w14:textId="60FF65F1" w:rsidR="00487BC5" w:rsidRDefault="00487BC5" w:rsidP="00487BC5">
      <w:pPr>
        <w:ind w:left="709"/>
        <w:rPr>
          <w:rFonts w:cs="Arial"/>
          <w:szCs w:val="24"/>
        </w:rPr>
      </w:pPr>
      <w:r>
        <w:rPr>
          <w:rFonts w:cs="Arial"/>
          <w:szCs w:val="24"/>
        </w:rPr>
        <w:t>These elements cover key areas across records management, from senior accountable officer and operational lead to all of the requirements that ensures robust records management.</w:t>
      </w:r>
    </w:p>
    <w:p w14:paraId="40F6AAB6" w14:textId="1D4F9C79" w:rsidR="00487BC5" w:rsidRDefault="00487BC5" w:rsidP="00487BC5">
      <w:pPr>
        <w:ind w:left="709"/>
        <w:rPr>
          <w:rFonts w:cs="Arial"/>
          <w:szCs w:val="24"/>
        </w:rPr>
      </w:pPr>
    </w:p>
    <w:p w14:paraId="3E375A0E" w14:textId="77777777" w:rsidR="00487BC5" w:rsidRDefault="00487BC5" w:rsidP="00487BC5">
      <w:pPr>
        <w:ind w:left="709"/>
        <w:rPr>
          <w:rFonts w:cs="Arial"/>
          <w:szCs w:val="24"/>
        </w:rPr>
      </w:pPr>
      <w:r>
        <w:rPr>
          <w:rFonts w:cs="Arial"/>
          <w:szCs w:val="24"/>
        </w:rPr>
        <w:t>The senior accountable officer named in Element 1, is Jonny Gamble. The Records Manager named in Element 2 is Sharon Stott. The remainder of the Plan addresses the lifecycle of records created in line with the Board’s business function.</w:t>
      </w:r>
    </w:p>
    <w:p w14:paraId="6317A11A" w14:textId="77777777" w:rsidR="00487BC5" w:rsidRDefault="00487BC5" w:rsidP="00487BC5">
      <w:pPr>
        <w:ind w:left="709"/>
        <w:rPr>
          <w:rFonts w:cs="Arial"/>
          <w:szCs w:val="24"/>
        </w:rPr>
      </w:pPr>
    </w:p>
    <w:p w14:paraId="12327DEA" w14:textId="5ACD50DB" w:rsidR="00487BC5" w:rsidRDefault="00487BC5" w:rsidP="00487BC5">
      <w:pPr>
        <w:ind w:left="709"/>
        <w:rPr>
          <w:rFonts w:cs="Arial"/>
          <w:szCs w:val="24"/>
        </w:rPr>
      </w:pPr>
      <w:r>
        <w:rPr>
          <w:rFonts w:cs="Arial"/>
          <w:szCs w:val="24"/>
        </w:rPr>
        <w:t>Of the 14 Elements, The Board has achieved compliance with 13, with Element 4 – Business Classification</w:t>
      </w:r>
      <w:r w:rsidR="00BE166F">
        <w:rPr>
          <w:rFonts w:cs="Arial"/>
          <w:szCs w:val="24"/>
        </w:rPr>
        <w:t>,</w:t>
      </w:r>
      <w:r>
        <w:rPr>
          <w:rFonts w:cs="Arial"/>
          <w:szCs w:val="24"/>
        </w:rPr>
        <w:t xml:space="preserve"> remaining at amber. This is</w:t>
      </w:r>
      <w:r w:rsidR="00BE166F">
        <w:rPr>
          <w:rFonts w:cs="Arial"/>
          <w:szCs w:val="24"/>
        </w:rPr>
        <w:t xml:space="preserve"> due to the ongoing work, migrating</w:t>
      </w:r>
      <w:r>
        <w:rPr>
          <w:rFonts w:cs="Arial"/>
          <w:szCs w:val="24"/>
        </w:rPr>
        <w:t xml:space="preserve"> from our on premise Drive structure over to MS SharePoint. There is ongoing work to ensure the Board’s Business Classification Scheme aligns to the requirements of the MS SharePoint. Until this work is completed, the Board will remain as amber. This is in line with other NHS Scotland Boards</w:t>
      </w:r>
      <w:r w:rsidR="00BE166F">
        <w:rPr>
          <w:rFonts w:cs="Arial"/>
          <w:szCs w:val="24"/>
        </w:rPr>
        <w:t>.</w:t>
      </w:r>
      <w:r>
        <w:rPr>
          <w:rFonts w:cs="Arial"/>
          <w:szCs w:val="24"/>
        </w:rPr>
        <w:t xml:space="preserve"> </w:t>
      </w:r>
    </w:p>
    <w:p w14:paraId="11A3BCAD" w14:textId="7F4B10DC" w:rsidR="00A42468" w:rsidRDefault="00A42468" w:rsidP="00487BC5">
      <w:pPr>
        <w:ind w:left="709"/>
        <w:rPr>
          <w:rFonts w:cs="Arial"/>
          <w:szCs w:val="24"/>
        </w:rPr>
      </w:pPr>
    </w:p>
    <w:p w14:paraId="7DD2B790" w14:textId="3FEBB84B" w:rsidR="00A42468" w:rsidRPr="00487BC5" w:rsidRDefault="00A42468" w:rsidP="00487BC5">
      <w:pPr>
        <w:ind w:left="709"/>
        <w:rPr>
          <w:rFonts w:cs="Arial"/>
          <w:szCs w:val="24"/>
        </w:rPr>
      </w:pPr>
      <w:r>
        <w:rPr>
          <w:rFonts w:cs="Arial"/>
          <w:szCs w:val="24"/>
        </w:rPr>
        <w:t>The final report received is detailed in Appendix 1.</w:t>
      </w:r>
    </w:p>
    <w:p w14:paraId="32753226" w14:textId="77777777" w:rsidR="00DE0C3C" w:rsidRDefault="00DE0C3C" w:rsidP="007D420F">
      <w:pPr>
        <w:ind w:left="720"/>
        <w:rPr>
          <w:rFonts w:cs="Arial"/>
          <w:szCs w:val="24"/>
        </w:rPr>
      </w:pPr>
    </w:p>
    <w:p w14:paraId="67F8853B" w14:textId="0CDBE468" w:rsidR="000D6A9F" w:rsidRDefault="00BE166F" w:rsidP="00A42468">
      <w:pPr>
        <w:ind w:left="720"/>
        <w:rPr>
          <w:rFonts w:cs="Arial"/>
          <w:szCs w:val="24"/>
        </w:rPr>
      </w:pPr>
      <w:r>
        <w:rPr>
          <w:rFonts w:cs="Arial"/>
          <w:szCs w:val="24"/>
        </w:rPr>
        <w:t>The Board is also awaiting invitation to submit their next full 5 year RMP, as the last one was submitted in 2017. Due to resource constraints with the Keeper’s Assessment Team, they had to delay invites for a few years. These resource constraints have now been addressed and Public Authorities have been notified that invites will commence again this year. Members, and the Senior Accountable Officer named in Element 1 of our Plan will be notified when NHS Golden Jubilee receive this invite.</w:t>
      </w:r>
    </w:p>
    <w:p w14:paraId="38E1E057" w14:textId="77777777" w:rsidR="000D6A9F" w:rsidRDefault="000D6A9F" w:rsidP="007D420F">
      <w:pPr>
        <w:ind w:left="720"/>
        <w:rPr>
          <w:rFonts w:cs="Arial"/>
          <w:szCs w:val="24"/>
        </w:rPr>
      </w:pPr>
    </w:p>
    <w:p w14:paraId="432009E5" w14:textId="77777777" w:rsidR="00F3337D" w:rsidRPr="00BF3AF0" w:rsidRDefault="00F3337D" w:rsidP="00BF3AF0">
      <w:pPr>
        <w:spacing w:before="40" w:after="40" w:line="276" w:lineRule="auto"/>
        <w:rPr>
          <w:rFonts w:cs="Arial"/>
          <w:color w:val="000000"/>
          <w:szCs w:val="24"/>
        </w:rPr>
      </w:pPr>
    </w:p>
    <w:p w14:paraId="3F2871AE" w14:textId="77777777" w:rsidR="00F3337D" w:rsidRDefault="00C87B62" w:rsidP="00F3337D">
      <w:pPr>
        <w:pStyle w:val="Heading3"/>
        <w:spacing w:line="276" w:lineRule="auto"/>
      </w:pPr>
      <w:r>
        <w:t>2</w:t>
      </w:r>
      <w:r w:rsidR="00BF3AF0">
        <w:t>.3.1</w:t>
      </w:r>
      <w:r w:rsidR="00BF3AF0">
        <w:tab/>
      </w:r>
      <w:r w:rsidR="00F3337D">
        <w:t>Quality/ Patient Care</w:t>
      </w:r>
    </w:p>
    <w:p w14:paraId="2F347B49" w14:textId="08369C9E" w:rsidR="007D5A13" w:rsidRDefault="00875E27" w:rsidP="008079B0">
      <w:pPr>
        <w:spacing w:before="40" w:after="40" w:line="276" w:lineRule="auto"/>
        <w:ind w:left="720"/>
        <w:rPr>
          <w:rFonts w:cs="Arial"/>
          <w:color w:val="000000"/>
          <w:szCs w:val="24"/>
        </w:rPr>
      </w:pPr>
      <w:r>
        <w:rPr>
          <w:rFonts w:cs="Arial"/>
          <w:color w:val="000000"/>
          <w:szCs w:val="24"/>
        </w:rPr>
        <w:t>NHS Golden Jubilee is legally requir</w:t>
      </w:r>
      <w:r w:rsidR="00A76723">
        <w:rPr>
          <w:rFonts w:cs="Arial"/>
          <w:color w:val="000000"/>
          <w:szCs w:val="24"/>
        </w:rPr>
        <w:t>ed to evidence c</w:t>
      </w:r>
      <w:r w:rsidR="004100F3">
        <w:rPr>
          <w:rFonts w:cs="Arial"/>
          <w:color w:val="000000"/>
          <w:szCs w:val="24"/>
        </w:rPr>
        <w:t>ompliance with the Public Records (Scotland) Act 2011.</w:t>
      </w:r>
    </w:p>
    <w:p w14:paraId="7F4F84BF" w14:textId="77777777" w:rsidR="00F3337D" w:rsidRPr="00F3337D" w:rsidRDefault="00F3337D" w:rsidP="00BF3AF0">
      <w:pPr>
        <w:pStyle w:val="ListParagraph"/>
        <w:ind w:left="1440"/>
        <w:rPr>
          <w:rFonts w:ascii="Arial" w:hAnsi="Arial" w:cs="Arial"/>
          <w:color w:val="000000"/>
          <w:sz w:val="24"/>
          <w:szCs w:val="24"/>
        </w:rPr>
      </w:pPr>
    </w:p>
    <w:p w14:paraId="28A49038" w14:textId="77777777" w:rsidR="00AA77F7" w:rsidRDefault="00C87B62" w:rsidP="00AA77F7">
      <w:pPr>
        <w:pStyle w:val="Heading3"/>
        <w:spacing w:line="276" w:lineRule="auto"/>
      </w:pPr>
      <w:r>
        <w:t>2</w:t>
      </w:r>
      <w:r w:rsidR="00BF3AF0">
        <w:t>.3.2</w:t>
      </w:r>
      <w:r w:rsidR="00BF3AF0">
        <w:tab/>
      </w:r>
      <w:r w:rsidR="00AA77F7">
        <w:t>Workforce</w:t>
      </w:r>
    </w:p>
    <w:p w14:paraId="647AC42B" w14:textId="6E3F0E16" w:rsidR="007D5A13" w:rsidRDefault="00A76723" w:rsidP="008079B0">
      <w:pPr>
        <w:spacing w:before="40" w:after="40" w:line="276" w:lineRule="auto"/>
        <w:ind w:left="720"/>
        <w:rPr>
          <w:rFonts w:cs="Arial"/>
          <w:color w:val="000000"/>
          <w:szCs w:val="24"/>
        </w:rPr>
      </w:pPr>
      <w:r>
        <w:rPr>
          <w:rFonts w:cs="Arial"/>
          <w:color w:val="000000"/>
          <w:szCs w:val="24"/>
        </w:rPr>
        <w:t>Engagement required with above areas.</w:t>
      </w:r>
    </w:p>
    <w:p w14:paraId="6E510C17" w14:textId="77777777" w:rsidR="00F3337D" w:rsidRPr="00AA77F7" w:rsidRDefault="00F3337D" w:rsidP="00AA77F7">
      <w:pPr>
        <w:rPr>
          <w:rFonts w:cs="Arial"/>
          <w:color w:val="000000"/>
          <w:szCs w:val="24"/>
        </w:rPr>
      </w:pPr>
    </w:p>
    <w:p w14:paraId="3649D035" w14:textId="77777777" w:rsidR="00F3337D" w:rsidRDefault="00C87B62" w:rsidP="00F3337D">
      <w:pPr>
        <w:pStyle w:val="Heading3"/>
        <w:spacing w:line="276" w:lineRule="auto"/>
      </w:pPr>
      <w:r>
        <w:t>2</w:t>
      </w:r>
      <w:r w:rsidR="00BF3AF0">
        <w:t>.3.3</w:t>
      </w:r>
      <w:r w:rsidR="00BF3AF0">
        <w:tab/>
      </w:r>
      <w:r w:rsidR="00F3337D">
        <w:t>Financial</w:t>
      </w:r>
    </w:p>
    <w:p w14:paraId="48C552DA" w14:textId="39932F87" w:rsidR="00F3337D" w:rsidRPr="00611AA4" w:rsidRDefault="007D5A13" w:rsidP="00BF3AF0">
      <w:pPr>
        <w:spacing w:before="40" w:after="40" w:line="276" w:lineRule="auto"/>
        <w:ind w:left="720"/>
        <w:rPr>
          <w:rFonts w:cs="Arial"/>
          <w:color w:val="000000"/>
          <w:szCs w:val="24"/>
        </w:rPr>
      </w:pPr>
      <w:r>
        <w:rPr>
          <w:rFonts w:cs="Arial"/>
          <w:color w:val="000000"/>
          <w:szCs w:val="24"/>
        </w:rPr>
        <w:t>No financial considerations require to be included within this paper.</w:t>
      </w:r>
    </w:p>
    <w:p w14:paraId="5508479E" w14:textId="77777777" w:rsidR="00F3337D" w:rsidRDefault="00F3337D" w:rsidP="00BF3AF0">
      <w:pPr>
        <w:pStyle w:val="ListParagraph"/>
        <w:spacing w:before="40" w:after="40" w:line="276" w:lineRule="auto"/>
        <w:ind w:left="394"/>
        <w:rPr>
          <w:rFonts w:ascii="Arial" w:hAnsi="Arial" w:cs="Arial"/>
          <w:color w:val="000000"/>
          <w:sz w:val="24"/>
          <w:szCs w:val="24"/>
        </w:rPr>
      </w:pPr>
    </w:p>
    <w:p w14:paraId="39B04ABF" w14:textId="77777777" w:rsidR="00F3337D" w:rsidRDefault="00C87B62" w:rsidP="00F3337D">
      <w:pPr>
        <w:pStyle w:val="Heading3"/>
        <w:spacing w:line="276" w:lineRule="auto"/>
      </w:pPr>
      <w:r>
        <w:t>2</w:t>
      </w:r>
      <w:r w:rsidR="00BF3AF0">
        <w:t>.3.4</w:t>
      </w:r>
      <w:r w:rsidR="00BF3AF0">
        <w:tab/>
      </w:r>
      <w:r w:rsidR="00F3337D">
        <w:t>Risk Assessment</w:t>
      </w:r>
      <w:r w:rsidR="00BF3AF0">
        <w:t>/</w:t>
      </w:r>
      <w:r w:rsidR="00F3337D">
        <w:t>Management</w:t>
      </w:r>
    </w:p>
    <w:p w14:paraId="3A680F60" w14:textId="4EFDD5B7" w:rsidR="00875E27" w:rsidRDefault="00875E27" w:rsidP="00875E27">
      <w:pPr>
        <w:spacing w:before="40" w:after="40" w:line="276" w:lineRule="auto"/>
        <w:ind w:left="720"/>
        <w:rPr>
          <w:rFonts w:cs="Arial"/>
          <w:color w:val="000000"/>
          <w:szCs w:val="24"/>
        </w:rPr>
      </w:pPr>
      <w:r>
        <w:rPr>
          <w:rFonts w:cs="Arial"/>
          <w:color w:val="000000"/>
          <w:szCs w:val="24"/>
        </w:rPr>
        <w:t xml:space="preserve">NHS Golden Jubilee is legally required to </w:t>
      </w:r>
      <w:r w:rsidR="00A76723">
        <w:rPr>
          <w:rFonts w:cs="Arial"/>
          <w:color w:val="000000"/>
          <w:szCs w:val="24"/>
        </w:rPr>
        <w:t>evidence c</w:t>
      </w:r>
      <w:r w:rsidR="00BE166F">
        <w:rPr>
          <w:rFonts w:cs="Arial"/>
          <w:color w:val="000000"/>
          <w:szCs w:val="24"/>
        </w:rPr>
        <w:t xml:space="preserve">ompliance with the Public Records (Scotland) Act 2011.  </w:t>
      </w:r>
      <w:r w:rsidR="00A42468">
        <w:rPr>
          <w:rFonts w:cs="Arial"/>
          <w:color w:val="000000"/>
          <w:szCs w:val="24"/>
        </w:rPr>
        <w:t>The current NHS Golden Jubilee RMP is out of date, however, by submitting yearly PUR’s demonstrates strong records management within the Board and also allows to provide additional evidence to show any changes and how these have been managed.</w:t>
      </w:r>
    </w:p>
    <w:p w14:paraId="46FDCAB4" w14:textId="17839DFC" w:rsidR="00F3337D" w:rsidRPr="00BF3AF0" w:rsidRDefault="00F3337D" w:rsidP="00BF3AF0">
      <w:pPr>
        <w:spacing w:before="40" w:after="40" w:line="276" w:lineRule="auto"/>
        <w:rPr>
          <w:rFonts w:cs="Arial"/>
          <w:color w:val="000000"/>
          <w:szCs w:val="24"/>
        </w:rPr>
      </w:pPr>
    </w:p>
    <w:p w14:paraId="11562A85" w14:textId="77777777" w:rsidR="00F3337D" w:rsidRDefault="00C87B62" w:rsidP="00F3337D">
      <w:pPr>
        <w:pStyle w:val="Heading3"/>
        <w:spacing w:line="276" w:lineRule="auto"/>
      </w:pPr>
      <w:r>
        <w:t>2</w:t>
      </w:r>
      <w:r w:rsidR="00BF3AF0">
        <w:t>.3.5</w:t>
      </w:r>
      <w:r w:rsidR="00BF3AF0">
        <w:tab/>
      </w:r>
      <w:r w:rsidR="00F3337D">
        <w:t>Equality and Diversity, including health inequalities</w:t>
      </w:r>
    </w:p>
    <w:p w14:paraId="17ECEB12" w14:textId="77777777" w:rsidR="007D5A13" w:rsidRPr="001B4689" w:rsidRDefault="007D5A13" w:rsidP="007D5A13">
      <w:pPr>
        <w:spacing w:before="40" w:after="40" w:line="276" w:lineRule="auto"/>
        <w:ind w:left="720"/>
        <w:rPr>
          <w:rFonts w:cs="Arial"/>
          <w:color w:val="000000"/>
          <w:szCs w:val="24"/>
        </w:rPr>
      </w:pPr>
      <w:r w:rsidRPr="001B4689">
        <w:rPr>
          <w:rFonts w:cs="Arial"/>
          <w:color w:val="000000"/>
          <w:szCs w:val="24"/>
        </w:rPr>
        <w:t>An impact assessment</w:t>
      </w:r>
      <w:r>
        <w:rPr>
          <w:rFonts w:cs="Arial"/>
          <w:color w:val="000000"/>
          <w:szCs w:val="24"/>
        </w:rPr>
        <w:t xml:space="preserve"> has not been completed given the subject of this paper.</w:t>
      </w:r>
    </w:p>
    <w:p w14:paraId="1028331A" w14:textId="49618199" w:rsidR="00BF3AF0" w:rsidRPr="00BF3AF0" w:rsidRDefault="00BF3AF0" w:rsidP="008079B0">
      <w:pPr>
        <w:spacing w:before="40" w:after="40" w:line="276" w:lineRule="auto"/>
        <w:rPr>
          <w:rFonts w:cs="Arial"/>
          <w:color w:val="000000"/>
          <w:szCs w:val="24"/>
          <w:highlight w:val="lightGray"/>
        </w:rPr>
      </w:pPr>
    </w:p>
    <w:p w14:paraId="032E2865" w14:textId="77777777" w:rsidR="00446219" w:rsidRPr="00DA354A" w:rsidRDefault="00C87B62" w:rsidP="00446219">
      <w:pPr>
        <w:pStyle w:val="Heading3"/>
      </w:pPr>
      <w:r>
        <w:t>2</w:t>
      </w:r>
      <w:r w:rsidR="00BF3AF0">
        <w:t>.3.6</w:t>
      </w:r>
      <w:r w:rsidR="00BF3AF0">
        <w:tab/>
      </w:r>
      <w:r w:rsidR="00446219" w:rsidRPr="00DA354A">
        <w:t>Other</w:t>
      </w:r>
      <w:r w:rsidR="00BF3AF0">
        <w:t xml:space="preserve"> impacts</w:t>
      </w:r>
    </w:p>
    <w:p w14:paraId="4010D65F" w14:textId="4001230E" w:rsidR="008C7183" w:rsidRPr="008079B0" w:rsidRDefault="00A42468" w:rsidP="008079B0">
      <w:pPr>
        <w:pStyle w:val="ListParagraph"/>
        <w:rPr>
          <w:rFonts w:ascii="Arial" w:hAnsi="Arial" w:cs="Arial"/>
          <w:color w:val="000000"/>
          <w:sz w:val="24"/>
          <w:szCs w:val="24"/>
        </w:rPr>
      </w:pPr>
      <w:r>
        <w:rPr>
          <w:rFonts w:ascii="Arial" w:hAnsi="Arial" w:cs="Arial"/>
          <w:color w:val="000000"/>
          <w:sz w:val="24"/>
          <w:szCs w:val="24"/>
        </w:rPr>
        <w:t>No other impacts for consideration.</w:t>
      </w:r>
    </w:p>
    <w:p w14:paraId="01ED47F9" w14:textId="77777777" w:rsidR="008C7183" w:rsidRPr="00F3337D" w:rsidRDefault="008C7183" w:rsidP="00F3337D">
      <w:pPr>
        <w:pStyle w:val="ListParagraph"/>
        <w:rPr>
          <w:rFonts w:ascii="Arial" w:hAnsi="Arial" w:cs="Arial"/>
          <w:color w:val="000000"/>
          <w:sz w:val="24"/>
          <w:szCs w:val="24"/>
        </w:rPr>
      </w:pPr>
    </w:p>
    <w:p w14:paraId="3986308C" w14:textId="37BB04F0" w:rsidR="00F3337D" w:rsidRPr="008079B0" w:rsidRDefault="00446219" w:rsidP="00F3337D">
      <w:pPr>
        <w:pStyle w:val="Heading3"/>
        <w:numPr>
          <w:ilvl w:val="2"/>
          <w:numId w:val="16"/>
        </w:numPr>
        <w:rPr>
          <w:rFonts w:eastAsia="Times New Roman"/>
        </w:rPr>
      </w:pPr>
      <w:r>
        <w:rPr>
          <w:rFonts w:eastAsia="Times New Roman"/>
        </w:rPr>
        <w:t>Communication, involvement, engagement and consultation</w:t>
      </w:r>
    </w:p>
    <w:p w14:paraId="46E05957" w14:textId="17D18A18" w:rsidR="00B851FC" w:rsidRPr="008079B0" w:rsidRDefault="00A76723" w:rsidP="008079B0">
      <w:pPr>
        <w:spacing w:before="40" w:after="40" w:line="276" w:lineRule="auto"/>
        <w:ind w:left="720"/>
        <w:rPr>
          <w:rFonts w:cs="Arial"/>
          <w:color w:val="000000"/>
          <w:szCs w:val="24"/>
        </w:rPr>
      </w:pPr>
      <w:r>
        <w:rPr>
          <w:rFonts w:cs="Arial"/>
          <w:color w:val="000000"/>
          <w:szCs w:val="24"/>
        </w:rPr>
        <w:t>Ongoing engagement and consultation with the</w:t>
      </w:r>
      <w:r w:rsidR="00A42468">
        <w:rPr>
          <w:rFonts w:cs="Arial"/>
          <w:color w:val="000000"/>
          <w:szCs w:val="24"/>
        </w:rPr>
        <w:t xml:space="preserve"> Keeper of the Records of Scotland’s Assessment Team.</w:t>
      </w:r>
    </w:p>
    <w:p w14:paraId="792BE2FC" w14:textId="77777777" w:rsidR="008C7183" w:rsidRPr="00446219" w:rsidRDefault="008C7183" w:rsidP="00B851FC">
      <w:pPr>
        <w:pStyle w:val="ListParagraph"/>
        <w:spacing w:before="40" w:after="40" w:line="276" w:lineRule="auto"/>
        <w:ind w:left="1080"/>
        <w:rPr>
          <w:rFonts w:ascii="Arial" w:hAnsi="Arial" w:cs="Arial"/>
          <w:sz w:val="24"/>
          <w:szCs w:val="24"/>
          <w:highlight w:val="lightGray"/>
        </w:rPr>
      </w:pPr>
    </w:p>
    <w:p w14:paraId="786BB218" w14:textId="3E59BD91" w:rsidR="00446219" w:rsidRPr="00446219" w:rsidRDefault="00446219" w:rsidP="00446219">
      <w:pPr>
        <w:pStyle w:val="Heading3"/>
        <w:numPr>
          <w:ilvl w:val="2"/>
          <w:numId w:val="16"/>
        </w:numPr>
      </w:pPr>
      <w:r>
        <w:t>Route to the Meeting</w:t>
      </w:r>
    </w:p>
    <w:p w14:paraId="19DB540E" w14:textId="75D0CCD2" w:rsidR="00A42468" w:rsidRDefault="00446219" w:rsidP="008079B0">
      <w:pPr>
        <w:spacing w:before="40" w:after="40" w:line="276" w:lineRule="auto"/>
        <w:ind w:left="720"/>
        <w:rPr>
          <w:rFonts w:cs="Arial"/>
          <w:szCs w:val="24"/>
        </w:rPr>
      </w:pPr>
      <w:r w:rsidRPr="00BF3AF0">
        <w:rPr>
          <w:rFonts w:cs="Arial"/>
          <w:szCs w:val="24"/>
        </w:rPr>
        <w:t>This has been previously considered by the following groups as part of its development. The groups have either supported the content, or their feedback has informed the development of the c</w:t>
      </w:r>
      <w:r w:rsidR="008079B0">
        <w:rPr>
          <w:rFonts w:cs="Arial"/>
          <w:szCs w:val="24"/>
        </w:rPr>
        <w:t>ontent presented in this report.</w:t>
      </w:r>
    </w:p>
    <w:p w14:paraId="664E9E3B" w14:textId="0DCFE0C7" w:rsidR="00C031BD" w:rsidRPr="00C031BD" w:rsidRDefault="00C031BD" w:rsidP="00C031BD">
      <w:pPr>
        <w:pStyle w:val="ListParagraph"/>
        <w:numPr>
          <w:ilvl w:val="0"/>
          <w:numId w:val="31"/>
        </w:numPr>
        <w:spacing w:before="40" w:after="40" w:line="276" w:lineRule="auto"/>
        <w:rPr>
          <w:rFonts w:ascii="Arial" w:hAnsi="Arial" w:cs="Arial"/>
          <w:sz w:val="24"/>
          <w:szCs w:val="24"/>
        </w:rPr>
      </w:pPr>
      <w:r w:rsidRPr="00C031BD">
        <w:rPr>
          <w:rFonts w:ascii="Arial" w:hAnsi="Arial" w:cs="Arial"/>
          <w:sz w:val="24"/>
          <w:szCs w:val="24"/>
        </w:rPr>
        <w:t>Clinical Governance Committee – 14 August 2025</w:t>
      </w:r>
    </w:p>
    <w:p w14:paraId="41ED7514" w14:textId="107B7DDB" w:rsidR="00430C09" w:rsidRDefault="00430C09" w:rsidP="00430C09">
      <w:pPr>
        <w:pStyle w:val="Heading2"/>
        <w:spacing w:line="276" w:lineRule="auto"/>
      </w:pPr>
    </w:p>
    <w:p w14:paraId="4DB15FCC" w14:textId="77777777" w:rsidR="00BF3AF0" w:rsidRDefault="00C87B62" w:rsidP="00BF3AF0">
      <w:pPr>
        <w:pStyle w:val="Heading2"/>
      </w:pPr>
      <w:r>
        <w:t>2.</w:t>
      </w:r>
      <w:r w:rsidR="00BF3AF0">
        <w:t>4</w:t>
      </w:r>
      <w:r w:rsidR="00BF3AF0">
        <w:tab/>
        <w:t>Recommendation</w:t>
      </w:r>
    </w:p>
    <w:p w14:paraId="28B505A7" w14:textId="77777777" w:rsidR="00BF3AF0" w:rsidRPr="00BF3AF0" w:rsidRDefault="00BF3AF0" w:rsidP="00BF3AF0"/>
    <w:p w14:paraId="76F9E12A" w14:textId="2FDD984E" w:rsidR="008C7183" w:rsidRPr="00003476" w:rsidRDefault="00C031BD" w:rsidP="008C7183">
      <w:pPr>
        <w:pStyle w:val="Heading3"/>
        <w:spacing w:line="276" w:lineRule="auto"/>
        <w:ind w:left="700"/>
        <w:rPr>
          <w:b w:val="0"/>
          <w:lang w:eastAsia="en-GB"/>
        </w:rPr>
      </w:pPr>
      <w:r>
        <w:rPr>
          <w:b w:val="0"/>
          <w:lang w:eastAsia="en-GB"/>
        </w:rPr>
        <w:t>The Board</w:t>
      </w:r>
      <w:r w:rsidR="008C7183">
        <w:rPr>
          <w:b w:val="0"/>
          <w:lang w:eastAsia="en-GB"/>
        </w:rPr>
        <w:t xml:space="preserve"> are asked to:</w:t>
      </w:r>
    </w:p>
    <w:p w14:paraId="6B4005FC" w14:textId="0CFE9017" w:rsidR="008C7183" w:rsidRDefault="008C7183" w:rsidP="008C7183">
      <w:pPr>
        <w:pStyle w:val="Heading3"/>
        <w:numPr>
          <w:ilvl w:val="0"/>
          <w:numId w:val="19"/>
        </w:numPr>
        <w:spacing w:line="276" w:lineRule="auto"/>
        <w:rPr>
          <w:b w:val="0"/>
          <w:lang w:eastAsia="en-GB"/>
        </w:rPr>
      </w:pPr>
      <w:r w:rsidRPr="005A5444">
        <w:rPr>
          <w:b w:val="0"/>
          <w:lang w:eastAsia="en-GB"/>
        </w:rPr>
        <w:t>Note the contents of this paper and the</w:t>
      </w:r>
      <w:r w:rsidR="00A76723">
        <w:rPr>
          <w:b w:val="0"/>
          <w:lang w:eastAsia="en-GB"/>
        </w:rPr>
        <w:t xml:space="preserve"> </w:t>
      </w:r>
      <w:r w:rsidR="00A42468">
        <w:rPr>
          <w:b w:val="0"/>
        </w:rPr>
        <w:t>Board’s obligations under the Public Records (Scotland) Act 2011.</w:t>
      </w:r>
    </w:p>
    <w:p w14:paraId="206E10F8" w14:textId="7951B500" w:rsidR="00446219" w:rsidRPr="008C7183" w:rsidRDefault="00446219" w:rsidP="008C7183">
      <w:pPr>
        <w:spacing w:before="40" w:after="40" w:line="276" w:lineRule="auto"/>
        <w:ind w:left="720"/>
        <w:rPr>
          <w:rFonts w:cs="Arial"/>
          <w:color w:val="000000"/>
          <w:szCs w:val="24"/>
          <w:highlight w:val="lightGray"/>
        </w:rPr>
      </w:pPr>
    </w:p>
    <w:p w14:paraId="4B959049" w14:textId="5868B0F6" w:rsidR="00C87B62" w:rsidRPr="002B265A" w:rsidRDefault="00C031BD" w:rsidP="002B265A">
      <w:pPr>
        <w:pStyle w:val="Default"/>
        <w:rPr>
          <w:color w:val="auto"/>
        </w:rPr>
      </w:pPr>
      <w:r>
        <w:rPr>
          <w:sz w:val="28"/>
        </w:rPr>
        <w:t xml:space="preserve">3. </w:t>
      </w:r>
      <w:r>
        <w:rPr>
          <w:sz w:val="28"/>
        </w:rPr>
        <w:tab/>
      </w:r>
      <w:r w:rsidR="00C87B62" w:rsidRPr="00C031BD">
        <w:rPr>
          <w:sz w:val="28"/>
        </w:rPr>
        <w:t>List of appendices</w:t>
      </w:r>
      <w:r w:rsidR="00F54D50" w:rsidRPr="00C031BD">
        <w:rPr>
          <w:sz w:val="28"/>
        </w:rPr>
        <w:br/>
      </w:r>
      <w:r w:rsidR="00F54D50">
        <w:br/>
      </w:r>
      <w:r w:rsidR="00F54D50">
        <w:rPr>
          <w:color w:val="auto"/>
        </w:rPr>
        <w:t>Appendix 1 -</w:t>
      </w:r>
      <w:r w:rsidR="00A42468">
        <w:rPr>
          <w:b/>
          <w:color w:val="auto"/>
        </w:rPr>
        <w:t xml:space="preserve"> </w:t>
      </w:r>
      <w:r w:rsidR="00A42468" w:rsidRPr="00A42468">
        <w:rPr>
          <w:bCs/>
        </w:rPr>
        <w:t>Progress Update Review (PUR) Report by the PRSA Assessment Team</w:t>
      </w:r>
      <w:r w:rsidR="00A42468">
        <w:rPr>
          <w:b/>
          <w:bCs/>
          <w:sz w:val="32"/>
          <w:szCs w:val="32"/>
        </w:rPr>
        <w:t xml:space="preserve"> </w:t>
      </w:r>
      <w:r w:rsidR="00F54D50">
        <w:rPr>
          <w:color w:val="auto"/>
        </w:rPr>
        <w:t xml:space="preserve"> </w:t>
      </w:r>
      <w:r w:rsidR="006A019F">
        <w:rPr>
          <w:color w:val="auto"/>
        </w:rPr>
        <w:br/>
      </w:r>
    </w:p>
    <w:sectPr w:rsidR="00C87B62" w:rsidRPr="002B265A"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F6AD7" w14:textId="77777777" w:rsidR="00A47E28" w:rsidRDefault="00A47E28">
      <w:r>
        <w:separator/>
      </w:r>
    </w:p>
  </w:endnote>
  <w:endnote w:type="continuationSeparator" w:id="0">
    <w:p w14:paraId="3AA07A84" w14:textId="77777777" w:rsidR="00A47E28" w:rsidRDefault="00A4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4355BF19"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C35C7C">
      <w:rPr>
        <w:rFonts w:cs="Arial"/>
        <w:noProof/>
        <w:sz w:val="16"/>
        <w:szCs w:val="16"/>
      </w:rPr>
      <w:t>3</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C35C7C">
      <w:rPr>
        <w:rFonts w:cs="Arial"/>
        <w:noProof/>
        <w:sz w:val="16"/>
        <w:szCs w:val="16"/>
      </w:rPr>
      <w:t>3</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099444" w14:textId="77777777" w:rsidR="00A47E28" w:rsidRDefault="00A47E28">
      <w:r>
        <w:separator/>
      </w:r>
    </w:p>
  </w:footnote>
  <w:footnote w:type="continuationSeparator" w:id="0">
    <w:p w14:paraId="5D081BB9" w14:textId="77777777" w:rsidR="00A47E28" w:rsidRDefault="00A47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6CCCE210" w:rsidR="00610728" w:rsidRPr="00125A9E" w:rsidRDefault="00C35C7C" w:rsidP="00AF356A">
    <w:pPr>
      <w:pStyle w:val="Header"/>
      <w:tabs>
        <w:tab w:val="clear" w:pos="9026"/>
        <w:tab w:val="right" w:pos="9781"/>
      </w:tabs>
      <w:spacing w:after="120"/>
      <w:ind w:right="-1"/>
      <w:jc w:val="right"/>
      <w:rPr>
        <w:rFonts w:cs="Arial"/>
        <w:b/>
        <w:color w:val="2E74B5" w:themeColor="accent1" w:themeShade="BF"/>
        <w:sz w:val="20"/>
      </w:rPr>
    </w:pPr>
    <w:r>
      <w:rPr>
        <w:rFonts w:cs="Arial"/>
        <w:b/>
        <w:color w:val="2E74B5" w:themeColor="accent1" w:themeShade="BF"/>
        <w:sz w:val="20"/>
      </w:rPr>
      <w:t>Board item 3.2.2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D745DC"/>
    <w:multiLevelType w:val="hybridMultilevel"/>
    <w:tmpl w:val="F06A91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3C62FA"/>
    <w:multiLevelType w:val="hybridMultilevel"/>
    <w:tmpl w:val="D770646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60B618B"/>
    <w:multiLevelType w:val="hybridMultilevel"/>
    <w:tmpl w:val="AF40CC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6" w15:restartNumberingAfterBreak="0">
    <w:nsid w:val="1AEE621B"/>
    <w:multiLevelType w:val="hybridMultilevel"/>
    <w:tmpl w:val="D696C11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D615020"/>
    <w:multiLevelType w:val="hybridMultilevel"/>
    <w:tmpl w:val="488A41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1D152A"/>
    <w:multiLevelType w:val="hybridMultilevel"/>
    <w:tmpl w:val="5CC8B7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2"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3"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6F350A4"/>
    <w:multiLevelType w:val="hybridMultilevel"/>
    <w:tmpl w:val="F4C616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962355A"/>
    <w:multiLevelType w:val="hybridMultilevel"/>
    <w:tmpl w:val="07C0B84C"/>
    <w:lvl w:ilvl="0" w:tplc="8C82DB5C">
      <w:start w:val="1"/>
      <w:numFmt w:val="decimal"/>
      <w:lvlText w:val="(%1)"/>
      <w:lvlJc w:val="left"/>
      <w:pPr>
        <w:ind w:left="1060" w:hanging="360"/>
      </w:pPr>
      <w:rPr>
        <w:rFonts w:hint="default"/>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8"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21" w15:restartNumberingAfterBreak="0">
    <w:nsid w:val="4F9F5B19"/>
    <w:multiLevelType w:val="hybridMultilevel"/>
    <w:tmpl w:val="1D34D3F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25" w15:restartNumberingAfterBreak="0">
    <w:nsid w:val="692A3D55"/>
    <w:multiLevelType w:val="hybridMultilevel"/>
    <w:tmpl w:val="5778339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1336ECB"/>
    <w:multiLevelType w:val="hybridMultilevel"/>
    <w:tmpl w:val="5F6AC8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765D1CDD"/>
    <w:multiLevelType w:val="hybridMultilevel"/>
    <w:tmpl w:val="1714D28C"/>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9" w15:restartNumberingAfterBreak="0">
    <w:nsid w:val="7C75722D"/>
    <w:multiLevelType w:val="hybridMultilevel"/>
    <w:tmpl w:val="DB500446"/>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7FB765CF"/>
    <w:multiLevelType w:val="hybridMultilevel"/>
    <w:tmpl w:val="0B3EBB4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24"/>
  </w:num>
  <w:num w:numId="2">
    <w:abstractNumId w:val="0"/>
  </w:num>
  <w:num w:numId="3">
    <w:abstractNumId w:val="18"/>
  </w:num>
  <w:num w:numId="4">
    <w:abstractNumId w:val="26"/>
  </w:num>
  <w:num w:numId="5">
    <w:abstractNumId w:val="14"/>
  </w:num>
  <w:num w:numId="6">
    <w:abstractNumId w:val="11"/>
  </w:num>
  <w:num w:numId="7">
    <w:abstractNumId w:val="19"/>
  </w:num>
  <w:num w:numId="8">
    <w:abstractNumId w:val="9"/>
  </w:num>
  <w:num w:numId="9">
    <w:abstractNumId w:val="22"/>
  </w:num>
  <w:num w:numId="10">
    <w:abstractNumId w:val="5"/>
  </w:num>
  <w:num w:numId="11">
    <w:abstractNumId w:val="23"/>
  </w:num>
  <w:num w:numId="12">
    <w:abstractNumId w:val="3"/>
  </w:num>
  <w:num w:numId="13">
    <w:abstractNumId w:val="8"/>
  </w:num>
  <w:num w:numId="14">
    <w:abstractNumId w:val="12"/>
  </w:num>
  <w:num w:numId="15">
    <w:abstractNumId w:val="15"/>
  </w:num>
  <w:num w:numId="16">
    <w:abstractNumId w:val="13"/>
  </w:num>
  <w:num w:numId="17">
    <w:abstractNumId w:val="20"/>
  </w:num>
  <w:num w:numId="18">
    <w:abstractNumId w:val="27"/>
  </w:num>
  <w:num w:numId="19">
    <w:abstractNumId w:val="17"/>
  </w:num>
  <w:num w:numId="20">
    <w:abstractNumId w:val="28"/>
  </w:num>
  <w:num w:numId="21">
    <w:abstractNumId w:val="7"/>
  </w:num>
  <w:num w:numId="22">
    <w:abstractNumId w:val="1"/>
  </w:num>
  <w:num w:numId="23">
    <w:abstractNumId w:val="16"/>
  </w:num>
  <w:num w:numId="24">
    <w:abstractNumId w:val="30"/>
  </w:num>
  <w:num w:numId="25">
    <w:abstractNumId w:val="29"/>
  </w:num>
  <w:num w:numId="26">
    <w:abstractNumId w:val="6"/>
  </w:num>
  <w:num w:numId="27">
    <w:abstractNumId w:val="2"/>
  </w:num>
  <w:num w:numId="28">
    <w:abstractNumId w:val="21"/>
  </w:num>
  <w:num w:numId="29">
    <w:abstractNumId w:val="4"/>
  </w:num>
  <w:num w:numId="30">
    <w:abstractNumId w:val="1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24D74"/>
    <w:rsid w:val="0003098A"/>
    <w:rsid w:val="000318FB"/>
    <w:rsid w:val="00047714"/>
    <w:rsid w:val="00063729"/>
    <w:rsid w:val="0008430F"/>
    <w:rsid w:val="00091974"/>
    <w:rsid w:val="000945DB"/>
    <w:rsid w:val="00096729"/>
    <w:rsid w:val="000A4654"/>
    <w:rsid w:val="000D6A9F"/>
    <w:rsid w:val="000F7706"/>
    <w:rsid w:val="00125A9E"/>
    <w:rsid w:val="00127E01"/>
    <w:rsid w:val="00140DB3"/>
    <w:rsid w:val="00162668"/>
    <w:rsid w:val="001835A2"/>
    <w:rsid w:val="0023473B"/>
    <w:rsid w:val="002359BE"/>
    <w:rsid w:val="002617A4"/>
    <w:rsid w:val="002652E3"/>
    <w:rsid w:val="0027037F"/>
    <w:rsid w:val="002714D8"/>
    <w:rsid w:val="002A50F5"/>
    <w:rsid w:val="002B265A"/>
    <w:rsid w:val="002C24E5"/>
    <w:rsid w:val="0033790B"/>
    <w:rsid w:val="00355546"/>
    <w:rsid w:val="00367CC0"/>
    <w:rsid w:val="00375E01"/>
    <w:rsid w:val="003E2F2C"/>
    <w:rsid w:val="003F7F61"/>
    <w:rsid w:val="004100F3"/>
    <w:rsid w:val="004244F4"/>
    <w:rsid w:val="00430C09"/>
    <w:rsid w:val="00446219"/>
    <w:rsid w:val="00470B62"/>
    <w:rsid w:val="00487BC5"/>
    <w:rsid w:val="00495B36"/>
    <w:rsid w:val="004A39D0"/>
    <w:rsid w:val="004A71C7"/>
    <w:rsid w:val="004C24DE"/>
    <w:rsid w:val="004E1963"/>
    <w:rsid w:val="0050697C"/>
    <w:rsid w:val="00513C5A"/>
    <w:rsid w:val="00545D39"/>
    <w:rsid w:val="00591C18"/>
    <w:rsid w:val="005F76B4"/>
    <w:rsid w:val="00610728"/>
    <w:rsid w:val="006173A9"/>
    <w:rsid w:val="0063392B"/>
    <w:rsid w:val="00650863"/>
    <w:rsid w:val="0065175C"/>
    <w:rsid w:val="006A019F"/>
    <w:rsid w:val="006C5C9F"/>
    <w:rsid w:val="006D1343"/>
    <w:rsid w:val="006E2513"/>
    <w:rsid w:val="00701C0E"/>
    <w:rsid w:val="007032B6"/>
    <w:rsid w:val="00743A5A"/>
    <w:rsid w:val="00763591"/>
    <w:rsid w:val="007A31C7"/>
    <w:rsid w:val="007D420F"/>
    <w:rsid w:val="007D5A13"/>
    <w:rsid w:val="007E7231"/>
    <w:rsid w:val="007F32CF"/>
    <w:rsid w:val="007F67B9"/>
    <w:rsid w:val="008079B0"/>
    <w:rsid w:val="00812D3E"/>
    <w:rsid w:val="00816E22"/>
    <w:rsid w:val="00875E27"/>
    <w:rsid w:val="008764A7"/>
    <w:rsid w:val="008917CB"/>
    <w:rsid w:val="00897A54"/>
    <w:rsid w:val="008A3838"/>
    <w:rsid w:val="008A6320"/>
    <w:rsid w:val="008C7183"/>
    <w:rsid w:val="00910ACD"/>
    <w:rsid w:val="00927C6C"/>
    <w:rsid w:val="009807B4"/>
    <w:rsid w:val="00983BEA"/>
    <w:rsid w:val="009D2B1A"/>
    <w:rsid w:val="009E36DC"/>
    <w:rsid w:val="00A109C4"/>
    <w:rsid w:val="00A2680C"/>
    <w:rsid w:val="00A34A57"/>
    <w:rsid w:val="00A372C9"/>
    <w:rsid w:val="00A37FF3"/>
    <w:rsid w:val="00A42468"/>
    <w:rsid w:val="00A47E28"/>
    <w:rsid w:val="00A519A5"/>
    <w:rsid w:val="00A62B58"/>
    <w:rsid w:val="00A72373"/>
    <w:rsid w:val="00A76253"/>
    <w:rsid w:val="00A76723"/>
    <w:rsid w:val="00A84C97"/>
    <w:rsid w:val="00AA77F7"/>
    <w:rsid w:val="00AE522B"/>
    <w:rsid w:val="00AF0530"/>
    <w:rsid w:val="00AF356A"/>
    <w:rsid w:val="00B178D4"/>
    <w:rsid w:val="00B35978"/>
    <w:rsid w:val="00B51DA4"/>
    <w:rsid w:val="00B546C8"/>
    <w:rsid w:val="00B562FA"/>
    <w:rsid w:val="00B67180"/>
    <w:rsid w:val="00B729BC"/>
    <w:rsid w:val="00B7445F"/>
    <w:rsid w:val="00B77902"/>
    <w:rsid w:val="00B851FC"/>
    <w:rsid w:val="00BD32BA"/>
    <w:rsid w:val="00BE01FF"/>
    <w:rsid w:val="00BE166F"/>
    <w:rsid w:val="00BF3AF0"/>
    <w:rsid w:val="00C031BD"/>
    <w:rsid w:val="00C1114A"/>
    <w:rsid w:val="00C12CED"/>
    <w:rsid w:val="00C35C7C"/>
    <w:rsid w:val="00C54757"/>
    <w:rsid w:val="00C73BD3"/>
    <w:rsid w:val="00C87B62"/>
    <w:rsid w:val="00C94BF7"/>
    <w:rsid w:val="00CA40B7"/>
    <w:rsid w:val="00CC50BC"/>
    <w:rsid w:val="00D344A7"/>
    <w:rsid w:val="00D3774D"/>
    <w:rsid w:val="00D43E00"/>
    <w:rsid w:val="00D53B78"/>
    <w:rsid w:val="00D5429E"/>
    <w:rsid w:val="00DA2FB5"/>
    <w:rsid w:val="00DD2D3D"/>
    <w:rsid w:val="00DD6252"/>
    <w:rsid w:val="00DE0C3C"/>
    <w:rsid w:val="00DE1C0F"/>
    <w:rsid w:val="00DF1BE0"/>
    <w:rsid w:val="00E71CD2"/>
    <w:rsid w:val="00E750BE"/>
    <w:rsid w:val="00E85712"/>
    <w:rsid w:val="00EB64EB"/>
    <w:rsid w:val="00ED7E58"/>
    <w:rsid w:val="00F3337D"/>
    <w:rsid w:val="00F54D50"/>
    <w:rsid w:val="00F74B5A"/>
    <w:rsid w:val="00F94C08"/>
    <w:rsid w:val="00FC40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aliases w:val="Dot pt,No Spacing1,List Paragraph Char Char Char,Indicator Text,Numbered Para 1,Bullet 1,List Paragraph1,F5 List Paragraph,Bullet Points,List Paragraph11,Colorful List - Accent 11,Colorful List - Accent 12,MAIN CONTENT,List Paragraph12,L"/>
    <w:basedOn w:val="Normal"/>
    <w:link w:val="ListParagraphChar"/>
    <w:uiPriority w:val="34"/>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table" w:styleId="TableGrid">
    <w:name w:val="Table Grid"/>
    <w:basedOn w:val="TableNormal"/>
    <w:uiPriority w:val="59"/>
    <w:rsid w:val="004244F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List Paragraph11 Char,MAIN CONTENT Char,L Char"/>
    <w:basedOn w:val="DefaultParagraphFont"/>
    <w:link w:val="ListParagraph"/>
    <w:uiPriority w:val="34"/>
    <w:qFormat/>
    <w:locked/>
    <w:rsid w:val="00B51DA4"/>
    <w:rPr>
      <w:rFonts w:ascii="Calibri" w:eastAsia="Calibri" w:hAnsi="Calibri" w:cs="Times New Roman"/>
      <w:sz w:val="22"/>
      <w:szCs w:val="22"/>
      <w:lang w:eastAsia="en-GB"/>
    </w:rPr>
  </w:style>
  <w:style w:type="paragraph" w:customStyle="1" w:styleId="Default">
    <w:name w:val="Default"/>
    <w:rsid w:val="00A42468"/>
    <w:pPr>
      <w:autoSpaceDE w:val="0"/>
      <w:autoSpaceDN w:val="0"/>
      <w:adjustRightInd w:val="0"/>
      <w:spacing w:after="0" w:line="240" w:lineRule="auto"/>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01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9</cp:revision>
  <cp:lastPrinted>2019-10-07T12:25:00Z</cp:lastPrinted>
  <dcterms:created xsi:type="dcterms:W3CDTF">2025-06-09T10:30:00Z</dcterms:created>
  <dcterms:modified xsi:type="dcterms:W3CDTF">2025-08-21T11:08:00Z</dcterms:modified>
</cp:coreProperties>
</file>