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FD7A98" w:rsidRDefault="00FD7A98" w:rsidP="00FD7A98">
      <w:pPr>
        <w:pStyle w:val="Heading1"/>
        <w:spacing w:line="276" w:lineRule="auto"/>
        <w:ind w:right="-286"/>
        <w:rPr>
          <w:rFonts w:cs="Arial"/>
          <w:color w:val="002060"/>
          <w:sz w:val="22"/>
          <w:szCs w:val="22"/>
        </w:rPr>
      </w:pPr>
      <w:r w:rsidRPr="00FD7A98">
        <w:rPr>
          <w:rFonts w:cs="Arial"/>
          <w:noProof/>
          <w:szCs w:val="22"/>
          <w:lang w:eastAsia="en-GB"/>
        </w:rPr>
        <w:drawing>
          <wp:anchor distT="0" distB="0" distL="114300" distR="114300" simplePos="0" relativeHeight="251658240" behindDoc="0" locked="0" layoutInCell="1" allowOverlap="1">
            <wp:simplePos x="0" y="0"/>
            <wp:positionH relativeFrom="column">
              <wp:posOffset>5452110</wp:posOffset>
            </wp:positionH>
            <wp:positionV relativeFrom="paragraph">
              <wp:posOffset>0</wp:posOffset>
            </wp:positionV>
            <wp:extent cx="1056640" cy="7334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664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C09" w:rsidRPr="00FD7A98">
        <w:rPr>
          <w:rFonts w:cs="Arial"/>
          <w:color w:val="002060"/>
          <w:szCs w:val="22"/>
        </w:rPr>
        <w:t xml:space="preserve">NHS </w:t>
      </w:r>
      <w:r w:rsidR="00DD6252" w:rsidRPr="00FD7A98">
        <w:rPr>
          <w:rFonts w:cs="Arial"/>
          <w:color w:val="002060"/>
          <w:szCs w:val="22"/>
        </w:rPr>
        <w:t>Golden Jubilee</w:t>
      </w:r>
      <w:r w:rsidR="00DD6252" w:rsidRPr="00FD7A98">
        <w:rPr>
          <w:rFonts w:cs="Arial"/>
          <w:color w:val="002060"/>
          <w:szCs w:val="22"/>
        </w:rPr>
        <w:tab/>
      </w:r>
      <w:r w:rsidR="00DD6252" w:rsidRPr="00FD7A98">
        <w:rPr>
          <w:rFonts w:cs="Arial"/>
          <w:color w:val="002060"/>
          <w:szCs w:val="22"/>
        </w:rPr>
        <w:tab/>
      </w:r>
      <w:r w:rsidR="00DD6252" w:rsidRPr="00FD7A98">
        <w:rPr>
          <w:rFonts w:cs="Arial"/>
          <w:color w:val="002060"/>
          <w:sz w:val="22"/>
          <w:szCs w:val="22"/>
        </w:rPr>
        <w:tab/>
      </w:r>
      <w:r w:rsidR="00DD6252" w:rsidRPr="00FD7A98">
        <w:rPr>
          <w:rFonts w:cs="Arial"/>
          <w:color w:val="002060"/>
          <w:sz w:val="22"/>
          <w:szCs w:val="22"/>
        </w:rPr>
        <w:tab/>
      </w:r>
      <w:r w:rsidR="00DD6252" w:rsidRPr="00FD7A98">
        <w:rPr>
          <w:rFonts w:cs="Arial"/>
          <w:color w:val="002060"/>
          <w:sz w:val="22"/>
          <w:szCs w:val="22"/>
        </w:rPr>
        <w:tab/>
      </w:r>
      <w:r w:rsidR="00DD6252" w:rsidRPr="00FD7A98">
        <w:rPr>
          <w:rFonts w:cs="Arial"/>
          <w:noProof/>
          <w:sz w:val="22"/>
          <w:szCs w:val="22"/>
          <w:lang w:eastAsia="en-GB"/>
        </w:rPr>
        <w:t xml:space="preserve"> </w:t>
      </w:r>
    </w:p>
    <w:p w:rsidR="00446219" w:rsidRPr="00FD7A98" w:rsidRDefault="00446219" w:rsidP="00FD7A98">
      <w:pPr>
        <w:pStyle w:val="Heading2"/>
        <w:rPr>
          <w:rStyle w:val="Heading3Char"/>
          <w:rFonts w:cs="Arial"/>
          <w:b/>
          <w:sz w:val="24"/>
          <w:szCs w:val="24"/>
        </w:rPr>
      </w:pPr>
    </w:p>
    <w:p w:rsidR="009807B4" w:rsidRPr="00FD7A98" w:rsidRDefault="0023473B" w:rsidP="00FD7A98">
      <w:pPr>
        <w:pStyle w:val="Heading3"/>
        <w:spacing w:line="360" w:lineRule="auto"/>
        <w:ind w:left="4536" w:hanging="4536"/>
        <w:rPr>
          <w:rFonts w:cs="Arial"/>
        </w:rPr>
      </w:pPr>
      <w:r w:rsidRPr="00FD7A98">
        <w:rPr>
          <w:rStyle w:val="Heading3Char"/>
          <w:rFonts w:cs="Arial"/>
          <w:b/>
        </w:rPr>
        <w:t>Meeting:</w:t>
      </w:r>
      <w:r w:rsidR="00B77902" w:rsidRPr="00FD7A98">
        <w:rPr>
          <w:rStyle w:val="Heading3Char"/>
          <w:rFonts w:cs="Arial"/>
          <w:b/>
        </w:rPr>
        <w:tab/>
      </w:r>
      <w:r w:rsidR="00A823E1">
        <w:rPr>
          <w:rStyle w:val="Heading3Char"/>
          <w:rFonts w:cs="Arial"/>
          <w:b/>
        </w:rPr>
        <w:t>NHS Golden Jubilee Board</w:t>
      </w:r>
      <w:r w:rsidR="00B6789A">
        <w:rPr>
          <w:rStyle w:val="Heading3Char"/>
          <w:rFonts w:cs="Arial"/>
          <w:b/>
        </w:rPr>
        <w:t xml:space="preserve"> </w:t>
      </w:r>
    </w:p>
    <w:p w:rsidR="00430C09" w:rsidRPr="00FD7A98" w:rsidRDefault="00430C09" w:rsidP="00FD7A98">
      <w:pPr>
        <w:pStyle w:val="Heading3"/>
        <w:spacing w:line="360" w:lineRule="auto"/>
        <w:ind w:left="4536" w:hanging="4536"/>
        <w:rPr>
          <w:rFonts w:cs="Arial"/>
        </w:rPr>
      </w:pPr>
      <w:r w:rsidRPr="00FD7A98">
        <w:rPr>
          <w:rStyle w:val="Heading3Char"/>
          <w:rFonts w:cs="Arial"/>
          <w:b/>
        </w:rPr>
        <w:t>Meeting dat</w:t>
      </w:r>
      <w:r w:rsidR="0023473B" w:rsidRPr="00FD7A98">
        <w:rPr>
          <w:rStyle w:val="Heading3Char"/>
          <w:rFonts w:cs="Arial"/>
          <w:b/>
        </w:rPr>
        <w:t>e:</w:t>
      </w:r>
      <w:r w:rsidR="00B77902" w:rsidRPr="00FD7A98">
        <w:rPr>
          <w:rStyle w:val="Heading3Char"/>
          <w:rFonts w:cs="Arial"/>
          <w:b/>
        </w:rPr>
        <w:tab/>
      </w:r>
      <w:r w:rsidR="00A823E1">
        <w:rPr>
          <w:rStyle w:val="Heading3Char"/>
          <w:rFonts w:cs="Arial"/>
          <w:b/>
        </w:rPr>
        <w:t>28</w:t>
      </w:r>
      <w:r w:rsidR="00B6789A">
        <w:rPr>
          <w:rStyle w:val="Heading3Char"/>
          <w:rFonts w:cs="Arial"/>
          <w:b/>
        </w:rPr>
        <w:t xml:space="preserve"> August</w:t>
      </w:r>
      <w:r w:rsidR="0089297F" w:rsidRPr="00FD7A98">
        <w:rPr>
          <w:rStyle w:val="Heading3Char"/>
          <w:rFonts w:cs="Arial"/>
          <w:b/>
        </w:rPr>
        <w:t xml:space="preserve"> 2025</w:t>
      </w:r>
    </w:p>
    <w:p w:rsidR="00B77902" w:rsidRPr="00FD7A98" w:rsidRDefault="00430C09" w:rsidP="00FD7A98">
      <w:pPr>
        <w:pStyle w:val="Heading3"/>
        <w:spacing w:line="360" w:lineRule="auto"/>
        <w:ind w:left="4536" w:hanging="4536"/>
        <w:rPr>
          <w:rFonts w:cs="Arial"/>
        </w:rPr>
      </w:pPr>
      <w:r w:rsidRPr="00FD7A98">
        <w:rPr>
          <w:rStyle w:val="Heading3Char"/>
          <w:rFonts w:cs="Arial"/>
          <w:b/>
        </w:rPr>
        <w:t>Title</w:t>
      </w:r>
      <w:r w:rsidR="00AA77F7" w:rsidRPr="00FD7A98">
        <w:rPr>
          <w:rStyle w:val="Heading3Char"/>
          <w:rFonts w:cs="Arial"/>
          <w:b/>
        </w:rPr>
        <w:t>:</w:t>
      </w:r>
      <w:r w:rsidR="00B77902" w:rsidRPr="00FD7A98">
        <w:rPr>
          <w:rStyle w:val="Heading3Char"/>
          <w:rFonts w:cs="Arial"/>
          <w:b/>
        </w:rPr>
        <w:tab/>
      </w:r>
      <w:r w:rsidR="005A1B79" w:rsidRPr="00FD7A98">
        <w:rPr>
          <w:rStyle w:val="Heading3Char"/>
          <w:rFonts w:cs="Arial"/>
          <w:b/>
        </w:rPr>
        <w:t>NHSGJ Anti-racism Action Plan</w:t>
      </w:r>
    </w:p>
    <w:p w:rsidR="0003098A" w:rsidRPr="00FD7A98" w:rsidRDefault="0003098A" w:rsidP="00FD7A98">
      <w:pPr>
        <w:pStyle w:val="Heading3"/>
        <w:spacing w:line="360" w:lineRule="auto"/>
        <w:ind w:left="4536" w:hanging="4536"/>
        <w:rPr>
          <w:rStyle w:val="Heading3Char"/>
          <w:rFonts w:cs="Arial"/>
          <w:b/>
        </w:rPr>
      </w:pPr>
      <w:r w:rsidRPr="00FD7A98">
        <w:rPr>
          <w:rStyle w:val="Heading3Char"/>
          <w:rFonts w:cs="Arial"/>
          <w:b/>
        </w:rPr>
        <w:t>R</w:t>
      </w:r>
      <w:r w:rsidR="00430C09" w:rsidRPr="00FD7A98">
        <w:rPr>
          <w:rStyle w:val="Heading3Char"/>
          <w:rFonts w:cs="Arial"/>
          <w:b/>
        </w:rPr>
        <w:t>esponsible Executive/Non-Executive</w:t>
      </w:r>
      <w:r w:rsidRPr="00FD7A98">
        <w:rPr>
          <w:rStyle w:val="Heading3Char"/>
          <w:rFonts w:cs="Arial"/>
          <w:b/>
        </w:rPr>
        <w:t xml:space="preserve">: </w:t>
      </w:r>
      <w:r w:rsidR="00B77902" w:rsidRPr="00FD7A98">
        <w:rPr>
          <w:rStyle w:val="Heading3Char"/>
          <w:rFonts w:cs="Arial"/>
          <w:b/>
        </w:rPr>
        <w:tab/>
      </w:r>
      <w:r w:rsidR="0089297F" w:rsidRPr="00FD7A98">
        <w:rPr>
          <w:rStyle w:val="Heading3Char"/>
          <w:rFonts w:cs="Arial"/>
          <w:b/>
        </w:rPr>
        <w:t>Laura Smith,</w:t>
      </w:r>
      <w:r w:rsidR="00A823E1">
        <w:rPr>
          <w:rStyle w:val="Heading3Char"/>
          <w:rFonts w:cs="Arial"/>
          <w:b/>
        </w:rPr>
        <w:t xml:space="preserve"> Executive</w:t>
      </w:r>
      <w:r w:rsidR="0089297F" w:rsidRPr="00FD7A98">
        <w:rPr>
          <w:rStyle w:val="Heading3Char"/>
          <w:rFonts w:cs="Arial"/>
          <w:b/>
        </w:rPr>
        <w:t xml:space="preserve"> Director of People and Culture</w:t>
      </w:r>
    </w:p>
    <w:p w:rsidR="005A1B79" w:rsidRPr="00FD7A98" w:rsidRDefault="00231E2B" w:rsidP="00231E2B">
      <w:pPr>
        <w:ind w:left="4515"/>
        <w:rPr>
          <w:rFonts w:eastAsiaTheme="majorEastAsia" w:cs="Arial"/>
          <w:b/>
          <w:szCs w:val="24"/>
        </w:rPr>
      </w:pPr>
      <w:r>
        <w:rPr>
          <w:rFonts w:eastAsiaTheme="majorEastAsia" w:cs="Arial"/>
          <w:b/>
          <w:szCs w:val="24"/>
        </w:rPr>
        <w:t>Jenny Pope, Deputy</w:t>
      </w:r>
      <w:r w:rsidR="005A1B79" w:rsidRPr="00FD7A98">
        <w:rPr>
          <w:rFonts w:eastAsiaTheme="majorEastAsia" w:cs="Arial"/>
          <w:b/>
          <w:szCs w:val="24"/>
        </w:rPr>
        <w:t xml:space="preserve"> Director of People and Culture</w:t>
      </w:r>
      <w:r w:rsidR="005A1B79" w:rsidRPr="00FD7A98">
        <w:rPr>
          <w:rFonts w:eastAsiaTheme="majorEastAsia" w:cs="Arial"/>
          <w:b/>
          <w:szCs w:val="24"/>
        </w:rPr>
        <w:tab/>
      </w:r>
      <w:r w:rsidR="005A1B79" w:rsidRPr="00FD7A98">
        <w:rPr>
          <w:rFonts w:eastAsiaTheme="majorEastAsia" w:cs="Arial"/>
          <w:b/>
          <w:szCs w:val="24"/>
        </w:rPr>
        <w:tab/>
      </w:r>
    </w:p>
    <w:p w:rsidR="00430C09" w:rsidRPr="00FD7A98" w:rsidRDefault="00430C09" w:rsidP="00FD7A98">
      <w:pPr>
        <w:pStyle w:val="Heading3"/>
        <w:spacing w:line="360" w:lineRule="auto"/>
        <w:ind w:left="4536" w:hanging="4536"/>
        <w:rPr>
          <w:rStyle w:val="Heading3Char"/>
          <w:rFonts w:cs="Arial"/>
          <w:b/>
        </w:rPr>
      </w:pPr>
      <w:r w:rsidRPr="00FD7A98">
        <w:rPr>
          <w:rStyle w:val="Heading3Char"/>
          <w:rFonts w:cs="Arial"/>
          <w:b/>
        </w:rPr>
        <w:t>Report Author</w:t>
      </w:r>
      <w:r w:rsidR="0003098A" w:rsidRPr="00FD7A98">
        <w:rPr>
          <w:rStyle w:val="Heading3Char"/>
          <w:rFonts w:cs="Arial"/>
          <w:b/>
        </w:rPr>
        <w:t>:</w:t>
      </w:r>
      <w:r w:rsidR="00B77902" w:rsidRPr="00FD7A98">
        <w:rPr>
          <w:rStyle w:val="Heading3Char"/>
          <w:rFonts w:cs="Arial"/>
          <w:b/>
        </w:rPr>
        <w:tab/>
      </w:r>
      <w:r w:rsidR="005A1B79" w:rsidRPr="00FD7A98">
        <w:rPr>
          <w:rStyle w:val="Heading3Char"/>
          <w:rFonts w:cs="Arial"/>
          <w:b/>
        </w:rPr>
        <w:t>Rob White, Equality and Inclusion Lead</w:t>
      </w:r>
    </w:p>
    <w:p w:rsidR="00B77902" w:rsidRPr="00FD7A98" w:rsidRDefault="00B77902" w:rsidP="00FD7A98">
      <w:pPr>
        <w:rPr>
          <w:rFonts w:cs="Arial"/>
          <w:szCs w:val="24"/>
        </w:rPr>
      </w:pPr>
    </w:p>
    <w:p w:rsidR="009807B4" w:rsidRPr="00FD7A98" w:rsidRDefault="00BF3AF0" w:rsidP="00FD7A98">
      <w:pPr>
        <w:pStyle w:val="Heading2"/>
        <w:spacing w:line="276" w:lineRule="auto"/>
        <w:rPr>
          <w:rFonts w:cs="Arial"/>
          <w:szCs w:val="24"/>
        </w:rPr>
      </w:pPr>
      <w:r w:rsidRPr="00FD7A98">
        <w:rPr>
          <w:rFonts w:cs="Arial"/>
          <w:szCs w:val="24"/>
        </w:rPr>
        <w:t>1</w:t>
      </w:r>
      <w:r w:rsidRPr="00FD7A98">
        <w:rPr>
          <w:rFonts w:cs="Arial"/>
          <w:szCs w:val="24"/>
        </w:rPr>
        <w:tab/>
      </w:r>
      <w:r w:rsidR="00430C09" w:rsidRPr="00FD7A98">
        <w:rPr>
          <w:rFonts w:cs="Arial"/>
          <w:szCs w:val="24"/>
        </w:rPr>
        <w:t>Purpose</w:t>
      </w:r>
    </w:p>
    <w:p w:rsidR="009828B9" w:rsidRPr="00FD7A98" w:rsidRDefault="00430C09" w:rsidP="00FD7A98">
      <w:pPr>
        <w:autoSpaceDE w:val="0"/>
        <w:autoSpaceDN w:val="0"/>
        <w:adjustRightInd w:val="0"/>
        <w:spacing w:before="40" w:after="40" w:line="276" w:lineRule="auto"/>
        <w:ind w:left="720"/>
        <w:rPr>
          <w:rFonts w:cs="Arial"/>
          <w:b/>
          <w:color w:val="000000"/>
          <w:szCs w:val="24"/>
          <w:lang w:eastAsia="en-GB"/>
        </w:rPr>
      </w:pPr>
      <w:r w:rsidRPr="00FD7A98">
        <w:rPr>
          <w:rFonts w:cs="Arial"/>
          <w:b/>
          <w:szCs w:val="24"/>
          <w:lang w:eastAsia="en-GB"/>
        </w:rPr>
        <w:t>This</w:t>
      </w:r>
      <w:r w:rsidR="00446219" w:rsidRPr="00FD7A98">
        <w:rPr>
          <w:rFonts w:cs="Arial"/>
          <w:b/>
          <w:szCs w:val="24"/>
          <w:lang w:eastAsia="en-GB"/>
        </w:rPr>
        <w:t xml:space="preserve"> is presented to the </w:t>
      </w:r>
      <w:r w:rsidR="00A823E1">
        <w:rPr>
          <w:rFonts w:cs="Arial"/>
          <w:b/>
          <w:szCs w:val="24"/>
          <w:lang w:eastAsia="en-GB"/>
        </w:rPr>
        <w:t>NHS Golden Jubilee</w:t>
      </w:r>
      <w:r w:rsidR="0089297F" w:rsidRPr="00FD7A98">
        <w:rPr>
          <w:rFonts w:cs="Arial"/>
          <w:b/>
          <w:szCs w:val="24"/>
          <w:lang w:eastAsia="en-GB"/>
        </w:rPr>
        <w:t xml:space="preserve"> </w:t>
      </w:r>
      <w:r w:rsidR="00446219" w:rsidRPr="00FD7A98">
        <w:rPr>
          <w:rFonts w:cs="Arial"/>
          <w:b/>
          <w:szCs w:val="24"/>
          <w:lang w:eastAsia="en-GB"/>
        </w:rPr>
        <w:t xml:space="preserve">for: </w:t>
      </w:r>
    </w:p>
    <w:p w:rsidR="0089297F" w:rsidRPr="00FD7A98" w:rsidRDefault="0089297F" w:rsidP="00FD7A98">
      <w:pPr>
        <w:pStyle w:val="Heading3"/>
        <w:numPr>
          <w:ilvl w:val="0"/>
          <w:numId w:val="9"/>
        </w:numPr>
        <w:spacing w:line="276" w:lineRule="auto"/>
        <w:ind w:left="1080"/>
        <w:rPr>
          <w:rFonts w:cs="Arial"/>
          <w:b w:val="0"/>
          <w:lang w:eastAsia="en-GB"/>
        </w:rPr>
      </w:pPr>
      <w:r w:rsidRPr="00FD7A98">
        <w:rPr>
          <w:rFonts w:cs="Arial"/>
          <w:b w:val="0"/>
          <w:lang w:eastAsia="en-GB"/>
        </w:rPr>
        <w:t>Approval</w:t>
      </w:r>
    </w:p>
    <w:p w:rsidR="00430C09" w:rsidRPr="00FD7A98" w:rsidRDefault="00430C09" w:rsidP="00FD7A98">
      <w:pPr>
        <w:autoSpaceDE w:val="0"/>
        <w:autoSpaceDN w:val="0"/>
        <w:adjustRightInd w:val="0"/>
        <w:spacing w:before="40" w:after="40" w:line="276" w:lineRule="auto"/>
        <w:ind w:left="720"/>
        <w:rPr>
          <w:rFonts w:cs="Arial"/>
          <w:color w:val="000000"/>
          <w:szCs w:val="24"/>
          <w:lang w:eastAsia="en-GB"/>
        </w:rPr>
      </w:pPr>
    </w:p>
    <w:p w:rsidR="00430C09" w:rsidRPr="00FD7A98" w:rsidRDefault="00430C09" w:rsidP="00FD7A98">
      <w:pPr>
        <w:pStyle w:val="Heading3"/>
        <w:ind w:left="720"/>
        <w:rPr>
          <w:rFonts w:cs="Arial"/>
          <w:lang w:eastAsia="en-GB"/>
        </w:rPr>
      </w:pPr>
      <w:r w:rsidRPr="00FD7A98">
        <w:rPr>
          <w:rFonts w:cs="Arial"/>
          <w:lang w:eastAsia="en-GB"/>
        </w:rPr>
        <w:t>This report relates to</w:t>
      </w:r>
      <w:r w:rsidR="00AA77F7" w:rsidRPr="00FD7A98">
        <w:rPr>
          <w:rFonts w:cs="Arial"/>
          <w:lang w:eastAsia="en-GB"/>
        </w:rPr>
        <w:t xml:space="preserve"> a</w:t>
      </w:r>
      <w:r w:rsidRPr="00FD7A98">
        <w:rPr>
          <w:rFonts w:cs="Arial"/>
          <w:lang w:eastAsia="en-GB"/>
        </w:rPr>
        <w:t>:</w:t>
      </w:r>
      <w:r w:rsidR="0089297F" w:rsidRPr="00FD7A98">
        <w:rPr>
          <w:rFonts w:cs="Arial"/>
          <w:lang w:eastAsia="en-GB"/>
        </w:rPr>
        <w:t xml:space="preserve"> </w:t>
      </w:r>
    </w:p>
    <w:p w:rsidR="009807B4" w:rsidRPr="00FD7A98" w:rsidRDefault="009807B4" w:rsidP="00FD7A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FD7A98">
        <w:rPr>
          <w:rFonts w:ascii="Arial" w:hAnsi="Arial" w:cs="Arial"/>
          <w:color w:val="000000"/>
          <w:sz w:val="24"/>
          <w:szCs w:val="24"/>
        </w:rPr>
        <w:t>Government policy/directive</w:t>
      </w:r>
    </w:p>
    <w:p w:rsidR="009807B4" w:rsidRPr="00FD7A98" w:rsidRDefault="009807B4" w:rsidP="00FD7A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FD7A98">
        <w:rPr>
          <w:rFonts w:ascii="Arial" w:hAnsi="Arial" w:cs="Arial"/>
          <w:color w:val="000000"/>
          <w:sz w:val="24"/>
          <w:szCs w:val="24"/>
        </w:rPr>
        <w:t>Legal requirement</w:t>
      </w:r>
    </w:p>
    <w:p w:rsidR="009807B4" w:rsidRPr="00FD7A98" w:rsidRDefault="009807B4" w:rsidP="00FD7A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FD7A98">
        <w:rPr>
          <w:rFonts w:ascii="Arial" w:hAnsi="Arial" w:cs="Arial"/>
          <w:color w:val="000000"/>
          <w:sz w:val="24"/>
          <w:szCs w:val="24"/>
        </w:rPr>
        <w:t>Local policy</w:t>
      </w:r>
    </w:p>
    <w:p w:rsidR="00430C09" w:rsidRPr="00FD7A98" w:rsidRDefault="00430C09" w:rsidP="00FD7A98">
      <w:pPr>
        <w:autoSpaceDE w:val="0"/>
        <w:autoSpaceDN w:val="0"/>
        <w:adjustRightInd w:val="0"/>
        <w:spacing w:before="40" w:after="40" w:line="276" w:lineRule="auto"/>
        <w:ind w:left="720"/>
        <w:rPr>
          <w:rFonts w:cs="Arial"/>
          <w:color w:val="000000"/>
          <w:szCs w:val="24"/>
          <w:lang w:eastAsia="en-GB"/>
        </w:rPr>
      </w:pPr>
    </w:p>
    <w:p w:rsidR="00430C09" w:rsidRPr="00FD7A98" w:rsidRDefault="00430C09" w:rsidP="00FD7A98">
      <w:pPr>
        <w:pStyle w:val="Heading3"/>
        <w:ind w:left="720"/>
        <w:rPr>
          <w:rFonts w:cs="Arial"/>
          <w:lang w:eastAsia="en-GB"/>
        </w:rPr>
      </w:pPr>
      <w:r w:rsidRPr="00FD7A98">
        <w:rPr>
          <w:rFonts w:cs="Arial"/>
          <w:lang w:eastAsia="en-GB"/>
        </w:rPr>
        <w:t>This aligns to the following</w:t>
      </w:r>
      <w:r w:rsidR="00047714" w:rsidRPr="00FD7A98">
        <w:rPr>
          <w:rFonts w:cs="Arial"/>
          <w:lang w:eastAsia="en-GB"/>
        </w:rPr>
        <w:t xml:space="preserve"> </w:t>
      </w:r>
      <w:proofErr w:type="spellStart"/>
      <w:r w:rsidR="00047714" w:rsidRPr="00FD7A98">
        <w:rPr>
          <w:rFonts w:cs="Arial"/>
          <w:lang w:eastAsia="en-GB"/>
        </w:rPr>
        <w:t>NHSScotland</w:t>
      </w:r>
      <w:proofErr w:type="spellEnd"/>
      <w:r w:rsidRPr="00FD7A98">
        <w:rPr>
          <w:rFonts w:cs="Arial"/>
          <w:lang w:eastAsia="en-GB"/>
        </w:rPr>
        <w:t xml:space="preserve"> quality </w:t>
      </w:r>
      <w:r w:rsidR="009807B4" w:rsidRPr="00FD7A98">
        <w:rPr>
          <w:rFonts w:cs="Arial"/>
          <w:lang w:eastAsia="en-GB"/>
        </w:rPr>
        <w:t>ambition(s)</w:t>
      </w:r>
      <w:r w:rsidRPr="00FD7A98">
        <w:rPr>
          <w:rFonts w:cs="Arial"/>
          <w:lang w:eastAsia="en-GB"/>
        </w:rPr>
        <w:t>:</w:t>
      </w:r>
      <w:r w:rsidR="0089297F" w:rsidRPr="00FD7A98">
        <w:rPr>
          <w:rFonts w:cs="Arial"/>
          <w:lang w:eastAsia="en-GB"/>
        </w:rPr>
        <w:t xml:space="preserve"> </w:t>
      </w:r>
    </w:p>
    <w:p w:rsidR="003F7F61" w:rsidRPr="00FD7A98" w:rsidRDefault="003F7F61" w:rsidP="00FD7A98">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FD7A98">
        <w:rPr>
          <w:rFonts w:ascii="Arial" w:hAnsi="Arial" w:cs="Arial"/>
          <w:color w:val="000000"/>
          <w:sz w:val="24"/>
          <w:szCs w:val="24"/>
        </w:rPr>
        <w:t>Safe</w:t>
      </w:r>
    </w:p>
    <w:p w:rsidR="009807B4" w:rsidRPr="00FD7A98" w:rsidRDefault="009807B4" w:rsidP="00FD7A98">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FD7A98">
        <w:rPr>
          <w:rFonts w:ascii="Arial" w:hAnsi="Arial" w:cs="Arial"/>
          <w:color w:val="000000"/>
          <w:sz w:val="24"/>
          <w:szCs w:val="24"/>
        </w:rPr>
        <w:t>Effective</w:t>
      </w:r>
    </w:p>
    <w:p w:rsidR="009807B4" w:rsidRPr="00FD7A98" w:rsidRDefault="009807B4" w:rsidP="00FD7A98">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FD7A98">
        <w:rPr>
          <w:rFonts w:ascii="Arial" w:hAnsi="Arial" w:cs="Arial"/>
          <w:color w:val="000000"/>
          <w:sz w:val="24"/>
          <w:szCs w:val="24"/>
        </w:rPr>
        <w:t>Person Centred</w:t>
      </w:r>
    </w:p>
    <w:p w:rsidR="00B546C8" w:rsidRPr="00FD7A98" w:rsidRDefault="00B546C8" w:rsidP="00FD7A98">
      <w:pPr>
        <w:autoSpaceDE w:val="0"/>
        <w:autoSpaceDN w:val="0"/>
        <w:adjustRightInd w:val="0"/>
        <w:spacing w:before="40" w:after="40" w:line="276" w:lineRule="auto"/>
        <w:ind w:left="720"/>
        <w:rPr>
          <w:rFonts w:cs="Arial"/>
          <w:color w:val="000000"/>
          <w:szCs w:val="24"/>
          <w:highlight w:val="lightGray"/>
        </w:rPr>
      </w:pPr>
    </w:p>
    <w:p w:rsidR="00B546C8" w:rsidRPr="00FD7A98" w:rsidRDefault="00B546C8" w:rsidP="00FD7A98">
      <w:pPr>
        <w:autoSpaceDE w:val="0"/>
        <w:autoSpaceDN w:val="0"/>
        <w:adjustRightInd w:val="0"/>
        <w:spacing w:before="40" w:after="40" w:line="276" w:lineRule="auto"/>
        <w:ind w:left="720"/>
        <w:rPr>
          <w:rFonts w:cs="Arial"/>
          <w:b/>
          <w:color w:val="000000"/>
          <w:szCs w:val="24"/>
        </w:rPr>
      </w:pPr>
      <w:r w:rsidRPr="00FD7A98">
        <w:rPr>
          <w:rFonts w:cs="Arial"/>
          <w:b/>
          <w:color w:val="000000"/>
          <w:szCs w:val="24"/>
        </w:rPr>
        <w:t>This aligns to the following NHSGJ Corporate Objectives:</w:t>
      </w:r>
    </w:p>
    <w:p w:rsidR="0089297F" w:rsidRPr="00FD7A98" w:rsidRDefault="0089297F" w:rsidP="00FD7A98">
      <w:pPr>
        <w:autoSpaceDE w:val="0"/>
        <w:autoSpaceDN w:val="0"/>
        <w:adjustRightInd w:val="0"/>
        <w:spacing w:before="40" w:after="40" w:line="276" w:lineRule="auto"/>
        <w:ind w:left="720"/>
        <w:rPr>
          <w:rFonts w:cs="Arial"/>
          <w:color w:val="000000"/>
          <w:szCs w:val="24"/>
        </w:rPr>
      </w:pPr>
      <w:r w:rsidRPr="00FD7A98">
        <w:rPr>
          <w:rFonts w:cs="Arial"/>
          <w:b/>
          <w:color w:val="000000"/>
          <w:szCs w:val="24"/>
        </w:rPr>
        <w:t xml:space="preserve">Better Workplace:  </w:t>
      </w:r>
      <w:r w:rsidRPr="00FD7A98">
        <w:rPr>
          <w:rFonts w:cs="Arial"/>
          <w:color w:val="000000"/>
          <w:szCs w:val="24"/>
        </w:rPr>
        <w:t>Creating an inclusive and kind workplace that promotes health and wellbeing.</w:t>
      </w:r>
    </w:p>
    <w:p w:rsidR="00430C09" w:rsidRPr="00FD7A98" w:rsidRDefault="00430C09" w:rsidP="00FD7A98">
      <w:pPr>
        <w:spacing w:line="276" w:lineRule="auto"/>
        <w:rPr>
          <w:rFonts w:cs="Arial"/>
          <w:szCs w:val="24"/>
        </w:rPr>
      </w:pPr>
    </w:p>
    <w:p w:rsidR="0003098A" w:rsidRPr="00FD7A98" w:rsidRDefault="00C94BF7" w:rsidP="00FD7A98">
      <w:pPr>
        <w:pStyle w:val="Heading2"/>
        <w:spacing w:line="276" w:lineRule="auto"/>
        <w:rPr>
          <w:rFonts w:cs="Arial"/>
          <w:szCs w:val="24"/>
        </w:rPr>
      </w:pPr>
      <w:r w:rsidRPr="00FD7A98">
        <w:rPr>
          <w:rFonts w:cs="Arial"/>
          <w:szCs w:val="24"/>
        </w:rPr>
        <w:t>2</w:t>
      </w:r>
      <w:r w:rsidR="00BF3AF0" w:rsidRPr="00FD7A98">
        <w:rPr>
          <w:rFonts w:cs="Arial"/>
          <w:szCs w:val="24"/>
        </w:rPr>
        <w:tab/>
      </w:r>
      <w:r w:rsidR="00430C09" w:rsidRPr="00FD7A98">
        <w:rPr>
          <w:rFonts w:cs="Arial"/>
          <w:szCs w:val="24"/>
        </w:rPr>
        <w:t>Report summary</w:t>
      </w:r>
      <w:r w:rsidR="00430C09" w:rsidRPr="00FD7A98">
        <w:rPr>
          <w:rFonts w:cs="Arial"/>
          <w:szCs w:val="24"/>
        </w:rPr>
        <w:tab/>
      </w:r>
    </w:p>
    <w:p w:rsidR="0089297F" w:rsidRPr="00FD7A98" w:rsidRDefault="00C94BF7" w:rsidP="00FD7A98">
      <w:pPr>
        <w:pStyle w:val="Heading2"/>
        <w:rPr>
          <w:rFonts w:cs="Arial"/>
          <w:szCs w:val="24"/>
        </w:rPr>
      </w:pPr>
      <w:r w:rsidRPr="00FD7A98">
        <w:rPr>
          <w:rFonts w:cs="Arial"/>
          <w:szCs w:val="24"/>
        </w:rPr>
        <w:t>2</w:t>
      </w:r>
      <w:r w:rsidR="00BF3AF0" w:rsidRPr="00FD7A98">
        <w:rPr>
          <w:rFonts w:cs="Arial"/>
          <w:szCs w:val="24"/>
        </w:rPr>
        <w:t>.1</w:t>
      </w:r>
      <w:r w:rsidR="00BF3AF0" w:rsidRPr="00FD7A98">
        <w:rPr>
          <w:rFonts w:cs="Arial"/>
          <w:szCs w:val="24"/>
        </w:rPr>
        <w:tab/>
      </w:r>
      <w:r w:rsidR="00430C09" w:rsidRPr="00FD7A98">
        <w:rPr>
          <w:rFonts w:cs="Arial"/>
          <w:szCs w:val="24"/>
        </w:rPr>
        <w:t>Situation</w:t>
      </w:r>
    </w:p>
    <w:p w:rsidR="0089297F" w:rsidRPr="00FD7A98" w:rsidRDefault="005A1B79" w:rsidP="00FD7A98">
      <w:pPr>
        <w:spacing w:after="160" w:line="259" w:lineRule="auto"/>
        <w:rPr>
          <w:rFonts w:cs="Arial"/>
          <w:szCs w:val="24"/>
        </w:rPr>
      </w:pPr>
      <w:r w:rsidRPr="00FD7A98">
        <w:rPr>
          <w:rFonts w:cs="Arial"/>
          <w:szCs w:val="24"/>
        </w:rPr>
        <w:t>The Scottish Government has requested that all NHS Scotland health boards develop and implement an Anti-racism Action Plan</w:t>
      </w:r>
      <w:r w:rsidR="004A5F47" w:rsidRPr="00FD7A98">
        <w:rPr>
          <w:rFonts w:cs="Arial"/>
          <w:szCs w:val="24"/>
        </w:rPr>
        <w:t xml:space="preserve"> focusing on targeted interventions and initiatives to address racialized health inequalities</w:t>
      </w:r>
      <w:r w:rsidR="00F26F0F" w:rsidRPr="00FD7A98">
        <w:rPr>
          <w:rFonts w:cs="Arial"/>
          <w:szCs w:val="24"/>
        </w:rPr>
        <w:t xml:space="preserve"> for service users in addition to fostering strengthened inclusive workplace practices for our ethnic minority colleagues.</w:t>
      </w:r>
      <w:r w:rsidR="005A56E7" w:rsidRPr="00FD7A98">
        <w:rPr>
          <w:rFonts w:cs="Arial"/>
          <w:szCs w:val="24"/>
        </w:rPr>
        <w:t xml:space="preserve">  The Anti-racism Action Plan forms an integral part of the boards Equality Outcomes and will be delivered over a 4 year period commencing October 2025.</w:t>
      </w:r>
    </w:p>
    <w:p w:rsidR="00430C09" w:rsidRPr="00FD7A98" w:rsidRDefault="00430C09" w:rsidP="00FD7A98">
      <w:pPr>
        <w:spacing w:before="40" w:after="40" w:line="276" w:lineRule="auto"/>
        <w:rPr>
          <w:rFonts w:cs="Arial"/>
          <w:color w:val="000000"/>
          <w:szCs w:val="24"/>
        </w:rPr>
      </w:pPr>
    </w:p>
    <w:p w:rsidR="0089297F" w:rsidRPr="00FD7A98" w:rsidRDefault="00C87B62" w:rsidP="00FD7A98">
      <w:pPr>
        <w:pStyle w:val="Heading2"/>
        <w:ind w:left="686" w:hanging="686"/>
        <w:rPr>
          <w:rFonts w:cs="Arial"/>
          <w:szCs w:val="24"/>
        </w:rPr>
      </w:pPr>
      <w:r w:rsidRPr="00FD7A98">
        <w:rPr>
          <w:rFonts w:cs="Arial"/>
          <w:szCs w:val="24"/>
        </w:rPr>
        <w:lastRenderedPageBreak/>
        <w:t>2</w:t>
      </w:r>
      <w:r w:rsidR="00BF3AF0" w:rsidRPr="00FD7A98">
        <w:rPr>
          <w:rFonts w:cs="Arial"/>
          <w:szCs w:val="24"/>
        </w:rPr>
        <w:t>.2</w:t>
      </w:r>
      <w:r w:rsidR="00BF3AF0" w:rsidRPr="00FD7A98">
        <w:rPr>
          <w:rFonts w:cs="Arial"/>
          <w:szCs w:val="24"/>
        </w:rPr>
        <w:tab/>
      </w:r>
      <w:r w:rsidR="00430C09" w:rsidRPr="00FD7A98">
        <w:rPr>
          <w:rFonts w:cs="Arial"/>
          <w:szCs w:val="24"/>
        </w:rPr>
        <w:t>Background</w:t>
      </w:r>
    </w:p>
    <w:p w:rsidR="009B252D" w:rsidRPr="00FD7A98" w:rsidRDefault="003C45CE" w:rsidP="00FD7A98">
      <w:pPr>
        <w:rPr>
          <w:rFonts w:cs="Arial"/>
          <w:szCs w:val="24"/>
        </w:rPr>
      </w:pPr>
      <w:r w:rsidRPr="00FD7A98">
        <w:rPr>
          <w:rFonts w:cs="Arial"/>
          <w:szCs w:val="24"/>
        </w:rPr>
        <w:t xml:space="preserve">The original commitment to have anti-racism objectives was made in 2021 following the recommendations of the Expert Reference Group on Covid-19 and Ethnicity.  </w:t>
      </w:r>
      <w:r w:rsidR="009B252D" w:rsidRPr="00FD7A98">
        <w:rPr>
          <w:rFonts w:cs="Arial"/>
          <w:szCs w:val="24"/>
        </w:rPr>
        <w:t>A further</w:t>
      </w:r>
      <w:r w:rsidR="00D34DEE" w:rsidRPr="00FD7A98">
        <w:rPr>
          <w:rFonts w:cs="Arial"/>
          <w:szCs w:val="24"/>
        </w:rPr>
        <w:t xml:space="preserve"> </w:t>
      </w:r>
      <w:r w:rsidR="009B252D" w:rsidRPr="00FD7A98">
        <w:rPr>
          <w:rFonts w:cs="Arial"/>
          <w:szCs w:val="24"/>
        </w:rPr>
        <w:t xml:space="preserve">commitment to Board action on anti-racism was set out in the </w:t>
      </w:r>
      <w:hyperlink r:id="rId8" w:history="1">
        <w:r w:rsidR="009B252D" w:rsidRPr="00FD7A98">
          <w:rPr>
            <w:rStyle w:val="Hyperlink"/>
            <w:rFonts w:eastAsiaTheme="majorEastAsia" w:cs="Arial"/>
            <w:szCs w:val="24"/>
          </w:rPr>
          <w:t>Cabinet Secretary’s expectations for us to be leading anti-racism organisations</w:t>
        </w:r>
      </w:hyperlink>
      <w:r w:rsidR="009B252D" w:rsidRPr="00FD7A98">
        <w:rPr>
          <w:rFonts w:cs="Arial"/>
          <w:szCs w:val="24"/>
        </w:rPr>
        <w:t xml:space="preserve"> as per his statement on 6 September 2024 with further detailed requirements  in relation to creating and delivering plans outlined in </w:t>
      </w:r>
      <w:hyperlink r:id="rId9" w:history="1">
        <w:r w:rsidR="009B252D" w:rsidRPr="00FD7A98">
          <w:rPr>
            <w:rStyle w:val="Hyperlink"/>
            <w:rFonts w:eastAsiaTheme="majorEastAsia" w:cs="Arial"/>
            <w:szCs w:val="24"/>
          </w:rPr>
          <w:t>DL23 (2024)</w:t>
        </w:r>
      </w:hyperlink>
      <w:r w:rsidR="009B252D" w:rsidRPr="00FD7A98">
        <w:rPr>
          <w:rFonts w:cs="Arial"/>
          <w:szCs w:val="24"/>
        </w:rPr>
        <w:t xml:space="preserve"> </w:t>
      </w:r>
      <w:r w:rsidR="00A72A39" w:rsidRPr="00FD7A98">
        <w:rPr>
          <w:rFonts w:cs="Arial"/>
          <w:szCs w:val="24"/>
        </w:rPr>
        <w:t>dated</w:t>
      </w:r>
      <w:r w:rsidR="009B252D" w:rsidRPr="00FD7A98">
        <w:rPr>
          <w:rFonts w:cs="Arial"/>
          <w:szCs w:val="24"/>
        </w:rPr>
        <w:t xml:space="preserve"> 9 September 2024.</w:t>
      </w:r>
    </w:p>
    <w:p w:rsidR="00CB33C8" w:rsidRPr="00FD7A98" w:rsidRDefault="00CB33C8" w:rsidP="00FD7A98">
      <w:pPr>
        <w:spacing w:before="240"/>
        <w:rPr>
          <w:rFonts w:cs="Arial"/>
          <w:szCs w:val="24"/>
        </w:rPr>
      </w:pPr>
      <w:r w:rsidRPr="00FD7A98">
        <w:rPr>
          <w:rFonts w:cs="Arial"/>
          <w:szCs w:val="24"/>
        </w:rPr>
        <w:t>Our Anti-racism Action Plan has been developed using the core principles of service design, incorporating multiple engagement methodologies including service user and organisation-wide surveys, focus groups and workshops with our Ethnic Minority staff network and Ethnic Minority Advisory group.  This approach ensures that we capture the lived experience of our stakeholders to deliver targeted and meaningful outcomes to embed an anti-racism culture across the organisation based on our core values of treating everyone equally with fairness, dignity and respect.</w:t>
      </w:r>
    </w:p>
    <w:p w:rsidR="00430C09" w:rsidRPr="00FD7A98" w:rsidRDefault="00430C09" w:rsidP="00FD7A98">
      <w:pPr>
        <w:spacing w:before="40" w:after="40" w:line="276" w:lineRule="auto"/>
        <w:rPr>
          <w:rFonts w:cs="Arial"/>
          <w:color w:val="000000"/>
          <w:szCs w:val="24"/>
        </w:rPr>
      </w:pPr>
    </w:p>
    <w:p w:rsidR="00F3337D" w:rsidRPr="00FD7A98" w:rsidRDefault="00C87B62" w:rsidP="00FD7A98">
      <w:pPr>
        <w:pStyle w:val="Heading2"/>
        <w:rPr>
          <w:rFonts w:cs="Arial"/>
          <w:szCs w:val="24"/>
        </w:rPr>
      </w:pPr>
      <w:r w:rsidRPr="00FD7A98">
        <w:rPr>
          <w:rFonts w:cs="Arial"/>
          <w:szCs w:val="24"/>
        </w:rPr>
        <w:t>2</w:t>
      </w:r>
      <w:r w:rsidR="00BF3AF0" w:rsidRPr="00FD7A98">
        <w:rPr>
          <w:rFonts w:cs="Arial"/>
          <w:szCs w:val="24"/>
        </w:rPr>
        <w:t>.3</w:t>
      </w:r>
      <w:r w:rsidR="00BF3AF0" w:rsidRPr="00FD7A98">
        <w:rPr>
          <w:rFonts w:cs="Arial"/>
          <w:szCs w:val="24"/>
        </w:rPr>
        <w:tab/>
      </w:r>
      <w:r w:rsidR="00F3337D" w:rsidRPr="00FD7A98">
        <w:rPr>
          <w:rFonts w:cs="Arial"/>
          <w:szCs w:val="24"/>
        </w:rPr>
        <w:t>Assessment</w:t>
      </w:r>
    </w:p>
    <w:p w:rsidR="009C6D9E" w:rsidRPr="00FD7A98" w:rsidRDefault="009C6D9E" w:rsidP="00FD7A98">
      <w:pPr>
        <w:rPr>
          <w:rFonts w:eastAsia="Arial" w:cs="Arial"/>
          <w:szCs w:val="24"/>
        </w:rPr>
      </w:pPr>
      <w:r w:rsidRPr="00FD7A98">
        <w:rPr>
          <w:rFonts w:eastAsia="Arial" w:cs="Arial"/>
          <w:szCs w:val="24"/>
        </w:rPr>
        <w:t>Our plan sets out NHSGJ’s organisational commitment and strategy on anti-racism. It is part of our overall equality and diversity inclusion plan which aims to address all forms of discrimination and harassment, meet our Public Sector Equality Duty and deliver our organisational goals. Recognising that racism exists in society and that organisations have a role in dismantling and addressing it is one of the first steps in taking an anti-racism approach.</w:t>
      </w:r>
    </w:p>
    <w:p w:rsidR="00890724" w:rsidRPr="00FD7A98" w:rsidRDefault="00890724" w:rsidP="00FD7A98">
      <w:pPr>
        <w:rPr>
          <w:rFonts w:eastAsia="Arial" w:cs="Arial"/>
          <w:szCs w:val="24"/>
        </w:rPr>
      </w:pPr>
    </w:p>
    <w:p w:rsidR="005A56E7" w:rsidRDefault="009E5326" w:rsidP="00FD7A98">
      <w:pPr>
        <w:rPr>
          <w:rFonts w:cs="Arial"/>
          <w:szCs w:val="24"/>
        </w:rPr>
      </w:pPr>
      <w:r w:rsidRPr="00FD7A98">
        <w:rPr>
          <w:rFonts w:cs="Arial"/>
          <w:szCs w:val="24"/>
        </w:rPr>
        <w:t>The</w:t>
      </w:r>
      <w:r w:rsidR="005A56E7" w:rsidRPr="00FD7A98">
        <w:rPr>
          <w:rFonts w:cs="Arial"/>
          <w:szCs w:val="24"/>
        </w:rPr>
        <w:t xml:space="preserve"> Plan is aligned to The </w:t>
      </w:r>
      <w:hyperlink r:id="rId10">
        <w:r w:rsidR="005A56E7" w:rsidRPr="00FD7A98">
          <w:rPr>
            <w:rStyle w:val="Hyperlink"/>
            <w:rFonts w:cs="Arial"/>
            <w:szCs w:val="24"/>
          </w:rPr>
          <w:t>Scottish Government’s Race Equality Framework (2016-2030)</w:t>
        </w:r>
      </w:hyperlink>
      <w:r w:rsidR="005A56E7" w:rsidRPr="00FD7A98">
        <w:rPr>
          <w:rFonts w:cs="Arial"/>
          <w:szCs w:val="24"/>
        </w:rPr>
        <w:t xml:space="preserve"> which includes the following public health related goals:</w:t>
      </w:r>
    </w:p>
    <w:p w:rsidR="00FD7A98" w:rsidRPr="00FD7A98" w:rsidRDefault="00FD7A98" w:rsidP="00FD7A98">
      <w:pPr>
        <w:rPr>
          <w:rFonts w:cs="Arial"/>
          <w:szCs w:val="24"/>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205"/>
        <w:gridCol w:w="8829"/>
      </w:tblGrid>
      <w:tr w:rsidR="005A56E7" w:rsidRPr="00FD7A98" w:rsidTr="0088438C">
        <w:trPr>
          <w:trHeight w:val="363"/>
        </w:trPr>
        <w:tc>
          <w:tcPr>
            <w:tcW w:w="13593" w:type="dxa"/>
            <w:gridSpan w:val="2"/>
            <w:shd w:val="clear" w:color="auto" w:fill="1F4E79" w:themeFill="accent1" w:themeFillShade="80"/>
            <w:vAlign w:val="center"/>
          </w:tcPr>
          <w:p w:rsidR="005A56E7" w:rsidRPr="00FD7A98" w:rsidRDefault="005A56E7" w:rsidP="00FD7A98">
            <w:pPr>
              <w:rPr>
                <w:rFonts w:ascii="Arial" w:hAnsi="Arial" w:cs="Arial"/>
                <w:b/>
                <w:color w:val="FFFFFF" w:themeColor="background1"/>
                <w:sz w:val="24"/>
                <w:szCs w:val="24"/>
              </w:rPr>
            </w:pPr>
            <w:r w:rsidRPr="00FD7A98">
              <w:rPr>
                <w:rFonts w:ascii="Arial" w:hAnsi="Arial" w:cs="Arial"/>
                <w:b/>
                <w:color w:val="FFFFFF" w:themeColor="background1"/>
                <w:sz w:val="24"/>
                <w:szCs w:val="24"/>
              </w:rPr>
              <w:t>Scottish Government Race Equality Framework 2016 - 2030</w:t>
            </w:r>
          </w:p>
        </w:tc>
      </w:tr>
      <w:tr w:rsidR="005A56E7" w:rsidRPr="00FD7A98" w:rsidTr="00644149">
        <w:tc>
          <w:tcPr>
            <w:tcW w:w="1422" w:type="dxa"/>
            <w:shd w:val="clear" w:color="auto" w:fill="2E74B5" w:themeFill="accent1" w:themeFillShade="BF"/>
            <w:vAlign w:val="center"/>
          </w:tcPr>
          <w:p w:rsidR="005A56E7" w:rsidRPr="00FD7A98" w:rsidRDefault="005A56E7" w:rsidP="00FD7A98">
            <w:pPr>
              <w:rPr>
                <w:rFonts w:ascii="Arial" w:hAnsi="Arial" w:cs="Arial"/>
                <w:b/>
                <w:color w:val="FFFFFF" w:themeColor="background1"/>
                <w:sz w:val="24"/>
                <w:szCs w:val="24"/>
              </w:rPr>
            </w:pPr>
            <w:r w:rsidRPr="00FD7A98">
              <w:rPr>
                <w:rFonts w:ascii="Arial" w:hAnsi="Arial" w:cs="Arial"/>
                <w:b/>
                <w:color w:val="FFFFFF" w:themeColor="background1"/>
                <w:sz w:val="24"/>
                <w:szCs w:val="24"/>
              </w:rPr>
              <w:t>Goal 20</w:t>
            </w:r>
          </w:p>
        </w:tc>
        <w:tc>
          <w:tcPr>
            <w:tcW w:w="12171" w:type="dxa"/>
            <w:shd w:val="clear" w:color="auto" w:fill="DEEAF6" w:themeFill="accent1" w:themeFillTint="33"/>
          </w:tcPr>
          <w:p w:rsidR="005A56E7" w:rsidRPr="00FD7A98" w:rsidRDefault="005A56E7" w:rsidP="00FD7A98">
            <w:pPr>
              <w:rPr>
                <w:rFonts w:ascii="Arial" w:hAnsi="Arial" w:cs="Arial"/>
                <w:sz w:val="24"/>
                <w:szCs w:val="24"/>
              </w:rPr>
            </w:pPr>
            <w:r w:rsidRPr="00FD7A98">
              <w:rPr>
                <w:rFonts w:ascii="Arial" w:hAnsi="Arial" w:cs="Arial"/>
                <w:sz w:val="24"/>
                <w:szCs w:val="24"/>
              </w:rPr>
              <w:t>Identify and promote practice that works in reducing employment inequalities, discrimination and barriers for minority ethnic people, including in career paths, recruitment, progression and retention.</w:t>
            </w:r>
          </w:p>
        </w:tc>
      </w:tr>
      <w:tr w:rsidR="005A56E7" w:rsidRPr="00FD7A98" w:rsidTr="00644149">
        <w:tc>
          <w:tcPr>
            <w:tcW w:w="1422" w:type="dxa"/>
            <w:shd w:val="clear" w:color="auto" w:fill="2E74B5" w:themeFill="accent1" w:themeFillShade="BF"/>
            <w:vAlign w:val="center"/>
          </w:tcPr>
          <w:p w:rsidR="005A56E7" w:rsidRPr="00FD7A98" w:rsidRDefault="005A56E7" w:rsidP="00FD7A98">
            <w:pPr>
              <w:rPr>
                <w:rFonts w:ascii="Arial" w:hAnsi="Arial" w:cs="Arial"/>
                <w:b/>
                <w:color w:val="FFFFFF" w:themeColor="background1"/>
                <w:sz w:val="24"/>
                <w:szCs w:val="24"/>
              </w:rPr>
            </w:pPr>
            <w:r w:rsidRPr="00FD7A98">
              <w:rPr>
                <w:rFonts w:ascii="Arial" w:hAnsi="Arial" w:cs="Arial"/>
                <w:b/>
                <w:color w:val="FFFFFF" w:themeColor="background1"/>
                <w:sz w:val="24"/>
                <w:szCs w:val="24"/>
              </w:rPr>
              <w:t>Goal 26</w:t>
            </w:r>
          </w:p>
        </w:tc>
        <w:tc>
          <w:tcPr>
            <w:tcW w:w="12171" w:type="dxa"/>
            <w:shd w:val="clear" w:color="auto" w:fill="DEEAF6" w:themeFill="accent1" w:themeFillTint="33"/>
          </w:tcPr>
          <w:p w:rsidR="005A56E7" w:rsidRPr="00FD7A98" w:rsidRDefault="005A56E7" w:rsidP="00FD7A98">
            <w:pPr>
              <w:rPr>
                <w:rFonts w:ascii="Arial" w:hAnsi="Arial" w:cs="Arial"/>
                <w:sz w:val="24"/>
                <w:szCs w:val="24"/>
              </w:rPr>
            </w:pPr>
            <w:r w:rsidRPr="00FD7A98">
              <w:rPr>
                <w:rFonts w:ascii="Arial" w:hAnsi="Arial" w:cs="Arial"/>
                <w:sz w:val="24"/>
                <w:szCs w:val="24"/>
              </w:rPr>
              <w:t>Minority ethnic communities and individuals experience better health and wellbeing outcomes.</w:t>
            </w:r>
          </w:p>
        </w:tc>
      </w:tr>
      <w:tr w:rsidR="005A56E7" w:rsidRPr="00FD7A98" w:rsidTr="00644149">
        <w:tc>
          <w:tcPr>
            <w:tcW w:w="1422" w:type="dxa"/>
            <w:shd w:val="clear" w:color="auto" w:fill="2E74B5" w:themeFill="accent1" w:themeFillShade="BF"/>
            <w:vAlign w:val="center"/>
          </w:tcPr>
          <w:p w:rsidR="005A56E7" w:rsidRPr="00FD7A98" w:rsidRDefault="005A56E7" w:rsidP="00FD7A98">
            <w:pPr>
              <w:rPr>
                <w:rFonts w:ascii="Arial" w:hAnsi="Arial" w:cs="Arial"/>
                <w:b/>
                <w:color w:val="FFFFFF" w:themeColor="background1"/>
                <w:sz w:val="24"/>
                <w:szCs w:val="24"/>
              </w:rPr>
            </w:pPr>
            <w:r w:rsidRPr="00FD7A98">
              <w:rPr>
                <w:rFonts w:ascii="Arial" w:hAnsi="Arial" w:cs="Arial"/>
                <w:b/>
                <w:color w:val="FFFFFF" w:themeColor="background1"/>
                <w:sz w:val="24"/>
                <w:szCs w:val="24"/>
              </w:rPr>
              <w:t>Goal 27</w:t>
            </w:r>
          </w:p>
        </w:tc>
        <w:tc>
          <w:tcPr>
            <w:tcW w:w="12171" w:type="dxa"/>
            <w:shd w:val="clear" w:color="auto" w:fill="DEEAF6" w:themeFill="accent1" w:themeFillTint="33"/>
          </w:tcPr>
          <w:p w:rsidR="005A56E7" w:rsidRPr="00FD7A98" w:rsidRDefault="005A56E7" w:rsidP="00FD7A98">
            <w:pPr>
              <w:rPr>
                <w:rFonts w:ascii="Arial" w:hAnsi="Arial" w:cs="Arial"/>
                <w:sz w:val="24"/>
                <w:szCs w:val="24"/>
              </w:rPr>
            </w:pPr>
            <w:r w:rsidRPr="00FD7A98">
              <w:rPr>
                <w:rFonts w:ascii="Arial" w:hAnsi="Arial" w:cs="Arial"/>
                <w:sz w:val="24"/>
                <w:szCs w:val="24"/>
              </w:rPr>
              <w:t>Minority ethnic communities and individuals experience improved access to health and social care services at a local and national level to support their needs.</w:t>
            </w:r>
          </w:p>
        </w:tc>
      </w:tr>
      <w:tr w:rsidR="005A56E7" w:rsidRPr="00FD7A98" w:rsidTr="00644149">
        <w:tc>
          <w:tcPr>
            <w:tcW w:w="1422" w:type="dxa"/>
            <w:shd w:val="clear" w:color="auto" w:fill="2E74B5" w:themeFill="accent1" w:themeFillShade="BF"/>
            <w:vAlign w:val="center"/>
          </w:tcPr>
          <w:p w:rsidR="005A56E7" w:rsidRPr="00FD7A98" w:rsidRDefault="005A56E7" w:rsidP="00FD7A98">
            <w:pPr>
              <w:rPr>
                <w:rFonts w:ascii="Arial" w:hAnsi="Arial" w:cs="Arial"/>
                <w:b/>
                <w:color w:val="FFFFFF" w:themeColor="background1"/>
                <w:sz w:val="24"/>
                <w:szCs w:val="24"/>
              </w:rPr>
            </w:pPr>
            <w:r w:rsidRPr="00FD7A98">
              <w:rPr>
                <w:rFonts w:ascii="Arial" w:hAnsi="Arial" w:cs="Arial"/>
                <w:b/>
                <w:color w:val="FFFFFF" w:themeColor="background1"/>
                <w:sz w:val="24"/>
                <w:szCs w:val="24"/>
              </w:rPr>
              <w:t>Goal 28</w:t>
            </w:r>
          </w:p>
        </w:tc>
        <w:tc>
          <w:tcPr>
            <w:tcW w:w="12171" w:type="dxa"/>
            <w:shd w:val="clear" w:color="auto" w:fill="DEEAF6" w:themeFill="accent1" w:themeFillTint="33"/>
          </w:tcPr>
          <w:p w:rsidR="005A56E7" w:rsidRPr="00FD7A98" w:rsidRDefault="005A56E7" w:rsidP="00FD7A98">
            <w:pPr>
              <w:rPr>
                <w:rFonts w:ascii="Arial" w:hAnsi="Arial" w:cs="Arial"/>
                <w:sz w:val="24"/>
                <w:szCs w:val="24"/>
              </w:rPr>
            </w:pPr>
            <w:r w:rsidRPr="00FD7A98">
              <w:rPr>
                <w:rFonts w:ascii="Arial" w:hAnsi="Arial" w:cs="Arial"/>
                <w:sz w:val="24"/>
                <w:szCs w:val="24"/>
              </w:rPr>
              <w:t>Scotland's health and social care workers are better able to tackle racism and promote equality and community cohesion in delivery of health and social care services.</w:t>
            </w:r>
          </w:p>
        </w:tc>
      </w:tr>
      <w:tr w:rsidR="005A56E7" w:rsidRPr="00FD7A98" w:rsidTr="00644149">
        <w:tc>
          <w:tcPr>
            <w:tcW w:w="1422" w:type="dxa"/>
            <w:shd w:val="clear" w:color="auto" w:fill="2E74B5" w:themeFill="accent1" w:themeFillShade="BF"/>
            <w:vAlign w:val="center"/>
          </w:tcPr>
          <w:p w:rsidR="005A56E7" w:rsidRPr="00FD7A98" w:rsidRDefault="005A56E7" w:rsidP="00FD7A98">
            <w:pPr>
              <w:rPr>
                <w:rFonts w:ascii="Arial" w:hAnsi="Arial" w:cs="Arial"/>
                <w:b/>
                <w:color w:val="FFFFFF" w:themeColor="background1"/>
                <w:sz w:val="24"/>
                <w:szCs w:val="24"/>
              </w:rPr>
            </w:pPr>
            <w:r w:rsidRPr="00FD7A98">
              <w:rPr>
                <w:rFonts w:ascii="Arial" w:hAnsi="Arial" w:cs="Arial"/>
                <w:b/>
                <w:color w:val="FFFFFF" w:themeColor="background1"/>
                <w:sz w:val="24"/>
                <w:szCs w:val="24"/>
              </w:rPr>
              <w:t>Goal 29</w:t>
            </w:r>
          </w:p>
        </w:tc>
        <w:tc>
          <w:tcPr>
            <w:tcW w:w="12171" w:type="dxa"/>
            <w:shd w:val="clear" w:color="auto" w:fill="DEEAF6" w:themeFill="accent1" w:themeFillTint="33"/>
          </w:tcPr>
          <w:p w:rsidR="005A56E7" w:rsidRPr="00FD7A98" w:rsidRDefault="005A56E7" w:rsidP="00FD7A98">
            <w:pPr>
              <w:rPr>
                <w:rFonts w:ascii="Arial" w:hAnsi="Arial" w:cs="Arial"/>
                <w:sz w:val="24"/>
                <w:szCs w:val="24"/>
              </w:rPr>
            </w:pPr>
            <w:r w:rsidRPr="00FD7A98">
              <w:rPr>
                <w:rFonts w:ascii="Arial" w:hAnsi="Arial" w:cs="Arial"/>
                <w:sz w:val="24"/>
                <w:szCs w:val="24"/>
              </w:rPr>
              <w:t>Scotland's health and social care workforce better reflects the diversity of its communities.</w:t>
            </w:r>
          </w:p>
        </w:tc>
      </w:tr>
    </w:tbl>
    <w:p w:rsidR="005A56E7" w:rsidRPr="00FD7A98" w:rsidRDefault="005A56E7" w:rsidP="00FD7A98">
      <w:pPr>
        <w:rPr>
          <w:rFonts w:cs="Arial"/>
          <w:szCs w:val="24"/>
        </w:rPr>
      </w:pPr>
    </w:p>
    <w:p w:rsidR="00890724" w:rsidRPr="00FD7A98" w:rsidRDefault="0088438C" w:rsidP="00FD7A98">
      <w:pPr>
        <w:rPr>
          <w:rFonts w:eastAsia="Arial" w:cs="Arial"/>
          <w:szCs w:val="24"/>
        </w:rPr>
      </w:pPr>
      <w:r w:rsidRPr="00FD7A98">
        <w:rPr>
          <w:rFonts w:eastAsia="Arial" w:cs="Arial"/>
          <w:szCs w:val="24"/>
        </w:rPr>
        <w:t>The plan is structured into 5 main themes</w:t>
      </w:r>
      <w:r w:rsidR="00A72A39" w:rsidRPr="00FD7A98">
        <w:rPr>
          <w:rFonts w:eastAsia="Arial" w:cs="Arial"/>
          <w:szCs w:val="24"/>
        </w:rPr>
        <w:t>.  The below table provides a high level overview of the key associated deliverables.</w:t>
      </w:r>
    </w:p>
    <w:p w:rsidR="00A72A39" w:rsidRPr="00FD7A98" w:rsidRDefault="00A72A39" w:rsidP="00FD7A98">
      <w:pPr>
        <w:rPr>
          <w:rFonts w:eastAsia="Arial" w:cs="Arial"/>
          <w:szCs w:val="24"/>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970"/>
        <w:gridCol w:w="6946"/>
      </w:tblGrid>
      <w:tr w:rsidR="00A72A39" w:rsidRPr="00FD7A98" w:rsidTr="000C4C4E">
        <w:trPr>
          <w:trHeight w:val="610"/>
        </w:trPr>
        <w:tc>
          <w:tcPr>
            <w:tcW w:w="1970" w:type="dxa"/>
            <w:shd w:val="clear" w:color="auto" w:fill="323E4F" w:themeFill="text2" w:themeFillShade="BF"/>
            <w:vAlign w:val="center"/>
          </w:tcPr>
          <w:p w:rsidR="00A72A39" w:rsidRPr="00FD7A98" w:rsidRDefault="00A72A39" w:rsidP="00FD7A98">
            <w:pPr>
              <w:rPr>
                <w:rFonts w:ascii="Arial" w:hAnsi="Arial" w:cs="Arial"/>
                <w:b/>
                <w:color w:val="FFFFFF" w:themeColor="background1"/>
                <w:sz w:val="24"/>
                <w:szCs w:val="24"/>
              </w:rPr>
            </w:pPr>
            <w:r w:rsidRPr="00FD7A98">
              <w:rPr>
                <w:rFonts w:ascii="Arial" w:hAnsi="Arial" w:cs="Arial"/>
                <w:b/>
                <w:color w:val="FFFFFF" w:themeColor="background1"/>
                <w:sz w:val="24"/>
                <w:szCs w:val="24"/>
              </w:rPr>
              <w:t>Theme A</w:t>
            </w:r>
          </w:p>
          <w:p w:rsidR="00A72A39" w:rsidRPr="00FD7A98" w:rsidRDefault="00A72A39" w:rsidP="00FD7A98">
            <w:pPr>
              <w:rPr>
                <w:rFonts w:ascii="Arial" w:hAnsi="Arial" w:cs="Arial"/>
                <w:b/>
                <w:color w:val="FFFFFF" w:themeColor="background1"/>
                <w:sz w:val="24"/>
                <w:szCs w:val="24"/>
              </w:rPr>
            </w:pPr>
            <w:r w:rsidRPr="00FD7A98">
              <w:rPr>
                <w:rFonts w:ascii="Arial" w:hAnsi="Arial" w:cs="Arial"/>
                <w:sz w:val="24"/>
                <w:szCs w:val="24"/>
              </w:rPr>
              <w:t>Leadership and accountability</w:t>
            </w:r>
          </w:p>
        </w:tc>
        <w:tc>
          <w:tcPr>
            <w:tcW w:w="6946" w:type="dxa"/>
            <w:shd w:val="clear" w:color="auto" w:fill="DEEAF6" w:themeFill="accent1" w:themeFillTint="33"/>
          </w:tcPr>
          <w:p w:rsidR="00A72A39" w:rsidRPr="00FD7A98" w:rsidRDefault="000C4C4E" w:rsidP="00FD7A98">
            <w:pPr>
              <w:pStyle w:val="ListParagraph"/>
              <w:numPr>
                <w:ilvl w:val="0"/>
                <w:numId w:val="21"/>
              </w:numPr>
              <w:rPr>
                <w:rFonts w:ascii="Arial" w:hAnsi="Arial" w:cs="Arial"/>
                <w:sz w:val="24"/>
                <w:szCs w:val="24"/>
              </w:rPr>
            </w:pPr>
            <w:r w:rsidRPr="00FD7A98">
              <w:rPr>
                <w:rFonts w:ascii="Arial" w:hAnsi="Arial" w:cs="Arial"/>
                <w:sz w:val="24"/>
                <w:szCs w:val="24"/>
              </w:rPr>
              <w:t>Visible commitment to anti-racism</w:t>
            </w:r>
          </w:p>
          <w:p w:rsidR="000C4C4E" w:rsidRPr="00FD7A98" w:rsidRDefault="000C4C4E" w:rsidP="00FD7A98">
            <w:pPr>
              <w:pStyle w:val="ListParagraph"/>
              <w:numPr>
                <w:ilvl w:val="0"/>
                <w:numId w:val="21"/>
              </w:numPr>
              <w:rPr>
                <w:rFonts w:ascii="Arial" w:eastAsia="Arial" w:hAnsi="Arial" w:cs="Arial"/>
                <w:sz w:val="24"/>
                <w:szCs w:val="24"/>
              </w:rPr>
            </w:pPr>
            <w:r w:rsidRPr="00FD7A98">
              <w:rPr>
                <w:rFonts w:ascii="Arial" w:eastAsia="Arial" w:hAnsi="Arial" w:cs="Arial"/>
                <w:sz w:val="24"/>
                <w:szCs w:val="24"/>
              </w:rPr>
              <w:t>Anti-racism objective setting for Executive leaders</w:t>
            </w:r>
          </w:p>
          <w:p w:rsidR="000C4C4E" w:rsidRPr="00FD7A98" w:rsidRDefault="000C4C4E" w:rsidP="00FD7A98">
            <w:pPr>
              <w:pStyle w:val="ListParagraph"/>
              <w:numPr>
                <w:ilvl w:val="0"/>
                <w:numId w:val="21"/>
              </w:numPr>
              <w:rPr>
                <w:rFonts w:ascii="Arial" w:eastAsia="Arial" w:hAnsi="Arial" w:cs="Arial"/>
                <w:sz w:val="24"/>
                <w:szCs w:val="24"/>
              </w:rPr>
            </w:pPr>
            <w:r w:rsidRPr="00FD7A98">
              <w:rPr>
                <w:rFonts w:ascii="Arial" w:eastAsia="Arial" w:hAnsi="Arial" w:cs="Arial"/>
                <w:sz w:val="24"/>
                <w:szCs w:val="24"/>
              </w:rPr>
              <w:t xml:space="preserve">Appoint Non-executive board member to champion </w:t>
            </w:r>
          </w:p>
          <w:p w:rsidR="000C4C4E" w:rsidRPr="00FD7A98" w:rsidRDefault="009359D0" w:rsidP="00FD7A98">
            <w:pPr>
              <w:ind w:left="360"/>
              <w:rPr>
                <w:rFonts w:ascii="Arial" w:eastAsia="Arial" w:hAnsi="Arial" w:cs="Arial"/>
                <w:sz w:val="24"/>
                <w:szCs w:val="24"/>
              </w:rPr>
            </w:pPr>
            <w:r w:rsidRPr="00FD7A98">
              <w:rPr>
                <w:rFonts w:ascii="Arial" w:eastAsia="Arial" w:hAnsi="Arial" w:cs="Arial"/>
                <w:sz w:val="24"/>
                <w:szCs w:val="24"/>
              </w:rPr>
              <w:t>Anti-</w:t>
            </w:r>
            <w:r w:rsidR="000C4C4E" w:rsidRPr="00FD7A98">
              <w:rPr>
                <w:rFonts w:ascii="Arial" w:eastAsia="Arial" w:hAnsi="Arial" w:cs="Arial"/>
                <w:sz w:val="24"/>
                <w:szCs w:val="24"/>
              </w:rPr>
              <w:t>racism Action Plan</w:t>
            </w:r>
          </w:p>
          <w:p w:rsidR="000C4C4E" w:rsidRPr="00FD7A98" w:rsidRDefault="000C4C4E" w:rsidP="00FD7A98">
            <w:pPr>
              <w:pStyle w:val="ListParagraph"/>
              <w:numPr>
                <w:ilvl w:val="0"/>
                <w:numId w:val="21"/>
              </w:numPr>
              <w:rPr>
                <w:rFonts w:ascii="Arial" w:eastAsia="Arial" w:hAnsi="Arial" w:cs="Arial"/>
                <w:sz w:val="24"/>
                <w:szCs w:val="24"/>
              </w:rPr>
            </w:pPr>
            <w:r w:rsidRPr="00FD7A98">
              <w:rPr>
                <w:rFonts w:ascii="Arial" w:eastAsia="Arial" w:hAnsi="Arial" w:cs="Arial"/>
                <w:sz w:val="24"/>
                <w:szCs w:val="24"/>
              </w:rPr>
              <w:t>Build understanding and capacity on anti-racism</w:t>
            </w:r>
          </w:p>
          <w:p w:rsidR="000C4C4E" w:rsidRPr="00FD7A98" w:rsidRDefault="000C4C4E" w:rsidP="00FD7A98">
            <w:pPr>
              <w:pStyle w:val="ListParagraph"/>
              <w:numPr>
                <w:ilvl w:val="0"/>
                <w:numId w:val="21"/>
              </w:numPr>
              <w:rPr>
                <w:rFonts w:ascii="Arial" w:hAnsi="Arial" w:cs="Arial"/>
                <w:sz w:val="24"/>
                <w:szCs w:val="24"/>
              </w:rPr>
            </w:pPr>
            <w:r w:rsidRPr="00FD7A98">
              <w:rPr>
                <w:rFonts w:ascii="Arial" w:eastAsia="Arial" w:hAnsi="Arial" w:cs="Arial"/>
                <w:sz w:val="24"/>
                <w:szCs w:val="24"/>
              </w:rPr>
              <w:t>Strengthened governance and accountability</w:t>
            </w:r>
          </w:p>
        </w:tc>
      </w:tr>
      <w:tr w:rsidR="00A72A39" w:rsidRPr="00FD7A98" w:rsidTr="000C4C4E">
        <w:trPr>
          <w:trHeight w:val="610"/>
        </w:trPr>
        <w:tc>
          <w:tcPr>
            <w:tcW w:w="1970" w:type="dxa"/>
            <w:shd w:val="clear" w:color="auto" w:fill="323E4F" w:themeFill="text2" w:themeFillShade="BF"/>
            <w:vAlign w:val="center"/>
          </w:tcPr>
          <w:p w:rsidR="00A72A39" w:rsidRPr="00FD7A98" w:rsidRDefault="00A72A39" w:rsidP="00FD7A98">
            <w:pPr>
              <w:rPr>
                <w:rFonts w:ascii="Arial" w:hAnsi="Arial" w:cs="Arial"/>
                <w:b/>
                <w:color w:val="FFFFFF" w:themeColor="background1"/>
                <w:sz w:val="24"/>
                <w:szCs w:val="24"/>
              </w:rPr>
            </w:pPr>
            <w:r w:rsidRPr="00FD7A98">
              <w:rPr>
                <w:rFonts w:ascii="Arial" w:hAnsi="Arial" w:cs="Arial"/>
                <w:b/>
                <w:color w:val="FFFFFF" w:themeColor="background1"/>
                <w:sz w:val="24"/>
                <w:szCs w:val="24"/>
              </w:rPr>
              <w:t>Theme B</w:t>
            </w:r>
          </w:p>
          <w:p w:rsidR="000C4C4E" w:rsidRPr="00FD7A98" w:rsidRDefault="000C4C4E" w:rsidP="00FD7A98">
            <w:pPr>
              <w:rPr>
                <w:rFonts w:ascii="Arial" w:hAnsi="Arial" w:cs="Arial"/>
                <w:b/>
                <w:color w:val="FFFFFF" w:themeColor="background1"/>
                <w:sz w:val="24"/>
                <w:szCs w:val="24"/>
              </w:rPr>
            </w:pPr>
            <w:r w:rsidRPr="00FD7A98">
              <w:rPr>
                <w:rFonts w:ascii="Arial" w:hAnsi="Arial" w:cs="Arial"/>
                <w:sz w:val="24"/>
                <w:szCs w:val="24"/>
              </w:rPr>
              <w:lastRenderedPageBreak/>
              <w:t>Organisational Culture</w:t>
            </w:r>
          </w:p>
        </w:tc>
        <w:tc>
          <w:tcPr>
            <w:tcW w:w="6946" w:type="dxa"/>
            <w:shd w:val="clear" w:color="auto" w:fill="DEEAF6" w:themeFill="accent1" w:themeFillTint="33"/>
          </w:tcPr>
          <w:p w:rsidR="00A72A39" w:rsidRPr="00FD7A98" w:rsidRDefault="000C4C4E" w:rsidP="00FD7A98">
            <w:pPr>
              <w:pStyle w:val="ListParagraph"/>
              <w:numPr>
                <w:ilvl w:val="0"/>
                <w:numId w:val="21"/>
              </w:numPr>
              <w:rPr>
                <w:rFonts w:ascii="Arial" w:eastAsia="Arial" w:hAnsi="Arial" w:cs="Arial"/>
                <w:sz w:val="24"/>
                <w:szCs w:val="24"/>
              </w:rPr>
            </w:pPr>
            <w:r w:rsidRPr="00FD7A98">
              <w:rPr>
                <w:rFonts w:ascii="Arial" w:eastAsia="Arial" w:hAnsi="Arial" w:cs="Arial"/>
                <w:sz w:val="24"/>
                <w:szCs w:val="24"/>
              </w:rPr>
              <w:lastRenderedPageBreak/>
              <w:t>NHSGJ Kindness Matters Culture Programme</w:t>
            </w:r>
          </w:p>
          <w:p w:rsidR="000C4C4E" w:rsidRPr="00FD7A98" w:rsidRDefault="000C4C4E" w:rsidP="00FD7A98">
            <w:pPr>
              <w:pStyle w:val="ListParagraph"/>
              <w:numPr>
                <w:ilvl w:val="0"/>
                <w:numId w:val="21"/>
              </w:numPr>
              <w:rPr>
                <w:rFonts w:ascii="Arial" w:eastAsia="Arial" w:hAnsi="Arial" w:cs="Arial"/>
                <w:sz w:val="24"/>
                <w:szCs w:val="24"/>
              </w:rPr>
            </w:pPr>
            <w:r w:rsidRPr="00FD7A98">
              <w:rPr>
                <w:rFonts w:ascii="Arial" w:eastAsia="Arial" w:hAnsi="Arial" w:cs="Arial"/>
                <w:sz w:val="24"/>
                <w:szCs w:val="24"/>
              </w:rPr>
              <w:t xml:space="preserve">Expansion of existing </w:t>
            </w:r>
            <w:proofErr w:type="spellStart"/>
            <w:r w:rsidRPr="00FD7A98">
              <w:rPr>
                <w:rFonts w:ascii="Arial" w:eastAsia="Arial" w:hAnsi="Arial" w:cs="Arial"/>
                <w:sz w:val="24"/>
                <w:szCs w:val="24"/>
              </w:rPr>
              <w:t>allyship</w:t>
            </w:r>
            <w:proofErr w:type="spellEnd"/>
            <w:r w:rsidRPr="00FD7A98">
              <w:rPr>
                <w:rFonts w:ascii="Arial" w:eastAsia="Arial" w:hAnsi="Arial" w:cs="Arial"/>
                <w:sz w:val="24"/>
                <w:szCs w:val="24"/>
              </w:rPr>
              <w:t xml:space="preserve"> programmes</w:t>
            </w:r>
          </w:p>
          <w:p w:rsidR="000C4C4E" w:rsidRPr="00FD7A98" w:rsidRDefault="000C4C4E" w:rsidP="00FD7A98">
            <w:pPr>
              <w:pStyle w:val="ListParagraph"/>
              <w:numPr>
                <w:ilvl w:val="0"/>
                <w:numId w:val="21"/>
              </w:numPr>
              <w:rPr>
                <w:rFonts w:ascii="Arial" w:eastAsia="Arial" w:hAnsi="Arial" w:cs="Arial"/>
                <w:sz w:val="24"/>
                <w:szCs w:val="24"/>
              </w:rPr>
            </w:pPr>
            <w:r w:rsidRPr="00FD7A98">
              <w:rPr>
                <w:rFonts w:ascii="Arial" w:eastAsia="Arial" w:hAnsi="Arial" w:cs="Arial"/>
                <w:sz w:val="24"/>
                <w:szCs w:val="24"/>
              </w:rPr>
              <w:lastRenderedPageBreak/>
              <w:t>Create awareness campaign on anti-racism</w:t>
            </w:r>
          </w:p>
          <w:p w:rsidR="000C4C4E" w:rsidRPr="00FD7A98" w:rsidRDefault="000C4C4E" w:rsidP="00FD7A98">
            <w:pPr>
              <w:pStyle w:val="ListParagraph"/>
              <w:numPr>
                <w:ilvl w:val="0"/>
                <w:numId w:val="21"/>
              </w:numPr>
              <w:rPr>
                <w:rFonts w:ascii="Arial" w:eastAsia="Arial" w:hAnsi="Arial" w:cs="Arial"/>
                <w:sz w:val="24"/>
                <w:szCs w:val="24"/>
              </w:rPr>
            </w:pPr>
            <w:r w:rsidRPr="00FD7A98">
              <w:rPr>
                <w:rFonts w:ascii="Arial" w:eastAsia="Arial" w:hAnsi="Arial" w:cs="Arial"/>
                <w:sz w:val="24"/>
                <w:szCs w:val="24"/>
              </w:rPr>
              <w:t>Learning and Development</w:t>
            </w:r>
          </w:p>
          <w:p w:rsidR="000C4C4E" w:rsidRPr="00FD7A98" w:rsidRDefault="000C4C4E" w:rsidP="00FD7A98">
            <w:pPr>
              <w:pStyle w:val="ListParagraph"/>
              <w:numPr>
                <w:ilvl w:val="0"/>
                <w:numId w:val="21"/>
              </w:numPr>
              <w:rPr>
                <w:rFonts w:ascii="Arial" w:hAnsi="Arial" w:cs="Arial"/>
                <w:sz w:val="24"/>
                <w:szCs w:val="24"/>
              </w:rPr>
            </w:pPr>
            <w:r w:rsidRPr="00FD7A98">
              <w:rPr>
                <w:rFonts w:ascii="Arial" w:eastAsia="Arial" w:hAnsi="Arial" w:cs="Arial"/>
                <w:sz w:val="24"/>
                <w:szCs w:val="24"/>
              </w:rPr>
              <w:t>Foster psychological safety to promote open dialogue</w:t>
            </w:r>
          </w:p>
        </w:tc>
      </w:tr>
      <w:tr w:rsidR="00A72A39" w:rsidRPr="00FD7A98" w:rsidTr="00644149">
        <w:trPr>
          <w:trHeight w:val="610"/>
        </w:trPr>
        <w:tc>
          <w:tcPr>
            <w:tcW w:w="1970" w:type="dxa"/>
            <w:shd w:val="clear" w:color="auto" w:fill="323E4F" w:themeFill="text2" w:themeFillShade="BF"/>
            <w:vAlign w:val="center"/>
          </w:tcPr>
          <w:p w:rsidR="00A72A39" w:rsidRPr="00FD7A98" w:rsidRDefault="00A72A39" w:rsidP="00FD7A98">
            <w:pPr>
              <w:rPr>
                <w:rFonts w:ascii="Arial" w:hAnsi="Arial" w:cs="Arial"/>
                <w:b/>
                <w:color w:val="FFFFFF" w:themeColor="background1"/>
                <w:sz w:val="24"/>
                <w:szCs w:val="24"/>
              </w:rPr>
            </w:pPr>
            <w:r w:rsidRPr="00FD7A98">
              <w:rPr>
                <w:rFonts w:ascii="Arial" w:hAnsi="Arial" w:cs="Arial"/>
                <w:b/>
                <w:color w:val="FFFFFF" w:themeColor="background1"/>
                <w:sz w:val="24"/>
                <w:szCs w:val="24"/>
              </w:rPr>
              <w:lastRenderedPageBreak/>
              <w:t>Theme C</w:t>
            </w:r>
          </w:p>
          <w:p w:rsidR="000C4C4E" w:rsidRPr="00FD7A98" w:rsidRDefault="000C4C4E" w:rsidP="00FD7A98">
            <w:pPr>
              <w:rPr>
                <w:rFonts w:ascii="Arial" w:hAnsi="Arial" w:cs="Arial"/>
                <w:b/>
                <w:color w:val="FFFFFF" w:themeColor="background1"/>
                <w:sz w:val="24"/>
                <w:szCs w:val="24"/>
              </w:rPr>
            </w:pPr>
            <w:r w:rsidRPr="00FD7A98">
              <w:rPr>
                <w:rFonts w:ascii="Arial" w:hAnsi="Arial" w:cs="Arial"/>
                <w:sz w:val="24"/>
                <w:szCs w:val="24"/>
              </w:rPr>
              <w:t>Equity of opportunity</w:t>
            </w:r>
          </w:p>
        </w:tc>
        <w:tc>
          <w:tcPr>
            <w:tcW w:w="6946" w:type="dxa"/>
            <w:shd w:val="clear" w:color="auto" w:fill="DEEAF6" w:themeFill="accent1" w:themeFillTint="33"/>
            <w:vAlign w:val="center"/>
          </w:tcPr>
          <w:p w:rsidR="00A72A39" w:rsidRPr="00FD7A98" w:rsidRDefault="000C4C4E" w:rsidP="00FD7A98">
            <w:pPr>
              <w:pStyle w:val="ListParagraph"/>
              <w:numPr>
                <w:ilvl w:val="0"/>
                <w:numId w:val="21"/>
              </w:numPr>
              <w:rPr>
                <w:rFonts w:ascii="Arial" w:eastAsia="Arial" w:hAnsi="Arial" w:cs="Arial"/>
                <w:sz w:val="24"/>
                <w:szCs w:val="24"/>
              </w:rPr>
            </w:pPr>
            <w:r w:rsidRPr="00FD7A98">
              <w:rPr>
                <w:rFonts w:ascii="Arial" w:eastAsia="Arial" w:hAnsi="Arial" w:cs="Arial"/>
                <w:sz w:val="24"/>
                <w:szCs w:val="24"/>
              </w:rPr>
              <w:t>Inclusive recruitment principles</w:t>
            </w:r>
          </w:p>
          <w:p w:rsidR="000C4C4E" w:rsidRPr="00FD7A98" w:rsidRDefault="000C4C4E" w:rsidP="00FD7A98">
            <w:pPr>
              <w:pStyle w:val="ListParagraph"/>
              <w:numPr>
                <w:ilvl w:val="0"/>
                <w:numId w:val="21"/>
              </w:numPr>
              <w:rPr>
                <w:rFonts w:ascii="Arial" w:eastAsia="Arial" w:hAnsi="Arial" w:cs="Arial"/>
                <w:sz w:val="24"/>
                <w:szCs w:val="24"/>
              </w:rPr>
            </w:pPr>
            <w:r w:rsidRPr="00FD7A98">
              <w:rPr>
                <w:rFonts w:ascii="Arial" w:eastAsia="Arial" w:hAnsi="Arial" w:cs="Arial"/>
                <w:sz w:val="24"/>
                <w:szCs w:val="24"/>
              </w:rPr>
              <w:t>Focus on retention, upskill and promotion</w:t>
            </w:r>
          </w:p>
          <w:p w:rsidR="000C4C4E" w:rsidRPr="00FD7A98" w:rsidRDefault="000C4C4E" w:rsidP="00FD7A98">
            <w:pPr>
              <w:pStyle w:val="ListParagraph"/>
              <w:numPr>
                <w:ilvl w:val="0"/>
                <w:numId w:val="21"/>
              </w:numPr>
              <w:rPr>
                <w:rFonts w:ascii="Arial" w:hAnsi="Arial" w:cs="Arial"/>
                <w:sz w:val="24"/>
                <w:szCs w:val="24"/>
              </w:rPr>
            </w:pPr>
            <w:r w:rsidRPr="00FD7A98">
              <w:rPr>
                <w:rFonts w:ascii="Arial" w:eastAsia="Arial" w:hAnsi="Arial" w:cs="Arial"/>
                <w:sz w:val="24"/>
                <w:szCs w:val="24"/>
              </w:rPr>
              <w:t>Reverse mentoring programme</w:t>
            </w:r>
          </w:p>
        </w:tc>
      </w:tr>
      <w:tr w:rsidR="00A72A39" w:rsidRPr="00FD7A98" w:rsidTr="00644149">
        <w:trPr>
          <w:trHeight w:val="610"/>
        </w:trPr>
        <w:tc>
          <w:tcPr>
            <w:tcW w:w="1970" w:type="dxa"/>
            <w:shd w:val="clear" w:color="auto" w:fill="323E4F" w:themeFill="text2" w:themeFillShade="BF"/>
            <w:vAlign w:val="center"/>
          </w:tcPr>
          <w:p w:rsidR="00A72A39" w:rsidRPr="00FD7A98" w:rsidRDefault="00A72A39" w:rsidP="00FD7A98">
            <w:pPr>
              <w:rPr>
                <w:rFonts w:ascii="Arial" w:hAnsi="Arial" w:cs="Arial"/>
                <w:b/>
                <w:color w:val="FFFFFF" w:themeColor="background1"/>
                <w:sz w:val="24"/>
                <w:szCs w:val="24"/>
              </w:rPr>
            </w:pPr>
            <w:r w:rsidRPr="00FD7A98">
              <w:rPr>
                <w:rFonts w:ascii="Arial" w:hAnsi="Arial" w:cs="Arial"/>
                <w:b/>
                <w:color w:val="FFFFFF" w:themeColor="background1"/>
                <w:sz w:val="24"/>
                <w:szCs w:val="24"/>
              </w:rPr>
              <w:t>Theme D</w:t>
            </w:r>
          </w:p>
          <w:p w:rsidR="000C4C4E" w:rsidRPr="00FD7A98" w:rsidRDefault="000C4C4E" w:rsidP="00FD7A98">
            <w:pPr>
              <w:rPr>
                <w:rFonts w:ascii="Arial" w:hAnsi="Arial" w:cs="Arial"/>
                <w:b/>
                <w:color w:val="FFFFFF" w:themeColor="background1"/>
                <w:sz w:val="24"/>
                <w:szCs w:val="24"/>
              </w:rPr>
            </w:pPr>
            <w:r w:rsidRPr="00FD7A98">
              <w:rPr>
                <w:rFonts w:ascii="Arial" w:hAnsi="Arial" w:cs="Arial"/>
                <w:sz w:val="24"/>
                <w:szCs w:val="24"/>
              </w:rPr>
              <w:t>Using data to inform action</w:t>
            </w:r>
          </w:p>
        </w:tc>
        <w:tc>
          <w:tcPr>
            <w:tcW w:w="6946" w:type="dxa"/>
            <w:shd w:val="clear" w:color="auto" w:fill="DEEAF6" w:themeFill="accent1" w:themeFillTint="33"/>
            <w:vAlign w:val="center"/>
          </w:tcPr>
          <w:p w:rsidR="00A72A39" w:rsidRPr="00FD7A98" w:rsidRDefault="000C4C4E" w:rsidP="00FD7A98">
            <w:pPr>
              <w:pStyle w:val="ListParagraph"/>
              <w:numPr>
                <w:ilvl w:val="0"/>
                <w:numId w:val="21"/>
              </w:numPr>
              <w:rPr>
                <w:rFonts w:ascii="Arial" w:eastAsia="Arial" w:hAnsi="Arial" w:cs="Arial"/>
                <w:sz w:val="24"/>
                <w:szCs w:val="24"/>
              </w:rPr>
            </w:pPr>
            <w:r w:rsidRPr="00FD7A98">
              <w:rPr>
                <w:rFonts w:ascii="Arial" w:eastAsia="Arial" w:hAnsi="Arial" w:cs="Arial"/>
                <w:sz w:val="24"/>
                <w:szCs w:val="24"/>
              </w:rPr>
              <w:t>Improved self-disclosure of ethnicity data</w:t>
            </w:r>
          </w:p>
          <w:p w:rsidR="000C4C4E" w:rsidRPr="00FD7A98" w:rsidRDefault="000C4C4E" w:rsidP="00FD7A98">
            <w:pPr>
              <w:pStyle w:val="ListParagraph"/>
              <w:numPr>
                <w:ilvl w:val="0"/>
                <w:numId w:val="21"/>
              </w:numPr>
              <w:rPr>
                <w:rFonts w:ascii="Arial" w:eastAsia="Arial" w:hAnsi="Arial" w:cs="Arial"/>
                <w:sz w:val="24"/>
                <w:szCs w:val="24"/>
              </w:rPr>
            </w:pPr>
            <w:r w:rsidRPr="00FD7A98">
              <w:rPr>
                <w:rFonts w:ascii="Arial" w:eastAsia="Arial" w:hAnsi="Arial" w:cs="Arial"/>
                <w:sz w:val="24"/>
                <w:szCs w:val="24"/>
              </w:rPr>
              <w:t>Ongoing analysis of staff datasets to support policy development</w:t>
            </w:r>
          </w:p>
          <w:p w:rsidR="000C4C4E" w:rsidRPr="00FD7A98" w:rsidRDefault="000C4C4E" w:rsidP="00FD7A98">
            <w:pPr>
              <w:pStyle w:val="ListParagraph"/>
              <w:numPr>
                <w:ilvl w:val="0"/>
                <w:numId w:val="21"/>
              </w:numPr>
              <w:rPr>
                <w:rFonts w:ascii="Arial" w:hAnsi="Arial" w:cs="Arial"/>
                <w:sz w:val="24"/>
                <w:szCs w:val="24"/>
              </w:rPr>
            </w:pPr>
            <w:r w:rsidRPr="00FD7A98">
              <w:rPr>
                <w:rFonts w:ascii="Arial" w:eastAsia="Arial" w:hAnsi="Arial" w:cs="Arial"/>
                <w:sz w:val="24"/>
                <w:szCs w:val="24"/>
              </w:rPr>
              <w:t>Ethnicity Pay gap reporting</w:t>
            </w:r>
          </w:p>
        </w:tc>
      </w:tr>
      <w:tr w:rsidR="00A72A39" w:rsidRPr="00FD7A98" w:rsidTr="00644149">
        <w:trPr>
          <w:trHeight w:val="610"/>
        </w:trPr>
        <w:tc>
          <w:tcPr>
            <w:tcW w:w="1970" w:type="dxa"/>
            <w:shd w:val="clear" w:color="auto" w:fill="323E4F" w:themeFill="text2" w:themeFillShade="BF"/>
            <w:vAlign w:val="center"/>
          </w:tcPr>
          <w:p w:rsidR="00A72A39" w:rsidRPr="00FD7A98" w:rsidRDefault="00A72A39" w:rsidP="00FD7A98">
            <w:pPr>
              <w:rPr>
                <w:rFonts w:ascii="Arial" w:hAnsi="Arial" w:cs="Arial"/>
                <w:b/>
                <w:color w:val="FFFFFF" w:themeColor="background1"/>
                <w:sz w:val="24"/>
                <w:szCs w:val="24"/>
              </w:rPr>
            </w:pPr>
            <w:r w:rsidRPr="00FD7A98">
              <w:rPr>
                <w:rFonts w:ascii="Arial" w:hAnsi="Arial" w:cs="Arial"/>
                <w:b/>
                <w:color w:val="FFFFFF" w:themeColor="background1"/>
                <w:sz w:val="24"/>
                <w:szCs w:val="24"/>
              </w:rPr>
              <w:t>Theme E</w:t>
            </w:r>
          </w:p>
          <w:p w:rsidR="000C4C4E" w:rsidRPr="00FD7A98" w:rsidRDefault="000C4C4E" w:rsidP="00FD7A98">
            <w:pPr>
              <w:rPr>
                <w:rFonts w:ascii="Arial" w:hAnsi="Arial" w:cs="Arial"/>
                <w:b/>
                <w:color w:val="FFFFFF" w:themeColor="background1"/>
                <w:sz w:val="24"/>
                <w:szCs w:val="24"/>
              </w:rPr>
            </w:pPr>
            <w:r w:rsidRPr="00FD7A98">
              <w:rPr>
                <w:rFonts w:ascii="Arial" w:hAnsi="Arial" w:cs="Arial"/>
                <w:sz w:val="24"/>
                <w:szCs w:val="24"/>
              </w:rPr>
              <w:t>Addressing concerns</w:t>
            </w:r>
          </w:p>
        </w:tc>
        <w:tc>
          <w:tcPr>
            <w:tcW w:w="6946" w:type="dxa"/>
            <w:shd w:val="clear" w:color="auto" w:fill="DEEAF6" w:themeFill="accent1" w:themeFillTint="33"/>
            <w:vAlign w:val="center"/>
          </w:tcPr>
          <w:p w:rsidR="00A72A39" w:rsidRPr="00FD7A98" w:rsidRDefault="000C4C4E" w:rsidP="00FD7A98">
            <w:pPr>
              <w:pStyle w:val="ListParagraph"/>
              <w:numPr>
                <w:ilvl w:val="0"/>
                <w:numId w:val="21"/>
              </w:numPr>
              <w:rPr>
                <w:rFonts w:ascii="Arial" w:eastAsia="Arial" w:hAnsi="Arial" w:cs="Arial"/>
                <w:sz w:val="24"/>
                <w:szCs w:val="24"/>
              </w:rPr>
            </w:pPr>
            <w:r w:rsidRPr="00FD7A98">
              <w:rPr>
                <w:rFonts w:ascii="Arial" w:eastAsia="Arial" w:hAnsi="Arial" w:cs="Arial"/>
                <w:sz w:val="24"/>
                <w:szCs w:val="24"/>
              </w:rPr>
              <w:t>Improved signposting for anonymised reporting channels</w:t>
            </w:r>
          </w:p>
          <w:p w:rsidR="000C4C4E" w:rsidRPr="00FD7A98" w:rsidRDefault="000C4C4E" w:rsidP="00FD7A98">
            <w:pPr>
              <w:pStyle w:val="ListParagraph"/>
              <w:numPr>
                <w:ilvl w:val="0"/>
                <w:numId w:val="21"/>
              </w:numPr>
              <w:rPr>
                <w:rFonts w:ascii="Arial" w:eastAsia="Arial" w:hAnsi="Arial" w:cs="Arial"/>
                <w:sz w:val="24"/>
                <w:szCs w:val="24"/>
              </w:rPr>
            </w:pPr>
            <w:r w:rsidRPr="00FD7A98">
              <w:rPr>
                <w:rFonts w:ascii="Arial" w:eastAsia="Arial" w:hAnsi="Arial" w:cs="Arial"/>
                <w:sz w:val="24"/>
                <w:szCs w:val="24"/>
              </w:rPr>
              <w:t>Support and engage with the Ethnic Minority Advisory Group</w:t>
            </w:r>
          </w:p>
          <w:p w:rsidR="000C4C4E" w:rsidRPr="00FD7A98" w:rsidRDefault="000C4C4E" w:rsidP="00FD7A98">
            <w:pPr>
              <w:pStyle w:val="ListParagraph"/>
              <w:numPr>
                <w:ilvl w:val="0"/>
                <w:numId w:val="21"/>
              </w:numPr>
              <w:rPr>
                <w:rFonts w:ascii="Arial" w:hAnsi="Arial" w:cs="Arial"/>
                <w:sz w:val="24"/>
                <w:szCs w:val="24"/>
              </w:rPr>
            </w:pPr>
            <w:r w:rsidRPr="00FD7A98">
              <w:rPr>
                <w:rFonts w:ascii="Arial" w:eastAsia="Arial" w:hAnsi="Arial" w:cs="Arial"/>
                <w:sz w:val="24"/>
                <w:szCs w:val="24"/>
              </w:rPr>
              <w:t>Improved thematic analysis by Race for patient feedback loops</w:t>
            </w:r>
          </w:p>
        </w:tc>
      </w:tr>
    </w:tbl>
    <w:p w:rsidR="0089297F" w:rsidRPr="00FD7A98" w:rsidRDefault="0089297F" w:rsidP="00FD7A98">
      <w:pPr>
        <w:spacing w:before="40" w:after="40" w:line="276" w:lineRule="auto"/>
        <w:rPr>
          <w:rFonts w:cs="Arial"/>
          <w:color w:val="000000"/>
          <w:szCs w:val="24"/>
        </w:rPr>
      </w:pPr>
    </w:p>
    <w:p w:rsidR="00F3337D" w:rsidRPr="00FD7A98" w:rsidRDefault="00C87B62" w:rsidP="00FD7A98">
      <w:pPr>
        <w:pStyle w:val="Heading3"/>
        <w:spacing w:line="276" w:lineRule="auto"/>
        <w:rPr>
          <w:rFonts w:cs="Arial"/>
        </w:rPr>
      </w:pPr>
      <w:r w:rsidRPr="00FD7A98">
        <w:rPr>
          <w:rFonts w:cs="Arial"/>
        </w:rPr>
        <w:t>2</w:t>
      </w:r>
      <w:r w:rsidR="00BF3AF0" w:rsidRPr="00FD7A98">
        <w:rPr>
          <w:rFonts w:cs="Arial"/>
        </w:rPr>
        <w:t>.3.1</w:t>
      </w:r>
      <w:r w:rsidR="00BF3AF0" w:rsidRPr="00FD7A98">
        <w:rPr>
          <w:rFonts w:cs="Arial"/>
        </w:rPr>
        <w:tab/>
      </w:r>
      <w:r w:rsidR="00F3337D" w:rsidRPr="00FD7A98">
        <w:rPr>
          <w:rFonts w:cs="Arial"/>
        </w:rPr>
        <w:t>Quality/ Patient Care</w:t>
      </w:r>
    </w:p>
    <w:p w:rsidR="00F3337D" w:rsidRPr="00FD7A98" w:rsidRDefault="00A54C6B" w:rsidP="00FD7A98">
      <w:pPr>
        <w:rPr>
          <w:rFonts w:cs="Arial"/>
          <w:color w:val="000000" w:themeColor="text1"/>
          <w:szCs w:val="24"/>
        </w:rPr>
      </w:pPr>
      <w:r w:rsidRPr="00FD7A98">
        <w:rPr>
          <w:rFonts w:cs="Arial"/>
          <w:color w:val="000000" w:themeColor="text1"/>
          <w:szCs w:val="24"/>
        </w:rPr>
        <w:t>Our Anti-racism Action Plan will</w:t>
      </w:r>
      <w:r w:rsidR="003C45CE" w:rsidRPr="00FD7A98">
        <w:rPr>
          <w:rFonts w:cs="Arial"/>
          <w:color w:val="000000" w:themeColor="text1"/>
          <w:szCs w:val="24"/>
        </w:rPr>
        <w:t xml:space="preserve"> send a clear message internally and externally demonstrating our no tolerance stance to racism within our organisation.  This will foster a culture of acceptance and ultimately benefit the quality of care delivered to our patients and service users from an ethnic minority background.</w:t>
      </w:r>
    </w:p>
    <w:p w:rsidR="00821072" w:rsidRPr="00FD7A98" w:rsidRDefault="00821072" w:rsidP="00FD7A98">
      <w:pPr>
        <w:rPr>
          <w:rFonts w:cs="Arial"/>
          <w:color w:val="000000"/>
          <w:szCs w:val="24"/>
        </w:rPr>
      </w:pPr>
    </w:p>
    <w:p w:rsidR="00AA77F7" w:rsidRPr="00FD7A98" w:rsidRDefault="00C87B62" w:rsidP="00FD7A98">
      <w:pPr>
        <w:pStyle w:val="Heading3"/>
        <w:spacing w:line="276" w:lineRule="auto"/>
        <w:rPr>
          <w:rFonts w:cs="Arial"/>
        </w:rPr>
      </w:pPr>
      <w:r w:rsidRPr="00FD7A98">
        <w:rPr>
          <w:rFonts w:cs="Arial"/>
        </w:rPr>
        <w:t>2</w:t>
      </w:r>
      <w:r w:rsidR="00BF3AF0" w:rsidRPr="00FD7A98">
        <w:rPr>
          <w:rFonts w:cs="Arial"/>
        </w:rPr>
        <w:t>.3.2</w:t>
      </w:r>
      <w:r w:rsidR="00BF3AF0" w:rsidRPr="00FD7A98">
        <w:rPr>
          <w:rFonts w:cs="Arial"/>
        </w:rPr>
        <w:tab/>
      </w:r>
      <w:r w:rsidR="00AA77F7" w:rsidRPr="00FD7A98">
        <w:rPr>
          <w:rFonts w:cs="Arial"/>
        </w:rPr>
        <w:t>Workforce</w:t>
      </w:r>
    </w:p>
    <w:p w:rsidR="003C45CE" w:rsidRPr="00FD7A98" w:rsidRDefault="003C45CE" w:rsidP="00FD7A98">
      <w:pPr>
        <w:spacing w:before="60" w:after="60"/>
        <w:rPr>
          <w:rFonts w:cs="Arial"/>
          <w:color w:val="000000" w:themeColor="text1"/>
          <w:szCs w:val="24"/>
        </w:rPr>
      </w:pPr>
      <w:r w:rsidRPr="00FD7A98">
        <w:rPr>
          <w:rFonts w:cs="Arial"/>
          <w:color w:val="000000" w:themeColor="text1"/>
          <w:szCs w:val="24"/>
        </w:rPr>
        <w:t>As per the above, the adoption of anti-racism objectives will send a clear message to our workforce that NHSGJ will not tolerate racism in any form.  In doing so, the following outcomes are anticipated to be realised:</w:t>
      </w:r>
    </w:p>
    <w:p w:rsidR="003C45CE" w:rsidRPr="00FD7A98" w:rsidRDefault="003C45CE" w:rsidP="00FD7A98">
      <w:pPr>
        <w:pStyle w:val="ListParagraph"/>
        <w:numPr>
          <w:ilvl w:val="0"/>
          <w:numId w:val="19"/>
        </w:numPr>
        <w:spacing w:before="60" w:after="60"/>
        <w:rPr>
          <w:rFonts w:ascii="Arial" w:hAnsi="Arial" w:cs="Arial"/>
          <w:color w:val="000000" w:themeColor="text1"/>
          <w:sz w:val="24"/>
          <w:szCs w:val="24"/>
        </w:rPr>
      </w:pPr>
      <w:r w:rsidRPr="00FD7A98">
        <w:rPr>
          <w:rFonts w:ascii="Arial" w:hAnsi="Arial" w:cs="Arial"/>
          <w:color w:val="000000" w:themeColor="text1"/>
          <w:sz w:val="24"/>
          <w:szCs w:val="24"/>
        </w:rPr>
        <w:t>Improve staff health and wellbeing</w:t>
      </w:r>
    </w:p>
    <w:p w:rsidR="003C45CE" w:rsidRPr="00FD7A98" w:rsidRDefault="003C45CE" w:rsidP="00FD7A98">
      <w:pPr>
        <w:pStyle w:val="ListParagraph"/>
        <w:numPr>
          <w:ilvl w:val="0"/>
          <w:numId w:val="19"/>
        </w:numPr>
        <w:spacing w:before="60" w:after="60"/>
        <w:rPr>
          <w:rFonts w:ascii="Arial" w:hAnsi="Arial" w:cs="Arial"/>
          <w:color w:val="000000" w:themeColor="text1"/>
          <w:sz w:val="24"/>
          <w:szCs w:val="24"/>
        </w:rPr>
      </w:pPr>
      <w:r w:rsidRPr="00FD7A98">
        <w:rPr>
          <w:rFonts w:ascii="Arial" w:hAnsi="Arial" w:cs="Arial"/>
          <w:color w:val="000000" w:themeColor="text1"/>
          <w:sz w:val="24"/>
          <w:szCs w:val="24"/>
        </w:rPr>
        <w:t>Reduce sickness absence levels</w:t>
      </w:r>
    </w:p>
    <w:p w:rsidR="00D24B56" w:rsidRPr="00FD7A98" w:rsidRDefault="003C45CE" w:rsidP="00FD7A98">
      <w:pPr>
        <w:pStyle w:val="ListParagraph"/>
        <w:numPr>
          <w:ilvl w:val="0"/>
          <w:numId w:val="19"/>
        </w:numPr>
        <w:spacing w:before="60" w:after="60"/>
        <w:rPr>
          <w:rFonts w:ascii="Arial" w:hAnsi="Arial" w:cs="Arial"/>
          <w:color w:val="000000" w:themeColor="text1"/>
          <w:sz w:val="24"/>
          <w:szCs w:val="24"/>
        </w:rPr>
      </w:pPr>
      <w:r w:rsidRPr="00FD7A98">
        <w:rPr>
          <w:rFonts w:ascii="Arial" w:hAnsi="Arial" w:cs="Arial"/>
          <w:color w:val="000000" w:themeColor="text1"/>
          <w:sz w:val="24"/>
          <w:szCs w:val="24"/>
        </w:rPr>
        <w:t xml:space="preserve">Improved staff retention </w:t>
      </w:r>
    </w:p>
    <w:p w:rsidR="00F3337D" w:rsidRPr="00FD7A98" w:rsidRDefault="003C45CE" w:rsidP="00FD7A98">
      <w:pPr>
        <w:pStyle w:val="ListParagraph"/>
        <w:numPr>
          <w:ilvl w:val="0"/>
          <w:numId w:val="19"/>
        </w:numPr>
        <w:spacing w:before="60" w:after="60"/>
        <w:rPr>
          <w:rFonts w:ascii="Arial" w:hAnsi="Arial" w:cs="Arial"/>
          <w:color w:val="000000" w:themeColor="text1"/>
          <w:sz w:val="24"/>
          <w:szCs w:val="24"/>
        </w:rPr>
      </w:pPr>
      <w:r w:rsidRPr="00FD7A98">
        <w:rPr>
          <w:rFonts w:ascii="Arial" w:hAnsi="Arial" w:cs="Arial"/>
          <w:color w:val="000000" w:themeColor="text1"/>
          <w:sz w:val="24"/>
          <w:szCs w:val="24"/>
        </w:rPr>
        <w:t>Reduced incidents of workplace grievances</w:t>
      </w:r>
    </w:p>
    <w:p w:rsidR="003C45CE" w:rsidRPr="00FD7A98" w:rsidRDefault="003C45CE" w:rsidP="00FD7A98">
      <w:pPr>
        <w:rPr>
          <w:rFonts w:cs="Arial"/>
          <w:color w:val="000000"/>
          <w:szCs w:val="24"/>
        </w:rPr>
      </w:pPr>
    </w:p>
    <w:p w:rsidR="00F3337D" w:rsidRPr="00FD7A98" w:rsidRDefault="00C87B62" w:rsidP="00FD7A98">
      <w:pPr>
        <w:pStyle w:val="Heading3"/>
        <w:spacing w:line="276" w:lineRule="auto"/>
        <w:rPr>
          <w:rFonts w:cs="Arial"/>
        </w:rPr>
      </w:pPr>
      <w:r w:rsidRPr="00FD7A98">
        <w:rPr>
          <w:rFonts w:cs="Arial"/>
        </w:rPr>
        <w:t>2</w:t>
      </w:r>
      <w:r w:rsidR="00BF3AF0" w:rsidRPr="00FD7A98">
        <w:rPr>
          <w:rFonts w:cs="Arial"/>
        </w:rPr>
        <w:t>.3.3</w:t>
      </w:r>
      <w:r w:rsidR="00BF3AF0" w:rsidRPr="00FD7A98">
        <w:rPr>
          <w:rFonts w:cs="Arial"/>
        </w:rPr>
        <w:tab/>
      </w:r>
      <w:r w:rsidR="00F3337D" w:rsidRPr="00FD7A98">
        <w:rPr>
          <w:rFonts w:cs="Arial"/>
        </w:rPr>
        <w:t>Financial</w:t>
      </w:r>
    </w:p>
    <w:p w:rsidR="00F3337D" w:rsidRPr="00FD7A98" w:rsidRDefault="00BE47C7" w:rsidP="00FD7A98">
      <w:pPr>
        <w:spacing w:before="40" w:after="40" w:line="276" w:lineRule="auto"/>
        <w:rPr>
          <w:rFonts w:cs="Arial"/>
          <w:color w:val="000000"/>
          <w:szCs w:val="24"/>
        </w:rPr>
      </w:pPr>
      <w:r w:rsidRPr="00FD7A98">
        <w:rPr>
          <w:rFonts w:cs="Arial"/>
          <w:color w:val="000000"/>
          <w:szCs w:val="24"/>
        </w:rPr>
        <w:t>Actions and deliverables associated with the plan are largely anticipated to be cost neutral.  Funding for specific initiatives will be sourced from the Equalities budget with a recurring balance of 5k.</w:t>
      </w:r>
    </w:p>
    <w:p w:rsidR="0089297F" w:rsidRPr="00FD7A98" w:rsidRDefault="0089297F" w:rsidP="00FD7A98">
      <w:pPr>
        <w:spacing w:before="40" w:after="40" w:line="276" w:lineRule="auto"/>
        <w:rPr>
          <w:rFonts w:cs="Arial"/>
          <w:color w:val="000000"/>
          <w:szCs w:val="24"/>
        </w:rPr>
      </w:pPr>
    </w:p>
    <w:p w:rsidR="00F3337D" w:rsidRPr="00FD7A98" w:rsidRDefault="00C87B62" w:rsidP="00FD7A98">
      <w:pPr>
        <w:pStyle w:val="Heading3"/>
        <w:spacing w:line="276" w:lineRule="auto"/>
        <w:rPr>
          <w:rFonts w:cs="Arial"/>
        </w:rPr>
      </w:pPr>
      <w:r w:rsidRPr="00FD7A98">
        <w:rPr>
          <w:rFonts w:cs="Arial"/>
        </w:rPr>
        <w:t>2</w:t>
      </w:r>
      <w:r w:rsidR="00BF3AF0" w:rsidRPr="00FD7A98">
        <w:rPr>
          <w:rFonts w:cs="Arial"/>
        </w:rPr>
        <w:t>.3.4</w:t>
      </w:r>
      <w:r w:rsidR="00BF3AF0" w:rsidRPr="00FD7A98">
        <w:rPr>
          <w:rFonts w:cs="Arial"/>
        </w:rPr>
        <w:tab/>
      </w:r>
      <w:r w:rsidR="00F3337D" w:rsidRPr="00FD7A98">
        <w:rPr>
          <w:rFonts w:cs="Arial"/>
        </w:rPr>
        <w:t>Risk Assessment</w:t>
      </w:r>
      <w:r w:rsidR="00BF3AF0" w:rsidRPr="00FD7A98">
        <w:rPr>
          <w:rFonts w:cs="Arial"/>
        </w:rPr>
        <w:t>/</w:t>
      </w:r>
      <w:r w:rsidR="00F3337D" w:rsidRPr="00FD7A98">
        <w:rPr>
          <w:rFonts w:cs="Arial"/>
        </w:rPr>
        <w:t>Management</w:t>
      </w:r>
    </w:p>
    <w:p w:rsidR="00F3337D" w:rsidRPr="00FD7A98" w:rsidRDefault="00D24B56" w:rsidP="00FD7A98">
      <w:pPr>
        <w:spacing w:before="40" w:after="40" w:line="276" w:lineRule="auto"/>
        <w:rPr>
          <w:rFonts w:cs="Arial"/>
          <w:color w:val="000000"/>
          <w:szCs w:val="24"/>
        </w:rPr>
      </w:pPr>
      <w:r w:rsidRPr="00FD7A98">
        <w:rPr>
          <w:rFonts w:cs="Arial"/>
          <w:color w:val="000000"/>
          <w:szCs w:val="24"/>
        </w:rPr>
        <w:t>The implementation of anti-racism objectives will ensure that we reduce our risk to organisational reputation being tarnished as a result of racist behaviour both within our workforce and the delivery of patient care.</w:t>
      </w:r>
    </w:p>
    <w:p w:rsidR="00D24B56" w:rsidRPr="00FD7A98" w:rsidRDefault="00D24B56" w:rsidP="00FD7A98">
      <w:pPr>
        <w:spacing w:before="40" w:after="40" w:line="276" w:lineRule="auto"/>
        <w:rPr>
          <w:rFonts w:cs="Arial"/>
          <w:color w:val="000000"/>
          <w:szCs w:val="24"/>
        </w:rPr>
      </w:pPr>
    </w:p>
    <w:p w:rsidR="00F3337D" w:rsidRPr="00FD7A98" w:rsidRDefault="00C87B62" w:rsidP="00FD7A98">
      <w:pPr>
        <w:pStyle w:val="Heading3"/>
        <w:spacing w:line="276" w:lineRule="auto"/>
        <w:rPr>
          <w:rFonts w:cs="Arial"/>
        </w:rPr>
      </w:pPr>
      <w:r w:rsidRPr="00FD7A98">
        <w:rPr>
          <w:rFonts w:cs="Arial"/>
        </w:rPr>
        <w:t>2</w:t>
      </w:r>
      <w:r w:rsidR="00BF3AF0" w:rsidRPr="00FD7A98">
        <w:rPr>
          <w:rFonts w:cs="Arial"/>
        </w:rPr>
        <w:t>.3.5</w:t>
      </w:r>
      <w:r w:rsidR="00BF3AF0" w:rsidRPr="00FD7A98">
        <w:rPr>
          <w:rFonts w:cs="Arial"/>
        </w:rPr>
        <w:tab/>
      </w:r>
      <w:r w:rsidR="00F3337D" w:rsidRPr="00FD7A98">
        <w:rPr>
          <w:rFonts w:cs="Arial"/>
        </w:rPr>
        <w:t>Equality and Diversity, including health inequalities</w:t>
      </w:r>
    </w:p>
    <w:p w:rsidR="003E5654" w:rsidRDefault="0089297F" w:rsidP="00FD7A98">
      <w:pPr>
        <w:spacing w:before="40" w:after="40" w:line="276" w:lineRule="auto"/>
        <w:rPr>
          <w:rFonts w:cs="Arial"/>
          <w:color w:val="000000"/>
          <w:szCs w:val="24"/>
        </w:rPr>
      </w:pPr>
      <w:r w:rsidRPr="00FD7A98">
        <w:rPr>
          <w:rFonts w:cs="Arial"/>
          <w:color w:val="000000"/>
          <w:szCs w:val="24"/>
        </w:rPr>
        <w:t>NHS Golden Jubilee is committed to equality, diversity and tackling health inequalities, with corporate objectives that strive for inclusivity, and a recently agreed set of Equality Outcomes for 2025-2029.</w:t>
      </w:r>
    </w:p>
    <w:p w:rsidR="00FD7A98" w:rsidRPr="00FD7A98" w:rsidRDefault="00FD7A98" w:rsidP="00FD7A98">
      <w:pPr>
        <w:spacing w:before="40" w:after="40" w:line="276" w:lineRule="auto"/>
        <w:rPr>
          <w:rFonts w:cs="Arial"/>
          <w:color w:val="000000"/>
          <w:szCs w:val="24"/>
        </w:rPr>
      </w:pPr>
    </w:p>
    <w:p w:rsidR="00D24B56" w:rsidRPr="00FD7A98" w:rsidRDefault="00D24B56" w:rsidP="00FD7A98">
      <w:pPr>
        <w:rPr>
          <w:rFonts w:cs="Arial"/>
          <w:b/>
          <w:color w:val="000000"/>
          <w:szCs w:val="24"/>
        </w:rPr>
      </w:pPr>
      <w:r w:rsidRPr="00FD7A98">
        <w:rPr>
          <w:rFonts w:cs="Arial"/>
          <w:b/>
          <w:color w:val="000000"/>
          <w:szCs w:val="24"/>
        </w:rPr>
        <w:lastRenderedPageBreak/>
        <w:t>State how this supports the Public Sector Equality Duty and the Board’s Equalities Outcomes.</w:t>
      </w:r>
    </w:p>
    <w:p w:rsidR="00D24B56" w:rsidRPr="00FD7A98" w:rsidRDefault="00D24B56" w:rsidP="00FD7A98">
      <w:pPr>
        <w:rPr>
          <w:rFonts w:cs="Arial"/>
          <w:szCs w:val="24"/>
        </w:rPr>
      </w:pPr>
      <w:r w:rsidRPr="00FD7A98">
        <w:rPr>
          <w:rFonts w:cs="Arial"/>
          <w:szCs w:val="24"/>
        </w:rPr>
        <w:t>The establishment of anti-racism objectives supports the Public Sector Equality Duty by:</w:t>
      </w:r>
    </w:p>
    <w:p w:rsidR="00D24B56" w:rsidRPr="00FD7A98" w:rsidRDefault="00D24B56" w:rsidP="00FD7A98">
      <w:pPr>
        <w:pStyle w:val="ListParagraph"/>
        <w:numPr>
          <w:ilvl w:val="0"/>
          <w:numId w:val="20"/>
        </w:numPr>
        <w:rPr>
          <w:rFonts w:ascii="Arial" w:hAnsi="Arial" w:cs="Arial"/>
          <w:sz w:val="24"/>
          <w:szCs w:val="24"/>
        </w:rPr>
      </w:pPr>
      <w:r w:rsidRPr="00FD7A98">
        <w:rPr>
          <w:rFonts w:ascii="Arial" w:hAnsi="Arial" w:cs="Arial"/>
          <w:sz w:val="24"/>
          <w:szCs w:val="24"/>
        </w:rPr>
        <w:t>Eliminating unlawful discrimination, harassment and victimization.</w:t>
      </w:r>
    </w:p>
    <w:p w:rsidR="00D24B56" w:rsidRPr="00FD7A98" w:rsidRDefault="00D24B56" w:rsidP="00FD7A98">
      <w:pPr>
        <w:pStyle w:val="ListParagraph"/>
        <w:numPr>
          <w:ilvl w:val="0"/>
          <w:numId w:val="20"/>
        </w:numPr>
        <w:rPr>
          <w:rFonts w:ascii="Arial" w:hAnsi="Arial" w:cs="Arial"/>
          <w:sz w:val="24"/>
          <w:szCs w:val="24"/>
        </w:rPr>
      </w:pPr>
      <w:r w:rsidRPr="00FD7A98">
        <w:rPr>
          <w:rFonts w:ascii="Arial" w:hAnsi="Arial" w:cs="Arial"/>
          <w:sz w:val="24"/>
          <w:szCs w:val="24"/>
        </w:rPr>
        <w:t>Fostering good relations between people who share a Protected Characteristic and those who don’t.</w:t>
      </w:r>
    </w:p>
    <w:p w:rsidR="00D24B56" w:rsidRPr="00FD7A98" w:rsidRDefault="00D24B56" w:rsidP="00FD7A98">
      <w:pPr>
        <w:pStyle w:val="ListParagraph"/>
        <w:numPr>
          <w:ilvl w:val="0"/>
          <w:numId w:val="20"/>
        </w:numPr>
        <w:rPr>
          <w:rFonts w:ascii="Arial" w:hAnsi="Arial" w:cs="Arial"/>
          <w:sz w:val="24"/>
          <w:szCs w:val="24"/>
        </w:rPr>
      </w:pPr>
      <w:r w:rsidRPr="00FD7A98">
        <w:rPr>
          <w:rFonts w:ascii="Arial" w:hAnsi="Arial" w:cs="Arial"/>
          <w:sz w:val="24"/>
          <w:szCs w:val="24"/>
        </w:rPr>
        <w:t>Advancing equality of opportunity between people who share a Protected Characteristic and those who don’t.</w:t>
      </w:r>
    </w:p>
    <w:p w:rsidR="000D2234" w:rsidRPr="00FD7A98" w:rsidRDefault="000D2234" w:rsidP="00FD7A98">
      <w:pPr>
        <w:pStyle w:val="Heading3"/>
        <w:rPr>
          <w:rFonts w:cs="Arial"/>
        </w:rPr>
      </w:pPr>
    </w:p>
    <w:p w:rsidR="006C5C9F" w:rsidRPr="00FD7A98" w:rsidRDefault="00C87B62" w:rsidP="00FD7A98">
      <w:pPr>
        <w:pStyle w:val="Heading3"/>
        <w:rPr>
          <w:rFonts w:cs="Arial"/>
        </w:rPr>
      </w:pPr>
      <w:r w:rsidRPr="00FD7A98">
        <w:rPr>
          <w:rFonts w:cs="Arial"/>
        </w:rPr>
        <w:t>2</w:t>
      </w:r>
      <w:r w:rsidR="00D17B29" w:rsidRPr="00FD7A98">
        <w:rPr>
          <w:rFonts w:cs="Arial"/>
        </w:rPr>
        <w:t>.3.6</w:t>
      </w:r>
      <w:r w:rsidR="00D17B29" w:rsidRPr="00FD7A98">
        <w:rPr>
          <w:rFonts w:cs="Arial"/>
        </w:rPr>
        <w:tab/>
      </w:r>
      <w:r w:rsidR="006C5C9F" w:rsidRPr="00FD7A98">
        <w:rPr>
          <w:rFonts w:eastAsiaTheme="minorHAnsi" w:cs="Arial"/>
          <w:bCs/>
          <w:color w:val="000000"/>
          <w:spacing w:val="0"/>
        </w:rPr>
        <w:t xml:space="preserve">Climate Emergency and Sustainability </w:t>
      </w:r>
    </w:p>
    <w:p w:rsidR="00AA77F7" w:rsidRPr="00FD7A98" w:rsidRDefault="0089297F" w:rsidP="00FD7A98">
      <w:pPr>
        <w:rPr>
          <w:rFonts w:cs="Arial"/>
          <w:color w:val="000000"/>
          <w:szCs w:val="24"/>
        </w:rPr>
      </w:pPr>
      <w:r w:rsidRPr="00FD7A98">
        <w:rPr>
          <w:rFonts w:cs="Arial"/>
          <w:color w:val="000000"/>
          <w:szCs w:val="24"/>
        </w:rPr>
        <w:t>No direct links to climate emergency and sustainability.</w:t>
      </w:r>
    </w:p>
    <w:p w:rsidR="0089297F" w:rsidRPr="00FD7A98" w:rsidRDefault="0089297F" w:rsidP="00FD7A98">
      <w:pPr>
        <w:rPr>
          <w:rFonts w:cs="Arial"/>
          <w:color w:val="000000"/>
          <w:szCs w:val="24"/>
        </w:rPr>
      </w:pPr>
    </w:p>
    <w:p w:rsidR="00446219" w:rsidRPr="00FD7A98" w:rsidRDefault="00446219" w:rsidP="00FD7A98">
      <w:pPr>
        <w:pStyle w:val="Heading3"/>
        <w:numPr>
          <w:ilvl w:val="2"/>
          <w:numId w:val="16"/>
        </w:numPr>
        <w:rPr>
          <w:rFonts w:eastAsia="Times New Roman" w:cs="Arial"/>
        </w:rPr>
      </w:pPr>
      <w:r w:rsidRPr="00FD7A98">
        <w:rPr>
          <w:rFonts w:eastAsia="Times New Roman" w:cs="Arial"/>
        </w:rPr>
        <w:t>Communication, involvement, engagement and consultation</w:t>
      </w:r>
    </w:p>
    <w:p w:rsidR="00F3337D" w:rsidRPr="00FD7A98" w:rsidRDefault="00446219" w:rsidP="00FD7A98">
      <w:pPr>
        <w:spacing w:before="40" w:after="40" w:line="276" w:lineRule="auto"/>
        <w:rPr>
          <w:rFonts w:cs="Arial"/>
          <w:color w:val="000000"/>
          <w:szCs w:val="24"/>
        </w:rPr>
      </w:pPr>
      <w:r w:rsidRPr="00FD7A98">
        <w:rPr>
          <w:rFonts w:cs="Arial"/>
          <w:color w:val="000000"/>
          <w:szCs w:val="24"/>
        </w:rPr>
        <w:t>The Board has carried out its duties to involve and engage stakeholders</w:t>
      </w:r>
      <w:r w:rsidR="00AF0530" w:rsidRPr="00FD7A98">
        <w:rPr>
          <w:rFonts w:cs="Arial"/>
          <w:color w:val="000000"/>
          <w:szCs w:val="24"/>
        </w:rPr>
        <w:t xml:space="preserve"> where appropriate</w:t>
      </w:r>
      <w:r w:rsidRPr="00FD7A98">
        <w:rPr>
          <w:rFonts w:cs="Arial"/>
          <w:color w:val="000000"/>
          <w:szCs w:val="24"/>
        </w:rPr>
        <w:t>:</w:t>
      </w:r>
    </w:p>
    <w:p w:rsidR="00AF0530" w:rsidRPr="00FD7A98" w:rsidRDefault="00AF0530" w:rsidP="00FD7A98">
      <w:pPr>
        <w:pStyle w:val="ListParagraph"/>
        <w:rPr>
          <w:rFonts w:ascii="Arial" w:hAnsi="Arial" w:cs="Arial"/>
          <w:color w:val="000000"/>
          <w:sz w:val="24"/>
          <w:szCs w:val="24"/>
        </w:rPr>
      </w:pPr>
    </w:p>
    <w:p w:rsidR="00446219" w:rsidRPr="00FD7A98" w:rsidRDefault="00685882" w:rsidP="00FD7A98">
      <w:pPr>
        <w:pStyle w:val="ListParagraph"/>
        <w:numPr>
          <w:ilvl w:val="0"/>
          <w:numId w:val="4"/>
        </w:numPr>
        <w:spacing w:before="40" w:after="40" w:line="276" w:lineRule="auto"/>
        <w:rPr>
          <w:rFonts w:ascii="Arial" w:hAnsi="Arial" w:cs="Arial"/>
          <w:sz w:val="24"/>
          <w:szCs w:val="24"/>
        </w:rPr>
      </w:pPr>
      <w:r w:rsidRPr="00FD7A98">
        <w:rPr>
          <w:rFonts w:ascii="Arial" w:hAnsi="Arial" w:cs="Arial"/>
          <w:sz w:val="24"/>
          <w:szCs w:val="24"/>
        </w:rPr>
        <w:t>National Equality and Diversity Leads Network</w:t>
      </w:r>
    </w:p>
    <w:p w:rsidR="00D24B56" w:rsidRPr="00FD7A98" w:rsidRDefault="00D24B56" w:rsidP="00FD7A98">
      <w:pPr>
        <w:pStyle w:val="ListParagraph"/>
        <w:numPr>
          <w:ilvl w:val="0"/>
          <w:numId w:val="4"/>
        </w:numPr>
        <w:spacing w:before="40" w:after="40" w:line="276" w:lineRule="auto"/>
        <w:rPr>
          <w:rFonts w:ascii="Arial" w:hAnsi="Arial" w:cs="Arial"/>
          <w:sz w:val="24"/>
          <w:szCs w:val="24"/>
        </w:rPr>
      </w:pPr>
      <w:r w:rsidRPr="00FD7A98">
        <w:rPr>
          <w:rFonts w:ascii="Arial" w:hAnsi="Arial" w:cs="Arial"/>
          <w:sz w:val="24"/>
          <w:szCs w:val="24"/>
        </w:rPr>
        <w:t>NHS Golden Jubilee EDI Group</w:t>
      </w:r>
    </w:p>
    <w:p w:rsidR="00685882" w:rsidRPr="00FD7A98" w:rsidRDefault="00685882" w:rsidP="00FD7A98">
      <w:pPr>
        <w:pStyle w:val="ListParagraph"/>
        <w:numPr>
          <w:ilvl w:val="0"/>
          <w:numId w:val="4"/>
        </w:numPr>
        <w:spacing w:before="40" w:after="40" w:line="276" w:lineRule="auto"/>
        <w:rPr>
          <w:rFonts w:ascii="Arial" w:hAnsi="Arial" w:cs="Arial"/>
          <w:sz w:val="24"/>
          <w:szCs w:val="24"/>
        </w:rPr>
      </w:pPr>
      <w:r w:rsidRPr="00FD7A98">
        <w:rPr>
          <w:rFonts w:ascii="Arial" w:hAnsi="Arial" w:cs="Arial"/>
          <w:sz w:val="24"/>
          <w:szCs w:val="24"/>
        </w:rPr>
        <w:t xml:space="preserve">NHS Golden Jubilee </w:t>
      </w:r>
      <w:r w:rsidR="00D24B56" w:rsidRPr="00FD7A98">
        <w:rPr>
          <w:rFonts w:ascii="Arial" w:hAnsi="Arial" w:cs="Arial"/>
          <w:sz w:val="24"/>
          <w:szCs w:val="24"/>
        </w:rPr>
        <w:t>Ethnic Minority</w:t>
      </w:r>
      <w:r w:rsidRPr="00FD7A98">
        <w:rPr>
          <w:rFonts w:ascii="Arial" w:hAnsi="Arial" w:cs="Arial"/>
          <w:sz w:val="24"/>
          <w:szCs w:val="24"/>
        </w:rPr>
        <w:t xml:space="preserve"> Staff Network</w:t>
      </w:r>
    </w:p>
    <w:p w:rsidR="00D24B56" w:rsidRPr="00FD7A98" w:rsidRDefault="00D24B56" w:rsidP="00FD7A98">
      <w:pPr>
        <w:pStyle w:val="ListParagraph"/>
        <w:numPr>
          <w:ilvl w:val="0"/>
          <w:numId w:val="4"/>
        </w:numPr>
        <w:spacing w:before="40" w:after="40" w:line="276" w:lineRule="auto"/>
        <w:rPr>
          <w:rFonts w:ascii="Arial" w:hAnsi="Arial" w:cs="Arial"/>
          <w:sz w:val="24"/>
          <w:szCs w:val="24"/>
        </w:rPr>
      </w:pPr>
      <w:r w:rsidRPr="00FD7A98">
        <w:rPr>
          <w:rFonts w:ascii="Arial" w:hAnsi="Arial" w:cs="Arial"/>
          <w:sz w:val="24"/>
          <w:szCs w:val="24"/>
        </w:rPr>
        <w:t>NHS Golden Jubilee Ethnic Minority Advisory Group</w:t>
      </w:r>
    </w:p>
    <w:p w:rsidR="00B851FC" w:rsidRPr="00FD7A98" w:rsidRDefault="00B851FC" w:rsidP="00FD7A98">
      <w:pPr>
        <w:pStyle w:val="ListParagraph"/>
        <w:spacing w:before="40" w:after="40" w:line="276" w:lineRule="auto"/>
        <w:ind w:left="1080"/>
        <w:rPr>
          <w:rFonts w:ascii="Arial" w:hAnsi="Arial" w:cs="Arial"/>
          <w:sz w:val="24"/>
          <w:szCs w:val="24"/>
          <w:highlight w:val="lightGray"/>
        </w:rPr>
      </w:pPr>
    </w:p>
    <w:p w:rsidR="0089297F" w:rsidRDefault="00446219" w:rsidP="00FD7A98">
      <w:pPr>
        <w:pStyle w:val="Heading3"/>
        <w:numPr>
          <w:ilvl w:val="2"/>
          <w:numId w:val="16"/>
        </w:numPr>
        <w:rPr>
          <w:rFonts w:cs="Arial"/>
        </w:rPr>
      </w:pPr>
      <w:r w:rsidRPr="00FD7A98">
        <w:rPr>
          <w:rFonts w:cs="Arial"/>
        </w:rPr>
        <w:t>Route to the Meeting</w:t>
      </w:r>
    </w:p>
    <w:p w:rsidR="001D424A" w:rsidRPr="001D424A" w:rsidRDefault="001D424A" w:rsidP="001D424A"/>
    <w:p w:rsidR="0089297F" w:rsidRPr="00FD7A98" w:rsidRDefault="00685882" w:rsidP="00FD7A98">
      <w:pPr>
        <w:spacing w:before="40" w:after="40" w:line="276" w:lineRule="auto"/>
        <w:rPr>
          <w:rFonts w:cs="Arial"/>
          <w:color w:val="000000"/>
          <w:szCs w:val="24"/>
        </w:rPr>
      </w:pPr>
      <w:r w:rsidRPr="00FD7A98">
        <w:rPr>
          <w:rFonts w:cs="Arial"/>
          <w:color w:val="000000"/>
          <w:szCs w:val="24"/>
        </w:rPr>
        <w:t>Route to meeting:</w:t>
      </w:r>
    </w:p>
    <w:p w:rsidR="0089297F" w:rsidRPr="00FD7A98" w:rsidRDefault="00692702" w:rsidP="001D424A">
      <w:pPr>
        <w:pStyle w:val="ListParagraph"/>
        <w:numPr>
          <w:ilvl w:val="0"/>
          <w:numId w:val="18"/>
        </w:numPr>
        <w:spacing w:before="40" w:after="40" w:line="276" w:lineRule="auto"/>
        <w:ind w:left="1134" w:hanging="425"/>
        <w:rPr>
          <w:rFonts w:ascii="Arial" w:hAnsi="Arial" w:cs="Arial"/>
          <w:color w:val="000000"/>
          <w:sz w:val="24"/>
          <w:szCs w:val="24"/>
        </w:rPr>
      </w:pPr>
      <w:r w:rsidRPr="00FD7A98">
        <w:rPr>
          <w:rFonts w:ascii="Arial" w:hAnsi="Arial" w:cs="Arial"/>
          <w:color w:val="000000"/>
          <w:sz w:val="24"/>
          <w:szCs w:val="24"/>
        </w:rPr>
        <w:t xml:space="preserve">3 July 2025 -  </w:t>
      </w:r>
      <w:r w:rsidR="000D2234" w:rsidRPr="00FD7A98">
        <w:rPr>
          <w:rFonts w:ascii="Arial" w:hAnsi="Arial" w:cs="Arial"/>
          <w:color w:val="000000"/>
          <w:sz w:val="24"/>
          <w:szCs w:val="24"/>
        </w:rPr>
        <w:t>NHSGJ Equality, Diversity and Inclusion group</w:t>
      </w:r>
    </w:p>
    <w:p w:rsidR="00692702" w:rsidRPr="00FD7A98" w:rsidRDefault="00692702" w:rsidP="001D424A">
      <w:pPr>
        <w:pStyle w:val="ListParagraph"/>
        <w:numPr>
          <w:ilvl w:val="0"/>
          <w:numId w:val="18"/>
        </w:numPr>
        <w:spacing w:before="40" w:after="40" w:line="276" w:lineRule="auto"/>
        <w:ind w:left="1134" w:hanging="425"/>
        <w:rPr>
          <w:rFonts w:ascii="Arial" w:hAnsi="Arial" w:cs="Arial"/>
          <w:color w:val="000000"/>
          <w:sz w:val="24"/>
          <w:szCs w:val="24"/>
        </w:rPr>
      </w:pPr>
      <w:r w:rsidRPr="00FD7A98">
        <w:rPr>
          <w:rFonts w:ascii="Arial" w:hAnsi="Arial" w:cs="Arial"/>
          <w:color w:val="000000"/>
          <w:sz w:val="24"/>
          <w:szCs w:val="24"/>
        </w:rPr>
        <w:t>2024/25 – NHSGJ Ethnic Minority staff network</w:t>
      </w:r>
    </w:p>
    <w:p w:rsidR="00692702" w:rsidRDefault="00692702" w:rsidP="001D424A">
      <w:pPr>
        <w:pStyle w:val="ListParagraph"/>
        <w:numPr>
          <w:ilvl w:val="0"/>
          <w:numId w:val="18"/>
        </w:numPr>
        <w:spacing w:before="40" w:after="40" w:line="276" w:lineRule="auto"/>
        <w:ind w:left="1134" w:hanging="425"/>
        <w:rPr>
          <w:rFonts w:ascii="Arial" w:hAnsi="Arial" w:cs="Arial"/>
          <w:color w:val="000000"/>
          <w:sz w:val="24"/>
          <w:szCs w:val="24"/>
        </w:rPr>
      </w:pPr>
      <w:r w:rsidRPr="00FD7A98">
        <w:rPr>
          <w:rFonts w:ascii="Arial" w:hAnsi="Arial" w:cs="Arial"/>
          <w:color w:val="000000"/>
          <w:sz w:val="24"/>
          <w:szCs w:val="24"/>
        </w:rPr>
        <w:t>2024/25 – NHSGJ Ethnic Minority Advisory Group</w:t>
      </w:r>
    </w:p>
    <w:p w:rsidR="00A823E1" w:rsidRDefault="00A823E1" w:rsidP="001D424A">
      <w:pPr>
        <w:pStyle w:val="ListParagraph"/>
        <w:numPr>
          <w:ilvl w:val="0"/>
          <w:numId w:val="18"/>
        </w:numPr>
        <w:spacing w:before="40" w:after="40" w:line="276" w:lineRule="auto"/>
        <w:ind w:left="1134" w:hanging="425"/>
        <w:rPr>
          <w:rFonts w:ascii="Arial" w:hAnsi="Arial" w:cs="Arial"/>
          <w:color w:val="000000"/>
          <w:sz w:val="24"/>
          <w:szCs w:val="24"/>
        </w:rPr>
      </w:pPr>
      <w:r>
        <w:rPr>
          <w:rFonts w:ascii="Arial" w:hAnsi="Arial" w:cs="Arial"/>
          <w:color w:val="000000"/>
          <w:sz w:val="24"/>
          <w:szCs w:val="24"/>
        </w:rPr>
        <w:t>19 June 2025</w:t>
      </w:r>
    </w:p>
    <w:p w:rsidR="00A823E1" w:rsidRDefault="00A823E1" w:rsidP="001D424A">
      <w:pPr>
        <w:pStyle w:val="ListParagraph"/>
        <w:numPr>
          <w:ilvl w:val="0"/>
          <w:numId w:val="18"/>
        </w:numPr>
        <w:spacing w:before="40" w:after="40" w:line="276" w:lineRule="auto"/>
        <w:ind w:left="1134" w:hanging="425"/>
        <w:rPr>
          <w:rFonts w:ascii="Arial" w:hAnsi="Arial" w:cs="Arial"/>
          <w:color w:val="000000"/>
          <w:sz w:val="24"/>
          <w:szCs w:val="24"/>
        </w:rPr>
      </w:pPr>
      <w:r>
        <w:rPr>
          <w:rFonts w:ascii="Arial" w:hAnsi="Arial" w:cs="Arial"/>
          <w:color w:val="000000"/>
          <w:sz w:val="24"/>
          <w:szCs w:val="24"/>
        </w:rPr>
        <w:t xml:space="preserve">10 July 2025 – Staff </w:t>
      </w:r>
      <w:proofErr w:type="spellStart"/>
      <w:r>
        <w:rPr>
          <w:rFonts w:ascii="Arial" w:hAnsi="Arial" w:cs="Arial"/>
          <w:color w:val="000000"/>
          <w:sz w:val="24"/>
          <w:szCs w:val="24"/>
        </w:rPr>
        <w:t>Governace</w:t>
      </w:r>
      <w:proofErr w:type="spellEnd"/>
      <w:r>
        <w:rPr>
          <w:rFonts w:ascii="Arial" w:hAnsi="Arial" w:cs="Arial"/>
          <w:color w:val="000000"/>
          <w:sz w:val="24"/>
          <w:szCs w:val="24"/>
        </w:rPr>
        <w:t xml:space="preserve"> Group</w:t>
      </w:r>
    </w:p>
    <w:p w:rsidR="00A823E1" w:rsidRDefault="00A823E1" w:rsidP="001D424A">
      <w:pPr>
        <w:pStyle w:val="ListParagraph"/>
        <w:numPr>
          <w:ilvl w:val="0"/>
          <w:numId w:val="18"/>
        </w:numPr>
        <w:spacing w:before="40" w:after="40" w:line="276" w:lineRule="auto"/>
        <w:ind w:left="1134" w:hanging="425"/>
        <w:rPr>
          <w:rFonts w:ascii="Arial" w:hAnsi="Arial" w:cs="Arial"/>
          <w:color w:val="000000"/>
          <w:sz w:val="24"/>
          <w:szCs w:val="24"/>
        </w:rPr>
      </w:pPr>
      <w:r>
        <w:rPr>
          <w:rFonts w:ascii="Arial" w:hAnsi="Arial" w:cs="Arial"/>
          <w:color w:val="000000"/>
          <w:sz w:val="24"/>
          <w:szCs w:val="24"/>
        </w:rPr>
        <w:t xml:space="preserve">18 July 2025 – Partnership Forum </w:t>
      </w:r>
    </w:p>
    <w:p w:rsidR="00A823E1" w:rsidRDefault="00A823E1" w:rsidP="001D424A">
      <w:pPr>
        <w:pStyle w:val="ListParagraph"/>
        <w:numPr>
          <w:ilvl w:val="0"/>
          <w:numId w:val="18"/>
        </w:numPr>
        <w:spacing w:before="40" w:after="40" w:line="276" w:lineRule="auto"/>
        <w:ind w:left="1134" w:hanging="425"/>
        <w:rPr>
          <w:rFonts w:ascii="Arial" w:hAnsi="Arial" w:cs="Arial"/>
          <w:color w:val="000000"/>
          <w:sz w:val="24"/>
          <w:szCs w:val="24"/>
        </w:rPr>
      </w:pPr>
      <w:r>
        <w:rPr>
          <w:rFonts w:ascii="Arial" w:hAnsi="Arial" w:cs="Arial"/>
          <w:color w:val="000000"/>
          <w:sz w:val="24"/>
          <w:szCs w:val="24"/>
        </w:rPr>
        <w:t xml:space="preserve">12 August 2025 – Staff </w:t>
      </w:r>
      <w:proofErr w:type="spellStart"/>
      <w:r>
        <w:rPr>
          <w:rFonts w:ascii="Arial" w:hAnsi="Arial" w:cs="Arial"/>
          <w:color w:val="000000"/>
          <w:sz w:val="24"/>
          <w:szCs w:val="24"/>
        </w:rPr>
        <w:t>Governace</w:t>
      </w:r>
      <w:proofErr w:type="spellEnd"/>
      <w:r>
        <w:rPr>
          <w:rFonts w:ascii="Arial" w:hAnsi="Arial" w:cs="Arial"/>
          <w:color w:val="000000"/>
          <w:sz w:val="24"/>
          <w:szCs w:val="24"/>
        </w:rPr>
        <w:t xml:space="preserve"> and Person Centred Committee</w:t>
      </w:r>
    </w:p>
    <w:p w:rsidR="00A823E1" w:rsidRDefault="00A823E1" w:rsidP="001D424A">
      <w:pPr>
        <w:pStyle w:val="ListParagraph"/>
        <w:numPr>
          <w:ilvl w:val="0"/>
          <w:numId w:val="18"/>
        </w:numPr>
        <w:spacing w:before="40" w:after="40" w:line="276" w:lineRule="auto"/>
        <w:ind w:left="1134" w:hanging="425"/>
        <w:rPr>
          <w:rFonts w:ascii="Arial" w:hAnsi="Arial" w:cs="Arial"/>
          <w:color w:val="000000"/>
          <w:sz w:val="24"/>
          <w:szCs w:val="24"/>
        </w:rPr>
      </w:pPr>
      <w:r>
        <w:rPr>
          <w:rFonts w:ascii="Arial" w:hAnsi="Arial" w:cs="Arial"/>
          <w:color w:val="000000"/>
          <w:sz w:val="24"/>
          <w:szCs w:val="24"/>
        </w:rPr>
        <w:t>20 August 2025 – Senior Leadership Team</w:t>
      </w:r>
    </w:p>
    <w:p w:rsidR="00A823E1" w:rsidRPr="00A823E1" w:rsidRDefault="00A823E1" w:rsidP="001D424A">
      <w:pPr>
        <w:pStyle w:val="ListParagraph"/>
        <w:numPr>
          <w:ilvl w:val="0"/>
          <w:numId w:val="18"/>
        </w:numPr>
        <w:spacing w:before="40" w:after="40" w:line="276" w:lineRule="auto"/>
        <w:ind w:left="1134" w:hanging="425"/>
        <w:rPr>
          <w:rFonts w:ascii="Arial" w:hAnsi="Arial" w:cs="Arial"/>
          <w:color w:val="000000"/>
          <w:sz w:val="24"/>
          <w:szCs w:val="24"/>
        </w:rPr>
      </w:pPr>
      <w:r>
        <w:rPr>
          <w:rFonts w:ascii="Arial" w:hAnsi="Arial" w:cs="Arial"/>
          <w:color w:val="000000"/>
          <w:sz w:val="24"/>
          <w:szCs w:val="24"/>
        </w:rPr>
        <w:t>26 August 2025 – Executive Leadership Team</w:t>
      </w:r>
    </w:p>
    <w:p w:rsidR="00430C09" w:rsidRPr="00FD7A98" w:rsidRDefault="00430C09" w:rsidP="00FD7A98">
      <w:pPr>
        <w:pStyle w:val="Heading2"/>
        <w:spacing w:line="276" w:lineRule="auto"/>
        <w:rPr>
          <w:rFonts w:cs="Arial"/>
          <w:sz w:val="24"/>
          <w:szCs w:val="24"/>
        </w:rPr>
      </w:pPr>
    </w:p>
    <w:p w:rsidR="00BF3AF0" w:rsidRPr="00FD7A98" w:rsidRDefault="00C87B62" w:rsidP="00FD7A98">
      <w:pPr>
        <w:pStyle w:val="Heading2"/>
        <w:rPr>
          <w:rFonts w:cs="Arial"/>
          <w:szCs w:val="24"/>
        </w:rPr>
      </w:pPr>
      <w:r w:rsidRPr="00FD7A98">
        <w:rPr>
          <w:rFonts w:cs="Arial"/>
          <w:szCs w:val="24"/>
        </w:rPr>
        <w:t>2.</w:t>
      </w:r>
      <w:r w:rsidR="00BF3AF0" w:rsidRPr="00FD7A98">
        <w:rPr>
          <w:rFonts w:cs="Arial"/>
          <w:szCs w:val="24"/>
        </w:rPr>
        <w:t>4</w:t>
      </w:r>
      <w:r w:rsidR="00BF3AF0" w:rsidRPr="00FD7A98">
        <w:rPr>
          <w:rFonts w:cs="Arial"/>
          <w:szCs w:val="24"/>
        </w:rPr>
        <w:tab/>
        <w:t>Recommendation</w:t>
      </w:r>
    </w:p>
    <w:p w:rsidR="00BF3AF0" w:rsidRPr="00FD7A98" w:rsidRDefault="00BF3AF0" w:rsidP="00FD7A98">
      <w:pPr>
        <w:rPr>
          <w:rFonts w:cs="Arial"/>
          <w:szCs w:val="24"/>
        </w:rPr>
      </w:pPr>
    </w:p>
    <w:p w:rsidR="00BF3AF0" w:rsidRPr="00FD7A98" w:rsidRDefault="0089297F" w:rsidP="00FD7A98">
      <w:pPr>
        <w:spacing w:before="40" w:after="40" w:line="276" w:lineRule="auto"/>
        <w:rPr>
          <w:rFonts w:cs="Arial"/>
          <w:color w:val="000000"/>
          <w:szCs w:val="24"/>
        </w:rPr>
      </w:pPr>
      <w:r w:rsidRPr="00FD7A98">
        <w:rPr>
          <w:rFonts w:cs="Arial"/>
          <w:color w:val="000000"/>
          <w:szCs w:val="24"/>
        </w:rPr>
        <w:t xml:space="preserve">Recommendation that </w:t>
      </w:r>
      <w:r w:rsidR="000D2234" w:rsidRPr="00FD7A98">
        <w:rPr>
          <w:rFonts w:cs="Arial"/>
          <w:color w:val="000000"/>
          <w:szCs w:val="24"/>
        </w:rPr>
        <w:t>the Anti-racism Action Plan is approved subject to any minor amendments to allow us to proceed with the planned launch date of October 2025.</w:t>
      </w:r>
    </w:p>
    <w:p w:rsidR="00C87B62" w:rsidRPr="00FD7A98" w:rsidRDefault="00C87B62" w:rsidP="00FD7A98">
      <w:pPr>
        <w:spacing w:before="40" w:after="40" w:line="276" w:lineRule="auto"/>
        <w:rPr>
          <w:rFonts w:cs="Arial"/>
          <w:szCs w:val="24"/>
        </w:rPr>
      </w:pPr>
    </w:p>
    <w:p w:rsidR="00C87B62" w:rsidRPr="00FD7A98" w:rsidRDefault="00C87B62" w:rsidP="00FD7A98">
      <w:pPr>
        <w:pStyle w:val="Heading2"/>
        <w:numPr>
          <w:ilvl w:val="0"/>
          <w:numId w:val="16"/>
        </w:numPr>
        <w:spacing w:line="276" w:lineRule="auto"/>
        <w:rPr>
          <w:rFonts w:cs="Arial"/>
          <w:szCs w:val="24"/>
        </w:rPr>
      </w:pPr>
      <w:r w:rsidRPr="00FD7A98">
        <w:rPr>
          <w:rFonts w:cs="Arial"/>
          <w:szCs w:val="24"/>
        </w:rPr>
        <w:t>List of appendices</w:t>
      </w:r>
    </w:p>
    <w:p w:rsidR="00C87B62" w:rsidRPr="00FD7A98" w:rsidRDefault="00C87B62" w:rsidP="00FD7A98">
      <w:pPr>
        <w:spacing w:before="40" w:after="40" w:line="276" w:lineRule="auto"/>
        <w:rPr>
          <w:rFonts w:cs="Arial"/>
          <w:color w:val="000000" w:themeColor="text1"/>
          <w:szCs w:val="24"/>
        </w:rPr>
      </w:pPr>
    </w:p>
    <w:p w:rsidR="00C87B62" w:rsidRPr="00FD7A98" w:rsidRDefault="00C87B62" w:rsidP="00FD7A98">
      <w:pPr>
        <w:spacing w:before="40" w:after="40" w:line="276" w:lineRule="auto"/>
        <w:ind w:firstLine="525"/>
        <w:rPr>
          <w:rFonts w:cs="Arial"/>
          <w:color w:val="000000"/>
          <w:szCs w:val="24"/>
        </w:rPr>
      </w:pPr>
      <w:r w:rsidRPr="00FD7A98">
        <w:rPr>
          <w:rFonts w:cs="Arial"/>
          <w:color w:val="000000" w:themeColor="text1"/>
          <w:szCs w:val="24"/>
        </w:rPr>
        <w:t xml:space="preserve">The following appendices are included with this </w:t>
      </w:r>
      <w:r w:rsidR="00610728" w:rsidRPr="00FD7A98">
        <w:rPr>
          <w:rFonts w:cs="Arial"/>
          <w:color w:val="000000" w:themeColor="text1"/>
          <w:szCs w:val="24"/>
        </w:rPr>
        <w:t>report</w:t>
      </w:r>
      <w:r w:rsidRPr="00FD7A98">
        <w:rPr>
          <w:rFonts w:cs="Arial"/>
          <w:color w:val="000000" w:themeColor="text1"/>
          <w:szCs w:val="24"/>
        </w:rPr>
        <w:t>:</w:t>
      </w:r>
    </w:p>
    <w:p w:rsidR="00C87B62" w:rsidRPr="00FD7A98" w:rsidRDefault="00C87B62" w:rsidP="00FD7A98">
      <w:pPr>
        <w:pStyle w:val="ListParagraph"/>
        <w:spacing w:before="40" w:after="40" w:line="276" w:lineRule="auto"/>
        <w:ind w:left="1253"/>
        <w:rPr>
          <w:rFonts w:ascii="Arial" w:hAnsi="Arial" w:cs="Arial"/>
          <w:color w:val="000000" w:themeColor="text1"/>
          <w:sz w:val="24"/>
          <w:szCs w:val="24"/>
        </w:rPr>
      </w:pPr>
      <w:bookmarkStart w:id="0" w:name="_GoBack"/>
      <w:bookmarkEnd w:id="0"/>
    </w:p>
    <w:p w:rsidR="0089297F" w:rsidRPr="00FD7A98" w:rsidRDefault="000D2234" w:rsidP="00FD7A98">
      <w:pPr>
        <w:pStyle w:val="ListParagraph"/>
        <w:numPr>
          <w:ilvl w:val="0"/>
          <w:numId w:val="17"/>
        </w:numPr>
        <w:spacing w:before="40" w:after="40" w:line="276" w:lineRule="auto"/>
        <w:ind w:left="993" w:hanging="284"/>
        <w:rPr>
          <w:rFonts w:ascii="Arial" w:hAnsi="Arial" w:cs="Arial"/>
          <w:color w:val="000000"/>
          <w:sz w:val="24"/>
          <w:szCs w:val="24"/>
        </w:rPr>
      </w:pPr>
      <w:r w:rsidRPr="00FD7A98">
        <w:rPr>
          <w:rFonts w:ascii="Arial" w:hAnsi="Arial" w:cs="Arial"/>
          <w:b/>
          <w:color w:val="000000"/>
          <w:sz w:val="24"/>
          <w:szCs w:val="24"/>
        </w:rPr>
        <w:t>n/a</w:t>
      </w:r>
    </w:p>
    <w:sectPr w:rsidR="0089297F" w:rsidRPr="00FD7A98" w:rsidSect="003F7F61">
      <w:headerReference w:type="default" r:id="rId11"/>
      <w:footerReference w:type="default" r:id="rId12"/>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952" w:rsidRDefault="00743952">
      <w:r>
        <w:separator/>
      </w:r>
    </w:p>
  </w:endnote>
  <w:endnote w:type="continuationSeparator" w:id="0">
    <w:p w:rsidR="00743952" w:rsidRDefault="0074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1D424A">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1D424A">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952" w:rsidRDefault="00743952">
      <w:r>
        <w:separator/>
      </w:r>
    </w:p>
  </w:footnote>
  <w:footnote w:type="continuationSeparator" w:id="0">
    <w:p w:rsidR="00743952" w:rsidRDefault="0074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A823E1"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3.3.2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E232B"/>
    <w:multiLevelType w:val="hybridMultilevel"/>
    <w:tmpl w:val="BE3E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754E20"/>
    <w:multiLevelType w:val="hybridMultilevel"/>
    <w:tmpl w:val="DB68E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5" w15:restartNumberingAfterBreak="0">
    <w:nsid w:val="4A8F2307"/>
    <w:multiLevelType w:val="hybridMultilevel"/>
    <w:tmpl w:val="1878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9" w15:restartNumberingAfterBreak="0">
    <w:nsid w:val="689A3990"/>
    <w:multiLevelType w:val="hybridMultilevel"/>
    <w:tmpl w:val="21D6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0"/>
  </w:num>
  <w:num w:numId="3">
    <w:abstractNumId w:val="11"/>
  </w:num>
  <w:num w:numId="4">
    <w:abstractNumId w:val="20"/>
  </w:num>
  <w:num w:numId="5">
    <w:abstractNumId w:val="9"/>
  </w:num>
  <w:num w:numId="6">
    <w:abstractNumId w:val="6"/>
  </w:num>
  <w:num w:numId="7">
    <w:abstractNumId w:val="13"/>
  </w:num>
  <w:num w:numId="8">
    <w:abstractNumId w:val="5"/>
  </w:num>
  <w:num w:numId="9">
    <w:abstractNumId w:val="16"/>
  </w:num>
  <w:num w:numId="10">
    <w:abstractNumId w:val="3"/>
  </w:num>
  <w:num w:numId="11">
    <w:abstractNumId w:val="17"/>
  </w:num>
  <w:num w:numId="12">
    <w:abstractNumId w:val="2"/>
  </w:num>
  <w:num w:numId="13">
    <w:abstractNumId w:val="4"/>
  </w:num>
  <w:num w:numId="14">
    <w:abstractNumId w:val="7"/>
  </w:num>
  <w:num w:numId="15">
    <w:abstractNumId w:val="10"/>
  </w:num>
  <w:num w:numId="16">
    <w:abstractNumId w:val="8"/>
  </w:num>
  <w:num w:numId="17">
    <w:abstractNumId w:val="14"/>
  </w:num>
  <w:num w:numId="18">
    <w:abstractNumId w:val="19"/>
  </w:num>
  <w:num w:numId="19">
    <w:abstractNumId w:val="1"/>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C4C4E"/>
    <w:rsid w:val="000D2234"/>
    <w:rsid w:val="000F7706"/>
    <w:rsid w:val="00112738"/>
    <w:rsid w:val="00125A9E"/>
    <w:rsid w:val="00140DB3"/>
    <w:rsid w:val="001767D9"/>
    <w:rsid w:val="001C6D6A"/>
    <w:rsid w:val="001D084F"/>
    <w:rsid w:val="001D424A"/>
    <w:rsid w:val="00231E2B"/>
    <w:rsid w:val="0023473B"/>
    <w:rsid w:val="00281D29"/>
    <w:rsid w:val="0033790B"/>
    <w:rsid w:val="003C45CE"/>
    <w:rsid w:val="003E5654"/>
    <w:rsid w:val="003F7F61"/>
    <w:rsid w:val="00430C09"/>
    <w:rsid w:val="00446219"/>
    <w:rsid w:val="00450C29"/>
    <w:rsid w:val="00495B36"/>
    <w:rsid w:val="004A39D0"/>
    <w:rsid w:val="004A5F47"/>
    <w:rsid w:val="004B7FB4"/>
    <w:rsid w:val="004C24DE"/>
    <w:rsid w:val="004F71D4"/>
    <w:rsid w:val="00591C18"/>
    <w:rsid w:val="005A1B79"/>
    <w:rsid w:val="005A381E"/>
    <w:rsid w:val="005A56E7"/>
    <w:rsid w:val="00610728"/>
    <w:rsid w:val="006173A9"/>
    <w:rsid w:val="00685882"/>
    <w:rsid w:val="00692702"/>
    <w:rsid w:val="006B3FB9"/>
    <w:rsid w:val="006C5C9F"/>
    <w:rsid w:val="006D1343"/>
    <w:rsid w:val="006F46A9"/>
    <w:rsid w:val="00743952"/>
    <w:rsid w:val="007F32CF"/>
    <w:rsid w:val="00816E22"/>
    <w:rsid w:val="00821072"/>
    <w:rsid w:val="0088438C"/>
    <w:rsid w:val="00890724"/>
    <w:rsid w:val="0089297F"/>
    <w:rsid w:val="008D7F7C"/>
    <w:rsid w:val="00927C6C"/>
    <w:rsid w:val="009359D0"/>
    <w:rsid w:val="009807B4"/>
    <w:rsid w:val="009828B9"/>
    <w:rsid w:val="009B252D"/>
    <w:rsid w:val="009C6D9E"/>
    <w:rsid w:val="009D0407"/>
    <w:rsid w:val="009E5326"/>
    <w:rsid w:val="00A2680C"/>
    <w:rsid w:val="00A54C6B"/>
    <w:rsid w:val="00A62B58"/>
    <w:rsid w:val="00A72A39"/>
    <w:rsid w:val="00A823E1"/>
    <w:rsid w:val="00A84C97"/>
    <w:rsid w:val="00AA77F7"/>
    <w:rsid w:val="00AE522B"/>
    <w:rsid w:val="00AF0530"/>
    <w:rsid w:val="00AF356A"/>
    <w:rsid w:val="00AF3E62"/>
    <w:rsid w:val="00B178D4"/>
    <w:rsid w:val="00B546C8"/>
    <w:rsid w:val="00B562FA"/>
    <w:rsid w:val="00B60590"/>
    <w:rsid w:val="00B6789A"/>
    <w:rsid w:val="00B7445F"/>
    <w:rsid w:val="00B77902"/>
    <w:rsid w:val="00B851FC"/>
    <w:rsid w:val="00BE47C7"/>
    <w:rsid w:val="00BF3AF0"/>
    <w:rsid w:val="00C87B62"/>
    <w:rsid w:val="00C94BF7"/>
    <w:rsid w:val="00CB33C8"/>
    <w:rsid w:val="00CE678F"/>
    <w:rsid w:val="00D17B29"/>
    <w:rsid w:val="00D24B56"/>
    <w:rsid w:val="00D34DEE"/>
    <w:rsid w:val="00DC6173"/>
    <w:rsid w:val="00DD2D3D"/>
    <w:rsid w:val="00DD6252"/>
    <w:rsid w:val="00DF1BE0"/>
    <w:rsid w:val="00E35AC0"/>
    <w:rsid w:val="00E71CD2"/>
    <w:rsid w:val="00EE6FAE"/>
    <w:rsid w:val="00F14668"/>
    <w:rsid w:val="00F24653"/>
    <w:rsid w:val="00F26F0F"/>
    <w:rsid w:val="00F3337D"/>
    <w:rsid w:val="00F35645"/>
    <w:rsid w:val="00F72199"/>
    <w:rsid w:val="00FD7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09F4"/>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styleId="Hyperlink">
    <w:name w:val="Hyperlink"/>
    <w:basedOn w:val="DefaultParagraphFont"/>
    <w:uiPriority w:val="99"/>
    <w:unhideWhenUsed/>
    <w:rsid w:val="005A1B79"/>
    <w:rPr>
      <w:color w:val="0563C1" w:themeColor="hyperlink"/>
      <w:u w:val="single"/>
    </w:rPr>
  </w:style>
  <w:style w:type="table" w:styleId="TableGrid">
    <w:name w:val="Table Grid"/>
    <w:basedOn w:val="TableNormal"/>
    <w:uiPriority w:val="39"/>
    <w:rsid w:val="00F7219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48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gov.scot%2Fpublications%2Fcabinet-secretary-for-health-and-social-care-statement-on-anti-racism%2F&amp;data=05%7C02%7CRobert.White%40gjnh.scot.nhs.uk%7C7a916830d7cc42ca990f08ddb30132b9%7C10efe0bda0304bca809cb5e6745e499a%7C0%7C0%7C638863539905342545%7CUnknown%7CTWFpbGZsb3d8eyJFbXB0eU1hcGkiOnRydWUsIlYiOiIwLjAuMDAwMCIsIlAiOiJXaW4zMiIsIkFOIjoiTWFpbCIsIldUIjoyfQ%3D%3D%7C0%7C%7C%7C&amp;sdata=g3CV57UtD8MjCHdKYWbzCML8dUnDVIRoXjl6bvQTnJc%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scot/publications/race-equality-framework-scotland-2016-2030/pages/3/" TargetMode="External"/><Relationship Id="rId4" Type="http://schemas.openxmlformats.org/officeDocument/2006/relationships/webSettings" Target="webSettings.xml"/><Relationship Id="rId9" Type="http://schemas.openxmlformats.org/officeDocument/2006/relationships/hyperlink" Target="https://eur01.safelinks.protection.outlook.com/?url=https%3A%2F%2Fwww.publications.scot.nhs.uk%2Ffiles%2Fdl-2024-23.pdf&amp;data=05%7C02%7CRobert.White%40gjnh.scot.nhs.uk%7C7a916830d7cc42ca990f08ddb30132b9%7C10efe0bda0304bca809cb5e6745e499a%7C0%7C0%7C638863539905364788%7CUnknown%7CTWFpbGZsb3d8eyJFbXB0eU1hcGkiOnRydWUsIlYiOiIwLjAuMDAwMCIsIlAiOiJXaW4zMiIsIkFOIjoiTWFpbCIsIldUIjoyfQ%3D%3D%7C0%7C%7C%7C&amp;sdata=rYYRVQseX9ER1ZI3gFK0IakyTOYIJTkythzyHOSJit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9</cp:revision>
  <cp:lastPrinted>2019-10-07T12:25:00Z</cp:lastPrinted>
  <dcterms:created xsi:type="dcterms:W3CDTF">2025-06-30T10:03:00Z</dcterms:created>
  <dcterms:modified xsi:type="dcterms:W3CDTF">2025-08-21T09:30:00Z</dcterms:modified>
</cp:coreProperties>
</file>