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4228A3" w:rsidRDefault="00430C09" w:rsidP="00C16434">
      <w:pPr>
        <w:pStyle w:val="Title"/>
        <w:rPr>
          <w:rFonts w:ascii="Arial" w:hAnsi="Arial" w:cs="Arial"/>
        </w:rPr>
      </w:pPr>
      <w:r w:rsidRPr="00791BE6">
        <w:rPr>
          <w:rFonts w:ascii="Arial" w:hAnsi="Arial" w:cs="Arial"/>
          <w:sz w:val="52"/>
        </w:rPr>
        <w:t xml:space="preserve">NHS </w:t>
      </w:r>
      <w:r w:rsidR="00DD6252" w:rsidRPr="00791BE6">
        <w:rPr>
          <w:rFonts w:ascii="Arial" w:hAnsi="Arial" w:cs="Arial"/>
          <w:sz w:val="52"/>
        </w:rPr>
        <w:t>Golden Jubilee</w:t>
      </w:r>
      <w:r w:rsidR="00DD6252" w:rsidRPr="004228A3">
        <w:rPr>
          <w:rFonts w:ascii="Arial" w:hAnsi="Arial" w:cs="Arial"/>
        </w:rPr>
        <w:tab/>
      </w:r>
      <w:r w:rsidR="00DD6252" w:rsidRPr="004228A3">
        <w:rPr>
          <w:rFonts w:ascii="Arial" w:hAnsi="Arial" w:cs="Arial"/>
        </w:rPr>
        <w:tab/>
      </w:r>
      <w:r w:rsidR="00DD6252" w:rsidRPr="004228A3">
        <w:rPr>
          <w:rFonts w:ascii="Arial" w:hAnsi="Arial" w:cs="Arial"/>
        </w:rPr>
        <w:tab/>
      </w:r>
      <w:r w:rsidR="00DD6252" w:rsidRPr="004228A3">
        <w:rPr>
          <w:rFonts w:ascii="Arial" w:hAnsi="Arial" w:cs="Arial"/>
        </w:rPr>
        <w:tab/>
      </w:r>
      <w:r w:rsidR="00DD6252" w:rsidRPr="004228A3">
        <w:rPr>
          <w:rFonts w:ascii="Arial" w:hAnsi="Arial" w:cs="Arial"/>
        </w:rPr>
        <w:tab/>
      </w:r>
      <w:r w:rsidR="00DD6252" w:rsidRPr="004228A3">
        <w:rPr>
          <w:rFonts w:ascii="Arial" w:hAnsi="Arial" w:cs="Arial"/>
          <w:noProof/>
          <w:lang w:eastAsia="en-GB"/>
        </w:rPr>
        <w:t xml:space="preserve"> </w:t>
      </w:r>
      <w:r w:rsidR="00DD6252" w:rsidRPr="004228A3">
        <w:rPr>
          <w:rFonts w:ascii="Arial" w:hAnsi="Arial" w:cs="Arial"/>
          <w:noProof/>
          <w:lang w:eastAsia="en-GB"/>
        </w:rPr>
        <w:drawing>
          <wp:inline distT="0" distB="0" distL="0" distR="0" wp14:anchorId="49DC02F4" wp14:editId="186A1B0B">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Pr="004228A3" w:rsidRDefault="00446219" w:rsidP="0003098A">
      <w:pPr>
        <w:pStyle w:val="Heading2"/>
        <w:rPr>
          <w:rStyle w:val="Heading3Char"/>
          <w:rFonts w:cs="Arial"/>
          <w:b/>
          <w:highlight w:val="lightGray"/>
        </w:rPr>
      </w:pPr>
    </w:p>
    <w:p w:rsidR="00C16434" w:rsidRPr="004228A3" w:rsidRDefault="0023473B" w:rsidP="00C16434">
      <w:pPr>
        <w:pStyle w:val="Heading3"/>
        <w:spacing w:line="360" w:lineRule="auto"/>
        <w:ind w:left="4536" w:hanging="4536"/>
        <w:rPr>
          <w:rFonts w:cs="Arial"/>
          <w:highlight w:val="lightGray"/>
        </w:rPr>
      </w:pPr>
      <w:r w:rsidRPr="004228A3">
        <w:rPr>
          <w:rStyle w:val="Heading3Char"/>
          <w:rFonts w:cs="Arial"/>
          <w:b/>
          <w:bCs/>
        </w:rPr>
        <w:t>Meeting:</w:t>
      </w:r>
      <w:r w:rsidR="00430C09" w:rsidRPr="004228A3">
        <w:rPr>
          <w:rFonts w:cs="Arial"/>
        </w:rPr>
        <w:tab/>
      </w:r>
      <w:r w:rsidR="008637CB">
        <w:rPr>
          <w:rStyle w:val="Heading3Char"/>
          <w:rFonts w:cs="Arial"/>
          <w:b/>
        </w:rPr>
        <w:t>NHS Golden Jubilee Board</w:t>
      </w:r>
      <w:r w:rsidR="00C16434" w:rsidRPr="004228A3">
        <w:rPr>
          <w:rStyle w:val="Heading3Char"/>
          <w:rFonts w:cs="Arial"/>
          <w:b/>
        </w:rPr>
        <w:t xml:space="preserve"> </w:t>
      </w:r>
    </w:p>
    <w:p w:rsidR="00430C09" w:rsidRPr="004228A3" w:rsidRDefault="00430C09" w:rsidP="00C16434">
      <w:pPr>
        <w:pStyle w:val="Heading3"/>
        <w:spacing w:line="360" w:lineRule="auto"/>
        <w:rPr>
          <w:rStyle w:val="Heading3Char"/>
          <w:rFonts w:cs="Arial"/>
          <w:b/>
          <w:bCs/>
          <w:highlight w:val="lightGray"/>
        </w:rPr>
      </w:pPr>
      <w:r w:rsidRPr="004228A3">
        <w:rPr>
          <w:rStyle w:val="Heading3Char"/>
          <w:rFonts w:cs="Arial"/>
          <w:b/>
          <w:bCs/>
        </w:rPr>
        <w:t>Meeting dat</w:t>
      </w:r>
      <w:r w:rsidR="0023473B" w:rsidRPr="004228A3">
        <w:rPr>
          <w:rStyle w:val="Heading3Char"/>
          <w:rFonts w:cs="Arial"/>
          <w:b/>
          <w:bCs/>
        </w:rPr>
        <w:t>e:</w:t>
      </w:r>
      <w:r w:rsidRPr="004228A3">
        <w:rPr>
          <w:rFonts w:cs="Arial"/>
        </w:rPr>
        <w:tab/>
      </w:r>
      <w:r w:rsidR="00C16434" w:rsidRPr="004228A3">
        <w:rPr>
          <w:rFonts w:cs="Arial"/>
        </w:rPr>
        <w:t xml:space="preserve">                                     </w:t>
      </w:r>
      <w:r w:rsidR="008637CB">
        <w:rPr>
          <w:rFonts w:cs="Arial"/>
        </w:rPr>
        <w:t>28</w:t>
      </w:r>
      <w:r w:rsidR="00F71001">
        <w:rPr>
          <w:rFonts w:cs="Arial"/>
        </w:rPr>
        <w:t xml:space="preserve"> August 2025</w:t>
      </w:r>
      <w:r w:rsidR="00C16434" w:rsidRPr="004228A3">
        <w:rPr>
          <w:rFonts w:cs="Arial"/>
        </w:rPr>
        <w:t xml:space="preserve"> </w:t>
      </w:r>
    </w:p>
    <w:p w:rsidR="00B77902" w:rsidRPr="004228A3" w:rsidRDefault="00430C09" w:rsidP="00B77902">
      <w:pPr>
        <w:pStyle w:val="Heading3"/>
        <w:spacing w:line="360" w:lineRule="auto"/>
        <w:ind w:left="4536" w:hanging="4536"/>
        <w:rPr>
          <w:rFonts w:cs="Arial"/>
        </w:rPr>
      </w:pPr>
      <w:r w:rsidRPr="004228A3">
        <w:rPr>
          <w:rStyle w:val="Heading3Char"/>
          <w:rFonts w:cs="Arial"/>
          <w:b/>
        </w:rPr>
        <w:t>Title</w:t>
      </w:r>
      <w:r w:rsidR="00AA77F7" w:rsidRPr="004228A3">
        <w:rPr>
          <w:rStyle w:val="Heading3Char"/>
          <w:rFonts w:cs="Arial"/>
          <w:b/>
        </w:rPr>
        <w:t>:</w:t>
      </w:r>
      <w:r w:rsidR="00B77902" w:rsidRPr="004228A3">
        <w:rPr>
          <w:rStyle w:val="Heading3Char"/>
          <w:rFonts w:cs="Arial"/>
          <w:b/>
        </w:rPr>
        <w:tab/>
      </w:r>
      <w:r w:rsidR="00C16434" w:rsidRPr="004228A3">
        <w:rPr>
          <w:rStyle w:val="Heading3Char"/>
          <w:rFonts w:cs="Arial"/>
          <w:b/>
        </w:rPr>
        <w:t>Capital Position 2025/26</w:t>
      </w:r>
    </w:p>
    <w:p w:rsidR="0003098A" w:rsidRPr="004228A3" w:rsidRDefault="0003098A" w:rsidP="00B77902">
      <w:pPr>
        <w:pStyle w:val="Heading3"/>
        <w:spacing w:line="360" w:lineRule="auto"/>
        <w:ind w:left="4536" w:hanging="4536"/>
        <w:rPr>
          <w:rStyle w:val="Heading3Char"/>
          <w:rFonts w:cs="Arial"/>
          <w:b/>
        </w:rPr>
      </w:pPr>
      <w:r w:rsidRPr="004228A3">
        <w:rPr>
          <w:rStyle w:val="Heading3Char"/>
          <w:rFonts w:cs="Arial"/>
          <w:b/>
        </w:rPr>
        <w:t>R</w:t>
      </w:r>
      <w:r w:rsidR="00430C09" w:rsidRPr="004228A3">
        <w:rPr>
          <w:rStyle w:val="Heading3Char"/>
          <w:rFonts w:cs="Arial"/>
          <w:b/>
        </w:rPr>
        <w:t>esponsible Executive/Non-Executive</w:t>
      </w:r>
      <w:r w:rsidRPr="004228A3">
        <w:rPr>
          <w:rStyle w:val="Heading3Char"/>
          <w:rFonts w:cs="Arial"/>
          <w:b/>
        </w:rPr>
        <w:t xml:space="preserve">: </w:t>
      </w:r>
      <w:r w:rsidR="00B77902" w:rsidRPr="004228A3">
        <w:rPr>
          <w:rStyle w:val="Heading3Char"/>
          <w:rFonts w:cs="Arial"/>
          <w:b/>
        </w:rPr>
        <w:tab/>
      </w:r>
      <w:r w:rsidR="00C16434" w:rsidRPr="004228A3">
        <w:rPr>
          <w:rStyle w:val="Heading3Char"/>
          <w:rFonts w:cs="Arial"/>
          <w:b/>
        </w:rPr>
        <w:t>Jonny Gamble,</w:t>
      </w:r>
      <w:r w:rsidR="00791BE6">
        <w:rPr>
          <w:rStyle w:val="Heading3Char"/>
          <w:rFonts w:cs="Arial"/>
          <w:b/>
        </w:rPr>
        <w:t xml:space="preserve"> Executive</w:t>
      </w:r>
      <w:r w:rsidR="00C16434" w:rsidRPr="004228A3">
        <w:rPr>
          <w:rStyle w:val="Heading3Char"/>
          <w:rFonts w:cs="Arial"/>
          <w:b/>
        </w:rPr>
        <w:t xml:space="preserve"> Director of Finance</w:t>
      </w:r>
    </w:p>
    <w:p w:rsidR="00430C09" w:rsidRPr="004228A3" w:rsidRDefault="00430C09" w:rsidP="00B77902">
      <w:pPr>
        <w:pStyle w:val="Heading3"/>
        <w:spacing w:line="360" w:lineRule="auto"/>
        <w:ind w:left="4536" w:hanging="4536"/>
        <w:rPr>
          <w:rStyle w:val="Heading3Char"/>
          <w:rFonts w:cs="Arial"/>
          <w:b/>
        </w:rPr>
      </w:pPr>
      <w:r w:rsidRPr="004228A3">
        <w:rPr>
          <w:rStyle w:val="Heading3Char"/>
          <w:rFonts w:cs="Arial"/>
          <w:b/>
        </w:rPr>
        <w:t>Report Author</w:t>
      </w:r>
      <w:r w:rsidR="0003098A" w:rsidRPr="004228A3">
        <w:rPr>
          <w:rStyle w:val="Heading3Char"/>
          <w:rFonts w:cs="Arial"/>
          <w:b/>
        </w:rPr>
        <w:t>:</w:t>
      </w:r>
      <w:r w:rsidR="00B77902" w:rsidRPr="004228A3">
        <w:rPr>
          <w:rStyle w:val="Heading3Char"/>
          <w:rFonts w:cs="Arial"/>
          <w:b/>
        </w:rPr>
        <w:tab/>
      </w:r>
      <w:r w:rsidR="00C16434" w:rsidRPr="004228A3">
        <w:rPr>
          <w:rStyle w:val="Heading3Char"/>
          <w:rFonts w:cs="Arial"/>
          <w:b/>
        </w:rPr>
        <w:t>Laura Divers, Financial Accountant</w:t>
      </w:r>
    </w:p>
    <w:p w:rsidR="00B77902" w:rsidRPr="004228A3" w:rsidRDefault="00B77902" w:rsidP="00B77902">
      <w:pPr>
        <w:rPr>
          <w:rFonts w:cs="Arial"/>
        </w:rPr>
      </w:pPr>
    </w:p>
    <w:p w:rsidR="00430C09" w:rsidRPr="004228A3" w:rsidRDefault="00BF3AF0" w:rsidP="00430C09">
      <w:pPr>
        <w:pStyle w:val="Heading2"/>
        <w:spacing w:line="276" w:lineRule="auto"/>
        <w:rPr>
          <w:rFonts w:cs="Arial"/>
        </w:rPr>
      </w:pPr>
      <w:r w:rsidRPr="004228A3">
        <w:rPr>
          <w:rFonts w:cs="Arial"/>
        </w:rPr>
        <w:t>1</w:t>
      </w:r>
      <w:r w:rsidRPr="004228A3">
        <w:rPr>
          <w:rFonts w:cs="Arial"/>
        </w:rPr>
        <w:tab/>
      </w:r>
      <w:r w:rsidR="00430C09" w:rsidRPr="004228A3">
        <w:rPr>
          <w:rFonts w:cs="Arial"/>
        </w:rPr>
        <w:t>Purpose</w:t>
      </w:r>
    </w:p>
    <w:p w:rsidR="009807B4" w:rsidRPr="004228A3" w:rsidRDefault="00430C09" w:rsidP="00BF3AF0">
      <w:pPr>
        <w:pStyle w:val="Heading3"/>
        <w:spacing w:line="276" w:lineRule="auto"/>
        <w:ind w:left="720"/>
        <w:rPr>
          <w:rFonts w:cs="Arial"/>
          <w:lang w:eastAsia="en-GB"/>
        </w:rPr>
      </w:pPr>
      <w:r w:rsidRPr="004228A3">
        <w:rPr>
          <w:rFonts w:cs="Arial"/>
          <w:lang w:eastAsia="en-GB"/>
        </w:rPr>
        <w:t>This</w:t>
      </w:r>
      <w:r w:rsidR="00446219" w:rsidRPr="004228A3">
        <w:rPr>
          <w:rFonts w:cs="Arial"/>
          <w:lang w:eastAsia="en-GB"/>
        </w:rPr>
        <w:t xml:space="preserve"> is presented to </w:t>
      </w:r>
      <w:r w:rsidR="008637CB">
        <w:rPr>
          <w:rFonts w:cs="Arial"/>
          <w:lang w:eastAsia="en-GB"/>
        </w:rPr>
        <w:t>NHS Golden Jubilee Board</w:t>
      </w:r>
      <w:r w:rsidR="00446219" w:rsidRPr="004228A3">
        <w:rPr>
          <w:rFonts w:cs="Arial"/>
          <w:lang w:eastAsia="en-GB"/>
        </w:rPr>
        <w:t xml:space="preserve"> for: </w:t>
      </w:r>
    </w:p>
    <w:p w:rsidR="003E76FB" w:rsidRPr="00177153" w:rsidRDefault="003E76FB" w:rsidP="003E76FB">
      <w:pPr>
        <w:pStyle w:val="Heading3"/>
        <w:numPr>
          <w:ilvl w:val="0"/>
          <w:numId w:val="9"/>
        </w:numPr>
        <w:spacing w:line="276" w:lineRule="auto"/>
        <w:ind w:left="1080"/>
        <w:rPr>
          <w:b w:val="0"/>
          <w:lang w:eastAsia="en-GB"/>
        </w:rPr>
      </w:pPr>
      <w:r>
        <w:rPr>
          <w:b w:val="0"/>
          <w:lang w:eastAsia="en-GB"/>
        </w:rPr>
        <w:t>Decision</w:t>
      </w:r>
    </w:p>
    <w:p w:rsidR="00430C09" w:rsidRPr="004228A3"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4228A3" w:rsidRDefault="00430C09" w:rsidP="00BF3AF0">
      <w:pPr>
        <w:pStyle w:val="Heading3"/>
        <w:ind w:left="720"/>
        <w:rPr>
          <w:rFonts w:cs="Arial"/>
          <w:lang w:eastAsia="en-GB"/>
        </w:rPr>
      </w:pPr>
      <w:r w:rsidRPr="004228A3">
        <w:rPr>
          <w:rFonts w:cs="Arial"/>
          <w:lang w:eastAsia="en-GB"/>
        </w:rPr>
        <w:t>This report relates to</w:t>
      </w:r>
      <w:r w:rsidR="00AA77F7" w:rsidRPr="004228A3">
        <w:rPr>
          <w:rFonts w:cs="Arial"/>
          <w:lang w:eastAsia="en-GB"/>
        </w:rPr>
        <w:t xml:space="preserve"> a</w:t>
      </w:r>
      <w:r w:rsidRPr="004228A3">
        <w:rPr>
          <w:rFonts w:cs="Arial"/>
          <w:lang w:eastAsia="en-GB"/>
        </w:rPr>
        <w:t>:</w:t>
      </w:r>
    </w:p>
    <w:p w:rsidR="009807B4" w:rsidRPr="004228A3"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4228A3">
        <w:rPr>
          <w:rFonts w:ascii="Arial" w:hAnsi="Arial" w:cs="Arial"/>
          <w:color w:val="000000"/>
          <w:sz w:val="24"/>
          <w:szCs w:val="24"/>
        </w:rPr>
        <w:t>Annual Operation Plan</w:t>
      </w:r>
    </w:p>
    <w:p w:rsidR="009807B4" w:rsidRPr="004228A3"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4228A3">
        <w:rPr>
          <w:rFonts w:ascii="Arial" w:hAnsi="Arial" w:cs="Arial"/>
          <w:color w:val="000000"/>
          <w:sz w:val="24"/>
          <w:szCs w:val="24"/>
        </w:rPr>
        <w:t>NHS Board/</w:t>
      </w:r>
      <w:r w:rsidR="003F7F61" w:rsidRPr="004228A3">
        <w:rPr>
          <w:rFonts w:ascii="Arial" w:hAnsi="Arial" w:cs="Arial"/>
          <w:color w:val="000000"/>
          <w:sz w:val="24"/>
          <w:szCs w:val="24"/>
        </w:rPr>
        <w:t>Integration</w:t>
      </w:r>
      <w:r w:rsidR="00816E22" w:rsidRPr="004228A3">
        <w:rPr>
          <w:rFonts w:ascii="Arial" w:hAnsi="Arial" w:cs="Arial"/>
          <w:color w:val="000000"/>
          <w:sz w:val="24"/>
          <w:szCs w:val="24"/>
        </w:rPr>
        <w:t xml:space="preserve"> </w:t>
      </w:r>
      <w:r w:rsidRPr="004228A3">
        <w:rPr>
          <w:rFonts w:ascii="Arial" w:hAnsi="Arial" w:cs="Arial"/>
          <w:color w:val="000000"/>
          <w:sz w:val="24"/>
          <w:szCs w:val="24"/>
        </w:rPr>
        <w:t>Joint Board Strategy</w:t>
      </w:r>
      <w:r w:rsidR="003F7F61" w:rsidRPr="004228A3">
        <w:rPr>
          <w:rFonts w:ascii="Arial" w:hAnsi="Arial" w:cs="Arial"/>
          <w:color w:val="000000"/>
          <w:sz w:val="24"/>
          <w:szCs w:val="24"/>
        </w:rPr>
        <w:t xml:space="preserve"> or Direction</w:t>
      </w:r>
    </w:p>
    <w:p w:rsidR="00430C09" w:rsidRPr="004228A3"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4228A3" w:rsidRDefault="00430C09" w:rsidP="00BF3AF0">
      <w:pPr>
        <w:pStyle w:val="Heading3"/>
        <w:ind w:left="720"/>
        <w:rPr>
          <w:rFonts w:cs="Arial"/>
          <w:lang w:eastAsia="en-GB"/>
        </w:rPr>
      </w:pPr>
      <w:r w:rsidRPr="004228A3">
        <w:rPr>
          <w:rFonts w:cs="Arial"/>
          <w:lang w:eastAsia="en-GB"/>
        </w:rPr>
        <w:t>This aligns to the following</w:t>
      </w:r>
      <w:r w:rsidR="00047714" w:rsidRPr="004228A3">
        <w:rPr>
          <w:rFonts w:cs="Arial"/>
          <w:lang w:eastAsia="en-GB"/>
        </w:rPr>
        <w:t xml:space="preserve"> NHS</w:t>
      </w:r>
      <w:r w:rsidR="00C16434" w:rsidRPr="004228A3">
        <w:rPr>
          <w:rFonts w:cs="Arial"/>
          <w:lang w:eastAsia="en-GB"/>
        </w:rPr>
        <w:t xml:space="preserve"> </w:t>
      </w:r>
      <w:r w:rsidR="00047714" w:rsidRPr="004228A3">
        <w:rPr>
          <w:rFonts w:cs="Arial"/>
          <w:lang w:eastAsia="en-GB"/>
        </w:rPr>
        <w:t>Scotland</w:t>
      </w:r>
      <w:r w:rsidRPr="004228A3">
        <w:rPr>
          <w:rFonts w:cs="Arial"/>
          <w:lang w:eastAsia="en-GB"/>
        </w:rPr>
        <w:t xml:space="preserve"> quality </w:t>
      </w:r>
      <w:r w:rsidR="009807B4" w:rsidRPr="004228A3">
        <w:rPr>
          <w:rFonts w:cs="Arial"/>
          <w:lang w:eastAsia="en-GB"/>
        </w:rPr>
        <w:t>ambition(s)</w:t>
      </w:r>
      <w:r w:rsidRPr="004228A3">
        <w:rPr>
          <w:rFonts w:cs="Arial"/>
          <w:lang w:eastAsia="en-GB"/>
        </w:rPr>
        <w:t>:</w:t>
      </w:r>
    </w:p>
    <w:p w:rsidR="009807B4" w:rsidRPr="004228A3" w:rsidRDefault="00C1643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4228A3">
        <w:rPr>
          <w:rFonts w:ascii="Arial" w:hAnsi="Arial" w:cs="Arial"/>
          <w:color w:val="000000"/>
          <w:sz w:val="24"/>
          <w:szCs w:val="24"/>
        </w:rPr>
        <w:t>Effective</w:t>
      </w:r>
    </w:p>
    <w:p w:rsidR="00B546C8" w:rsidRPr="004228A3"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4228A3" w:rsidRDefault="00B546C8" w:rsidP="00B546C8">
      <w:pPr>
        <w:autoSpaceDE w:val="0"/>
        <w:autoSpaceDN w:val="0"/>
        <w:adjustRightInd w:val="0"/>
        <w:spacing w:before="40" w:after="40" w:line="276" w:lineRule="auto"/>
        <w:ind w:left="720"/>
        <w:rPr>
          <w:rFonts w:cs="Arial"/>
          <w:b/>
          <w:color w:val="000000"/>
          <w:szCs w:val="24"/>
        </w:rPr>
      </w:pPr>
      <w:r w:rsidRPr="004228A3">
        <w:rPr>
          <w:rFonts w:cs="Arial"/>
          <w:b/>
          <w:color w:val="000000"/>
          <w:szCs w:val="24"/>
        </w:rPr>
        <w:t>This aligns to the following NHSGJ Corporate Objectives:</w:t>
      </w:r>
    </w:p>
    <w:p w:rsidR="00C16434" w:rsidRPr="004228A3" w:rsidRDefault="00C16434" w:rsidP="00C16434">
      <w:pPr>
        <w:pStyle w:val="ListParagraph"/>
        <w:numPr>
          <w:ilvl w:val="1"/>
          <w:numId w:val="8"/>
        </w:numPr>
        <w:autoSpaceDE w:val="0"/>
        <w:autoSpaceDN w:val="0"/>
        <w:adjustRightInd w:val="0"/>
        <w:spacing w:before="40" w:after="40" w:line="276" w:lineRule="auto"/>
        <w:rPr>
          <w:rFonts w:ascii="Arial" w:hAnsi="Arial" w:cs="Arial"/>
          <w:color w:val="000000"/>
          <w:sz w:val="24"/>
          <w:szCs w:val="24"/>
        </w:rPr>
      </w:pPr>
      <w:r w:rsidRPr="004228A3">
        <w:rPr>
          <w:rFonts w:ascii="Arial" w:hAnsi="Arial" w:cs="Arial"/>
          <w:color w:val="000000"/>
          <w:sz w:val="24"/>
          <w:szCs w:val="24"/>
        </w:rPr>
        <w:t>Leadership, Strategy &amp; Risk</w:t>
      </w:r>
    </w:p>
    <w:p w:rsidR="00C16434" w:rsidRPr="004228A3" w:rsidRDefault="00C16434" w:rsidP="00C16434">
      <w:pPr>
        <w:pStyle w:val="ListParagraph"/>
        <w:numPr>
          <w:ilvl w:val="1"/>
          <w:numId w:val="8"/>
        </w:numPr>
        <w:autoSpaceDE w:val="0"/>
        <w:autoSpaceDN w:val="0"/>
        <w:adjustRightInd w:val="0"/>
        <w:spacing w:before="40" w:after="40" w:line="276" w:lineRule="auto"/>
        <w:rPr>
          <w:rFonts w:ascii="Arial" w:hAnsi="Arial" w:cs="Arial"/>
          <w:color w:val="000000"/>
          <w:sz w:val="24"/>
          <w:szCs w:val="24"/>
        </w:rPr>
      </w:pPr>
      <w:r w:rsidRPr="004228A3">
        <w:rPr>
          <w:rFonts w:ascii="Arial" w:hAnsi="Arial" w:cs="Arial"/>
          <w:color w:val="000000"/>
          <w:sz w:val="24"/>
          <w:szCs w:val="24"/>
        </w:rPr>
        <w:t xml:space="preserve">High Performing Organisation  </w:t>
      </w:r>
    </w:p>
    <w:p w:rsidR="00430C09" w:rsidRPr="004228A3" w:rsidRDefault="00430C09" w:rsidP="009807B4">
      <w:pPr>
        <w:spacing w:line="276" w:lineRule="auto"/>
        <w:rPr>
          <w:rFonts w:cs="Arial"/>
        </w:rPr>
      </w:pPr>
    </w:p>
    <w:p w:rsidR="00430C09" w:rsidRPr="004228A3" w:rsidRDefault="00C94BF7" w:rsidP="00430C09">
      <w:pPr>
        <w:pStyle w:val="Heading2"/>
        <w:spacing w:line="276" w:lineRule="auto"/>
        <w:rPr>
          <w:rFonts w:cs="Arial"/>
        </w:rPr>
      </w:pPr>
      <w:r w:rsidRPr="004228A3">
        <w:rPr>
          <w:rFonts w:cs="Arial"/>
        </w:rPr>
        <w:t>2</w:t>
      </w:r>
      <w:r w:rsidR="00BF3AF0" w:rsidRPr="004228A3">
        <w:rPr>
          <w:rFonts w:cs="Arial"/>
        </w:rPr>
        <w:tab/>
      </w:r>
      <w:r w:rsidR="00430C09" w:rsidRPr="004228A3">
        <w:rPr>
          <w:rFonts w:cs="Arial"/>
        </w:rPr>
        <w:t>Report summary</w:t>
      </w:r>
      <w:r w:rsidR="00430C09" w:rsidRPr="004228A3">
        <w:rPr>
          <w:rFonts w:cs="Arial"/>
        </w:rPr>
        <w:tab/>
      </w:r>
    </w:p>
    <w:p w:rsidR="0003098A" w:rsidRPr="004228A3" w:rsidRDefault="0003098A" w:rsidP="00430C09">
      <w:pPr>
        <w:pStyle w:val="Heading3"/>
        <w:spacing w:line="276" w:lineRule="auto"/>
        <w:rPr>
          <w:rFonts w:cs="Arial"/>
        </w:rPr>
      </w:pPr>
    </w:p>
    <w:p w:rsidR="00430C09" w:rsidRPr="004228A3" w:rsidRDefault="00C94BF7" w:rsidP="00BF3AF0">
      <w:pPr>
        <w:pStyle w:val="Heading2"/>
        <w:rPr>
          <w:rFonts w:cs="Arial"/>
        </w:rPr>
      </w:pPr>
      <w:r w:rsidRPr="004228A3">
        <w:rPr>
          <w:rFonts w:cs="Arial"/>
        </w:rPr>
        <w:t>2</w:t>
      </w:r>
      <w:r w:rsidR="00BF3AF0" w:rsidRPr="004228A3">
        <w:rPr>
          <w:rFonts w:cs="Arial"/>
        </w:rPr>
        <w:t>.1</w:t>
      </w:r>
      <w:r w:rsidR="00BF3AF0" w:rsidRPr="004228A3">
        <w:rPr>
          <w:rFonts w:cs="Arial"/>
        </w:rPr>
        <w:tab/>
      </w:r>
      <w:r w:rsidR="00430C09" w:rsidRPr="004228A3">
        <w:rPr>
          <w:rFonts w:cs="Arial"/>
        </w:rPr>
        <w:t>Situation</w:t>
      </w:r>
    </w:p>
    <w:p w:rsidR="00C16434" w:rsidRPr="004228A3" w:rsidRDefault="00C16434" w:rsidP="00C16434">
      <w:pPr>
        <w:autoSpaceDE w:val="0"/>
        <w:autoSpaceDN w:val="0"/>
        <w:adjustRightInd w:val="0"/>
        <w:ind w:left="686"/>
        <w:rPr>
          <w:rFonts w:eastAsiaTheme="minorHAnsi" w:cs="Arial"/>
          <w:spacing w:val="0"/>
          <w:szCs w:val="24"/>
        </w:rPr>
      </w:pPr>
      <w:r w:rsidRPr="004228A3">
        <w:rPr>
          <w:rFonts w:cs="Arial"/>
        </w:rPr>
        <w:t xml:space="preserve">The purpose of this paper is to provide an update on the allocation of 25/26 capital funding. </w:t>
      </w:r>
      <w:r w:rsidR="008637CB">
        <w:rPr>
          <w:rFonts w:eastAsiaTheme="minorHAnsi" w:cs="Arial"/>
          <w:spacing w:val="0"/>
          <w:szCs w:val="24"/>
        </w:rPr>
        <w:t>The Board</w:t>
      </w:r>
      <w:r w:rsidRPr="004228A3">
        <w:rPr>
          <w:rFonts w:eastAsiaTheme="minorHAnsi" w:cs="Arial"/>
          <w:spacing w:val="0"/>
          <w:szCs w:val="24"/>
        </w:rPr>
        <w:t xml:space="preserve"> are asked to </w:t>
      </w:r>
      <w:r w:rsidR="007C701A">
        <w:rPr>
          <w:rFonts w:eastAsiaTheme="minorHAnsi" w:cs="Arial"/>
          <w:spacing w:val="0"/>
          <w:szCs w:val="24"/>
        </w:rPr>
        <w:t>approve</w:t>
      </w:r>
      <w:r w:rsidRPr="004228A3">
        <w:rPr>
          <w:rFonts w:eastAsiaTheme="minorHAnsi" w:cs="Arial"/>
          <w:spacing w:val="0"/>
          <w:szCs w:val="24"/>
        </w:rPr>
        <w:t xml:space="preserve"> the proposal for 2025/26 allocation of </w:t>
      </w:r>
      <w:r w:rsidR="007C701A">
        <w:rPr>
          <w:rFonts w:eastAsiaTheme="minorHAnsi" w:cs="Arial"/>
          <w:spacing w:val="0"/>
          <w:szCs w:val="24"/>
        </w:rPr>
        <w:t>capital funding</w:t>
      </w:r>
      <w:r w:rsidR="003E76FB">
        <w:rPr>
          <w:rFonts w:eastAsiaTheme="minorHAnsi" w:cs="Arial"/>
          <w:spacing w:val="0"/>
          <w:szCs w:val="24"/>
        </w:rPr>
        <w:t>.</w:t>
      </w:r>
    </w:p>
    <w:p w:rsidR="00430C09" w:rsidRPr="004228A3" w:rsidRDefault="00430C09" w:rsidP="00BF3AF0">
      <w:pPr>
        <w:spacing w:before="40" w:after="40" w:line="276" w:lineRule="auto"/>
        <w:rPr>
          <w:rFonts w:cs="Arial"/>
          <w:color w:val="000000"/>
          <w:szCs w:val="24"/>
        </w:rPr>
      </w:pPr>
    </w:p>
    <w:p w:rsidR="00430C09" w:rsidRPr="004228A3" w:rsidRDefault="00C87B62" w:rsidP="00BF3AF0">
      <w:pPr>
        <w:pStyle w:val="Heading2"/>
        <w:ind w:left="686" w:hanging="686"/>
        <w:rPr>
          <w:rFonts w:cs="Arial"/>
        </w:rPr>
      </w:pPr>
      <w:r w:rsidRPr="004228A3">
        <w:rPr>
          <w:rFonts w:cs="Arial"/>
        </w:rPr>
        <w:t>2</w:t>
      </w:r>
      <w:r w:rsidR="00BF3AF0" w:rsidRPr="004228A3">
        <w:rPr>
          <w:rFonts w:cs="Arial"/>
        </w:rPr>
        <w:t>.2</w:t>
      </w:r>
      <w:r w:rsidR="00BF3AF0" w:rsidRPr="004228A3">
        <w:rPr>
          <w:rFonts w:cs="Arial"/>
        </w:rPr>
        <w:tab/>
      </w:r>
      <w:r w:rsidR="00430C09" w:rsidRPr="004228A3">
        <w:rPr>
          <w:rFonts w:cs="Arial"/>
        </w:rPr>
        <w:t>Background</w:t>
      </w:r>
    </w:p>
    <w:p w:rsidR="00A86184" w:rsidRPr="004228A3" w:rsidRDefault="00C16434" w:rsidP="00C53175">
      <w:pPr>
        <w:autoSpaceDE w:val="0"/>
        <w:autoSpaceDN w:val="0"/>
        <w:adjustRightInd w:val="0"/>
        <w:ind w:left="686"/>
        <w:rPr>
          <w:rFonts w:eastAsiaTheme="minorHAnsi" w:cs="Arial"/>
          <w:spacing w:val="0"/>
          <w:szCs w:val="24"/>
        </w:rPr>
      </w:pPr>
      <w:r w:rsidRPr="004228A3">
        <w:rPr>
          <w:rFonts w:eastAsiaTheme="minorHAnsi" w:cs="Arial"/>
          <w:spacing w:val="0"/>
          <w:szCs w:val="24"/>
        </w:rPr>
        <w:t>The 4 December 2024 Budget Letter from S</w:t>
      </w:r>
      <w:r w:rsidR="00E74B09" w:rsidRPr="004228A3">
        <w:rPr>
          <w:rFonts w:eastAsiaTheme="minorHAnsi" w:cs="Arial"/>
          <w:spacing w:val="0"/>
          <w:szCs w:val="24"/>
        </w:rPr>
        <w:t xml:space="preserve">cottish </w:t>
      </w:r>
      <w:r w:rsidRPr="004228A3">
        <w:rPr>
          <w:rFonts w:eastAsiaTheme="minorHAnsi" w:cs="Arial"/>
          <w:spacing w:val="0"/>
          <w:szCs w:val="24"/>
        </w:rPr>
        <w:t>G</w:t>
      </w:r>
      <w:r w:rsidR="00E74B09" w:rsidRPr="004228A3">
        <w:rPr>
          <w:rFonts w:eastAsiaTheme="minorHAnsi" w:cs="Arial"/>
          <w:spacing w:val="0"/>
          <w:szCs w:val="24"/>
        </w:rPr>
        <w:t>overnment</w:t>
      </w:r>
      <w:r w:rsidR="00A77A65" w:rsidRPr="004228A3">
        <w:rPr>
          <w:rFonts w:eastAsiaTheme="minorHAnsi" w:cs="Arial"/>
          <w:spacing w:val="0"/>
          <w:szCs w:val="24"/>
        </w:rPr>
        <w:t xml:space="preserve"> (SG)</w:t>
      </w:r>
      <w:r w:rsidRPr="004228A3">
        <w:rPr>
          <w:rFonts w:eastAsiaTheme="minorHAnsi" w:cs="Arial"/>
          <w:spacing w:val="0"/>
          <w:szCs w:val="24"/>
        </w:rPr>
        <w:t xml:space="preserve"> informed NHS </w:t>
      </w:r>
      <w:r w:rsidR="00E74B09" w:rsidRPr="004228A3">
        <w:rPr>
          <w:rFonts w:eastAsiaTheme="minorHAnsi" w:cs="Arial"/>
          <w:spacing w:val="0"/>
          <w:szCs w:val="24"/>
        </w:rPr>
        <w:t>Golden Jubilee</w:t>
      </w:r>
      <w:r w:rsidRPr="004228A3">
        <w:rPr>
          <w:rFonts w:eastAsiaTheme="minorHAnsi" w:cs="Arial"/>
          <w:spacing w:val="0"/>
          <w:szCs w:val="24"/>
        </w:rPr>
        <w:t xml:space="preserve"> that all Boards’ formula capital would increase by 5%</w:t>
      </w:r>
      <w:r w:rsidR="00E74B09" w:rsidRPr="004228A3">
        <w:rPr>
          <w:rFonts w:eastAsiaTheme="minorHAnsi" w:cs="Arial"/>
          <w:spacing w:val="0"/>
          <w:szCs w:val="24"/>
        </w:rPr>
        <w:t xml:space="preserve"> </w:t>
      </w:r>
      <w:r w:rsidR="0023115B" w:rsidRPr="004228A3">
        <w:rPr>
          <w:rFonts w:eastAsiaTheme="minorHAnsi" w:cs="Arial"/>
          <w:spacing w:val="0"/>
          <w:szCs w:val="24"/>
        </w:rPr>
        <w:t xml:space="preserve">in </w:t>
      </w:r>
      <w:r w:rsidR="00E74B09" w:rsidRPr="004228A3">
        <w:rPr>
          <w:rFonts w:eastAsiaTheme="minorHAnsi" w:cs="Arial"/>
          <w:spacing w:val="0"/>
          <w:szCs w:val="24"/>
        </w:rPr>
        <w:t>25/26. This equates to £2.862</w:t>
      </w:r>
      <w:r w:rsidR="00A71A09" w:rsidRPr="004228A3">
        <w:rPr>
          <w:rFonts w:eastAsiaTheme="minorHAnsi" w:cs="Arial"/>
          <w:spacing w:val="0"/>
          <w:szCs w:val="24"/>
        </w:rPr>
        <w:t>m for NHS</w:t>
      </w:r>
      <w:r w:rsidR="00E74B09" w:rsidRPr="004228A3">
        <w:rPr>
          <w:rFonts w:eastAsiaTheme="minorHAnsi" w:cs="Arial"/>
          <w:spacing w:val="0"/>
          <w:szCs w:val="24"/>
        </w:rPr>
        <w:t>GJ</w:t>
      </w:r>
      <w:r w:rsidRPr="004228A3">
        <w:rPr>
          <w:rFonts w:eastAsiaTheme="minorHAnsi" w:cs="Arial"/>
          <w:spacing w:val="0"/>
          <w:szCs w:val="24"/>
        </w:rPr>
        <w:t>. As noted in the SG Directors’</w:t>
      </w:r>
      <w:r w:rsidR="00653BCC" w:rsidRPr="004228A3">
        <w:rPr>
          <w:rFonts w:eastAsiaTheme="minorHAnsi" w:cs="Arial"/>
          <w:spacing w:val="0"/>
          <w:szCs w:val="24"/>
        </w:rPr>
        <w:t xml:space="preserve"> Letter of December 2023, </w:t>
      </w:r>
      <w:r w:rsidR="00A86184" w:rsidRPr="004228A3">
        <w:rPr>
          <w:rFonts w:eastAsiaTheme="minorHAnsi" w:cs="Arial"/>
          <w:spacing w:val="0"/>
          <w:szCs w:val="24"/>
        </w:rPr>
        <w:t xml:space="preserve">this </w:t>
      </w:r>
      <w:r w:rsidRPr="004228A3">
        <w:rPr>
          <w:rFonts w:eastAsiaTheme="minorHAnsi" w:cs="Arial"/>
          <w:spacing w:val="0"/>
          <w:szCs w:val="24"/>
        </w:rPr>
        <w:t xml:space="preserve">formula capital should be </w:t>
      </w:r>
      <w:r w:rsidR="00A86184" w:rsidRPr="004228A3">
        <w:rPr>
          <w:rFonts w:eastAsiaTheme="minorHAnsi" w:cs="Arial"/>
          <w:spacing w:val="0"/>
          <w:szCs w:val="24"/>
        </w:rPr>
        <w:t>directed towards</w:t>
      </w:r>
      <w:r w:rsidRPr="004228A3">
        <w:rPr>
          <w:rFonts w:eastAsiaTheme="minorHAnsi" w:cs="Arial"/>
          <w:spacing w:val="0"/>
          <w:szCs w:val="24"/>
        </w:rPr>
        <w:t xml:space="preserve"> maintenance of the existing estate</w:t>
      </w:r>
      <w:r w:rsidR="00A86184" w:rsidRPr="004228A3">
        <w:rPr>
          <w:rFonts w:eastAsiaTheme="minorHAnsi" w:cs="Arial"/>
          <w:spacing w:val="0"/>
          <w:szCs w:val="24"/>
        </w:rPr>
        <w:t>, essential equipment and digital replacement</w:t>
      </w:r>
      <w:r w:rsidRPr="004228A3">
        <w:rPr>
          <w:rFonts w:eastAsiaTheme="minorHAnsi" w:cs="Arial"/>
          <w:spacing w:val="0"/>
          <w:szCs w:val="24"/>
        </w:rPr>
        <w:t>. It is not intended for significant new infrastructure investments.</w:t>
      </w:r>
      <w:r w:rsidR="00A86184" w:rsidRPr="004228A3">
        <w:rPr>
          <w:rFonts w:eastAsiaTheme="minorHAnsi" w:cs="Arial"/>
          <w:spacing w:val="0"/>
          <w:szCs w:val="24"/>
        </w:rPr>
        <w:t xml:space="preserve"> The 25/26 formula capital allocation will also </w:t>
      </w:r>
      <w:r w:rsidR="00A71A09" w:rsidRPr="004228A3">
        <w:rPr>
          <w:rFonts w:eastAsiaTheme="minorHAnsi" w:cs="Arial"/>
          <w:spacing w:val="0"/>
          <w:szCs w:val="24"/>
        </w:rPr>
        <w:t>take account of any</w:t>
      </w:r>
      <w:r w:rsidR="001F0577" w:rsidRPr="004228A3">
        <w:rPr>
          <w:rFonts w:eastAsiaTheme="minorHAnsi" w:cs="Arial"/>
          <w:spacing w:val="0"/>
          <w:szCs w:val="24"/>
        </w:rPr>
        <w:t xml:space="preserve"> benefit from any</w:t>
      </w:r>
      <w:r w:rsidR="00A71A09" w:rsidRPr="004228A3">
        <w:rPr>
          <w:rFonts w:eastAsiaTheme="minorHAnsi" w:cs="Arial"/>
          <w:spacing w:val="0"/>
          <w:szCs w:val="24"/>
        </w:rPr>
        <w:t xml:space="preserve"> </w:t>
      </w:r>
      <w:r w:rsidR="003D2F3C" w:rsidRPr="004228A3">
        <w:rPr>
          <w:rFonts w:eastAsiaTheme="minorHAnsi" w:cs="Arial"/>
          <w:spacing w:val="0"/>
          <w:szCs w:val="24"/>
        </w:rPr>
        <w:t>in-</w:t>
      </w:r>
      <w:r w:rsidR="00A86184" w:rsidRPr="004228A3">
        <w:rPr>
          <w:rFonts w:eastAsiaTheme="minorHAnsi" w:cs="Arial"/>
          <w:spacing w:val="0"/>
          <w:szCs w:val="24"/>
        </w:rPr>
        <w:t>year disposals</w:t>
      </w:r>
      <w:r w:rsidR="00EF7BE4" w:rsidRPr="004228A3">
        <w:rPr>
          <w:rFonts w:eastAsiaTheme="minorHAnsi" w:cs="Arial"/>
          <w:spacing w:val="0"/>
          <w:szCs w:val="24"/>
        </w:rPr>
        <w:t xml:space="preserve">. </w:t>
      </w:r>
    </w:p>
    <w:p w:rsidR="003D2F3C" w:rsidRPr="004228A3" w:rsidRDefault="003D2F3C" w:rsidP="00C16434">
      <w:pPr>
        <w:autoSpaceDE w:val="0"/>
        <w:autoSpaceDN w:val="0"/>
        <w:adjustRightInd w:val="0"/>
        <w:ind w:left="686"/>
        <w:rPr>
          <w:rFonts w:eastAsiaTheme="minorHAnsi" w:cs="Arial"/>
          <w:b/>
          <w:spacing w:val="0"/>
          <w:szCs w:val="24"/>
        </w:rPr>
      </w:pPr>
    </w:p>
    <w:p w:rsidR="003D2F3C" w:rsidRPr="004228A3" w:rsidRDefault="003D2F3C" w:rsidP="00C16434">
      <w:pPr>
        <w:autoSpaceDE w:val="0"/>
        <w:autoSpaceDN w:val="0"/>
        <w:adjustRightInd w:val="0"/>
        <w:ind w:left="686"/>
        <w:rPr>
          <w:rFonts w:eastAsiaTheme="minorHAnsi" w:cs="Arial"/>
          <w:b/>
          <w:spacing w:val="0"/>
          <w:szCs w:val="24"/>
        </w:rPr>
      </w:pPr>
      <w:r w:rsidRPr="004228A3">
        <w:rPr>
          <w:rFonts w:eastAsiaTheme="minorHAnsi" w:cs="Arial"/>
          <w:b/>
          <w:spacing w:val="0"/>
          <w:szCs w:val="24"/>
        </w:rPr>
        <w:t xml:space="preserve">The current </w:t>
      </w:r>
      <w:r w:rsidR="00CE2CAF">
        <w:rPr>
          <w:rFonts w:eastAsiaTheme="minorHAnsi" w:cs="Arial"/>
          <w:b/>
          <w:spacing w:val="0"/>
          <w:szCs w:val="24"/>
        </w:rPr>
        <w:t>total</w:t>
      </w:r>
      <w:r w:rsidRPr="004228A3">
        <w:rPr>
          <w:rFonts w:eastAsiaTheme="minorHAnsi" w:cs="Arial"/>
          <w:b/>
          <w:spacing w:val="0"/>
          <w:szCs w:val="24"/>
        </w:rPr>
        <w:t xml:space="preserve"> budget for </w:t>
      </w:r>
      <w:r w:rsidR="00CE2CAF">
        <w:rPr>
          <w:rFonts w:eastAsiaTheme="minorHAnsi" w:cs="Arial"/>
          <w:b/>
          <w:spacing w:val="0"/>
          <w:szCs w:val="24"/>
        </w:rPr>
        <w:t>the 20</w:t>
      </w:r>
      <w:r w:rsidRPr="004228A3">
        <w:rPr>
          <w:rFonts w:eastAsiaTheme="minorHAnsi" w:cs="Arial"/>
          <w:b/>
          <w:spacing w:val="0"/>
          <w:szCs w:val="24"/>
        </w:rPr>
        <w:t xml:space="preserve">25/26 </w:t>
      </w:r>
      <w:r w:rsidR="00D90049" w:rsidRPr="004228A3">
        <w:rPr>
          <w:rFonts w:eastAsiaTheme="minorHAnsi" w:cs="Arial"/>
          <w:b/>
          <w:spacing w:val="0"/>
          <w:szCs w:val="24"/>
        </w:rPr>
        <w:t>capital programme is c</w:t>
      </w:r>
      <w:proofErr w:type="gramStart"/>
      <w:r w:rsidR="00D90049" w:rsidRPr="004228A3">
        <w:rPr>
          <w:rFonts w:eastAsiaTheme="minorHAnsi" w:cs="Arial"/>
          <w:b/>
          <w:spacing w:val="0"/>
          <w:szCs w:val="24"/>
        </w:rPr>
        <w:t>.£</w:t>
      </w:r>
      <w:proofErr w:type="gramEnd"/>
      <w:r w:rsidR="00D90049" w:rsidRPr="004228A3">
        <w:rPr>
          <w:rFonts w:eastAsiaTheme="minorHAnsi" w:cs="Arial"/>
          <w:b/>
          <w:spacing w:val="0"/>
          <w:szCs w:val="24"/>
        </w:rPr>
        <w:t>19.2m</w:t>
      </w:r>
    </w:p>
    <w:p w:rsidR="00D90049" w:rsidRPr="004228A3" w:rsidRDefault="00D90049" w:rsidP="00C16434">
      <w:pPr>
        <w:autoSpaceDE w:val="0"/>
        <w:autoSpaceDN w:val="0"/>
        <w:adjustRightInd w:val="0"/>
        <w:ind w:left="686"/>
        <w:rPr>
          <w:rFonts w:eastAsiaTheme="minorHAnsi" w:cs="Arial"/>
          <w:spacing w:val="0"/>
          <w:szCs w:val="24"/>
        </w:rPr>
      </w:pPr>
    </w:p>
    <w:p w:rsidR="00D90049" w:rsidRPr="004228A3" w:rsidRDefault="00D90049" w:rsidP="00C16434">
      <w:pPr>
        <w:autoSpaceDE w:val="0"/>
        <w:autoSpaceDN w:val="0"/>
        <w:adjustRightInd w:val="0"/>
        <w:ind w:left="686"/>
        <w:rPr>
          <w:rFonts w:eastAsiaTheme="minorHAnsi" w:cs="Arial"/>
          <w:b/>
          <w:i/>
          <w:iCs/>
          <w:color w:val="44546A"/>
          <w:spacing w:val="0"/>
          <w:sz w:val="18"/>
          <w:szCs w:val="18"/>
        </w:rPr>
      </w:pPr>
      <w:r w:rsidRPr="004228A3">
        <w:rPr>
          <w:rFonts w:eastAsiaTheme="minorHAnsi" w:cs="Arial"/>
          <w:b/>
          <w:i/>
          <w:iCs/>
          <w:color w:val="44546A"/>
          <w:spacing w:val="0"/>
          <w:sz w:val="18"/>
          <w:szCs w:val="18"/>
        </w:rPr>
        <w:t>Table 1: Capital funding 25-26</w:t>
      </w:r>
    </w:p>
    <w:p w:rsidR="00D90049" w:rsidRPr="004228A3" w:rsidRDefault="00D90049" w:rsidP="00C16434">
      <w:pPr>
        <w:autoSpaceDE w:val="0"/>
        <w:autoSpaceDN w:val="0"/>
        <w:adjustRightInd w:val="0"/>
        <w:ind w:left="686"/>
        <w:rPr>
          <w:rFonts w:eastAsiaTheme="minorHAnsi" w:cs="Arial"/>
          <w:b/>
          <w:spacing w:val="0"/>
          <w:szCs w:val="24"/>
        </w:rPr>
      </w:pPr>
    </w:p>
    <w:tbl>
      <w:tblPr>
        <w:tblW w:w="6064" w:type="dxa"/>
        <w:tblInd w:w="707" w:type="dxa"/>
        <w:tblLook w:val="04A0" w:firstRow="1" w:lastRow="0" w:firstColumn="1" w:lastColumn="0" w:noHBand="0" w:noVBand="1"/>
      </w:tblPr>
      <w:tblGrid>
        <w:gridCol w:w="4560"/>
        <w:gridCol w:w="1623"/>
      </w:tblGrid>
      <w:tr w:rsidR="00D90049" w:rsidRPr="004228A3" w:rsidTr="00D90049">
        <w:trPr>
          <w:trHeight w:val="60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049" w:rsidRPr="004228A3" w:rsidRDefault="00D90049" w:rsidP="00D90049">
            <w:pPr>
              <w:jc w:val="center"/>
              <w:rPr>
                <w:rFonts w:cs="Arial"/>
                <w:b/>
                <w:bCs/>
                <w:color w:val="000000"/>
                <w:spacing w:val="0"/>
                <w:sz w:val="22"/>
                <w:szCs w:val="22"/>
                <w:lang w:eastAsia="en-GB"/>
              </w:rPr>
            </w:pPr>
            <w:r w:rsidRPr="004228A3">
              <w:rPr>
                <w:rFonts w:cs="Arial"/>
                <w:b/>
                <w:bCs/>
                <w:color w:val="000000"/>
                <w:spacing w:val="0"/>
                <w:sz w:val="22"/>
                <w:szCs w:val="22"/>
                <w:lang w:eastAsia="en-GB"/>
              </w:rPr>
              <w:t>FUNDING</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D90049" w:rsidRPr="004228A3" w:rsidRDefault="00D90049" w:rsidP="00D90049">
            <w:pPr>
              <w:jc w:val="center"/>
              <w:rPr>
                <w:rFonts w:cs="Arial"/>
                <w:b/>
                <w:bCs/>
                <w:color w:val="000000"/>
                <w:spacing w:val="0"/>
                <w:sz w:val="22"/>
                <w:szCs w:val="22"/>
                <w:lang w:eastAsia="en-GB"/>
              </w:rPr>
            </w:pPr>
            <w:r w:rsidRPr="004228A3">
              <w:rPr>
                <w:rFonts w:cs="Arial"/>
                <w:b/>
                <w:bCs/>
                <w:color w:val="000000"/>
                <w:spacing w:val="0"/>
                <w:sz w:val="22"/>
                <w:szCs w:val="22"/>
                <w:lang w:eastAsia="en-GB"/>
              </w:rPr>
              <w:t>Baseline Funding</w:t>
            </w:r>
          </w:p>
        </w:tc>
      </w:tr>
      <w:tr w:rsidR="00D90049" w:rsidRPr="004228A3" w:rsidTr="00D90049">
        <w:trPr>
          <w:trHeight w:val="300"/>
        </w:trPr>
        <w:tc>
          <w:tcPr>
            <w:tcW w:w="4560" w:type="dxa"/>
            <w:tcBorders>
              <w:top w:val="nil"/>
              <w:left w:val="single" w:sz="4" w:space="0" w:color="auto"/>
              <w:bottom w:val="single" w:sz="4" w:space="0" w:color="auto"/>
              <w:right w:val="single" w:sz="4" w:space="0" w:color="auto"/>
            </w:tcBorders>
            <w:shd w:val="clear" w:color="auto" w:fill="auto"/>
            <w:vAlign w:val="center"/>
            <w:hideMark/>
          </w:tcPr>
          <w:p w:rsidR="00D90049" w:rsidRPr="004228A3" w:rsidRDefault="00D90049" w:rsidP="00D90049">
            <w:pPr>
              <w:rPr>
                <w:rFonts w:cs="Arial"/>
                <w:color w:val="000000"/>
                <w:spacing w:val="0"/>
                <w:sz w:val="22"/>
                <w:szCs w:val="22"/>
                <w:lang w:eastAsia="en-GB"/>
              </w:rPr>
            </w:pPr>
            <w:r w:rsidRPr="004228A3">
              <w:rPr>
                <w:rFonts w:cs="Arial"/>
                <w:color w:val="000000"/>
                <w:spacing w:val="0"/>
                <w:sz w:val="22"/>
                <w:szCs w:val="22"/>
                <w:lang w:eastAsia="en-GB"/>
              </w:rPr>
              <w:t>Phase 2 Hospital Expansion</w:t>
            </w:r>
          </w:p>
        </w:tc>
        <w:tc>
          <w:tcPr>
            <w:tcW w:w="1504" w:type="dxa"/>
            <w:tcBorders>
              <w:top w:val="nil"/>
              <w:left w:val="nil"/>
              <w:bottom w:val="single" w:sz="4" w:space="0" w:color="auto"/>
              <w:right w:val="single" w:sz="4" w:space="0" w:color="auto"/>
            </w:tcBorders>
            <w:shd w:val="clear" w:color="auto" w:fill="auto"/>
            <w:vAlign w:val="center"/>
            <w:hideMark/>
          </w:tcPr>
          <w:p w:rsidR="00D90049" w:rsidRPr="004228A3" w:rsidRDefault="00D90049" w:rsidP="00D90049">
            <w:pPr>
              <w:rPr>
                <w:rFonts w:cs="Arial"/>
                <w:color w:val="000000"/>
                <w:spacing w:val="0"/>
                <w:sz w:val="22"/>
                <w:szCs w:val="22"/>
                <w:lang w:eastAsia="en-GB"/>
              </w:rPr>
            </w:pPr>
            <w:r w:rsidRPr="004228A3">
              <w:rPr>
                <w:rFonts w:cs="Arial"/>
                <w:color w:val="000000"/>
                <w:spacing w:val="0"/>
                <w:sz w:val="22"/>
                <w:szCs w:val="22"/>
                <w:lang w:eastAsia="en-GB"/>
              </w:rPr>
              <w:t xml:space="preserve">   11,500,000.00 </w:t>
            </w:r>
          </w:p>
        </w:tc>
      </w:tr>
      <w:tr w:rsidR="00D90049" w:rsidRPr="004228A3" w:rsidTr="00D90049">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D90049" w:rsidRPr="004228A3" w:rsidRDefault="00D90049" w:rsidP="00D90049">
            <w:pPr>
              <w:rPr>
                <w:rFonts w:cs="Arial"/>
                <w:color w:val="000000"/>
                <w:spacing w:val="0"/>
                <w:sz w:val="22"/>
                <w:szCs w:val="22"/>
                <w:lang w:eastAsia="en-GB"/>
              </w:rPr>
            </w:pPr>
            <w:r w:rsidRPr="004228A3">
              <w:rPr>
                <w:rFonts w:cs="Arial"/>
                <w:color w:val="000000"/>
                <w:spacing w:val="0"/>
                <w:sz w:val="22"/>
                <w:szCs w:val="22"/>
                <w:lang w:eastAsia="en-GB"/>
              </w:rPr>
              <w:t>Formula Capital (</w:t>
            </w:r>
            <w:proofErr w:type="spellStart"/>
            <w:r w:rsidRPr="004228A3">
              <w:rPr>
                <w:rFonts w:cs="Arial"/>
                <w:color w:val="000000"/>
                <w:spacing w:val="0"/>
                <w:sz w:val="22"/>
                <w:szCs w:val="22"/>
                <w:lang w:eastAsia="en-GB"/>
              </w:rPr>
              <w:t>inc</w:t>
            </w:r>
            <w:proofErr w:type="spellEnd"/>
            <w:r w:rsidRPr="004228A3">
              <w:rPr>
                <w:rFonts w:cs="Arial"/>
                <w:color w:val="000000"/>
                <w:spacing w:val="0"/>
                <w:sz w:val="22"/>
                <w:szCs w:val="22"/>
                <w:lang w:eastAsia="en-GB"/>
              </w:rPr>
              <w:t xml:space="preserve"> 5% Uplift)</w:t>
            </w:r>
          </w:p>
        </w:tc>
        <w:tc>
          <w:tcPr>
            <w:tcW w:w="1504" w:type="dxa"/>
            <w:tcBorders>
              <w:top w:val="nil"/>
              <w:left w:val="nil"/>
              <w:bottom w:val="single" w:sz="4" w:space="0" w:color="auto"/>
              <w:right w:val="single" w:sz="4" w:space="0" w:color="auto"/>
            </w:tcBorders>
            <w:shd w:val="clear" w:color="auto" w:fill="auto"/>
            <w:noWrap/>
            <w:hideMark/>
          </w:tcPr>
          <w:p w:rsidR="00D90049" w:rsidRPr="004228A3" w:rsidRDefault="00D90049" w:rsidP="00D90049">
            <w:pPr>
              <w:jc w:val="right"/>
              <w:rPr>
                <w:rFonts w:cs="Arial"/>
                <w:color w:val="000000"/>
                <w:spacing w:val="0"/>
                <w:sz w:val="22"/>
                <w:szCs w:val="22"/>
                <w:lang w:eastAsia="en-GB"/>
              </w:rPr>
            </w:pPr>
            <w:r w:rsidRPr="004228A3">
              <w:rPr>
                <w:rFonts w:cs="Arial"/>
                <w:color w:val="000000"/>
                <w:spacing w:val="0"/>
                <w:sz w:val="22"/>
                <w:szCs w:val="22"/>
                <w:lang w:eastAsia="en-GB"/>
              </w:rPr>
              <w:t>2,826,000.00</w:t>
            </w:r>
          </w:p>
        </w:tc>
      </w:tr>
      <w:tr w:rsidR="00D90049" w:rsidRPr="004228A3" w:rsidTr="00D90049">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D90049" w:rsidRPr="004228A3" w:rsidRDefault="00D90049" w:rsidP="00D90049">
            <w:pPr>
              <w:rPr>
                <w:rFonts w:cs="Arial"/>
                <w:color w:val="000000"/>
                <w:spacing w:val="0"/>
                <w:sz w:val="22"/>
                <w:szCs w:val="22"/>
                <w:lang w:eastAsia="en-GB"/>
              </w:rPr>
            </w:pPr>
            <w:r w:rsidRPr="004228A3">
              <w:rPr>
                <w:rFonts w:cs="Arial"/>
                <w:color w:val="000000"/>
                <w:spacing w:val="0"/>
                <w:sz w:val="22"/>
                <w:szCs w:val="22"/>
                <w:lang w:eastAsia="en-GB"/>
              </w:rPr>
              <w:t xml:space="preserve">24/25 Agreed Carry forward </w:t>
            </w:r>
          </w:p>
        </w:tc>
        <w:tc>
          <w:tcPr>
            <w:tcW w:w="1504" w:type="dxa"/>
            <w:tcBorders>
              <w:top w:val="nil"/>
              <w:left w:val="nil"/>
              <w:bottom w:val="single" w:sz="4" w:space="0" w:color="auto"/>
              <w:right w:val="single" w:sz="4" w:space="0" w:color="auto"/>
            </w:tcBorders>
            <w:shd w:val="clear" w:color="auto" w:fill="auto"/>
            <w:noWrap/>
            <w:hideMark/>
          </w:tcPr>
          <w:p w:rsidR="00D90049" w:rsidRPr="004228A3" w:rsidRDefault="00D90049" w:rsidP="00D90049">
            <w:pPr>
              <w:jc w:val="right"/>
              <w:rPr>
                <w:rFonts w:cs="Arial"/>
                <w:color w:val="000000"/>
                <w:spacing w:val="0"/>
                <w:sz w:val="22"/>
                <w:szCs w:val="22"/>
                <w:lang w:eastAsia="en-GB"/>
              </w:rPr>
            </w:pPr>
            <w:r w:rsidRPr="004228A3">
              <w:rPr>
                <w:rFonts w:cs="Arial"/>
                <w:color w:val="000000"/>
                <w:spacing w:val="0"/>
                <w:sz w:val="22"/>
                <w:szCs w:val="22"/>
                <w:lang w:eastAsia="en-GB"/>
              </w:rPr>
              <w:t>961,000.00</w:t>
            </w:r>
          </w:p>
        </w:tc>
      </w:tr>
      <w:tr w:rsidR="00D90049" w:rsidRPr="004228A3" w:rsidTr="00D90049">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D90049" w:rsidRPr="004228A3" w:rsidRDefault="00D90049" w:rsidP="00D90049">
            <w:pPr>
              <w:rPr>
                <w:rFonts w:cs="Arial"/>
                <w:color w:val="000000"/>
                <w:spacing w:val="0"/>
                <w:sz w:val="22"/>
                <w:szCs w:val="22"/>
                <w:lang w:eastAsia="en-GB"/>
              </w:rPr>
            </w:pPr>
            <w:r w:rsidRPr="004228A3">
              <w:rPr>
                <w:rFonts w:cs="Arial"/>
                <w:color w:val="000000"/>
                <w:spacing w:val="0"/>
                <w:sz w:val="22"/>
                <w:szCs w:val="22"/>
                <w:lang w:eastAsia="en-GB"/>
              </w:rPr>
              <w:t>National Infrastructure Board Funding</w:t>
            </w:r>
          </w:p>
        </w:tc>
        <w:tc>
          <w:tcPr>
            <w:tcW w:w="1504" w:type="dxa"/>
            <w:tcBorders>
              <w:top w:val="nil"/>
              <w:left w:val="nil"/>
              <w:bottom w:val="single" w:sz="4" w:space="0" w:color="auto"/>
              <w:right w:val="single" w:sz="4" w:space="0" w:color="auto"/>
            </w:tcBorders>
            <w:shd w:val="clear" w:color="auto" w:fill="auto"/>
            <w:noWrap/>
            <w:hideMark/>
          </w:tcPr>
          <w:p w:rsidR="00D90049" w:rsidRPr="004228A3" w:rsidRDefault="00D90049" w:rsidP="00D90049">
            <w:pPr>
              <w:jc w:val="right"/>
              <w:rPr>
                <w:rFonts w:cs="Arial"/>
                <w:color w:val="000000"/>
                <w:spacing w:val="0"/>
                <w:sz w:val="22"/>
                <w:szCs w:val="22"/>
                <w:lang w:eastAsia="en-GB"/>
              </w:rPr>
            </w:pPr>
            <w:r w:rsidRPr="004228A3">
              <w:rPr>
                <w:rFonts w:cs="Arial"/>
                <w:color w:val="000000"/>
                <w:spacing w:val="0"/>
                <w:sz w:val="22"/>
                <w:szCs w:val="22"/>
                <w:lang w:eastAsia="en-GB"/>
              </w:rPr>
              <w:t>1,000,000.00</w:t>
            </w:r>
          </w:p>
        </w:tc>
      </w:tr>
      <w:tr w:rsidR="00D90049" w:rsidRPr="004228A3" w:rsidTr="00D90049">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D90049" w:rsidRPr="004228A3" w:rsidRDefault="00D90049" w:rsidP="00D90049">
            <w:pPr>
              <w:rPr>
                <w:rFonts w:cs="Arial"/>
                <w:color w:val="000000"/>
                <w:spacing w:val="0"/>
                <w:sz w:val="22"/>
                <w:szCs w:val="22"/>
                <w:lang w:eastAsia="en-GB"/>
              </w:rPr>
            </w:pPr>
            <w:r w:rsidRPr="004228A3">
              <w:rPr>
                <w:rFonts w:cs="Arial"/>
                <w:color w:val="000000"/>
                <w:spacing w:val="0"/>
                <w:sz w:val="22"/>
                <w:szCs w:val="22"/>
                <w:lang w:eastAsia="en-GB"/>
              </w:rPr>
              <w:t>Business Continuity</w:t>
            </w:r>
            <w:r w:rsidR="00194A18" w:rsidRPr="004228A3">
              <w:rPr>
                <w:rFonts w:cs="Arial"/>
                <w:color w:val="000000"/>
                <w:spacing w:val="0"/>
                <w:sz w:val="22"/>
                <w:szCs w:val="22"/>
                <w:lang w:eastAsia="en-GB"/>
              </w:rPr>
              <w:t xml:space="preserve"> Project</w:t>
            </w:r>
          </w:p>
        </w:tc>
        <w:tc>
          <w:tcPr>
            <w:tcW w:w="1504" w:type="dxa"/>
            <w:tcBorders>
              <w:top w:val="nil"/>
              <w:left w:val="nil"/>
              <w:bottom w:val="single" w:sz="4" w:space="0" w:color="auto"/>
              <w:right w:val="single" w:sz="4" w:space="0" w:color="auto"/>
            </w:tcBorders>
            <w:shd w:val="clear" w:color="auto" w:fill="auto"/>
            <w:noWrap/>
            <w:hideMark/>
          </w:tcPr>
          <w:p w:rsidR="00D90049" w:rsidRPr="004228A3" w:rsidRDefault="00D90049" w:rsidP="00D90049">
            <w:pPr>
              <w:jc w:val="right"/>
              <w:rPr>
                <w:rFonts w:cs="Arial"/>
                <w:color w:val="000000"/>
                <w:spacing w:val="0"/>
                <w:sz w:val="22"/>
                <w:szCs w:val="22"/>
                <w:lang w:eastAsia="en-GB"/>
              </w:rPr>
            </w:pPr>
            <w:r w:rsidRPr="004228A3">
              <w:rPr>
                <w:rFonts w:cs="Arial"/>
                <w:color w:val="000000"/>
                <w:spacing w:val="0"/>
                <w:sz w:val="22"/>
                <w:szCs w:val="22"/>
                <w:lang w:eastAsia="en-GB"/>
              </w:rPr>
              <w:t>740,000.00</w:t>
            </w:r>
          </w:p>
        </w:tc>
      </w:tr>
      <w:tr w:rsidR="00D90049" w:rsidRPr="004228A3" w:rsidTr="00D90049">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D90049" w:rsidRPr="004228A3" w:rsidRDefault="00D90049" w:rsidP="00D90049">
            <w:pPr>
              <w:rPr>
                <w:rFonts w:cs="Arial"/>
                <w:color w:val="000000"/>
                <w:spacing w:val="0"/>
                <w:sz w:val="22"/>
                <w:szCs w:val="22"/>
                <w:lang w:eastAsia="en-GB"/>
              </w:rPr>
            </w:pPr>
            <w:r w:rsidRPr="004228A3">
              <w:rPr>
                <w:rFonts w:cs="Arial"/>
                <w:color w:val="000000"/>
                <w:spacing w:val="0"/>
                <w:sz w:val="22"/>
                <w:szCs w:val="22"/>
                <w:lang w:eastAsia="en-GB"/>
              </w:rPr>
              <w:t>CT Scanner (Turnkey Works)</w:t>
            </w:r>
          </w:p>
        </w:tc>
        <w:tc>
          <w:tcPr>
            <w:tcW w:w="1504" w:type="dxa"/>
            <w:tcBorders>
              <w:top w:val="nil"/>
              <w:left w:val="nil"/>
              <w:bottom w:val="single" w:sz="4" w:space="0" w:color="auto"/>
              <w:right w:val="single" w:sz="4" w:space="0" w:color="auto"/>
            </w:tcBorders>
            <w:shd w:val="clear" w:color="auto" w:fill="auto"/>
            <w:noWrap/>
            <w:hideMark/>
          </w:tcPr>
          <w:p w:rsidR="00D90049" w:rsidRPr="004228A3" w:rsidRDefault="00D90049" w:rsidP="00D90049">
            <w:pPr>
              <w:jc w:val="right"/>
              <w:rPr>
                <w:rFonts w:cs="Arial"/>
                <w:color w:val="000000"/>
                <w:spacing w:val="0"/>
                <w:sz w:val="22"/>
                <w:szCs w:val="22"/>
                <w:lang w:eastAsia="en-GB"/>
              </w:rPr>
            </w:pPr>
            <w:r w:rsidRPr="004228A3">
              <w:rPr>
                <w:rFonts w:cs="Arial"/>
                <w:color w:val="000000"/>
                <w:spacing w:val="0"/>
                <w:sz w:val="22"/>
                <w:szCs w:val="22"/>
                <w:lang w:eastAsia="en-GB"/>
              </w:rPr>
              <w:t>1,000,000.00</w:t>
            </w:r>
          </w:p>
        </w:tc>
      </w:tr>
      <w:tr w:rsidR="00D90049" w:rsidRPr="004228A3" w:rsidTr="00D90049">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D90049" w:rsidRPr="004228A3" w:rsidRDefault="00D90049" w:rsidP="00D90049">
            <w:pPr>
              <w:rPr>
                <w:rFonts w:cs="Arial"/>
                <w:color w:val="000000"/>
                <w:spacing w:val="0"/>
                <w:sz w:val="22"/>
                <w:szCs w:val="22"/>
                <w:lang w:eastAsia="en-GB"/>
              </w:rPr>
            </w:pPr>
            <w:r w:rsidRPr="004228A3">
              <w:rPr>
                <w:rFonts w:cs="Arial"/>
                <w:color w:val="000000"/>
                <w:spacing w:val="0"/>
                <w:sz w:val="22"/>
                <w:szCs w:val="22"/>
                <w:lang w:eastAsia="en-GB"/>
              </w:rPr>
              <w:t>Sustainability</w:t>
            </w:r>
          </w:p>
        </w:tc>
        <w:tc>
          <w:tcPr>
            <w:tcW w:w="1504" w:type="dxa"/>
            <w:tcBorders>
              <w:top w:val="nil"/>
              <w:left w:val="nil"/>
              <w:bottom w:val="single" w:sz="4" w:space="0" w:color="auto"/>
              <w:right w:val="single" w:sz="4" w:space="0" w:color="auto"/>
            </w:tcBorders>
            <w:shd w:val="clear" w:color="auto" w:fill="auto"/>
            <w:noWrap/>
            <w:hideMark/>
          </w:tcPr>
          <w:p w:rsidR="00D90049" w:rsidRPr="004228A3" w:rsidRDefault="00D90049" w:rsidP="00D90049">
            <w:pPr>
              <w:jc w:val="right"/>
              <w:rPr>
                <w:rFonts w:cs="Arial"/>
                <w:color w:val="000000"/>
                <w:spacing w:val="0"/>
                <w:sz w:val="22"/>
                <w:szCs w:val="22"/>
                <w:lang w:eastAsia="en-GB"/>
              </w:rPr>
            </w:pPr>
            <w:r w:rsidRPr="004228A3">
              <w:rPr>
                <w:rFonts w:cs="Arial"/>
                <w:color w:val="000000"/>
                <w:spacing w:val="0"/>
                <w:sz w:val="22"/>
                <w:szCs w:val="22"/>
                <w:lang w:eastAsia="en-GB"/>
              </w:rPr>
              <w:t>1,165,000.00</w:t>
            </w:r>
          </w:p>
        </w:tc>
      </w:tr>
      <w:tr w:rsidR="00D90049" w:rsidRPr="004228A3" w:rsidTr="00D90049">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D90049" w:rsidRPr="004228A3" w:rsidRDefault="00D90049" w:rsidP="00D90049">
            <w:pPr>
              <w:rPr>
                <w:rFonts w:cs="Arial"/>
                <w:b/>
                <w:bCs/>
                <w:color w:val="000000"/>
                <w:spacing w:val="0"/>
                <w:sz w:val="22"/>
                <w:szCs w:val="22"/>
                <w:lang w:eastAsia="en-GB"/>
              </w:rPr>
            </w:pPr>
            <w:r w:rsidRPr="004228A3">
              <w:rPr>
                <w:rFonts w:cs="Arial"/>
                <w:b/>
                <w:bCs/>
                <w:color w:val="000000"/>
                <w:spacing w:val="0"/>
                <w:sz w:val="22"/>
                <w:szCs w:val="22"/>
                <w:lang w:eastAsia="en-GB"/>
              </w:rPr>
              <w:t>Total Funding</w:t>
            </w:r>
          </w:p>
        </w:tc>
        <w:tc>
          <w:tcPr>
            <w:tcW w:w="1504" w:type="dxa"/>
            <w:tcBorders>
              <w:top w:val="nil"/>
              <w:left w:val="nil"/>
              <w:bottom w:val="single" w:sz="4" w:space="0" w:color="auto"/>
              <w:right w:val="single" w:sz="4" w:space="0" w:color="auto"/>
            </w:tcBorders>
            <w:shd w:val="clear" w:color="auto" w:fill="auto"/>
            <w:noWrap/>
            <w:vAlign w:val="bottom"/>
            <w:hideMark/>
          </w:tcPr>
          <w:p w:rsidR="00D90049" w:rsidRPr="004228A3" w:rsidRDefault="00D90049" w:rsidP="00D90049">
            <w:pPr>
              <w:rPr>
                <w:rFonts w:cs="Arial"/>
                <w:b/>
                <w:bCs/>
                <w:color w:val="000000"/>
                <w:spacing w:val="0"/>
                <w:sz w:val="22"/>
                <w:szCs w:val="22"/>
                <w:lang w:eastAsia="en-GB"/>
              </w:rPr>
            </w:pPr>
            <w:r w:rsidRPr="004228A3">
              <w:rPr>
                <w:rFonts w:cs="Arial"/>
                <w:b/>
                <w:bCs/>
                <w:color w:val="000000"/>
                <w:spacing w:val="0"/>
                <w:sz w:val="22"/>
                <w:szCs w:val="22"/>
                <w:lang w:eastAsia="en-GB"/>
              </w:rPr>
              <w:t xml:space="preserve">   19,192,000.00 </w:t>
            </w:r>
          </w:p>
        </w:tc>
      </w:tr>
    </w:tbl>
    <w:p w:rsidR="00D90049" w:rsidRPr="004228A3" w:rsidRDefault="00D90049" w:rsidP="00C16434">
      <w:pPr>
        <w:autoSpaceDE w:val="0"/>
        <w:autoSpaceDN w:val="0"/>
        <w:adjustRightInd w:val="0"/>
        <w:ind w:left="686"/>
        <w:rPr>
          <w:rFonts w:eastAsiaTheme="minorHAnsi" w:cs="Arial"/>
          <w:spacing w:val="0"/>
          <w:szCs w:val="24"/>
        </w:rPr>
      </w:pPr>
    </w:p>
    <w:p w:rsidR="00F3337D" w:rsidRPr="004228A3" w:rsidRDefault="00C16434" w:rsidP="00C16434">
      <w:pPr>
        <w:pStyle w:val="Heading2"/>
        <w:rPr>
          <w:rFonts w:cs="Arial"/>
        </w:rPr>
      </w:pPr>
      <w:r w:rsidRPr="004228A3">
        <w:rPr>
          <w:rFonts w:eastAsiaTheme="minorHAnsi" w:cs="Arial"/>
          <w:bCs/>
          <w:spacing w:val="0"/>
          <w:szCs w:val="24"/>
        </w:rPr>
        <w:t>2</w:t>
      </w:r>
      <w:r w:rsidR="00BF3AF0" w:rsidRPr="004228A3">
        <w:rPr>
          <w:rFonts w:cs="Arial"/>
        </w:rPr>
        <w:t>.3</w:t>
      </w:r>
      <w:r w:rsidR="00BF3AF0" w:rsidRPr="004228A3">
        <w:rPr>
          <w:rFonts w:cs="Arial"/>
        </w:rPr>
        <w:tab/>
      </w:r>
      <w:r w:rsidR="00F3337D" w:rsidRPr="004228A3">
        <w:rPr>
          <w:rFonts w:cs="Arial"/>
        </w:rPr>
        <w:t>Assessment</w:t>
      </w:r>
      <w:r w:rsidR="00D90049" w:rsidRPr="004228A3">
        <w:rPr>
          <w:rFonts w:cs="Arial"/>
        </w:rPr>
        <w:t xml:space="preserve"> </w:t>
      </w:r>
    </w:p>
    <w:p w:rsidR="00C53175" w:rsidRPr="004228A3" w:rsidRDefault="00C53175" w:rsidP="00D90049">
      <w:pPr>
        <w:rPr>
          <w:rFonts w:eastAsiaTheme="minorHAnsi" w:cs="Arial"/>
          <w:b/>
          <w:bCs/>
          <w:color w:val="002060"/>
          <w:spacing w:val="0"/>
          <w:sz w:val="22"/>
          <w:szCs w:val="24"/>
        </w:rPr>
      </w:pPr>
    </w:p>
    <w:p w:rsidR="003B5289" w:rsidRPr="004228A3" w:rsidRDefault="000A3195" w:rsidP="00B044AB">
      <w:pPr>
        <w:autoSpaceDE w:val="0"/>
        <w:autoSpaceDN w:val="0"/>
        <w:adjustRightInd w:val="0"/>
        <w:ind w:left="720"/>
        <w:rPr>
          <w:rFonts w:cs="Arial"/>
        </w:rPr>
      </w:pPr>
      <w:r w:rsidRPr="004228A3">
        <w:rPr>
          <w:rFonts w:cs="Arial"/>
        </w:rPr>
        <w:t>C</w:t>
      </w:r>
      <w:r w:rsidR="0023115B" w:rsidRPr="004228A3">
        <w:rPr>
          <w:rFonts w:cs="Arial"/>
        </w:rPr>
        <w:t xml:space="preserve">apital Delivery </w:t>
      </w:r>
      <w:r w:rsidRPr="004228A3">
        <w:rPr>
          <w:rFonts w:cs="Arial"/>
        </w:rPr>
        <w:t>G</w:t>
      </w:r>
      <w:r w:rsidR="0023115B" w:rsidRPr="004228A3">
        <w:rPr>
          <w:rFonts w:cs="Arial"/>
        </w:rPr>
        <w:t>roup (CDG) business area</w:t>
      </w:r>
      <w:r w:rsidRPr="004228A3">
        <w:rPr>
          <w:rFonts w:cs="Arial"/>
        </w:rPr>
        <w:t xml:space="preserve"> leads submit</w:t>
      </w:r>
      <w:r w:rsidR="0023115B" w:rsidRPr="004228A3">
        <w:rPr>
          <w:rFonts w:cs="Arial"/>
        </w:rPr>
        <w:t>ted</w:t>
      </w:r>
      <w:r w:rsidRPr="004228A3">
        <w:rPr>
          <w:rFonts w:cs="Arial"/>
        </w:rPr>
        <w:t xml:space="preserve"> a</w:t>
      </w:r>
      <w:r w:rsidR="00FE1E19" w:rsidRPr="004228A3">
        <w:rPr>
          <w:rFonts w:cs="Arial"/>
        </w:rPr>
        <w:t xml:space="preserve"> prioritised list of </w:t>
      </w:r>
      <w:r w:rsidR="00A235D7" w:rsidRPr="004228A3">
        <w:rPr>
          <w:rFonts w:cs="Arial"/>
        </w:rPr>
        <w:t xml:space="preserve">capital </w:t>
      </w:r>
      <w:r w:rsidRPr="004228A3">
        <w:rPr>
          <w:rFonts w:cs="Arial"/>
        </w:rPr>
        <w:t xml:space="preserve">projects assessed by </w:t>
      </w:r>
      <w:r w:rsidR="004515CB" w:rsidRPr="004228A3">
        <w:rPr>
          <w:rFonts w:cs="Arial"/>
        </w:rPr>
        <w:t xml:space="preserve">organisational </w:t>
      </w:r>
      <w:r w:rsidRPr="004228A3">
        <w:rPr>
          <w:rFonts w:cs="Arial"/>
        </w:rPr>
        <w:t xml:space="preserve">risk, which could be delivered in year. </w:t>
      </w:r>
      <w:r w:rsidRPr="004228A3">
        <w:rPr>
          <w:rFonts w:eastAsiaTheme="minorHAnsi" w:cs="Arial"/>
          <w:spacing w:val="0"/>
          <w:szCs w:val="24"/>
        </w:rPr>
        <w:t xml:space="preserve">Residual risks from unavailable </w:t>
      </w:r>
      <w:r w:rsidR="003E76FB">
        <w:rPr>
          <w:rFonts w:eastAsiaTheme="minorHAnsi" w:cs="Arial"/>
          <w:spacing w:val="0"/>
          <w:szCs w:val="24"/>
        </w:rPr>
        <w:t>20</w:t>
      </w:r>
      <w:r w:rsidR="00EF7BE4" w:rsidRPr="004228A3">
        <w:rPr>
          <w:rFonts w:eastAsiaTheme="minorHAnsi" w:cs="Arial"/>
          <w:spacing w:val="0"/>
          <w:szCs w:val="24"/>
        </w:rPr>
        <w:t xml:space="preserve">24/25 </w:t>
      </w:r>
      <w:r w:rsidRPr="004228A3">
        <w:rPr>
          <w:rFonts w:eastAsiaTheme="minorHAnsi" w:cs="Arial"/>
          <w:spacing w:val="0"/>
          <w:szCs w:val="24"/>
        </w:rPr>
        <w:t>funding</w:t>
      </w:r>
      <w:r w:rsidR="0005142F" w:rsidRPr="004228A3">
        <w:rPr>
          <w:rFonts w:eastAsiaTheme="minorHAnsi" w:cs="Arial"/>
          <w:spacing w:val="0"/>
          <w:szCs w:val="24"/>
        </w:rPr>
        <w:t xml:space="preserve"> </w:t>
      </w:r>
      <w:r w:rsidRPr="004228A3">
        <w:rPr>
          <w:rFonts w:eastAsiaTheme="minorHAnsi" w:cs="Arial"/>
          <w:spacing w:val="0"/>
          <w:szCs w:val="24"/>
        </w:rPr>
        <w:t>were also identified</w:t>
      </w:r>
      <w:r w:rsidR="001F0577" w:rsidRPr="004228A3">
        <w:rPr>
          <w:rFonts w:eastAsiaTheme="minorHAnsi" w:cs="Arial"/>
          <w:spacing w:val="0"/>
          <w:szCs w:val="24"/>
        </w:rPr>
        <w:t xml:space="preserve"> as well as future projections</w:t>
      </w:r>
      <w:r w:rsidRPr="004228A3">
        <w:rPr>
          <w:rFonts w:eastAsiaTheme="minorHAnsi" w:cs="Arial"/>
          <w:spacing w:val="0"/>
          <w:szCs w:val="24"/>
        </w:rPr>
        <w:t xml:space="preserve">. </w:t>
      </w:r>
      <w:r w:rsidR="0005142F" w:rsidRPr="004228A3">
        <w:rPr>
          <w:rFonts w:cs="Arial"/>
        </w:rPr>
        <w:t>The total list of all capital items discussed for prioritisati</w:t>
      </w:r>
      <w:r w:rsidR="00C53175" w:rsidRPr="004228A3">
        <w:rPr>
          <w:rFonts w:cs="Arial"/>
        </w:rPr>
        <w:t xml:space="preserve">on at CDG in April </w:t>
      </w:r>
      <w:r w:rsidR="003B5289" w:rsidRPr="004228A3">
        <w:rPr>
          <w:rFonts w:cs="Arial"/>
        </w:rPr>
        <w:t xml:space="preserve">2025 </w:t>
      </w:r>
      <w:r w:rsidR="00C53175" w:rsidRPr="004228A3">
        <w:rPr>
          <w:rFonts w:cs="Arial"/>
        </w:rPr>
        <w:t>totalled £8.7</w:t>
      </w:r>
      <w:r w:rsidR="0005142F" w:rsidRPr="004228A3">
        <w:rPr>
          <w:rFonts w:cs="Arial"/>
        </w:rPr>
        <w:t>m</w:t>
      </w:r>
      <w:r w:rsidR="00C53175" w:rsidRPr="004228A3">
        <w:rPr>
          <w:rFonts w:cs="Arial"/>
        </w:rPr>
        <w:t xml:space="preserve"> (appendix 1)</w:t>
      </w:r>
      <w:r w:rsidR="0005142F" w:rsidRPr="004228A3">
        <w:rPr>
          <w:rFonts w:cs="Arial"/>
        </w:rPr>
        <w:t xml:space="preserve">. </w:t>
      </w:r>
    </w:p>
    <w:p w:rsidR="003B5289" w:rsidRPr="004228A3" w:rsidRDefault="003B5289" w:rsidP="000A3195">
      <w:pPr>
        <w:autoSpaceDE w:val="0"/>
        <w:autoSpaceDN w:val="0"/>
        <w:adjustRightInd w:val="0"/>
        <w:rPr>
          <w:rFonts w:cs="Arial"/>
        </w:rPr>
      </w:pPr>
    </w:p>
    <w:p w:rsidR="00D90049" w:rsidRPr="004228A3" w:rsidRDefault="0005142F" w:rsidP="00B044AB">
      <w:pPr>
        <w:autoSpaceDE w:val="0"/>
        <w:autoSpaceDN w:val="0"/>
        <w:adjustRightInd w:val="0"/>
        <w:ind w:left="720"/>
        <w:rPr>
          <w:rFonts w:cs="Arial"/>
        </w:rPr>
      </w:pPr>
      <w:r w:rsidRPr="004228A3">
        <w:rPr>
          <w:rFonts w:cs="Arial"/>
        </w:rPr>
        <w:t xml:space="preserve">Since then, some </w:t>
      </w:r>
      <w:r w:rsidR="00FE1E19" w:rsidRPr="004228A3">
        <w:rPr>
          <w:rFonts w:cs="Arial"/>
        </w:rPr>
        <w:t>projects have received</w:t>
      </w:r>
      <w:r w:rsidRPr="004228A3">
        <w:rPr>
          <w:rFonts w:cs="Arial"/>
        </w:rPr>
        <w:t xml:space="preserve"> funding through</w:t>
      </w:r>
      <w:r w:rsidR="00FE1E19" w:rsidRPr="004228A3">
        <w:rPr>
          <w:rFonts w:cs="Arial"/>
        </w:rPr>
        <w:t xml:space="preserve"> the</w:t>
      </w:r>
      <w:r w:rsidRPr="004228A3">
        <w:rPr>
          <w:rFonts w:cs="Arial"/>
        </w:rPr>
        <w:t xml:space="preserve"> </w:t>
      </w:r>
      <w:r w:rsidR="00FE1E19" w:rsidRPr="004228A3">
        <w:rPr>
          <w:rFonts w:cs="Arial"/>
        </w:rPr>
        <w:t>National Infrastructure B</w:t>
      </w:r>
      <w:r w:rsidR="00C53175" w:rsidRPr="004228A3">
        <w:rPr>
          <w:rFonts w:cs="Arial"/>
        </w:rPr>
        <w:t xml:space="preserve">oard and </w:t>
      </w:r>
      <w:r w:rsidR="00FE1E19" w:rsidRPr="004228A3">
        <w:rPr>
          <w:rFonts w:cs="Arial"/>
        </w:rPr>
        <w:t xml:space="preserve">Sustainability </w:t>
      </w:r>
      <w:r w:rsidR="003B5289" w:rsidRPr="004228A3">
        <w:rPr>
          <w:rFonts w:cs="Arial"/>
        </w:rPr>
        <w:t xml:space="preserve">programme. </w:t>
      </w:r>
      <w:r w:rsidR="0018786A" w:rsidRPr="004228A3">
        <w:rPr>
          <w:rFonts w:cs="Arial"/>
        </w:rPr>
        <w:t xml:space="preserve">A review of capital guidance also established that some items submitted should be classified as revenue </w:t>
      </w:r>
      <w:r w:rsidR="003B5289" w:rsidRPr="004228A3">
        <w:rPr>
          <w:rFonts w:cs="Arial"/>
        </w:rPr>
        <w:t>and were removed from consideration</w:t>
      </w:r>
      <w:r w:rsidR="00194A18" w:rsidRPr="004228A3">
        <w:rPr>
          <w:rFonts w:cs="Arial"/>
        </w:rPr>
        <w:t xml:space="preserve"> </w:t>
      </w:r>
      <w:r w:rsidR="003B5289" w:rsidRPr="004228A3">
        <w:rPr>
          <w:rFonts w:cs="Arial"/>
        </w:rPr>
        <w:t>while two further urgent items were added to the CDG list. More accurate</w:t>
      </w:r>
      <w:r w:rsidR="00C53175" w:rsidRPr="004228A3">
        <w:rPr>
          <w:rFonts w:cs="Arial"/>
        </w:rPr>
        <w:t xml:space="preserve"> cost projection</w:t>
      </w:r>
      <w:r w:rsidR="001C19B1" w:rsidRPr="004228A3">
        <w:rPr>
          <w:rFonts w:cs="Arial"/>
        </w:rPr>
        <w:t xml:space="preserve"> </w:t>
      </w:r>
      <w:r w:rsidR="003B5289" w:rsidRPr="004228A3">
        <w:rPr>
          <w:rFonts w:cs="Arial"/>
        </w:rPr>
        <w:t>and discounted contractor fees also contributed to lowering</w:t>
      </w:r>
      <w:r w:rsidR="001C19B1" w:rsidRPr="004228A3">
        <w:rPr>
          <w:rFonts w:cs="Arial"/>
        </w:rPr>
        <w:t xml:space="preserve"> the prioritised asset list to £</w:t>
      </w:r>
      <w:r w:rsidR="003B5289" w:rsidRPr="004228A3">
        <w:rPr>
          <w:rFonts w:cs="Arial"/>
        </w:rPr>
        <w:t>8</w:t>
      </w:r>
      <w:r w:rsidR="00C53175" w:rsidRPr="004228A3">
        <w:rPr>
          <w:rFonts w:cs="Arial"/>
        </w:rPr>
        <w:t>m (appendix 2)</w:t>
      </w:r>
      <w:r w:rsidR="003B5289" w:rsidRPr="004228A3">
        <w:rPr>
          <w:rFonts w:cs="Arial"/>
        </w:rPr>
        <w:t>.</w:t>
      </w:r>
    </w:p>
    <w:p w:rsidR="00B6117D" w:rsidRPr="004228A3" w:rsidRDefault="00B6117D" w:rsidP="000A3195">
      <w:pPr>
        <w:autoSpaceDE w:val="0"/>
        <w:autoSpaceDN w:val="0"/>
        <w:adjustRightInd w:val="0"/>
        <w:rPr>
          <w:rFonts w:cs="Arial"/>
        </w:rPr>
      </w:pPr>
    </w:p>
    <w:p w:rsidR="00B6117D" w:rsidRPr="004228A3" w:rsidRDefault="00B6117D" w:rsidP="00B044AB">
      <w:pPr>
        <w:autoSpaceDE w:val="0"/>
        <w:autoSpaceDN w:val="0"/>
        <w:adjustRightInd w:val="0"/>
        <w:ind w:left="720"/>
        <w:rPr>
          <w:rFonts w:cs="Arial"/>
        </w:rPr>
      </w:pPr>
      <w:r w:rsidRPr="004228A3">
        <w:rPr>
          <w:rFonts w:cs="Arial"/>
        </w:rPr>
        <w:t xml:space="preserve">The final list was submitted to the </w:t>
      </w:r>
      <w:r w:rsidR="00A235D7" w:rsidRPr="004228A3">
        <w:rPr>
          <w:rFonts w:cs="Arial"/>
        </w:rPr>
        <w:t>Strategic Capital Planning Group (</w:t>
      </w:r>
      <w:r w:rsidRPr="004228A3">
        <w:rPr>
          <w:rFonts w:cs="Arial"/>
        </w:rPr>
        <w:t>SCPG</w:t>
      </w:r>
      <w:r w:rsidR="00A235D7" w:rsidRPr="004228A3">
        <w:rPr>
          <w:rFonts w:cs="Arial"/>
        </w:rPr>
        <w:t>)</w:t>
      </w:r>
      <w:r w:rsidRPr="004228A3">
        <w:rPr>
          <w:rFonts w:cs="Arial"/>
        </w:rPr>
        <w:t xml:space="preserve"> in July for </w:t>
      </w:r>
      <w:r w:rsidR="003E76FB">
        <w:rPr>
          <w:rFonts w:cs="Arial"/>
        </w:rPr>
        <w:t>approval</w:t>
      </w:r>
      <w:r w:rsidRPr="004228A3">
        <w:rPr>
          <w:rFonts w:cs="Arial"/>
        </w:rPr>
        <w:t xml:space="preserve">. The total capital funding available for allocation - excluding phase two, direct funding and urgent capital projects </w:t>
      </w:r>
      <w:r w:rsidR="00A235D7" w:rsidRPr="004228A3">
        <w:rPr>
          <w:rFonts w:cs="Arial"/>
        </w:rPr>
        <w:t xml:space="preserve">recommended to be prioritised by the </w:t>
      </w:r>
      <w:r w:rsidR="00A77A65" w:rsidRPr="004228A3">
        <w:rPr>
          <w:rFonts w:cs="Arial"/>
        </w:rPr>
        <w:t>Director</w:t>
      </w:r>
      <w:r w:rsidR="00A235D7" w:rsidRPr="004228A3">
        <w:rPr>
          <w:rFonts w:cs="Arial"/>
        </w:rPr>
        <w:t xml:space="preserve"> of Finance and </w:t>
      </w:r>
      <w:r w:rsidRPr="004228A3">
        <w:rPr>
          <w:rFonts w:cs="Arial"/>
        </w:rPr>
        <w:t xml:space="preserve">agreed </w:t>
      </w:r>
      <w:r w:rsidR="00A235D7" w:rsidRPr="004228A3">
        <w:rPr>
          <w:rFonts w:cs="Arial"/>
        </w:rPr>
        <w:t xml:space="preserve">at SCPG </w:t>
      </w:r>
      <w:r w:rsidRPr="004228A3">
        <w:rPr>
          <w:rFonts w:cs="Arial"/>
        </w:rPr>
        <w:t xml:space="preserve"> - totalled £930k</w:t>
      </w:r>
      <w:r w:rsidR="00884BC8" w:rsidRPr="004228A3">
        <w:rPr>
          <w:rFonts w:cs="Arial"/>
        </w:rPr>
        <w:t>.</w:t>
      </w:r>
    </w:p>
    <w:p w:rsidR="00D90049" w:rsidRPr="004228A3" w:rsidRDefault="00D90049" w:rsidP="00D90049">
      <w:pPr>
        <w:rPr>
          <w:rFonts w:cs="Arial"/>
        </w:rPr>
      </w:pPr>
    </w:p>
    <w:p w:rsidR="00D90049" w:rsidRPr="004228A3" w:rsidRDefault="0005142F" w:rsidP="00B044AB">
      <w:pPr>
        <w:ind w:left="720"/>
        <w:rPr>
          <w:rFonts w:cs="Arial"/>
        </w:rPr>
      </w:pPr>
      <w:r w:rsidRPr="004228A3">
        <w:rPr>
          <w:rFonts w:cs="Arial"/>
        </w:rPr>
        <w:t xml:space="preserve">Following the SCPG </w:t>
      </w:r>
      <w:r w:rsidR="001772E8" w:rsidRPr="004228A3">
        <w:rPr>
          <w:rFonts w:cs="Arial"/>
        </w:rPr>
        <w:t>meeting in</w:t>
      </w:r>
      <w:r w:rsidRPr="004228A3">
        <w:rPr>
          <w:rFonts w:cs="Arial"/>
        </w:rPr>
        <w:t xml:space="preserve"> July, the following capital projects </w:t>
      </w:r>
      <w:r w:rsidR="00194A18" w:rsidRPr="004228A3">
        <w:rPr>
          <w:rFonts w:cs="Arial"/>
        </w:rPr>
        <w:t xml:space="preserve">were </w:t>
      </w:r>
      <w:r w:rsidRPr="004228A3">
        <w:rPr>
          <w:rFonts w:cs="Arial"/>
        </w:rPr>
        <w:t>approved and funding has been allocated</w:t>
      </w:r>
      <w:r w:rsidR="00194A18" w:rsidRPr="004228A3">
        <w:rPr>
          <w:rFonts w:cs="Arial"/>
        </w:rPr>
        <w:t xml:space="preserve"> as follows</w:t>
      </w:r>
      <w:r w:rsidRPr="004228A3">
        <w:rPr>
          <w:rFonts w:cs="Arial"/>
        </w:rPr>
        <w:t>:</w:t>
      </w:r>
    </w:p>
    <w:p w:rsidR="00B044AB" w:rsidRPr="004228A3" w:rsidRDefault="00B044AB" w:rsidP="00194A18">
      <w:pPr>
        <w:autoSpaceDE w:val="0"/>
        <w:autoSpaceDN w:val="0"/>
        <w:adjustRightInd w:val="0"/>
        <w:rPr>
          <w:rFonts w:eastAsiaTheme="minorHAnsi" w:cs="Arial"/>
          <w:b/>
          <w:i/>
          <w:iCs/>
          <w:color w:val="44546A"/>
          <w:spacing w:val="0"/>
          <w:sz w:val="18"/>
          <w:szCs w:val="18"/>
        </w:rPr>
      </w:pPr>
    </w:p>
    <w:p w:rsidR="00194A18" w:rsidRPr="004228A3" w:rsidRDefault="00B044AB" w:rsidP="00194A18">
      <w:pPr>
        <w:autoSpaceDE w:val="0"/>
        <w:autoSpaceDN w:val="0"/>
        <w:adjustRightInd w:val="0"/>
        <w:rPr>
          <w:rFonts w:eastAsiaTheme="minorHAnsi" w:cs="Arial"/>
          <w:b/>
          <w:i/>
          <w:iCs/>
          <w:color w:val="44546A"/>
          <w:spacing w:val="0"/>
          <w:sz w:val="18"/>
          <w:szCs w:val="18"/>
        </w:rPr>
      </w:pPr>
      <w:r w:rsidRPr="004228A3">
        <w:rPr>
          <w:rFonts w:eastAsiaTheme="minorHAnsi" w:cs="Arial"/>
          <w:b/>
          <w:i/>
          <w:iCs/>
          <w:color w:val="44546A"/>
          <w:spacing w:val="0"/>
          <w:sz w:val="18"/>
          <w:szCs w:val="18"/>
        </w:rPr>
        <w:t xml:space="preserve">               </w:t>
      </w:r>
      <w:r w:rsidR="00194A18" w:rsidRPr="004228A3">
        <w:rPr>
          <w:rFonts w:eastAsiaTheme="minorHAnsi" w:cs="Arial"/>
          <w:b/>
          <w:i/>
          <w:iCs/>
          <w:color w:val="44546A"/>
          <w:spacing w:val="0"/>
          <w:sz w:val="18"/>
          <w:szCs w:val="18"/>
        </w:rPr>
        <w:t>Table 2: Directorate Allocation</w:t>
      </w:r>
    </w:p>
    <w:p w:rsidR="00D90049" w:rsidRPr="004228A3" w:rsidRDefault="00D90049" w:rsidP="00D90049">
      <w:pPr>
        <w:rPr>
          <w:rFonts w:cs="Arial"/>
        </w:rPr>
      </w:pPr>
    </w:p>
    <w:p w:rsidR="00D90049" w:rsidRPr="004228A3" w:rsidRDefault="00B044AB" w:rsidP="00D90049">
      <w:pPr>
        <w:rPr>
          <w:rFonts w:cs="Arial"/>
        </w:rPr>
      </w:pPr>
      <w:r w:rsidRPr="004228A3">
        <w:rPr>
          <w:rFonts w:cs="Arial"/>
          <w:noProof/>
          <w:lang w:eastAsia="en-GB"/>
        </w:rPr>
        <w:drawing>
          <wp:anchor distT="0" distB="0" distL="114300" distR="114300" simplePos="0" relativeHeight="251658240" behindDoc="1" locked="0" layoutInCell="1" allowOverlap="1" wp14:anchorId="399C24A7" wp14:editId="3636E23A">
            <wp:simplePos x="0" y="0"/>
            <wp:positionH relativeFrom="column">
              <wp:posOffset>510202</wp:posOffset>
            </wp:positionH>
            <wp:positionV relativeFrom="paragraph">
              <wp:posOffset>12013</wp:posOffset>
            </wp:positionV>
            <wp:extent cx="3858895" cy="1535430"/>
            <wp:effectExtent l="0" t="0" r="8255" b="7620"/>
            <wp:wrapTight wrapText="bothSides">
              <wp:wrapPolygon edited="0">
                <wp:start x="0" y="0"/>
                <wp:lineTo x="0" y="21439"/>
                <wp:lineTo x="21540" y="21439"/>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8895" cy="1535430"/>
                    </a:xfrm>
                    <a:prstGeom prst="rect">
                      <a:avLst/>
                    </a:prstGeom>
                    <a:noFill/>
                    <a:ln>
                      <a:noFill/>
                    </a:ln>
                  </pic:spPr>
                </pic:pic>
              </a:graphicData>
            </a:graphic>
          </wp:anchor>
        </w:drawing>
      </w:r>
    </w:p>
    <w:p w:rsidR="00D90049" w:rsidRPr="004228A3" w:rsidRDefault="00D90049" w:rsidP="00D90049">
      <w:pPr>
        <w:rPr>
          <w:rFonts w:cs="Arial"/>
        </w:rPr>
      </w:pPr>
    </w:p>
    <w:p w:rsidR="00D90049" w:rsidRPr="004228A3" w:rsidRDefault="00D90049" w:rsidP="00D90049">
      <w:pPr>
        <w:rPr>
          <w:rFonts w:cs="Arial"/>
        </w:rPr>
      </w:pPr>
    </w:p>
    <w:p w:rsidR="00D90049" w:rsidRPr="004228A3" w:rsidRDefault="00D90049" w:rsidP="00D90049">
      <w:pPr>
        <w:rPr>
          <w:rFonts w:cs="Arial"/>
        </w:rPr>
      </w:pPr>
    </w:p>
    <w:p w:rsidR="00D90049" w:rsidRPr="004228A3" w:rsidRDefault="00D90049" w:rsidP="00D90049">
      <w:pPr>
        <w:rPr>
          <w:rFonts w:cs="Arial"/>
        </w:rPr>
      </w:pPr>
    </w:p>
    <w:p w:rsidR="00D90049" w:rsidRPr="004228A3" w:rsidRDefault="00D90049" w:rsidP="00D90049">
      <w:pPr>
        <w:rPr>
          <w:rFonts w:cs="Arial"/>
        </w:rPr>
      </w:pPr>
    </w:p>
    <w:p w:rsidR="00194A18" w:rsidRPr="004228A3" w:rsidRDefault="00194A18" w:rsidP="00D90049">
      <w:pPr>
        <w:rPr>
          <w:rFonts w:cs="Arial"/>
        </w:rPr>
      </w:pPr>
    </w:p>
    <w:p w:rsidR="00194A18" w:rsidRPr="004228A3" w:rsidRDefault="00194A18" w:rsidP="00D90049">
      <w:pPr>
        <w:rPr>
          <w:rFonts w:cs="Arial"/>
        </w:rPr>
      </w:pPr>
    </w:p>
    <w:p w:rsidR="00194A18" w:rsidRPr="004228A3" w:rsidRDefault="00194A18" w:rsidP="00D90049">
      <w:pPr>
        <w:rPr>
          <w:rFonts w:cs="Arial"/>
        </w:rPr>
      </w:pPr>
    </w:p>
    <w:p w:rsidR="00884BC8" w:rsidRPr="004228A3" w:rsidRDefault="00884BC8" w:rsidP="00B25E90">
      <w:pPr>
        <w:rPr>
          <w:rFonts w:cs="Arial"/>
        </w:rPr>
      </w:pPr>
    </w:p>
    <w:p w:rsidR="00A26B7E" w:rsidRPr="004228A3" w:rsidRDefault="00A235D7" w:rsidP="00C807BC">
      <w:pPr>
        <w:ind w:left="720"/>
        <w:rPr>
          <w:rFonts w:eastAsiaTheme="minorHAnsi" w:cs="Arial"/>
          <w:spacing w:val="0"/>
          <w:szCs w:val="24"/>
        </w:rPr>
      </w:pPr>
      <w:r w:rsidRPr="00C807BC">
        <w:rPr>
          <w:rFonts w:cs="Arial"/>
        </w:rPr>
        <w:t xml:space="preserve">The </w:t>
      </w:r>
      <w:r w:rsidR="00A05831" w:rsidRPr="00C807BC">
        <w:rPr>
          <w:rFonts w:cs="Arial"/>
        </w:rPr>
        <w:t xml:space="preserve">current </w:t>
      </w:r>
      <w:r w:rsidR="00B25E90" w:rsidRPr="00C807BC">
        <w:rPr>
          <w:rFonts w:cs="Arial"/>
        </w:rPr>
        <w:t xml:space="preserve">capital programme </w:t>
      </w:r>
      <w:r w:rsidR="00A05831" w:rsidRPr="00C807BC">
        <w:rPr>
          <w:rFonts w:cs="Arial"/>
        </w:rPr>
        <w:t>allocation exceeds SG funding by £</w:t>
      </w:r>
      <w:r w:rsidR="00680A2F" w:rsidRPr="00C807BC">
        <w:rPr>
          <w:rFonts w:cs="Arial"/>
        </w:rPr>
        <w:t>350k</w:t>
      </w:r>
      <w:r w:rsidR="001772E8" w:rsidRPr="00C807BC">
        <w:rPr>
          <w:rFonts w:cs="Arial"/>
        </w:rPr>
        <w:t xml:space="preserve">. </w:t>
      </w:r>
      <w:r w:rsidR="00C807BC" w:rsidRPr="00C807BC">
        <w:rPr>
          <w:rFonts w:cs="Arial"/>
        </w:rPr>
        <w:t>This will be actively managed in year to ensure that the final capital spend does not exceed allocation</w:t>
      </w:r>
    </w:p>
    <w:p w:rsidR="00A26B7E" w:rsidRPr="004228A3" w:rsidRDefault="00A26B7E" w:rsidP="00A26B7E">
      <w:pPr>
        <w:autoSpaceDE w:val="0"/>
        <w:autoSpaceDN w:val="0"/>
        <w:adjustRightInd w:val="0"/>
        <w:ind w:left="720"/>
        <w:rPr>
          <w:rFonts w:eastAsiaTheme="minorHAnsi" w:cs="Arial"/>
          <w:spacing w:val="0"/>
          <w:szCs w:val="24"/>
        </w:rPr>
      </w:pPr>
    </w:p>
    <w:p w:rsidR="004515CB" w:rsidRPr="004228A3" w:rsidRDefault="004515CB" w:rsidP="00B25E90">
      <w:pPr>
        <w:rPr>
          <w:rFonts w:cs="Arial"/>
          <w:i/>
        </w:rPr>
      </w:pPr>
      <w:r w:rsidRPr="004228A3">
        <w:rPr>
          <w:rFonts w:cs="Arial"/>
          <w:b/>
          <w:i/>
        </w:rPr>
        <w:t xml:space="preserve">See </w:t>
      </w:r>
      <w:r w:rsidR="006560AC">
        <w:rPr>
          <w:rFonts w:cs="Arial"/>
          <w:b/>
          <w:i/>
        </w:rPr>
        <w:t>appendix 3 and 4 for detailed funding allocation and actual spend at month four close</w:t>
      </w:r>
    </w:p>
    <w:p w:rsidR="00B25E90" w:rsidRPr="004228A3" w:rsidRDefault="00B25E90" w:rsidP="00B25E90">
      <w:pPr>
        <w:rPr>
          <w:rFonts w:cs="Arial"/>
          <w:color w:val="000000"/>
          <w:szCs w:val="24"/>
        </w:rPr>
      </w:pPr>
    </w:p>
    <w:p w:rsidR="00F3337D" w:rsidRPr="004228A3" w:rsidRDefault="00C87B62" w:rsidP="00F3337D">
      <w:pPr>
        <w:pStyle w:val="Heading3"/>
        <w:spacing w:line="276" w:lineRule="auto"/>
        <w:rPr>
          <w:rFonts w:cs="Arial"/>
        </w:rPr>
      </w:pPr>
      <w:r w:rsidRPr="004228A3">
        <w:rPr>
          <w:rFonts w:cs="Arial"/>
        </w:rPr>
        <w:t>2</w:t>
      </w:r>
      <w:r w:rsidR="00BF3AF0" w:rsidRPr="004228A3">
        <w:rPr>
          <w:rFonts w:cs="Arial"/>
        </w:rPr>
        <w:t>.3.1</w:t>
      </w:r>
      <w:r w:rsidR="00BF3AF0" w:rsidRPr="004228A3">
        <w:rPr>
          <w:rFonts w:cs="Arial"/>
        </w:rPr>
        <w:tab/>
      </w:r>
      <w:r w:rsidR="00F3337D" w:rsidRPr="004228A3">
        <w:rPr>
          <w:rFonts w:cs="Arial"/>
        </w:rPr>
        <w:t>Quality/ Patient Care</w:t>
      </w:r>
    </w:p>
    <w:p w:rsidR="00193B8A" w:rsidRPr="004228A3" w:rsidRDefault="00193B8A" w:rsidP="00B044AB">
      <w:pPr>
        <w:autoSpaceDE w:val="0"/>
        <w:autoSpaceDN w:val="0"/>
        <w:adjustRightInd w:val="0"/>
        <w:ind w:left="720"/>
        <w:rPr>
          <w:rFonts w:eastAsiaTheme="minorHAnsi" w:cs="Arial"/>
          <w:spacing w:val="0"/>
          <w:szCs w:val="24"/>
        </w:rPr>
      </w:pPr>
      <w:r w:rsidRPr="004228A3">
        <w:rPr>
          <w:rFonts w:eastAsiaTheme="minorHAnsi" w:cs="Arial"/>
          <w:spacing w:val="0"/>
          <w:szCs w:val="24"/>
        </w:rPr>
        <w:t>The condition of the estate as well as levels of high-risk infrastructure need directly impact quality of patient care</w:t>
      </w:r>
      <w:r w:rsidR="005E5FCC" w:rsidRPr="004228A3">
        <w:rPr>
          <w:rFonts w:eastAsiaTheme="minorHAnsi" w:cs="Arial"/>
          <w:spacing w:val="0"/>
          <w:szCs w:val="24"/>
        </w:rPr>
        <w:t>. C</w:t>
      </w:r>
      <w:r w:rsidR="007D0A3F" w:rsidRPr="004228A3">
        <w:rPr>
          <w:rFonts w:eastAsiaTheme="minorHAnsi" w:cs="Arial"/>
          <w:spacing w:val="0"/>
          <w:szCs w:val="24"/>
        </w:rPr>
        <w:t>apital investment is required to enabl</w:t>
      </w:r>
      <w:r w:rsidR="005E5FCC" w:rsidRPr="004228A3">
        <w:rPr>
          <w:rFonts w:eastAsiaTheme="minorHAnsi" w:cs="Arial"/>
          <w:spacing w:val="0"/>
          <w:szCs w:val="24"/>
        </w:rPr>
        <w:t>e NHSGJ</w:t>
      </w:r>
      <w:r w:rsidRPr="004228A3">
        <w:rPr>
          <w:rFonts w:eastAsiaTheme="minorHAnsi" w:cs="Arial"/>
          <w:spacing w:val="0"/>
          <w:szCs w:val="24"/>
        </w:rPr>
        <w:t xml:space="preserve"> to deliver </w:t>
      </w:r>
      <w:r w:rsidR="00791BE6" w:rsidRPr="004228A3">
        <w:rPr>
          <w:rFonts w:eastAsiaTheme="minorHAnsi" w:cs="Arial"/>
          <w:spacing w:val="0"/>
          <w:szCs w:val="24"/>
        </w:rPr>
        <w:t>its</w:t>
      </w:r>
      <w:r w:rsidRPr="004228A3">
        <w:rPr>
          <w:rFonts w:eastAsiaTheme="minorHAnsi" w:cs="Arial"/>
          <w:spacing w:val="0"/>
          <w:szCs w:val="24"/>
        </w:rPr>
        <w:t xml:space="preserve"> </w:t>
      </w:r>
      <w:r w:rsidR="007D0A3F" w:rsidRPr="004228A3">
        <w:rPr>
          <w:rFonts w:eastAsiaTheme="minorHAnsi" w:cs="Arial"/>
          <w:spacing w:val="0"/>
          <w:szCs w:val="24"/>
        </w:rPr>
        <w:t xml:space="preserve">strategic </w:t>
      </w:r>
      <w:r w:rsidR="005E5FCC" w:rsidRPr="004228A3">
        <w:rPr>
          <w:rFonts w:eastAsiaTheme="minorHAnsi" w:cs="Arial"/>
          <w:spacing w:val="0"/>
          <w:szCs w:val="24"/>
        </w:rPr>
        <w:t>priorities</w:t>
      </w:r>
      <w:r w:rsidR="007D0A3F" w:rsidRPr="004228A3">
        <w:rPr>
          <w:rFonts w:eastAsiaTheme="minorHAnsi" w:cs="Arial"/>
          <w:spacing w:val="0"/>
          <w:szCs w:val="24"/>
        </w:rPr>
        <w:t xml:space="preserve"> and address growing population demand </w:t>
      </w:r>
      <w:r w:rsidRPr="004228A3">
        <w:rPr>
          <w:rFonts w:eastAsiaTheme="minorHAnsi" w:cs="Arial"/>
          <w:spacing w:val="0"/>
          <w:szCs w:val="24"/>
        </w:rPr>
        <w:t>as well as</w:t>
      </w:r>
      <w:r w:rsidR="007D0A3F" w:rsidRPr="004228A3">
        <w:rPr>
          <w:rFonts w:eastAsiaTheme="minorHAnsi" w:cs="Arial"/>
          <w:spacing w:val="0"/>
          <w:szCs w:val="24"/>
        </w:rPr>
        <w:t xml:space="preserve"> care and capacity gaps. Operational and performance </w:t>
      </w:r>
      <w:r w:rsidRPr="004228A3">
        <w:rPr>
          <w:rFonts w:eastAsiaTheme="minorHAnsi" w:cs="Arial"/>
          <w:spacing w:val="0"/>
          <w:szCs w:val="24"/>
        </w:rPr>
        <w:t xml:space="preserve">impacts have been </w:t>
      </w:r>
      <w:r w:rsidR="007D0A3F" w:rsidRPr="004228A3">
        <w:rPr>
          <w:rFonts w:eastAsiaTheme="minorHAnsi" w:cs="Arial"/>
          <w:spacing w:val="0"/>
          <w:szCs w:val="24"/>
        </w:rPr>
        <w:t xml:space="preserve">seen </w:t>
      </w:r>
      <w:r w:rsidRPr="004228A3">
        <w:rPr>
          <w:rFonts w:eastAsiaTheme="minorHAnsi" w:cs="Arial"/>
          <w:spacing w:val="0"/>
          <w:szCs w:val="24"/>
        </w:rPr>
        <w:t xml:space="preserve">previously </w:t>
      </w:r>
      <w:r w:rsidR="007D0A3F" w:rsidRPr="004228A3">
        <w:rPr>
          <w:rFonts w:eastAsiaTheme="minorHAnsi" w:cs="Arial"/>
          <w:spacing w:val="0"/>
          <w:szCs w:val="24"/>
        </w:rPr>
        <w:t xml:space="preserve">from high-risk failure of our estate and we remain at high risk from key estate and asset failure risks that could impact critical services. </w:t>
      </w:r>
    </w:p>
    <w:p w:rsidR="00F3337D" w:rsidRPr="004228A3" w:rsidRDefault="00F3337D" w:rsidP="00193B8A">
      <w:pPr>
        <w:rPr>
          <w:rFonts w:cs="Arial"/>
          <w:color w:val="000000"/>
          <w:szCs w:val="24"/>
        </w:rPr>
      </w:pPr>
    </w:p>
    <w:p w:rsidR="00AA77F7" w:rsidRPr="004228A3" w:rsidRDefault="00C87B62" w:rsidP="00AA77F7">
      <w:pPr>
        <w:pStyle w:val="Heading3"/>
        <w:spacing w:line="276" w:lineRule="auto"/>
        <w:rPr>
          <w:rFonts w:cs="Arial"/>
        </w:rPr>
      </w:pPr>
      <w:r w:rsidRPr="004228A3">
        <w:rPr>
          <w:rFonts w:cs="Arial"/>
        </w:rPr>
        <w:t>2</w:t>
      </w:r>
      <w:r w:rsidR="00BF3AF0" w:rsidRPr="004228A3">
        <w:rPr>
          <w:rFonts w:cs="Arial"/>
        </w:rPr>
        <w:t>.3.2</w:t>
      </w:r>
      <w:r w:rsidR="00BF3AF0" w:rsidRPr="004228A3">
        <w:rPr>
          <w:rFonts w:cs="Arial"/>
        </w:rPr>
        <w:tab/>
      </w:r>
      <w:r w:rsidR="00AA77F7" w:rsidRPr="004228A3">
        <w:rPr>
          <w:rFonts w:cs="Arial"/>
        </w:rPr>
        <w:t>Workforce</w:t>
      </w:r>
    </w:p>
    <w:p w:rsidR="00F3337D" w:rsidRPr="004228A3" w:rsidRDefault="00DE2D91" w:rsidP="00B044AB">
      <w:pPr>
        <w:autoSpaceDE w:val="0"/>
        <w:autoSpaceDN w:val="0"/>
        <w:adjustRightInd w:val="0"/>
        <w:ind w:left="720"/>
        <w:rPr>
          <w:rFonts w:eastAsiaTheme="minorHAnsi" w:cs="Arial"/>
          <w:spacing w:val="0"/>
          <w:szCs w:val="24"/>
        </w:rPr>
      </w:pPr>
      <w:r w:rsidRPr="004228A3">
        <w:rPr>
          <w:rFonts w:eastAsiaTheme="minorHAnsi" w:cs="Arial"/>
          <w:spacing w:val="0"/>
          <w:szCs w:val="24"/>
        </w:rPr>
        <w:t>In 24/25 NHS GJ received additional funding in quarter three. This required additional resource particularly from Estates, Medical Physics, Digital and Procurement services. Should additional funding become available in 25/26, further resource and support will similarly be required to progress capital projects</w:t>
      </w:r>
      <w:r w:rsidR="00654DBA" w:rsidRPr="004228A3">
        <w:rPr>
          <w:rFonts w:eastAsiaTheme="minorHAnsi" w:cs="Arial"/>
          <w:spacing w:val="0"/>
          <w:szCs w:val="24"/>
        </w:rPr>
        <w:t xml:space="preserve"> held in reserve</w:t>
      </w:r>
      <w:r w:rsidRPr="004228A3">
        <w:rPr>
          <w:rFonts w:eastAsiaTheme="minorHAnsi" w:cs="Arial"/>
          <w:spacing w:val="0"/>
          <w:szCs w:val="24"/>
        </w:rPr>
        <w:t xml:space="preserve">. Where programmes </w:t>
      </w:r>
      <w:r w:rsidR="00654DBA" w:rsidRPr="004228A3">
        <w:rPr>
          <w:rFonts w:eastAsiaTheme="minorHAnsi" w:cs="Arial"/>
          <w:spacing w:val="0"/>
          <w:szCs w:val="24"/>
        </w:rPr>
        <w:t>require operational and clinical based staff to</w:t>
      </w:r>
      <w:r w:rsidRPr="004228A3">
        <w:rPr>
          <w:rFonts w:eastAsiaTheme="minorHAnsi" w:cs="Arial"/>
          <w:spacing w:val="0"/>
          <w:szCs w:val="24"/>
        </w:rPr>
        <w:t xml:space="preserve"> support, </w:t>
      </w:r>
      <w:r w:rsidR="00654DBA" w:rsidRPr="004228A3">
        <w:rPr>
          <w:rFonts w:eastAsiaTheme="minorHAnsi" w:cs="Arial"/>
          <w:spacing w:val="0"/>
          <w:szCs w:val="24"/>
        </w:rPr>
        <w:t xml:space="preserve">service demand will take priority and this will be challenging. </w:t>
      </w:r>
    </w:p>
    <w:p w:rsidR="00654DBA" w:rsidRPr="004228A3" w:rsidRDefault="00654DBA" w:rsidP="00DE2D91">
      <w:pPr>
        <w:autoSpaceDE w:val="0"/>
        <w:autoSpaceDN w:val="0"/>
        <w:adjustRightInd w:val="0"/>
        <w:rPr>
          <w:rFonts w:eastAsiaTheme="minorHAnsi" w:cs="Arial"/>
          <w:spacing w:val="0"/>
          <w:szCs w:val="24"/>
        </w:rPr>
      </w:pPr>
    </w:p>
    <w:p w:rsidR="00F3337D" w:rsidRPr="004228A3" w:rsidRDefault="00C87B62" w:rsidP="00F3337D">
      <w:pPr>
        <w:pStyle w:val="Heading3"/>
        <w:spacing w:line="276" w:lineRule="auto"/>
        <w:rPr>
          <w:rFonts w:cs="Arial"/>
        </w:rPr>
      </w:pPr>
      <w:r w:rsidRPr="004228A3">
        <w:rPr>
          <w:rFonts w:cs="Arial"/>
        </w:rPr>
        <w:t>2</w:t>
      </w:r>
      <w:r w:rsidR="00BF3AF0" w:rsidRPr="004228A3">
        <w:rPr>
          <w:rFonts w:cs="Arial"/>
        </w:rPr>
        <w:t>.3.3</w:t>
      </w:r>
      <w:r w:rsidR="00BF3AF0" w:rsidRPr="004228A3">
        <w:rPr>
          <w:rFonts w:cs="Arial"/>
        </w:rPr>
        <w:tab/>
      </w:r>
      <w:r w:rsidR="00F3337D" w:rsidRPr="004228A3">
        <w:rPr>
          <w:rFonts w:cs="Arial"/>
        </w:rPr>
        <w:t>Financial</w:t>
      </w:r>
    </w:p>
    <w:p w:rsidR="00FB6339" w:rsidRPr="004228A3" w:rsidRDefault="00B044AB" w:rsidP="00EF7BE4">
      <w:pPr>
        <w:autoSpaceDE w:val="0"/>
        <w:autoSpaceDN w:val="0"/>
        <w:adjustRightInd w:val="0"/>
        <w:ind w:left="720"/>
        <w:rPr>
          <w:rFonts w:cs="Arial"/>
          <w:color w:val="000000"/>
          <w:szCs w:val="24"/>
        </w:rPr>
      </w:pPr>
      <w:r w:rsidRPr="004228A3">
        <w:rPr>
          <w:rFonts w:cs="Arial"/>
          <w:color w:val="000000"/>
          <w:szCs w:val="24"/>
        </w:rPr>
        <w:t xml:space="preserve">As noted above, some </w:t>
      </w:r>
      <w:r w:rsidR="00D87BD0" w:rsidRPr="004228A3">
        <w:rPr>
          <w:rFonts w:cs="Arial"/>
          <w:color w:val="000000"/>
          <w:szCs w:val="24"/>
        </w:rPr>
        <w:t>of the costs associated with capital projects agreed as part of the 25/26 capital plan will require adjustment as the procurement process progresses and we move from an estimated position</w:t>
      </w:r>
      <w:r w:rsidRPr="004228A3">
        <w:rPr>
          <w:rFonts w:cs="Arial"/>
          <w:color w:val="000000"/>
          <w:szCs w:val="24"/>
        </w:rPr>
        <w:t>.</w:t>
      </w:r>
      <w:r w:rsidR="00FB6339" w:rsidRPr="004228A3">
        <w:rPr>
          <w:rFonts w:cs="Arial"/>
          <w:color w:val="000000"/>
          <w:szCs w:val="24"/>
        </w:rPr>
        <w:t xml:space="preserve">  </w:t>
      </w:r>
      <w:r w:rsidR="00FB6339" w:rsidRPr="004228A3">
        <w:rPr>
          <w:rFonts w:eastAsiaTheme="minorHAnsi" w:cs="Arial"/>
          <w:spacing w:val="0"/>
          <w:szCs w:val="24"/>
        </w:rPr>
        <w:t>Appen</w:t>
      </w:r>
      <w:r w:rsidR="00EF7BE4" w:rsidRPr="004228A3">
        <w:rPr>
          <w:rFonts w:eastAsiaTheme="minorHAnsi" w:cs="Arial"/>
          <w:spacing w:val="0"/>
          <w:szCs w:val="24"/>
        </w:rPr>
        <w:t xml:space="preserve">dix </w:t>
      </w:r>
      <w:r w:rsidR="00FB6339" w:rsidRPr="004228A3">
        <w:rPr>
          <w:rFonts w:eastAsiaTheme="minorHAnsi" w:cs="Arial"/>
          <w:spacing w:val="0"/>
          <w:szCs w:val="24"/>
        </w:rPr>
        <w:t>two list</w:t>
      </w:r>
      <w:r w:rsidR="00EF7BE4" w:rsidRPr="004228A3">
        <w:rPr>
          <w:rFonts w:eastAsiaTheme="minorHAnsi" w:cs="Arial"/>
          <w:spacing w:val="0"/>
          <w:szCs w:val="24"/>
        </w:rPr>
        <w:t>s</w:t>
      </w:r>
      <w:r w:rsidR="00FB6339" w:rsidRPr="004228A3">
        <w:rPr>
          <w:rFonts w:eastAsiaTheme="minorHAnsi" w:cs="Arial"/>
          <w:spacing w:val="0"/>
          <w:szCs w:val="24"/>
        </w:rPr>
        <w:t xml:space="preserve"> several areas across the estate which remain unfunded and collectively increase the residual risk of failure, cancelled patient lists and therefore</w:t>
      </w:r>
      <w:r w:rsidR="00EF7BE4" w:rsidRPr="004228A3">
        <w:rPr>
          <w:rFonts w:eastAsiaTheme="minorHAnsi" w:cs="Arial"/>
          <w:spacing w:val="0"/>
          <w:szCs w:val="24"/>
        </w:rPr>
        <w:t xml:space="preserve"> impact</w:t>
      </w:r>
      <w:r w:rsidR="0018786A" w:rsidRPr="004228A3">
        <w:rPr>
          <w:rFonts w:eastAsiaTheme="minorHAnsi" w:cs="Arial"/>
          <w:spacing w:val="0"/>
          <w:szCs w:val="24"/>
        </w:rPr>
        <w:t>s</w:t>
      </w:r>
      <w:r w:rsidR="00FB6339" w:rsidRPr="004228A3">
        <w:rPr>
          <w:rFonts w:eastAsiaTheme="minorHAnsi" w:cs="Arial"/>
          <w:spacing w:val="0"/>
          <w:szCs w:val="24"/>
        </w:rPr>
        <w:t xml:space="preserve"> Board operational performance. </w:t>
      </w:r>
    </w:p>
    <w:p w:rsidR="00FB6339" w:rsidRPr="004228A3" w:rsidRDefault="00FB6339" w:rsidP="00B044AB">
      <w:pPr>
        <w:autoSpaceDE w:val="0"/>
        <w:autoSpaceDN w:val="0"/>
        <w:adjustRightInd w:val="0"/>
        <w:ind w:left="720"/>
        <w:rPr>
          <w:rFonts w:eastAsiaTheme="minorHAnsi" w:cs="Arial"/>
          <w:spacing w:val="0"/>
          <w:szCs w:val="24"/>
        </w:rPr>
      </w:pPr>
    </w:p>
    <w:p w:rsidR="00F3337D" w:rsidRPr="004228A3" w:rsidRDefault="00B044AB" w:rsidP="00FB6339">
      <w:pPr>
        <w:autoSpaceDE w:val="0"/>
        <w:autoSpaceDN w:val="0"/>
        <w:adjustRightInd w:val="0"/>
        <w:ind w:left="720"/>
        <w:rPr>
          <w:rFonts w:eastAsiaTheme="minorHAnsi" w:cs="Arial"/>
          <w:spacing w:val="0"/>
          <w:szCs w:val="24"/>
        </w:rPr>
      </w:pPr>
      <w:r w:rsidRPr="004228A3">
        <w:rPr>
          <w:rFonts w:eastAsiaTheme="minorHAnsi" w:cs="Arial"/>
          <w:spacing w:val="0"/>
          <w:szCs w:val="24"/>
        </w:rPr>
        <w:t xml:space="preserve">External </w:t>
      </w:r>
      <w:r w:rsidR="00FB6339" w:rsidRPr="004228A3">
        <w:rPr>
          <w:rFonts w:eastAsiaTheme="minorHAnsi" w:cs="Arial"/>
          <w:spacing w:val="0"/>
          <w:szCs w:val="24"/>
        </w:rPr>
        <w:t xml:space="preserve">costs </w:t>
      </w:r>
      <w:r w:rsidRPr="004228A3">
        <w:rPr>
          <w:rFonts w:eastAsiaTheme="minorHAnsi" w:cs="Arial"/>
          <w:spacing w:val="0"/>
          <w:szCs w:val="24"/>
        </w:rPr>
        <w:t xml:space="preserve">have been included in the </w:t>
      </w:r>
      <w:r w:rsidR="00FB6339" w:rsidRPr="004228A3">
        <w:rPr>
          <w:rFonts w:eastAsiaTheme="minorHAnsi" w:cs="Arial"/>
          <w:spacing w:val="0"/>
          <w:szCs w:val="24"/>
        </w:rPr>
        <w:t>funding allocation but these costs continue to fluctuate and additional funding may be required if we cannot reach breakeven</w:t>
      </w:r>
      <w:r w:rsidR="00A26B7E" w:rsidRPr="004228A3">
        <w:rPr>
          <w:rFonts w:eastAsiaTheme="minorHAnsi" w:cs="Arial"/>
          <w:spacing w:val="0"/>
          <w:szCs w:val="24"/>
        </w:rPr>
        <w:t xml:space="preserve"> position</w:t>
      </w:r>
      <w:r w:rsidR="00EF7BE4" w:rsidRPr="004228A3">
        <w:rPr>
          <w:rFonts w:eastAsiaTheme="minorHAnsi" w:cs="Arial"/>
          <w:spacing w:val="0"/>
          <w:szCs w:val="24"/>
        </w:rPr>
        <w:t xml:space="preserve"> </w:t>
      </w:r>
      <w:r w:rsidR="0018786A" w:rsidRPr="004228A3">
        <w:rPr>
          <w:rFonts w:eastAsiaTheme="minorHAnsi" w:cs="Arial"/>
          <w:spacing w:val="0"/>
          <w:szCs w:val="24"/>
        </w:rPr>
        <w:t>approaching quarter</w:t>
      </w:r>
      <w:r w:rsidR="00EF7BE4" w:rsidRPr="004228A3">
        <w:rPr>
          <w:rFonts w:eastAsiaTheme="minorHAnsi" w:cs="Arial"/>
          <w:spacing w:val="0"/>
          <w:szCs w:val="24"/>
        </w:rPr>
        <w:t xml:space="preserve"> four.</w:t>
      </w:r>
    </w:p>
    <w:p w:rsidR="00B044AB" w:rsidRPr="004228A3" w:rsidRDefault="00B044AB" w:rsidP="00B044AB">
      <w:pPr>
        <w:spacing w:before="40" w:after="40" w:line="276" w:lineRule="auto"/>
        <w:ind w:left="720"/>
        <w:rPr>
          <w:rFonts w:cs="Arial"/>
          <w:color w:val="000000"/>
          <w:szCs w:val="24"/>
        </w:rPr>
      </w:pPr>
    </w:p>
    <w:p w:rsidR="00F3337D" w:rsidRPr="004228A3" w:rsidRDefault="00C87B62" w:rsidP="00F3337D">
      <w:pPr>
        <w:pStyle w:val="Heading3"/>
        <w:spacing w:line="276" w:lineRule="auto"/>
        <w:rPr>
          <w:rFonts w:cs="Arial"/>
        </w:rPr>
      </w:pPr>
      <w:r w:rsidRPr="004228A3">
        <w:rPr>
          <w:rFonts w:cs="Arial"/>
        </w:rPr>
        <w:t>2</w:t>
      </w:r>
      <w:r w:rsidR="00BF3AF0" w:rsidRPr="004228A3">
        <w:rPr>
          <w:rFonts w:cs="Arial"/>
        </w:rPr>
        <w:t>.3.4</w:t>
      </w:r>
      <w:r w:rsidR="00BF3AF0" w:rsidRPr="004228A3">
        <w:rPr>
          <w:rFonts w:cs="Arial"/>
        </w:rPr>
        <w:tab/>
      </w:r>
      <w:r w:rsidR="00F3337D" w:rsidRPr="004228A3">
        <w:rPr>
          <w:rFonts w:cs="Arial"/>
        </w:rPr>
        <w:t>Risk Assessment</w:t>
      </w:r>
      <w:r w:rsidR="00BF3AF0" w:rsidRPr="004228A3">
        <w:rPr>
          <w:rFonts w:cs="Arial"/>
        </w:rPr>
        <w:t>/</w:t>
      </w:r>
      <w:r w:rsidR="00F3337D" w:rsidRPr="004228A3">
        <w:rPr>
          <w:rFonts w:cs="Arial"/>
        </w:rPr>
        <w:t>Management</w:t>
      </w:r>
    </w:p>
    <w:p w:rsidR="00F3337D" w:rsidRPr="004228A3" w:rsidRDefault="00EF7BE4" w:rsidP="00EF7BE4">
      <w:pPr>
        <w:spacing w:before="40" w:after="40" w:line="276" w:lineRule="auto"/>
        <w:ind w:left="720"/>
        <w:rPr>
          <w:rFonts w:eastAsiaTheme="minorHAnsi" w:cs="Arial"/>
          <w:spacing w:val="0"/>
          <w:szCs w:val="24"/>
        </w:rPr>
      </w:pPr>
      <w:r w:rsidRPr="004228A3">
        <w:rPr>
          <w:rFonts w:eastAsiaTheme="minorHAnsi" w:cs="Arial"/>
          <w:spacing w:val="0"/>
          <w:szCs w:val="24"/>
        </w:rPr>
        <w:t>The following risks are highlighted as part</w:t>
      </w:r>
      <w:r w:rsidR="004A14BD" w:rsidRPr="004228A3">
        <w:rPr>
          <w:rFonts w:eastAsiaTheme="minorHAnsi" w:cs="Arial"/>
          <w:spacing w:val="0"/>
          <w:szCs w:val="24"/>
        </w:rPr>
        <w:t xml:space="preserve"> of the formula capital programme</w:t>
      </w:r>
      <w:r w:rsidRPr="004228A3">
        <w:rPr>
          <w:rFonts w:eastAsiaTheme="minorHAnsi" w:cs="Arial"/>
          <w:spacing w:val="0"/>
          <w:szCs w:val="24"/>
        </w:rPr>
        <w:t xml:space="preserve"> for 25/26:</w:t>
      </w:r>
    </w:p>
    <w:p w:rsidR="00EF7BE4" w:rsidRDefault="004A14BD" w:rsidP="004228A3">
      <w:pPr>
        <w:pStyle w:val="ListParagraph"/>
        <w:numPr>
          <w:ilvl w:val="0"/>
          <w:numId w:val="23"/>
        </w:numPr>
        <w:rPr>
          <w:rFonts w:ascii="Arial" w:hAnsi="Arial" w:cs="Arial"/>
          <w:sz w:val="24"/>
        </w:rPr>
      </w:pPr>
      <w:r w:rsidRPr="004228A3">
        <w:rPr>
          <w:rFonts w:ascii="Arial" w:hAnsi="Arial" w:cs="Arial"/>
          <w:sz w:val="24"/>
        </w:rPr>
        <w:t>Funding available is</w:t>
      </w:r>
      <w:r w:rsidR="00EF7BE4" w:rsidRPr="004228A3">
        <w:rPr>
          <w:rFonts w:ascii="Arial" w:hAnsi="Arial" w:cs="Arial"/>
          <w:sz w:val="24"/>
        </w:rPr>
        <w:t xml:space="preserve"> not suffici</w:t>
      </w:r>
      <w:r w:rsidR="00FF6A53" w:rsidRPr="004228A3">
        <w:rPr>
          <w:rFonts w:ascii="Arial" w:hAnsi="Arial" w:cs="Arial"/>
          <w:sz w:val="24"/>
        </w:rPr>
        <w:t xml:space="preserve">ent to address all </w:t>
      </w:r>
      <w:r w:rsidR="00EF7BE4" w:rsidRPr="004228A3">
        <w:rPr>
          <w:rFonts w:ascii="Arial" w:hAnsi="Arial" w:cs="Arial"/>
          <w:sz w:val="24"/>
        </w:rPr>
        <w:t xml:space="preserve">items identified within </w:t>
      </w:r>
      <w:r w:rsidR="00FF6A53" w:rsidRPr="004228A3">
        <w:rPr>
          <w:rFonts w:ascii="Arial" w:hAnsi="Arial" w:cs="Arial"/>
          <w:sz w:val="24"/>
        </w:rPr>
        <w:t>prioritised CDG list (£8m requested in total out with direct funding awards against total available core £2.8</w:t>
      </w:r>
      <w:r w:rsidR="00EF7BE4" w:rsidRPr="004228A3">
        <w:rPr>
          <w:rFonts w:ascii="Arial" w:hAnsi="Arial" w:cs="Arial"/>
          <w:sz w:val="24"/>
        </w:rPr>
        <w:t>m)</w:t>
      </w:r>
    </w:p>
    <w:p w:rsidR="00773AAF" w:rsidRPr="004228A3" w:rsidRDefault="00773AAF" w:rsidP="004228A3">
      <w:pPr>
        <w:pStyle w:val="ListParagraph"/>
        <w:numPr>
          <w:ilvl w:val="0"/>
          <w:numId w:val="23"/>
        </w:numPr>
        <w:rPr>
          <w:rFonts w:ascii="Arial" w:hAnsi="Arial" w:cs="Arial"/>
          <w:sz w:val="24"/>
        </w:rPr>
      </w:pPr>
      <w:r>
        <w:rPr>
          <w:rFonts w:ascii="Arial" w:hAnsi="Arial" w:cs="Arial"/>
          <w:sz w:val="24"/>
        </w:rPr>
        <w:t>The programme is currently over committed by £350k</w:t>
      </w:r>
    </w:p>
    <w:p w:rsidR="000D645A" w:rsidRPr="004228A3" w:rsidRDefault="000D645A" w:rsidP="004228A3">
      <w:pPr>
        <w:pStyle w:val="ListParagraph"/>
        <w:numPr>
          <w:ilvl w:val="0"/>
          <w:numId w:val="23"/>
        </w:numPr>
        <w:rPr>
          <w:rFonts w:ascii="Arial" w:hAnsi="Arial" w:cs="Arial"/>
          <w:sz w:val="24"/>
        </w:rPr>
      </w:pPr>
      <w:r w:rsidRPr="004228A3">
        <w:rPr>
          <w:rFonts w:ascii="Arial" w:hAnsi="Arial" w:cs="Arial"/>
          <w:sz w:val="24"/>
        </w:rPr>
        <w:t>Further refinement of information supplied by programme leads may identify additional risk</w:t>
      </w:r>
      <w:r w:rsidR="00177AD9" w:rsidRPr="004228A3">
        <w:rPr>
          <w:rFonts w:ascii="Arial" w:hAnsi="Arial" w:cs="Arial"/>
          <w:sz w:val="24"/>
        </w:rPr>
        <w:t>, change of priority and cost</w:t>
      </w:r>
    </w:p>
    <w:p w:rsidR="000D645A" w:rsidRPr="004228A3" w:rsidRDefault="00CC4EA9" w:rsidP="004228A3">
      <w:pPr>
        <w:pStyle w:val="ListParagraph"/>
        <w:numPr>
          <w:ilvl w:val="0"/>
          <w:numId w:val="23"/>
        </w:numPr>
        <w:rPr>
          <w:rFonts w:ascii="Arial" w:hAnsi="Arial" w:cs="Arial"/>
          <w:sz w:val="24"/>
        </w:rPr>
      </w:pPr>
      <w:r w:rsidRPr="004228A3">
        <w:rPr>
          <w:rFonts w:ascii="Arial" w:hAnsi="Arial" w:cs="Arial"/>
          <w:sz w:val="24"/>
        </w:rPr>
        <w:t>Whilst c</w:t>
      </w:r>
      <w:r w:rsidR="00177AD9" w:rsidRPr="004228A3">
        <w:rPr>
          <w:rFonts w:ascii="Arial" w:hAnsi="Arial" w:cs="Arial"/>
          <w:sz w:val="24"/>
        </w:rPr>
        <w:t>apital planning</w:t>
      </w:r>
      <w:r w:rsidRPr="004228A3">
        <w:rPr>
          <w:rFonts w:ascii="Arial" w:hAnsi="Arial" w:cs="Arial"/>
          <w:sz w:val="24"/>
        </w:rPr>
        <w:t xml:space="preserve"> will</w:t>
      </w:r>
      <w:r w:rsidR="00177AD9" w:rsidRPr="004228A3">
        <w:rPr>
          <w:rFonts w:ascii="Arial" w:hAnsi="Arial" w:cs="Arial"/>
          <w:sz w:val="24"/>
        </w:rPr>
        <w:t xml:space="preserve"> work closely with </w:t>
      </w:r>
      <w:r w:rsidRPr="004228A3">
        <w:rPr>
          <w:rFonts w:ascii="Arial" w:hAnsi="Arial" w:cs="Arial"/>
          <w:sz w:val="24"/>
        </w:rPr>
        <w:t>business areas to ensure the CDG pipeline is accurate and captures all immediate priorities, there is still risk that an unexpected capital request is submitted throughout the year which requires immediate action and precedence over agreed projects</w:t>
      </w:r>
    </w:p>
    <w:p w:rsidR="000D645A" w:rsidRPr="004228A3" w:rsidRDefault="00177AD9" w:rsidP="004228A3">
      <w:pPr>
        <w:pStyle w:val="ListParagraph"/>
        <w:numPr>
          <w:ilvl w:val="0"/>
          <w:numId w:val="23"/>
        </w:numPr>
        <w:rPr>
          <w:rFonts w:ascii="Arial" w:hAnsi="Arial" w:cs="Arial"/>
          <w:sz w:val="24"/>
        </w:rPr>
      </w:pPr>
      <w:r w:rsidRPr="004228A3">
        <w:rPr>
          <w:rFonts w:ascii="Arial" w:hAnsi="Arial" w:cs="Arial"/>
          <w:sz w:val="24"/>
        </w:rPr>
        <w:t xml:space="preserve">There is difficulty establishing </w:t>
      </w:r>
      <w:r w:rsidR="00CC4EA9" w:rsidRPr="004228A3">
        <w:rPr>
          <w:rFonts w:ascii="Arial" w:hAnsi="Arial" w:cs="Arial"/>
          <w:sz w:val="24"/>
        </w:rPr>
        <w:t>accurate capital benefit from disposal of assets</w:t>
      </w:r>
      <w:r w:rsidR="004228A3" w:rsidRPr="004228A3">
        <w:rPr>
          <w:rFonts w:ascii="Arial" w:hAnsi="Arial" w:cs="Arial"/>
          <w:sz w:val="24"/>
        </w:rPr>
        <w:t>.</w:t>
      </w:r>
      <w:r w:rsidR="00C807BC">
        <w:rPr>
          <w:rFonts w:ascii="Arial" w:hAnsi="Arial" w:cs="Arial"/>
          <w:sz w:val="24"/>
        </w:rPr>
        <w:t xml:space="preserve"> </w:t>
      </w:r>
      <w:r w:rsidRPr="004228A3">
        <w:rPr>
          <w:rFonts w:ascii="Arial" w:hAnsi="Arial" w:cs="Arial"/>
          <w:sz w:val="24"/>
        </w:rPr>
        <w:t xml:space="preserve">This is a result of certain pieces of equipment being sold </w:t>
      </w:r>
      <w:r w:rsidR="004228A3" w:rsidRPr="004228A3">
        <w:rPr>
          <w:rFonts w:ascii="Arial" w:hAnsi="Arial" w:cs="Arial"/>
          <w:sz w:val="24"/>
        </w:rPr>
        <w:t xml:space="preserve">separately and not as one asset </w:t>
      </w:r>
    </w:p>
    <w:p w:rsidR="00EF7BE4" w:rsidRPr="004228A3" w:rsidRDefault="00177AD9" w:rsidP="004228A3">
      <w:pPr>
        <w:pStyle w:val="ListParagraph"/>
        <w:numPr>
          <w:ilvl w:val="0"/>
          <w:numId w:val="23"/>
        </w:numPr>
        <w:rPr>
          <w:rFonts w:ascii="Arial" w:hAnsi="Arial" w:cs="Arial"/>
          <w:sz w:val="24"/>
        </w:rPr>
      </w:pPr>
      <w:r w:rsidRPr="004228A3">
        <w:rPr>
          <w:rFonts w:ascii="Arial" w:hAnsi="Arial" w:cs="Arial"/>
          <w:sz w:val="24"/>
        </w:rPr>
        <w:t>External support costs to resource projects may require further assessment of in-year deliverability if the required investment is beyond current estimates. Capital Planning and Estates to oversee these additional work items (for large ‘emerging risks’ and ‘other assets’ project items)</w:t>
      </w:r>
    </w:p>
    <w:p w:rsidR="00177AD9" w:rsidRPr="004228A3" w:rsidRDefault="00177AD9" w:rsidP="00177AD9">
      <w:pPr>
        <w:pStyle w:val="ListParagraph"/>
        <w:autoSpaceDE w:val="0"/>
        <w:autoSpaceDN w:val="0"/>
        <w:adjustRightInd w:val="0"/>
        <w:spacing w:before="40" w:after="40" w:line="276" w:lineRule="auto"/>
        <w:ind w:left="1800"/>
        <w:rPr>
          <w:rFonts w:ascii="Arial" w:hAnsi="Arial" w:cs="Arial"/>
          <w:color w:val="000000"/>
          <w:szCs w:val="24"/>
        </w:rPr>
      </w:pPr>
    </w:p>
    <w:p w:rsidR="00F3337D" w:rsidRPr="004228A3" w:rsidRDefault="00C87B62" w:rsidP="00F3337D">
      <w:pPr>
        <w:pStyle w:val="Heading3"/>
        <w:spacing w:line="276" w:lineRule="auto"/>
        <w:rPr>
          <w:rFonts w:cs="Arial"/>
        </w:rPr>
      </w:pPr>
      <w:r w:rsidRPr="004228A3">
        <w:rPr>
          <w:rFonts w:cs="Arial"/>
        </w:rPr>
        <w:t>2</w:t>
      </w:r>
      <w:r w:rsidR="00BF3AF0" w:rsidRPr="004228A3">
        <w:rPr>
          <w:rFonts w:cs="Arial"/>
        </w:rPr>
        <w:t>.3.5</w:t>
      </w:r>
      <w:r w:rsidR="00BF3AF0" w:rsidRPr="004228A3">
        <w:rPr>
          <w:rFonts w:cs="Arial"/>
        </w:rPr>
        <w:tab/>
      </w:r>
      <w:r w:rsidR="00F3337D" w:rsidRPr="004228A3">
        <w:rPr>
          <w:rFonts w:cs="Arial"/>
        </w:rPr>
        <w:t>Equality and Diversity, including health inequalities</w:t>
      </w:r>
    </w:p>
    <w:p w:rsidR="00F3337D" w:rsidRPr="004228A3" w:rsidRDefault="007B0513" w:rsidP="007B0513">
      <w:pPr>
        <w:ind w:left="720"/>
        <w:rPr>
          <w:rFonts w:cs="Arial"/>
          <w:color w:val="000000"/>
          <w:szCs w:val="24"/>
        </w:rPr>
      </w:pPr>
      <w:r w:rsidRPr="004228A3">
        <w:rPr>
          <w:rFonts w:cs="Arial"/>
          <w:color w:val="000000"/>
          <w:szCs w:val="24"/>
        </w:rPr>
        <w:t xml:space="preserve">An impact assessment is not required to be completed. </w:t>
      </w:r>
    </w:p>
    <w:p w:rsidR="00BF3AF0" w:rsidRPr="004228A3" w:rsidRDefault="00BF3AF0" w:rsidP="007B0513">
      <w:pPr>
        <w:spacing w:before="40" w:after="40" w:line="276" w:lineRule="auto"/>
        <w:ind w:left="1440"/>
        <w:rPr>
          <w:rFonts w:cs="Arial"/>
          <w:color w:val="000000"/>
          <w:szCs w:val="24"/>
          <w:highlight w:val="lightGray"/>
        </w:rPr>
      </w:pPr>
    </w:p>
    <w:p w:rsidR="00446219" w:rsidRPr="004228A3" w:rsidRDefault="00C87B62" w:rsidP="00446219">
      <w:pPr>
        <w:pStyle w:val="Heading3"/>
        <w:rPr>
          <w:rFonts w:cs="Arial"/>
        </w:rPr>
      </w:pPr>
      <w:r w:rsidRPr="004228A3">
        <w:rPr>
          <w:rFonts w:cs="Arial"/>
        </w:rPr>
        <w:t>2</w:t>
      </w:r>
      <w:r w:rsidR="00BF3AF0" w:rsidRPr="004228A3">
        <w:rPr>
          <w:rFonts w:cs="Arial"/>
        </w:rPr>
        <w:t>.3.6</w:t>
      </w:r>
      <w:r w:rsidR="00BF3AF0" w:rsidRPr="004228A3">
        <w:rPr>
          <w:rFonts w:cs="Arial"/>
        </w:rPr>
        <w:tab/>
      </w:r>
      <w:r w:rsidR="00446219" w:rsidRPr="004228A3">
        <w:rPr>
          <w:rFonts w:cs="Arial"/>
        </w:rPr>
        <w:t>Other</w:t>
      </w:r>
      <w:r w:rsidR="00BF3AF0" w:rsidRPr="004228A3">
        <w:rPr>
          <w:rFonts w:cs="Arial"/>
        </w:rPr>
        <w:t xml:space="preserve"> impacts</w:t>
      </w:r>
    </w:p>
    <w:p w:rsidR="006C5C9F" w:rsidRPr="004228A3" w:rsidRDefault="006C5C9F" w:rsidP="006C5C9F">
      <w:pPr>
        <w:autoSpaceDE w:val="0"/>
        <w:autoSpaceDN w:val="0"/>
        <w:adjustRightInd w:val="0"/>
        <w:ind w:firstLine="720"/>
        <w:rPr>
          <w:rFonts w:eastAsiaTheme="minorHAnsi" w:cs="Arial"/>
          <w:color w:val="000000"/>
          <w:spacing w:val="0"/>
          <w:szCs w:val="23"/>
        </w:rPr>
      </w:pPr>
      <w:r w:rsidRPr="004228A3">
        <w:rPr>
          <w:rFonts w:eastAsiaTheme="minorHAnsi" w:cs="Arial"/>
          <w:b/>
          <w:bCs/>
          <w:color w:val="000000"/>
          <w:spacing w:val="0"/>
          <w:szCs w:val="23"/>
        </w:rPr>
        <w:t xml:space="preserve">Climate Emergency and Sustainability </w:t>
      </w:r>
    </w:p>
    <w:p w:rsidR="00AA77F7" w:rsidRPr="004228A3" w:rsidRDefault="007B0513" w:rsidP="00F3337D">
      <w:pPr>
        <w:pStyle w:val="ListParagraph"/>
        <w:rPr>
          <w:rFonts w:ascii="Arial" w:eastAsia="Times New Roman" w:hAnsi="Arial" w:cs="Arial"/>
          <w:color w:val="000000"/>
          <w:spacing w:val="-3"/>
          <w:sz w:val="24"/>
          <w:szCs w:val="24"/>
          <w:lang w:eastAsia="en-US"/>
        </w:rPr>
      </w:pPr>
      <w:r w:rsidRPr="004228A3">
        <w:rPr>
          <w:rFonts w:ascii="Arial" w:eastAsia="Times New Roman" w:hAnsi="Arial" w:cs="Arial"/>
          <w:color w:val="000000"/>
          <w:spacing w:val="-3"/>
          <w:sz w:val="24"/>
          <w:szCs w:val="24"/>
          <w:lang w:eastAsia="en-US"/>
        </w:rPr>
        <w:t>No other impacts require to be noted</w:t>
      </w:r>
    </w:p>
    <w:p w:rsidR="007B0513" w:rsidRPr="004228A3" w:rsidRDefault="007B0513" w:rsidP="00F3337D">
      <w:pPr>
        <w:pStyle w:val="ListParagraph"/>
        <w:rPr>
          <w:rFonts w:ascii="Arial" w:hAnsi="Arial" w:cs="Arial"/>
          <w:color w:val="000000"/>
          <w:sz w:val="24"/>
          <w:szCs w:val="24"/>
        </w:rPr>
      </w:pPr>
    </w:p>
    <w:p w:rsidR="00F3337D" w:rsidRPr="00791BE6" w:rsidRDefault="00446219" w:rsidP="00F3337D">
      <w:pPr>
        <w:pStyle w:val="Heading3"/>
        <w:numPr>
          <w:ilvl w:val="2"/>
          <w:numId w:val="16"/>
        </w:numPr>
        <w:rPr>
          <w:rFonts w:eastAsia="Times New Roman" w:cs="Arial"/>
        </w:rPr>
      </w:pPr>
      <w:r w:rsidRPr="004228A3">
        <w:rPr>
          <w:rFonts w:eastAsia="Times New Roman" w:cs="Arial"/>
        </w:rPr>
        <w:t>Communication, involvement, engagement and consultation</w:t>
      </w:r>
    </w:p>
    <w:p w:rsidR="007B0513" w:rsidRPr="004228A3" w:rsidRDefault="007B0513" w:rsidP="007B0513">
      <w:pPr>
        <w:ind w:left="720"/>
        <w:rPr>
          <w:rFonts w:eastAsiaTheme="minorHAnsi" w:cs="Arial"/>
          <w:szCs w:val="24"/>
        </w:rPr>
      </w:pPr>
      <w:r w:rsidRPr="004228A3">
        <w:rPr>
          <w:rFonts w:eastAsiaTheme="minorHAnsi" w:cs="Arial"/>
          <w:szCs w:val="24"/>
        </w:rPr>
        <w:t xml:space="preserve">Consultation and engagement with programme leads, external suppliers and divisional directorates have commenced following successful allocation of funding. </w:t>
      </w:r>
    </w:p>
    <w:p w:rsidR="007B0513" w:rsidRPr="004228A3" w:rsidRDefault="007B0513" w:rsidP="007B0513">
      <w:pPr>
        <w:ind w:left="720"/>
        <w:rPr>
          <w:rFonts w:eastAsiaTheme="minorHAnsi" w:cs="Arial"/>
          <w:szCs w:val="24"/>
        </w:rPr>
      </w:pPr>
    </w:p>
    <w:p w:rsidR="007B0513" w:rsidRPr="004228A3" w:rsidRDefault="007B0513" w:rsidP="007B0513">
      <w:pPr>
        <w:ind w:left="720"/>
        <w:rPr>
          <w:rFonts w:cs="Arial"/>
          <w:color w:val="000000"/>
          <w:szCs w:val="24"/>
        </w:rPr>
      </w:pPr>
      <w:r w:rsidRPr="004228A3">
        <w:rPr>
          <w:rFonts w:cs="Arial"/>
          <w:color w:val="000000"/>
          <w:szCs w:val="24"/>
        </w:rPr>
        <w:t>The Executive Leadership Team receives the monthly Finance Report as one of their standing Agenda items and in addition, the monthly financial positon is provided to Scottish Government through the completion of their standard Financial Performance Return (FPR) templates.</w:t>
      </w:r>
    </w:p>
    <w:p w:rsidR="00B851FC" w:rsidRPr="004228A3" w:rsidRDefault="00B851FC" w:rsidP="007B0513">
      <w:pPr>
        <w:spacing w:before="40" w:after="40" w:line="276" w:lineRule="auto"/>
        <w:rPr>
          <w:rFonts w:cs="Arial"/>
          <w:szCs w:val="24"/>
          <w:highlight w:val="lightGray"/>
        </w:rPr>
      </w:pPr>
    </w:p>
    <w:p w:rsidR="00446219" w:rsidRPr="00791BE6" w:rsidRDefault="00446219" w:rsidP="00446219">
      <w:pPr>
        <w:pStyle w:val="Heading3"/>
        <w:numPr>
          <w:ilvl w:val="2"/>
          <w:numId w:val="16"/>
        </w:numPr>
        <w:rPr>
          <w:rFonts w:cs="Arial"/>
        </w:rPr>
      </w:pPr>
      <w:r w:rsidRPr="004228A3">
        <w:rPr>
          <w:rFonts w:cs="Arial"/>
        </w:rPr>
        <w:t>Route to the Meeting</w:t>
      </w:r>
    </w:p>
    <w:p w:rsidR="00446219" w:rsidRPr="004228A3" w:rsidRDefault="00446219" w:rsidP="00BF3AF0">
      <w:pPr>
        <w:spacing w:before="40" w:after="40" w:line="276" w:lineRule="auto"/>
        <w:ind w:left="720"/>
        <w:rPr>
          <w:rFonts w:cs="Arial"/>
          <w:szCs w:val="24"/>
        </w:rPr>
      </w:pPr>
      <w:r w:rsidRPr="004228A3">
        <w:rPr>
          <w:rFonts w:cs="Arial"/>
          <w:szCs w:val="24"/>
        </w:rPr>
        <w:t>This has been previously considered by the following groups as part of its development. The groups have either supported the content, or their feedback has informed the development of the content presented in this report.</w:t>
      </w:r>
    </w:p>
    <w:p w:rsidR="00430C09" w:rsidRPr="004228A3" w:rsidRDefault="00430C09" w:rsidP="00446219">
      <w:pPr>
        <w:pStyle w:val="ListParagraph"/>
        <w:spacing w:before="40" w:after="40" w:line="276" w:lineRule="auto"/>
        <w:ind w:left="394"/>
        <w:rPr>
          <w:rFonts w:ascii="Arial" w:hAnsi="Arial" w:cs="Arial"/>
          <w:color w:val="000000"/>
          <w:sz w:val="24"/>
          <w:szCs w:val="24"/>
        </w:rPr>
      </w:pPr>
    </w:p>
    <w:p w:rsidR="00446219" w:rsidRPr="004228A3" w:rsidRDefault="007B0513" w:rsidP="00446219">
      <w:pPr>
        <w:pStyle w:val="ListParagraph"/>
        <w:numPr>
          <w:ilvl w:val="0"/>
          <w:numId w:val="5"/>
        </w:numPr>
        <w:spacing w:line="276" w:lineRule="auto"/>
        <w:rPr>
          <w:rFonts w:ascii="Arial" w:hAnsi="Arial" w:cs="Arial"/>
          <w:sz w:val="24"/>
        </w:rPr>
      </w:pPr>
      <w:r w:rsidRPr="004228A3">
        <w:rPr>
          <w:rFonts w:ascii="Arial" w:hAnsi="Arial" w:cs="Arial"/>
          <w:sz w:val="24"/>
        </w:rPr>
        <w:t>Capital Delivery Group</w:t>
      </w:r>
      <w:r w:rsidR="00446219" w:rsidRPr="004228A3">
        <w:rPr>
          <w:rFonts w:ascii="Arial" w:hAnsi="Arial" w:cs="Arial"/>
          <w:sz w:val="24"/>
        </w:rPr>
        <w:t xml:space="preserve">, </w:t>
      </w:r>
      <w:r w:rsidRPr="004228A3">
        <w:rPr>
          <w:rFonts w:ascii="Arial" w:hAnsi="Arial" w:cs="Arial"/>
          <w:sz w:val="24"/>
        </w:rPr>
        <w:t>April 2025</w:t>
      </w:r>
    </w:p>
    <w:p w:rsidR="00446219" w:rsidRDefault="007B0513" w:rsidP="00446219">
      <w:pPr>
        <w:pStyle w:val="ListParagraph"/>
        <w:numPr>
          <w:ilvl w:val="0"/>
          <w:numId w:val="5"/>
        </w:numPr>
        <w:spacing w:line="276" w:lineRule="auto"/>
        <w:rPr>
          <w:rFonts w:ascii="Arial" w:hAnsi="Arial" w:cs="Arial"/>
          <w:sz w:val="24"/>
        </w:rPr>
      </w:pPr>
      <w:r w:rsidRPr="004228A3">
        <w:rPr>
          <w:rFonts w:ascii="Arial" w:hAnsi="Arial" w:cs="Arial"/>
          <w:sz w:val="24"/>
        </w:rPr>
        <w:t>Strategic Planning Delivery Group, July 2025</w:t>
      </w:r>
    </w:p>
    <w:p w:rsidR="008637CB" w:rsidRPr="004228A3" w:rsidRDefault="008637CB" w:rsidP="00446219">
      <w:pPr>
        <w:pStyle w:val="ListParagraph"/>
        <w:numPr>
          <w:ilvl w:val="0"/>
          <w:numId w:val="5"/>
        </w:numPr>
        <w:spacing w:line="276" w:lineRule="auto"/>
        <w:rPr>
          <w:rFonts w:ascii="Arial" w:hAnsi="Arial" w:cs="Arial"/>
          <w:sz w:val="24"/>
        </w:rPr>
      </w:pPr>
      <w:r>
        <w:rPr>
          <w:rFonts w:ascii="Arial" w:hAnsi="Arial" w:cs="Arial"/>
          <w:sz w:val="24"/>
        </w:rPr>
        <w:t>Finance and Performance Committee, 13 August 2025</w:t>
      </w:r>
      <w:bookmarkStart w:id="0" w:name="_GoBack"/>
      <w:bookmarkEnd w:id="0"/>
    </w:p>
    <w:p w:rsidR="00430C09" w:rsidRPr="004228A3" w:rsidRDefault="00430C09" w:rsidP="00430C09">
      <w:pPr>
        <w:pStyle w:val="Heading2"/>
        <w:spacing w:line="276" w:lineRule="auto"/>
        <w:rPr>
          <w:rFonts w:cs="Arial"/>
        </w:rPr>
      </w:pPr>
    </w:p>
    <w:p w:rsidR="00BF3AF0" w:rsidRPr="004228A3" w:rsidRDefault="00C87B62" w:rsidP="00BF3AF0">
      <w:pPr>
        <w:pStyle w:val="Heading2"/>
        <w:rPr>
          <w:rFonts w:cs="Arial"/>
        </w:rPr>
      </w:pPr>
      <w:r w:rsidRPr="004228A3">
        <w:rPr>
          <w:rFonts w:cs="Arial"/>
        </w:rPr>
        <w:t>2.</w:t>
      </w:r>
      <w:r w:rsidR="00BF3AF0" w:rsidRPr="004228A3">
        <w:rPr>
          <w:rFonts w:cs="Arial"/>
        </w:rPr>
        <w:t>4</w:t>
      </w:r>
      <w:r w:rsidR="00BF3AF0" w:rsidRPr="004228A3">
        <w:rPr>
          <w:rFonts w:cs="Arial"/>
        </w:rPr>
        <w:tab/>
        <w:t>Recommendation</w:t>
      </w:r>
    </w:p>
    <w:p w:rsidR="00BF3AF0" w:rsidRPr="004228A3" w:rsidRDefault="00BF3AF0" w:rsidP="00BF3AF0">
      <w:pPr>
        <w:rPr>
          <w:rFonts w:cs="Arial"/>
        </w:rPr>
      </w:pPr>
    </w:p>
    <w:p w:rsidR="00C87B62" w:rsidRPr="004228A3" w:rsidRDefault="00C807BC" w:rsidP="00026981">
      <w:pPr>
        <w:numPr>
          <w:ilvl w:val="0"/>
          <w:numId w:val="1"/>
        </w:numPr>
        <w:spacing w:before="40" w:after="40" w:line="276" w:lineRule="auto"/>
        <w:ind w:hanging="252"/>
        <w:rPr>
          <w:rFonts w:cs="Arial"/>
          <w:b/>
          <w:szCs w:val="24"/>
        </w:rPr>
      </w:pPr>
      <w:r>
        <w:rPr>
          <w:rFonts w:cs="Arial"/>
          <w:b/>
          <w:color w:val="000000"/>
          <w:szCs w:val="24"/>
        </w:rPr>
        <w:t>Decision</w:t>
      </w:r>
    </w:p>
    <w:p w:rsidR="00660BD6" w:rsidRPr="00C807BC" w:rsidRDefault="00C807BC" w:rsidP="00C807BC">
      <w:pPr>
        <w:pStyle w:val="ListParagraph"/>
        <w:numPr>
          <w:ilvl w:val="1"/>
          <w:numId w:val="1"/>
        </w:numPr>
        <w:spacing w:before="40" w:after="40" w:line="276" w:lineRule="auto"/>
        <w:rPr>
          <w:rFonts w:cs="Arial"/>
          <w:b/>
          <w:szCs w:val="24"/>
        </w:rPr>
      </w:pPr>
      <w:r>
        <w:rPr>
          <w:rFonts w:ascii="Arial" w:eastAsiaTheme="minorHAnsi" w:hAnsi="Arial" w:cs="Arial"/>
          <w:sz w:val="24"/>
          <w:szCs w:val="24"/>
          <w:lang w:eastAsia="en-US"/>
        </w:rPr>
        <w:t>Approve</w:t>
      </w:r>
      <w:r w:rsidR="00660BD6" w:rsidRPr="004228A3">
        <w:rPr>
          <w:rFonts w:ascii="Arial" w:eastAsiaTheme="minorHAnsi" w:hAnsi="Arial" w:cs="Arial"/>
          <w:sz w:val="24"/>
          <w:szCs w:val="24"/>
          <w:lang w:eastAsia="en-US"/>
        </w:rPr>
        <w:t xml:space="preserve"> the capital funding allocations </w:t>
      </w:r>
      <w:r>
        <w:rPr>
          <w:rFonts w:ascii="Arial" w:eastAsiaTheme="minorHAnsi" w:hAnsi="Arial" w:cs="Arial"/>
          <w:sz w:val="24"/>
          <w:szCs w:val="24"/>
          <w:lang w:eastAsia="en-US"/>
        </w:rPr>
        <w:t>and capital plan for 2025/26</w:t>
      </w:r>
    </w:p>
    <w:p w:rsidR="00C807BC" w:rsidRPr="004228A3" w:rsidRDefault="00C807BC" w:rsidP="00C807BC">
      <w:pPr>
        <w:pStyle w:val="ListParagraph"/>
        <w:spacing w:before="40" w:after="40" w:line="276" w:lineRule="auto"/>
        <w:ind w:left="1692"/>
        <w:rPr>
          <w:rFonts w:cs="Arial"/>
          <w:b/>
          <w:szCs w:val="24"/>
        </w:rPr>
      </w:pPr>
    </w:p>
    <w:p w:rsidR="00C87B62" w:rsidRPr="004228A3" w:rsidRDefault="00C87B62" w:rsidP="00C87B62">
      <w:pPr>
        <w:pStyle w:val="Heading2"/>
        <w:numPr>
          <w:ilvl w:val="0"/>
          <w:numId w:val="16"/>
        </w:numPr>
        <w:spacing w:line="276" w:lineRule="auto"/>
        <w:rPr>
          <w:rFonts w:cs="Arial"/>
        </w:rPr>
      </w:pPr>
      <w:r w:rsidRPr="004228A3">
        <w:rPr>
          <w:rFonts w:cs="Arial"/>
        </w:rPr>
        <w:t>List of appendices</w:t>
      </w:r>
    </w:p>
    <w:p w:rsidR="00C87B62" w:rsidRPr="004228A3" w:rsidRDefault="00C87B62" w:rsidP="00C87B62">
      <w:pPr>
        <w:spacing w:before="40" w:after="40" w:line="276" w:lineRule="auto"/>
        <w:rPr>
          <w:rFonts w:cs="Arial"/>
          <w:color w:val="000000" w:themeColor="text1"/>
          <w:szCs w:val="24"/>
        </w:rPr>
      </w:pPr>
    </w:p>
    <w:p w:rsidR="00C87B62" w:rsidRPr="004228A3" w:rsidRDefault="00C87B62" w:rsidP="00C87B62">
      <w:pPr>
        <w:spacing w:before="40" w:after="40" w:line="276" w:lineRule="auto"/>
        <w:ind w:firstLine="525"/>
        <w:rPr>
          <w:rFonts w:cs="Arial"/>
          <w:color w:val="000000"/>
          <w:szCs w:val="24"/>
        </w:rPr>
      </w:pPr>
      <w:r w:rsidRPr="004228A3">
        <w:rPr>
          <w:rFonts w:cs="Arial"/>
          <w:color w:val="000000" w:themeColor="text1"/>
          <w:szCs w:val="24"/>
        </w:rPr>
        <w:t xml:space="preserve">The following appendices are included with this </w:t>
      </w:r>
      <w:r w:rsidR="00610728" w:rsidRPr="004228A3">
        <w:rPr>
          <w:rFonts w:cs="Arial"/>
          <w:color w:val="000000" w:themeColor="text1"/>
          <w:szCs w:val="24"/>
        </w:rPr>
        <w:t>report</w:t>
      </w:r>
      <w:r w:rsidRPr="004228A3">
        <w:rPr>
          <w:rFonts w:cs="Arial"/>
          <w:color w:val="000000" w:themeColor="text1"/>
          <w:szCs w:val="24"/>
        </w:rPr>
        <w:t>:</w:t>
      </w:r>
    </w:p>
    <w:p w:rsidR="00C87B62" w:rsidRPr="004228A3" w:rsidRDefault="00C87B62" w:rsidP="00C87B62">
      <w:pPr>
        <w:pStyle w:val="ListParagraph"/>
        <w:spacing w:before="40" w:after="40" w:line="276" w:lineRule="auto"/>
        <w:ind w:left="1253"/>
        <w:rPr>
          <w:rFonts w:ascii="Arial" w:hAnsi="Arial" w:cs="Arial"/>
          <w:color w:val="000000" w:themeColor="text1"/>
          <w:sz w:val="24"/>
          <w:szCs w:val="24"/>
        </w:rPr>
      </w:pPr>
    </w:p>
    <w:p w:rsidR="00C87B62" w:rsidRPr="006560AC" w:rsidRDefault="00660BD6" w:rsidP="00C87B62">
      <w:pPr>
        <w:pStyle w:val="ListParagraph"/>
        <w:numPr>
          <w:ilvl w:val="0"/>
          <w:numId w:val="17"/>
        </w:numPr>
        <w:spacing w:before="40" w:after="40" w:line="276" w:lineRule="auto"/>
        <w:ind w:left="993" w:hanging="284"/>
        <w:rPr>
          <w:rFonts w:ascii="Arial" w:hAnsi="Arial" w:cs="Arial"/>
          <w:color w:val="000000"/>
          <w:sz w:val="24"/>
          <w:szCs w:val="24"/>
        </w:rPr>
      </w:pPr>
      <w:r w:rsidRPr="006560AC">
        <w:rPr>
          <w:rFonts w:ascii="Arial" w:hAnsi="Arial" w:cs="Arial"/>
          <w:color w:val="000000"/>
          <w:sz w:val="24"/>
          <w:szCs w:val="24"/>
        </w:rPr>
        <w:t>Appendix 1</w:t>
      </w:r>
      <w:r w:rsidR="00C87B62" w:rsidRPr="006560AC">
        <w:rPr>
          <w:rFonts w:ascii="Arial" w:hAnsi="Arial" w:cs="Arial"/>
          <w:color w:val="000000"/>
          <w:sz w:val="24"/>
          <w:szCs w:val="24"/>
        </w:rPr>
        <w:t xml:space="preserve">, </w:t>
      </w:r>
      <w:r w:rsidRPr="006560AC">
        <w:rPr>
          <w:rFonts w:ascii="Arial" w:hAnsi="Arial" w:cs="Arial"/>
          <w:color w:val="000000"/>
          <w:sz w:val="24"/>
          <w:szCs w:val="24"/>
        </w:rPr>
        <w:t>CDG priority submission April 2025</w:t>
      </w:r>
    </w:p>
    <w:p w:rsidR="00C87B62" w:rsidRPr="006560AC" w:rsidRDefault="00660BD6" w:rsidP="00C87B62">
      <w:pPr>
        <w:pStyle w:val="ListParagraph"/>
        <w:numPr>
          <w:ilvl w:val="0"/>
          <w:numId w:val="17"/>
        </w:numPr>
        <w:spacing w:before="40" w:after="40" w:line="276" w:lineRule="auto"/>
        <w:ind w:left="993" w:hanging="284"/>
        <w:rPr>
          <w:rFonts w:ascii="Arial" w:hAnsi="Arial" w:cs="Arial"/>
          <w:color w:val="000000"/>
          <w:sz w:val="24"/>
          <w:szCs w:val="24"/>
        </w:rPr>
      </w:pPr>
      <w:r w:rsidRPr="006560AC">
        <w:rPr>
          <w:rFonts w:ascii="Arial" w:hAnsi="Arial" w:cs="Arial"/>
          <w:color w:val="000000"/>
          <w:sz w:val="24"/>
          <w:szCs w:val="24"/>
        </w:rPr>
        <w:t>Appendix 2</w:t>
      </w:r>
      <w:r w:rsidR="00C87B62" w:rsidRPr="006560AC">
        <w:rPr>
          <w:rFonts w:ascii="Arial" w:hAnsi="Arial" w:cs="Arial"/>
          <w:color w:val="000000"/>
          <w:sz w:val="24"/>
          <w:szCs w:val="24"/>
        </w:rPr>
        <w:t xml:space="preserve">, </w:t>
      </w:r>
      <w:r w:rsidRPr="006560AC">
        <w:rPr>
          <w:rFonts w:ascii="Arial" w:hAnsi="Arial" w:cs="Arial"/>
          <w:color w:val="000000"/>
          <w:sz w:val="24"/>
          <w:szCs w:val="24"/>
        </w:rPr>
        <w:t>Updated CDG submission July 2025</w:t>
      </w:r>
    </w:p>
    <w:p w:rsidR="00C87B62" w:rsidRPr="006560AC" w:rsidRDefault="00660BD6" w:rsidP="00C87B62">
      <w:pPr>
        <w:pStyle w:val="ListParagraph"/>
        <w:numPr>
          <w:ilvl w:val="0"/>
          <w:numId w:val="17"/>
        </w:numPr>
        <w:spacing w:before="40" w:after="40" w:line="276" w:lineRule="auto"/>
        <w:ind w:left="993" w:hanging="284"/>
        <w:rPr>
          <w:rFonts w:ascii="Arial" w:hAnsi="Arial" w:cs="Arial"/>
          <w:color w:val="000000"/>
          <w:szCs w:val="24"/>
        </w:rPr>
      </w:pPr>
      <w:r w:rsidRPr="006560AC">
        <w:rPr>
          <w:rFonts w:ascii="Arial" w:hAnsi="Arial" w:cs="Arial"/>
          <w:color w:val="000000"/>
          <w:sz w:val="24"/>
          <w:szCs w:val="24"/>
        </w:rPr>
        <w:t>Appendix 3</w:t>
      </w:r>
      <w:r w:rsidR="00C87B62" w:rsidRPr="006560AC">
        <w:rPr>
          <w:rFonts w:ascii="Arial" w:hAnsi="Arial" w:cs="Arial"/>
          <w:color w:val="000000"/>
          <w:sz w:val="24"/>
          <w:szCs w:val="24"/>
        </w:rPr>
        <w:t xml:space="preserve">, </w:t>
      </w:r>
      <w:r w:rsidRPr="006560AC">
        <w:rPr>
          <w:rFonts w:ascii="Arial" w:hAnsi="Arial" w:cs="Arial"/>
          <w:color w:val="000000"/>
          <w:sz w:val="24"/>
          <w:szCs w:val="24"/>
        </w:rPr>
        <w:t xml:space="preserve">Detailed Capital Allocations list </w:t>
      </w:r>
    </w:p>
    <w:p w:rsidR="004228A3" w:rsidRPr="006560AC" w:rsidRDefault="004228A3" w:rsidP="00C87B62">
      <w:pPr>
        <w:pStyle w:val="ListParagraph"/>
        <w:numPr>
          <w:ilvl w:val="0"/>
          <w:numId w:val="17"/>
        </w:numPr>
        <w:spacing w:before="40" w:after="40" w:line="276" w:lineRule="auto"/>
        <w:ind w:left="993" w:hanging="284"/>
        <w:rPr>
          <w:rFonts w:ascii="Arial" w:hAnsi="Arial" w:cs="Arial"/>
          <w:color w:val="000000"/>
          <w:szCs w:val="24"/>
        </w:rPr>
      </w:pPr>
      <w:r w:rsidRPr="006560AC">
        <w:rPr>
          <w:rFonts w:ascii="Arial" w:hAnsi="Arial" w:cs="Arial"/>
          <w:color w:val="000000"/>
          <w:sz w:val="24"/>
          <w:szCs w:val="24"/>
        </w:rPr>
        <w:t>Appendix 4, Detailed Month four close spend analysis</w:t>
      </w:r>
    </w:p>
    <w:p w:rsidR="00C87B62" w:rsidRPr="004228A3" w:rsidRDefault="00C87B62" w:rsidP="00C87B62">
      <w:pPr>
        <w:spacing w:before="40" w:after="40" w:line="276" w:lineRule="auto"/>
        <w:rPr>
          <w:rFonts w:cs="Arial"/>
          <w:color w:val="000000"/>
          <w:szCs w:val="24"/>
          <w:highlight w:val="lightGray"/>
        </w:rPr>
      </w:pPr>
    </w:p>
    <w:p w:rsidR="00BB634C" w:rsidRPr="004228A3" w:rsidRDefault="00BB634C" w:rsidP="00C87B62">
      <w:pPr>
        <w:spacing w:before="40" w:after="40" w:line="276" w:lineRule="auto"/>
        <w:rPr>
          <w:rFonts w:cs="Arial"/>
          <w:color w:val="000000"/>
          <w:szCs w:val="24"/>
          <w:highlight w:val="lightGray"/>
        </w:rPr>
      </w:pPr>
    </w:p>
    <w:p w:rsidR="00BB634C" w:rsidRPr="004228A3" w:rsidRDefault="00BB634C" w:rsidP="00C87B62">
      <w:pPr>
        <w:spacing w:before="40" w:after="40" w:line="276" w:lineRule="auto"/>
        <w:rPr>
          <w:rFonts w:cs="Arial"/>
          <w:color w:val="000000"/>
          <w:szCs w:val="24"/>
          <w:highlight w:val="lightGray"/>
        </w:rPr>
      </w:pPr>
    </w:p>
    <w:p w:rsidR="00BB634C" w:rsidRPr="004228A3" w:rsidRDefault="00BB634C" w:rsidP="00C87B62">
      <w:pPr>
        <w:spacing w:before="40" w:after="40" w:line="276" w:lineRule="auto"/>
        <w:rPr>
          <w:rFonts w:cs="Arial"/>
          <w:color w:val="000000"/>
          <w:szCs w:val="24"/>
          <w:highlight w:val="lightGray"/>
        </w:rPr>
      </w:pPr>
    </w:p>
    <w:p w:rsidR="00BB634C" w:rsidRDefault="00BB634C" w:rsidP="00C87B62">
      <w:pPr>
        <w:spacing w:before="40" w:after="40" w:line="276" w:lineRule="auto"/>
        <w:rPr>
          <w:rFonts w:cs="Arial"/>
          <w:color w:val="000000"/>
          <w:szCs w:val="24"/>
          <w:highlight w:val="lightGray"/>
        </w:rPr>
      </w:pPr>
    </w:p>
    <w:p w:rsidR="00773AAF" w:rsidRDefault="00773AAF" w:rsidP="00C87B62">
      <w:pPr>
        <w:spacing w:before="40" w:after="40" w:line="276" w:lineRule="auto"/>
        <w:rPr>
          <w:rFonts w:cs="Arial"/>
          <w:color w:val="000000"/>
          <w:szCs w:val="24"/>
          <w:highlight w:val="lightGray"/>
        </w:rPr>
      </w:pPr>
    </w:p>
    <w:p w:rsidR="00773AAF" w:rsidRPr="004228A3" w:rsidRDefault="00773AAF" w:rsidP="00C87B62">
      <w:pPr>
        <w:spacing w:before="40" w:after="40" w:line="276" w:lineRule="auto"/>
        <w:rPr>
          <w:rFonts w:cs="Arial"/>
          <w:color w:val="000000"/>
          <w:szCs w:val="24"/>
          <w:highlight w:val="lightGray"/>
        </w:rPr>
      </w:pPr>
    </w:p>
    <w:p w:rsidR="00BB634C" w:rsidRPr="004228A3" w:rsidRDefault="00BB634C" w:rsidP="00C87B62">
      <w:pPr>
        <w:spacing w:before="40" w:after="40" w:line="276" w:lineRule="auto"/>
        <w:rPr>
          <w:rFonts w:cs="Arial"/>
          <w:color w:val="000000"/>
          <w:szCs w:val="24"/>
          <w:highlight w:val="lightGray"/>
        </w:rPr>
      </w:pPr>
    </w:p>
    <w:p w:rsidR="00BB634C" w:rsidRPr="006560AC" w:rsidRDefault="00BB634C" w:rsidP="00C87B62">
      <w:pPr>
        <w:spacing w:before="40" w:after="40" w:line="276" w:lineRule="auto"/>
        <w:rPr>
          <w:rFonts w:cs="Arial"/>
          <w:color w:val="000000"/>
          <w:szCs w:val="24"/>
        </w:rPr>
      </w:pPr>
      <w:r w:rsidRPr="006560AC">
        <w:rPr>
          <w:rFonts w:cs="Arial"/>
          <w:color w:val="000000"/>
          <w:szCs w:val="24"/>
        </w:rPr>
        <w:t>Appendix 1</w:t>
      </w:r>
    </w:p>
    <w:p w:rsidR="00BB634C" w:rsidRPr="004228A3" w:rsidRDefault="00BB634C" w:rsidP="00BB634C">
      <w:pPr>
        <w:rPr>
          <w:rFonts w:cs="Arial"/>
          <w:szCs w:val="24"/>
          <w:highlight w:val="lightGray"/>
        </w:rPr>
      </w:pPr>
    </w:p>
    <w:p w:rsidR="00BB634C" w:rsidRPr="004228A3" w:rsidRDefault="00BB634C" w:rsidP="004228A3">
      <w:pPr>
        <w:tabs>
          <w:tab w:val="left" w:pos="1174"/>
        </w:tabs>
        <w:rPr>
          <w:rFonts w:cs="Arial"/>
          <w:szCs w:val="24"/>
          <w:highlight w:val="lightGray"/>
        </w:rPr>
      </w:pPr>
      <w:r w:rsidRPr="004228A3">
        <w:rPr>
          <w:rFonts w:cs="Arial"/>
          <w:noProof/>
          <w:highlight w:val="lightGray"/>
          <w:lang w:eastAsia="en-GB"/>
        </w:rPr>
        <w:drawing>
          <wp:anchor distT="0" distB="0" distL="114300" distR="114300" simplePos="0" relativeHeight="251659264" behindDoc="1" locked="0" layoutInCell="1" allowOverlap="1" wp14:anchorId="1E32DDA6" wp14:editId="0575D7B9">
            <wp:simplePos x="0" y="0"/>
            <wp:positionH relativeFrom="margin">
              <wp:posOffset>-23495</wp:posOffset>
            </wp:positionH>
            <wp:positionV relativeFrom="paragraph">
              <wp:posOffset>45085</wp:posOffset>
            </wp:positionV>
            <wp:extent cx="5807710" cy="9018905"/>
            <wp:effectExtent l="0" t="0" r="2540" b="0"/>
            <wp:wrapTight wrapText="bothSides">
              <wp:wrapPolygon edited="0">
                <wp:start x="0" y="0"/>
                <wp:lineTo x="0" y="21535"/>
                <wp:lineTo x="15800" y="21535"/>
                <wp:lineTo x="21326" y="21489"/>
                <wp:lineTo x="21539" y="21124"/>
                <wp:lineTo x="21539" y="18569"/>
                <wp:lineTo x="21326" y="18250"/>
                <wp:lineTo x="21468" y="18158"/>
                <wp:lineTo x="21539" y="17702"/>
                <wp:lineTo x="215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7710" cy="9018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634C" w:rsidRPr="004228A3" w:rsidRDefault="00BB634C" w:rsidP="004228A3">
      <w:pPr>
        <w:tabs>
          <w:tab w:val="left" w:pos="1174"/>
        </w:tabs>
        <w:rPr>
          <w:rFonts w:cs="Arial"/>
          <w:szCs w:val="24"/>
          <w:highlight w:val="lightGray"/>
        </w:rPr>
      </w:pPr>
    </w:p>
    <w:p w:rsidR="00BB634C" w:rsidRPr="004228A3" w:rsidRDefault="00BB634C" w:rsidP="004228A3">
      <w:pPr>
        <w:tabs>
          <w:tab w:val="left" w:pos="1174"/>
        </w:tabs>
        <w:rPr>
          <w:rFonts w:cs="Arial"/>
          <w:szCs w:val="24"/>
          <w:highlight w:val="lightGray"/>
        </w:rPr>
      </w:pPr>
    </w:p>
    <w:p w:rsidR="00BB634C" w:rsidRPr="004228A3" w:rsidRDefault="00BB634C" w:rsidP="004228A3">
      <w:pPr>
        <w:tabs>
          <w:tab w:val="left" w:pos="1174"/>
        </w:tabs>
        <w:rPr>
          <w:rFonts w:cs="Arial"/>
          <w:szCs w:val="24"/>
          <w:highlight w:val="lightGray"/>
        </w:rPr>
      </w:pPr>
    </w:p>
    <w:p w:rsidR="00BB634C" w:rsidRPr="004228A3" w:rsidRDefault="00BB634C" w:rsidP="004228A3">
      <w:pPr>
        <w:tabs>
          <w:tab w:val="left" w:pos="1174"/>
        </w:tabs>
        <w:rPr>
          <w:rFonts w:cs="Arial"/>
          <w:szCs w:val="24"/>
          <w:highlight w:val="lightGray"/>
        </w:rPr>
      </w:pPr>
    </w:p>
    <w:p w:rsidR="00BB634C" w:rsidRPr="004228A3" w:rsidRDefault="00BB634C" w:rsidP="00BB634C">
      <w:pPr>
        <w:tabs>
          <w:tab w:val="left" w:pos="1174"/>
        </w:tabs>
        <w:rPr>
          <w:rFonts w:cs="Arial"/>
          <w:szCs w:val="24"/>
          <w:highlight w:val="lightGray"/>
        </w:rPr>
      </w:pPr>
    </w:p>
    <w:p w:rsidR="00BB634C" w:rsidRPr="004228A3" w:rsidRDefault="00BB634C">
      <w:pPr>
        <w:spacing w:after="160" w:line="259" w:lineRule="auto"/>
        <w:rPr>
          <w:rFonts w:cs="Arial"/>
          <w:szCs w:val="24"/>
          <w:highlight w:val="lightGray"/>
        </w:rPr>
      </w:pPr>
      <w:r w:rsidRPr="004228A3">
        <w:rPr>
          <w:rFonts w:cs="Arial"/>
          <w:szCs w:val="24"/>
          <w:highlight w:val="lightGray"/>
        </w:rPr>
        <w:br w:type="page"/>
      </w:r>
    </w:p>
    <w:p w:rsidR="00BB634C" w:rsidRPr="004228A3" w:rsidRDefault="00BB634C" w:rsidP="00BB634C">
      <w:pPr>
        <w:tabs>
          <w:tab w:val="left" w:pos="1174"/>
        </w:tabs>
        <w:rPr>
          <w:rFonts w:cs="Arial"/>
          <w:szCs w:val="24"/>
          <w:highlight w:val="lightGray"/>
        </w:rPr>
      </w:pPr>
      <w:r w:rsidRPr="006560AC">
        <w:rPr>
          <w:rFonts w:cs="Arial"/>
          <w:noProof/>
          <w:lang w:eastAsia="en-GB"/>
        </w:rPr>
        <w:drawing>
          <wp:anchor distT="0" distB="0" distL="114300" distR="114300" simplePos="0" relativeHeight="251660288" behindDoc="1" locked="0" layoutInCell="1" allowOverlap="1" wp14:anchorId="5D8CBCCF" wp14:editId="52CA0695">
            <wp:simplePos x="0" y="0"/>
            <wp:positionH relativeFrom="page">
              <wp:posOffset>864870</wp:posOffset>
            </wp:positionH>
            <wp:positionV relativeFrom="paragraph">
              <wp:posOffset>253365</wp:posOffset>
            </wp:positionV>
            <wp:extent cx="5667375" cy="9204960"/>
            <wp:effectExtent l="0" t="0" r="9525" b="0"/>
            <wp:wrapTight wrapText="bothSides">
              <wp:wrapPolygon edited="0">
                <wp:start x="0" y="0"/>
                <wp:lineTo x="0" y="21546"/>
                <wp:lineTo x="16844" y="21546"/>
                <wp:lineTo x="21201" y="21457"/>
                <wp:lineTo x="21564" y="21055"/>
                <wp:lineTo x="21564" y="19714"/>
                <wp:lineTo x="21273" y="19311"/>
                <wp:lineTo x="21564" y="19267"/>
                <wp:lineTo x="21564" y="16450"/>
                <wp:lineTo x="21201" y="16361"/>
                <wp:lineTo x="21564" y="16048"/>
                <wp:lineTo x="21564" y="13276"/>
                <wp:lineTo x="21201" y="12874"/>
                <wp:lineTo x="21564" y="12874"/>
                <wp:lineTo x="21564" y="10013"/>
                <wp:lineTo x="21201" y="10013"/>
                <wp:lineTo x="21564" y="9611"/>
                <wp:lineTo x="21564" y="8225"/>
                <wp:lineTo x="21273" y="7868"/>
                <wp:lineTo x="21564" y="7823"/>
                <wp:lineTo x="21564" y="6884"/>
                <wp:lineTo x="21201" y="6437"/>
                <wp:lineTo x="21564" y="6437"/>
                <wp:lineTo x="21564" y="5007"/>
                <wp:lineTo x="21201" y="4917"/>
                <wp:lineTo x="21564" y="4560"/>
                <wp:lineTo x="21564" y="3621"/>
                <wp:lineTo x="21128" y="3576"/>
                <wp:lineTo x="21564" y="3219"/>
                <wp:lineTo x="21564" y="1833"/>
                <wp:lineTo x="21273" y="1430"/>
                <wp:lineTo x="21564" y="1430"/>
                <wp:lineTo x="215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7375" cy="9204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60AC">
        <w:rPr>
          <w:rFonts w:cs="Arial"/>
          <w:szCs w:val="24"/>
        </w:rPr>
        <w:t>Appendix 2</w:t>
      </w:r>
    </w:p>
    <w:p w:rsidR="00BB634C" w:rsidRPr="004228A3" w:rsidRDefault="00BB634C">
      <w:pPr>
        <w:spacing w:after="160" w:line="259" w:lineRule="auto"/>
        <w:rPr>
          <w:rFonts w:cs="Arial"/>
          <w:szCs w:val="24"/>
          <w:highlight w:val="lightGray"/>
        </w:rPr>
      </w:pPr>
      <w:r w:rsidRPr="004228A3">
        <w:rPr>
          <w:rFonts w:cs="Arial"/>
          <w:szCs w:val="24"/>
          <w:highlight w:val="lightGray"/>
        </w:rPr>
        <w:br w:type="page"/>
      </w:r>
    </w:p>
    <w:p w:rsidR="00BB634C" w:rsidRPr="006560AC" w:rsidRDefault="00BB634C" w:rsidP="004228A3">
      <w:pPr>
        <w:tabs>
          <w:tab w:val="left" w:pos="1174"/>
        </w:tabs>
        <w:rPr>
          <w:rFonts w:cs="Arial"/>
          <w:szCs w:val="24"/>
        </w:rPr>
      </w:pPr>
      <w:r w:rsidRPr="006560AC">
        <w:rPr>
          <w:rFonts w:cs="Arial"/>
          <w:szCs w:val="24"/>
        </w:rPr>
        <w:t>Appendix 3</w:t>
      </w:r>
    </w:p>
    <w:p w:rsidR="002B0162" w:rsidRPr="004228A3" w:rsidRDefault="002B0162" w:rsidP="004228A3">
      <w:pPr>
        <w:tabs>
          <w:tab w:val="left" w:pos="1174"/>
        </w:tabs>
        <w:rPr>
          <w:rFonts w:cs="Arial"/>
          <w:szCs w:val="24"/>
          <w:highlight w:val="lightGray"/>
        </w:rPr>
      </w:pPr>
    </w:p>
    <w:p w:rsidR="006560AC" w:rsidRDefault="002B0162" w:rsidP="004228A3">
      <w:pPr>
        <w:tabs>
          <w:tab w:val="left" w:pos="1174"/>
        </w:tabs>
        <w:rPr>
          <w:rFonts w:cs="Arial"/>
          <w:szCs w:val="24"/>
          <w:highlight w:val="lightGray"/>
        </w:rPr>
      </w:pPr>
      <w:r w:rsidRPr="004228A3">
        <w:rPr>
          <w:rFonts w:cs="Arial"/>
          <w:noProof/>
          <w:highlight w:val="lightGray"/>
          <w:lang w:eastAsia="en-GB"/>
        </w:rPr>
        <w:drawing>
          <wp:inline distT="0" distB="0" distL="0" distR="0" wp14:anchorId="678AC2CA" wp14:editId="0515912F">
            <wp:extent cx="6390640" cy="56867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640" cy="5686736"/>
                    </a:xfrm>
                    <a:prstGeom prst="rect">
                      <a:avLst/>
                    </a:prstGeom>
                    <a:noFill/>
                    <a:ln>
                      <a:noFill/>
                    </a:ln>
                  </pic:spPr>
                </pic:pic>
              </a:graphicData>
            </a:graphic>
          </wp:inline>
        </w:drawing>
      </w:r>
    </w:p>
    <w:p w:rsidR="006560AC" w:rsidRDefault="006560AC" w:rsidP="006560AC">
      <w:pPr>
        <w:rPr>
          <w:rFonts w:cs="Arial"/>
          <w:szCs w:val="24"/>
        </w:rPr>
      </w:pPr>
      <w:r w:rsidRPr="006560AC">
        <w:rPr>
          <w:rFonts w:cs="Arial"/>
          <w:szCs w:val="24"/>
        </w:rPr>
        <w:t>Appendix 4</w:t>
      </w:r>
    </w:p>
    <w:p w:rsidR="006560AC" w:rsidRPr="006560AC" w:rsidRDefault="006560AC" w:rsidP="006560AC">
      <w:pPr>
        <w:rPr>
          <w:rFonts w:cs="Arial"/>
          <w:szCs w:val="24"/>
        </w:rPr>
      </w:pPr>
    </w:p>
    <w:p w:rsidR="006560AC" w:rsidRDefault="006560AC" w:rsidP="006560AC">
      <w:pPr>
        <w:rPr>
          <w:rFonts w:cs="Arial"/>
          <w:szCs w:val="24"/>
        </w:rPr>
      </w:pPr>
    </w:p>
    <w:p w:rsidR="006560AC" w:rsidRPr="006560AC" w:rsidRDefault="006560AC" w:rsidP="006560AC">
      <w:pPr>
        <w:rPr>
          <w:rFonts w:cs="Arial"/>
          <w:szCs w:val="24"/>
        </w:rPr>
      </w:pPr>
      <w:r w:rsidRPr="006560AC">
        <w:rPr>
          <w:noProof/>
          <w:lang w:eastAsia="en-GB"/>
        </w:rPr>
        <w:drawing>
          <wp:inline distT="0" distB="0" distL="0" distR="0" wp14:anchorId="7F5E1139" wp14:editId="54901078">
            <wp:extent cx="5600700" cy="184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0" cy="1847850"/>
                    </a:xfrm>
                    <a:prstGeom prst="rect">
                      <a:avLst/>
                    </a:prstGeom>
                    <a:noFill/>
                    <a:ln>
                      <a:noFill/>
                    </a:ln>
                  </pic:spPr>
                </pic:pic>
              </a:graphicData>
            </a:graphic>
          </wp:inline>
        </w:drawing>
      </w:r>
    </w:p>
    <w:sectPr w:rsidR="006560AC" w:rsidRPr="006560AC" w:rsidSect="003F7F61">
      <w:headerReference w:type="default" r:id="rId17"/>
      <w:footerReference w:type="default" r:id="rId18"/>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92" w:rsidRDefault="00450C92">
      <w:r>
        <w:separator/>
      </w:r>
    </w:p>
  </w:endnote>
  <w:endnote w:type="continuationSeparator" w:id="0">
    <w:p w:rsidR="00450C92" w:rsidRDefault="0045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8637CB">
      <w:rPr>
        <w:rFonts w:cs="Arial"/>
        <w:noProof/>
        <w:sz w:val="16"/>
        <w:szCs w:val="16"/>
      </w:rPr>
      <w:t>7</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8637CB">
      <w:rPr>
        <w:rFonts w:cs="Arial"/>
        <w:noProof/>
        <w:sz w:val="16"/>
        <w:szCs w:val="16"/>
      </w:rPr>
      <w:t>7</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92" w:rsidRDefault="00450C92">
      <w:r>
        <w:separator/>
      </w:r>
    </w:p>
  </w:footnote>
  <w:footnote w:type="continuationSeparator" w:id="0">
    <w:p w:rsidR="00450C92" w:rsidRDefault="0045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8637CB"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w:t>
    </w:r>
    <w:r w:rsidR="00125A9E" w:rsidRPr="00125A9E">
      <w:rPr>
        <w:rFonts w:cs="Arial"/>
        <w:b/>
        <w:color w:val="2E74B5" w:themeColor="accent1" w:themeShade="BF"/>
        <w:sz w:val="20"/>
      </w:rPr>
      <w:t xml:space="preserve"> </w:t>
    </w:r>
    <w:r w:rsidR="00791BE6">
      <w:rPr>
        <w:rFonts w:cs="Arial"/>
        <w:b/>
        <w:color w:val="2E74B5" w:themeColor="accent1" w:themeShade="BF"/>
        <w:sz w:val="20"/>
      </w:rPr>
      <w:t xml:space="preserve">Item </w:t>
    </w:r>
    <w:r>
      <w:rPr>
        <w:rFonts w:cs="Arial"/>
        <w:b/>
        <w:color w:val="2E74B5" w:themeColor="accent1" w:themeShade="BF"/>
        <w:sz w:val="20"/>
      </w:rPr>
      <w:t>3.</w:t>
    </w:r>
    <w:r w:rsidR="00791BE6">
      <w:rPr>
        <w:rFonts w:cs="Arial"/>
        <w:b/>
        <w:color w:val="2E74B5" w:themeColor="accent1" w:themeShade="BF"/>
        <w:sz w:val="20"/>
      </w:rPr>
      <w:t xml:space="preserve">4.3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F86D7B"/>
    <w:multiLevelType w:val="hybridMultilevel"/>
    <w:tmpl w:val="CB503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D91834"/>
    <w:multiLevelType w:val="hybridMultilevel"/>
    <w:tmpl w:val="7BECB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DBE0DE1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9454D3"/>
    <w:multiLevelType w:val="hybridMultilevel"/>
    <w:tmpl w:val="EFFC33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6" w15:restartNumberingAfterBreak="0">
    <w:nsid w:val="4FA06745"/>
    <w:multiLevelType w:val="hybridMultilevel"/>
    <w:tmpl w:val="BB0649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BF74B6"/>
    <w:multiLevelType w:val="hybridMultilevel"/>
    <w:tmpl w:val="8BDE6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C4E7A"/>
    <w:multiLevelType w:val="hybridMultilevel"/>
    <w:tmpl w:val="7CCACE1C"/>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1" w15:restartNumberingAfterBreak="0">
    <w:nsid w:val="65A371F5"/>
    <w:multiLevelType w:val="hybridMultilevel"/>
    <w:tmpl w:val="1CE4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0"/>
  </w:num>
  <w:num w:numId="3">
    <w:abstractNumId w:val="13"/>
  </w:num>
  <w:num w:numId="4">
    <w:abstractNumId w:val="22"/>
  </w:num>
  <w:num w:numId="5">
    <w:abstractNumId w:val="10"/>
  </w:num>
  <w:num w:numId="6">
    <w:abstractNumId w:val="7"/>
  </w:num>
  <w:num w:numId="7">
    <w:abstractNumId w:val="14"/>
  </w:num>
  <w:num w:numId="8">
    <w:abstractNumId w:val="6"/>
  </w:num>
  <w:num w:numId="9">
    <w:abstractNumId w:val="17"/>
  </w:num>
  <w:num w:numId="10">
    <w:abstractNumId w:val="4"/>
  </w:num>
  <w:num w:numId="11">
    <w:abstractNumId w:val="19"/>
  </w:num>
  <w:num w:numId="12">
    <w:abstractNumId w:val="3"/>
  </w:num>
  <w:num w:numId="13">
    <w:abstractNumId w:val="5"/>
  </w:num>
  <w:num w:numId="14">
    <w:abstractNumId w:val="8"/>
  </w:num>
  <w:num w:numId="15">
    <w:abstractNumId w:val="11"/>
  </w:num>
  <w:num w:numId="16">
    <w:abstractNumId w:val="9"/>
  </w:num>
  <w:num w:numId="17">
    <w:abstractNumId w:val="15"/>
  </w:num>
  <w:num w:numId="18">
    <w:abstractNumId w:val="12"/>
  </w:num>
  <w:num w:numId="19">
    <w:abstractNumId w:val="1"/>
  </w:num>
  <w:num w:numId="20">
    <w:abstractNumId w:val="18"/>
  </w:num>
  <w:num w:numId="21">
    <w:abstractNumId w:val="2"/>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5142F"/>
    <w:rsid w:val="00091974"/>
    <w:rsid w:val="000945DB"/>
    <w:rsid w:val="000A3195"/>
    <w:rsid w:val="000D645A"/>
    <w:rsid w:val="000F7706"/>
    <w:rsid w:val="00125A9E"/>
    <w:rsid w:val="00140DB3"/>
    <w:rsid w:val="001772E8"/>
    <w:rsid w:val="00177AD9"/>
    <w:rsid w:val="0018786A"/>
    <w:rsid w:val="00193B8A"/>
    <w:rsid w:val="00194A18"/>
    <w:rsid w:val="001C19B1"/>
    <w:rsid w:val="001F0577"/>
    <w:rsid w:val="0023115B"/>
    <w:rsid w:val="0023473B"/>
    <w:rsid w:val="002B0162"/>
    <w:rsid w:val="0033790B"/>
    <w:rsid w:val="003B5289"/>
    <w:rsid w:val="003D2F3C"/>
    <w:rsid w:val="003E76FB"/>
    <w:rsid w:val="003F7F61"/>
    <w:rsid w:val="0041367E"/>
    <w:rsid w:val="004228A3"/>
    <w:rsid w:val="00430C09"/>
    <w:rsid w:val="00446219"/>
    <w:rsid w:val="00450C92"/>
    <w:rsid w:val="004515CB"/>
    <w:rsid w:val="004617B9"/>
    <w:rsid w:val="00495B36"/>
    <w:rsid w:val="004A14BD"/>
    <w:rsid w:val="004A39D0"/>
    <w:rsid w:val="004C24DE"/>
    <w:rsid w:val="00540600"/>
    <w:rsid w:val="00591C18"/>
    <w:rsid w:val="005E5FCC"/>
    <w:rsid w:val="00610728"/>
    <w:rsid w:val="006173A9"/>
    <w:rsid w:val="00653BCC"/>
    <w:rsid w:val="00654C80"/>
    <w:rsid w:val="00654DBA"/>
    <w:rsid w:val="006560AC"/>
    <w:rsid w:val="00660BD6"/>
    <w:rsid w:val="00680A2F"/>
    <w:rsid w:val="00696C15"/>
    <w:rsid w:val="006C5C9F"/>
    <w:rsid w:val="006D1343"/>
    <w:rsid w:val="00773AAF"/>
    <w:rsid w:val="00791BE6"/>
    <w:rsid w:val="007B0513"/>
    <w:rsid w:val="007C701A"/>
    <w:rsid w:val="007D0A3F"/>
    <w:rsid w:val="007F32CF"/>
    <w:rsid w:val="00816E22"/>
    <w:rsid w:val="008637CB"/>
    <w:rsid w:val="00884BC8"/>
    <w:rsid w:val="008A7B6E"/>
    <w:rsid w:val="008E28AE"/>
    <w:rsid w:val="00927C6C"/>
    <w:rsid w:val="009645F7"/>
    <w:rsid w:val="009807B4"/>
    <w:rsid w:val="00982527"/>
    <w:rsid w:val="00997E89"/>
    <w:rsid w:val="00A05831"/>
    <w:rsid w:val="00A235D7"/>
    <w:rsid w:val="00A2680C"/>
    <w:rsid w:val="00A26B7E"/>
    <w:rsid w:val="00A62B58"/>
    <w:rsid w:val="00A71A09"/>
    <w:rsid w:val="00A77A65"/>
    <w:rsid w:val="00A84C97"/>
    <w:rsid w:val="00A86184"/>
    <w:rsid w:val="00AA77F7"/>
    <w:rsid w:val="00AE522B"/>
    <w:rsid w:val="00AF0530"/>
    <w:rsid w:val="00AF356A"/>
    <w:rsid w:val="00B044AB"/>
    <w:rsid w:val="00B178D4"/>
    <w:rsid w:val="00B25E90"/>
    <w:rsid w:val="00B546C8"/>
    <w:rsid w:val="00B562FA"/>
    <w:rsid w:val="00B6117D"/>
    <w:rsid w:val="00B7445F"/>
    <w:rsid w:val="00B77902"/>
    <w:rsid w:val="00B851FC"/>
    <w:rsid w:val="00BB634C"/>
    <w:rsid w:val="00BF3AF0"/>
    <w:rsid w:val="00C16434"/>
    <w:rsid w:val="00C53175"/>
    <w:rsid w:val="00C807BC"/>
    <w:rsid w:val="00C87B62"/>
    <w:rsid w:val="00C94BF7"/>
    <w:rsid w:val="00CC4EA9"/>
    <w:rsid w:val="00CE2CAF"/>
    <w:rsid w:val="00D87BD0"/>
    <w:rsid w:val="00D90049"/>
    <w:rsid w:val="00DD2D3D"/>
    <w:rsid w:val="00DD6252"/>
    <w:rsid w:val="00DE2D91"/>
    <w:rsid w:val="00DF1BE0"/>
    <w:rsid w:val="00E71CD2"/>
    <w:rsid w:val="00E74B09"/>
    <w:rsid w:val="00EF7BE4"/>
    <w:rsid w:val="00F3337D"/>
    <w:rsid w:val="00F71001"/>
    <w:rsid w:val="00FB6339"/>
    <w:rsid w:val="00FD0B76"/>
    <w:rsid w:val="00FE1E19"/>
    <w:rsid w:val="00FF6A53"/>
    <w:rsid w:val="222E27BC"/>
    <w:rsid w:val="363DE0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5ACE"/>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Spacing">
    <w:name w:val="No Spacing"/>
    <w:link w:val="NoSpacingChar"/>
    <w:uiPriority w:val="1"/>
    <w:qFormat/>
    <w:rsid w:val="00BB634C"/>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BB634C"/>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2858">
      <w:bodyDiv w:val="1"/>
      <w:marLeft w:val="0"/>
      <w:marRight w:val="0"/>
      <w:marTop w:val="0"/>
      <w:marBottom w:val="0"/>
      <w:divBdr>
        <w:top w:val="none" w:sz="0" w:space="0" w:color="auto"/>
        <w:left w:val="none" w:sz="0" w:space="0" w:color="auto"/>
        <w:bottom w:val="none" w:sz="0" w:space="0" w:color="auto"/>
        <w:right w:val="none" w:sz="0" w:space="0" w:color="auto"/>
      </w:divBdr>
    </w:div>
    <w:div w:id="540090858">
      <w:bodyDiv w:val="1"/>
      <w:marLeft w:val="0"/>
      <w:marRight w:val="0"/>
      <w:marTop w:val="0"/>
      <w:marBottom w:val="0"/>
      <w:divBdr>
        <w:top w:val="none" w:sz="0" w:space="0" w:color="auto"/>
        <w:left w:val="none" w:sz="0" w:space="0" w:color="auto"/>
        <w:bottom w:val="none" w:sz="0" w:space="0" w:color="auto"/>
        <w:right w:val="none" w:sz="0" w:space="0" w:color="auto"/>
      </w:divBdr>
    </w:div>
    <w:div w:id="837310974">
      <w:bodyDiv w:val="1"/>
      <w:marLeft w:val="0"/>
      <w:marRight w:val="0"/>
      <w:marTop w:val="0"/>
      <w:marBottom w:val="0"/>
      <w:divBdr>
        <w:top w:val="none" w:sz="0" w:space="0" w:color="auto"/>
        <w:left w:val="none" w:sz="0" w:space="0" w:color="auto"/>
        <w:bottom w:val="none" w:sz="0" w:space="0" w:color="auto"/>
        <w:right w:val="none" w:sz="0" w:space="0" w:color="auto"/>
      </w:divBdr>
    </w:div>
    <w:div w:id="850341455">
      <w:bodyDiv w:val="1"/>
      <w:marLeft w:val="0"/>
      <w:marRight w:val="0"/>
      <w:marTop w:val="0"/>
      <w:marBottom w:val="0"/>
      <w:divBdr>
        <w:top w:val="none" w:sz="0" w:space="0" w:color="auto"/>
        <w:left w:val="none" w:sz="0" w:space="0" w:color="auto"/>
        <w:bottom w:val="none" w:sz="0" w:space="0" w:color="auto"/>
        <w:right w:val="none" w:sz="0" w:space="0" w:color="auto"/>
      </w:divBdr>
    </w:div>
    <w:div w:id="1701979229">
      <w:bodyDiv w:val="1"/>
      <w:marLeft w:val="0"/>
      <w:marRight w:val="0"/>
      <w:marTop w:val="0"/>
      <w:marBottom w:val="0"/>
      <w:divBdr>
        <w:top w:val="none" w:sz="0" w:space="0" w:color="auto"/>
        <w:left w:val="none" w:sz="0" w:space="0" w:color="auto"/>
        <w:bottom w:val="none" w:sz="0" w:space="0" w:color="auto"/>
        <w:right w:val="none" w:sz="0" w:space="0" w:color="auto"/>
      </w:divBdr>
    </w:div>
    <w:div w:id="19442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375DB3FC8C74A9EAB0F63BC579004" ma:contentTypeVersion="14" ma:contentTypeDescription="Create a new document." ma:contentTypeScope="" ma:versionID="2ba6b254d86ef38515b98ef80024e397">
  <xsd:schema xmlns:xsd="http://www.w3.org/2001/XMLSchema" xmlns:xs="http://www.w3.org/2001/XMLSchema" xmlns:p="http://schemas.microsoft.com/office/2006/metadata/properties" xmlns:ns2="a7e5e7fb-1beb-49ae-bb89-7d1e5191ec5a" xmlns:ns3="d0c6e2fe-c243-48d4-a773-47ef05c1bd3c" targetNamespace="http://schemas.microsoft.com/office/2006/metadata/properties" ma:root="true" ma:fieldsID="4d6cfe31ee1ccb6c47f52a042d1a4bcd" ns2:_="" ns3:_="">
    <xsd:import namespace="a7e5e7fb-1beb-49ae-bb89-7d1e5191ec5a"/>
    <xsd:import namespace="d0c6e2fe-c243-48d4-a773-47ef05c1b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5e7fb-1beb-49ae-bb89-7d1e5191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6e2fe-c243-48d4-a773-47ef05c1b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a2ff1e-6ca7-4bf9-bd7f-65a5274d6d5b}" ma:internalName="TaxCatchAll" ma:showField="CatchAllData" ma:web="d0c6e2fe-c243-48d4-a773-47ef05c1bd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c6e2fe-c243-48d4-a773-47ef05c1bd3c" xsi:nil="true"/>
    <lcf76f155ced4ddcb4097134ff3c332f xmlns="a7e5e7fb-1beb-49ae-bb89-7d1e5191ec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6BF53-00BC-4486-9D9D-B2EF730EC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5e7fb-1beb-49ae-bb89-7d1e5191ec5a"/>
    <ds:schemaRef ds:uri="d0c6e2fe-c243-48d4-a773-47ef05c1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2AD25-0F37-4D48-B531-AAEBF6C040D6}">
  <ds:schemaRefs>
    <ds:schemaRef ds:uri="http://schemas.microsoft.com/sharepoint/v3/contenttype/forms"/>
  </ds:schemaRefs>
</ds:datastoreItem>
</file>

<file path=customXml/itemProps3.xml><?xml version="1.0" encoding="utf-8"?>
<ds:datastoreItem xmlns:ds="http://schemas.openxmlformats.org/officeDocument/2006/customXml" ds:itemID="{7EA5F6D8-07B8-462E-9A27-A0B406063297}">
  <ds:schemaRefs>
    <ds:schemaRef ds:uri="http://schemas.microsoft.com/office/2006/metadata/properties"/>
    <ds:schemaRef ds:uri="http://schemas.microsoft.com/office/infopath/2007/PartnerControls"/>
    <ds:schemaRef ds:uri="d0c6e2fe-c243-48d4-a773-47ef05c1bd3c"/>
    <ds:schemaRef ds:uri="a7e5e7fb-1beb-49ae-bb89-7d1e5191ec5a"/>
  </ds:schemaRefs>
</ds:datastoreItem>
</file>

<file path=customXml/itemProps4.xml><?xml version="1.0" encoding="utf-8"?>
<ds:datastoreItem xmlns:ds="http://schemas.openxmlformats.org/officeDocument/2006/customXml" ds:itemID="{541F7E7B-3AB5-4172-B99C-D310C8AE8E58}">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76</TotalTime>
  <Pages>7</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9</cp:revision>
  <cp:lastPrinted>2019-10-07T12:25:00Z</cp:lastPrinted>
  <dcterms:created xsi:type="dcterms:W3CDTF">2025-08-07T12:54:00Z</dcterms:created>
  <dcterms:modified xsi:type="dcterms:W3CDTF">2025-08-19T14:28:00Z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0x010100EC5375DB3FC8C74A9EAB0F63BC579004</vt:lpwstr>
  </property>
  <property fmtid="{D5CDD505-2E9C-101B-9397-08002B2CF9AE}" pid="3" name="MediaServiceImageTags">
    <vt:lpwstr/>
  </property>
</Properties>
</file>