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9856" w14:textId="77777777" w:rsidR="00A34F10" w:rsidRDefault="00A34F10" w:rsidP="00A34F10">
      <w:pPr>
        <w:jc w:val="right"/>
        <w:rPr>
          <w:rFonts w:ascii="Arial" w:hAnsi="Arial" w:cs="Arial"/>
          <w:b/>
          <w:bCs/>
          <w:color w:val="002060"/>
          <w:sz w:val="52"/>
          <w:szCs w:val="5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6459A63" wp14:editId="7740A1BA">
            <wp:extent cx="1152525" cy="800100"/>
            <wp:effectExtent l="0" t="0" r="9525" b="0"/>
            <wp:docPr id="21217828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D6E3" w14:textId="77777777" w:rsidR="00A34F10" w:rsidRPr="00034B3B" w:rsidRDefault="00A34F10" w:rsidP="00A34F10">
      <w:pPr>
        <w:rPr>
          <w:rFonts w:ascii="Arial" w:hAnsi="Arial" w:cs="Arial"/>
          <w:b/>
          <w:bCs/>
          <w:color w:val="002060"/>
          <w:sz w:val="52"/>
          <w:szCs w:val="52"/>
        </w:rPr>
      </w:pPr>
      <w:r w:rsidRPr="5DFDB77D">
        <w:rPr>
          <w:rFonts w:ascii="Arial" w:hAnsi="Arial" w:cs="Arial"/>
          <w:b/>
          <w:bCs/>
          <w:color w:val="002060"/>
          <w:sz w:val="52"/>
          <w:szCs w:val="52"/>
        </w:rPr>
        <w:t>NHS Golden Jubilee</w:t>
      </w:r>
      <w:r>
        <w:tab/>
      </w:r>
    </w:p>
    <w:p w14:paraId="59538C6B" w14:textId="5C4D324A" w:rsidR="00A34F10" w:rsidRPr="001C1256" w:rsidRDefault="008D74AA" w:rsidP="00A34F1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5DFDB77D">
        <w:rPr>
          <w:rFonts w:ascii="Arial" w:hAnsi="Arial" w:cs="Arial"/>
          <w:b/>
          <w:bCs/>
          <w:sz w:val="24"/>
          <w:szCs w:val="24"/>
        </w:rPr>
        <w:t>Annual Delivery Plan 2025/26 Quarter 1</w:t>
      </w:r>
      <w:r w:rsidR="00A34F10" w:rsidRPr="5DFDB77D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53EC96C" w14:textId="7B6149FD" w:rsidR="00A34F10" w:rsidRPr="00086791" w:rsidRDefault="00A34F10" w:rsidP="00A34F10">
      <w:pPr>
        <w:spacing w:after="0"/>
        <w:rPr>
          <w:rFonts w:ascii="Arial" w:hAnsi="Arial" w:cs="Arial"/>
          <w:sz w:val="24"/>
          <w:szCs w:val="24"/>
        </w:rPr>
      </w:pPr>
      <w:r w:rsidRPr="5DFDB77D">
        <w:rPr>
          <w:rFonts w:ascii="Arial" w:hAnsi="Arial" w:cs="Arial"/>
          <w:sz w:val="24"/>
          <w:szCs w:val="24"/>
        </w:rPr>
        <w:t xml:space="preserve">NHS Golden Jubilee’s (NHS GJ) Annual Delivery Plan (ADP) and Delivery Planning Template (DPT) sets out the Board’s priorities for the year following Scottish Government planning guidance. </w:t>
      </w:r>
      <w:r w:rsidR="606DFE2A" w:rsidRPr="5DFDB77D">
        <w:rPr>
          <w:rFonts w:ascii="Arial" w:hAnsi="Arial" w:cs="Arial"/>
          <w:sz w:val="24"/>
          <w:szCs w:val="24"/>
        </w:rPr>
        <w:t xml:space="preserve">As </w:t>
      </w:r>
      <w:r w:rsidR="2B21A4B0" w:rsidRPr="5DFDB77D">
        <w:rPr>
          <w:rFonts w:ascii="Arial" w:hAnsi="Arial" w:cs="Arial"/>
          <w:sz w:val="24"/>
          <w:szCs w:val="24"/>
        </w:rPr>
        <w:t xml:space="preserve">there is no </w:t>
      </w:r>
      <w:r w:rsidR="261D956A" w:rsidRPr="5DFDB77D">
        <w:rPr>
          <w:rFonts w:ascii="Arial" w:hAnsi="Arial" w:cs="Arial"/>
          <w:sz w:val="24"/>
          <w:szCs w:val="24"/>
        </w:rPr>
        <w:t>longer a</w:t>
      </w:r>
      <w:r w:rsidR="2B21A4B0" w:rsidRPr="5DFDB77D">
        <w:rPr>
          <w:rFonts w:ascii="Arial" w:hAnsi="Arial" w:cs="Arial"/>
          <w:sz w:val="24"/>
          <w:szCs w:val="24"/>
        </w:rPr>
        <w:t xml:space="preserve"> requirement to</w:t>
      </w:r>
      <w:r w:rsidR="44D075D6" w:rsidRPr="5DFDB77D">
        <w:rPr>
          <w:rFonts w:ascii="Arial" w:hAnsi="Arial" w:cs="Arial"/>
          <w:sz w:val="24"/>
          <w:szCs w:val="24"/>
        </w:rPr>
        <w:t xml:space="preserve"> </w:t>
      </w:r>
      <w:r w:rsidR="0DEA2224" w:rsidRPr="5DFDB77D">
        <w:rPr>
          <w:rFonts w:ascii="Arial" w:hAnsi="Arial" w:cs="Arial"/>
          <w:sz w:val="24"/>
          <w:szCs w:val="24"/>
        </w:rPr>
        <w:t>submit</w:t>
      </w:r>
      <w:r w:rsidRPr="5DFDB77D">
        <w:rPr>
          <w:rFonts w:ascii="Arial" w:hAnsi="Arial" w:cs="Arial"/>
          <w:sz w:val="24"/>
          <w:szCs w:val="24"/>
        </w:rPr>
        <w:t xml:space="preserve"> quarterly returns to </w:t>
      </w:r>
      <w:r w:rsidR="000C15DD" w:rsidRPr="5DFDB77D">
        <w:rPr>
          <w:rFonts w:ascii="Arial" w:hAnsi="Arial" w:cs="Arial"/>
          <w:sz w:val="24"/>
          <w:szCs w:val="24"/>
        </w:rPr>
        <w:t xml:space="preserve">the Scottish </w:t>
      </w:r>
      <w:r w:rsidRPr="5DFDB77D">
        <w:rPr>
          <w:rFonts w:ascii="Arial" w:hAnsi="Arial" w:cs="Arial"/>
          <w:sz w:val="24"/>
          <w:szCs w:val="24"/>
        </w:rPr>
        <w:t>Government</w:t>
      </w:r>
      <w:r w:rsidR="76B210C1" w:rsidRPr="5DFDB77D">
        <w:rPr>
          <w:rFonts w:ascii="Arial" w:hAnsi="Arial" w:cs="Arial"/>
          <w:sz w:val="24"/>
          <w:szCs w:val="24"/>
        </w:rPr>
        <w:t>, the DPT has been prep</w:t>
      </w:r>
      <w:r w:rsidR="6BB0B049" w:rsidRPr="5DFDB77D">
        <w:rPr>
          <w:rFonts w:ascii="Arial" w:hAnsi="Arial" w:cs="Arial"/>
          <w:sz w:val="24"/>
          <w:szCs w:val="24"/>
        </w:rPr>
        <w:t>a</w:t>
      </w:r>
      <w:r w:rsidR="76B210C1" w:rsidRPr="5DFDB77D">
        <w:rPr>
          <w:rFonts w:ascii="Arial" w:hAnsi="Arial" w:cs="Arial"/>
          <w:sz w:val="24"/>
          <w:szCs w:val="24"/>
        </w:rPr>
        <w:t>red</w:t>
      </w:r>
      <w:r w:rsidR="03C5BDD2" w:rsidRPr="5DFDB77D">
        <w:rPr>
          <w:rFonts w:ascii="Arial" w:hAnsi="Arial" w:cs="Arial"/>
          <w:sz w:val="24"/>
          <w:szCs w:val="24"/>
        </w:rPr>
        <w:t xml:space="preserve"> to </w:t>
      </w:r>
      <w:r w:rsidRPr="5DFDB77D">
        <w:rPr>
          <w:rFonts w:ascii="Arial" w:hAnsi="Arial" w:cs="Arial"/>
          <w:sz w:val="24"/>
          <w:szCs w:val="24"/>
        </w:rPr>
        <w:t>prov</w:t>
      </w:r>
      <w:r w:rsidR="58EAF277" w:rsidRPr="5DFDB77D">
        <w:rPr>
          <w:rFonts w:ascii="Arial" w:hAnsi="Arial" w:cs="Arial"/>
          <w:sz w:val="24"/>
          <w:szCs w:val="24"/>
        </w:rPr>
        <w:t>ide</w:t>
      </w:r>
      <w:r w:rsidR="5CFD60F2" w:rsidRPr="5DFDB77D">
        <w:rPr>
          <w:rFonts w:ascii="Arial" w:hAnsi="Arial" w:cs="Arial"/>
          <w:sz w:val="24"/>
          <w:szCs w:val="24"/>
        </w:rPr>
        <w:t xml:space="preserve"> the NHS GJ Board with</w:t>
      </w:r>
      <w:r w:rsidRPr="5DFDB77D">
        <w:rPr>
          <w:rFonts w:ascii="Arial" w:hAnsi="Arial" w:cs="Arial"/>
          <w:sz w:val="24"/>
          <w:szCs w:val="24"/>
        </w:rPr>
        <w:t xml:space="preserve"> updates and assurance on delivery. The Planning team has engaged with operational leads and </w:t>
      </w:r>
      <w:r w:rsidR="00DC68FC" w:rsidRPr="5DFDB77D">
        <w:rPr>
          <w:rFonts w:ascii="Arial" w:hAnsi="Arial" w:cs="Arial"/>
          <w:sz w:val="24"/>
          <w:szCs w:val="24"/>
        </w:rPr>
        <w:t xml:space="preserve">the </w:t>
      </w:r>
      <w:r w:rsidRPr="5DFDB77D">
        <w:rPr>
          <w:rFonts w:ascii="Arial" w:hAnsi="Arial" w:cs="Arial"/>
          <w:sz w:val="24"/>
          <w:szCs w:val="24"/>
        </w:rPr>
        <w:t xml:space="preserve">Executive team to present the </w:t>
      </w:r>
      <w:r w:rsidR="00B06CB3" w:rsidRPr="5DFDB77D">
        <w:rPr>
          <w:rFonts w:ascii="Arial" w:hAnsi="Arial" w:cs="Arial"/>
          <w:sz w:val="24"/>
          <w:szCs w:val="24"/>
        </w:rPr>
        <w:t xml:space="preserve">Quarter 1 (Q1) </w:t>
      </w:r>
      <w:r w:rsidR="00470888" w:rsidRPr="5DFDB77D">
        <w:rPr>
          <w:rFonts w:ascii="Arial" w:hAnsi="Arial" w:cs="Arial"/>
          <w:sz w:val="24"/>
          <w:szCs w:val="24"/>
        </w:rPr>
        <w:t>end</w:t>
      </w:r>
      <w:r w:rsidRPr="5DFDB77D">
        <w:rPr>
          <w:rFonts w:ascii="Arial" w:hAnsi="Arial" w:cs="Arial"/>
          <w:sz w:val="24"/>
          <w:szCs w:val="24"/>
        </w:rPr>
        <w:t xml:space="preserve"> position. A final and high-level overview of overall progress of all deliverables is provided in the final section of this </w:t>
      </w:r>
      <w:r w:rsidR="00D073F0" w:rsidRPr="5DFDB77D">
        <w:rPr>
          <w:rFonts w:ascii="Arial" w:hAnsi="Arial" w:cs="Arial"/>
          <w:sz w:val="24"/>
          <w:szCs w:val="24"/>
        </w:rPr>
        <w:t>paper.</w:t>
      </w:r>
      <w:r w:rsidRPr="5DFDB77D">
        <w:rPr>
          <w:rFonts w:ascii="Arial" w:hAnsi="Arial" w:cs="Arial"/>
          <w:sz w:val="24"/>
          <w:szCs w:val="24"/>
        </w:rPr>
        <w:t xml:space="preserve"> </w:t>
      </w:r>
    </w:p>
    <w:p w14:paraId="350AD206" w14:textId="21C7BA92" w:rsidR="00A34F10" w:rsidRPr="00086791" w:rsidRDefault="00A34F10" w:rsidP="281DD491">
      <w:pPr>
        <w:spacing w:after="0"/>
        <w:rPr>
          <w:rFonts w:ascii="Arial" w:hAnsi="Arial" w:cs="Arial"/>
          <w:spacing w:val="-3"/>
          <w:sz w:val="24"/>
          <w:szCs w:val="24"/>
        </w:rPr>
      </w:pPr>
    </w:p>
    <w:p w14:paraId="2C126D85" w14:textId="0E209376" w:rsidR="00084FBE" w:rsidRPr="00084FBE" w:rsidRDefault="00D073F0" w:rsidP="00084FBE">
      <w:p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The Q1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857BAF">
        <w:rPr>
          <w:rFonts w:ascii="Arial" w:eastAsia="Times New Roman" w:hAnsi="Arial" w:cs="Arial"/>
          <w:spacing w:val="-3"/>
          <w:sz w:val="24"/>
          <w:szCs w:val="24"/>
        </w:rPr>
        <w:t>DPT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provides a progress update against priority actions at the end of </w:t>
      </w:r>
      <w:r w:rsidR="00857BAF">
        <w:rPr>
          <w:rFonts w:ascii="Arial" w:eastAsia="Times New Roman" w:hAnsi="Arial" w:cs="Arial"/>
          <w:sz w:val="24"/>
          <w:szCs w:val="24"/>
        </w:rPr>
        <w:t xml:space="preserve">June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>2025. The priority actions have been identified i</w:t>
      </w:r>
      <w:r w:rsidR="00A34F10" w:rsidRPr="00086791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n line with </w:t>
      </w:r>
      <w:r w:rsidR="020D2043" w:rsidRPr="00086791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the </w:t>
      </w:r>
      <w:r w:rsidR="00A34F10" w:rsidRPr="00086791">
        <w:rPr>
          <w:rFonts w:ascii="Arial" w:eastAsia="Times New Roman" w:hAnsi="Arial" w:cs="Arial"/>
          <w:color w:val="000000"/>
          <w:spacing w:val="-3"/>
          <w:sz w:val="24"/>
          <w:szCs w:val="24"/>
        </w:rPr>
        <w:t>Scottish Government Planning Guidance</w:t>
      </w:r>
      <w:r w:rsidR="0F878EF2" w:rsidRPr="00086791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2025-26</w:t>
      </w:r>
      <w:r w:rsidR="00A34F10" w:rsidRPr="00086791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, </w:t>
      </w:r>
      <w:r w:rsidR="00084FBE"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which is structured around the following five ministerial priorities</w:t>
      </w:r>
      <w:r w:rsidR="26FF216C"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: </w:t>
      </w:r>
      <w:r w:rsidR="00084FBE"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 </w:t>
      </w:r>
    </w:p>
    <w:p w14:paraId="5A004E92" w14:textId="77777777" w:rsidR="00084FBE" w:rsidRPr="00084FBE" w:rsidRDefault="00084FBE" w:rsidP="00084FBE">
      <w:p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  </w:t>
      </w:r>
    </w:p>
    <w:p w14:paraId="58D32D46" w14:textId="77777777" w:rsidR="00084FBE" w:rsidRPr="00084FBE" w:rsidRDefault="00084FBE" w:rsidP="00084FB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Planned Care  </w:t>
      </w:r>
    </w:p>
    <w:p w14:paraId="387CC865" w14:textId="77777777" w:rsidR="00084FBE" w:rsidRPr="00084FBE" w:rsidRDefault="00084FBE" w:rsidP="00084FBE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Urgent and Unscheduled Care    </w:t>
      </w:r>
    </w:p>
    <w:p w14:paraId="2620AF19" w14:textId="77777777" w:rsidR="00084FBE" w:rsidRPr="00084FBE" w:rsidRDefault="00084FBE" w:rsidP="00084FBE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Cancer Improvement  </w:t>
      </w:r>
    </w:p>
    <w:p w14:paraId="4EEA14D8" w14:textId="77777777" w:rsidR="00084FBE" w:rsidRPr="00084FBE" w:rsidRDefault="00084FBE" w:rsidP="00084FBE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Sustainable Services  </w:t>
      </w:r>
    </w:p>
    <w:p w14:paraId="627ADED8" w14:textId="52EFD50D" w:rsidR="00084FBE" w:rsidRPr="00084FBE" w:rsidRDefault="00084FBE" w:rsidP="00084FBE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National Programmes – Business Services &amp; Systems, eRostering, National Green Theatres, Theatre Scheduling, National Endoscopy Programme</w:t>
      </w:r>
      <w:r w:rsidR="26FF216C"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    </w:t>
      </w: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 </w:t>
      </w:r>
    </w:p>
    <w:p w14:paraId="405065AE" w14:textId="5A5C0453" w:rsidR="00A34F10" w:rsidRPr="00F900D4" w:rsidRDefault="00084FBE" w:rsidP="00084FBE">
      <w:pPr>
        <w:spacing w:after="0" w:line="276" w:lineRule="auto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084FBE">
        <w:rPr>
          <w:rFonts w:ascii="Arial" w:eastAsia="Times New Roman" w:hAnsi="Arial" w:cs="Arial"/>
          <w:color w:val="000000"/>
          <w:spacing w:val="-3"/>
          <w:sz w:val="24"/>
          <w:szCs w:val="24"/>
        </w:rPr>
        <w:t>  </w:t>
      </w:r>
    </w:p>
    <w:p w14:paraId="4D4CB35C" w14:textId="492997BD" w:rsidR="00635A29" w:rsidRPr="00635A29" w:rsidRDefault="5487CADC" w:rsidP="00635A29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86791">
        <w:rPr>
          <w:rFonts w:ascii="Arial" w:eastAsia="Times New Roman" w:hAnsi="Arial" w:cs="Arial"/>
          <w:spacing w:val="-3"/>
          <w:sz w:val="24"/>
          <w:szCs w:val="24"/>
        </w:rPr>
        <w:t>In addition to the five ministerial priorities</w:t>
      </w:r>
      <w:r w:rsidR="542B8B2C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, </w:t>
      </w:r>
      <w:r w:rsidR="2D969B78" w:rsidRPr="00086791">
        <w:rPr>
          <w:rFonts w:ascii="Arial" w:eastAsia="Times New Roman" w:hAnsi="Arial" w:cs="Arial"/>
          <w:spacing w:val="-3"/>
          <w:sz w:val="24"/>
          <w:szCs w:val="24"/>
        </w:rPr>
        <w:t>the</w:t>
      </w:r>
      <w:r w:rsidR="5CCE5815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542B8B2C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Scottish Government </w:t>
      </w:r>
      <w:r w:rsidR="542B8B2C" w:rsidRPr="599F0285">
        <w:rPr>
          <w:rFonts w:ascii="Arial" w:eastAsia="Arial" w:hAnsi="Arial" w:cs="Arial"/>
          <w:color w:val="000000" w:themeColor="text1"/>
          <w:sz w:val="24"/>
          <w:szCs w:val="24"/>
        </w:rPr>
        <w:t>Delivery Planning Guidance 2025</w:t>
      </w:r>
      <w:r w:rsidR="389AFAA8" w:rsidRPr="599F0285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542B8B2C" w:rsidRPr="599F0285">
        <w:rPr>
          <w:rFonts w:ascii="Arial" w:eastAsia="Arial" w:hAnsi="Arial" w:cs="Arial"/>
          <w:color w:val="000000" w:themeColor="text1"/>
          <w:sz w:val="24"/>
          <w:szCs w:val="24"/>
        </w:rPr>
        <w:t>26 outlined</w:t>
      </w:r>
      <w:r w:rsidR="63D6864C" w:rsidRPr="599F02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279655F" w:rsidRPr="192A9A65">
        <w:rPr>
          <w:rFonts w:ascii="Arial" w:eastAsia="Arial" w:hAnsi="Arial" w:cs="Arial"/>
          <w:color w:val="000000" w:themeColor="text1"/>
          <w:sz w:val="24"/>
          <w:szCs w:val="24"/>
        </w:rPr>
        <w:t>prescribed</w:t>
      </w:r>
      <w:r w:rsidR="63D6864C" w:rsidRPr="192A9A6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F68D90D" w:rsidRPr="4ECCA180">
        <w:rPr>
          <w:rFonts w:ascii="Arial" w:eastAsia="Arial" w:hAnsi="Arial" w:cs="Arial"/>
          <w:color w:val="000000" w:themeColor="text1"/>
          <w:sz w:val="24"/>
          <w:szCs w:val="24"/>
        </w:rPr>
        <w:t xml:space="preserve">planning priorities and </w:t>
      </w:r>
      <w:r w:rsidR="63D6864C" w:rsidRPr="599F0285">
        <w:rPr>
          <w:rFonts w:ascii="Arial" w:eastAsia="Arial" w:hAnsi="Arial" w:cs="Arial"/>
          <w:color w:val="000000" w:themeColor="text1"/>
          <w:sz w:val="24"/>
          <w:szCs w:val="24"/>
        </w:rPr>
        <w:t>expectations for</w:t>
      </w:r>
      <w:r w:rsidR="542B8B2C" w:rsidRPr="599F02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B4A77CE" w:rsidRPr="4ECCA180">
        <w:rPr>
          <w:rFonts w:ascii="Arial" w:eastAsia="Arial" w:hAnsi="Arial" w:cs="Arial"/>
          <w:color w:val="000000" w:themeColor="text1"/>
          <w:sz w:val="24"/>
          <w:szCs w:val="24"/>
        </w:rPr>
        <w:t>Territorial Boards, National Boards and all Board’s</w:t>
      </w:r>
      <w:r w:rsidR="56069DF2" w:rsidRPr="4ECCA180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3044AC2C" w:rsidRPr="4ECCA180">
        <w:rPr>
          <w:rFonts w:ascii="Arial" w:eastAsia="Arial" w:hAnsi="Arial" w:cs="Arial"/>
          <w:color w:val="000000" w:themeColor="text1"/>
          <w:sz w:val="24"/>
          <w:szCs w:val="24"/>
        </w:rPr>
        <w:t xml:space="preserve"> Alongside the specified priorities for </w:t>
      </w:r>
      <w:r w:rsidR="3044AC2C" w:rsidRPr="192A9A65">
        <w:rPr>
          <w:rFonts w:ascii="Arial" w:eastAsia="Arial" w:hAnsi="Arial" w:cs="Arial"/>
          <w:color w:val="000000" w:themeColor="text1"/>
          <w:sz w:val="24"/>
          <w:szCs w:val="24"/>
        </w:rPr>
        <w:t>NHS GJ as a Nat</w:t>
      </w:r>
      <w:r w:rsidR="1EC3B6F2" w:rsidRPr="192A9A65">
        <w:rPr>
          <w:rFonts w:ascii="Arial" w:eastAsia="Arial" w:hAnsi="Arial" w:cs="Arial"/>
          <w:color w:val="000000" w:themeColor="text1"/>
          <w:sz w:val="24"/>
          <w:szCs w:val="24"/>
        </w:rPr>
        <w:t>ional Board, there w</w:t>
      </w:r>
      <w:r w:rsidR="532D4DE8" w:rsidRPr="192A9A65">
        <w:rPr>
          <w:rFonts w:ascii="Arial" w:eastAsia="Arial" w:hAnsi="Arial" w:cs="Arial"/>
          <w:color w:val="000000" w:themeColor="text1"/>
          <w:sz w:val="24"/>
          <w:szCs w:val="24"/>
        </w:rPr>
        <w:t>as an additional</w:t>
      </w:r>
      <w:r w:rsidR="08E0042A" w:rsidRPr="192A9A65">
        <w:rPr>
          <w:rFonts w:ascii="Arial" w:eastAsia="Arial" w:hAnsi="Arial" w:cs="Arial"/>
          <w:color w:val="000000" w:themeColor="text1"/>
          <w:sz w:val="24"/>
          <w:szCs w:val="24"/>
        </w:rPr>
        <w:t xml:space="preserve"> Territorial Health Board Delivery </w:t>
      </w:r>
      <w:r w:rsidR="59C83F2A" w:rsidRPr="192A9A65">
        <w:rPr>
          <w:rFonts w:ascii="Arial" w:eastAsia="Arial" w:hAnsi="Arial" w:cs="Arial"/>
          <w:color w:val="000000" w:themeColor="text1"/>
          <w:sz w:val="24"/>
          <w:szCs w:val="24"/>
        </w:rPr>
        <w:t>Area identified</w:t>
      </w:r>
      <w:r w:rsidR="08E0042A" w:rsidRPr="192A9A65">
        <w:rPr>
          <w:rFonts w:ascii="Arial" w:eastAsia="Arial" w:hAnsi="Arial" w:cs="Arial"/>
          <w:color w:val="000000" w:themeColor="text1"/>
          <w:sz w:val="24"/>
          <w:szCs w:val="24"/>
        </w:rPr>
        <w:t xml:space="preserve"> with priorities applicable to NHS GJ</w:t>
      </w:r>
      <w:r w:rsidR="4243C9C7" w:rsidRPr="192A9A65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14B59AEF" w14:textId="5E0A7BD0" w:rsidR="00A34F10" w:rsidRPr="00086791" w:rsidRDefault="00A34F10" w:rsidP="7110C837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A6322FF" w14:textId="49D8F2D0" w:rsidR="00A34F10" w:rsidRDefault="104C08AF" w:rsidP="7E049FB1">
      <w:pPr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5DFDB77D">
        <w:rPr>
          <w:rFonts w:ascii="Arial" w:eastAsia="Arial" w:hAnsi="Arial" w:cs="Arial"/>
          <w:sz w:val="24"/>
          <w:szCs w:val="24"/>
        </w:rPr>
        <w:t>Population Health and Reducing Health Inequalities</w:t>
      </w:r>
    </w:p>
    <w:p w14:paraId="60CC2960" w14:textId="77777777" w:rsidR="000F745B" w:rsidRPr="00086791" w:rsidRDefault="000F745B" w:rsidP="000F745B">
      <w:pPr>
        <w:pStyle w:val="ListParagraph"/>
        <w:spacing w:after="0"/>
        <w:rPr>
          <w:rFonts w:ascii="Arial" w:eastAsia="Arial" w:hAnsi="Arial" w:cs="Arial"/>
          <w:sz w:val="24"/>
          <w:szCs w:val="24"/>
        </w:rPr>
      </w:pPr>
    </w:p>
    <w:p w14:paraId="35279CA8" w14:textId="3A7F6C63" w:rsidR="00A34F10" w:rsidRPr="00086791" w:rsidRDefault="0CE728E2" w:rsidP="7E049FB1">
      <w:pPr>
        <w:spacing w:after="0"/>
        <w:rPr>
          <w:rFonts w:ascii="Arial" w:eastAsia="Times New Roman" w:hAnsi="Arial" w:cs="Arial"/>
          <w:sz w:val="24"/>
          <w:szCs w:val="24"/>
        </w:rPr>
      </w:pPr>
      <w:r w:rsidRPr="5DFDB77D">
        <w:rPr>
          <w:rFonts w:ascii="Arial" w:eastAsia="Times New Roman" w:hAnsi="Arial" w:cs="Arial"/>
          <w:sz w:val="24"/>
          <w:szCs w:val="24"/>
        </w:rPr>
        <w:t>NHS GJ recognises the importance of collective ‘whole system’ collaboration to effectively support the reform and ongoing recovery of Scotland’s health service.</w:t>
      </w:r>
      <w:r w:rsidRPr="5DFDB7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5A3FDB9" w14:textId="45C551FD" w:rsidR="00A34F10" w:rsidRPr="00086791" w:rsidRDefault="7CB73D5A" w:rsidP="0CD45AB5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049FB1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45A17653" w:rsidRPr="7E049FB1">
        <w:rPr>
          <w:rFonts w:ascii="Arial" w:eastAsia="Arial" w:hAnsi="Arial" w:cs="Arial"/>
          <w:color w:val="000000" w:themeColor="text1"/>
          <w:sz w:val="24"/>
          <w:szCs w:val="24"/>
        </w:rPr>
        <w:t xml:space="preserve">he approach to </w:t>
      </w:r>
      <w:r w:rsidRPr="7E049FB1">
        <w:rPr>
          <w:rFonts w:ascii="Arial" w:eastAsia="Arial" w:hAnsi="Arial" w:cs="Arial"/>
          <w:color w:val="000000" w:themeColor="text1"/>
          <w:sz w:val="24"/>
          <w:szCs w:val="24"/>
        </w:rPr>
        <w:t>monitor</w:t>
      </w:r>
      <w:r w:rsidR="0F4532ED" w:rsidRPr="7E049FB1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Pr="7E049FB1">
        <w:rPr>
          <w:rFonts w:ascii="Arial" w:eastAsia="Arial" w:hAnsi="Arial" w:cs="Arial"/>
          <w:color w:val="000000" w:themeColor="text1"/>
          <w:sz w:val="24"/>
          <w:szCs w:val="24"/>
        </w:rPr>
        <w:t xml:space="preserve"> progress against the priority areas reflected in the NHS</w:t>
      </w:r>
      <w:r w:rsidR="44D827C1" w:rsidRPr="7E049FB1">
        <w:rPr>
          <w:rFonts w:ascii="Arial" w:eastAsia="Arial" w:hAnsi="Arial" w:cs="Arial"/>
          <w:color w:val="000000" w:themeColor="text1"/>
          <w:sz w:val="24"/>
          <w:szCs w:val="24"/>
        </w:rPr>
        <w:t xml:space="preserve"> GJ </w:t>
      </w:r>
      <w:r w:rsidRPr="7E049FB1">
        <w:rPr>
          <w:rFonts w:ascii="Arial" w:eastAsia="Arial" w:hAnsi="Arial" w:cs="Arial"/>
          <w:color w:val="000000" w:themeColor="text1"/>
          <w:sz w:val="24"/>
          <w:szCs w:val="24"/>
        </w:rPr>
        <w:t>ADP 2025/26</w:t>
      </w:r>
      <w:r w:rsidR="14209D99" w:rsidRPr="7E049FB1">
        <w:rPr>
          <w:rFonts w:ascii="Arial" w:eastAsia="Arial" w:hAnsi="Arial" w:cs="Arial"/>
          <w:color w:val="000000" w:themeColor="text1"/>
          <w:sz w:val="24"/>
          <w:szCs w:val="24"/>
        </w:rPr>
        <w:t xml:space="preserve"> was approved by the Executive Leadership Team (ELT) on 23 June 2025.</w:t>
      </w:r>
      <w:r w:rsidR="00C03B0A" w:rsidRPr="7E049FB1">
        <w:rPr>
          <w:rFonts w:ascii="Arial" w:eastAsia="Times New Roman" w:hAnsi="Arial" w:cs="Arial"/>
          <w:sz w:val="24"/>
          <w:szCs w:val="24"/>
        </w:rPr>
        <w:t xml:space="preserve"> </w:t>
      </w:r>
      <w:r w:rsidR="725C7907" w:rsidRPr="25ECF2EA">
        <w:rPr>
          <w:rFonts w:ascii="Arial" w:eastAsia="Arial" w:hAnsi="Arial" w:cs="Arial"/>
          <w:color w:val="000000" w:themeColor="text1"/>
          <w:sz w:val="24"/>
          <w:szCs w:val="24"/>
        </w:rPr>
        <w:t xml:space="preserve">Following discussion at </w:t>
      </w:r>
      <w:r w:rsidR="0FD37A4B" w:rsidRPr="25ECF2EA">
        <w:rPr>
          <w:rFonts w:ascii="Arial" w:eastAsia="Arial" w:hAnsi="Arial" w:cs="Arial"/>
          <w:color w:val="000000" w:themeColor="text1"/>
          <w:sz w:val="24"/>
          <w:szCs w:val="24"/>
        </w:rPr>
        <w:t>Finance and Performance Committee (</w:t>
      </w:r>
      <w:r w:rsidR="725C7907" w:rsidRPr="25ECF2EA">
        <w:rPr>
          <w:rFonts w:ascii="Arial" w:eastAsia="Arial" w:hAnsi="Arial" w:cs="Arial"/>
          <w:color w:val="000000" w:themeColor="text1"/>
          <w:sz w:val="24"/>
          <w:szCs w:val="24"/>
        </w:rPr>
        <w:t>FPC</w:t>
      </w:r>
      <w:r w:rsidR="5A6ABCE6" w:rsidRPr="25ECF2EA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725C7907" w:rsidRPr="25ECF2EA">
        <w:rPr>
          <w:rFonts w:ascii="Arial" w:eastAsia="Arial" w:hAnsi="Arial" w:cs="Arial"/>
          <w:color w:val="000000" w:themeColor="text1"/>
          <w:sz w:val="24"/>
          <w:szCs w:val="24"/>
        </w:rPr>
        <w:t xml:space="preserve">, the Q1 update will be submitted to the </w:t>
      </w:r>
      <w:r w:rsidR="183B2B81" w:rsidRPr="50333DE5">
        <w:rPr>
          <w:rFonts w:ascii="Arial" w:eastAsia="Arial" w:hAnsi="Arial" w:cs="Arial"/>
          <w:color w:val="000000" w:themeColor="text1"/>
          <w:sz w:val="24"/>
          <w:szCs w:val="24"/>
        </w:rPr>
        <w:t>Board on 28 August.</w:t>
      </w:r>
      <w:r w:rsidR="771D928C" w:rsidRPr="7E049FB1">
        <w:rPr>
          <w:rFonts w:ascii="Arial" w:eastAsia="Times New Roman" w:hAnsi="Arial" w:cs="Arial"/>
          <w:sz w:val="24"/>
          <w:szCs w:val="24"/>
        </w:rPr>
        <w:t xml:space="preserve">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Progress of priority actions for </w:t>
      </w:r>
      <w:r w:rsidR="00130990">
        <w:rPr>
          <w:rFonts w:ascii="Arial" w:eastAsia="Times New Roman" w:hAnsi="Arial" w:cs="Arial"/>
          <w:spacing w:val="-3"/>
          <w:sz w:val="24"/>
          <w:szCs w:val="24"/>
        </w:rPr>
        <w:t xml:space="preserve">the </w:t>
      </w:r>
      <w:r w:rsidR="71BE6CC9" w:rsidRPr="5E9B4AFD">
        <w:rPr>
          <w:rFonts w:ascii="Arial" w:eastAsia="Arial" w:hAnsi="Arial" w:cs="Arial"/>
          <w:sz w:val="24"/>
          <w:szCs w:val="24"/>
        </w:rPr>
        <w:t xml:space="preserve">NHS Scotland Academy (NHSSA) </w:t>
      </w:r>
      <w:r w:rsidR="00130990">
        <w:rPr>
          <w:rFonts w:ascii="Arial" w:eastAsia="Arial" w:hAnsi="Arial" w:cs="Arial"/>
          <w:sz w:val="24"/>
          <w:szCs w:val="24"/>
        </w:rPr>
        <w:t xml:space="preserve">and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the Centre for Sustainable Delivery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lastRenderedPageBreak/>
        <w:t xml:space="preserve">(CfSD) have been excluded from this review note. </w:t>
      </w:r>
      <w:r w:rsidR="090CE93C" w:rsidRPr="00086791">
        <w:rPr>
          <w:rFonts w:ascii="Arial" w:eastAsia="Times New Roman" w:hAnsi="Arial" w:cs="Arial"/>
          <w:spacing w:val="-3"/>
          <w:sz w:val="24"/>
          <w:szCs w:val="24"/>
        </w:rPr>
        <w:t>As agreed during 2024-25</w:t>
      </w:r>
      <w:r w:rsidR="313927C7" w:rsidRPr="00086791">
        <w:rPr>
          <w:rFonts w:ascii="Arial" w:eastAsia="Times New Roman" w:hAnsi="Arial" w:cs="Arial"/>
          <w:spacing w:val="-3"/>
          <w:sz w:val="24"/>
          <w:szCs w:val="24"/>
        </w:rPr>
        <w:t>,</w:t>
      </w:r>
      <w:r w:rsidR="116C71F7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NHSSA will continue to complete the ADP2 template which is submitted to the NHSSA Executive Programme Group (EPG). </w:t>
      </w:r>
      <w:r w:rsidR="44E18658" w:rsidRPr="5DFDB77D">
        <w:rPr>
          <w:rFonts w:ascii="Arial" w:eastAsia="Times New Roman" w:hAnsi="Arial" w:cs="Arial"/>
          <w:spacing w:val="-3"/>
          <w:sz w:val="24"/>
          <w:szCs w:val="24"/>
        </w:rPr>
        <w:t xml:space="preserve">A draft ADP2 has been shared by NHSSA </w:t>
      </w:r>
      <w:r w:rsidR="286ED4F5" w:rsidRPr="5DFDB77D">
        <w:rPr>
          <w:rFonts w:ascii="Arial" w:eastAsia="Arial" w:hAnsi="Arial" w:cs="Arial"/>
          <w:color w:val="000000" w:themeColor="text1"/>
          <w:sz w:val="24"/>
          <w:szCs w:val="24"/>
        </w:rPr>
        <w:t>and</w:t>
      </w:r>
      <w:r w:rsidR="44E18658" w:rsidRPr="5DFDB77D">
        <w:rPr>
          <w:rFonts w:ascii="Arial" w:eastAsia="Times New Roman" w:hAnsi="Arial" w:cs="Arial"/>
          <w:spacing w:val="-3"/>
          <w:sz w:val="24"/>
          <w:szCs w:val="24"/>
        </w:rPr>
        <w:t xml:space="preserve"> approv</w:t>
      </w:r>
      <w:r w:rsidR="5388E9A2" w:rsidRPr="5DFDB77D">
        <w:rPr>
          <w:rFonts w:ascii="Arial" w:eastAsia="Times New Roman" w:hAnsi="Arial" w:cs="Arial"/>
          <w:spacing w:val="-3"/>
          <w:sz w:val="24"/>
          <w:szCs w:val="24"/>
        </w:rPr>
        <w:t>ed</w:t>
      </w:r>
      <w:r w:rsidR="44E18658" w:rsidRPr="5DFDB77D">
        <w:rPr>
          <w:rFonts w:ascii="Arial" w:eastAsia="Times New Roman" w:hAnsi="Arial" w:cs="Arial"/>
          <w:spacing w:val="-3"/>
          <w:sz w:val="24"/>
          <w:szCs w:val="24"/>
        </w:rPr>
        <w:t xml:space="preserve"> by the EPG on </w:t>
      </w:r>
      <w:r w:rsidR="3815E3A5" w:rsidRPr="5DFDB77D">
        <w:rPr>
          <w:rFonts w:ascii="Arial" w:eastAsia="Times New Roman" w:hAnsi="Arial" w:cs="Arial"/>
          <w:spacing w:val="-3"/>
          <w:sz w:val="24"/>
          <w:szCs w:val="24"/>
        </w:rPr>
        <w:t>7</w:t>
      </w:r>
      <w:r w:rsidR="44E18658" w:rsidRPr="5DFDB77D">
        <w:rPr>
          <w:rFonts w:ascii="Arial" w:eastAsia="Times New Roman" w:hAnsi="Arial" w:cs="Arial"/>
          <w:spacing w:val="-3"/>
          <w:sz w:val="24"/>
          <w:szCs w:val="24"/>
        </w:rPr>
        <w:t xml:space="preserve"> August 2025</w:t>
      </w:r>
      <w:r w:rsidR="44E18658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. </w:t>
      </w:r>
      <w:r w:rsidR="6EA126F2" w:rsidRPr="00086791">
        <w:rPr>
          <w:rFonts w:ascii="Arial" w:eastAsia="Times New Roman" w:hAnsi="Arial" w:cs="Arial"/>
          <w:spacing w:val="-3"/>
          <w:sz w:val="24"/>
          <w:szCs w:val="24"/>
        </w:rPr>
        <w:t>Please note a</w:t>
      </w:r>
      <w:r w:rsidR="0041C116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change to the NHSSA ADP</w:t>
      </w:r>
      <w:r w:rsidR="41AFF30F" w:rsidRPr="00086791">
        <w:rPr>
          <w:rFonts w:ascii="Arial" w:eastAsia="Times New Roman" w:hAnsi="Arial" w:cs="Arial"/>
          <w:spacing w:val="-3"/>
          <w:sz w:val="24"/>
          <w:szCs w:val="24"/>
        </w:rPr>
        <w:t>2</w:t>
      </w:r>
      <w:r w:rsidR="0041C116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has been </w:t>
      </w:r>
      <w:r w:rsidR="46B0F585" w:rsidRPr="00086791">
        <w:rPr>
          <w:rFonts w:ascii="Arial" w:eastAsia="Times New Roman" w:hAnsi="Arial" w:cs="Arial"/>
          <w:spacing w:val="-3"/>
          <w:sz w:val="24"/>
          <w:szCs w:val="24"/>
        </w:rPr>
        <w:t>made</w:t>
      </w:r>
      <w:r w:rsidR="0041C116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in Q1 in relation to the National </w:t>
      </w:r>
      <w:r w:rsidR="667212CC" w:rsidRPr="00086791">
        <w:rPr>
          <w:rFonts w:ascii="Arial" w:eastAsia="Times New Roman" w:hAnsi="Arial" w:cs="Arial"/>
          <w:spacing w:val="-3"/>
          <w:sz w:val="24"/>
          <w:szCs w:val="24"/>
        </w:rPr>
        <w:t>Ultrasound</w:t>
      </w:r>
      <w:r w:rsidR="224CBA6D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Training Programme (NUTP). </w:t>
      </w:r>
      <w:r w:rsidR="4250AF9E" w:rsidRPr="00086791">
        <w:rPr>
          <w:rFonts w:ascii="Arial" w:eastAsia="Times New Roman" w:hAnsi="Arial" w:cs="Arial"/>
          <w:spacing w:val="-3"/>
          <w:sz w:val="24"/>
          <w:szCs w:val="24"/>
        </w:rPr>
        <w:t>The NHSSA ADP</w:t>
      </w:r>
      <w:r w:rsidR="5B01502C" w:rsidRPr="00086791">
        <w:rPr>
          <w:rFonts w:ascii="Arial" w:eastAsia="Times New Roman" w:hAnsi="Arial" w:cs="Arial"/>
          <w:spacing w:val="-3"/>
          <w:sz w:val="24"/>
          <w:szCs w:val="24"/>
        </w:rPr>
        <w:t>2</w:t>
      </w:r>
      <w:r w:rsidR="4250AF9E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lists</w:t>
      </w:r>
      <w:r w:rsidR="224CBA6D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the </w:t>
      </w:r>
      <w:r w:rsidR="4250AF9E" w:rsidRPr="00086791">
        <w:rPr>
          <w:rFonts w:ascii="Arial" w:eastAsia="Times New Roman" w:hAnsi="Arial" w:cs="Arial"/>
          <w:spacing w:val="-3"/>
          <w:sz w:val="24"/>
          <w:szCs w:val="24"/>
        </w:rPr>
        <w:t>NUTP activity as 2000 procedures per quarter.  Due to approved funding listing activity as</w:t>
      </w:r>
      <w:r w:rsidR="28E84688" w:rsidRPr="7AD94437">
        <w:rPr>
          <w:rFonts w:ascii="Arial" w:eastAsia="Times New Roman" w:hAnsi="Arial" w:cs="Arial"/>
          <w:sz w:val="24"/>
          <w:szCs w:val="24"/>
        </w:rPr>
        <w:t xml:space="preserve"> 7,415 patients and 9,282 scans</w:t>
      </w:r>
      <w:r w:rsidR="61FBB029" w:rsidRPr="7AD94437">
        <w:rPr>
          <w:rFonts w:ascii="Arial" w:eastAsia="Times New Roman" w:hAnsi="Arial" w:cs="Arial"/>
          <w:sz w:val="24"/>
          <w:szCs w:val="24"/>
        </w:rPr>
        <w:t>, the ADP2 has been adjusted</w:t>
      </w:r>
      <w:r w:rsidR="4250AF9E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79CAF4B6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to </w:t>
      </w:r>
      <w:r w:rsidR="28E84688" w:rsidRPr="00086791">
        <w:rPr>
          <w:rFonts w:ascii="Arial" w:eastAsia="Times New Roman" w:hAnsi="Arial" w:cs="Arial"/>
          <w:spacing w:val="-3"/>
          <w:sz w:val="24"/>
          <w:szCs w:val="24"/>
        </w:rPr>
        <w:t>report on patient numbers</w:t>
      </w:r>
      <w:r w:rsidR="43885319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instead of </w:t>
      </w:r>
      <w:r w:rsidR="28E84688" w:rsidRPr="00086791">
        <w:rPr>
          <w:rFonts w:ascii="Arial" w:eastAsia="Times New Roman" w:hAnsi="Arial" w:cs="Arial"/>
          <w:spacing w:val="-3"/>
          <w:sz w:val="24"/>
          <w:szCs w:val="24"/>
        </w:rPr>
        <w:t>procedures.</w:t>
      </w:r>
    </w:p>
    <w:p w14:paraId="5AD8420A" w14:textId="7ED28943" w:rsidR="00A34F10" w:rsidRPr="00283C83" w:rsidRDefault="00A34F10" w:rsidP="00065CAC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534C587" w14:textId="0CE91091" w:rsidR="00A34F10" w:rsidRPr="00283C83" w:rsidRDefault="1E4ED397" w:rsidP="00065CAC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Furthermore, 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CfSD have adopted a similar approach by producing an update report </w:t>
      </w:r>
      <w:r w:rsidR="4CC77689" w:rsidRPr="00086791">
        <w:rPr>
          <w:rFonts w:ascii="Arial" w:eastAsia="Times New Roman" w:hAnsi="Arial" w:cs="Arial"/>
          <w:spacing w:val="-3"/>
          <w:sz w:val="24"/>
          <w:szCs w:val="24"/>
        </w:rPr>
        <w:t>which is approved through</w:t>
      </w:r>
      <w:r w:rsidR="004B0CBA">
        <w:rPr>
          <w:rFonts w:ascii="Arial" w:eastAsia="Times New Roman" w:hAnsi="Arial" w:cs="Arial"/>
          <w:spacing w:val="-3"/>
          <w:sz w:val="24"/>
          <w:szCs w:val="24"/>
        </w:rPr>
        <w:t xml:space="preserve"> the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A34F10">
        <w:rPr>
          <w:rFonts w:ascii="Arial" w:eastAsia="Times New Roman" w:hAnsi="Arial" w:cs="Arial"/>
          <w:spacing w:val="-3"/>
          <w:sz w:val="24"/>
          <w:szCs w:val="24"/>
        </w:rPr>
        <w:t>Strategic Portfolio Governance Committee (SPGC)</w:t>
      </w:r>
      <w:r w:rsidR="00A34F10" w:rsidRPr="00086791">
        <w:rPr>
          <w:rFonts w:ascii="Arial" w:eastAsia="Times New Roman" w:hAnsi="Arial" w:cs="Arial"/>
          <w:spacing w:val="-3"/>
          <w:sz w:val="24"/>
          <w:szCs w:val="24"/>
        </w:rPr>
        <w:t>.</w:t>
      </w:r>
      <w:r w:rsidR="00A34F10" w:rsidRPr="00086791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</w:t>
      </w:r>
      <w:r w:rsidR="3B394FFB" w:rsidRPr="00086791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Due to the next SPGC scheduled for September 2025, the CfSD Q1 Update Report was signed off by the National Associate Director</w:t>
      </w:r>
      <w:r w:rsidR="28B8F67F" w:rsidRPr="00086791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 xml:space="preserve"> on 10 July 2025</w:t>
      </w:r>
      <w:r w:rsidR="3B394FFB" w:rsidRPr="00086791">
        <w:rPr>
          <w:rFonts w:ascii="Arial" w:eastAsia="Times New Roman" w:hAnsi="Arial" w:cs="Arial"/>
          <w:color w:val="000000"/>
          <w:spacing w:val="-3"/>
          <w:sz w:val="24"/>
          <w:szCs w:val="24"/>
          <w:lang w:eastAsia="en-GB"/>
        </w:rPr>
        <w:t>.</w:t>
      </w:r>
    </w:p>
    <w:p w14:paraId="3C83A161" w14:textId="5C33C121" w:rsidR="00A34F10" w:rsidRPr="00283C83" w:rsidRDefault="00A34F10" w:rsidP="00065CAC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D2631E4" w14:textId="3C48C6E5" w:rsidR="00A34F10" w:rsidRDefault="00A34F10" w:rsidP="697A1FB8">
      <w:pPr>
        <w:spacing w:after="0"/>
        <w:rPr>
          <w:rFonts w:ascii="Arial Narrow" w:eastAsia="Times New Roman" w:hAnsi="Arial Narrow" w:cs="Arial"/>
          <w:color w:val="000000" w:themeColor="text1"/>
          <w:sz w:val="24"/>
          <w:szCs w:val="24"/>
          <w:lang w:eastAsia="en-GB"/>
        </w:rPr>
      </w:pPr>
    </w:p>
    <w:p w14:paraId="1D54E97F" w14:textId="7F3537D7" w:rsidR="00A34F10" w:rsidRDefault="00A34F10" w:rsidP="00A34F1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5DFDB77D">
        <w:rPr>
          <w:rFonts w:ascii="Arial" w:hAnsi="Arial" w:cs="Arial"/>
          <w:b/>
          <w:bCs/>
          <w:sz w:val="24"/>
          <w:szCs w:val="24"/>
        </w:rPr>
        <w:t xml:space="preserve">Quarter </w:t>
      </w:r>
      <w:r w:rsidR="1ADEEB0B" w:rsidRPr="5DFDB77D">
        <w:rPr>
          <w:rFonts w:ascii="Arial" w:hAnsi="Arial" w:cs="Arial"/>
          <w:b/>
          <w:bCs/>
          <w:sz w:val="24"/>
          <w:szCs w:val="24"/>
        </w:rPr>
        <w:t>1</w:t>
      </w:r>
      <w:r w:rsidRPr="5DFDB77D">
        <w:rPr>
          <w:rFonts w:ascii="Arial" w:hAnsi="Arial" w:cs="Arial"/>
          <w:b/>
          <w:bCs/>
          <w:sz w:val="24"/>
          <w:szCs w:val="24"/>
        </w:rPr>
        <w:t xml:space="preserve"> End Position</w:t>
      </w:r>
    </w:p>
    <w:p w14:paraId="5D8E75AA" w14:textId="748B3D3A" w:rsidR="00A34F10" w:rsidRPr="00086791" w:rsidRDefault="00A34F10" w:rsidP="00A34F10">
      <w:pPr>
        <w:rPr>
          <w:rFonts w:ascii="Arial" w:hAnsi="Arial" w:cs="Arial"/>
          <w:sz w:val="24"/>
          <w:szCs w:val="24"/>
        </w:rPr>
      </w:pPr>
      <w:r w:rsidRPr="5DFDB77D">
        <w:rPr>
          <w:rFonts w:ascii="Arial" w:hAnsi="Arial" w:cs="Arial"/>
          <w:b/>
          <w:bCs/>
          <w:sz w:val="24"/>
          <w:szCs w:val="24"/>
        </w:rPr>
        <w:t>Table 1</w:t>
      </w:r>
      <w:r w:rsidRPr="5DFDB77D">
        <w:rPr>
          <w:rFonts w:ascii="Arial" w:hAnsi="Arial" w:cs="Arial"/>
          <w:sz w:val="24"/>
          <w:szCs w:val="24"/>
        </w:rPr>
        <w:t xml:space="preserve"> shows the overall RAG status of the Board’s </w:t>
      </w:r>
      <w:r w:rsidR="00E558C3" w:rsidRPr="5DFDB77D">
        <w:rPr>
          <w:rFonts w:ascii="Arial" w:hAnsi="Arial" w:cs="Arial"/>
          <w:sz w:val="24"/>
          <w:szCs w:val="24"/>
        </w:rPr>
        <w:t xml:space="preserve">12 deliverables at quarter end as well as </w:t>
      </w:r>
      <w:r w:rsidR="47E2653D" w:rsidRPr="5DFDB77D">
        <w:rPr>
          <w:rFonts w:ascii="Arial" w:hAnsi="Arial" w:cs="Arial"/>
          <w:sz w:val="24"/>
          <w:szCs w:val="24"/>
        </w:rPr>
        <w:t xml:space="preserve">provides </w:t>
      </w:r>
      <w:r w:rsidR="00E558C3" w:rsidRPr="5DFDB77D">
        <w:rPr>
          <w:rFonts w:ascii="Arial" w:hAnsi="Arial" w:cs="Arial"/>
          <w:sz w:val="24"/>
          <w:szCs w:val="24"/>
        </w:rPr>
        <w:t xml:space="preserve">an indicative position for </w:t>
      </w:r>
      <w:r w:rsidR="5E9D827B" w:rsidRPr="5DFDB77D">
        <w:rPr>
          <w:rFonts w:ascii="Arial" w:hAnsi="Arial" w:cs="Arial"/>
          <w:sz w:val="24"/>
          <w:szCs w:val="24"/>
        </w:rPr>
        <w:t>Q</w:t>
      </w:r>
      <w:r w:rsidR="00E558C3" w:rsidRPr="5DFDB77D">
        <w:rPr>
          <w:rFonts w:ascii="Arial" w:hAnsi="Arial" w:cs="Arial"/>
          <w:sz w:val="24"/>
          <w:szCs w:val="24"/>
        </w:rPr>
        <w:t>uarter 2 (Q2):</w:t>
      </w:r>
    </w:p>
    <w:tbl>
      <w:tblPr>
        <w:tblW w:w="935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69"/>
        <w:gridCol w:w="2695"/>
        <w:gridCol w:w="2523"/>
        <w:gridCol w:w="2864"/>
      </w:tblGrid>
      <w:tr w:rsidR="00E558C3" w:rsidRPr="00E558C3" w14:paraId="40133F07" w14:textId="77777777" w:rsidTr="5DFDB77D">
        <w:trPr>
          <w:trHeight w:val="156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DCE4"/>
            <w:vAlign w:val="center"/>
            <w:hideMark/>
          </w:tcPr>
          <w:p w14:paraId="4A173BED" w14:textId="7D16FF59" w:rsidR="00E558C3" w:rsidRPr="00E558C3" w:rsidRDefault="00E558C3" w:rsidP="00E558C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RAG Status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14:paraId="7862D6D3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Q1 Position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14:paraId="02D853CB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Indicative Q2 Position</w:t>
            </w:r>
          </w:p>
        </w:tc>
      </w:tr>
      <w:tr w:rsidR="00E558C3" w:rsidRPr="00E558C3" w14:paraId="58AEEB27" w14:textId="77777777" w:rsidTr="5DFDB77D">
        <w:trPr>
          <w:trHeight w:val="67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D65D6CC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24"/>
                <w:szCs w:val="24"/>
                <w:lang w:eastAsia="en-GB"/>
              </w:rPr>
            </w:pPr>
            <w:r w:rsidRPr="5DFDB77D">
              <w:rPr>
                <w:rFonts w:ascii="Wingdings" w:eastAsia="Times New Roman" w:hAnsi="Wingdings" w:cs="Calibri"/>
                <w:color w:val="FF0000"/>
                <w:sz w:val="24"/>
                <w:szCs w:val="24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622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Unlikely to complete on time / meet target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78B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B3F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</w:tr>
      <w:tr w:rsidR="00E558C3" w:rsidRPr="00E558C3" w14:paraId="75FDEC5F" w14:textId="77777777" w:rsidTr="5DFDB77D">
        <w:trPr>
          <w:trHeight w:val="67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9802B02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Wingdings" w:eastAsia="Times New Roman" w:hAnsi="Wingdings" w:cs="Calibri"/>
                <w:color w:val="FFC000" w:themeColor="accent4"/>
                <w:sz w:val="24"/>
                <w:szCs w:val="24"/>
                <w:lang w:eastAsia="en-GB"/>
              </w:rPr>
              <w:t></w:t>
            </w:r>
            <w:r w:rsidRPr="5DFDB7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</w:t>
            </w:r>
            <w:r w:rsidRPr="5DFDB77D">
              <w:rPr>
                <w:rFonts w:ascii="Wingdings" w:eastAsia="Times New Roman" w:hAnsi="Wingdings" w:cs="Calibri"/>
                <w:color w:val="FF0000"/>
                <w:sz w:val="24"/>
                <w:szCs w:val="24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BE85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Potential status change to Red based on current intelligence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E981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D6FF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</w:tr>
      <w:tr w:rsidR="00E558C3" w:rsidRPr="00E558C3" w14:paraId="28904BE6" w14:textId="77777777" w:rsidTr="5DFDB77D"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961DC65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4"/>
                <w:szCs w:val="24"/>
                <w:lang w:eastAsia="en-GB"/>
              </w:rPr>
            </w:pPr>
            <w:r w:rsidRPr="5DFDB77D">
              <w:rPr>
                <w:rFonts w:ascii="Wingdings" w:eastAsia="Times New Roman" w:hAnsi="Wingdings" w:cs="Calibri"/>
                <w:color w:val="FFC000" w:themeColor="accent4"/>
                <w:sz w:val="24"/>
                <w:szCs w:val="24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C71D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At risk - requires action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74C1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0C6B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E558C3" w:rsidRPr="00E558C3" w14:paraId="74F5AB07" w14:textId="77777777" w:rsidTr="5DFDB77D">
        <w:trPr>
          <w:trHeight w:val="67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2BC8707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Wingdings" w:eastAsia="Times New Roman" w:hAnsi="Wingdings" w:cs="Calibri"/>
                <w:color w:val="FFC000" w:themeColor="accent4"/>
                <w:sz w:val="24"/>
                <w:szCs w:val="24"/>
                <w:lang w:eastAsia="en-GB"/>
              </w:rPr>
              <w:t></w:t>
            </w:r>
            <w:r w:rsidRPr="5DFDB7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</w:t>
            </w:r>
            <w:r w:rsidRPr="5DFDB77D">
              <w:rPr>
                <w:rFonts w:ascii="Wingdings" w:eastAsia="Times New Roman" w:hAnsi="Wingdings" w:cs="Calibri"/>
                <w:color w:val="00B050"/>
                <w:sz w:val="24"/>
                <w:szCs w:val="24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F487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Potential status change to Green based on current intelligence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8D7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CC3B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5DFDB77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</w:tr>
      <w:tr w:rsidR="00E558C3" w:rsidRPr="00E558C3" w14:paraId="37FD46C5" w14:textId="77777777" w:rsidTr="5DFDB77D">
        <w:trPr>
          <w:trHeight w:val="11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FAF2335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24"/>
                <w:szCs w:val="56"/>
                <w:lang w:eastAsia="en-GB"/>
              </w:rPr>
            </w:pPr>
            <w:r w:rsidRPr="00E558C3">
              <w:rPr>
                <w:rFonts w:ascii="Wingdings" w:eastAsia="Times New Roman" w:hAnsi="Wingdings" w:cs="Calibri"/>
                <w:color w:val="00B050"/>
                <w:sz w:val="24"/>
                <w:szCs w:val="56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5EE0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 track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A12D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011A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E558C3" w:rsidRPr="00E558C3" w14:paraId="3DD57F26" w14:textId="77777777" w:rsidTr="5DFDB77D">
        <w:trPr>
          <w:trHeight w:val="13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A90C504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5B9BD5"/>
                <w:sz w:val="24"/>
                <w:szCs w:val="56"/>
                <w:lang w:eastAsia="en-GB"/>
              </w:rPr>
            </w:pPr>
            <w:r w:rsidRPr="00E558C3">
              <w:rPr>
                <w:rFonts w:ascii="Wingdings" w:eastAsia="Times New Roman" w:hAnsi="Wingdings" w:cs="Calibri"/>
                <w:color w:val="5B9BD5"/>
                <w:sz w:val="24"/>
                <w:szCs w:val="56"/>
                <w:lang w:eastAsia="en-GB"/>
              </w:rPr>
              <w:t>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EEEF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Complete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47C7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67FF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E558C3" w:rsidRPr="00E558C3" w14:paraId="252BAB5E" w14:textId="77777777" w:rsidTr="5DFDB77D">
        <w:trPr>
          <w:trHeight w:val="11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27BA2A8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D64F" w14:textId="77777777" w:rsidR="00E558C3" w:rsidRPr="00E558C3" w:rsidRDefault="00E558C3" w:rsidP="00E55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Total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EEA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6C61" w14:textId="77777777" w:rsidR="00E558C3" w:rsidRPr="00E558C3" w:rsidRDefault="00E558C3" w:rsidP="00E55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</w:tbl>
    <w:p w14:paraId="344F614A" w14:textId="0645E3A5" w:rsidR="00A34F10" w:rsidRPr="007373C4" w:rsidRDefault="00E558C3" w:rsidP="5AC8C2BD">
      <w:pPr>
        <w:pStyle w:val="Caption"/>
        <w:rPr>
          <w:rFonts w:ascii="Arial" w:hAnsi="Arial" w:cs="Arial"/>
          <w:b/>
          <w:bCs/>
          <w:color w:val="auto"/>
        </w:rPr>
      </w:pPr>
      <w:r w:rsidRPr="5AC8C2BD">
        <w:rPr>
          <w:rFonts w:ascii="Arial" w:hAnsi="Arial" w:cs="Arial"/>
          <w:b/>
          <w:bCs/>
          <w:color w:val="auto"/>
        </w:rPr>
        <w:t>Table 1: Q1</w:t>
      </w:r>
      <w:r w:rsidR="00A34F10" w:rsidRPr="5AC8C2BD">
        <w:rPr>
          <w:rFonts w:ascii="Arial" w:hAnsi="Arial" w:cs="Arial"/>
          <w:b/>
          <w:bCs/>
          <w:color w:val="auto"/>
        </w:rPr>
        <w:t xml:space="preserve"> End Position </w:t>
      </w:r>
      <w:r w:rsidR="5D30543C" w:rsidRPr="5AC8C2BD">
        <w:rPr>
          <w:rFonts w:ascii="Arial" w:hAnsi="Arial" w:cs="Arial"/>
          <w:b/>
          <w:bCs/>
          <w:color w:val="auto"/>
        </w:rPr>
        <w:t>and Indicat</w:t>
      </w:r>
      <w:r w:rsidR="5526E33C" w:rsidRPr="5AC8C2BD">
        <w:rPr>
          <w:rFonts w:ascii="Arial" w:hAnsi="Arial" w:cs="Arial"/>
          <w:b/>
          <w:bCs/>
          <w:color w:val="auto"/>
        </w:rPr>
        <w:t>ive Q2 Position</w:t>
      </w:r>
    </w:p>
    <w:p w14:paraId="64541A8A" w14:textId="13DB045D" w:rsidR="00A34F10" w:rsidRPr="00E558C3" w:rsidRDefault="00E558C3" w:rsidP="00E558C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558C3">
        <w:rPr>
          <w:rFonts w:ascii="Arial" w:hAnsi="Arial" w:cs="Arial"/>
          <w:b/>
          <w:sz w:val="24"/>
        </w:rPr>
        <w:t>Q1 end position:</w:t>
      </w:r>
      <w:r>
        <w:rPr>
          <w:rFonts w:ascii="Arial" w:hAnsi="Arial" w:cs="Arial"/>
          <w:sz w:val="24"/>
        </w:rPr>
        <w:t xml:space="preserve"> 7 green deliverables, 5 amber deliverable, and 0 red deliverables</w:t>
      </w:r>
    </w:p>
    <w:p w14:paraId="118252BB" w14:textId="7E98F7D8" w:rsidR="00216623" w:rsidRPr="00AC42FA" w:rsidRDefault="00E558C3" w:rsidP="00A34F1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  <w:sectPr w:rsidR="00216623" w:rsidRPr="00AC42FA" w:rsidSect="002166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5AC8C2BD">
        <w:rPr>
          <w:rFonts w:ascii="Arial" w:hAnsi="Arial" w:cs="Arial"/>
          <w:sz w:val="24"/>
          <w:szCs w:val="24"/>
        </w:rPr>
        <w:t xml:space="preserve">The </w:t>
      </w:r>
      <w:r w:rsidRPr="5AC8C2BD">
        <w:rPr>
          <w:rFonts w:ascii="Arial" w:hAnsi="Arial" w:cs="Arial"/>
          <w:b/>
          <w:bCs/>
          <w:sz w:val="24"/>
          <w:szCs w:val="24"/>
        </w:rPr>
        <w:t>indicative Q2 position</w:t>
      </w:r>
      <w:r w:rsidRPr="5AC8C2BD">
        <w:rPr>
          <w:rFonts w:ascii="Arial" w:hAnsi="Arial" w:cs="Arial"/>
          <w:sz w:val="24"/>
          <w:szCs w:val="24"/>
        </w:rPr>
        <w:t xml:space="preserve"> projects a slight improvement</w:t>
      </w:r>
      <w:r w:rsidR="0307B51C" w:rsidRPr="5AC8C2BD">
        <w:rPr>
          <w:rFonts w:ascii="Arial" w:hAnsi="Arial" w:cs="Arial"/>
          <w:sz w:val="24"/>
          <w:szCs w:val="24"/>
        </w:rPr>
        <w:t xml:space="preserve"> with</w:t>
      </w:r>
      <w:r w:rsidRPr="5AC8C2BD">
        <w:rPr>
          <w:rFonts w:ascii="Arial" w:hAnsi="Arial" w:cs="Arial"/>
          <w:sz w:val="24"/>
          <w:szCs w:val="24"/>
        </w:rPr>
        <w:t xml:space="preserve"> 8 green deliverables, 4 amber deliverables, and 0 red deliverables</w:t>
      </w:r>
      <w:r w:rsidR="00AC42FA">
        <w:rPr>
          <w:rFonts w:ascii="Arial" w:hAnsi="Arial" w:cs="Arial"/>
          <w:sz w:val="24"/>
          <w:szCs w:val="24"/>
        </w:rPr>
        <w:t>.</w:t>
      </w:r>
    </w:p>
    <w:p w14:paraId="098B04FD" w14:textId="7FE4BD66" w:rsidR="00A34F10" w:rsidRDefault="00A34F10" w:rsidP="00A34F10">
      <w:pPr>
        <w:rPr>
          <w:rFonts w:ascii="Arial" w:hAnsi="Arial" w:cs="Arial"/>
          <w:sz w:val="24"/>
          <w:szCs w:val="24"/>
        </w:rPr>
      </w:pPr>
      <w:r w:rsidRPr="5AC8C2BD">
        <w:rPr>
          <w:rFonts w:ascii="Arial" w:hAnsi="Arial" w:cs="Arial"/>
          <w:sz w:val="24"/>
          <w:szCs w:val="24"/>
        </w:rPr>
        <w:lastRenderedPageBreak/>
        <w:t xml:space="preserve">Due to issues highlighted in </w:t>
      </w:r>
      <w:r w:rsidRPr="5AC8C2BD">
        <w:rPr>
          <w:rFonts w:ascii="Arial" w:hAnsi="Arial" w:cs="Arial"/>
          <w:b/>
          <w:bCs/>
          <w:sz w:val="24"/>
          <w:szCs w:val="24"/>
        </w:rPr>
        <w:t>Table 2</w:t>
      </w:r>
      <w:r w:rsidRPr="5AC8C2BD">
        <w:rPr>
          <w:rFonts w:ascii="Arial" w:hAnsi="Arial" w:cs="Arial"/>
          <w:sz w:val="24"/>
          <w:szCs w:val="24"/>
        </w:rPr>
        <w:t xml:space="preserve"> below, the following </w:t>
      </w:r>
      <w:r w:rsidR="57AC8294" w:rsidRPr="5AC8C2BD">
        <w:rPr>
          <w:rFonts w:ascii="Arial" w:hAnsi="Arial" w:cs="Arial"/>
          <w:sz w:val="24"/>
          <w:szCs w:val="24"/>
        </w:rPr>
        <w:t>5</w:t>
      </w:r>
      <w:r w:rsidRPr="5AC8C2BD">
        <w:rPr>
          <w:rFonts w:ascii="Arial" w:hAnsi="Arial" w:cs="Arial"/>
          <w:sz w:val="24"/>
          <w:szCs w:val="24"/>
        </w:rPr>
        <w:t xml:space="preserve"> deliverables have been</w:t>
      </w:r>
      <w:r w:rsidR="00E558C3" w:rsidRPr="5AC8C2BD">
        <w:rPr>
          <w:rFonts w:ascii="Arial" w:hAnsi="Arial" w:cs="Arial"/>
          <w:sz w:val="24"/>
          <w:szCs w:val="24"/>
        </w:rPr>
        <w:t xml:space="preserve"> assigned amber RAG status at Q1</w:t>
      </w:r>
      <w:r w:rsidRPr="5AC8C2BD">
        <w:rPr>
          <w:rFonts w:ascii="Arial" w:hAnsi="Arial" w:cs="Arial"/>
          <w:sz w:val="24"/>
          <w:szCs w:val="24"/>
        </w:rPr>
        <w:t xml:space="preserve"> end</w:t>
      </w:r>
      <w:r w:rsidR="001534E9" w:rsidRPr="5AC8C2BD">
        <w:rPr>
          <w:rFonts w:ascii="Arial" w:hAnsi="Arial" w:cs="Arial"/>
          <w:sz w:val="24"/>
          <w:szCs w:val="24"/>
        </w:rPr>
        <w:t xml:space="preserve">. </w:t>
      </w:r>
    </w:p>
    <w:tbl>
      <w:tblPr>
        <w:tblW w:w="1417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5"/>
        <w:gridCol w:w="1284"/>
        <w:gridCol w:w="5374"/>
        <w:gridCol w:w="993"/>
        <w:gridCol w:w="5244"/>
      </w:tblGrid>
      <w:tr w:rsidR="00216623" w:rsidRPr="008E0CF4" w14:paraId="15543248" w14:textId="77777777" w:rsidTr="7E049FB1">
        <w:trPr>
          <w:trHeight w:val="649"/>
        </w:trPr>
        <w:tc>
          <w:tcPr>
            <w:tcW w:w="1297" w:type="dxa"/>
            <w:shd w:val="clear" w:color="auto" w:fill="D6DCE4"/>
            <w:vAlign w:val="center"/>
            <w:hideMark/>
          </w:tcPr>
          <w:p w14:paraId="2E6AD67F" w14:textId="0F007659" w:rsidR="00E558C3" w:rsidRPr="00E558C3" w:rsidRDefault="025971BF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Delivery Area</w:t>
            </w:r>
          </w:p>
        </w:tc>
        <w:tc>
          <w:tcPr>
            <w:tcW w:w="966" w:type="dxa"/>
            <w:shd w:val="clear" w:color="auto" w:fill="D6DCE4"/>
            <w:vAlign w:val="center"/>
            <w:hideMark/>
          </w:tcPr>
          <w:p w14:paraId="53B399FB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GJ Deliverable Reference</w:t>
            </w:r>
          </w:p>
        </w:tc>
        <w:tc>
          <w:tcPr>
            <w:tcW w:w="5670" w:type="dxa"/>
            <w:shd w:val="clear" w:color="auto" w:fill="D6DCE4"/>
            <w:vAlign w:val="center"/>
            <w:hideMark/>
          </w:tcPr>
          <w:p w14:paraId="2C2715D7" w14:textId="55936E19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Deliverable</w:t>
            </w:r>
          </w:p>
        </w:tc>
        <w:tc>
          <w:tcPr>
            <w:tcW w:w="993" w:type="dxa"/>
            <w:shd w:val="clear" w:color="auto" w:fill="D6DCE4"/>
            <w:vAlign w:val="center"/>
            <w:hideMark/>
          </w:tcPr>
          <w:p w14:paraId="727DA2E8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Q1 RAG Status</w:t>
            </w:r>
          </w:p>
        </w:tc>
        <w:tc>
          <w:tcPr>
            <w:tcW w:w="5244" w:type="dxa"/>
            <w:shd w:val="clear" w:color="auto" w:fill="D6DCE4"/>
            <w:vAlign w:val="center"/>
            <w:hideMark/>
          </w:tcPr>
          <w:p w14:paraId="58DF9B43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Progress Notes</w:t>
            </w:r>
          </w:p>
        </w:tc>
      </w:tr>
      <w:tr w:rsidR="008A5E5C" w:rsidRPr="008E0CF4" w14:paraId="3DF67D70" w14:textId="77777777" w:rsidTr="7E049FB1">
        <w:trPr>
          <w:trHeight w:val="1320"/>
        </w:trPr>
        <w:tc>
          <w:tcPr>
            <w:tcW w:w="1297" w:type="dxa"/>
            <w:vAlign w:val="center"/>
            <w:hideMark/>
          </w:tcPr>
          <w:p w14:paraId="05E7771B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Planned Care</w:t>
            </w:r>
          </w:p>
        </w:tc>
        <w:tc>
          <w:tcPr>
            <w:tcW w:w="966" w:type="dxa"/>
            <w:vAlign w:val="center"/>
            <w:hideMark/>
          </w:tcPr>
          <w:p w14:paraId="1BD0FEC8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1.1c</w:t>
            </w:r>
          </w:p>
        </w:tc>
        <w:tc>
          <w:tcPr>
            <w:tcW w:w="5670" w:type="dxa"/>
            <w:vAlign w:val="center"/>
            <w:hideMark/>
          </w:tcPr>
          <w:p w14:paraId="3BCB0C6F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i) Reduce the number of patients waiting over 52 weeks for an interventional cardiology procedure.</w:t>
            </w:r>
            <w:r>
              <w:br/>
            </w:r>
            <w:r>
              <w:br/>
            </w:r>
            <w:r w:rsidRPr="5AC8C2B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ii) Reduce the wait for cardiac imaging and increase the number of patients receiving a scan within 6 weeks of referral. May 2025 position - 52% within 6 weeks.</w:t>
            </w:r>
          </w:p>
        </w:tc>
        <w:tc>
          <w:tcPr>
            <w:tcW w:w="993" w:type="dxa"/>
            <w:noWrap/>
            <w:vAlign w:val="center"/>
            <w:hideMark/>
          </w:tcPr>
          <w:p w14:paraId="77A8C6A0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0"/>
                <w:szCs w:val="20"/>
                <w:lang w:eastAsia="en-GB"/>
              </w:rPr>
            </w:pPr>
            <w:r w:rsidRPr="5AC8C2BD">
              <w:rPr>
                <w:rFonts w:ascii="Wingdings" w:eastAsia="Times New Roman" w:hAnsi="Wingdings" w:cs="Calibri"/>
                <w:color w:val="FFC000" w:themeColor="accent4"/>
                <w:sz w:val="20"/>
                <w:szCs w:val="20"/>
                <w:lang w:eastAsia="en-GB"/>
              </w:rPr>
              <w:t></w:t>
            </w:r>
          </w:p>
        </w:tc>
        <w:tc>
          <w:tcPr>
            <w:tcW w:w="5244" w:type="dxa"/>
            <w:hideMark/>
          </w:tcPr>
          <w:p w14:paraId="20D8F332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 planned care funding received for &gt;52 week patients.</w:t>
            </w:r>
            <w:r>
              <w:br/>
            </w:r>
            <w:r>
              <w:br/>
            </w: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Monitoring arrangements agreed.</w:t>
            </w:r>
          </w:p>
        </w:tc>
      </w:tr>
      <w:tr w:rsidR="00216623" w:rsidRPr="008E0CF4" w14:paraId="1D4E1A26" w14:textId="77777777" w:rsidTr="7E049FB1">
        <w:trPr>
          <w:trHeight w:val="659"/>
        </w:trPr>
        <w:tc>
          <w:tcPr>
            <w:tcW w:w="1297" w:type="dxa"/>
            <w:shd w:val="clear" w:color="auto" w:fill="EDEDED" w:themeFill="accent3" w:themeFillTint="33"/>
            <w:vAlign w:val="center"/>
            <w:hideMark/>
          </w:tcPr>
          <w:p w14:paraId="3436F4F9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Cancer Care</w:t>
            </w:r>
          </w:p>
        </w:tc>
        <w:tc>
          <w:tcPr>
            <w:tcW w:w="966" w:type="dxa"/>
            <w:shd w:val="clear" w:color="auto" w:fill="EDEDED" w:themeFill="accent3" w:themeFillTint="33"/>
            <w:vAlign w:val="center"/>
            <w:hideMark/>
          </w:tcPr>
          <w:p w14:paraId="3B60D2A4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2.2a</w:t>
            </w:r>
          </w:p>
        </w:tc>
        <w:tc>
          <w:tcPr>
            <w:tcW w:w="5670" w:type="dxa"/>
            <w:shd w:val="clear" w:color="auto" w:fill="EDEDED" w:themeFill="accent3" w:themeFillTint="33"/>
            <w:vAlign w:val="center"/>
            <w:hideMark/>
          </w:tcPr>
          <w:p w14:paraId="0C7DC3C9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 achieve the 2025/26 ADP target for endoscopy.</w:t>
            </w:r>
          </w:p>
        </w:tc>
        <w:tc>
          <w:tcPr>
            <w:tcW w:w="993" w:type="dxa"/>
            <w:shd w:val="clear" w:color="auto" w:fill="EDEDED" w:themeFill="accent3" w:themeFillTint="33"/>
            <w:noWrap/>
            <w:vAlign w:val="center"/>
            <w:hideMark/>
          </w:tcPr>
          <w:p w14:paraId="4FCCA034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0"/>
                <w:szCs w:val="20"/>
                <w:lang w:eastAsia="en-GB"/>
              </w:rPr>
            </w:pPr>
            <w:r w:rsidRPr="5AC8C2BD">
              <w:rPr>
                <w:rFonts w:ascii="Wingdings" w:eastAsia="Times New Roman" w:hAnsi="Wingdings" w:cs="Calibri"/>
                <w:color w:val="FFC000" w:themeColor="accent4"/>
                <w:sz w:val="20"/>
                <w:szCs w:val="20"/>
                <w:lang w:eastAsia="en-GB"/>
              </w:rPr>
              <w:t></w:t>
            </w:r>
          </w:p>
        </w:tc>
        <w:tc>
          <w:tcPr>
            <w:tcW w:w="5244" w:type="dxa"/>
            <w:shd w:val="clear" w:color="auto" w:fill="EDEDED" w:themeFill="accent3" w:themeFillTint="33"/>
            <w:hideMark/>
          </w:tcPr>
          <w:p w14:paraId="782ACED8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3% behind ADP (71 procedures) in Q1 related to workforce challenges with non-medical endoscopists. Recruitment has taken place and recovery expected by Q2.</w:t>
            </w:r>
          </w:p>
        </w:tc>
      </w:tr>
      <w:tr w:rsidR="008A5E5C" w:rsidRPr="008E0CF4" w14:paraId="16527946" w14:textId="77777777" w:rsidTr="7E049FB1">
        <w:trPr>
          <w:trHeight w:val="1112"/>
        </w:trPr>
        <w:tc>
          <w:tcPr>
            <w:tcW w:w="1297" w:type="dxa"/>
            <w:vAlign w:val="center"/>
            <w:hideMark/>
          </w:tcPr>
          <w:p w14:paraId="584DEA03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GJ Planning Priority</w:t>
            </w:r>
          </w:p>
        </w:tc>
        <w:tc>
          <w:tcPr>
            <w:tcW w:w="966" w:type="dxa"/>
            <w:vAlign w:val="center"/>
            <w:hideMark/>
          </w:tcPr>
          <w:p w14:paraId="4017567F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5670" w:type="dxa"/>
            <w:vAlign w:val="center"/>
            <w:hideMark/>
          </w:tcPr>
          <w:p w14:paraId="5A5E2512" w14:textId="279F7660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85F3A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Delivery of the established ophthalmology ADP,</w:t>
            </w:r>
            <w:r w:rsidR="172B2B8A" w:rsidRPr="785F3A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785F3A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recruitment of suitable faculty by NHSSA planned for Nov 2025. </w:t>
            </w:r>
          </w:p>
        </w:tc>
        <w:tc>
          <w:tcPr>
            <w:tcW w:w="993" w:type="dxa"/>
            <w:noWrap/>
            <w:vAlign w:val="center"/>
            <w:hideMark/>
          </w:tcPr>
          <w:p w14:paraId="68C102B2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0"/>
                <w:szCs w:val="20"/>
                <w:lang w:eastAsia="en-GB"/>
              </w:rPr>
            </w:pPr>
            <w:r w:rsidRPr="5AC8C2BD">
              <w:rPr>
                <w:rFonts w:ascii="Wingdings" w:eastAsia="Times New Roman" w:hAnsi="Wingdings" w:cs="Calibri"/>
                <w:color w:val="FFC000" w:themeColor="accent4"/>
                <w:sz w:val="20"/>
                <w:szCs w:val="20"/>
                <w:lang w:eastAsia="en-GB"/>
              </w:rPr>
              <w:t></w:t>
            </w:r>
          </w:p>
        </w:tc>
        <w:tc>
          <w:tcPr>
            <w:tcW w:w="5244" w:type="dxa"/>
            <w:vAlign w:val="center"/>
            <w:hideMark/>
          </w:tcPr>
          <w:p w14:paraId="4F915ABA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Recruitment by NHSSA for trainers is expected in Q2. Until there is a clear recruitment plan an options paper is being developed to detail ways in which the ADP can be increased via existing service. Ophthalmology is 47% ahead of ADP in Q1.</w:t>
            </w:r>
          </w:p>
        </w:tc>
      </w:tr>
      <w:tr w:rsidR="00216623" w:rsidRPr="008E0CF4" w14:paraId="434F1239" w14:textId="77777777" w:rsidTr="7E049FB1">
        <w:trPr>
          <w:trHeight w:val="405"/>
        </w:trPr>
        <w:tc>
          <w:tcPr>
            <w:tcW w:w="1297" w:type="dxa"/>
            <w:shd w:val="clear" w:color="auto" w:fill="EDEDED" w:themeFill="accent3" w:themeFillTint="33"/>
            <w:vAlign w:val="center"/>
            <w:hideMark/>
          </w:tcPr>
          <w:p w14:paraId="750334E3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GJ Planning Priority</w:t>
            </w:r>
          </w:p>
        </w:tc>
        <w:tc>
          <w:tcPr>
            <w:tcW w:w="966" w:type="dxa"/>
            <w:shd w:val="clear" w:color="auto" w:fill="EDEDED" w:themeFill="accent3" w:themeFillTint="33"/>
            <w:vAlign w:val="center"/>
            <w:hideMark/>
          </w:tcPr>
          <w:p w14:paraId="1710ED17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5.3c</w:t>
            </w:r>
          </w:p>
        </w:tc>
        <w:tc>
          <w:tcPr>
            <w:tcW w:w="5670" w:type="dxa"/>
            <w:shd w:val="clear" w:color="auto" w:fill="EDEDED" w:themeFill="accent3" w:themeFillTint="33"/>
            <w:vAlign w:val="center"/>
            <w:hideMark/>
          </w:tcPr>
          <w:p w14:paraId="7F64524F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Achieve the planned care profile for 5/7 working. </w:t>
            </w:r>
          </w:p>
        </w:tc>
        <w:tc>
          <w:tcPr>
            <w:tcW w:w="993" w:type="dxa"/>
            <w:shd w:val="clear" w:color="auto" w:fill="EDEDED" w:themeFill="accent3" w:themeFillTint="33"/>
            <w:noWrap/>
            <w:vAlign w:val="center"/>
            <w:hideMark/>
          </w:tcPr>
          <w:p w14:paraId="46B6A16D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0"/>
                <w:szCs w:val="20"/>
                <w:lang w:eastAsia="en-GB"/>
              </w:rPr>
            </w:pPr>
            <w:r w:rsidRPr="5AC8C2BD">
              <w:rPr>
                <w:rFonts w:ascii="Wingdings" w:eastAsia="Times New Roman" w:hAnsi="Wingdings" w:cs="Calibri"/>
                <w:color w:val="FFC000" w:themeColor="accent4"/>
                <w:sz w:val="20"/>
                <w:szCs w:val="20"/>
                <w:lang w:eastAsia="en-GB"/>
              </w:rPr>
              <w:t></w:t>
            </w:r>
          </w:p>
        </w:tc>
        <w:tc>
          <w:tcPr>
            <w:tcW w:w="5244" w:type="dxa"/>
            <w:shd w:val="clear" w:color="auto" w:fill="EDEDED" w:themeFill="accent3" w:themeFillTint="33"/>
            <w:noWrap/>
            <w:vAlign w:val="center"/>
            <w:hideMark/>
          </w:tcPr>
          <w:p w14:paraId="675BAED5" w14:textId="287DC7BA" w:rsidR="00E558C3" w:rsidRPr="00E558C3" w:rsidRDefault="50108CBE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130D43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to Planned Care funding not being approved until mid-May, recruitment was commenced much later than the original business case described causing delay in confirmation of 5/7 profile.</w:t>
            </w:r>
          </w:p>
        </w:tc>
      </w:tr>
      <w:tr w:rsidR="008A5E5C" w:rsidRPr="008E0CF4" w14:paraId="28A73FE0" w14:textId="77777777" w:rsidTr="7E049FB1">
        <w:trPr>
          <w:trHeight w:val="1552"/>
        </w:trPr>
        <w:tc>
          <w:tcPr>
            <w:tcW w:w="1297" w:type="dxa"/>
            <w:vAlign w:val="center"/>
            <w:hideMark/>
          </w:tcPr>
          <w:p w14:paraId="4B7ADD50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GJ Planning Priority</w:t>
            </w:r>
          </w:p>
        </w:tc>
        <w:tc>
          <w:tcPr>
            <w:tcW w:w="966" w:type="dxa"/>
            <w:vAlign w:val="center"/>
            <w:hideMark/>
          </w:tcPr>
          <w:p w14:paraId="43892047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5.9</w:t>
            </w:r>
          </w:p>
        </w:tc>
        <w:tc>
          <w:tcPr>
            <w:tcW w:w="5670" w:type="dxa"/>
            <w:vAlign w:val="center"/>
            <w:hideMark/>
          </w:tcPr>
          <w:p w14:paraId="7EA811F1" w14:textId="77777777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5AC8C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Develop and publish 3 Year Workforce Plan to support NHS GJ's strategic ambitions.</w:t>
            </w:r>
          </w:p>
        </w:tc>
        <w:tc>
          <w:tcPr>
            <w:tcW w:w="993" w:type="dxa"/>
            <w:noWrap/>
            <w:vAlign w:val="center"/>
            <w:hideMark/>
          </w:tcPr>
          <w:p w14:paraId="10C535B4" w14:textId="77777777" w:rsidR="00E558C3" w:rsidRPr="00E558C3" w:rsidRDefault="00E558C3" w:rsidP="5AC8C2B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C000"/>
                <w:sz w:val="20"/>
                <w:szCs w:val="20"/>
                <w:lang w:eastAsia="en-GB"/>
              </w:rPr>
            </w:pPr>
            <w:r w:rsidRPr="5AC8C2BD">
              <w:rPr>
                <w:rFonts w:ascii="Wingdings" w:eastAsia="Times New Roman" w:hAnsi="Wingdings" w:cs="Calibri"/>
                <w:color w:val="FFC000" w:themeColor="accent4"/>
                <w:sz w:val="20"/>
                <w:szCs w:val="20"/>
                <w:lang w:eastAsia="en-GB"/>
              </w:rPr>
              <w:t></w:t>
            </w:r>
          </w:p>
        </w:tc>
        <w:tc>
          <w:tcPr>
            <w:tcW w:w="5244" w:type="dxa"/>
            <w:hideMark/>
          </w:tcPr>
          <w:p w14:paraId="78A9E446" w14:textId="6EF0C353" w:rsidR="00E558C3" w:rsidRPr="00E558C3" w:rsidRDefault="00E558C3" w:rsidP="5AC8C2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7E049F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Workforce Planning and Information lead </w:t>
            </w:r>
            <w:r w:rsidR="43D58A55" w:rsidRPr="7E049F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advertised,</w:t>
            </w:r>
            <w:r w:rsidRPr="7E049F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interviews took place on 30th June. We were unable to recruit.</w:t>
            </w:r>
            <w:r>
              <w:br/>
            </w:r>
            <w:r>
              <w:br/>
            </w:r>
            <w:r w:rsidRPr="7E049FB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Review will take place of the departmental resources, priorities and options regarding Workforce Planning Lead recruitment. Go out to market again for a Workforce Planning Lead in Q2.</w:t>
            </w:r>
          </w:p>
        </w:tc>
      </w:tr>
    </w:tbl>
    <w:p w14:paraId="2E248B4B" w14:textId="21D2DBF8" w:rsidR="00A34F10" w:rsidRPr="007373C4" w:rsidRDefault="00A34F10" w:rsidP="5AC8C2BD">
      <w:pPr>
        <w:spacing w:after="0"/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</w:pPr>
      <w:r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>Table 2: Q</w:t>
      </w:r>
      <w:r w:rsidR="57EF2AF3"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>1</w:t>
      </w:r>
      <w:r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 xml:space="preserve"> Amber Deliverables</w:t>
      </w:r>
    </w:p>
    <w:p w14:paraId="4DBFBF3E" w14:textId="63674C6E" w:rsidR="5AC8C2BD" w:rsidRDefault="5AC8C2BD" w:rsidP="5AC8C2BD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2DAF5F90" w14:textId="01DAA85F" w:rsidR="5AC8C2BD" w:rsidRDefault="5AC8C2BD" w:rsidP="5AC8C2BD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13952C83" w14:textId="75D0055A" w:rsidR="5AC8C2BD" w:rsidRDefault="5AC8C2BD" w:rsidP="5AC8C2BD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40CEA233" w14:textId="72BB507F" w:rsidR="00A34F10" w:rsidRDefault="00F47466" w:rsidP="5AC8C2BD">
      <w:pPr>
        <w:spacing w:after="0"/>
        <w:rPr>
          <w:rFonts w:ascii="Arial" w:hAnsi="Arial" w:cs="Arial"/>
          <w:sz w:val="24"/>
          <w:szCs w:val="24"/>
        </w:rPr>
      </w:pPr>
      <w:r w:rsidRPr="1D3096AD">
        <w:rPr>
          <w:rFonts w:ascii="Arial" w:hAnsi="Arial" w:cs="Arial"/>
          <w:sz w:val="24"/>
          <w:szCs w:val="24"/>
        </w:rPr>
        <w:lastRenderedPageBreak/>
        <w:t>T</w:t>
      </w:r>
      <w:r w:rsidR="00A34F10" w:rsidRPr="1D3096AD">
        <w:rPr>
          <w:rFonts w:ascii="Arial" w:hAnsi="Arial" w:cs="Arial"/>
          <w:sz w:val="24"/>
          <w:szCs w:val="24"/>
        </w:rPr>
        <w:t xml:space="preserve">he </w:t>
      </w:r>
      <w:r w:rsidR="725E4616" w:rsidRPr="1D3096AD">
        <w:rPr>
          <w:rFonts w:ascii="Arial" w:hAnsi="Arial" w:cs="Arial"/>
          <w:sz w:val="24"/>
          <w:szCs w:val="24"/>
        </w:rPr>
        <w:t xml:space="preserve">remaining </w:t>
      </w:r>
      <w:r w:rsidR="00424614">
        <w:rPr>
          <w:rFonts w:ascii="Arial" w:hAnsi="Arial" w:cs="Arial"/>
          <w:sz w:val="24"/>
          <w:szCs w:val="24"/>
        </w:rPr>
        <w:t>7</w:t>
      </w:r>
      <w:r w:rsidR="00A34F10" w:rsidRPr="1D3096AD">
        <w:rPr>
          <w:rFonts w:ascii="Arial" w:hAnsi="Arial" w:cs="Arial"/>
          <w:sz w:val="24"/>
          <w:szCs w:val="24"/>
        </w:rPr>
        <w:t xml:space="preserve"> deliverables</w:t>
      </w:r>
      <w:r w:rsidR="5F827F2D" w:rsidRPr="1D3096AD">
        <w:rPr>
          <w:rFonts w:ascii="Arial" w:hAnsi="Arial" w:cs="Arial"/>
          <w:sz w:val="24"/>
          <w:szCs w:val="24"/>
        </w:rPr>
        <w:t xml:space="preserve"> were</w:t>
      </w:r>
      <w:r w:rsidR="00A34F10" w:rsidRPr="1D3096AD">
        <w:rPr>
          <w:rFonts w:ascii="Arial" w:hAnsi="Arial" w:cs="Arial"/>
          <w:sz w:val="24"/>
          <w:szCs w:val="24"/>
        </w:rPr>
        <w:t xml:space="preserve"> </w:t>
      </w:r>
      <w:r w:rsidR="00FC7CC0" w:rsidRPr="1D3096AD">
        <w:rPr>
          <w:rFonts w:ascii="Arial" w:hAnsi="Arial" w:cs="Arial"/>
          <w:sz w:val="24"/>
          <w:szCs w:val="24"/>
        </w:rPr>
        <w:t>assigned Green RAG</w:t>
      </w:r>
      <w:r w:rsidR="00A34F10" w:rsidRPr="1D3096AD">
        <w:rPr>
          <w:rFonts w:ascii="Arial" w:hAnsi="Arial" w:cs="Arial"/>
          <w:sz w:val="24"/>
          <w:szCs w:val="24"/>
        </w:rPr>
        <w:t xml:space="preserve"> status </w:t>
      </w:r>
      <w:r w:rsidR="28084913" w:rsidRPr="1D3096AD">
        <w:rPr>
          <w:rFonts w:ascii="Arial" w:hAnsi="Arial" w:cs="Arial"/>
          <w:sz w:val="24"/>
          <w:szCs w:val="24"/>
        </w:rPr>
        <w:t xml:space="preserve">in Q1 </w:t>
      </w:r>
      <w:r w:rsidR="003B4CAE" w:rsidRPr="1D3096AD">
        <w:rPr>
          <w:rFonts w:ascii="Arial" w:hAnsi="Arial" w:cs="Arial"/>
          <w:sz w:val="24"/>
          <w:szCs w:val="24"/>
        </w:rPr>
        <w:t>are</w:t>
      </w:r>
      <w:r w:rsidR="00A34F10" w:rsidRPr="1D3096AD">
        <w:rPr>
          <w:rFonts w:ascii="Arial" w:hAnsi="Arial" w:cs="Arial"/>
          <w:sz w:val="24"/>
          <w:szCs w:val="24"/>
        </w:rPr>
        <w:t xml:space="preserve"> set out in </w:t>
      </w:r>
      <w:r w:rsidR="00A34F10" w:rsidRPr="1D3096AD">
        <w:rPr>
          <w:rFonts w:ascii="Arial" w:hAnsi="Arial" w:cs="Arial"/>
          <w:b/>
          <w:bCs/>
          <w:sz w:val="24"/>
          <w:szCs w:val="24"/>
        </w:rPr>
        <w:t>Table 3</w:t>
      </w:r>
      <w:r w:rsidR="00A34F10" w:rsidRPr="1D3096AD">
        <w:rPr>
          <w:rFonts w:ascii="Arial" w:hAnsi="Arial" w:cs="Arial"/>
          <w:sz w:val="24"/>
          <w:szCs w:val="24"/>
        </w:rPr>
        <w:t xml:space="preserve"> below:</w:t>
      </w:r>
      <w:r>
        <w:br/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50"/>
        <w:gridCol w:w="1725"/>
        <w:gridCol w:w="9225"/>
        <w:gridCol w:w="1162"/>
      </w:tblGrid>
      <w:tr w:rsidR="5AC8C2BD" w14:paraId="07821C7E" w14:textId="77777777" w:rsidTr="5AC8C2BD">
        <w:trPr>
          <w:trHeight w:val="600"/>
        </w:trPr>
        <w:tc>
          <w:tcPr>
            <w:tcW w:w="1950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3B1EC6B1" w14:textId="21EE6C55" w:rsidR="59575B57" w:rsidRDefault="59575B57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Delivery Area</w:t>
            </w:r>
          </w:p>
        </w:tc>
        <w:tc>
          <w:tcPr>
            <w:tcW w:w="172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491558D3" w14:textId="3E754CEB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NHS GJ Deliverable Reference</w:t>
            </w:r>
          </w:p>
        </w:tc>
        <w:tc>
          <w:tcPr>
            <w:tcW w:w="922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6213187B" w14:textId="3B7C01DD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Deliverable </w:t>
            </w:r>
          </w:p>
        </w:tc>
        <w:tc>
          <w:tcPr>
            <w:tcW w:w="1162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0AC31D72" w14:textId="48285289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 RAG Status</w:t>
            </w:r>
          </w:p>
        </w:tc>
      </w:tr>
      <w:tr w:rsidR="5AC8C2BD" w14:paraId="258D5193" w14:textId="77777777" w:rsidTr="5AC8C2BD">
        <w:trPr>
          <w:trHeight w:val="390"/>
        </w:trPr>
        <w:tc>
          <w:tcPr>
            <w:tcW w:w="195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8FDF297" w14:textId="51B70685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Planned Care</w:t>
            </w:r>
          </w:p>
        </w:tc>
        <w:tc>
          <w:tcPr>
            <w:tcW w:w="17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C690E27" w14:textId="5A0B1D6E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1.1b</w:t>
            </w:r>
          </w:p>
        </w:tc>
        <w:tc>
          <w:tcPr>
            <w:tcW w:w="92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DDF8FF7" w14:textId="2AC57B8A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>NHS GJ local waits are maintained at either current levels or a maximum of 12 weeks.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E99BB20" w14:textId="451E80D4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116A0E67" w14:textId="77777777" w:rsidTr="5AC8C2BD">
        <w:trPr>
          <w:trHeight w:val="450"/>
        </w:trPr>
        <w:tc>
          <w:tcPr>
            <w:tcW w:w="19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8E4868" w14:textId="366DAD90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7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DE8E60" w14:textId="267DDC4D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5.3b</w:t>
            </w:r>
          </w:p>
        </w:tc>
        <w:tc>
          <w:tcPr>
            <w:tcW w:w="92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BDE718" w14:textId="24ED5DA8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>Achieve the planned care profile for CT3.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FE44B47" w14:textId="28107919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0FC3BE77" w14:textId="77777777" w:rsidTr="5AC8C2BD">
        <w:trPr>
          <w:trHeight w:val="1050"/>
        </w:trPr>
        <w:tc>
          <w:tcPr>
            <w:tcW w:w="195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6E2809A" w14:textId="61C4E14E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7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713A4CF" w14:textId="39BB7690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92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2CB4A87" w14:textId="201F9597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Continue to deliver the actions outlined in our Anchors Strategic Plan, focusing initiatives developed by Workforce, Estates and Procurement teams; and working in partnership with stakeholders on collaborative programmes.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0D49AE8" w14:textId="636B563D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16E55011" w14:textId="77777777" w:rsidTr="000F745B">
        <w:trPr>
          <w:trHeight w:val="755"/>
        </w:trPr>
        <w:tc>
          <w:tcPr>
            <w:tcW w:w="19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6EA9E0" w14:textId="514D7187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Workforce</w:t>
            </w:r>
          </w:p>
        </w:tc>
        <w:tc>
          <w:tcPr>
            <w:tcW w:w="17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3C5045" w14:textId="0B4AEE7E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92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0C84B4" w14:textId="4C6BC023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Continue rollout of eRostering systems across AfC and medical teams. This will include systems to support compliance against safe staffing legislation and the system to support eRostering amongst resident doctors. 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6CE25D1" w14:textId="6B1F25D9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327DC057" w14:textId="77777777" w:rsidTr="5AC8C2BD">
        <w:trPr>
          <w:trHeight w:val="495"/>
        </w:trPr>
        <w:tc>
          <w:tcPr>
            <w:tcW w:w="195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57EC130" w14:textId="79D6EF7A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Digital and Innovation</w:t>
            </w:r>
          </w:p>
        </w:tc>
        <w:tc>
          <w:tcPr>
            <w:tcW w:w="17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8BF7DD3" w14:textId="5011C528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92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B499CB2" w14:textId="10A1DAAB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 Compliance with NIS Directive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Deployment of national cyber security tooling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D18EC82" w14:textId="175EB588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163B7357" w14:textId="77777777" w:rsidTr="5AC8C2BD">
        <w:trPr>
          <w:trHeight w:val="1125"/>
        </w:trPr>
        <w:tc>
          <w:tcPr>
            <w:tcW w:w="19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7B63D" w14:textId="5A5411BF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Digital and Innovation</w:t>
            </w:r>
          </w:p>
        </w:tc>
        <w:tc>
          <w:tcPr>
            <w:tcW w:w="17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575E46" w14:textId="0AF96C80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92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F29FC" w14:textId="37449749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 Delivery of Year 3 of the GJUNH Digital Improvement Plan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Upgrade of key digital systems including TrakCare, LIMS and Clinical Portal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Development of Digital Champions Network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Rollout of M365 products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Endoscopy Reporting Deployed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ABB8337" w14:textId="7E3EDBDB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0622B176" w14:textId="77777777" w:rsidTr="5AC8C2BD">
        <w:trPr>
          <w:trHeight w:val="930"/>
        </w:trPr>
        <w:tc>
          <w:tcPr>
            <w:tcW w:w="195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D4032CA" w14:textId="164F4D45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Digital and Innovation</w:t>
            </w:r>
          </w:p>
        </w:tc>
        <w:tc>
          <w:tcPr>
            <w:tcW w:w="17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649A12E" w14:textId="50E247E1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922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43D5596" w14:textId="35484BC0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number of initiatives will move NHS GJ further forward in the Digital Maturity Assessment outcomes.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Rollout of electronic medicines management (HEPMA)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Delivery of digital pathways as part of Clinical Portal (EPR) delivery</w:t>
            </w:r>
          </w:p>
        </w:tc>
        <w:tc>
          <w:tcPr>
            <w:tcW w:w="116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C9F265A" w14:textId="2A096E69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</w:tbl>
    <w:p w14:paraId="3C1A0648" w14:textId="6C8E94EA" w:rsidR="00A120C4" w:rsidRDefault="00A34F10" w:rsidP="5AC8C2BD">
      <w:pPr>
        <w:spacing w:after="0"/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</w:pPr>
      <w:r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>Table 3: Q</w:t>
      </w:r>
      <w:r w:rsidR="36F252A8"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>1</w:t>
      </w:r>
      <w:r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 xml:space="preserve"> </w:t>
      </w:r>
      <w:r w:rsidR="003B4CAE"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>Green</w:t>
      </w:r>
      <w:r w:rsidRPr="5AC8C2BD">
        <w:rPr>
          <w:rFonts w:ascii="Arial" w:eastAsia="Times New Roman" w:hAnsi="Arial" w:cs="Arial"/>
          <w:b/>
          <w:bCs/>
          <w:i/>
          <w:iCs/>
          <w:spacing w:val="-3"/>
          <w:sz w:val="18"/>
          <w:szCs w:val="18"/>
        </w:rPr>
        <w:t xml:space="preserve"> Deliverables</w:t>
      </w:r>
    </w:p>
    <w:p w14:paraId="34F3C63A" w14:textId="77777777" w:rsidR="000F745B" w:rsidRPr="00A120C4" w:rsidRDefault="000F745B" w:rsidP="5AC8C2BD">
      <w:pPr>
        <w:spacing w:after="0"/>
        <w:rPr>
          <w:rFonts w:ascii="Arial" w:hAnsi="Arial" w:cs="Arial"/>
          <w:sz w:val="24"/>
          <w:szCs w:val="24"/>
        </w:rPr>
      </w:pPr>
    </w:p>
    <w:p w14:paraId="4EF81259" w14:textId="1484901A" w:rsidR="56172A5F" w:rsidRDefault="56172A5F" w:rsidP="5AC8C2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5AC8C2BD">
        <w:rPr>
          <w:rFonts w:ascii="Arial" w:hAnsi="Arial" w:cs="Arial"/>
          <w:b/>
          <w:bCs/>
          <w:sz w:val="24"/>
          <w:szCs w:val="24"/>
        </w:rPr>
        <w:t>Projected Quarter 2 Position</w:t>
      </w:r>
    </w:p>
    <w:p w14:paraId="6D11EFAD" w14:textId="6541CE31" w:rsidR="3E0CFB27" w:rsidRDefault="3E0CFB27" w:rsidP="5AC8C2B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Organisational leads have undertaken assessment of the projected position of deliverables </w:t>
      </w:r>
      <w:r w:rsidR="5F89EA34" w:rsidRPr="5AC8C2BD">
        <w:rPr>
          <w:rFonts w:ascii="Arial" w:eastAsia="Arial" w:hAnsi="Arial" w:cs="Arial"/>
          <w:color w:val="000000" w:themeColor="text1"/>
          <w:sz w:val="24"/>
          <w:szCs w:val="24"/>
        </w:rPr>
        <w:t>at</w:t>
      </w:r>
      <w:r w:rsidR="21F08F92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Q2 end (September 2025). </w:t>
      </w:r>
      <w:r w:rsidRPr="5AC8C2B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Table </w:t>
      </w:r>
      <w:r w:rsidR="1B2C7272" w:rsidRPr="5AC8C2B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2D37A17E" w:rsidRPr="5AC8C2B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2D37A17E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has 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shown the indicative position </w:t>
      </w:r>
      <w:r w:rsidR="6177C0E8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at 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>Q2</w:t>
      </w:r>
      <w:r w:rsidR="7FFA3F95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 end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 with 8 green deliverables, 4 amber deliverables, and 0 red deliverable</w:t>
      </w:r>
      <w:r w:rsidR="03BBB54B" w:rsidRPr="5AC8C2B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. For completeness, </w:t>
      </w:r>
      <w:r w:rsidR="4E7111AF" w:rsidRPr="5AC8C2B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Table 4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 below </w:t>
      </w:r>
      <w:r w:rsidR="0733DE3B" w:rsidRPr="5AC8C2BD">
        <w:rPr>
          <w:rFonts w:ascii="Arial" w:eastAsia="Arial" w:hAnsi="Arial" w:cs="Arial"/>
          <w:color w:val="000000" w:themeColor="text1"/>
          <w:sz w:val="24"/>
          <w:szCs w:val="24"/>
        </w:rPr>
        <w:t>outlines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64CF07C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and provides 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detail on the projected changes </w:t>
      </w:r>
      <w:r w:rsidR="7E773702" w:rsidRPr="5AC8C2BD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4E7111AF" w:rsidRPr="5AC8C2BD">
        <w:rPr>
          <w:rFonts w:ascii="Arial" w:eastAsia="Arial" w:hAnsi="Arial" w:cs="Arial"/>
          <w:color w:val="000000" w:themeColor="text1"/>
          <w:sz w:val="24"/>
          <w:szCs w:val="24"/>
        </w:rPr>
        <w:t>Q2: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18"/>
        <w:gridCol w:w="1395"/>
        <w:gridCol w:w="3812"/>
        <w:gridCol w:w="1102"/>
        <w:gridCol w:w="1155"/>
        <w:gridCol w:w="5385"/>
      </w:tblGrid>
      <w:tr w:rsidR="5AC8C2BD" w14:paraId="33007031" w14:textId="77777777" w:rsidTr="50333DE5">
        <w:trPr>
          <w:trHeight w:val="780"/>
        </w:trPr>
        <w:tc>
          <w:tcPr>
            <w:tcW w:w="1218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31FF503C" w14:textId="1DBF3361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Delivery Area</w:t>
            </w:r>
          </w:p>
        </w:tc>
        <w:tc>
          <w:tcPr>
            <w:tcW w:w="139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1238C15D" w14:textId="6C36B162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NHS GJ Deliverable Reference</w:t>
            </w:r>
          </w:p>
        </w:tc>
        <w:tc>
          <w:tcPr>
            <w:tcW w:w="3812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3E3023E7" w14:textId="140F25C4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Deliverable </w:t>
            </w:r>
          </w:p>
        </w:tc>
        <w:tc>
          <w:tcPr>
            <w:tcW w:w="1102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41856804" w14:textId="766713E6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 RAG Status</w:t>
            </w:r>
          </w:p>
        </w:tc>
        <w:tc>
          <w:tcPr>
            <w:tcW w:w="115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654A105C" w14:textId="718E8FD1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Indicative Q2 RAG</w:t>
            </w:r>
          </w:p>
        </w:tc>
        <w:tc>
          <w:tcPr>
            <w:tcW w:w="538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295F266B" w14:textId="210A4025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Progress Notes</w:t>
            </w:r>
          </w:p>
        </w:tc>
      </w:tr>
      <w:tr w:rsidR="5AC8C2BD" w14:paraId="43775BED" w14:textId="77777777" w:rsidTr="50333DE5">
        <w:trPr>
          <w:trHeight w:val="735"/>
        </w:trPr>
        <w:tc>
          <w:tcPr>
            <w:tcW w:w="121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EF9CF32" w14:textId="49A1BAEB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Cancer Care</w:t>
            </w:r>
          </w:p>
        </w:tc>
        <w:tc>
          <w:tcPr>
            <w:tcW w:w="139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DC4E86B" w14:textId="7BDD5C35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2.2a</w:t>
            </w:r>
          </w:p>
        </w:tc>
        <w:tc>
          <w:tcPr>
            <w:tcW w:w="381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8A82932" w14:textId="7CC3148D" w:rsidR="5AC8C2BD" w:rsidRDefault="5AC8C2BD" w:rsidP="5AC8C2BD">
            <w:pPr>
              <w:spacing w:after="0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achieve the 2025/26 ADP target for endoscopy.</w:t>
            </w:r>
          </w:p>
        </w:tc>
        <w:tc>
          <w:tcPr>
            <w:tcW w:w="110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2ADE1C6" w14:textId="7269E9D8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E9EA43" w14:textId="2BFCFDF3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538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43F8FB1" w14:textId="00BF49FB" w:rsidR="5AC8C2BD" w:rsidRDefault="5AC8C2BD" w:rsidP="5AC8C2BD">
            <w:pPr>
              <w:spacing w:after="0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3% behind ADP (71 procedures) in Q1 related to workforce challenges with non-medical endoscopists. Recruitment has taken place and recovery expected by Q2.</w:t>
            </w:r>
          </w:p>
        </w:tc>
      </w:tr>
      <w:tr w:rsidR="5AC8C2BD" w14:paraId="169B0ECE" w14:textId="77777777" w:rsidTr="50333DE5">
        <w:trPr>
          <w:trHeight w:val="1305"/>
        </w:trPr>
        <w:tc>
          <w:tcPr>
            <w:tcW w:w="12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C381A9" w14:textId="2BA154EB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3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225678" w14:textId="16D236F7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38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E19864" w14:textId="36174EBC" w:rsidR="5AC8C2BD" w:rsidRDefault="5AC8C2BD" w:rsidP="5AC8C2BD">
            <w:pPr>
              <w:spacing w:after="0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Continue to deliver the actions outlined in our Anchors Strategic Plan, focusing initiatives developed by Workforce, Estates and Procurement teams; and working in partnership with stakeholders on collaborative programmes.</w:t>
            </w:r>
          </w:p>
        </w:tc>
        <w:tc>
          <w:tcPr>
            <w:tcW w:w="110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C8E8A9" w14:textId="57FAF29D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EF5AF5" w14:textId="3C66998B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53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F02EED" w14:textId="18C161F5" w:rsidR="5AC8C2BD" w:rsidRDefault="2E0ECB9F" w:rsidP="5AC8C2BD">
            <w:pPr>
              <w:spacing w:after="0"/>
            </w:pPr>
            <w:r w:rsidRPr="50333D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Workforce-related concepts </w:t>
            </w:r>
            <w:r w:rsidR="4F4BA5AF" w:rsidRPr="50333D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delivery dates are </w:t>
            </w:r>
            <w:r w:rsidRPr="50333D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uncertain due to </w:t>
            </w:r>
            <w:r w:rsidR="2F596D7F" w:rsidRPr="50333D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ongoing </w:t>
            </w:r>
            <w:r w:rsidRPr="50333D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discussions around priorities; discussion to take place to determine if concepts remain within the plan. </w:t>
            </w:r>
          </w:p>
        </w:tc>
      </w:tr>
      <w:tr w:rsidR="5AC8C2BD" w14:paraId="62B0E56E" w14:textId="77777777" w:rsidTr="50333DE5">
        <w:trPr>
          <w:trHeight w:val="1470"/>
        </w:trPr>
        <w:tc>
          <w:tcPr>
            <w:tcW w:w="121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422ACB8" w14:textId="2D41CB0A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39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4A4DCB0" w14:textId="6697C465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381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799CB16" w14:textId="6FDD5AE5" w:rsidR="5AC8C2BD" w:rsidRDefault="5AC8C2BD" w:rsidP="5AC8C2BD">
            <w:pPr>
              <w:spacing w:after="0"/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and publish 3 Year Workforce Plan to support NHS GJ's strategic ambitions.</w:t>
            </w:r>
          </w:p>
        </w:tc>
        <w:tc>
          <w:tcPr>
            <w:tcW w:w="1102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B9FB3C5" w14:textId="571E09E6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DB11A87" w14:textId="4FA26D32" w:rsidR="5AC8C2BD" w:rsidRDefault="5AC8C2BD" w:rsidP="5AC8C2BD">
            <w:pPr>
              <w:spacing w:after="0"/>
              <w:jc w:val="center"/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538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DAB47C" w14:textId="079DE38D" w:rsidR="5AC8C2BD" w:rsidRDefault="49C34B2C" w:rsidP="5AC8C2BD">
            <w:pPr>
              <w:spacing w:after="0"/>
            </w:pPr>
            <w:r w:rsidRPr="7E049FB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Workforce Planning and Information lead </w:t>
            </w:r>
            <w:r w:rsidR="631DB2FC" w:rsidRPr="7E049FB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advertised,</w:t>
            </w:r>
            <w:r w:rsidRPr="7E049FB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interviews took place on 30th June. We were unable to recruit.</w:t>
            </w:r>
            <w:r w:rsidR="5AC8C2BD">
              <w:br/>
            </w:r>
            <w:r w:rsidRPr="7E049FB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AC8C2BD">
              <w:br/>
            </w:r>
            <w:r w:rsidRPr="7E049FB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will take place of the departmental resources, priorities and options regarding Workforce Planning Lead recruitment. Go out to market again for a Workforce Planning Lead in Q2.</w:t>
            </w:r>
          </w:p>
        </w:tc>
      </w:tr>
    </w:tbl>
    <w:p w14:paraId="6F9F925D" w14:textId="2913CE14" w:rsidR="46DE6DD9" w:rsidRDefault="46DE6DD9" w:rsidP="5AC8C2BD">
      <w:pPr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5AC8C2BD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Table 4: Projected </w:t>
      </w:r>
      <w:r w:rsidR="000F745B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C</w:t>
      </w:r>
      <w:r w:rsidRPr="5AC8C2BD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hanges in Q2</w:t>
      </w:r>
    </w:p>
    <w:p w14:paraId="77D592DB" w14:textId="0AA90DD6" w:rsidR="000F745B" w:rsidRDefault="000F745B" w:rsidP="5AC8C2BD">
      <w:pPr>
        <w:rPr>
          <w:rFonts w:ascii="Arial" w:eastAsia="Arial" w:hAnsi="Arial" w:cs="Arial"/>
          <w:bCs/>
          <w:iCs/>
          <w:color w:val="000000" w:themeColor="text1"/>
          <w:sz w:val="24"/>
          <w:szCs w:val="18"/>
        </w:rPr>
      </w:pPr>
      <w:r w:rsidRPr="000F745B">
        <w:rPr>
          <w:rFonts w:ascii="Arial" w:eastAsia="Arial" w:hAnsi="Arial" w:cs="Arial"/>
          <w:b/>
          <w:bCs/>
          <w:iCs/>
          <w:color w:val="000000" w:themeColor="text1"/>
          <w:sz w:val="24"/>
          <w:szCs w:val="18"/>
        </w:rPr>
        <w:t xml:space="preserve">Table 4 </w:t>
      </w:r>
      <w:r w:rsidRPr="000F745B">
        <w:rPr>
          <w:rFonts w:ascii="Arial" w:eastAsia="Arial" w:hAnsi="Arial" w:cs="Arial"/>
          <w:bCs/>
          <w:iCs/>
          <w:color w:val="000000" w:themeColor="text1"/>
          <w:sz w:val="24"/>
          <w:szCs w:val="18"/>
        </w:rPr>
        <w:t>presents two projected improvements from amber to green for the following deliverables</w:t>
      </w:r>
      <w:r>
        <w:rPr>
          <w:rFonts w:ascii="Arial" w:eastAsia="Arial" w:hAnsi="Arial" w:cs="Arial"/>
          <w:bCs/>
          <w:iCs/>
          <w:color w:val="000000" w:themeColor="text1"/>
          <w:sz w:val="24"/>
          <w:szCs w:val="18"/>
        </w:rPr>
        <w:t>:</w:t>
      </w:r>
    </w:p>
    <w:p w14:paraId="5988D3BB" w14:textId="327FA90D" w:rsidR="000F745B" w:rsidRPr="000F745B" w:rsidRDefault="000F745B" w:rsidP="000F745B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</w:pPr>
      <w:r w:rsidRPr="000F745B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Deliverable Reference 2.2a</w:t>
      </w:r>
      <w:r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:</w:t>
      </w:r>
      <w:r w:rsidRPr="000F745B"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  <w:t xml:space="preserve"> “</w:t>
      </w:r>
      <w:r w:rsidRPr="000F745B">
        <w:rPr>
          <w:rFonts w:ascii="Arial" w:eastAsia="Arial" w:hAnsi="Arial" w:cs="Arial"/>
          <w:i/>
          <w:color w:val="000000" w:themeColor="text1"/>
          <w:sz w:val="24"/>
          <w:szCs w:val="24"/>
        </w:rPr>
        <w:t>To achieve the 2025/26 ADP target for endoscopy.</w:t>
      </w:r>
      <w:r>
        <w:rPr>
          <w:rFonts w:ascii="Arial" w:eastAsia="Arial" w:hAnsi="Arial" w:cs="Arial"/>
          <w:i/>
          <w:color w:val="000000" w:themeColor="text1"/>
          <w:sz w:val="24"/>
          <w:szCs w:val="24"/>
        </w:rPr>
        <w:t>”</w:t>
      </w:r>
    </w:p>
    <w:p w14:paraId="6685165C" w14:textId="356B938A" w:rsidR="000F745B" w:rsidRPr="00EC1AB4" w:rsidRDefault="000F745B" w:rsidP="000F745B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  <w:color w:val="000000" w:themeColor="text1"/>
          <w:sz w:val="24"/>
          <w:szCs w:val="24"/>
        </w:rPr>
      </w:pPr>
      <w:r w:rsidRPr="00EC1AB4">
        <w:rPr>
          <w:rFonts w:ascii="Arial" w:eastAsia="Arial" w:hAnsi="Arial" w:cs="Arial"/>
          <w:color w:val="000000" w:themeColor="text1"/>
          <w:sz w:val="24"/>
          <w:szCs w:val="24"/>
        </w:rPr>
        <w:t>Deliverable Reference 5.9:</w:t>
      </w:r>
      <w:r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EC1AB4">
        <w:rPr>
          <w:rFonts w:ascii="Arial" w:eastAsia="Arial" w:hAnsi="Arial" w:cs="Arial"/>
          <w:i/>
          <w:color w:val="000000" w:themeColor="text1"/>
          <w:sz w:val="24"/>
          <w:szCs w:val="24"/>
        </w:rPr>
        <w:t>“</w:t>
      </w:r>
      <w:r w:rsidRPr="000F745B">
        <w:rPr>
          <w:rFonts w:ascii="Arial" w:eastAsia="Arial" w:hAnsi="Arial" w:cs="Arial"/>
          <w:i/>
          <w:color w:val="000000" w:themeColor="text1"/>
          <w:sz w:val="24"/>
          <w:szCs w:val="24"/>
        </w:rPr>
        <w:t>Develop and publish 3 Year Workforce Plan to support NHS GJ's strategic ambitions.”</w:t>
      </w:r>
    </w:p>
    <w:p w14:paraId="58CCD56E" w14:textId="1C1F6C44" w:rsidR="00EC1AB4" w:rsidRPr="00AC42FA" w:rsidRDefault="00EC1AB4" w:rsidP="00EC1AB4">
      <w:pPr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</w:pPr>
      <w:r w:rsidRPr="00AC42FA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 xml:space="preserve">And </w:t>
      </w:r>
      <w:r w:rsidR="00AC42FA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 xml:space="preserve">one </w:t>
      </w:r>
      <w:r w:rsidRPr="00AC42FA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potentially at risk:</w:t>
      </w:r>
    </w:p>
    <w:p w14:paraId="7B07EC32" w14:textId="38C73A76" w:rsidR="00EC1AB4" w:rsidRPr="00EC1AB4" w:rsidRDefault="00EC1AB4" w:rsidP="00EC1AB4">
      <w:pPr>
        <w:pStyle w:val="ListParagraph"/>
        <w:numPr>
          <w:ilvl w:val="0"/>
          <w:numId w:val="12"/>
        </w:numPr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</w:pPr>
      <w:r w:rsidRPr="00EC1AB4"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>Deliverable Reference 5.8:</w:t>
      </w:r>
      <w:r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EC1AB4">
        <w:rPr>
          <w:rFonts w:ascii="Arial" w:eastAsia="Arial" w:hAnsi="Arial" w:cs="Arial"/>
          <w:bCs/>
          <w:i/>
          <w:iCs/>
          <w:color w:val="000000" w:themeColor="text1"/>
          <w:sz w:val="24"/>
          <w:szCs w:val="24"/>
        </w:rPr>
        <w:t>“Continue to deliver the actions outlined in our Anchors Strategic Plan, focusing initiatives developed by Workforce, Estates and Procurement teams; and working in partnership with stakeholders on collaborative programmes.”</w:t>
      </w:r>
    </w:p>
    <w:p w14:paraId="4E1AA1D3" w14:textId="77777777" w:rsidR="00EC1AB4" w:rsidRPr="00EC1AB4" w:rsidRDefault="00EC1AB4" w:rsidP="00EC1AB4">
      <w:pPr>
        <w:ind w:left="360"/>
        <w:rPr>
          <w:rFonts w:ascii="Arial" w:eastAsia="Arial" w:hAnsi="Arial" w:cs="Arial"/>
          <w:bCs/>
          <w:iCs/>
          <w:color w:val="000000" w:themeColor="text1"/>
          <w:sz w:val="24"/>
          <w:szCs w:val="24"/>
        </w:rPr>
      </w:pPr>
    </w:p>
    <w:p w14:paraId="3F209FA5" w14:textId="77777777" w:rsidR="00A34F10" w:rsidRPr="00E9469D" w:rsidRDefault="00A34F10" w:rsidP="00A34F1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E9469D">
        <w:rPr>
          <w:rFonts w:ascii="Arial" w:hAnsi="Arial" w:cs="Arial"/>
          <w:b/>
          <w:bCs/>
          <w:sz w:val="24"/>
          <w:szCs w:val="24"/>
        </w:rPr>
        <w:lastRenderedPageBreak/>
        <w:t>Overall Progress</w:t>
      </w:r>
    </w:p>
    <w:p w14:paraId="0FEFC252" w14:textId="15A6F74D" w:rsidR="000F745B" w:rsidRDefault="00A34F10" w:rsidP="00A34F10">
      <w:pPr>
        <w:rPr>
          <w:rFonts w:ascii="Arial" w:hAnsi="Arial" w:cs="Arial"/>
          <w:sz w:val="24"/>
          <w:szCs w:val="24"/>
        </w:rPr>
      </w:pPr>
      <w:r w:rsidRPr="5AC8C2BD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C4382C" w:rsidRPr="5AC8C2BD">
        <w:rPr>
          <w:rFonts w:ascii="Arial" w:hAnsi="Arial" w:cs="Arial"/>
          <w:b/>
          <w:bCs/>
          <w:sz w:val="24"/>
          <w:szCs w:val="24"/>
        </w:rPr>
        <w:t>5</w:t>
      </w:r>
      <w:r w:rsidR="00C4382C" w:rsidRPr="5AC8C2BD">
        <w:rPr>
          <w:rFonts w:ascii="Arial" w:hAnsi="Arial" w:cs="Arial"/>
          <w:sz w:val="24"/>
          <w:szCs w:val="24"/>
        </w:rPr>
        <w:t xml:space="preserve"> </w:t>
      </w:r>
      <w:r w:rsidRPr="5AC8C2BD">
        <w:rPr>
          <w:rFonts w:ascii="Arial" w:hAnsi="Arial" w:cs="Arial"/>
          <w:sz w:val="24"/>
          <w:szCs w:val="24"/>
        </w:rPr>
        <w:t xml:space="preserve">below provides a high-level overview of the overall progress for deliverables to date, </w:t>
      </w:r>
      <w:r w:rsidR="001534E9" w:rsidRPr="5AC8C2BD">
        <w:rPr>
          <w:rFonts w:ascii="Arial" w:hAnsi="Arial" w:cs="Arial"/>
          <w:sz w:val="24"/>
          <w:szCs w:val="24"/>
        </w:rPr>
        <w:t>including</w:t>
      </w:r>
      <w:r w:rsidR="000F745B">
        <w:rPr>
          <w:rFonts w:ascii="Arial" w:hAnsi="Arial" w:cs="Arial"/>
          <w:sz w:val="24"/>
          <w:szCs w:val="24"/>
        </w:rPr>
        <w:t xml:space="preserve"> the</w:t>
      </w:r>
      <w:r w:rsidR="001534E9" w:rsidRPr="5AC8C2BD">
        <w:rPr>
          <w:rFonts w:ascii="Arial" w:hAnsi="Arial" w:cs="Arial"/>
          <w:sz w:val="24"/>
          <w:szCs w:val="24"/>
        </w:rPr>
        <w:t xml:space="preserve"> Q</w:t>
      </w:r>
      <w:r w:rsidR="3B7E95C8" w:rsidRPr="5AC8C2BD">
        <w:rPr>
          <w:rFonts w:ascii="Arial" w:hAnsi="Arial" w:cs="Arial"/>
          <w:sz w:val="24"/>
          <w:szCs w:val="24"/>
        </w:rPr>
        <w:t>1</w:t>
      </w:r>
      <w:r w:rsidRPr="5AC8C2BD">
        <w:rPr>
          <w:rFonts w:ascii="Arial" w:hAnsi="Arial" w:cs="Arial"/>
          <w:sz w:val="24"/>
          <w:szCs w:val="24"/>
        </w:rPr>
        <w:t xml:space="preserve"> end position,</w:t>
      </w:r>
      <w:r w:rsidR="2E559F64" w:rsidRPr="5AC8C2BD">
        <w:rPr>
          <w:rFonts w:ascii="Arial" w:hAnsi="Arial" w:cs="Arial"/>
          <w:sz w:val="24"/>
          <w:szCs w:val="24"/>
        </w:rPr>
        <w:t xml:space="preserve"> and</w:t>
      </w:r>
      <w:r w:rsidRPr="5AC8C2BD">
        <w:rPr>
          <w:rFonts w:ascii="Arial" w:hAnsi="Arial" w:cs="Arial"/>
          <w:sz w:val="24"/>
          <w:szCs w:val="24"/>
        </w:rPr>
        <w:t xml:space="preserve"> </w:t>
      </w:r>
      <w:r w:rsidR="000F745B">
        <w:rPr>
          <w:rFonts w:ascii="Arial" w:hAnsi="Arial" w:cs="Arial"/>
          <w:sz w:val="24"/>
          <w:szCs w:val="24"/>
        </w:rPr>
        <w:t xml:space="preserve">the </w:t>
      </w:r>
      <w:r w:rsidRPr="5AC8C2BD">
        <w:rPr>
          <w:rFonts w:ascii="Arial" w:hAnsi="Arial" w:cs="Arial"/>
          <w:sz w:val="24"/>
          <w:szCs w:val="24"/>
        </w:rPr>
        <w:t>Q</w:t>
      </w:r>
      <w:r w:rsidR="7142B19F" w:rsidRPr="5AC8C2BD">
        <w:rPr>
          <w:rFonts w:ascii="Arial" w:hAnsi="Arial" w:cs="Arial"/>
          <w:sz w:val="24"/>
          <w:szCs w:val="24"/>
        </w:rPr>
        <w:t>2</w:t>
      </w:r>
      <w:r w:rsidRPr="5AC8C2BD">
        <w:rPr>
          <w:rFonts w:ascii="Arial" w:hAnsi="Arial" w:cs="Arial"/>
          <w:sz w:val="24"/>
          <w:szCs w:val="24"/>
        </w:rPr>
        <w:t xml:space="preserve"> projection</w:t>
      </w:r>
      <w:r w:rsidR="6724C6CD" w:rsidRPr="5AC8C2BD">
        <w:rPr>
          <w:rFonts w:ascii="Arial" w:hAnsi="Arial" w:cs="Arial"/>
          <w:sz w:val="24"/>
          <w:szCs w:val="24"/>
        </w:rPr>
        <w:t>:</w:t>
      </w:r>
    </w:p>
    <w:tbl>
      <w:tblPr>
        <w:tblW w:w="1415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28"/>
        <w:gridCol w:w="1935"/>
        <w:gridCol w:w="7980"/>
        <w:gridCol w:w="1155"/>
        <w:gridCol w:w="1260"/>
      </w:tblGrid>
      <w:tr w:rsidR="5AC8C2BD" w14:paraId="6091BEFB" w14:textId="77777777" w:rsidTr="000F745B">
        <w:trPr>
          <w:trHeight w:val="405"/>
        </w:trPr>
        <w:tc>
          <w:tcPr>
            <w:tcW w:w="1828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6A7E42EB" w14:textId="6BD0E886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Delivery Area</w:t>
            </w:r>
          </w:p>
        </w:tc>
        <w:tc>
          <w:tcPr>
            <w:tcW w:w="193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649E6449" w14:textId="088634D6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NHS GJ Deliverable Reference</w:t>
            </w:r>
          </w:p>
        </w:tc>
        <w:tc>
          <w:tcPr>
            <w:tcW w:w="7980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7EE0244B" w14:textId="4B4794DE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Deliverable </w:t>
            </w:r>
          </w:p>
        </w:tc>
        <w:tc>
          <w:tcPr>
            <w:tcW w:w="1155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33B539FC" w14:textId="6464D988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 RAG Status</w:t>
            </w:r>
          </w:p>
        </w:tc>
        <w:tc>
          <w:tcPr>
            <w:tcW w:w="1260" w:type="dxa"/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14:paraId="7975884C" w14:textId="4A856C23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Indicative Q2 RAG</w:t>
            </w:r>
          </w:p>
        </w:tc>
      </w:tr>
      <w:tr w:rsidR="5AC8C2BD" w14:paraId="454D7E53" w14:textId="77777777" w:rsidTr="000F745B">
        <w:trPr>
          <w:trHeight w:val="300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8C4C29B" w14:textId="026E2C05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Planned Care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D6CD855" w14:textId="5C89E1D0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1.1b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92C24CE" w14:textId="151EBF5F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>NHS GJ local waits are maintained at either current levels or a maximum of 12 weeks.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87F47DC" w14:textId="2DE65AB4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CDA7AF8" w14:textId="658E20C6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4C61A4D3" w14:textId="77777777" w:rsidTr="000F745B">
        <w:trPr>
          <w:trHeight w:val="300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883F1D" w14:textId="3BBA17FD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Planned Care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A6EF15" w14:textId="38F9B67A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1.1c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513A9B" w14:textId="637AAFE7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>i) Reduce the number of patients waiting over 52 weeks for an interventional cardiology procedure.</w:t>
            </w:r>
            <w:r>
              <w:br/>
            </w:r>
            <w:r w:rsidRPr="5AC8C2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br/>
            </w:r>
            <w:r w:rsidRPr="5AC8C2BD">
              <w:rPr>
                <w:rFonts w:ascii="Arial" w:eastAsia="Arial" w:hAnsi="Arial" w:cs="Arial"/>
                <w:sz w:val="20"/>
                <w:szCs w:val="20"/>
              </w:rPr>
              <w:t>ii) Reduce the wait for cardiac imaging and increase the number of patients receiving a scan within 6 weeks of referral. May 2025 position - 52% within 6 weeks.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1C13CEF" w14:textId="776A12F3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F41F329" w14:textId="31607D94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</w:tr>
      <w:tr w:rsidR="5AC8C2BD" w14:paraId="37757C7D" w14:textId="77777777" w:rsidTr="000F745B">
        <w:trPr>
          <w:trHeight w:val="300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BD11D90" w14:textId="207DE619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Cancer Care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905FEC6" w14:textId="537C2DD9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2.2a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EC7B8C5" w14:textId="05E5177C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achieve the 2025/26 ADP target for endoscopy.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0B8C476" w14:textId="70CC60B9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012228A" w14:textId="356B857A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5A33B442" w14:textId="77777777" w:rsidTr="000F745B">
        <w:trPr>
          <w:trHeight w:val="405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FDB52" w14:textId="47F982B4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F352B8" w14:textId="5FA97144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08BEF2" w14:textId="33EC20E3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 xml:space="preserve">Delivery of the established ophthalmology ADP, recruitment of suitable faculty by NHSSA planned for Nov 2025. 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D5FB981" w14:textId="070D26EB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CC71897" w14:textId="44597758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</w:tr>
      <w:tr w:rsidR="5AC8C2BD" w14:paraId="04E759D4" w14:textId="77777777" w:rsidTr="000F745B">
        <w:trPr>
          <w:trHeight w:val="300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AE57553" w14:textId="3AEB5A51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766913C" w14:textId="5683AFD3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5.3b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6FD65E4" w14:textId="5B64F5CC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>Achieve the planned care profile for CT3.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A07A4DD" w14:textId="45FDF12A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C891397" w14:textId="26812703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6D504167" w14:textId="77777777" w:rsidTr="000F745B">
        <w:trPr>
          <w:trHeight w:val="300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CD6CFE" w14:textId="4439A873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2E1FA7" w14:textId="66F1EAFF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5.3c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9EB289" w14:textId="2EB56EB6" w:rsidR="5AC8C2BD" w:rsidRDefault="5AC8C2BD" w:rsidP="5AC8C2B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sz w:val="20"/>
                <w:szCs w:val="20"/>
              </w:rPr>
              <w:t xml:space="preserve">Achieve the planned care profile for 5/7 working. 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C290AC5" w14:textId="3A94B19C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4DB6309" w14:textId="4A7E3415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</w:tr>
      <w:tr w:rsidR="5AC8C2BD" w14:paraId="36075DBF" w14:textId="77777777" w:rsidTr="000F745B">
        <w:trPr>
          <w:trHeight w:val="435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F6301A1" w14:textId="7AD15C17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02842E9" w14:textId="75B29A0E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AE23908" w14:textId="0E81F8B9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Continue to deliver the actions outlined in our Anchors Strategic Plan, focusing initiatives developed by Workforce, Estates and Procurement teams; and working in partnership with stakeholders on collaborative programmes.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978D7BA" w14:textId="6B11805C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6582325" w14:textId="0ECF539E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</w:tr>
      <w:tr w:rsidR="5AC8C2BD" w14:paraId="5AD29703" w14:textId="77777777" w:rsidTr="000F745B">
        <w:trPr>
          <w:trHeight w:val="300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69F2D6" w14:textId="083E2514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NHS GJ Planning Priority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6CA6FA" w14:textId="00389293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B1AEF9" w14:textId="33D1CC32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and publish 3 Year Workforce Plan to support NHS GJ's strategic ambitions.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8973AAF" w14:textId="0E0A5CD7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FFC000" w:themeColor="accent4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A050F83" w14:textId="45A4AA23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2391099F" w14:textId="77777777" w:rsidTr="000F745B">
        <w:trPr>
          <w:trHeight w:val="510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2F2E762" w14:textId="5140ED4A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Workforce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16D11EC" w14:textId="69691DA2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AAFC97D" w14:textId="38EDB014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Continue rollout of eRostering systems across AfC and medical teams. This will include systems to support compliance against safe staffing legislation and the system to support eRostering amongst resident doctors. 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275228" w14:textId="4BF176D8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8B04635" w14:textId="7C9CC919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7DE6BD09" w14:textId="77777777" w:rsidTr="000F745B">
        <w:trPr>
          <w:trHeight w:val="390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C916AE" w14:textId="31205A2B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Digital and Innovation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DA625B" w14:textId="0C4741D7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8EFFF5" w14:textId="38C09C85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 Compliance with NIS Directive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Deployment of national cyber security tooling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405611F" w14:textId="091DBB7F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D8C8B24" w14:textId="091A9C2C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08060AAD" w14:textId="77777777" w:rsidTr="000F745B">
        <w:trPr>
          <w:trHeight w:val="1035"/>
        </w:trPr>
        <w:tc>
          <w:tcPr>
            <w:tcW w:w="1828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68589F1" w14:textId="5993BA6A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Digital and Innovation</w:t>
            </w:r>
          </w:p>
        </w:tc>
        <w:tc>
          <w:tcPr>
            <w:tcW w:w="193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348DE6E" w14:textId="152F7DD3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798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7C03AC4" w14:textId="3E2BF172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 Delivery of Year 3 of the GJUNH Digital Improvement Plan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Upgrade of key digital systems including TrakCare, LIMS and Clinical Portal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Development of Digital Champions Network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Rollout of M365 products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Endoscopy Reporting Deployed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D62DBFD" w14:textId="4417E9AF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2637957" w14:textId="0F77A6DA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  <w:tr w:rsidR="5AC8C2BD" w14:paraId="182BB7DC" w14:textId="77777777" w:rsidTr="000F745B">
        <w:trPr>
          <w:trHeight w:val="25"/>
        </w:trPr>
        <w:tc>
          <w:tcPr>
            <w:tcW w:w="182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AE8278" w14:textId="2CEE1C02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Digital and Innovation</w:t>
            </w:r>
          </w:p>
        </w:tc>
        <w:tc>
          <w:tcPr>
            <w:tcW w:w="19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7B3A47" w14:textId="42F8D28F" w:rsidR="5AC8C2BD" w:rsidRDefault="5AC8C2BD" w:rsidP="5AC8C2B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7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68C45C" w14:textId="2316B462" w:rsidR="5AC8C2BD" w:rsidRDefault="5AC8C2BD" w:rsidP="5AC8C2BD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number of initiatives will move NHS GJ further forward in the Digital Maturity Assessment outcomes.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Rollout of electronic medicines management (HEPMA)</w:t>
            </w:r>
            <w:r>
              <w:br/>
            </w:r>
            <w:r w:rsidRPr="5AC8C2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* Delivery of digital pathways as part of Clinical Portal (EPR) delivery</w:t>
            </w:r>
          </w:p>
        </w:tc>
        <w:tc>
          <w:tcPr>
            <w:tcW w:w="1155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D75A222" w14:textId="125629A4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  <w:tc>
          <w:tcPr>
            <w:tcW w:w="1260" w:type="dxa"/>
            <w:shd w:val="clear" w:color="auto" w:fill="EDEDED" w:themeFill="accent3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E47AB93" w14:textId="07C9C528" w:rsidR="5AC8C2BD" w:rsidRDefault="5AC8C2BD" w:rsidP="5AC8C2BD">
            <w:pPr>
              <w:spacing w:after="0"/>
              <w:jc w:val="center"/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</w:pPr>
            <w:r w:rsidRPr="5AC8C2BD">
              <w:rPr>
                <w:rFonts w:ascii="Wingdings" w:eastAsia="Wingdings" w:hAnsi="Wingdings" w:cs="Wingdings"/>
                <w:color w:val="00B050"/>
                <w:sz w:val="20"/>
                <w:szCs w:val="20"/>
              </w:rPr>
              <w:t></w:t>
            </w:r>
          </w:p>
        </w:tc>
      </w:tr>
    </w:tbl>
    <w:p w14:paraId="2FC94335" w14:textId="4B745B22" w:rsidR="00A34F10" w:rsidRPr="000F745B" w:rsidRDefault="000F745B" w:rsidP="000F745B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i/>
          <w:sz w:val="18"/>
        </w:rPr>
        <w:t>Table 5: Overall Deliverable Progress to Date</w:t>
      </w:r>
    </w:p>
    <w:sectPr w:rsidR="00A34F10" w:rsidRPr="000F745B" w:rsidSect="0021662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3A26EE" w16cex:dateUtc="2025-07-29T14:19:40.9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271324" w16cid:durableId="433A26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43AE7" w14:textId="77777777" w:rsidR="00665DDF" w:rsidRDefault="00665DDF" w:rsidP="00A34F10">
      <w:pPr>
        <w:spacing w:after="0" w:line="240" w:lineRule="auto"/>
      </w:pPr>
      <w:r>
        <w:separator/>
      </w:r>
    </w:p>
  </w:endnote>
  <w:endnote w:type="continuationSeparator" w:id="0">
    <w:p w14:paraId="73FE2366" w14:textId="77777777" w:rsidR="00665DDF" w:rsidRDefault="00665DDF" w:rsidP="00A34F10">
      <w:pPr>
        <w:spacing w:after="0" w:line="240" w:lineRule="auto"/>
      </w:pPr>
      <w:r>
        <w:continuationSeparator/>
      </w:r>
    </w:p>
  </w:endnote>
  <w:endnote w:type="continuationNotice" w:id="1">
    <w:p w14:paraId="07FC3E7B" w14:textId="77777777" w:rsidR="00BA298F" w:rsidRDefault="00BA29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75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E3B187" w14:textId="600ED234" w:rsidR="00A34F10" w:rsidRDefault="00A34F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A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A5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1E914F" w14:textId="77777777" w:rsidR="00A34F10" w:rsidRDefault="00A3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8C19" w14:textId="77777777" w:rsidR="00665DDF" w:rsidRDefault="00665DDF" w:rsidP="00A34F10">
      <w:pPr>
        <w:spacing w:after="0" w:line="240" w:lineRule="auto"/>
      </w:pPr>
      <w:r>
        <w:separator/>
      </w:r>
    </w:p>
  </w:footnote>
  <w:footnote w:type="continuationSeparator" w:id="0">
    <w:p w14:paraId="5A132F23" w14:textId="77777777" w:rsidR="00665DDF" w:rsidRDefault="00665DDF" w:rsidP="00A34F10">
      <w:pPr>
        <w:spacing w:after="0" w:line="240" w:lineRule="auto"/>
      </w:pPr>
      <w:r>
        <w:continuationSeparator/>
      </w:r>
    </w:p>
  </w:footnote>
  <w:footnote w:type="continuationNotice" w:id="1">
    <w:p w14:paraId="1558A1C4" w14:textId="77777777" w:rsidR="00BA298F" w:rsidRDefault="00BA29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258DB" w14:textId="2FE9B7C7" w:rsidR="00A34F10" w:rsidRPr="00125A9E" w:rsidRDefault="003E009D" w:rsidP="00A34F10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bCs/>
        <w:color w:val="2E74B5" w:themeColor="accent1" w:themeShade="BF"/>
        <w:sz w:val="20"/>
        <w:szCs w:val="20"/>
      </w:rPr>
    </w:pPr>
    <w:r>
      <w:rPr>
        <w:rFonts w:cs="Arial"/>
        <w:b/>
        <w:bCs/>
        <w:color w:val="2E74B5" w:themeColor="accent1" w:themeShade="BF"/>
        <w:sz w:val="20"/>
        <w:szCs w:val="20"/>
      </w:rPr>
      <w:t>2025-26 Annual Delivery Plan Q1</w:t>
    </w:r>
    <w:r w:rsidR="00A34F10" w:rsidRPr="7F1F2BC7">
      <w:rPr>
        <w:rFonts w:cs="Arial"/>
        <w:b/>
        <w:bCs/>
        <w:color w:val="2E74B5" w:themeColor="accent1" w:themeShade="BF"/>
        <w:sz w:val="20"/>
        <w:szCs w:val="20"/>
      </w:rPr>
      <w:t xml:space="preserve"> Update </w:t>
    </w:r>
  </w:p>
  <w:p w14:paraId="0F57B6E2" w14:textId="077308BC" w:rsidR="00A34F10" w:rsidRDefault="00DB7A5F">
    <w:pPr>
      <w:pStyle w:val="Header"/>
    </w:pPr>
    <w:r>
      <w:t>Board Item 3.4.4a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3FD4"/>
    <w:multiLevelType w:val="multilevel"/>
    <w:tmpl w:val="BAC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66562"/>
    <w:multiLevelType w:val="hybridMultilevel"/>
    <w:tmpl w:val="3690A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5557D"/>
    <w:multiLevelType w:val="hybridMultilevel"/>
    <w:tmpl w:val="ADE4A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5EBC"/>
    <w:multiLevelType w:val="hybridMultilevel"/>
    <w:tmpl w:val="2704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DDAE"/>
    <w:multiLevelType w:val="hybridMultilevel"/>
    <w:tmpl w:val="353A7EC0"/>
    <w:lvl w:ilvl="0" w:tplc="FD30A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C7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4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E6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0A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A2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B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82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494"/>
    <w:multiLevelType w:val="hybridMultilevel"/>
    <w:tmpl w:val="C0D43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F56D3C"/>
    <w:multiLevelType w:val="multilevel"/>
    <w:tmpl w:val="B79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6E1CB8"/>
    <w:multiLevelType w:val="hybridMultilevel"/>
    <w:tmpl w:val="8482DA94"/>
    <w:lvl w:ilvl="0" w:tplc="DA12A638">
      <w:start w:val="1"/>
      <w:numFmt w:val="decimal"/>
      <w:lvlText w:val="%1."/>
      <w:lvlJc w:val="left"/>
      <w:pPr>
        <w:ind w:left="360" w:hanging="360"/>
      </w:pPr>
    </w:lvl>
    <w:lvl w:ilvl="1" w:tplc="249A7B02">
      <w:start w:val="1"/>
      <w:numFmt w:val="lowerLetter"/>
      <w:lvlText w:val="%2."/>
      <w:lvlJc w:val="left"/>
      <w:pPr>
        <w:ind w:left="1080" w:hanging="360"/>
      </w:pPr>
    </w:lvl>
    <w:lvl w:ilvl="2" w:tplc="822C74B2">
      <w:start w:val="1"/>
      <w:numFmt w:val="lowerRoman"/>
      <w:lvlText w:val="%3."/>
      <w:lvlJc w:val="right"/>
      <w:pPr>
        <w:ind w:left="1800" w:hanging="180"/>
      </w:pPr>
    </w:lvl>
    <w:lvl w:ilvl="3" w:tplc="561259CE">
      <w:start w:val="1"/>
      <w:numFmt w:val="decimal"/>
      <w:lvlText w:val="%4."/>
      <w:lvlJc w:val="left"/>
      <w:pPr>
        <w:ind w:left="2520" w:hanging="360"/>
      </w:pPr>
    </w:lvl>
    <w:lvl w:ilvl="4" w:tplc="9A86A476">
      <w:start w:val="1"/>
      <w:numFmt w:val="lowerLetter"/>
      <w:lvlText w:val="%5."/>
      <w:lvlJc w:val="left"/>
      <w:pPr>
        <w:ind w:left="3240" w:hanging="360"/>
      </w:pPr>
    </w:lvl>
    <w:lvl w:ilvl="5" w:tplc="B78890D2">
      <w:start w:val="1"/>
      <w:numFmt w:val="lowerRoman"/>
      <w:lvlText w:val="%6."/>
      <w:lvlJc w:val="right"/>
      <w:pPr>
        <w:ind w:left="3960" w:hanging="180"/>
      </w:pPr>
    </w:lvl>
    <w:lvl w:ilvl="6" w:tplc="5E5AFA4E">
      <w:start w:val="1"/>
      <w:numFmt w:val="decimal"/>
      <w:lvlText w:val="%7."/>
      <w:lvlJc w:val="left"/>
      <w:pPr>
        <w:ind w:left="4680" w:hanging="360"/>
      </w:pPr>
    </w:lvl>
    <w:lvl w:ilvl="7" w:tplc="28549BB8">
      <w:start w:val="1"/>
      <w:numFmt w:val="lowerLetter"/>
      <w:lvlText w:val="%8."/>
      <w:lvlJc w:val="left"/>
      <w:pPr>
        <w:ind w:left="5400" w:hanging="360"/>
      </w:pPr>
    </w:lvl>
    <w:lvl w:ilvl="8" w:tplc="692AE01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F7F54"/>
    <w:multiLevelType w:val="multilevel"/>
    <w:tmpl w:val="28E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CB6DAE"/>
    <w:multiLevelType w:val="multilevel"/>
    <w:tmpl w:val="EF62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54D4C"/>
    <w:multiLevelType w:val="multilevel"/>
    <w:tmpl w:val="44D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E73A5"/>
    <w:multiLevelType w:val="hybridMultilevel"/>
    <w:tmpl w:val="9CE68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10"/>
    <w:rsid w:val="00024D33"/>
    <w:rsid w:val="000376D1"/>
    <w:rsid w:val="00041567"/>
    <w:rsid w:val="000541FB"/>
    <w:rsid w:val="00065CAC"/>
    <w:rsid w:val="00084FBE"/>
    <w:rsid w:val="000C15DD"/>
    <w:rsid w:val="000D1C17"/>
    <w:rsid w:val="000F745B"/>
    <w:rsid w:val="00130990"/>
    <w:rsid w:val="00133130"/>
    <w:rsid w:val="001534E9"/>
    <w:rsid w:val="0017058F"/>
    <w:rsid w:val="00202D5B"/>
    <w:rsid w:val="00216623"/>
    <w:rsid w:val="002430C5"/>
    <w:rsid w:val="00255C5C"/>
    <w:rsid w:val="00281302"/>
    <w:rsid w:val="00290C09"/>
    <w:rsid w:val="002E78CD"/>
    <w:rsid w:val="002F123B"/>
    <w:rsid w:val="003029A8"/>
    <w:rsid w:val="00304F9A"/>
    <w:rsid w:val="00321A53"/>
    <w:rsid w:val="0034248B"/>
    <w:rsid w:val="003431D5"/>
    <w:rsid w:val="0038785E"/>
    <w:rsid w:val="003B1BDE"/>
    <w:rsid w:val="003B1D41"/>
    <w:rsid w:val="003B4CAE"/>
    <w:rsid w:val="003E009D"/>
    <w:rsid w:val="0041C116"/>
    <w:rsid w:val="00424614"/>
    <w:rsid w:val="004433E3"/>
    <w:rsid w:val="004644F0"/>
    <w:rsid w:val="00470888"/>
    <w:rsid w:val="0048324D"/>
    <w:rsid w:val="004A1A90"/>
    <w:rsid w:val="004B0CBA"/>
    <w:rsid w:val="004B7239"/>
    <w:rsid w:val="004F372B"/>
    <w:rsid w:val="00502E58"/>
    <w:rsid w:val="00505515"/>
    <w:rsid w:val="00514D27"/>
    <w:rsid w:val="00522F81"/>
    <w:rsid w:val="00527113"/>
    <w:rsid w:val="0054629C"/>
    <w:rsid w:val="005569F9"/>
    <w:rsid w:val="0055738B"/>
    <w:rsid w:val="00583815"/>
    <w:rsid w:val="00590FF8"/>
    <w:rsid w:val="005A0AF8"/>
    <w:rsid w:val="005A67C2"/>
    <w:rsid w:val="00605E50"/>
    <w:rsid w:val="006119B2"/>
    <w:rsid w:val="00635A29"/>
    <w:rsid w:val="0064773B"/>
    <w:rsid w:val="00655491"/>
    <w:rsid w:val="006623C8"/>
    <w:rsid w:val="00665DDF"/>
    <w:rsid w:val="00692911"/>
    <w:rsid w:val="00693BDB"/>
    <w:rsid w:val="006B097D"/>
    <w:rsid w:val="006B668A"/>
    <w:rsid w:val="006D5D55"/>
    <w:rsid w:val="00722268"/>
    <w:rsid w:val="0072338E"/>
    <w:rsid w:val="007260BB"/>
    <w:rsid w:val="007373C4"/>
    <w:rsid w:val="00772BA9"/>
    <w:rsid w:val="00793641"/>
    <w:rsid w:val="007B0DAA"/>
    <w:rsid w:val="007D049C"/>
    <w:rsid w:val="00826468"/>
    <w:rsid w:val="00836939"/>
    <w:rsid w:val="00851418"/>
    <w:rsid w:val="008523A3"/>
    <w:rsid w:val="00857BAF"/>
    <w:rsid w:val="00866387"/>
    <w:rsid w:val="0089191F"/>
    <w:rsid w:val="008A5E5C"/>
    <w:rsid w:val="008B5BBC"/>
    <w:rsid w:val="008D74AA"/>
    <w:rsid w:val="008D7645"/>
    <w:rsid w:val="008E0CF4"/>
    <w:rsid w:val="008E2AAD"/>
    <w:rsid w:val="00931982"/>
    <w:rsid w:val="009337DF"/>
    <w:rsid w:val="0094688D"/>
    <w:rsid w:val="009551D4"/>
    <w:rsid w:val="00991B26"/>
    <w:rsid w:val="009B2C33"/>
    <w:rsid w:val="009D47B1"/>
    <w:rsid w:val="00A0277A"/>
    <w:rsid w:val="00A120C4"/>
    <w:rsid w:val="00A34F10"/>
    <w:rsid w:val="00A556B0"/>
    <w:rsid w:val="00A61F40"/>
    <w:rsid w:val="00AB76BE"/>
    <w:rsid w:val="00AC2234"/>
    <w:rsid w:val="00AC42FA"/>
    <w:rsid w:val="00AD28E6"/>
    <w:rsid w:val="00AE3925"/>
    <w:rsid w:val="00AE7D5E"/>
    <w:rsid w:val="00B06CB3"/>
    <w:rsid w:val="00B145F3"/>
    <w:rsid w:val="00B15295"/>
    <w:rsid w:val="00B23F19"/>
    <w:rsid w:val="00B41705"/>
    <w:rsid w:val="00B530AB"/>
    <w:rsid w:val="00B55115"/>
    <w:rsid w:val="00B730CF"/>
    <w:rsid w:val="00B81893"/>
    <w:rsid w:val="00B90950"/>
    <w:rsid w:val="00BA09DC"/>
    <w:rsid w:val="00BA298F"/>
    <w:rsid w:val="00BB1C81"/>
    <w:rsid w:val="00BD0409"/>
    <w:rsid w:val="00BF1548"/>
    <w:rsid w:val="00C03B0A"/>
    <w:rsid w:val="00C17F2B"/>
    <w:rsid w:val="00C34067"/>
    <w:rsid w:val="00C4382C"/>
    <w:rsid w:val="00C8086D"/>
    <w:rsid w:val="00CE2F98"/>
    <w:rsid w:val="00CF06B1"/>
    <w:rsid w:val="00CF1171"/>
    <w:rsid w:val="00D073F0"/>
    <w:rsid w:val="00D10DBF"/>
    <w:rsid w:val="00D457D3"/>
    <w:rsid w:val="00DB2644"/>
    <w:rsid w:val="00DB7A5F"/>
    <w:rsid w:val="00DC68FC"/>
    <w:rsid w:val="00DE6D03"/>
    <w:rsid w:val="00E35358"/>
    <w:rsid w:val="00E42619"/>
    <w:rsid w:val="00E558C3"/>
    <w:rsid w:val="00EC1AB4"/>
    <w:rsid w:val="00EE3956"/>
    <w:rsid w:val="00EF5A0D"/>
    <w:rsid w:val="00F06E40"/>
    <w:rsid w:val="00F22597"/>
    <w:rsid w:val="00F25A02"/>
    <w:rsid w:val="00F47466"/>
    <w:rsid w:val="00F900D4"/>
    <w:rsid w:val="00F9277A"/>
    <w:rsid w:val="00F94B61"/>
    <w:rsid w:val="00FA3B5B"/>
    <w:rsid w:val="00FC7CC0"/>
    <w:rsid w:val="00FD0C09"/>
    <w:rsid w:val="01425A85"/>
    <w:rsid w:val="020D2043"/>
    <w:rsid w:val="025971BF"/>
    <w:rsid w:val="0307B51C"/>
    <w:rsid w:val="0349A5B8"/>
    <w:rsid w:val="03AEE5CF"/>
    <w:rsid w:val="03BBB54B"/>
    <w:rsid w:val="03C5BDD2"/>
    <w:rsid w:val="05568E35"/>
    <w:rsid w:val="06FB5F4F"/>
    <w:rsid w:val="0733DE3B"/>
    <w:rsid w:val="074145A1"/>
    <w:rsid w:val="07B21F57"/>
    <w:rsid w:val="07E07FFB"/>
    <w:rsid w:val="081BFF1B"/>
    <w:rsid w:val="0883427D"/>
    <w:rsid w:val="08B10494"/>
    <w:rsid w:val="08E0042A"/>
    <w:rsid w:val="08EE1A62"/>
    <w:rsid w:val="090CE93C"/>
    <w:rsid w:val="09131376"/>
    <w:rsid w:val="0A78CB3C"/>
    <w:rsid w:val="0AA35618"/>
    <w:rsid w:val="0BE6EDE3"/>
    <w:rsid w:val="0CD45AB5"/>
    <w:rsid w:val="0CE728E2"/>
    <w:rsid w:val="0D2611FD"/>
    <w:rsid w:val="0DEA2224"/>
    <w:rsid w:val="0EDD193A"/>
    <w:rsid w:val="0F4532ED"/>
    <w:rsid w:val="0F878EF2"/>
    <w:rsid w:val="0FBB96E1"/>
    <w:rsid w:val="0FD37A4B"/>
    <w:rsid w:val="0FEFFD31"/>
    <w:rsid w:val="104C08AF"/>
    <w:rsid w:val="105E5017"/>
    <w:rsid w:val="11263BFA"/>
    <w:rsid w:val="1161551D"/>
    <w:rsid w:val="116C71F7"/>
    <w:rsid w:val="130D4398"/>
    <w:rsid w:val="137AE614"/>
    <w:rsid w:val="13F34EFF"/>
    <w:rsid w:val="14209D99"/>
    <w:rsid w:val="16DB462B"/>
    <w:rsid w:val="172B2B8A"/>
    <w:rsid w:val="17774952"/>
    <w:rsid w:val="17D06744"/>
    <w:rsid w:val="18192D0D"/>
    <w:rsid w:val="183B2B81"/>
    <w:rsid w:val="192A9A65"/>
    <w:rsid w:val="19DB1847"/>
    <w:rsid w:val="1ADEEB0B"/>
    <w:rsid w:val="1B2C7272"/>
    <w:rsid w:val="1C47B300"/>
    <w:rsid w:val="1D212128"/>
    <w:rsid w:val="1D3096AD"/>
    <w:rsid w:val="1DE0F38B"/>
    <w:rsid w:val="1DF88D95"/>
    <w:rsid w:val="1E4ED397"/>
    <w:rsid w:val="1EBB27AD"/>
    <w:rsid w:val="1EC3B6F2"/>
    <w:rsid w:val="1ED9B9EA"/>
    <w:rsid w:val="1F4BED38"/>
    <w:rsid w:val="214677CC"/>
    <w:rsid w:val="2185EB28"/>
    <w:rsid w:val="21D98C14"/>
    <w:rsid w:val="21F08F92"/>
    <w:rsid w:val="224CBA6D"/>
    <w:rsid w:val="2266BDEE"/>
    <w:rsid w:val="2279655F"/>
    <w:rsid w:val="22DF72AB"/>
    <w:rsid w:val="23985BA4"/>
    <w:rsid w:val="23F66B37"/>
    <w:rsid w:val="24333996"/>
    <w:rsid w:val="24E02E5A"/>
    <w:rsid w:val="2503D102"/>
    <w:rsid w:val="253476A7"/>
    <w:rsid w:val="25ECF2EA"/>
    <w:rsid w:val="261D956A"/>
    <w:rsid w:val="268D191B"/>
    <w:rsid w:val="26E76AC4"/>
    <w:rsid w:val="26FF216C"/>
    <w:rsid w:val="28084913"/>
    <w:rsid w:val="281DD491"/>
    <w:rsid w:val="2832CA45"/>
    <w:rsid w:val="286ED4F5"/>
    <w:rsid w:val="28B8F67F"/>
    <w:rsid w:val="28C65D49"/>
    <w:rsid w:val="28E84688"/>
    <w:rsid w:val="2A3C8D59"/>
    <w:rsid w:val="2A74C2F0"/>
    <w:rsid w:val="2A96A0FC"/>
    <w:rsid w:val="2AB9364D"/>
    <w:rsid w:val="2AC3DABA"/>
    <w:rsid w:val="2B21A4B0"/>
    <w:rsid w:val="2B4A77CE"/>
    <w:rsid w:val="2B8C491C"/>
    <w:rsid w:val="2D2C8ABA"/>
    <w:rsid w:val="2D37A17E"/>
    <w:rsid w:val="2D5A1C7C"/>
    <w:rsid w:val="2D969B78"/>
    <w:rsid w:val="2D97B59C"/>
    <w:rsid w:val="2E00C827"/>
    <w:rsid w:val="2E0ECB9F"/>
    <w:rsid w:val="2E559F64"/>
    <w:rsid w:val="2EFFBCA8"/>
    <w:rsid w:val="2F422B85"/>
    <w:rsid w:val="2F596D7F"/>
    <w:rsid w:val="2FBE0EDF"/>
    <w:rsid w:val="2FF6F30F"/>
    <w:rsid w:val="3044AC2C"/>
    <w:rsid w:val="30F441E3"/>
    <w:rsid w:val="313927C7"/>
    <w:rsid w:val="314FCE31"/>
    <w:rsid w:val="31806FD1"/>
    <w:rsid w:val="3327219C"/>
    <w:rsid w:val="33D45902"/>
    <w:rsid w:val="349DDCD7"/>
    <w:rsid w:val="34CD5403"/>
    <w:rsid w:val="34D4D096"/>
    <w:rsid w:val="3643E82D"/>
    <w:rsid w:val="364CF07C"/>
    <w:rsid w:val="36F252A8"/>
    <w:rsid w:val="3815E3A5"/>
    <w:rsid w:val="38708364"/>
    <w:rsid w:val="389AFAA8"/>
    <w:rsid w:val="38A65C97"/>
    <w:rsid w:val="3A0F681E"/>
    <w:rsid w:val="3A2D9226"/>
    <w:rsid w:val="3B394FFB"/>
    <w:rsid w:val="3B46DE7C"/>
    <w:rsid w:val="3B7E95C8"/>
    <w:rsid w:val="3C311BBD"/>
    <w:rsid w:val="3C4A581A"/>
    <w:rsid w:val="3CB8C095"/>
    <w:rsid w:val="3CE220AB"/>
    <w:rsid w:val="3DF6D528"/>
    <w:rsid w:val="3E0CFB27"/>
    <w:rsid w:val="3E91F982"/>
    <w:rsid w:val="3F68D90D"/>
    <w:rsid w:val="41AFF30F"/>
    <w:rsid w:val="41E8F5B0"/>
    <w:rsid w:val="423FC936"/>
    <w:rsid w:val="4243C9C7"/>
    <w:rsid w:val="4250AF9E"/>
    <w:rsid w:val="43011024"/>
    <w:rsid w:val="432CFA90"/>
    <w:rsid w:val="43440BA1"/>
    <w:rsid w:val="4352259B"/>
    <w:rsid w:val="43885319"/>
    <w:rsid w:val="43D58A55"/>
    <w:rsid w:val="43F49152"/>
    <w:rsid w:val="44D075D6"/>
    <w:rsid w:val="44D827C1"/>
    <w:rsid w:val="44E18658"/>
    <w:rsid w:val="45360161"/>
    <w:rsid w:val="4573A205"/>
    <w:rsid w:val="45A17653"/>
    <w:rsid w:val="45C6CC3E"/>
    <w:rsid w:val="46B0F585"/>
    <w:rsid w:val="46DE6DD9"/>
    <w:rsid w:val="470CDBBD"/>
    <w:rsid w:val="47E2653D"/>
    <w:rsid w:val="48208E81"/>
    <w:rsid w:val="4893B70D"/>
    <w:rsid w:val="49C34B2C"/>
    <w:rsid w:val="4BACFE98"/>
    <w:rsid w:val="4CC77689"/>
    <w:rsid w:val="4D2CF0DE"/>
    <w:rsid w:val="4D70901D"/>
    <w:rsid w:val="4E2CFC53"/>
    <w:rsid w:val="4E57F45B"/>
    <w:rsid w:val="4E7111AF"/>
    <w:rsid w:val="4ECCA180"/>
    <w:rsid w:val="4F430C5E"/>
    <w:rsid w:val="4F4BA5AF"/>
    <w:rsid w:val="4F8CEC28"/>
    <w:rsid w:val="5002AB9E"/>
    <w:rsid w:val="50108CBE"/>
    <w:rsid w:val="50333DE5"/>
    <w:rsid w:val="51F1FCBB"/>
    <w:rsid w:val="52C5DC26"/>
    <w:rsid w:val="531BFEF7"/>
    <w:rsid w:val="532D4DE8"/>
    <w:rsid w:val="5388E9A2"/>
    <w:rsid w:val="539E1E8D"/>
    <w:rsid w:val="53CA7477"/>
    <w:rsid w:val="542B8B2C"/>
    <w:rsid w:val="5487CADC"/>
    <w:rsid w:val="5526E33C"/>
    <w:rsid w:val="55FAA756"/>
    <w:rsid w:val="56069DF2"/>
    <w:rsid w:val="56172A5F"/>
    <w:rsid w:val="56588D7F"/>
    <w:rsid w:val="565C7193"/>
    <w:rsid w:val="57150804"/>
    <w:rsid w:val="57482A2C"/>
    <w:rsid w:val="57AC8294"/>
    <w:rsid w:val="57CFE269"/>
    <w:rsid w:val="57D809C4"/>
    <w:rsid w:val="57EF2AF3"/>
    <w:rsid w:val="58C7C14E"/>
    <w:rsid w:val="58EAF277"/>
    <w:rsid w:val="59575B57"/>
    <w:rsid w:val="595CC8E1"/>
    <w:rsid w:val="599F0285"/>
    <w:rsid w:val="59C83F2A"/>
    <w:rsid w:val="59EB8B73"/>
    <w:rsid w:val="5A521174"/>
    <w:rsid w:val="5A6ABCE6"/>
    <w:rsid w:val="5AC8C2BD"/>
    <w:rsid w:val="5B01502C"/>
    <w:rsid w:val="5B682CC3"/>
    <w:rsid w:val="5C4D0A20"/>
    <w:rsid w:val="5CCE5815"/>
    <w:rsid w:val="5CFD60F2"/>
    <w:rsid w:val="5D30543C"/>
    <w:rsid w:val="5D75B1AE"/>
    <w:rsid w:val="5DFDB77D"/>
    <w:rsid w:val="5E3072DA"/>
    <w:rsid w:val="5E9B4AFD"/>
    <w:rsid w:val="5E9D827B"/>
    <w:rsid w:val="5F2F6761"/>
    <w:rsid w:val="5F6B841D"/>
    <w:rsid w:val="5F827F2D"/>
    <w:rsid w:val="5F89EA34"/>
    <w:rsid w:val="5FCA1833"/>
    <w:rsid w:val="604C041A"/>
    <w:rsid w:val="606DFE2A"/>
    <w:rsid w:val="60D0FB34"/>
    <w:rsid w:val="615D5884"/>
    <w:rsid w:val="6177C0E8"/>
    <w:rsid w:val="61FBB029"/>
    <w:rsid w:val="622350C7"/>
    <w:rsid w:val="629F69CA"/>
    <w:rsid w:val="631DB2FC"/>
    <w:rsid w:val="63D6864C"/>
    <w:rsid w:val="63EF79A6"/>
    <w:rsid w:val="643851DB"/>
    <w:rsid w:val="654C3641"/>
    <w:rsid w:val="657E60B4"/>
    <w:rsid w:val="65F61925"/>
    <w:rsid w:val="667212CC"/>
    <w:rsid w:val="6724C6CD"/>
    <w:rsid w:val="68020157"/>
    <w:rsid w:val="681B2B29"/>
    <w:rsid w:val="685AE088"/>
    <w:rsid w:val="6919A63E"/>
    <w:rsid w:val="6935A715"/>
    <w:rsid w:val="697A1FB8"/>
    <w:rsid w:val="6A6F1553"/>
    <w:rsid w:val="6BB0B049"/>
    <w:rsid w:val="6BB1FC5E"/>
    <w:rsid w:val="6C20F252"/>
    <w:rsid w:val="6C31FA46"/>
    <w:rsid w:val="6C3B3FE7"/>
    <w:rsid w:val="6C990F1D"/>
    <w:rsid w:val="6CFFE77F"/>
    <w:rsid w:val="6D60148B"/>
    <w:rsid w:val="6D9629AF"/>
    <w:rsid w:val="6DDE4944"/>
    <w:rsid w:val="6E9186D6"/>
    <w:rsid w:val="6EA126F2"/>
    <w:rsid w:val="6ED55544"/>
    <w:rsid w:val="6EFB4F84"/>
    <w:rsid w:val="6F1E4033"/>
    <w:rsid w:val="6F52E048"/>
    <w:rsid w:val="6FE411B2"/>
    <w:rsid w:val="70B545EE"/>
    <w:rsid w:val="7110C837"/>
    <w:rsid w:val="71210F02"/>
    <w:rsid w:val="7142B19F"/>
    <w:rsid w:val="71710AB2"/>
    <w:rsid w:val="71847037"/>
    <w:rsid w:val="71BE6CC9"/>
    <w:rsid w:val="71C1AF95"/>
    <w:rsid w:val="725C7907"/>
    <w:rsid w:val="725E4616"/>
    <w:rsid w:val="728BD74E"/>
    <w:rsid w:val="7299009A"/>
    <w:rsid w:val="72C66BDC"/>
    <w:rsid w:val="72D8F09D"/>
    <w:rsid w:val="75774946"/>
    <w:rsid w:val="76174717"/>
    <w:rsid w:val="76B210C1"/>
    <w:rsid w:val="771D928C"/>
    <w:rsid w:val="785F3A13"/>
    <w:rsid w:val="787EAA57"/>
    <w:rsid w:val="78943265"/>
    <w:rsid w:val="799594F6"/>
    <w:rsid w:val="79CAF4B6"/>
    <w:rsid w:val="7A19B8B2"/>
    <w:rsid w:val="7A2AA68C"/>
    <w:rsid w:val="7A3BC784"/>
    <w:rsid w:val="7AD28A4D"/>
    <w:rsid w:val="7AD94437"/>
    <w:rsid w:val="7AF79348"/>
    <w:rsid w:val="7BAEEFC0"/>
    <w:rsid w:val="7BBE543D"/>
    <w:rsid w:val="7CB73D5A"/>
    <w:rsid w:val="7E049FB1"/>
    <w:rsid w:val="7E60C701"/>
    <w:rsid w:val="7E773702"/>
    <w:rsid w:val="7F424918"/>
    <w:rsid w:val="7FDDEAD4"/>
    <w:rsid w:val="7F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8A03"/>
  <w15:chartTrackingRefBased/>
  <w15:docId w15:val="{4B4F9A65-D4B8-4BBD-AD8B-160DC9A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4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10"/>
  </w:style>
  <w:style w:type="paragraph" w:styleId="Footer">
    <w:name w:val="footer"/>
    <w:basedOn w:val="Normal"/>
    <w:link w:val="FooterChar"/>
    <w:uiPriority w:val="99"/>
    <w:unhideWhenUsed/>
    <w:rsid w:val="00A3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10"/>
  </w:style>
  <w:style w:type="paragraph" w:styleId="Caption">
    <w:name w:val="caption"/>
    <w:basedOn w:val="Normal"/>
    <w:next w:val="Normal"/>
    <w:uiPriority w:val="35"/>
    <w:unhideWhenUsed/>
    <w:qFormat/>
    <w:rsid w:val="00A34F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0C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35A29"/>
    <w:pPr>
      <w:widowControl w:val="0"/>
      <w:spacing w:before="103" w:after="0" w:line="240" w:lineRule="auto"/>
    </w:pPr>
    <w:rPr>
      <w:rFonts w:ascii="Arial MT" w:eastAsiaTheme="minorEastAsia" w:hAnsi="Arial MT" w:cs="Arial MT"/>
      <w:lang w:val="en-US"/>
    </w:rPr>
  </w:style>
  <w:style w:type="character" w:customStyle="1" w:styleId="normaltextrun">
    <w:name w:val="normaltextrun"/>
    <w:basedOn w:val="DefaultParagraphFont"/>
    <w:uiPriority w:val="1"/>
    <w:rsid w:val="00EF5A0D"/>
    <w:rPr>
      <w:rFonts w:ascii="Arial" w:eastAsiaTheme="minorEastAsia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3F928A5-F1F9-4E6B-9475-A12B21BB895E}">
    <t:Anchor>
      <t:Comment id="1831677816"/>
    </t:Anchor>
    <t:History>
      <t:Event id="{B1521F7F-F55F-47A9-83BD-4C28E8A83D02}" time="2025-07-16T08:34:51.731Z">
        <t:Attribution userId="S::ewen.mcgregor2@gjnh.nhs.scot::51ec2f01-2963-458e-b746-56682aa7e3fe" userProvider="AD" userName="Ewen McGregor (NHS GOLDEN JUBILEE)"/>
        <t:Anchor>
          <t:Comment id="1831677816"/>
        </t:Anchor>
        <t:Create/>
      </t:Event>
      <t:Event id="{E5D063CA-CF78-49B2-90A4-80AF7272CB9E}" time="2025-07-16T08:34:51.731Z">
        <t:Attribution userId="S::ewen.mcgregor2@gjnh.nhs.scot::51ec2f01-2963-458e-b746-56682aa7e3fe" userProvider="AD" userName="Ewen McGregor (NHS GOLDEN JUBILEE)"/>
        <t:Anchor>
          <t:Comment id="1831677816"/>
        </t:Anchor>
        <t:Assign userId="S::jacqueline.odonnell2@gjnh.nhs.scot::400577b6-2275-4f20-a86c-845d57dd59e0" userProvider="AD" userName="Jacqueline O'Donnell (NHS GOLDEN JUBILEE)"/>
      </t:Event>
      <t:Event id="{F5DC1511-1AE3-4635-8BC9-14C531CBE566}" time="2025-07-16T08:34:51.731Z">
        <t:Attribution userId="S::ewen.mcgregor2@gjnh.nhs.scot::51ec2f01-2963-458e-b746-56682aa7e3fe" userProvider="AD" userName="Ewen McGregor (NHS GOLDEN JUBILEE)"/>
        <t:Anchor>
          <t:Comment id="1831677816"/>
        </t:Anchor>
        <t:SetTitle title="@Jacqueline O'Donnell (NHS GOLDEN JUBILEE) did they give any indication of the reasons for the delay and when it may likely be confirmed by?"/>
      </t:Event>
      <t:Event id="{BF54FA2E-A7CD-4222-BBBD-E2955F3600A2}" time="2025-07-16T10:10:00.174Z">
        <t:Attribution userId="S::jacqueline.odonnell2@gjnh.nhs.scot::400577b6-2275-4f20-a86c-845d57dd59e0" userProvider="AD" userName="Jacqueline O'Donnell (NHS GOLDEN JUBILEE)"/>
        <t:Progress percentComplete="100"/>
      </t:Event>
    </t:History>
  </t:Task>
  <t:Task id="{DB957088-5124-4923-8086-215727CC9FDF}">
    <t:Anchor>
      <t:Comment id="1018221290"/>
    </t:Anchor>
    <t:History>
      <t:Event id="{7B21C233-CA72-4D9C-9B1A-D76B53EDB3B6}" time="2025-07-24T13:34:33.639Z">
        <t:Attribution userId="S::anne-marie.aitken@gjnh.nhs.scot::76fde2f4-f7df-413b-93ba-20f58ee96445" userProvider="AD" userName="Anne-Marie Aitken (NHS GOLDEN JUBILEE)"/>
        <t:Anchor>
          <t:Comment id="850186635"/>
        </t:Anchor>
        <t:Create/>
      </t:Event>
      <t:Event id="{A5B071E2-A53D-46BA-8B1D-5D334CB99DB0}" time="2025-07-24T13:34:33.639Z">
        <t:Attribution userId="S::anne-marie.aitken@gjnh.nhs.scot::76fde2f4-f7df-413b-93ba-20f58ee96445" userProvider="AD" userName="Anne-Marie Aitken (NHS GOLDEN JUBILEE)"/>
        <t:Anchor>
          <t:Comment id="850186635"/>
        </t:Anchor>
        <t:Assign userId="S::Abu-Zar.Aziz@gjnh.nhs.scot::e8922373-405d-47a8-9eab-7d15d6b3c574" userProvider="AD" userName="Abu-Zar Aziz (NHS GOLDEN JUBILEE)"/>
      </t:Event>
      <t:Event id="{26E4CC58-77C4-46F8-A14E-9818A4D3EC37}" time="2025-07-24T13:34:33.639Z">
        <t:Attribution userId="S::anne-marie.aitken@gjnh.nhs.scot::76fde2f4-f7df-413b-93ba-20f58ee96445" userProvider="AD" userName="Anne-Marie Aitken (NHS GOLDEN JUBILEE)"/>
        <t:Anchor>
          <t:Comment id="850186635"/>
        </t:Anchor>
        <t:SetTitle title="@Abu-Zar Aziz (NHS GOLDEN JUBILEE)"/>
      </t:Event>
      <t:Event id="{8A45D671-57B4-46AD-8402-A5FA7B6AE9B7}" time="2025-07-25T07:56:22.538Z">
        <t:Attribution userId="S::abu-zar.aziz@gjnh.nhs.scot::e8922373-405d-47a8-9eab-7d15d6b3c574" userProvider="AD" userName="Abu-Zar Aziz (NHS GOLDEN JUBILEE)"/>
        <t:Anchor>
          <t:Comment id="1178766601"/>
        </t:Anchor>
        <t:UnassignAll/>
      </t:Event>
      <t:Event id="{771EF48E-D705-4DEB-918B-1E856A94B3B5}" time="2025-07-25T07:56:22.538Z">
        <t:Attribution userId="S::abu-zar.aziz@gjnh.nhs.scot::e8922373-405d-47a8-9eab-7d15d6b3c574" userProvider="AD" userName="Abu-Zar Aziz (NHS GOLDEN JUBILEE)"/>
        <t:Anchor>
          <t:Comment id="1178766601"/>
        </t:Anchor>
        <t:Assign userId="S::zaid.tariq@gjnh.nhs.scot::c4703c16-7ec7-4d2c-8337-100a9e97cb13" userProvider="AD" userName="Zaid Tariq (NHS GOLDEN JUBILEE)"/>
      </t:Event>
      <t:Event id="{35368BC9-F432-467B-BDDF-ADC6E073C103}" time="2025-07-25T11:40:37.23Z">
        <t:Attribution userId="S::anne-marie.aitken@gjnh.nhs.scot::76fde2f4-f7df-413b-93ba-20f58ee96445" userProvider="AD" userName="Anne-Marie Aitken (NHS GOLDEN JUBILEE)"/>
        <t:Progress percentComplete="100"/>
      </t:Event>
    </t:History>
  </t:Task>
  <t:Task id="{1268CE8D-F0DE-4AE3-B914-259BF26328D9}">
    <t:Anchor>
      <t:Comment id="1619097332"/>
    </t:Anchor>
    <t:History>
      <t:Event id="{3FA244A9-B04C-46EE-A248-4EA39081A163}" time="2025-07-29T14:14:16.636Z">
        <t:Attribution userId="S::laura.morrison5@gjnh.nhs.scot::354f1d90-f82f-430f-8ffa-1e64e596d5f2" userProvider="AD" userName="Laura Morrison (NHS GOLDEN JUBILEE)"/>
        <t:Anchor>
          <t:Comment id="1619097332"/>
        </t:Anchor>
        <t:Create/>
      </t:Event>
      <t:Event id="{25ADA91E-5893-44DF-B5FA-0B67DC91255C}" time="2025-07-29T14:14:16.636Z">
        <t:Attribution userId="S::laura.morrison5@gjnh.nhs.scot::354f1d90-f82f-430f-8ffa-1e64e596d5f2" userProvider="AD" userName="Laura Morrison (NHS GOLDEN JUBILEE)"/>
        <t:Anchor>
          <t:Comment id="1619097332"/>
        </t:Anchor>
        <t:Assign userId="S::ewen.mcgregor2@gjnh.nhs.scot::51ec2f01-2963-458e-b746-56682aa7e3fe" userProvider="AD" userName="Ewen McGregor (NHS GOLDEN JUBILEE)"/>
      </t:Event>
      <t:Event id="{ADFD0DDD-FF53-4342-9873-060CAD2B4E5F}" time="2025-07-29T14:14:16.636Z">
        <t:Attribution userId="S::laura.morrison5@gjnh.nhs.scot::354f1d90-f82f-430f-8ffa-1e64e596d5f2" userProvider="AD" userName="Laura Morrison (NHS GOLDEN JUBILEE)"/>
        <t:Anchor>
          <t:Comment id="1619097332"/>
        </t:Anchor>
        <t:SetTitle title="@Ewen McGregor (NHS GOLDEN JUBILEE) @Jacqueline O'Donnell (NHS GOLDEN JUBILEE) As this sentence has been updated the latter part can be removed. Date to be added if content with comment within SBAR"/>
      </t:Event>
      <t:Event id="{38EC29D6-7FFF-4991-82F4-E689FF30F920}" time="2025-07-30T14:27:02.091Z">
        <t:Attribution userId="S::jacqueline.odonnell2@gjnh.nhs.scot::400577b6-2275-4f20-a86c-845d57dd59e0" userProvider="AD" userName="Jacqueline O'Donnell (NHS GOLDEN JUBILEE)"/>
        <t:Progress percentComplete="100"/>
      </t:Event>
    </t:History>
  </t:Task>
  <t:Task id="{EACB5DF7-0C43-4FF1-AC8E-02FFFDF4C6BF}">
    <t:Anchor>
      <t:Comment id="1127884526"/>
    </t:Anchor>
    <t:History>
      <t:Event id="{94559016-8BCB-4C66-B4DD-F717E167B871}" time="2025-07-29T14:19:41.005Z">
        <t:Attribution userId="S::laura.morrison5@gjnh.nhs.scot::354f1d90-f82f-430f-8ffa-1e64e596d5f2" userProvider="AD" userName="Laura Morrison (NHS GOLDEN JUBILEE)"/>
        <t:Anchor>
          <t:Comment id="1127884526"/>
        </t:Anchor>
        <t:Create/>
      </t:Event>
      <t:Event id="{65BBCDC3-50B2-44E3-93F2-3AF51D4CAACE}" time="2025-07-29T14:19:41.005Z">
        <t:Attribution userId="S::laura.morrison5@gjnh.nhs.scot::354f1d90-f82f-430f-8ffa-1e64e596d5f2" userProvider="AD" userName="Laura Morrison (NHS GOLDEN JUBILEE)"/>
        <t:Anchor>
          <t:Comment id="1127884526"/>
        </t:Anchor>
        <t:Assign userId="S::jacqueline.odonnell2@gjnh.nhs.scot::400577b6-2275-4f20-a86c-845d57dd59e0" userProvider="AD" userName="Jacqueline O'Donnell (NHS GOLDEN JUBILEE)"/>
      </t:Event>
      <t:Event id="{AA8EE3B1-BD38-47C5-B306-B61278CB6100}" time="2025-07-29T14:19:41.005Z">
        <t:Attribution userId="S::laura.morrison5@gjnh.nhs.scot::354f1d90-f82f-430f-8ffa-1e64e596d5f2" userProvider="AD" userName="Laura Morrison (NHS GOLDEN JUBILEE)"/>
        <t:Anchor>
          <t:Comment id="1127884526"/>
        </t:Anchor>
        <t:SetTitle title="@Jacqueline O'Donnell (NHS GOLDEN JUBILEE) I think this should be 7 green based on table 1 but apologies if I am reading it wrong!"/>
      </t:Event>
    </t:History>
  </t:Task>
  <t:Task id="{825AAB18-63FC-40F2-B088-8E302EC23FF7}">
    <t:Anchor>
      <t:Comment id="1176856551"/>
    </t:Anchor>
    <t:History>
      <t:Event id="{8EC3087A-31DB-49CE-A237-82B278A1B825}" time="2025-07-30T14:24:13.889Z">
        <t:Attribution userId="S::carole.anderson2@gjnh.nhs.scot::331b4913-1ab7-42ad-8a30-6e103182928c" userProvider="AD" userName="Carole Anderson (NHS GOLDEN JUBILEE)"/>
        <t:Anchor>
          <t:Comment id="1176856551"/>
        </t:Anchor>
        <t:Create/>
      </t:Event>
      <t:Event id="{77D6787F-9C74-4221-B56E-3AA0DD8CC75C}" time="2025-07-30T14:24:13.889Z">
        <t:Attribution userId="S::carole.anderson2@gjnh.nhs.scot::331b4913-1ab7-42ad-8a30-6e103182928c" userProvider="AD" userName="Carole Anderson (NHS GOLDEN JUBILEE)"/>
        <t:Anchor>
          <t:Comment id="1176856551"/>
        </t:Anchor>
        <t:Assign userId="S::jacqueline.odonnell2@gjnh.nhs.scot::400577b6-2275-4f20-a86c-845d57dd59e0" userProvider="AD" userName="Jacqueline O'Donnell (NHS GOLDEN JUBILEE)"/>
      </t:Event>
      <t:Event id="{0427473D-1531-4581-836A-B107A586820F}" time="2025-07-30T14:24:13.889Z">
        <t:Attribution userId="S::carole.anderson2@gjnh.nhs.scot::331b4913-1ab7-42ad-8a30-6e103182928c" userProvider="AD" userName="Carole Anderson (NHS GOLDEN JUBILEE)"/>
        <t:Anchor>
          <t:Comment id="1176856551"/>
        </t:Anchor>
        <t:SetTitle title="@Jacqueline O'Donnell (NHS GOLDEN JUBILEE) SG have not asked for quarterly returns this year, and are content for Boards to approve within their own governance"/>
      </t:Event>
      <t:Event id="{1BE67698-6F9C-4045-AABD-539C8890DC02}" time="2025-07-30T14:26:22.205Z">
        <t:Attribution userId="S::jacqueline.odonnell2@gjnh.nhs.scot::400577b6-2275-4f20-a86c-845d57dd59e0" userProvider="AD" userName="Jacqueline O'Donnell (NHS GOLDEN JUBILE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586B33552B43827CBF4DE1CC4FDC" ma:contentTypeVersion="11" ma:contentTypeDescription="Create a new document." ma:contentTypeScope="" ma:versionID="4814c116b54719296a59f20a4a35378b">
  <xsd:schema xmlns:xsd="http://www.w3.org/2001/XMLSchema" xmlns:xs="http://www.w3.org/2001/XMLSchema" xmlns:p="http://schemas.microsoft.com/office/2006/metadata/properties" xmlns:ns2="5174f311-f3bc-4797-b6a7-0c488b859617" xmlns:ns3="cb002fc2-fc10-465d-bc9f-591cec36b6a0" targetNamespace="http://schemas.microsoft.com/office/2006/metadata/properties" ma:root="true" ma:fieldsID="e6d25c8c233628c81497f92a64f14bbb" ns2:_="" ns3:_="">
    <xsd:import namespace="5174f311-f3bc-4797-b6a7-0c488b859617"/>
    <xsd:import namespace="cb002fc2-fc10-465d-bc9f-591cec36b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f311-f3bc-4797-b6a7-0c488b85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02fc2-fc10-465d-bc9f-591cec36b6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b93dcb-7a35-4a7b-96e9-6f784e1e3025}" ma:internalName="TaxCatchAll" ma:showField="CatchAllData" ma:web="cb002fc2-fc10-465d-bc9f-591cec36b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02fc2-fc10-465d-bc9f-591cec36b6a0" xsi:nil="true"/>
    <lcf76f155ced4ddcb4097134ff3c332f xmlns="5174f311-f3bc-4797-b6a7-0c488b859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15BB4-B85B-492D-9704-7F648FF2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4f311-f3bc-4797-b6a7-0c488b859617"/>
    <ds:schemaRef ds:uri="cb002fc2-fc10-465d-bc9f-591cec36b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B4E37-4CB1-4E48-A630-CF3F45179FE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cb002fc2-fc10-465d-bc9f-591cec36b6a0"/>
    <ds:schemaRef ds:uri="5174f311-f3bc-4797-b6a7-0c488b85961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E32DB2-E654-42AB-8404-2837999D3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10031</Characters>
  <Application>Microsoft Office Word</Application>
  <DocSecurity>0</DocSecurity>
  <Lines>83</Lines>
  <Paragraphs>23</Paragraphs>
  <ScaleCrop>false</ScaleCrop>
  <Company>GJNH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Aitken (NHS GOLDEN JUBILEE)</dc:creator>
  <cp:keywords/>
  <dc:description/>
  <cp:lastModifiedBy>Shannon Curran (NHS GOLDEN JUBILEE)</cp:lastModifiedBy>
  <cp:revision>227</cp:revision>
  <dcterms:created xsi:type="dcterms:W3CDTF">2025-04-30T14:57:00Z</dcterms:created>
  <dcterms:modified xsi:type="dcterms:W3CDTF">2025-08-19T14:41:00Z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0x01010044B8586B33552B43827CBF4DE1CC4FDC</vt:lpwstr>
  </property>
  <property fmtid="{D5CDD505-2E9C-101B-9397-08002B2CF9AE}" pid="3" name="MediaServiceImageTags">
    <vt:lpwstr/>
  </property>
</Properties>
</file>