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6421AD" w:rsidRDefault="00B510AF" w:rsidP="00506517">
      <w:pPr>
        <w:pStyle w:val="Heading1"/>
        <w:ind w:left="-426" w:right="183"/>
        <w:rPr>
          <w:rFonts w:ascii="Arial" w:hAnsi="Arial" w:cs="Arial"/>
          <w:b w:val="0"/>
          <w:sz w:val="24"/>
          <w:szCs w:val="24"/>
        </w:rPr>
      </w:pPr>
      <w:r>
        <w:rPr>
          <w:rFonts w:ascii="Arial" w:hAnsi="Arial" w:cs="Arial"/>
          <w:noProof/>
          <w:color w:val="000000"/>
          <w:lang w:eastAsia="en-GB"/>
        </w:rPr>
        <w:drawing>
          <wp:anchor distT="0" distB="0" distL="114300" distR="114300" simplePos="0" relativeHeight="251657728" behindDoc="0" locked="0" layoutInCell="1" allowOverlap="1">
            <wp:simplePos x="0" y="0"/>
            <wp:positionH relativeFrom="column">
              <wp:posOffset>4838700</wp:posOffset>
            </wp:positionH>
            <wp:positionV relativeFrom="paragraph">
              <wp:posOffset>-88900</wp:posOffset>
            </wp:positionV>
            <wp:extent cx="1132840" cy="113284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32840" cy="1132840"/>
                    </a:xfrm>
                    <a:prstGeom prst="rect">
                      <a:avLst/>
                    </a:prstGeom>
                    <a:noFill/>
                    <a:ln w="9525">
                      <a:noFill/>
                      <a:miter lim="800000"/>
                      <a:headEnd/>
                      <a:tailEnd/>
                    </a:ln>
                  </pic:spPr>
                </pic:pic>
              </a:graphicData>
            </a:graphic>
          </wp:anchor>
        </w:drawing>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6421AD" w:rsidRPr="006421AD">
        <w:rPr>
          <w:rFonts w:ascii="Arial" w:hAnsi="Arial" w:cs="Arial"/>
          <w:b w:val="0"/>
          <w:sz w:val="24"/>
          <w:szCs w:val="24"/>
        </w:rPr>
        <w:t>2 August 2018</w:t>
      </w:r>
    </w:p>
    <w:p w:rsidR="001175E5" w:rsidRPr="006421AD" w:rsidRDefault="001175E5" w:rsidP="00506517">
      <w:pPr>
        <w:ind w:left="-426" w:right="183"/>
        <w:rPr>
          <w:rFonts w:ascii="Arial" w:hAnsi="Arial" w:cs="Arial"/>
        </w:rPr>
      </w:pPr>
    </w:p>
    <w:p w:rsidR="00A2577B" w:rsidRPr="006421AD" w:rsidRDefault="00A2577B" w:rsidP="006421AD">
      <w:pPr>
        <w:ind w:left="2160" w:hanging="2586"/>
        <w:rPr>
          <w:rFonts w:ascii="Arial" w:hAnsi="Arial" w:cs="Arial"/>
        </w:rPr>
      </w:pPr>
      <w:r w:rsidRPr="006421AD">
        <w:rPr>
          <w:rFonts w:ascii="Arial" w:hAnsi="Arial" w:cs="Arial"/>
          <w:b/>
          <w:bCs/>
        </w:rPr>
        <w:t xml:space="preserve">Subject: </w:t>
      </w:r>
      <w:r w:rsidRPr="006421AD">
        <w:rPr>
          <w:rFonts w:ascii="Arial" w:hAnsi="Arial" w:cs="Arial"/>
          <w:b/>
          <w:bCs/>
        </w:rPr>
        <w:tab/>
      </w:r>
      <w:r w:rsidR="008E76A4">
        <w:rPr>
          <w:rFonts w:ascii="Arial" w:hAnsi="Arial" w:cs="Arial"/>
          <w:bCs/>
        </w:rPr>
        <w:t>Clinical Governance</w:t>
      </w:r>
      <w:r w:rsidR="006421AD" w:rsidRPr="006421AD">
        <w:rPr>
          <w:rFonts w:ascii="Arial" w:hAnsi="Arial" w:cs="Arial"/>
          <w:bCs/>
        </w:rPr>
        <w:t xml:space="preserve"> Committee update</w:t>
      </w:r>
    </w:p>
    <w:p w:rsidR="006421AD" w:rsidRPr="006421AD" w:rsidRDefault="006421AD" w:rsidP="00506517">
      <w:pPr>
        <w:ind w:left="-426" w:right="183"/>
        <w:rPr>
          <w:rFonts w:ascii="Arial" w:hAnsi="Arial" w:cs="Arial"/>
          <w:b/>
          <w:bCs/>
        </w:rPr>
      </w:pPr>
    </w:p>
    <w:p w:rsidR="00506517" w:rsidRPr="006421AD" w:rsidRDefault="00A2577B" w:rsidP="006421AD">
      <w:pPr>
        <w:ind w:left="2154" w:right="183" w:hanging="2580"/>
        <w:rPr>
          <w:rFonts w:ascii="Arial" w:hAnsi="Arial" w:cs="Arial"/>
          <w:sz w:val="18"/>
          <w:szCs w:val="18"/>
        </w:rPr>
      </w:pPr>
      <w:r w:rsidRPr="006421AD">
        <w:rPr>
          <w:rFonts w:ascii="Arial" w:hAnsi="Arial" w:cs="Arial"/>
          <w:b/>
          <w:bCs/>
        </w:rPr>
        <w:t>Recommendation:</w:t>
      </w:r>
      <w:r w:rsidRPr="006421AD">
        <w:rPr>
          <w:rFonts w:ascii="Arial" w:hAnsi="Arial" w:cs="Arial"/>
          <w:b/>
          <w:bCs/>
        </w:rPr>
        <w:tab/>
      </w:r>
      <w:r w:rsidR="006421AD" w:rsidRPr="006421AD">
        <w:rPr>
          <w:rFonts w:ascii="Arial" w:hAnsi="Arial" w:cs="Arial"/>
        </w:rPr>
        <w:t xml:space="preserve">Board members are asked to note the discussions at the Person Centred Committee meeting held on </w:t>
      </w:r>
      <w:r w:rsidR="008E76A4">
        <w:rPr>
          <w:rFonts w:ascii="Arial" w:hAnsi="Arial" w:cs="Arial"/>
        </w:rPr>
        <w:t>31</w:t>
      </w:r>
      <w:r w:rsidR="006421AD" w:rsidRPr="006421AD">
        <w:rPr>
          <w:rFonts w:ascii="Arial" w:hAnsi="Arial" w:cs="Arial"/>
        </w:rPr>
        <w:t xml:space="preserve"> July 2018</w:t>
      </w:r>
    </w:p>
    <w:p w:rsidR="00506517" w:rsidRPr="006421AD" w:rsidRDefault="00506517" w:rsidP="00506517">
      <w:pPr>
        <w:ind w:left="-426" w:right="183"/>
        <w:rPr>
          <w:rFonts w:ascii="Arial" w:hAnsi="Arial" w:cs="Arial"/>
          <w:b/>
          <w:bCs/>
          <w:sz w:val="18"/>
          <w:szCs w:val="18"/>
        </w:rPr>
      </w:pPr>
    </w:p>
    <w:p w:rsidR="00A2577B" w:rsidRPr="006421AD" w:rsidRDefault="00513DB0" w:rsidP="00506517">
      <w:pPr>
        <w:ind w:left="-426" w:right="183"/>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6421AD">
        <w:rPr>
          <w:rFonts w:ascii="Arial" w:hAnsi="Arial" w:cs="Arial"/>
          <w:b/>
          <w:bCs/>
        </w:rPr>
        <w:t>___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6D232B" w:rsidRPr="006421AD"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6421AD" w:rsidTr="006421AD">
        <w:trPr>
          <w:trHeight w:val="388"/>
        </w:trPr>
        <w:tc>
          <w:tcPr>
            <w:tcW w:w="1251" w:type="dxa"/>
            <w:shd w:val="clear" w:color="auto" w:fill="0000FF"/>
          </w:tcPr>
          <w:p w:rsidR="006D232B" w:rsidRPr="006421AD" w:rsidRDefault="006D232B" w:rsidP="008E76A4">
            <w:pPr>
              <w:spacing w:before="120" w:after="120"/>
              <w:ind w:left="34"/>
              <w:rPr>
                <w:rFonts w:ascii="Arial" w:hAnsi="Arial" w:cs="Arial"/>
                <w:b/>
                <w:bCs/>
                <w:color w:val="FFFFFF"/>
                <w:lang w:val="en-US"/>
              </w:rPr>
            </w:pPr>
            <w:r w:rsidRPr="006421AD">
              <w:rPr>
                <w:rFonts w:ascii="Arial" w:hAnsi="Arial" w:cs="Arial"/>
                <w:b/>
                <w:bCs/>
                <w:color w:val="FFFFFF"/>
                <w:lang w:val="en-US"/>
              </w:rPr>
              <w:t>Item</w:t>
            </w:r>
          </w:p>
        </w:tc>
        <w:tc>
          <w:tcPr>
            <w:tcW w:w="7929" w:type="dxa"/>
            <w:shd w:val="clear" w:color="auto" w:fill="0000FF"/>
          </w:tcPr>
          <w:p w:rsidR="006D232B" w:rsidRPr="006421AD" w:rsidRDefault="006D232B" w:rsidP="008E76A4">
            <w:pPr>
              <w:spacing w:before="120" w:after="120"/>
              <w:rPr>
                <w:rFonts w:ascii="Arial" w:hAnsi="Arial" w:cs="Arial"/>
                <w:b/>
                <w:bCs/>
                <w:color w:val="FFFFFF"/>
                <w:lang w:val="en-US"/>
              </w:rPr>
            </w:pPr>
            <w:r w:rsidRPr="006421AD">
              <w:rPr>
                <w:rFonts w:ascii="Arial" w:hAnsi="Arial" w:cs="Arial"/>
                <w:b/>
                <w:bCs/>
                <w:color w:val="FFFFFF"/>
                <w:lang w:val="en-US"/>
              </w:rPr>
              <w:t>Details</w:t>
            </w:r>
          </w:p>
        </w:tc>
      </w:tr>
      <w:tr w:rsidR="006D232B" w:rsidRPr="006421AD" w:rsidTr="006421AD">
        <w:tc>
          <w:tcPr>
            <w:tcW w:w="1251" w:type="dxa"/>
          </w:tcPr>
          <w:p w:rsidR="006D232B" w:rsidRPr="006421AD" w:rsidRDefault="006D232B" w:rsidP="008E76A4">
            <w:pPr>
              <w:spacing w:before="120" w:after="120"/>
              <w:ind w:left="34"/>
              <w:rPr>
                <w:rFonts w:ascii="Arial" w:hAnsi="Arial" w:cs="Arial"/>
                <w:b/>
                <w:bCs/>
                <w:lang w:val="en-US"/>
              </w:rPr>
            </w:pPr>
            <w:r w:rsidRPr="006421AD">
              <w:rPr>
                <w:rFonts w:ascii="Arial" w:hAnsi="Arial" w:cs="Arial"/>
                <w:b/>
                <w:bCs/>
                <w:lang w:val="en-US"/>
              </w:rPr>
              <w:t>Safe</w:t>
            </w: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rPr>
                <w:rFonts w:ascii="Arial" w:hAnsi="Arial" w:cs="Arial"/>
              </w:rPr>
            </w:pPr>
          </w:p>
          <w:p w:rsidR="006D232B" w:rsidRPr="006421AD" w:rsidRDefault="006D232B" w:rsidP="008E76A4">
            <w:pPr>
              <w:spacing w:before="120" w:after="120"/>
              <w:ind w:left="34"/>
              <w:rPr>
                <w:rFonts w:ascii="Arial" w:hAnsi="Arial" w:cs="Arial"/>
              </w:rPr>
            </w:pPr>
          </w:p>
        </w:tc>
        <w:tc>
          <w:tcPr>
            <w:tcW w:w="7929" w:type="dxa"/>
          </w:tcPr>
          <w:p w:rsidR="006D232B" w:rsidRPr="006421AD" w:rsidRDefault="006D232B" w:rsidP="008E76A4">
            <w:pPr>
              <w:pStyle w:val="ListParagraph"/>
              <w:spacing w:before="120" w:after="120"/>
              <w:ind w:left="0"/>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p w:rsidR="008E76A4" w:rsidRPr="008E76A4" w:rsidRDefault="008E76A4" w:rsidP="008E76A4">
            <w:pPr>
              <w:spacing w:before="120" w:after="120"/>
              <w:rPr>
                <w:rFonts w:ascii="Arial" w:hAnsi="Arial" w:cs="Arial"/>
              </w:rPr>
            </w:pPr>
            <w:r w:rsidRPr="008E76A4">
              <w:rPr>
                <w:rFonts w:ascii="Arial" w:hAnsi="Arial" w:cs="Arial"/>
              </w:rPr>
              <w:t xml:space="preserve">The Surgical Services and Regional and National </w:t>
            </w:r>
            <w:r>
              <w:rPr>
                <w:rFonts w:ascii="Arial" w:hAnsi="Arial" w:cs="Arial"/>
              </w:rPr>
              <w:t>Medicine d</w:t>
            </w:r>
            <w:r w:rsidRPr="008E76A4">
              <w:rPr>
                <w:rFonts w:ascii="Arial" w:hAnsi="Arial" w:cs="Arial"/>
              </w:rPr>
              <w:t xml:space="preserve">ivisional </w:t>
            </w:r>
            <w:r>
              <w:rPr>
                <w:rFonts w:ascii="Arial" w:hAnsi="Arial" w:cs="Arial"/>
              </w:rPr>
              <w:t>r</w:t>
            </w:r>
            <w:r w:rsidRPr="008E76A4">
              <w:rPr>
                <w:rFonts w:ascii="Arial" w:hAnsi="Arial" w:cs="Arial"/>
              </w:rPr>
              <w:t xml:space="preserve">eports were received. </w:t>
            </w:r>
            <w:r>
              <w:rPr>
                <w:rFonts w:ascii="Arial" w:hAnsi="Arial" w:cs="Arial"/>
              </w:rPr>
              <w:t xml:space="preserve">There is </w:t>
            </w:r>
            <w:r w:rsidRPr="008E76A4">
              <w:rPr>
                <w:rFonts w:ascii="Arial" w:hAnsi="Arial" w:cs="Arial"/>
              </w:rPr>
              <w:t xml:space="preserve">confidence </w:t>
            </w:r>
            <w:r>
              <w:rPr>
                <w:rFonts w:ascii="Arial" w:hAnsi="Arial" w:cs="Arial"/>
              </w:rPr>
              <w:t xml:space="preserve">that </w:t>
            </w:r>
            <w:r w:rsidRPr="008E76A4">
              <w:rPr>
                <w:rFonts w:ascii="Arial" w:hAnsi="Arial" w:cs="Arial"/>
              </w:rPr>
              <w:t>the Safety Brief is happening and we are now shifting focus to improving and standardising the quality of these. Updates on progress will come to future meetings.</w:t>
            </w:r>
          </w:p>
          <w:p w:rsidR="006421AD" w:rsidRPr="008E76A4" w:rsidRDefault="008E76A4" w:rsidP="008E76A4">
            <w:pPr>
              <w:spacing w:before="120" w:after="120"/>
              <w:rPr>
                <w:b/>
              </w:rPr>
            </w:pPr>
            <w:r>
              <w:rPr>
                <w:rFonts w:ascii="Arial" w:hAnsi="Arial" w:cs="Arial"/>
              </w:rPr>
              <w:t>Reports on three</w:t>
            </w:r>
            <w:r w:rsidRPr="008E76A4">
              <w:rPr>
                <w:rFonts w:ascii="Arial" w:hAnsi="Arial" w:cs="Arial"/>
              </w:rPr>
              <w:t xml:space="preserve"> closed </w:t>
            </w:r>
            <w:r>
              <w:rPr>
                <w:rFonts w:ascii="Arial" w:hAnsi="Arial" w:cs="Arial"/>
              </w:rPr>
              <w:t>S</w:t>
            </w:r>
            <w:r w:rsidRPr="008E76A4">
              <w:rPr>
                <w:rFonts w:ascii="Arial" w:hAnsi="Arial" w:cs="Arial"/>
              </w:rPr>
              <w:t xml:space="preserve">ignificant </w:t>
            </w:r>
            <w:r>
              <w:rPr>
                <w:rFonts w:ascii="Arial" w:hAnsi="Arial" w:cs="Arial"/>
              </w:rPr>
              <w:t>Adverse E</w:t>
            </w:r>
            <w:r w:rsidRPr="008E76A4">
              <w:rPr>
                <w:rFonts w:ascii="Arial" w:hAnsi="Arial" w:cs="Arial"/>
              </w:rPr>
              <w:t>vents were discussed.</w:t>
            </w:r>
          </w:p>
        </w:tc>
      </w:tr>
      <w:tr w:rsidR="006D232B" w:rsidRPr="006421AD" w:rsidTr="006421AD">
        <w:tc>
          <w:tcPr>
            <w:tcW w:w="1251" w:type="dxa"/>
          </w:tcPr>
          <w:p w:rsidR="006D232B" w:rsidRPr="006421AD" w:rsidRDefault="006D232B" w:rsidP="008E76A4">
            <w:pPr>
              <w:spacing w:before="120" w:after="120"/>
              <w:ind w:left="34"/>
              <w:rPr>
                <w:rFonts w:ascii="Arial" w:hAnsi="Arial" w:cs="Arial"/>
                <w:b/>
                <w:lang w:val="en-US"/>
              </w:rPr>
            </w:pPr>
            <w:r w:rsidRPr="006421AD">
              <w:rPr>
                <w:rFonts w:ascii="Arial" w:hAnsi="Arial" w:cs="Arial"/>
                <w:b/>
                <w:lang w:val="en-US"/>
              </w:rPr>
              <w:t>Effective</w:t>
            </w: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ind w:left="34"/>
              <w:rPr>
                <w:rFonts w:ascii="Arial" w:hAnsi="Arial" w:cs="Arial"/>
              </w:rPr>
            </w:pPr>
          </w:p>
          <w:p w:rsidR="006D232B" w:rsidRPr="006421AD" w:rsidRDefault="006D232B" w:rsidP="008E76A4">
            <w:pPr>
              <w:spacing w:before="120" w:after="120"/>
              <w:ind w:left="34"/>
              <w:rPr>
                <w:rFonts w:ascii="Arial" w:hAnsi="Arial" w:cs="Arial"/>
              </w:rPr>
            </w:pPr>
          </w:p>
        </w:tc>
        <w:tc>
          <w:tcPr>
            <w:tcW w:w="7929" w:type="dxa"/>
          </w:tcPr>
          <w:p w:rsidR="006D232B" w:rsidRPr="006421AD" w:rsidRDefault="006D232B" w:rsidP="008E76A4">
            <w:pPr>
              <w:pStyle w:val="ListParagraph"/>
              <w:spacing w:before="120" w:after="120"/>
              <w:ind w:left="0"/>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p w:rsidR="008E76A4" w:rsidRPr="00655CAC" w:rsidRDefault="008E76A4" w:rsidP="008E76A4">
            <w:pPr>
              <w:pStyle w:val="ListParagraph"/>
              <w:spacing w:before="120" w:after="120"/>
              <w:ind w:left="0"/>
              <w:contextualSpacing/>
              <w:rPr>
                <w:b/>
                <w:lang w:val="en-US"/>
              </w:rPr>
            </w:pPr>
            <w:r>
              <w:t xml:space="preserve">The May HAIRT was discussed. The increase in medical staff Hand Hygiene compliance was noted. The increase of surgical site infections has been extensively investigated and no common cause found.  </w:t>
            </w:r>
          </w:p>
          <w:p w:rsidR="008E76A4" w:rsidRPr="008E76A4" w:rsidRDefault="008E76A4" w:rsidP="008E76A4">
            <w:pPr>
              <w:pStyle w:val="ListParagraph"/>
              <w:spacing w:before="120" w:after="120"/>
              <w:ind w:left="0"/>
              <w:contextualSpacing/>
            </w:pPr>
            <w:r>
              <w:t>The Annual Learning Report was received and was welcomed by the Committee as a useful summary, with communication identified as a theme.</w:t>
            </w:r>
          </w:p>
        </w:tc>
      </w:tr>
      <w:tr w:rsidR="008E76A4" w:rsidRPr="006421AD" w:rsidTr="008E76A4">
        <w:tc>
          <w:tcPr>
            <w:tcW w:w="1251" w:type="dxa"/>
            <w:tcBorders>
              <w:top w:val="single" w:sz="4" w:space="0" w:color="auto"/>
              <w:left w:val="single" w:sz="4" w:space="0" w:color="auto"/>
              <w:bottom w:val="single" w:sz="4" w:space="0" w:color="auto"/>
              <w:right w:val="single" w:sz="4" w:space="0" w:color="auto"/>
            </w:tcBorders>
          </w:tcPr>
          <w:p w:rsidR="008E76A4" w:rsidRPr="008E76A4" w:rsidRDefault="008E76A4" w:rsidP="008E76A4">
            <w:pPr>
              <w:spacing w:before="120" w:after="120"/>
              <w:ind w:left="34"/>
              <w:rPr>
                <w:rFonts w:ascii="Arial" w:hAnsi="Arial" w:cs="Arial"/>
                <w:b/>
                <w:lang w:val="en-US"/>
              </w:rPr>
            </w:pPr>
            <w:r w:rsidRPr="008E76A4">
              <w:rPr>
                <w:rFonts w:ascii="Arial" w:hAnsi="Arial" w:cs="Arial"/>
                <w:b/>
                <w:lang w:val="en-US"/>
              </w:rPr>
              <w:t xml:space="preserve">Person </w:t>
            </w:r>
            <w:proofErr w:type="spellStart"/>
            <w:r w:rsidRPr="008E76A4">
              <w:rPr>
                <w:rFonts w:ascii="Arial" w:hAnsi="Arial" w:cs="Arial"/>
                <w:b/>
                <w:lang w:val="en-US"/>
              </w:rPr>
              <w:t>Centred</w:t>
            </w:r>
            <w:proofErr w:type="spellEnd"/>
          </w:p>
          <w:p w:rsidR="008E76A4" w:rsidRPr="008E76A4" w:rsidRDefault="008E76A4" w:rsidP="008E76A4">
            <w:pPr>
              <w:spacing w:before="120" w:after="120"/>
              <w:ind w:left="34"/>
              <w:rPr>
                <w:rFonts w:ascii="Arial" w:hAnsi="Arial" w:cs="Arial"/>
                <w:b/>
                <w:lang w:val="en-US"/>
              </w:rPr>
            </w:pPr>
          </w:p>
          <w:p w:rsidR="008E76A4" w:rsidRPr="008E76A4" w:rsidRDefault="008E76A4" w:rsidP="008E76A4">
            <w:pPr>
              <w:spacing w:before="120" w:after="120"/>
              <w:ind w:left="34"/>
              <w:rPr>
                <w:rFonts w:ascii="Arial" w:hAnsi="Arial" w:cs="Arial"/>
                <w:b/>
                <w:lang w:val="en-US"/>
              </w:rPr>
            </w:pPr>
          </w:p>
          <w:p w:rsidR="008E76A4" w:rsidRPr="008E76A4" w:rsidRDefault="008E76A4" w:rsidP="008E76A4">
            <w:pPr>
              <w:spacing w:before="120" w:after="120"/>
              <w:ind w:left="34"/>
              <w:rPr>
                <w:rFonts w:ascii="Arial" w:hAnsi="Arial" w:cs="Arial"/>
                <w:b/>
                <w:lang w:val="en-US"/>
              </w:rPr>
            </w:pPr>
          </w:p>
        </w:tc>
        <w:tc>
          <w:tcPr>
            <w:tcW w:w="7929" w:type="dxa"/>
            <w:tcBorders>
              <w:top w:val="single" w:sz="4" w:space="0" w:color="auto"/>
              <w:left w:val="single" w:sz="4" w:space="0" w:color="auto"/>
              <w:bottom w:val="single" w:sz="4" w:space="0" w:color="auto"/>
              <w:right w:val="single" w:sz="4" w:space="0" w:color="auto"/>
            </w:tcBorders>
          </w:tcPr>
          <w:p w:rsidR="008E76A4" w:rsidRPr="006421AD" w:rsidRDefault="008E76A4" w:rsidP="008E76A4">
            <w:pPr>
              <w:pStyle w:val="ListParagraph"/>
              <w:spacing w:before="120" w:after="120"/>
              <w:ind w:left="0"/>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8E76A4" w:rsidRPr="008E76A4" w:rsidRDefault="008E76A4" w:rsidP="008E76A4">
            <w:pPr>
              <w:pStyle w:val="ListParagraph"/>
              <w:spacing w:before="120" w:after="120"/>
              <w:ind w:left="0"/>
              <w:rPr>
                <w:color w:val="000000"/>
              </w:rPr>
            </w:pPr>
            <w:r w:rsidRPr="008E76A4">
              <w:rPr>
                <w:color w:val="000000"/>
              </w:rPr>
              <w:t xml:space="preserve">The Complaints Report was received and no </w:t>
            </w:r>
            <w:proofErr w:type="gramStart"/>
            <w:r>
              <w:rPr>
                <w:color w:val="000000"/>
              </w:rPr>
              <w:t>recurring</w:t>
            </w:r>
            <w:r w:rsidRPr="008E76A4">
              <w:rPr>
                <w:color w:val="000000"/>
              </w:rPr>
              <w:t xml:space="preserve"> </w:t>
            </w:r>
            <w:r>
              <w:rPr>
                <w:color w:val="000000"/>
              </w:rPr>
              <w:t xml:space="preserve"> themes</w:t>
            </w:r>
            <w:proofErr w:type="gramEnd"/>
            <w:r>
              <w:rPr>
                <w:color w:val="000000"/>
              </w:rPr>
              <w:t xml:space="preserve"> were identified. </w:t>
            </w:r>
            <w:r w:rsidRPr="008E76A4">
              <w:rPr>
                <w:color w:val="000000"/>
              </w:rPr>
              <w:t>The complaints process is monitored by the Person Centred Committee.</w:t>
            </w:r>
          </w:p>
        </w:tc>
      </w:tr>
    </w:tbl>
    <w:p w:rsidR="006421AD" w:rsidRPr="006421AD" w:rsidRDefault="006421AD" w:rsidP="006421AD">
      <w:pPr>
        <w:rPr>
          <w:rFonts w:ascii="Arial" w:hAnsi="Arial" w:cs="Arial"/>
        </w:rPr>
      </w:pPr>
    </w:p>
    <w:p w:rsidR="006421AD" w:rsidRPr="006421AD" w:rsidRDefault="006421AD" w:rsidP="006421AD">
      <w:pPr>
        <w:rPr>
          <w:rFonts w:ascii="Arial" w:hAnsi="Arial" w:cs="Arial"/>
          <w:bCs/>
        </w:rPr>
      </w:pPr>
      <w:r w:rsidRPr="006421AD">
        <w:rPr>
          <w:rFonts w:ascii="Arial" w:hAnsi="Arial" w:cs="Arial"/>
          <w:bCs/>
        </w:rPr>
        <w:lastRenderedPageBreak/>
        <w:t>The next meeting is scheduled for</w:t>
      </w:r>
      <w:r>
        <w:rPr>
          <w:rFonts w:ascii="Arial" w:hAnsi="Arial" w:cs="Arial"/>
          <w:bCs/>
        </w:rPr>
        <w:t xml:space="preserve">: </w:t>
      </w:r>
      <w:r w:rsidRPr="006421AD">
        <w:rPr>
          <w:rFonts w:ascii="Arial" w:hAnsi="Arial" w:cs="Arial"/>
          <w:bCs/>
        </w:rPr>
        <w:t xml:space="preserve">Tuesday </w:t>
      </w:r>
      <w:r w:rsidR="008E76A4">
        <w:rPr>
          <w:rFonts w:ascii="Arial" w:hAnsi="Arial" w:cs="Arial"/>
          <w:bCs/>
        </w:rPr>
        <w:t>9</w:t>
      </w:r>
      <w:r w:rsidRPr="006421AD">
        <w:rPr>
          <w:rFonts w:ascii="Arial" w:hAnsi="Arial" w:cs="Arial"/>
          <w:bCs/>
        </w:rPr>
        <w:t xml:space="preserve"> October 2018</w:t>
      </w:r>
      <w:r w:rsidR="008E76A4">
        <w:rPr>
          <w:rFonts w:ascii="Arial" w:hAnsi="Arial" w:cs="Arial"/>
          <w:bCs/>
        </w:rPr>
        <w:t>.</w:t>
      </w:r>
    </w:p>
    <w:p w:rsidR="006421AD" w:rsidRPr="006421AD" w:rsidRDefault="006421AD" w:rsidP="006421AD">
      <w:pPr>
        <w:rPr>
          <w:rFonts w:ascii="Arial" w:hAnsi="Arial" w:cs="Arial"/>
        </w:rPr>
      </w:pPr>
    </w:p>
    <w:p w:rsidR="006421AD" w:rsidRPr="006421AD" w:rsidRDefault="008E76A4" w:rsidP="006421AD">
      <w:pPr>
        <w:rPr>
          <w:rFonts w:ascii="Arial" w:hAnsi="Arial" w:cs="Arial"/>
          <w:b/>
          <w:bCs/>
        </w:rPr>
      </w:pPr>
      <w:r>
        <w:rPr>
          <w:rFonts w:ascii="Arial" w:hAnsi="Arial" w:cs="Arial"/>
          <w:b/>
          <w:bCs/>
        </w:rPr>
        <w:t>Mark MacGregor</w:t>
      </w:r>
    </w:p>
    <w:p w:rsidR="006421AD" w:rsidRPr="006421AD" w:rsidRDefault="006421AD" w:rsidP="006421AD">
      <w:pPr>
        <w:rPr>
          <w:rFonts w:ascii="Arial" w:hAnsi="Arial" w:cs="Arial"/>
          <w:b/>
          <w:bCs/>
        </w:rPr>
      </w:pPr>
      <w:r w:rsidRPr="006421AD">
        <w:rPr>
          <w:rFonts w:ascii="Arial" w:hAnsi="Arial" w:cs="Arial"/>
          <w:b/>
          <w:bCs/>
        </w:rPr>
        <w:t xml:space="preserve">Chair, </w:t>
      </w:r>
      <w:r w:rsidR="008E76A4">
        <w:rPr>
          <w:rFonts w:ascii="Arial" w:hAnsi="Arial" w:cs="Arial"/>
          <w:b/>
          <w:bCs/>
        </w:rPr>
        <w:t>Clinical Governance</w:t>
      </w:r>
      <w:r w:rsidRPr="006421AD">
        <w:rPr>
          <w:rFonts w:ascii="Arial" w:hAnsi="Arial" w:cs="Arial"/>
          <w:b/>
          <w:bCs/>
        </w:rPr>
        <w:t xml:space="preserve"> Committee</w:t>
      </w:r>
    </w:p>
    <w:p w:rsidR="006421AD" w:rsidRPr="006421AD" w:rsidRDefault="006421AD" w:rsidP="006421AD">
      <w:pPr>
        <w:rPr>
          <w:rFonts w:ascii="Arial" w:hAnsi="Arial" w:cs="Arial"/>
          <w:b/>
          <w:bCs/>
        </w:rPr>
      </w:pPr>
    </w:p>
    <w:p w:rsidR="006421AD" w:rsidRPr="006421AD" w:rsidRDefault="006421AD" w:rsidP="006421AD">
      <w:pPr>
        <w:rPr>
          <w:rFonts w:ascii="Arial" w:hAnsi="Arial" w:cs="Arial"/>
          <w:b/>
          <w:bCs/>
        </w:rPr>
      </w:pPr>
    </w:p>
    <w:p w:rsidR="00EB7C07" w:rsidRPr="006421AD" w:rsidRDefault="00EB7C07" w:rsidP="00506517">
      <w:pPr>
        <w:ind w:right="183"/>
        <w:rPr>
          <w:rFonts w:ascii="Arial" w:hAnsi="Arial" w:cs="Arial"/>
        </w:rPr>
      </w:pPr>
    </w:p>
    <w:sectPr w:rsidR="00EB7C07" w:rsidRPr="006421AD" w:rsidSect="006421AD">
      <w:headerReference w:type="default" r:id="rId8"/>
      <w:footerReference w:type="default" r:id="rId9"/>
      <w:headerReference w:type="first" r:id="rId10"/>
      <w:footerReference w:type="first" r:id="rId11"/>
      <w:pgSz w:w="11906" w:h="16838"/>
      <w:pgMar w:top="1440" w:right="991"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DBB" w:rsidRDefault="00722DBB">
      <w:r>
        <w:separator/>
      </w:r>
    </w:p>
  </w:endnote>
  <w:endnote w:type="continuationSeparator" w:id="0">
    <w:p w:rsidR="00722DBB" w:rsidRDefault="00722D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Default="006421AD"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__________________________________________________________________________</w:t>
    </w:r>
    <w:r>
      <w:rPr>
        <w:rStyle w:val="PageNumber"/>
        <w:rFonts w:ascii="Arial" w:hAnsi="Arial" w:cs="Arial"/>
      </w:rPr>
      <w:br/>
    </w:r>
    <w:r>
      <w:rPr>
        <w:rStyle w:val="PageNumber"/>
        <w:rFonts w:ascii="Arial" w:hAnsi="Arial" w:cs="Arial"/>
      </w:rPr>
      <w:br/>
    </w:r>
    <w:r w:rsidR="00513DB0"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513DB0" w:rsidRPr="00513DB0">
      <w:rPr>
        <w:rStyle w:val="PageNumber"/>
        <w:rFonts w:ascii="Arial" w:hAnsi="Arial" w:cs="Arial"/>
      </w:rPr>
      <w:fldChar w:fldCharType="separate"/>
    </w:r>
    <w:r w:rsidR="00972604">
      <w:rPr>
        <w:rStyle w:val="PageNumber"/>
        <w:rFonts w:ascii="Arial" w:hAnsi="Arial" w:cs="Arial"/>
      </w:rPr>
      <w:t>2</w:t>
    </w:r>
    <w:r w:rsidR="00513DB0" w:rsidRPr="00513DB0">
      <w:rPr>
        <w:rStyle w:val="PageNumber"/>
        <w:rFonts w:ascii="Arial" w:hAnsi="Arial" w:cs="Arial"/>
      </w:rPr>
      <w:fldChar w:fldCharType="end"/>
    </w:r>
  </w:p>
  <w:p w:rsidR="00075AAA" w:rsidRPr="001A624A" w:rsidRDefault="00075AAA" w:rsidP="00463DB0">
    <w:pPr>
      <w:pStyle w:val="Title"/>
      <w:ind w:left="-540"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6A4" w:rsidRDefault="006421AD" w:rsidP="006421AD">
    <w:pPr>
      <w:ind w:left="-540"/>
      <w:jc w:val="center"/>
      <w:rPr>
        <w:rStyle w:val="PageNumber"/>
        <w:rFonts w:ascii="Arial" w:hAnsi="Arial" w:cs="Arial"/>
      </w:rPr>
    </w:pPr>
    <w:r>
      <w:rPr>
        <w:rStyle w:val="PageNumber"/>
        <w:rFonts w:ascii="Arial" w:hAnsi="Arial" w:cs="Arial"/>
      </w:rPr>
      <w:t>__________________________________________________________________________</w:t>
    </w:r>
    <w:r>
      <w:rPr>
        <w:rStyle w:val="PageNumber"/>
        <w:rFonts w:ascii="Arial" w:hAnsi="Arial" w:cs="Arial"/>
      </w:rPr>
      <w:br/>
    </w:r>
  </w:p>
  <w:p w:rsidR="006421AD" w:rsidRPr="00513DB0" w:rsidRDefault="006421AD" w:rsidP="006421AD">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972604">
      <w:rPr>
        <w:rStyle w:val="PageNumber"/>
        <w:rFonts w:ascii="Arial" w:hAnsi="Arial" w:cs="Arial"/>
      </w:rPr>
      <w:t>1</w:t>
    </w:r>
    <w:r w:rsidRPr="00513DB0">
      <w:rPr>
        <w:rStyle w:val="PageNumber"/>
        <w:rFonts w:ascii="Arial" w:hAnsi="Arial" w:cs="Arial"/>
      </w:rPr>
      <w:fldChar w:fldCharType="end"/>
    </w:r>
  </w:p>
  <w:p w:rsidR="006421AD" w:rsidRDefault="00B510AF"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421AD" w:rsidRPr="008F5DB5" w:rsidRDefault="006421AD"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421AD" w:rsidRPr="006421AD" w:rsidRDefault="006421AD" w:rsidP="006421AD">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DBB" w:rsidRDefault="00722DBB">
      <w:r>
        <w:separator/>
      </w:r>
    </w:p>
  </w:footnote>
  <w:footnote w:type="continuationSeparator" w:id="0">
    <w:p w:rsidR="00722DBB" w:rsidRDefault="00722D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Item 5.3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sidR="008E76A4">
      <w:rPr>
        <w:rFonts w:ascii="Arial" w:hAnsi="Arial" w:cs="Arial"/>
        <w:b/>
        <w:color w:val="0070C0"/>
        <w:sz w:val="28"/>
        <w:szCs w:val="28"/>
      </w:rPr>
      <w:t>6</w:t>
    </w:r>
    <w:r w:rsidRPr="006421AD">
      <w:rPr>
        <w:rFonts w:ascii="Arial" w:hAnsi="Arial" w:cs="Arial"/>
        <w:b/>
        <w:color w:val="0070C0"/>
        <w:sz w:val="28"/>
        <w:szCs w:val="28"/>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9"/>
  </w:num>
  <w:num w:numId="2">
    <w:abstractNumId w:val="14"/>
  </w:num>
  <w:num w:numId="3">
    <w:abstractNumId w:val="6"/>
  </w:num>
  <w:num w:numId="4">
    <w:abstractNumId w:val="0"/>
  </w:num>
  <w:num w:numId="5">
    <w:abstractNumId w:val="2"/>
  </w:num>
  <w:num w:numId="6">
    <w:abstractNumId w:val="12"/>
  </w:num>
  <w:num w:numId="7">
    <w:abstractNumId w:val="15"/>
  </w:num>
  <w:num w:numId="8">
    <w:abstractNumId w:val="1"/>
  </w:num>
  <w:num w:numId="9">
    <w:abstractNumId w:val="13"/>
  </w:num>
  <w:num w:numId="10">
    <w:abstractNumId w:val="8"/>
  </w:num>
  <w:num w:numId="11">
    <w:abstractNumId w:val="11"/>
  </w:num>
  <w:num w:numId="12">
    <w:abstractNumId w:val="4"/>
  </w:num>
  <w:num w:numId="13">
    <w:abstractNumId w:val="7"/>
  </w:num>
  <w:num w:numId="14">
    <w:abstractNumId w:val="3"/>
  </w:num>
  <w:num w:numId="15">
    <w:abstractNumId w:val="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200176"/>
    <w:rsid w:val="00233E6E"/>
    <w:rsid w:val="00362A4C"/>
    <w:rsid w:val="003E423D"/>
    <w:rsid w:val="003F19CA"/>
    <w:rsid w:val="004512CE"/>
    <w:rsid w:val="00463DB0"/>
    <w:rsid w:val="00506517"/>
    <w:rsid w:val="00513DB0"/>
    <w:rsid w:val="00590B0A"/>
    <w:rsid w:val="006421AD"/>
    <w:rsid w:val="006A1357"/>
    <w:rsid w:val="006D232B"/>
    <w:rsid w:val="00722DBB"/>
    <w:rsid w:val="00745A4B"/>
    <w:rsid w:val="00815350"/>
    <w:rsid w:val="008553E2"/>
    <w:rsid w:val="00867E1A"/>
    <w:rsid w:val="00882F92"/>
    <w:rsid w:val="008C26A2"/>
    <w:rsid w:val="008E76A4"/>
    <w:rsid w:val="00952AC2"/>
    <w:rsid w:val="00972604"/>
    <w:rsid w:val="00992558"/>
    <w:rsid w:val="00A2577B"/>
    <w:rsid w:val="00B510AF"/>
    <w:rsid w:val="00C956E2"/>
    <w:rsid w:val="00D346C3"/>
    <w:rsid w:val="00D47C3A"/>
    <w:rsid w:val="00D92AA6"/>
    <w:rsid w:val="00E95856"/>
    <w:rsid w:val="00EB7C0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cp:revision>
  <dcterms:created xsi:type="dcterms:W3CDTF">2018-07-31T15:03:00Z</dcterms:created>
  <dcterms:modified xsi:type="dcterms:W3CDTF">2018-07-31T15:03:00Z</dcterms:modified>
</cp:coreProperties>
</file>