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Pr="00177153" w:rsidRDefault="0023473B" w:rsidP="00B77902">
      <w:pPr>
        <w:pStyle w:val="Heading3"/>
        <w:spacing w:line="360" w:lineRule="auto"/>
        <w:ind w:left="4536" w:hanging="4536"/>
      </w:pPr>
      <w:r w:rsidRPr="00AA77F7">
        <w:rPr>
          <w:rStyle w:val="Heading3Char"/>
          <w:b/>
        </w:rPr>
        <w:t>Meeting:</w:t>
      </w:r>
      <w:r w:rsidR="00B77902">
        <w:rPr>
          <w:rStyle w:val="Heading3Char"/>
          <w:b/>
        </w:rPr>
        <w:tab/>
      </w:r>
      <w:r w:rsidR="002910BD">
        <w:rPr>
          <w:rStyle w:val="Heading3Char"/>
          <w:b/>
        </w:rPr>
        <w:t>NHS Golden Jubilee Board</w:t>
      </w:r>
      <w:r w:rsidR="00B230D4">
        <w:rPr>
          <w:rStyle w:val="Heading3Char"/>
          <w:b/>
        </w:rPr>
        <w:t xml:space="preserve"> </w:t>
      </w:r>
    </w:p>
    <w:p w:rsidR="00430C09" w:rsidRPr="00177153" w:rsidRDefault="00430C09" w:rsidP="00B77902">
      <w:pPr>
        <w:pStyle w:val="Heading3"/>
        <w:spacing w:line="360" w:lineRule="auto"/>
        <w:ind w:left="4536" w:hanging="4536"/>
      </w:pPr>
      <w:r w:rsidRPr="00177153">
        <w:rPr>
          <w:rStyle w:val="Heading3Char"/>
          <w:b/>
        </w:rPr>
        <w:t>Meeting dat</w:t>
      </w:r>
      <w:r w:rsidR="0023473B" w:rsidRPr="00177153">
        <w:rPr>
          <w:rStyle w:val="Heading3Char"/>
          <w:b/>
        </w:rPr>
        <w:t>e:</w:t>
      </w:r>
      <w:r w:rsidR="00B77902" w:rsidRPr="00177153">
        <w:rPr>
          <w:rStyle w:val="Heading3Char"/>
          <w:b/>
        </w:rPr>
        <w:tab/>
      </w:r>
      <w:r w:rsidR="002910BD">
        <w:rPr>
          <w:rStyle w:val="Heading3Char"/>
          <w:b/>
        </w:rPr>
        <w:t xml:space="preserve">28 </w:t>
      </w:r>
      <w:r w:rsidR="00F11422">
        <w:rPr>
          <w:rStyle w:val="Heading3Char"/>
          <w:b/>
        </w:rPr>
        <w:t>August</w:t>
      </w:r>
      <w:r w:rsidR="00177153" w:rsidRPr="00177153">
        <w:rPr>
          <w:rStyle w:val="Heading3Char"/>
          <w:b/>
        </w:rPr>
        <w:t xml:space="preserve"> 202</w:t>
      </w:r>
      <w:r w:rsidR="00F11422">
        <w:rPr>
          <w:rStyle w:val="Heading3Char"/>
          <w:b/>
        </w:rPr>
        <w:t>5</w:t>
      </w:r>
    </w:p>
    <w:p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D52981">
        <w:rPr>
          <w:rStyle w:val="Heading3Char"/>
          <w:b/>
        </w:rPr>
        <w:t>Digital Services</w:t>
      </w:r>
      <w:r w:rsidR="00177153">
        <w:rPr>
          <w:rStyle w:val="Heading3Char"/>
          <w:b/>
        </w:rPr>
        <w:t xml:space="preserve"> </w:t>
      </w:r>
      <w:r w:rsidR="00310573">
        <w:rPr>
          <w:rStyle w:val="Heading3Char"/>
          <w:b/>
        </w:rPr>
        <w:t>Annual R</w:t>
      </w:r>
      <w:r w:rsidR="002C0CFC">
        <w:rPr>
          <w:rStyle w:val="Heading3Char"/>
          <w:b/>
        </w:rPr>
        <w:t>eport</w:t>
      </w:r>
    </w:p>
    <w:p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F11422">
        <w:rPr>
          <w:rStyle w:val="Heading3Char"/>
          <w:b/>
        </w:rPr>
        <w:t>Jonny Gamble</w:t>
      </w:r>
      <w:r w:rsidR="00D52981">
        <w:rPr>
          <w:rStyle w:val="Heading3Char"/>
          <w:b/>
        </w:rPr>
        <w:t>;</w:t>
      </w:r>
      <w:r w:rsidR="002910BD">
        <w:rPr>
          <w:rStyle w:val="Heading3Char"/>
          <w:b/>
        </w:rPr>
        <w:t xml:space="preserve"> Executive</w:t>
      </w:r>
      <w:r w:rsidR="00D52981">
        <w:rPr>
          <w:rStyle w:val="Heading3Char"/>
          <w:b/>
        </w:rPr>
        <w:t xml:space="preserve"> Director of Finance</w:t>
      </w:r>
    </w:p>
    <w:p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D52981">
        <w:rPr>
          <w:rStyle w:val="Heading3Char"/>
          <w:b/>
        </w:rPr>
        <w:t>Stuart Graham; Digital Services Director</w:t>
      </w:r>
    </w:p>
    <w:p w:rsidR="00B77902" w:rsidRPr="00B77902" w:rsidRDefault="00B77902" w:rsidP="00B77902"/>
    <w:p w:rsidR="00430C09" w:rsidRDefault="00BF3AF0" w:rsidP="00430C09">
      <w:pPr>
        <w:pStyle w:val="Heading2"/>
        <w:spacing w:line="276" w:lineRule="auto"/>
      </w:pPr>
      <w:r>
        <w:t>1</w:t>
      </w:r>
      <w:r>
        <w:tab/>
      </w:r>
      <w:r w:rsidR="00430C09" w:rsidRPr="00F05C63">
        <w:t>Purpose</w:t>
      </w:r>
    </w:p>
    <w:p w:rsidR="009807B4" w:rsidRDefault="009807B4" w:rsidP="00BF3AF0">
      <w:pPr>
        <w:autoSpaceDE w:val="0"/>
        <w:autoSpaceDN w:val="0"/>
        <w:adjustRightInd w:val="0"/>
        <w:spacing w:before="40" w:after="40" w:line="276" w:lineRule="auto"/>
        <w:ind w:left="720"/>
        <w:rPr>
          <w:rFonts w:cs="Arial"/>
          <w:color w:val="000000"/>
          <w:szCs w:val="24"/>
          <w:lang w:eastAsia="en-GB"/>
        </w:rPr>
      </w:pPr>
    </w:p>
    <w:p w:rsidR="009807B4" w:rsidRDefault="00430C09" w:rsidP="00BF3AF0">
      <w:pPr>
        <w:pStyle w:val="Heading3"/>
        <w:spacing w:line="276" w:lineRule="auto"/>
        <w:ind w:left="720"/>
        <w:rPr>
          <w:lang w:eastAsia="en-GB"/>
        </w:rPr>
      </w:pPr>
      <w:r w:rsidRPr="009807B4">
        <w:rPr>
          <w:lang w:eastAsia="en-GB"/>
        </w:rPr>
        <w:t>This</w:t>
      </w:r>
      <w:r w:rsidR="0011463C">
        <w:rPr>
          <w:lang w:eastAsia="en-GB"/>
        </w:rPr>
        <w:t xml:space="preserve"> is presented to </w:t>
      </w:r>
      <w:r w:rsidR="002910BD">
        <w:rPr>
          <w:lang w:eastAsia="en-GB"/>
        </w:rPr>
        <w:t>NHS Golden Jubilee Board</w:t>
      </w:r>
      <w:r w:rsidR="0011463C">
        <w:rPr>
          <w:lang w:eastAsia="en-GB"/>
        </w:rPr>
        <w:t xml:space="preserve"> </w:t>
      </w:r>
      <w:r w:rsidR="00446219" w:rsidRPr="009807B4">
        <w:rPr>
          <w:lang w:eastAsia="en-GB"/>
        </w:rPr>
        <w:t xml:space="preserve">for: </w:t>
      </w:r>
    </w:p>
    <w:p w:rsidR="009807B4" w:rsidRPr="00177153" w:rsidRDefault="002C0CFC" w:rsidP="00BF3AF0">
      <w:pPr>
        <w:pStyle w:val="Heading3"/>
        <w:numPr>
          <w:ilvl w:val="0"/>
          <w:numId w:val="9"/>
        </w:numPr>
        <w:spacing w:line="276" w:lineRule="auto"/>
        <w:ind w:left="1080"/>
        <w:rPr>
          <w:b w:val="0"/>
          <w:lang w:eastAsia="en-GB"/>
        </w:rPr>
      </w:pPr>
      <w:r>
        <w:rPr>
          <w:b w:val="0"/>
          <w:lang w:eastAsia="en-GB"/>
        </w:rPr>
        <w:t>Decision</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430C09" w:rsidRPr="00177153" w:rsidRDefault="00430C09" w:rsidP="00BF3AF0">
      <w:pPr>
        <w:pStyle w:val="Heading3"/>
        <w:ind w:left="720"/>
        <w:rPr>
          <w:lang w:eastAsia="en-GB"/>
        </w:rPr>
      </w:pPr>
      <w:r w:rsidRPr="00177153">
        <w:rPr>
          <w:lang w:eastAsia="en-GB"/>
        </w:rPr>
        <w:t>This report relates to</w:t>
      </w:r>
      <w:r w:rsidR="00AA77F7" w:rsidRPr="00177153">
        <w:rPr>
          <w:lang w:eastAsia="en-GB"/>
        </w:rPr>
        <w:t xml:space="preserve"> a</w:t>
      </w:r>
      <w:r w:rsidRPr="00177153">
        <w:rPr>
          <w:lang w:eastAsia="en-GB"/>
        </w:rPr>
        <w:t>:</w:t>
      </w:r>
    </w:p>
    <w:p w:rsidR="009807B4" w:rsidRPr="002C0CFC" w:rsidRDefault="002C0CFC"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2C0CFC">
        <w:rPr>
          <w:rFonts w:ascii="Arial" w:hAnsi="Arial" w:cs="Arial"/>
          <w:color w:val="000000"/>
          <w:sz w:val="24"/>
          <w:szCs w:val="24"/>
        </w:rPr>
        <w:t>Local Policy</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NHS</w:t>
      </w:r>
      <w:r w:rsidR="005B2C44">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rsidR="009807B4"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177153">
        <w:rPr>
          <w:rFonts w:ascii="Arial" w:hAnsi="Arial" w:cs="Arial"/>
          <w:color w:val="000000"/>
          <w:sz w:val="24"/>
          <w:szCs w:val="24"/>
        </w:rPr>
        <w:t>Effective</w:t>
      </w:r>
    </w:p>
    <w:p w:rsidR="002C0CFC" w:rsidRDefault="002C0CFC"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Person Centred</w:t>
      </w:r>
    </w:p>
    <w:p w:rsidR="002C0CFC" w:rsidRPr="00177153" w:rsidRDefault="002C0CFC"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Safe</w:t>
      </w:r>
    </w:p>
    <w:p w:rsidR="00B546C8" w:rsidRDefault="00B546C8" w:rsidP="00B546C8">
      <w:pPr>
        <w:autoSpaceDE w:val="0"/>
        <w:autoSpaceDN w:val="0"/>
        <w:adjustRightInd w:val="0"/>
        <w:spacing w:before="40" w:after="40" w:line="276" w:lineRule="auto"/>
        <w:ind w:left="720"/>
        <w:rPr>
          <w:rFonts w:cs="Arial"/>
          <w:color w:val="000000"/>
          <w:szCs w:val="24"/>
          <w:highlight w:val="lightGray"/>
        </w:rPr>
      </w:pPr>
    </w:p>
    <w:p w:rsidR="00B546C8" w:rsidRPr="00B546C8" w:rsidRDefault="00B546C8" w:rsidP="00B546C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 xml:space="preserve">This aligns to </w:t>
      </w:r>
      <w:r w:rsidR="002C0CFC">
        <w:rPr>
          <w:rFonts w:cs="Arial"/>
          <w:b/>
          <w:color w:val="000000"/>
          <w:szCs w:val="24"/>
        </w:rPr>
        <w:t>all NHSGJ Corporate Objectives</w:t>
      </w:r>
    </w:p>
    <w:p w:rsidR="00430C09" w:rsidRDefault="00430C09" w:rsidP="009807B4">
      <w:pPr>
        <w:spacing w:line="276" w:lineRule="auto"/>
      </w:pPr>
    </w:p>
    <w:p w:rsidR="00430C09" w:rsidRDefault="00C94BF7" w:rsidP="00430C09">
      <w:pPr>
        <w:pStyle w:val="Heading2"/>
        <w:spacing w:line="276" w:lineRule="auto"/>
      </w:pPr>
      <w:r>
        <w:t>2</w:t>
      </w:r>
      <w:r w:rsidR="00BF3AF0">
        <w:tab/>
      </w:r>
      <w:r w:rsidR="00430C09">
        <w:t>Report summary</w:t>
      </w:r>
      <w:r w:rsidR="00430C09">
        <w:tab/>
      </w:r>
    </w:p>
    <w:p w:rsidR="0003098A" w:rsidRDefault="0003098A" w:rsidP="00430C09">
      <w:pPr>
        <w:pStyle w:val="Heading3"/>
        <w:spacing w:line="276" w:lineRule="auto"/>
      </w:pPr>
    </w:p>
    <w:p w:rsidR="00430C09" w:rsidRDefault="00C94BF7" w:rsidP="00BF3AF0">
      <w:pPr>
        <w:pStyle w:val="Heading2"/>
      </w:pPr>
      <w:r>
        <w:t>2</w:t>
      </w:r>
      <w:r w:rsidR="00BF3AF0">
        <w:t>.1</w:t>
      </w:r>
      <w:r w:rsidR="00BF3AF0">
        <w:tab/>
      </w:r>
      <w:r w:rsidR="00430C09" w:rsidRPr="00DA354A">
        <w:t>Situation</w:t>
      </w:r>
    </w:p>
    <w:p w:rsidR="00D52981" w:rsidRDefault="005B2C44" w:rsidP="00D52981">
      <w:pPr>
        <w:ind w:left="686"/>
      </w:pPr>
      <w:r>
        <w:t>As a</w:t>
      </w:r>
      <w:r w:rsidR="00D52981">
        <w:t xml:space="preserve"> support services to Golden Jubilee’s core business, it is crucial that the digital services provide a fit for purpose, resilient environment on with the organisation can operate. </w:t>
      </w:r>
    </w:p>
    <w:p w:rsidR="00430C09" w:rsidRDefault="00430C09" w:rsidP="00177153">
      <w:pPr>
        <w:spacing w:before="40" w:after="40" w:line="276" w:lineRule="auto"/>
        <w:ind w:left="686"/>
        <w:rPr>
          <w:rFonts w:cs="Arial"/>
          <w:color w:val="000000"/>
          <w:szCs w:val="24"/>
        </w:rPr>
      </w:pPr>
    </w:p>
    <w:p w:rsidR="00B230D4" w:rsidRPr="0011463C" w:rsidRDefault="00D52981" w:rsidP="0011463C">
      <w:pPr>
        <w:ind w:left="686"/>
      </w:pPr>
      <w:r w:rsidRPr="00D52981">
        <w:t xml:space="preserve">On an Annual basis a Digital Services report will be presented to the Committee for approval.  This report </w:t>
      </w:r>
      <w:r>
        <w:t>reflects the work undertaken by the department during financial year 2024/25.</w:t>
      </w:r>
    </w:p>
    <w:p w:rsidR="005B2C44" w:rsidRDefault="005B2C44" w:rsidP="00177153">
      <w:pPr>
        <w:spacing w:before="40" w:after="40" w:line="276" w:lineRule="auto"/>
        <w:ind w:left="686"/>
        <w:rPr>
          <w:rFonts w:cs="Arial"/>
          <w:color w:val="000000"/>
          <w:szCs w:val="24"/>
        </w:rPr>
      </w:pPr>
    </w:p>
    <w:p w:rsidR="00276B31" w:rsidRPr="0011463C" w:rsidRDefault="00C87B62" w:rsidP="0011463C">
      <w:pPr>
        <w:pStyle w:val="Heading2"/>
        <w:ind w:left="686" w:hanging="686"/>
      </w:pPr>
      <w:r>
        <w:t>2</w:t>
      </w:r>
      <w:r w:rsidR="00BF3AF0">
        <w:t>.2</w:t>
      </w:r>
      <w:r w:rsidR="00BF3AF0">
        <w:tab/>
      </w:r>
      <w:r w:rsidR="00430C09">
        <w:t>Background</w:t>
      </w:r>
    </w:p>
    <w:p w:rsidR="00276B31" w:rsidRPr="00F35499" w:rsidRDefault="00276B31" w:rsidP="00276B31">
      <w:pPr>
        <w:spacing w:before="40" w:after="40" w:line="276" w:lineRule="auto"/>
        <w:rPr>
          <w:rFonts w:cs="Arial"/>
          <w:color w:val="000000"/>
          <w:szCs w:val="24"/>
        </w:rPr>
      </w:pPr>
      <w:r>
        <w:rPr>
          <w:rFonts w:cs="Arial"/>
          <w:color w:val="000000"/>
          <w:szCs w:val="24"/>
        </w:rPr>
        <w:t>2.2.1</w:t>
      </w:r>
      <w:r>
        <w:rPr>
          <w:rFonts w:cs="Arial"/>
          <w:color w:val="000000"/>
          <w:szCs w:val="24"/>
        </w:rPr>
        <w:tab/>
      </w:r>
      <w:r w:rsidRPr="00F35499">
        <w:rPr>
          <w:rFonts w:cs="Arial"/>
          <w:color w:val="000000"/>
          <w:szCs w:val="24"/>
        </w:rPr>
        <w:t>The report sets out the work undertaken across the range of digital services and includes:</w:t>
      </w:r>
    </w:p>
    <w:p w:rsidR="00276B31" w:rsidRPr="00F35499" w:rsidRDefault="00276B31" w:rsidP="00276B31">
      <w:pPr>
        <w:pStyle w:val="ListParagraph"/>
        <w:numPr>
          <w:ilvl w:val="1"/>
          <w:numId w:val="8"/>
        </w:numPr>
        <w:spacing w:before="40" w:after="40" w:line="276" w:lineRule="auto"/>
        <w:rPr>
          <w:rFonts w:ascii="Arial" w:eastAsia="Times New Roman" w:hAnsi="Arial" w:cs="Arial"/>
          <w:color w:val="000000"/>
          <w:spacing w:val="-3"/>
          <w:sz w:val="24"/>
          <w:szCs w:val="24"/>
          <w:lang w:eastAsia="en-US"/>
        </w:rPr>
      </w:pPr>
      <w:r w:rsidRPr="00F35499">
        <w:rPr>
          <w:rFonts w:ascii="Arial" w:eastAsia="Times New Roman" w:hAnsi="Arial" w:cs="Arial"/>
          <w:color w:val="000000"/>
          <w:spacing w:val="-3"/>
          <w:sz w:val="24"/>
          <w:szCs w:val="24"/>
          <w:lang w:eastAsia="en-US"/>
        </w:rPr>
        <w:t>Systems Improvements</w:t>
      </w:r>
    </w:p>
    <w:p w:rsidR="00276B31" w:rsidRPr="00F35499" w:rsidRDefault="00276B31" w:rsidP="00276B31">
      <w:pPr>
        <w:pStyle w:val="ListParagraph"/>
        <w:numPr>
          <w:ilvl w:val="1"/>
          <w:numId w:val="8"/>
        </w:numPr>
        <w:spacing w:before="40" w:after="40" w:line="276" w:lineRule="auto"/>
        <w:rPr>
          <w:rFonts w:ascii="Arial" w:eastAsia="Times New Roman" w:hAnsi="Arial" w:cs="Arial"/>
          <w:color w:val="000000"/>
          <w:spacing w:val="-3"/>
          <w:sz w:val="24"/>
          <w:szCs w:val="24"/>
          <w:lang w:eastAsia="en-US"/>
        </w:rPr>
      </w:pPr>
      <w:r w:rsidRPr="00F35499">
        <w:rPr>
          <w:rFonts w:ascii="Arial" w:eastAsia="Times New Roman" w:hAnsi="Arial" w:cs="Arial"/>
          <w:color w:val="000000"/>
          <w:spacing w:val="-3"/>
          <w:sz w:val="24"/>
          <w:szCs w:val="24"/>
          <w:lang w:eastAsia="en-US"/>
        </w:rPr>
        <w:lastRenderedPageBreak/>
        <w:t>Digital Governance</w:t>
      </w:r>
    </w:p>
    <w:p w:rsidR="00276B31" w:rsidRPr="00F35499" w:rsidRDefault="00276B31" w:rsidP="00276B31">
      <w:pPr>
        <w:pStyle w:val="ListParagraph"/>
        <w:numPr>
          <w:ilvl w:val="1"/>
          <w:numId w:val="8"/>
        </w:numPr>
        <w:spacing w:before="40" w:after="40" w:line="276" w:lineRule="auto"/>
        <w:rPr>
          <w:rFonts w:ascii="Arial" w:eastAsia="Times New Roman" w:hAnsi="Arial" w:cs="Arial"/>
          <w:color w:val="000000"/>
          <w:spacing w:val="-3"/>
          <w:sz w:val="24"/>
          <w:szCs w:val="24"/>
          <w:lang w:eastAsia="en-US"/>
        </w:rPr>
      </w:pPr>
      <w:r w:rsidRPr="00F35499">
        <w:rPr>
          <w:rFonts w:ascii="Arial" w:eastAsia="Times New Roman" w:hAnsi="Arial" w:cs="Arial"/>
          <w:color w:val="000000"/>
          <w:spacing w:val="-3"/>
          <w:sz w:val="24"/>
          <w:szCs w:val="24"/>
          <w:lang w:eastAsia="en-US"/>
        </w:rPr>
        <w:t>Cyber</w:t>
      </w:r>
    </w:p>
    <w:p w:rsidR="00276B31" w:rsidRPr="00F35499" w:rsidRDefault="00276B31" w:rsidP="00276B31">
      <w:pPr>
        <w:pStyle w:val="ListParagraph"/>
        <w:numPr>
          <w:ilvl w:val="1"/>
          <w:numId w:val="8"/>
        </w:numPr>
        <w:spacing w:before="40" w:after="40" w:line="276" w:lineRule="auto"/>
        <w:rPr>
          <w:rFonts w:ascii="Arial" w:eastAsia="Times New Roman" w:hAnsi="Arial" w:cs="Arial"/>
          <w:color w:val="000000"/>
          <w:spacing w:val="-3"/>
          <w:sz w:val="24"/>
          <w:szCs w:val="24"/>
          <w:lang w:eastAsia="en-US"/>
        </w:rPr>
      </w:pPr>
      <w:r w:rsidRPr="00F35499">
        <w:rPr>
          <w:rFonts w:ascii="Arial" w:eastAsia="Times New Roman" w:hAnsi="Arial" w:cs="Arial"/>
          <w:color w:val="000000"/>
          <w:spacing w:val="-3"/>
          <w:sz w:val="24"/>
          <w:szCs w:val="24"/>
          <w:lang w:eastAsia="en-US"/>
        </w:rPr>
        <w:t>NIS Directive and Audit</w:t>
      </w:r>
    </w:p>
    <w:p w:rsidR="00276B31" w:rsidRPr="00F35499" w:rsidRDefault="00276B31" w:rsidP="00276B31">
      <w:pPr>
        <w:pStyle w:val="ListParagraph"/>
        <w:numPr>
          <w:ilvl w:val="1"/>
          <w:numId w:val="8"/>
        </w:numPr>
        <w:spacing w:before="40" w:after="40" w:line="276" w:lineRule="auto"/>
        <w:rPr>
          <w:rFonts w:ascii="Arial" w:eastAsia="Times New Roman" w:hAnsi="Arial" w:cs="Arial"/>
          <w:color w:val="000000"/>
          <w:spacing w:val="-3"/>
          <w:sz w:val="24"/>
          <w:szCs w:val="24"/>
          <w:lang w:eastAsia="en-US"/>
        </w:rPr>
      </w:pPr>
      <w:r w:rsidRPr="00F35499">
        <w:rPr>
          <w:rFonts w:ascii="Arial" w:eastAsia="Times New Roman" w:hAnsi="Arial" w:cs="Arial"/>
          <w:color w:val="000000"/>
          <w:spacing w:val="-3"/>
          <w:sz w:val="24"/>
          <w:szCs w:val="24"/>
          <w:lang w:eastAsia="en-US"/>
        </w:rPr>
        <w:t>Sustainability</w:t>
      </w:r>
    </w:p>
    <w:p w:rsidR="00276B31" w:rsidRPr="00F35499" w:rsidRDefault="00276B31" w:rsidP="00276B31">
      <w:pPr>
        <w:pStyle w:val="ListParagraph"/>
        <w:numPr>
          <w:ilvl w:val="1"/>
          <w:numId w:val="8"/>
        </w:numPr>
        <w:spacing w:before="40" w:after="40" w:line="276" w:lineRule="auto"/>
        <w:rPr>
          <w:rFonts w:ascii="Arial" w:eastAsia="Times New Roman" w:hAnsi="Arial" w:cs="Arial"/>
          <w:color w:val="000000"/>
          <w:spacing w:val="-3"/>
          <w:sz w:val="24"/>
          <w:szCs w:val="24"/>
          <w:lang w:eastAsia="en-US"/>
        </w:rPr>
      </w:pPr>
      <w:r w:rsidRPr="00F35499">
        <w:rPr>
          <w:rFonts w:ascii="Arial" w:eastAsia="Times New Roman" w:hAnsi="Arial" w:cs="Arial"/>
          <w:color w:val="000000"/>
          <w:spacing w:val="-3"/>
          <w:sz w:val="24"/>
          <w:szCs w:val="24"/>
          <w:lang w:eastAsia="en-US"/>
        </w:rPr>
        <w:t>Resources</w:t>
      </w:r>
    </w:p>
    <w:p w:rsidR="00276B31" w:rsidRPr="00F35499" w:rsidRDefault="00276B31" w:rsidP="00276B31">
      <w:pPr>
        <w:pStyle w:val="ListParagraph"/>
        <w:spacing w:before="40" w:after="40" w:line="276" w:lineRule="auto"/>
        <w:ind w:left="1080"/>
        <w:rPr>
          <w:rFonts w:ascii="Arial" w:eastAsia="Times New Roman" w:hAnsi="Arial" w:cs="Arial"/>
          <w:color w:val="000000"/>
          <w:spacing w:val="-3"/>
          <w:sz w:val="24"/>
          <w:szCs w:val="24"/>
          <w:lang w:eastAsia="en-US"/>
        </w:rPr>
      </w:pPr>
      <w:r w:rsidRPr="00F35499">
        <w:rPr>
          <w:rFonts w:ascii="Arial" w:eastAsia="Times New Roman" w:hAnsi="Arial" w:cs="Arial"/>
          <w:color w:val="000000"/>
          <w:spacing w:val="-3"/>
          <w:sz w:val="24"/>
          <w:szCs w:val="24"/>
          <w:lang w:eastAsia="en-US"/>
        </w:rPr>
        <w:t xml:space="preserve"> </w:t>
      </w:r>
    </w:p>
    <w:p w:rsidR="00F35499" w:rsidRPr="00F35499" w:rsidRDefault="00F35499" w:rsidP="00F35499">
      <w:pPr>
        <w:pStyle w:val="Heading2"/>
        <w:rPr>
          <w:rFonts w:cs="Arial"/>
          <w:sz w:val="24"/>
          <w:szCs w:val="24"/>
        </w:rPr>
      </w:pPr>
      <w:r w:rsidRPr="00F35499">
        <w:rPr>
          <w:rFonts w:cs="Arial"/>
          <w:sz w:val="24"/>
          <w:szCs w:val="24"/>
        </w:rPr>
        <w:t>Systems Improvements</w:t>
      </w:r>
    </w:p>
    <w:p w:rsidR="00F35499" w:rsidRDefault="00F35499" w:rsidP="00F35499">
      <w:pPr>
        <w:rPr>
          <w:rFonts w:cs="Arial"/>
          <w:szCs w:val="24"/>
        </w:rPr>
      </w:pPr>
      <w:r w:rsidRPr="00F35499">
        <w:rPr>
          <w:rFonts w:cs="Arial"/>
          <w:szCs w:val="24"/>
        </w:rPr>
        <w:t>FY 24/25 saw the second and most delivery intensive year of the Digital Improvement Plan with 19 application or infrastructure improvements successfully delivered alongside iterative improvement works to a number of existing clinical and corporate systems. Some key highlights from this year</w:t>
      </w:r>
      <w:r w:rsidR="00A20666">
        <w:rPr>
          <w:rFonts w:cs="Arial"/>
          <w:szCs w:val="24"/>
        </w:rPr>
        <w:t>’</w:t>
      </w:r>
      <w:r w:rsidRPr="00F35499">
        <w:rPr>
          <w:rFonts w:cs="Arial"/>
          <w:szCs w:val="24"/>
        </w:rPr>
        <w:t>s activities are: -</w:t>
      </w:r>
    </w:p>
    <w:p w:rsidR="00A20666" w:rsidRPr="00F35499" w:rsidRDefault="00A20666" w:rsidP="00F35499">
      <w:pPr>
        <w:rPr>
          <w:rFonts w:cs="Arial"/>
          <w:szCs w:val="24"/>
        </w:rPr>
      </w:pPr>
    </w:p>
    <w:p w:rsidR="00F35499" w:rsidRPr="00F35499" w:rsidRDefault="00F35499" w:rsidP="00F35499">
      <w:pPr>
        <w:pStyle w:val="ListParagraph"/>
        <w:numPr>
          <w:ilvl w:val="0"/>
          <w:numId w:val="28"/>
        </w:numPr>
        <w:spacing w:after="160" w:line="279" w:lineRule="auto"/>
        <w:contextualSpacing/>
        <w:rPr>
          <w:rFonts w:ascii="Arial" w:hAnsi="Arial" w:cs="Arial"/>
          <w:sz w:val="24"/>
          <w:szCs w:val="24"/>
        </w:rPr>
      </w:pPr>
      <w:r w:rsidRPr="00F35499">
        <w:rPr>
          <w:rFonts w:ascii="Arial" w:hAnsi="Arial" w:cs="Arial"/>
          <w:sz w:val="24"/>
          <w:szCs w:val="24"/>
        </w:rPr>
        <w:t>Critical Care System Replacement</w:t>
      </w:r>
    </w:p>
    <w:p w:rsidR="00F35499" w:rsidRPr="00F35499" w:rsidRDefault="00F35499" w:rsidP="00F35499">
      <w:pPr>
        <w:pStyle w:val="ListParagraph"/>
        <w:numPr>
          <w:ilvl w:val="0"/>
          <w:numId w:val="28"/>
        </w:numPr>
        <w:spacing w:after="160" w:line="279" w:lineRule="auto"/>
        <w:contextualSpacing/>
        <w:rPr>
          <w:rFonts w:ascii="Arial" w:hAnsi="Arial" w:cs="Arial"/>
          <w:sz w:val="24"/>
          <w:szCs w:val="24"/>
        </w:rPr>
      </w:pPr>
      <w:proofErr w:type="spellStart"/>
      <w:r w:rsidRPr="00F35499">
        <w:rPr>
          <w:rFonts w:ascii="Arial" w:hAnsi="Arial" w:cs="Arial"/>
          <w:sz w:val="24"/>
          <w:szCs w:val="24"/>
        </w:rPr>
        <w:t>TrakCare</w:t>
      </w:r>
      <w:proofErr w:type="spellEnd"/>
      <w:r w:rsidRPr="00F35499">
        <w:rPr>
          <w:rFonts w:ascii="Arial" w:hAnsi="Arial" w:cs="Arial"/>
          <w:sz w:val="24"/>
          <w:szCs w:val="24"/>
        </w:rPr>
        <w:t xml:space="preserve"> Application and Integration Service Upgrade</w:t>
      </w:r>
    </w:p>
    <w:p w:rsidR="00F35499" w:rsidRPr="00F35499" w:rsidRDefault="00F35499" w:rsidP="00F35499">
      <w:pPr>
        <w:pStyle w:val="ListParagraph"/>
        <w:numPr>
          <w:ilvl w:val="0"/>
          <w:numId w:val="28"/>
        </w:numPr>
        <w:spacing w:after="160" w:line="279" w:lineRule="auto"/>
        <w:contextualSpacing/>
        <w:rPr>
          <w:rFonts w:ascii="Arial" w:hAnsi="Arial" w:cs="Arial"/>
          <w:sz w:val="24"/>
          <w:szCs w:val="24"/>
        </w:rPr>
      </w:pPr>
      <w:r w:rsidRPr="00F35499">
        <w:rPr>
          <w:rFonts w:ascii="Arial" w:hAnsi="Arial" w:cs="Arial"/>
          <w:sz w:val="24"/>
          <w:szCs w:val="24"/>
        </w:rPr>
        <w:t>Hospital Electronic Prescribing and Medicines Administration (HEPMA)</w:t>
      </w:r>
    </w:p>
    <w:p w:rsidR="00F35499" w:rsidRPr="00F35499" w:rsidRDefault="00F35499" w:rsidP="00F35499">
      <w:pPr>
        <w:pStyle w:val="ListParagraph"/>
        <w:numPr>
          <w:ilvl w:val="0"/>
          <w:numId w:val="28"/>
        </w:numPr>
        <w:spacing w:after="160" w:line="279" w:lineRule="auto"/>
        <w:contextualSpacing/>
        <w:rPr>
          <w:rFonts w:ascii="Arial" w:hAnsi="Arial" w:cs="Arial"/>
          <w:sz w:val="24"/>
          <w:szCs w:val="24"/>
        </w:rPr>
      </w:pPr>
      <w:r w:rsidRPr="00F35499">
        <w:rPr>
          <w:rFonts w:ascii="Arial" w:hAnsi="Arial" w:cs="Arial"/>
          <w:sz w:val="24"/>
          <w:szCs w:val="24"/>
        </w:rPr>
        <w:t>Meeting Room Technology Replacement</w:t>
      </w:r>
    </w:p>
    <w:p w:rsidR="00F35499" w:rsidRPr="00F35499" w:rsidRDefault="00F35499" w:rsidP="00F35499">
      <w:pPr>
        <w:pStyle w:val="ListParagraph"/>
        <w:numPr>
          <w:ilvl w:val="0"/>
          <w:numId w:val="28"/>
        </w:numPr>
        <w:spacing w:after="160" w:line="279" w:lineRule="auto"/>
        <w:contextualSpacing/>
        <w:rPr>
          <w:rFonts w:ascii="Arial" w:hAnsi="Arial" w:cs="Arial"/>
          <w:sz w:val="24"/>
          <w:szCs w:val="24"/>
        </w:rPr>
      </w:pPr>
      <w:r w:rsidRPr="00F35499">
        <w:rPr>
          <w:rFonts w:ascii="Arial" w:hAnsi="Arial" w:cs="Arial"/>
          <w:sz w:val="24"/>
          <w:szCs w:val="24"/>
        </w:rPr>
        <w:t>Single Sign-On service upgrade</w:t>
      </w:r>
    </w:p>
    <w:p w:rsidR="00F35499" w:rsidRPr="00F35499" w:rsidRDefault="00F35499" w:rsidP="00F35499">
      <w:pPr>
        <w:pStyle w:val="ListParagraph"/>
        <w:numPr>
          <w:ilvl w:val="0"/>
          <w:numId w:val="28"/>
        </w:numPr>
        <w:spacing w:after="160" w:line="279" w:lineRule="auto"/>
        <w:contextualSpacing/>
        <w:rPr>
          <w:rFonts w:ascii="Arial" w:hAnsi="Arial" w:cs="Arial"/>
          <w:sz w:val="24"/>
          <w:szCs w:val="24"/>
        </w:rPr>
      </w:pPr>
      <w:r w:rsidRPr="00F35499">
        <w:rPr>
          <w:rFonts w:ascii="Arial" w:hAnsi="Arial" w:cs="Arial"/>
          <w:sz w:val="24"/>
          <w:szCs w:val="24"/>
        </w:rPr>
        <w:t>Electronic Occupational Health Screening (</w:t>
      </w:r>
      <w:proofErr w:type="spellStart"/>
      <w:r w:rsidRPr="00F35499">
        <w:rPr>
          <w:rFonts w:ascii="Arial" w:hAnsi="Arial" w:cs="Arial"/>
          <w:sz w:val="24"/>
          <w:szCs w:val="24"/>
        </w:rPr>
        <w:t>eOPAS</w:t>
      </w:r>
      <w:proofErr w:type="spellEnd"/>
      <w:r w:rsidRPr="00F35499">
        <w:rPr>
          <w:rFonts w:ascii="Arial" w:hAnsi="Arial" w:cs="Arial"/>
          <w:sz w:val="24"/>
          <w:szCs w:val="24"/>
        </w:rPr>
        <w:t>)</w:t>
      </w:r>
    </w:p>
    <w:p w:rsidR="00F35499" w:rsidRPr="00F35499" w:rsidRDefault="00F35499" w:rsidP="00F35499">
      <w:pPr>
        <w:pStyle w:val="ListParagraph"/>
        <w:numPr>
          <w:ilvl w:val="0"/>
          <w:numId w:val="28"/>
        </w:numPr>
        <w:spacing w:after="160" w:line="279" w:lineRule="auto"/>
        <w:contextualSpacing/>
        <w:rPr>
          <w:rFonts w:ascii="Arial" w:hAnsi="Arial" w:cs="Arial"/>
          <w:sz w:val="24"/>
          <w:szCs w:val="24"/>
        </w:rPr>
      </w:pPr>
      <w:r w:rsidRPr="00F35499">
        <w:rPr>
          <w:rFonts w:ascii="Arial" w:hAnsi="Arial" w:cs="Arial"/>
          <w:sz w:val="24"/>
          <w:szCs w:val="24"/>
        </w:rPr>
        <w:t>Digital Commissioning for Surgical Centre</w:t>
      </w:r>
    </w:p>
    <w:p w:rsidR="00F35499" w:rsidRPr="00F35499" w:rsidRDefault="00F35499" w:rsidP="00F35499">
      <w:pPr>
        <w:pStyle w:val="ListParagraph"/>
        <w:numPr>
          <w:ilvl w:val="0"/>
          <w:numId w:val="28"/>
        </w:numPr>
        <w:spacing w:after="160" w:line="279" w:lineRule="auto"/>
        <w:contextualSpacing/>
        <w:rPr>
          <w:rFonts w:ascii="Arial" w:hAnsi="Arial" w:cs="Arial"/>
          <w:sz w:val="24"/>
          <w:szCs w:val="24"/>
        </w:rPr>
      </w:pPr>
      <w:r w:rsidRPr="00F35499">
        <w:rPr>
          <w:rFonts w:ascii="Arial" w:hAnsi="Arial" w:cs="Arial"/>
          <w:sz w:val="24"/>
          <w:szCs w:val="24"/>
        </w:rPr>
        <w:t>Contracts and Vendor Management Service</w:t>
      </w:r>
    </w:p>
    <w:p w:rsidR="00F35499" w:rsidRPr="00F35499" w:rsidRDefault="00F35499" w:rsidP="00F35499">
      <w:pPr>
        <w:pStyle w:val="ListParagraph"/>
        <w:numPr>
          <w:ilvl w:val="0"/>
          <w:numId w:val="28"/>
        </w:numPr>
        <w:spacing w:after="160" w:line="279" w:lineRule="auto"/>
        <w:contextualSpacing/>
        <w:rPr>
          <w:rFonts w:ascii="Arial" w:hAnsi="Arial" w:cs="Arial"/>
          <w:sz w:val="24"/>
          <w:szCs w:val="24"/>
        </w:rPr>
      </w:pPr>
      <w:r w:rsidRPr="00F35499">
        <w:rPr>
          <w:rFonts w:ascii="Arial" w:hAnsi="Arial" w:cs="Arial"/>
          <w:sz w:val="24"/>
          <w:szCs w:val="24"/>
        </w:rPr>
        <w:t>Change Control System</w:t>
      </w:r>
    </w:p>
    <w:p w:rsidR="00F35499" w:rsidRPr="00F35499" w:rsidRDefault="00F35499" w:rsidP="00F35499">
      <w:pPr>
        <w:pStyle w:val="ListParagraph"/>
        <w:numPr>
          <w:ilvl w:val="0"/>
          <w:numId w:val="28"/>
        </w:numPr>
        <w:spacing w:after="160" w:line="279" w:lineRule="auto"/>
        <w:contextualSpacing/>
        <w:rPr>
          <w:rFonts w:ascii="Arial" w:hAnsi="Arial" w:cs="Arial"/>
          <w:sz w:val="24"/>
          <w:szCs w:val="24"/>
        </w:rPr>
      </w:pPr>
      <w:r w:rsidRPr="00F35499">
        <w:rPr>
          <w:rFonts w:ascii="Arial" w:hAnsi="Arial" w:cs="Arial"/>
          <w:sz w:val="24"/>
          <w:szCs w:val="24"/>
        </w:rPr>
        <w:t>Security &amp; Compliance Tooling</w:t>
      </w:r>
    </w:p>
    <w:p w:rsidR="00F35499" w:rsidRPr="00F35499" w:rsidRDefault="00F35499" w:rsidP="00F35499">
      <w:pPr>
        <w:pStyle w:val="ListParagraph"/>
        <w:numPr>
          <w:ilvl w:val="0"/>
          <w:numId w:val="28"/>
        </w:numPr>
        <w:spacing w:after="160" w:line="279" w:lineRule="auto"/>
        <w:contextualSpacing/>
        <w:rPr>
          <w:rFonts w:ascii="Arial" w:hAnsi="Arial" w:cs="Arial"/>
          <w:sz w:val="24"/>
          <w:szCs w:val="24"/>
        </w:rPr>
      </w:pPr>
      <w:r w:rsidRPr="00F35499">
        <w:rPr>
          <w:rFonts w:ascii="Arial" w:hAnsi="Arial" w:cs="Arial"/>
          <w:sz w:val="24"/>
          <w:szCs w:val="24"/>
        </w:rPr>
        <w:t>Local Server Hosting Environment upgrade</w:t>
      </w:r>
    </w:p>
    <w:p w:rsidR="00F35499" w:rsidRDefault="00F35499" w:rsidP="00F35499">
      <w:pPr>
        <w:rPr>
          <w:rFonts w:cs="Arial"/>
          <w:szCs w:val="24"/>
        </w:rPr>
      </w:pPr>
      <w:r w:rsidRPr="00F35499">
        <w:rPr>
          <w:rFonts w:cs="Arial"/>
          <w:szCs w:val="24"/>
        </w:rPr>
        <w:t>The cumulative effect of these improvements can be seen across the organisation with the following tangible benefits achieved</w:t>
      </w:r>
      <w:r w:rsidR="00A20666">
        <w:rPr>
          <w:rFonts w:cs="Arial"/>
          <w:szCs w:val="24"/>
        </w:rPr>
        <w:t>:</w:t>
      </w:r>
    </w:p>
    <w:p w:rsidR="00A20666" w:rsidRPr="00F35499" w:rsidRDefault="00A20666" w:rsidP="00F35499">
      <w:pPr>
        <w:rPr>
          <w:rFonts w:cs="Arial"/>
          <w:szCs w:val="24"/>
        </w:rPr>
      </w:pPr>
    </w:p>
    <w:p w:rsidR="00F35499" w:rsidRPr="00F35499" w:rsidRDefault="00F35499" w:rsidP="00F35499">
      <w:pPr>
        <w:pStyle w:val="ListParagraph"/>
        <w:numPr>
          <w:ilvl w:val="0"/>
          <w:numId w:val="27"/>
        </w:numPr>
        <w:spacing w:after="160" w:line="279" w:lineRule="auto"/>
        <w:contextualSpacing/>
        <w:rPr>
          <w:rFonts w:ascii="Arial" w:hAnsi="Arial" w:cs="Arial"/>
          <w:sz w:val="24"/>
          <w:szCs w:val="24"/>
        </w:rPr>
      </w:pPr>
      <w:r w:rsidRPr="00F35499">
        <w:rPr>
          <w:rFonts w:ascii="Arial" w:hAnsi="Arial" w:cs="Arial"/>
          <w:sz w:val="24"/>
          <w:szCs w:val="24"/>
        </w:rPr>
        <w:t>Improved resilience through the removal of legacy systems</w:t>
      </w:r>
    </w:p>
    <w:p w:rsidR="00F35499" w:rsidRPr="00F35499" w:rsidRDefault="00F35499" w:rsidP="00F35499">
      <w:pPr>
        <w:pStyle w:val="ListParagraph"/>
        <w:numPr>
          <w:ilvl w:val="0"/>
          <w:numId w:val="27"/>
        </w:numPr>
        <w:spacing w:after="160" w:line="279" w:lineRule="auto"/>
        <w:contextualSpacing/>
        <w:rPr>
          <w:rFonts w:ascii="Arial" w:hAnsi="Arial" w:cs="Arial"/>
          <w:sz w:val="24"/>
          <w:szCs w:val="24"/>
        </w:rPr>
      </w:pPr>
      <w:r w:rsidRPr="00F35499">
        <w:rPr>
          <w:rFonts w:ascii="Arial" w:hAnsi="Arial" w:cs="Arial"/>
          <w:sz w:val="24"/>
          <w:szCs w:val="24"/>
        </w:rPr>
        <w:t>Access to additional features and functionality within existing systems through upgrade to latest versions</w:t>
      </w:r>
    </w:p>
    <w:p w:rsidR="00F35499" w:rsidRPr="00F35499" w:rsidRDefault="00F35499" w:rsidP="00F35499">
      <w:pPr>
        <w:pStyle w:val="ListParagraph"/>
        <w:numPr>
          <w:ilvl w:val="0"/>
          <w:numId w:val="27"/>
        </w:numPr>
        <w:spacing w:after="160" w:line="279" w:lineRule="auto"/>
        <w:contextualSpacing/>
        <w:rPr>
          <w:rFonts w:ascii="Arial" w:hAnsi="Arial" w:cs="Arial"/>
          <w:sz w:val="24"/>
          <w:szCs w:val="24"/>
        </w:rPr>
      </w:pPr>
      <w:r w:rsidRPr="00F35499">
        <w:rPr>
          <w:rFonts w:ascii="Arial" w:hAnsi="Arial" w:cs="Arial"/>
          <w:sz w:val="24"/>
          <w:szCs w:val="24"/>
        </w:rPr>
        <w:t>Improvements in cyber posture through the availability of mainstream support from vendors and application of security patching</w:t>
      </w:r>
    </w:p>
    <w:p w:rsidR="00F35499" w:rsidRPr="00F35499" w:rsidRDefault="00F35499" w:rsidP="00F35499">
      <w:pPr>
        <w:pStyle w:val="ListParagraph"/>
        <w:numPr>
          <w:ilvl w:val="0"/>
          <w:numId w:val="27"/>
        </w:numPr>
        <w:spacing w:after="160" w:line="279" w:lineRule="auto"/>
        <w:contextualSpacing/>
        <w:rPr>
          <w:rFonts w:ascii="Arial" w:hAnsi="Arial" w:cs="Arial"/>
          <w:sz w:val="24"/>
          <w:szCs w:val="24"/>
        </w:rPr>
      </w:pPr>
      <w:r w:rsidRPr="00F35499">
        <w:rPr>
          <w:rFonts w:ascii="Arial" w:hAnsi="Arial" w:cs="Arial"/>
          <w:sz w:val="24"/>
          <w:szCs w:val="24"/>
        </w:rPr>
        <w:t>Reduction in paper through the adoption of electronic care pathways in nursing and orthopaedics</w:t>
      </w:r>
    </w:p>
    <w:p w:rsidR="00F35499" w:rsidRPr="00F35499" w:rsidRDefault="00F35499" w:rsidP="00F35499">
      <w:pPr>
        <w:pStyle w:val="ListParagraph"/>
        <w:numPr>
          <w:ilvl w:val="0"/>
          <w:numId w:val="27"/>
        </w:numPr>
        <w:spacing w:after="160" w:line="279" w:lineRule="auto"/>
        <w:contextualSpacing/>
        <w:rPr>
          <w:rFonts w:ascii="Arial" w:hAnsi="Arial" w:cs="Arial"/>
          <w:sz w:val="24"/>
          <w:szCs w:val="24"/>
        </w:rPr>
      </w:pPr>
      <w:r w:rsidRPr="00F35499">
        <w:rPr>
          <w:rFonts w:ascii="Arial" w:hAnsi="Arial" w:cs="Arial"/>
          <w:sz w:val="24"/>
          <w:szCs w:val="24"/>
        </w:rPr>
        <w:t>Digitisation of heavily manual and resource intensive processes such as occupational health screening freeing up time for valuable staff roles.</w:t>
      </w:r>
    </w:p>
    <w:p w:rsidR="00F35499" w:rsidRPr="00F35499" w:rsidRDefault="00F35499" w:rsidP="00F35499">
      <w:pPr>
        <w:pStyle w:val="ListParagraph"/>
        <w:numPr>
          <w:ilvl w:val="0"/>
          <w:numId w:val="27"/>
        </w:numPr>
        <w:spacing w:after="160" w:line="279" w:lineRule="auto"/>
        <w:contextualSpacing/>
        <w:rPr>
          <w:rFonts w:ascii="Arial" w:hAnsi="Arial" w:cs="Arial"/>
          <w:sz w:val="24"/>
          <w:szCs w:val="24"/>
        </w:rPr>
      </w:pPr>
      <w:r w:rsidRPr="00F35499">
        <w:rPr>
          <w:rFonts w:ascii="Arial" w:hAnsi="Arial" w:cs="Arial"/>
          <w:sz w:val="24"/>
          <w:szCs w:val="24"/>
        </w:rPr>
        <w:t>Replacement of aging and frequently failing hardware adopting the latest technologies in Backup, Audio Visual and server environments</w:t>
      </w:r>
    </w:p>
    <w:p w:rsidR="00F35499" w:rsidRPr="00F35499" w:rsidRDefault="00F35499" w:rsidP="00F35499">
      <w:pPr>
        <w:pStyle w:val="ListParagraph"/>
        <w:numPr>
          <w:ilvl w:val="0"/>
          <w:numId w:val="27"/>
        </w:numPr>
        <w:spacing w:after="160" w:line="279" w:lineRule="auto"/>
        <w:contextualSpacing/>
        <w:rPr>
          <w:rFonts w:ascii="Arial" w:hAnsi="Arial" w:cs="Arial"/>
          <w:sz w:val="24"/>
          <w:szCs w:val="24"/>
        </w:rPr>
      </w:pPr>
      <w:r w:rsidRPr="00F35499">
        <w:rPr>
          <w:rFonts w:ascii="Arial" w:hAnsi="Arial" w:cs="Arial"/>
          <w:sz w:val="24"/>
          <w:szCs w:val="24"/>
        </w:rPr>
        <w:t>Vastly improved governance practices specifically in vendor and contracts management and change control creating safer environments and protecting from external threat actors.</w:t>
      </w:r>
    </w:p>
    <w:p w:rsidR="00F35499" w:rsidRPr="00F35499" w:rsidRDefault="00F35499" w:rsidP="00F35499">
      <w:pPr>
        <w:rPr>
          <w:rFonts w:cs="Arial"/>
          <w:szCs w:val="24"/>
        </w:rPr>
      </w:pPr>
      <w:r w:rsidRPr="00F35499">
        <w:rPr>
          <w:rFonts w:cs="Arial"/>
          <w:szCs w:val="24"/>
        </w:rPr>
        <w:t>Overall, the advances over this past year have made the digital applications landscape more resilient, better protected from cyber threat and more integrated meaning less effort for the end user in engaging with Digital services. This work will continue through the next financial year to achieve fully the upgrade and replacement programme within the Digital Improvement Plan.</w:t>
      </w:r>
    </w:p>
    <w:p w:rsidR="00D25F6B" w:rsidRDefault="00D25F6B" w:rsidP="00177153">
      <w:pPr>
        <w:spacing w:before="40" w:after="40" w:line="276" w:lineRule="auto"/>
        <w:ind w:left="686"/>
        <w:rPr>
          <w:rFonts w:cs="Arial"/>
          <w:color w:val="000000"/>
          <w:szCs w:val="24"/>
        </w:rPr>
      </w:pPr>
    </w:p>
    <w:p w:rsidR="00F35499" w:rsidRPr="00F35499" w:rsidRDefault="00F35499" w:rsidP="00F35499">
      <w:pPr>
        <w:pStyle w:val="Heading2"/>
        <w:rPr>
          <w:sz w:val="24"/>
          <w:szCs w:val="24"/>
        </w:rPr>
      </w:pPr>
      <w:r w:rsidRPr="00F35499">
        <w:rPr>
          <w:sz w:val="24"/>
          <w:szCs w:val="24"/>
        </w:rPr>
        <w:lastRenderedPageBreak/>
        <w:t>Digital Governance</w:t>
      </w:r>
    </w:p>
    <w:p w:rsidR="00F35499" w:rsidRDefault="00F35499" w:rsidP="00F35499">
      <w:r w:rsidRPr="0089489A">
        <w:t xml:space="preserve">Digital Governance is a critical element of the effective running of the Board. It ensures that relevant and appropriate safeguards are in place to manage our legal obligations under several pieces of legislation including the Data Protection Act 2018 and the UK GDPR </w:t>
      </w:r>
      <w:r w:rsidRPr="00EB0B6F">
        <w:t>ensuring necessary safeguards for, and appropriate processing of, patient and personal information.</w:t>
      </w:r>
      <w:r>
        <w:t xml:space="preserve"> The Digital Governance Team are responsible for managing Information Governance, Freedom of Information (FOI) requests and Subject Access Requests (SAR), ensuring robust information management is in place for all Digital systems through the approval of Data Processing Agreements (DPA) and Data Protection Impact Assessments (DPIA). The team are also responsible for the collation and submission of evidence for the Boards audit under the Network and Information Systems (NIS) Directive.</w:t>
      </w:r>
    </w:p>
    <w:p w:rsidR="005B2C44" w:rsidRPr="0089489A" w:rsidRDefault="005B2C44" w:rsidP="00F35499"/>
    <w:p w:rsidR="00F35499" w:rsidRDefault="00F35499" w:rsidP="00F35499">
      <w:pPr>
        <w:pStyle w:val="Heading3"/>
      </w:pPr>
      <w:r>
        <w:t>Information Governance Incidents</w:t>
      </w:r>
    </w:p>
    <w:p w:rsidR="00F35499" w:rsidRDefault="00F35499" w:rsidP="00F35499">
      <w:r w:rsidRPr="00702B7D">
        <w:t xml:space="preserve">During 2024/25, 43 digital governance incidents have been recorded on the </w:t>
      </w:r>
      <w:proofErr w:type="spellStart"/>
      <w:r w:rsidRPr="00702B7D">
        <w:t>Datix</w:t>
      </w:r>
      <w:proofErr w:type="spellEnd"/>
      <w:r w:rsidRPr="00702B7D">
        <w:t xml:space="preserve"> risk management system.  These incidents are categorised as follows:</w:t>
      </w:r>
    </w:p>
    <w:p w:rsidR="00A20666" w:rsidRPr="00702B7D" w:rsidRDefault="00A20666" w:rsidP="00F35499"/>
    <w:p w:rsidR="00F35499" w:rsidRPr="00F35499" w:rsidRDefault="00F35499" w:rsidP="00F35499">
      <w:pPr>
        <w:pStyle w:val="ListParagraph"/>
        <w:numPr>
          <w:ilvl w:val="0"/>
          <w:numId w:val="29"/>
        </w:numPr>
        <w:contextualSpacing/>
        <w:rPr>
          <w:rFonts w:ascii="Arial" w:hAnsi="Arial" w:cs="Arial"/>
          <w:sz w:val="24"/>
          <w:szCs w:val="24"/>
        </w:rPr>
      </w:pPr>
      <w:r w:rsidRPr="00F35499">
        <w:rPr>
          <w:rFonts w:ascii="Arial" w:hAnsi="Arial" w:cs="Arial"/>
          <w:sz w:val="24"/>
          <w:szCs w:val="24"/>
        </w:rPr>
        <w:t>0 categorised as major</w:t>
      </w:r>
    </w:p>
    <w:p w:rsidR="00F35499" w:rsidRPr="00F35499" w:rsidRDefault="00F35499" w:rsidP="00F35499">
      <w:pPr>
        <w:pStyle w:val="ListParagraph"/>
        <w:numPr>
          <w:ilvl w:val="0"/>
          <w:numId w:val="29"/>
        </w:numPr>
        <w:contextualSpacing/>
        <w:rPr>
          <w:rFonts w:ascii="Arial" w:hAnsi="Arial" w:cs="Arial"/>
          <w:sz w:val="24"/>
          <w:szCs w:val="24"/>
        </w:rPr>
      </w:pPr>
      <w:r w:rsidRPr="00F35499">
        <w:rPr>
          <w:rFonts w:ascii="Arial" w:hAnsi="Arial" w:cs="Arial"/>
          <w:sz w:val="24"/>
          <w:szCs w:val="24"/>
        </w:rPr>
        <w:t>10 categorised as moderate</w:t>
      </w:r>
    </w:p>
    <w:p w:rsidR="00F35499" w:rsidRPr="00F35499" w:rsidRDefault="00F35499" w:rsidP="00F35499">
      <w:pPr>
        <w:pStyle w:val="ListParagraph"/>
        <w:numPr>
          <w:ilvl w:val="0"/>
          <w:numId w:val="29"/>
        </w:numPr>
        <w:contextualSpacing/>
        <w:rPr>
          <w:rFonts w:ascii="Arial" w:hAnsi="Arial" w:cs="Arial"/>
          <w:sz w:val="24"/>
          <w:szCs w:val="24"/>
        </w:rPr>
      </w:pPr>
      <w:r w:rsidRPr="00F35499">
        <w:rPr>
          <w:rFonts w:ascii="Arial" w:hAnsi="Arial" w:cs="Arial"/>
          <w:sz w:val="24"/>
          <w:szCs w:val="24"/>
        </w:rPr>
        <w:t>20 categorised as minor</w:t>
      </w:r>
    </w:p>
    <w:p w:rsidR="00F35499" w:rsidRPr="00702B7D" w:rsidRDefault="00F35499" w:rsidP="00F35499">
      <w:pPr>
        <w:pStyle w:val="ListParagraph"/>
        <w:numPr>
          <w:ilvl w:val="0"/>
          <w:numId w:val="29"/>
        </w:numPr>
        <w:contextualSpacing/>
      </w:pPr>
      <w:r w:rsidRPr="00F35499">
        <w:rPr>
          <w:rFonts w:ascii="Arial" w:hAnsi="Arial" w:cs="Arial"/>
          <w:sz w:val="24"/>
          <w:szCs w:val="24"/>
        </w:rPr>
        <w:t>13 categorised as negligible.</w:t>
      </w:r>
      <w:r w:rsidRPr="00702B7D">
        <w:t xml:space="preserve">  </w:t>
      </w:r>
      <w:r w:rsidRPr="00702B7D">
        <w:br/>
      </w:r>
    </w:p>
    <w:tbl>
      <w:tblPr>
        <w:tblStyle w:val="TableGrid"/>
        <w:tblW w:w="8505" w:type="dxa"/>
        <w:tblInd w:w="250" w:type="dxa"/>
        <w:tblLook w:val="04A0" w:firstRow="1" w:lastRow="0" w:firstColumn="1" w:lastColumn="0" w:noHBand="0" w:noVBand="1"/>
      </w:tblPr>
      <w:tblGrid>
        <w:gridCol w:w="5812"/>
        <w:gridCol w:w="2693"/>
      </w:tblGrid>
      <w:tr w:rsidR="00F35499" w:rsidTr="00BA6110">
        <w:tc>
          <w:tcPr>
            <w:tcW w:w="5812"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Incident Category</w:t>
            </w:r>
          </w:p>
        </w:tc>
        <w:tc>
          <w:tcPr>
            <w:tcW w:w="2693"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Number of incidents</w:t>
            </w:r>
          </w:p>
        </w:tc>
      </w:tr>
      <w:tr w:rsidR="00F35499" w:rsidTr="00BA6110">
        <w:tc>
          <w:tcPr>
            <w:tcW w:w="5812"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Patient case notes</w:t>
            </w:r>
          </w:p>
        </w:tc>
        <w:tc>
          <w:tcPr>
            <w:tcW w:w="2693"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16</w:t>
            </w:r>
          </w:p>
        </w:tc>
      </w:tr>
      <w:tr w:rsidR="00F35499" w:rsidTr="00BA6110">
        <w:tc>
          <w:tcPr>
            <w:tcW w:w="5812"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Email data loss</w:t>
            </w:r>
          </w:p>
        </w:tc>
        <w:tc>
          <w:tcPr>
            <w:tcW w:w="2693"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14</w:t>
            </w:r>
          </w:p>
        </w:tc>
      </w:tr>
      <w:tr w:rsidR="00F35499" w:rsidTr="00BA6110">
        <w:tc>
          <w:tcPr>
            <w:tcW w:w="5812"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Data loss</w:t>
            </w:r>
          </w:p>
        </w:tc>
        <w:tc>
          <w:tcPr>
            <w:tcW w:w="2693"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2</w:t>
            </w:r>
          </w:p>
        </w:tc>
      </w:tr>
      <w:tr w:rsidR="00F35499" w:rsidTr="00BA6110">
        <w:tc>
          <w:tcPr>
            <w:tcW w:w="5812"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Unconsented imaging</w:t>
            </w:r>
          </w:p>
        </w:tc>
        <w:tc>
          <w:tcPr>
            <w:tcW w:w="2693"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2</w:t>
            </w:r>
          </w:p>
        </w:tc>
      </w:tr>
      <w:tr w:rsidR="00F35499" w:rsidTr="00BA6110">
        <w:tc>
          <w:tcPr>
            <w:tcW w:w="5812"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Patient details uploaded to SharePoint</w:t>
            </w:r>
          </w:p>
        </w:tc>
        <w:tc>
          <w:tcPr>
            <w:tcW w:w="2693"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1</w:t>
            </w:r>
          </w:p>
        </w:tc>
      </w:tr>
      <w:tr w:rsidR="00F35499" w:rsidTr="00BA6110">
        <w:tc>
          <w:tcPr>
            <w:tcW w:w="5812"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Accidental disclosure under FOISA</w:t>
            </w:r>
          </w:p>
        </w:tc>
        <w:tc>
          <w:tcPr>
            <w:tcW w:w="2693"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1</w:t>
            </w:r>
          </w:p>
        </w:tc>
      </w:tr>
      <w:tr w:rsidR="00F35499" w:rsidTr="00BA6110">
        <w:tc>
          <w:tcPr>
            <w:tcW w:w="5812"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Fraudulent email</w:t>
            </w:r>
          </w:p>
        </w:tc>
        <w:tc>
          <w:tcPr>
            <w:tcW w:w="2693"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1</w:t>
            </w:r>
          </w:p>
        </w:tc>
      </w:tr>
      <w:tr w:rsidR="00F35499" w:rsidTr="00BA6110">
        <w:tc>
          <w:tcPr>
            <w:tcW w:w="5812"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Patient case notes/Subject Access Request</w:t>
            </w:r>
          </w:p>
        </w:tc>
        <w:tc>
          <w:tcPr>
            <w:tcW w:w="2693"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1</w:t>
            </w:r>
          </w:p>
        </w:tc>
      </w:tr>
      <w:tr w:rsidR="00F35499" w:rsidTr="00BA6110">
        <w:tc>
          <w:tcPr>
            <w:tcW w:w="5812"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Unusual account activity</w:t>
            </w:r>
          </w:p>
        </w:tc>
        <w:tc>
          <w:tcPr>
            <w:tcW w:w="2693"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1</w:t>
            </w:r>
          </w:p>
        </w:tc>
      </w:tr>
      <w:tr w:rsidR="00F35499" w:rsidTr="00BA6110">
        <w:tc>
          <w:tcPr>
            <w:tcW w:w="5812"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Accidental deletion of data</w:t>
            </w:r>
          </w:p>
        </w:tc>
        <w:tc>
          <w:tcPr>
            <w:tcW w:w="2693"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1</w:t>
            </w:r>
          </w:p>
        </w:tc>
      </w:tr>
      <w:tr w:rsidR="00F35499" w:rsidTr="00BA6110">
        <w:tc>
          <w:tcPr>
            <w:tcW w:w="5812"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Clinical imaging</w:t>
            </w:r>
          </w:p>
        </w:tc>
        <w:tc>
          <w:tcPr>
            <w:tcW w:w="2693"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1</w:t>
            </w:r>
          </w:p>
        </w:tc>
      </w:tr>
      <w:tr w:rsidR="00F35499" w:rsidTr="00BA6110">
        <w:tc>
          <w:tcPr>
            <w:tcW w:w="5812"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Confidential data left unattended</w:t>
            </w:r>
          </w:p>
        </w:tc>
        <w:tc>
          <w:tcPr>
            <w:tcW w:w="2693"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1</w:t>
            </w:r>
          </w:p>
        </w:tc>
      </w:tr>
      <w:tr w:rsidR="00F35499" w:rsidTr="00BA6110">
        <w:tc>
          <w:tcPr>
            <w:tcW w:w="5812"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Password sharing</w:t>
            </w:r>
          </w:p>
        </w:tc>
        <w:tc>
          <w:tcPr>
            <w:tcW w:w="2693" w:type="dxa"/>
          </w:tcPr>
          <w:p w:rsidR="00F35499" w:rsidRPr="00702B7D" w:rsidRDefault="00F35499" w:rsidP="00BA6110">
            <w:pPr>
              <w:rPr>
                <w:rFonts w:asciiTheme="minorHAnsi" w:eastAsiaTheme="minorEastAsia" w:hAnsiTheme="minorHAnsi" w:cstheme="minorBidi"/>
                <w:szCs w:val="24"/>
                <w:lang w:eastAsia="ja-JP"/>
              </w:rPr>
            </w:pPr>
            <w:r w:rsidRPr="00702B7D">
              <w:rPr>
                <w:rFonts w:asciiTheme="minorHAnsi" w:eastAsiaTheme="minorEastAsia" w:hAnsiTheme="minorHAnsi" w:cstheme="minorBidi"/>
                <w:szCs w:val="24"/>
                <w:lang w:eastAsia="ja-JP"/>
              </w:rPr>
              <w:t>1</w:t>
            </w:r>
          </w:p>
        </w:tc>
      </w:tr>
    </w:tbl>
    <w:p w:rsidR="00F35499" w:rsidRPr="00702B7D" w:rsidRDefault="00F35499" w:rsidP="00F35499"/>
    <w:p w:rsidR="00F35499" w:rsidRDefault="00F35499" w:rsidP="00F35499">
      <w:r w:rsidRPr="00702B7D">
        <w:t xml:space="preserve">There is a fully documented process and reporting structure to manage any Digital &amp; Information Governance incidents within the Board, which includes reporting to the Digital Governance Group chaired by the </w:t>
      </w:r>
      <w:proofErr w:type="spellStart"/>
      <w:r w:rsidRPr="00702B7D">
        <w:t>Caldicott</w:t>
      </w:r>
      <w:proofErr w:type="spellEnd"/>
      <w:r w:rsidRPr="00702B7D">
        <w:t xml:space="preserve"> Guardian. </w:t>
      </w:r>
    </w:p>
    <w:p w:rsidR="00F35499" w:rsidRPr="00702B7D" w:rsidRDefault="00F35499" w:rsidP="00F35499"/>
    <w:p w:rsidR="00F35499" w:rsidRPr="00702B7D" w:rsidRDefault="00F35499" w:rsidP="00F35499">
      <w:pPr>
        <w:pStyle w:val="Heading3"/>
      </w:pPr>
      <w:r w:rsidRPr="00702B7D">
        <w:t>Requests for Information</w:t>
      </w:r>
    </w:p>
    <w:p w:rsidR="00F35499" w:rsidRPr="00702B7D" w:rsidRDefault="00F35499" w:rsidP="00F35499">
      <w:pPr>
        <w:ind w:hanging="76"/>
      </w:pPr>
      <w:r w:rsidRPr="00702B7D">
        <w:tab/>
        <w:t>In 2024/25, there were 108 FOI requests, an increase in the number of requests received last year, which was 89. 86 of these requests were responded to within the legislative timeframe. 22 requests were responded to out with the legislative timeframe, due to either the complexity of the requests or delays in receiving the information from the relevant department.</w:t>
      </w:r>
    </w:p>
    <w:p w:rsidR="00F35499" w:rsidRDefault="00F35499" w:rsidP="00F35499">
      <w:pPr>
        <w:ind w:hanging="76"/>
      </w:pPr>
      <w:r w:rsidRPr="00702B7D">
        <w:t xml:space="preserve"> This is broken down as follows:</w:t>
      </w:r>
    </w:p>
    <w:p w:rsidR="00A20666" w:rsidRPr="00702B7D" w:rsidRDefault="00A20666" w:rsidP="00F35499">
      <w:pPr>
        <w:ind w:hanging="76"/>
      </w:pPr>
    </w:p>
    <w:p w:rsidR="00F35499" w:rsidRPr="00F35499" w:rsidRDefault="00F35499" w:rsidP="00F35499">
      <w:pPr>
        <w:pStyle w:val="ListParagraph"/>
        <w:numPr>
          <w:ilvl w:val="0"/>
          <w:numId w:val="30"/>
        </w:numPr>
        <w:contextualSpacing/>
        <w:rPr>
          <w:rFonts w:ascii="Arial" w:hAnsi="Arial" w:cs="Arial"/>
          <w:sz w:val="24"/>
          <w:szCs w:val="24"/>
        </w:rPr>
      </w:pPr>
      <w:r w:rsidRPr="00F35499">
        <w:rPr>
          <w:rFonts w:ascii="Arial" w:hAnsi="Arial" w:cs="Arial"/>
          <w:sz w:val="24"/>
          <w:szCs w:val="24"/>
        </w:rPr>
        <w:t>Q1 – 26 requests.  22 responded on time, 4 late responses</w:t>
      </w:r>
    </w:p>
    <w:p w:rsidR="00F35499" w:rsidRPr="00F35499" w:rsidRDefault="00F35499" w:rsidP="00F35499">
      <w:pPr>
        <w:pStyle w:val="ListParagraph"/>
        <w:numPr>
          <w:ilvl w:val="0"/>
          <w:numId w:val="30"/>
        </w:numPr>
        <w:contextualSpacing/>
        <w:rPr>
          <w:rFonts w:ascii="Arial" w:hAnsi="Arial" w:cs="Arial"/>
          <w:sz w:val="24"/>
          <w:szCs w:val="24"/>
        </w:rPr>
      </w:pPr>
      <w:r w:rsidRPr="00F35499">
        <w:rPr>
          <w:rFonts w:ascii="Arial" w:hAnsi="Arial" w:cs="Arial"/>
          <w:sz w:val="24"/>
          <w:szCs w:val="24"/>
        </w:rPr>
        <w:t>Q2 – 19 requests.  15 responded on time, 4 late responses</w:t>
      </w:r>
    </w:p>
    <w:p w:rsidR="00F35499" w:rsidRPr="00F35499" w:rsidRDefault="00F35499" w:rsidP="00F35499">
      <w:pPr>
        <w:pStyle w:val="ListParagraph"/>
        <w:numPr>
          <w:ilvl w:val="0"/>
          <w:numId w:val="30"/>
        </w:numPr>
        <w:contextualSpacing/>
        <w:rPr>
          <w:rFonts w:ascii="Arial" w:hAnsi="Arial" w:cs="Arial"/>
          <w:sz w:val="24"/>
          <w:szCs w:val="24"/>
        </w:rPr>
      </w:pPr>
      <w:r w:rsidRPr="00F35499">
        <w:rPr>
          <w:rFonts w:ascii="Arial" w:hAnsi="Arial" w:cs="Arial"/>
          <w:sz w:val="24"/>
          <w:szCs w:val="24"/>
        </w:rPr>
        <w:t>Q3 – 27 requests.  26 responded on time, 1 late response</w:t>
      </w:r>
    </w:p>
    <w:p w:rsidR="00F35499" w:rsidRPr="00F35499" w:rsidRDefault="00F35499" w:rsidP="00F35499">
      <w:pPr>
        <w:pStyle w:val="ListParagraph"/>
        <w:numPr>
          <w:ilvl w:val="0"/>
          <w:numId w:val="30"/>
        </w:numPr>
        <w:contextualSpacing/>
        <w:rPr>
          <w:rFonts w:ascii="Arial" w:hAnsi="Arial" w:cs="Arial"/>
          <w:sz w:val="24"/>
          <w:szCs w:val="24"/>
        </w:rPr>
      </w:pPr>
      <w:r w:rsidRPr="00F35499">
        <w:rPr>
          <w:rFonts w:ascii="Arial" w:hAnsi="Arial" w:cs="Arial"/>
          <w:sz w:val="24"/>
          <w:szCs w:val="24"/>
        </w:rPr>
        <w:t>Q4 – 36 requests.  23 responded on time, 13 late responses</w:t>
      </w:r>
    </w:p>
    <w:p w:rsidR="00F35499" w:rsidRPr="00F35499" w:rsidRDefault="00F35499" w:rsidP="00F35499">
      <w:pPr>
        <w:pStyle w:val="ListParagraph"/>
        <w:ind w:left="710"/>
        <w:rPr>
          <w:rFonts w:ascii="Arial" w:hAnsi="Arial" w:cs="Arial"/>
          <w:sz w:val="24"/>
          <w:szCs w:val="24"/>
        </w:rPr>
      </w:pPr>
    </w:p>
    <w:p w:rsidR="00F35499" w:rsidRDefault="00F35499" w:rsidP="00F35499">
      <w:pPr>
        <w:rPr>
          <w:rFonts w:cs="Arial"/>
          <w:szCs w:val="24"/>
        </w:rPr>
      </w:pPr>
      <w:r w:rsidRPr="00F35499">
        <w:rPr>
          <w:rFonts w:cs="Arial"/>
          <w:szCs w:val="24"/>
        </w:rPr>
        <w:t xml:space="preserve">The following Subject Access Requests under the Data Protection Act 2018, were received: </w:t>
      </w:r>
    </w:p>
    <w:p w:rsidR="00A20666" w:rsidRPr="00F35499" w:rsidRDefault="00A20666" w:rsidP="00F35499">
      <w:pPr>
        <w:rPr>
          <w:rFonts w:cs="Arial"/>
          <w:szCs w:val="24"/>
        </w:rPr>
      </w:pPr>
    </w:p>
    <w:p w:rsidR="00F35499" w:rsidRPr="00F35499" w:rsidRDefault="00F35499" w:rsidP="00F35499">
      <w:pPr>
        <w:pStyle w:val="ListParagraph"/>
        <w:numPr>
          <w:ilvl w:val="0"/>
          <w:numId w:val="31"/>
        </w:numPr>
        <w:contextualSpacing/>
        <w:rPr>
          <w:rFonts w:ascii="Arial" w:hAnsi="Arial" w:cs="Arial"/>
          <w:sz w:val="24"/>
          <w:szCs w:val="24"/>
        </w:rPr>
      </w:pPr>
      <w:r w:rsidRPr="00F35499">
        <w:rPr>
          <w:rFonts w:ascii="Arial" w:hAnsi="Arial" w:cs="Arial"/>
          <w:sz w:val="24"/>
          <w:szCs w:val="24"/>
        </w:rPr>
        <w:t>Q1 – 257 requests</w:t>
      </w:r>
    </w:p>
    <w:p w:rsidR="00F35499" w:rsidRPr="00F35499" w:rsidRDefault="00F35499" w:rsidP="00F35499">
      <w:pPr>
        <w:pStyle w:val="ListParagraph"/>
        <w:numPr>
          <w:ilvl w:val="0"/>
          <w:numId w:val="31"/>
        </w:numPr>
        <w:contextualSpacing/>
        <w:rPr>
          <w:rFonts w:ascii="Arial" w:hAnsi="Arial" w:cs="Arial"/>
          <w:sz w:val="24"/>
          <w:szCs w:val="24"/>
        </w:rPr>
      </w:pPr>
      <w:r w:rsidRPr="00F35499">
        <w:rPr>
          <w:rFonts w:ascii="Arial" w:hAnsi="Arial" w:cs="Arial"/>
          <w:sz w:val="24"/>
          <w:szCs w:val="24"/>
        </w:rPr>
        <w:t>Q2 – 255 requests</w:t>
      </w:r>
    </w:p>
    <w:p w:rsidR="00F35499" w:rsidRPr="00F35499" w:rsidRDefault="00F35499" w:rsidP="00F35499">
      <w:pPr>
        <w:pStyle w:val="ListParagraph"/>
        <w:numPr>
          <w:ilvl w:val="0"/>
          <w:numId w:val="31"/>
        </w:numPr>
        <w:contextualSpacing/>
        <w:rPr>
          <w:rFonts w:ascii="Arial" w:hAnsi="Arial" w:cs="Arial"/>
          <w:sz w:val="24"/>
          <w:szCs w:val="24"/>
        </w:rPr>
      </w:pPr>
      <w:r w:rsidRPr="00F35499">
        <w:rPr>
          <w:rFonts w:ascii="Arial" w:hAnsi="Arial" w:cs="Arial"/>
          <w:sz w:val="24"/>
          <w:szCs w:val="24"/>
        </w:rPr>
        <w:t>Q3 – 190 requests</w:t>
      </w:r>
    </w:p>
    <w:p w:rsidR="00F35499" w:rsidRPr="00F35499" w:rsidRDefault="00F35499" w:rsidP="00F35499">
      <w:pPr>
        <w:pStyle w:val="ListParagraph"/>
        <w:numPr>
          <w:ilvl w:val="0"/>
          <w:numId w:val="31"/>
        </w:numPr>
        <w:contextualSpacing/>
        <w:rPr>
          <w:rFonts w:ascii="Arial" w:hAnsi="Arial" w:cs="Arial"/>
          <w:sz w:val="24"/>
          <w:szCs w:val="24"/>
        </w:rPr>
      </w:pPr>
      <w:r w:rsidRPr="00F35499">
        <w:rPr>
          <w:rFonts w:ascii="Arial" w:hAnsi="Arial" w:cs="Arial"/>
          <w:sz w:val="24"/>
          <w:szCs w:val="24"/>
        </w:rPr>
        <w:t>Q4 – 265 requests</w:t>
      </w:r>
    </w:p>
    <w:p w:rsidR="00F35499" w:rsidRPr="00F35499" w:rsidRDefault="00F35499" w:rsidP="00F35499">
      <w:pPr>
        <w:pStyle w:val="ListParagraph"/>
        <w:rPr>
          <w:rFonts w:ascii="Arial" w:hAnsi="Arial" w:cs="Arial"/>
          <w:sz w:val="24"/>
          <w:szCs w:val="24"/>
        </w:rPr>
      </w:pPr>
      <w:r w:rsidRPr="00F35499">
        <w:rPr>
          <w:rFonts w:ascii="Arial" w:hAnsi="Arial" w:cs="Arial"/>
          <w:sz w:val="24"/>
          <w:szCs w:val="24"/>
        </w:rPr>
        <w:t>Total = 967 requests</w:t>
      </w:r>
    </w:p>
    <w:p w:rsidR="00F35499" w:rsidRPr="00702B7D" w:rsidRDefault="00F35499" w:rsidP="00F35499">
      <w:pPr>
        <w:autoSpaceDE w:val="0"/>
        <w:autoSpaceDN w:val="0"/>
        <w:adjustRightInd w:val="0"/>
      </w:pPr>
    </w:p>
    <w:p w:rsidR="00F35499" w:rsidRPr="00F35499" w:rsidRDefault="00F35499" w:rsidP="00F35499">
      <w:pPr>
        <w:pStyle w:val="Heading2"/>
        <w:rPr>
          <w:rFonts w:cs="Arial"/>
          <w:sz w:val="24"/>
          <w:szCs w:val="24"/>
        </w:rPr>
      </w:pPr>
      <w:r w:rsidRPr="00F35499">
        <w:rPr>
          <w:rFonts w:cs="Arial"/>
          <w:sz w:val="24"/>
          <w:szCs w:val="24"/>
        </w:rPr>
        <w:t>Cyber</w:t>
      </w:r>
    </w:p>
    <w:p w:rsidR="00F35499" w:rsidRPr="00F35499" w:rsidRDefault="00F35499" w:rsidP="00F35499">
      <w:pPr>
        <w:rPr>
          <w:rFonts w:cs="Arial"/>
          <w:szCs w:val="24"/>
        </w:rPr>
      </w:pPr>
      <w:r w:rsidRPr="00F35499">
        <w:rPr>
          <w:rFonts w:cs="Arial"/>
          <w:szCs w:val="24"/>
        </w:rPr>
        <w:t xml:space="preserve">Significant investments in Cyber protection from the Board are now bedding in to day to day practice and coupled with a strong focus on user education and service resilience, is an area of growing and demonstrable strength for the organisation. Almost all of the available national tooling for cyber has now been deployed within the Board with additional local product deployment giving a true strength in depth position for cyber security. </w:t>
      </w:r>
    </w:p>
    <w:p w:rsidR="00F35499" w:rsidRPr="00F35499" w:rsidRDefault="00F35499" w:rsidP="00F35499">
      <w:pPr>
        <w:rPr>
          <w:rFonts w:cs="Arial"/>
          <w:szCs w:val="24"/>
        </w:rPr>
      </w:pPr>
    </w:p>
    <w:p w:rsidR="00F35499" w:rsidRDefault="00F35499" w:rsidP="00F35499">
      <w:pPr>
        <w:rPr>
          <w:rFonts w:cs="Arial"/>
          <w:szCs w:val="24"/>
        </w:rPr>
      </w:pPr>
      <w:r w:rsidRPr="00F35499">
        <w:rPr>
          <w:rFonts w:eastAsiaTheme="majorEastAsia" w:cs="Arial"/>
          <w:b/>
          <w:color w:val="002060"/>
          <w:szCs w:val="24"/>
        </w:rPr>
        <w:t>NIS Directive and Audit</w:t>
      </w:r>
      <w:r w:rsidRPr="00F35499">
        <w:rPr>
          <w:rFonts w:cs="Arial"/>
          <w:szCs w:val="24"/>
        </w:rPr>
        <w:br/>
        <w:t>The Board has successfully completed year 2 NIS Directive audit review and is now entering in to its final year of this 3-year audit cycle. The first full year audit took place in 2023.Over the 3-year period, the Board is required to provide sufficient evidence to satisfy compliance against all 427 controls within the Framework.</w:t>
      </w:r>
    </w:p>
    <w:p w:rsidR="00A20666" w:rsidRPr="00F35499" w:rsidRDefault="00A20666" w:rsidP="00F35499">
      <w:pPr>
        <w:rPr>
          <w:rFonts w:cs="Arial"/>
          <w:szCs w:val="24"/>
        </w:rPr>
      </w:pPr>
    </w:p>
    <w:p w:rsidR="00F35499" w:rsidRPr="00F35499" w:rsidRDefault="00F35499" w:rsidP="00F35499">
      <w:pPr>
        <w:rPr>
          <w:rFonts w:cs="Arial"/>
          <w:szCs w:val="24"/>
        </w:rPr>
      </w:pPr>
      <w:r w:rsidRPr="00F35499">
        <w:rPr>
          <w:rFonts w:cs="Arial"/>
          <w:szCs w:val="24"/>
        </w:rPr>
        <w:t>NHS Golden Jubilee continues to be a strongly performing Board with another strong audit submission. This year’s audit cycle saw the Board achieving an overall compliance of 91%, a significant uplift of last year’s 77%. The following highlights the KPIs met this year:</w:t>
      </w:r>
    </w:p>
    <w:p w:rsidR="00F35499" w:rsidRPr="00F35499" w:rsidRDefault="00F35499" w:rsidP="00F35499">
      <w:pPr>
        <w:pStyle w:val="ListParagraph"/>
        <w:numPr>
          <w:ilvl w:val="0"/>
          <w:numId w:val="32"/>
        </w:numPr>
        <w:contextualSpacing/>
        <w:rPr>
          <w:rFonts w:ascii="Arial" w:hAnsi="Arial" w:cs="Arial"/>
          <w:sz w:val="24"/>
          <w:szCs w:val="24"/>
        </w:rPr>
      </w:pPr>
      <w:r w:rsidRPr="00F35499">
        <w:rPr>
          <w:rFonts w:ascii="Arial" w:hAnsi="Arial" w:cs="Arial"/>
          <w:sz w:val="24"/>
          <w:szCs w:val="24"/>
        </w:rPr>
        <w:t>Overall compliance – 91%</w:t>
      </w:r>
    </w:p>
    <w:p w:rsidR="00F35499" w:rsidRPr="00F35499" w:rsidRDefault="00F35499" w:rsidP="00F35499">
      <w:pPr>
        <w:pStyle w:val="ListParagraph"/>
        <w:numPr>
          <w:ilvl w:val="0"/>
          <w:numId w:val="32"/>
        </w:numPr>
        <w:contextualSpacing/>
        <w:rPr>
          <w:rFonts w:ascii="Arial" w:hAnsi="Arial" w:cs="Arial"/>
          <w:sz w:val="24"/>
          <w:szCs w:val="24"/>
        </w:rPr>
      </w:pPr>
      <w:r w:rsidRPr="00F35499">
        <w:rPr>
          <w:rFonts w:ascii="Arial" w:hAnsi="Arial" w:cs="Arial"/>
          <w:sz w:val="24"/>
          <w:szCs w:val="24"/>
        </w:rPr>
        <w:t>All 17 categories have achieved compliance &gt;80% 11 of the 17 achieving &gt;90%</w:t>
      </w:r>
    </w:p>
    <w:p w:rsidR="00F35499" w:rsidRPr="00F35499" w:rsidRDefault="00F35499" w:rsidP="00F35499">
      <w:pPr>
        <w:pStyle w:val="ListParagraph"/>
        <w:numPr>
          <w:ilvl w:val="0"/>
          <w:numId w:val="32"/>
        </w:numPr>
        <w:contextualSpacing/>
        <w:rPr>
          <w:rFonts w:ascii="Arial" w:hAnsi="Arial" w:cs="Arial"/>
          <w:sz w:val="24"/>
          <w:szCs w:val="24"/>
        </w:rPr>
      </w:pPr>
      <w:r w:rsidRPr="00F35499">
        <w:rPr>
          <w:rFonts w:ascii="Arial" w:hAnsi="Arial" w:cs="Arial"/>
          <w:sz w:val="24"/>
          <w:szCs w:val="24"/>
        </w:rPr>
        <w:t>55 (81%) of the 68 subcategories have achieved compliance &gt;80%</w:t>
      </w:r>
    </w:p>
    <w:p w:rsidR="00F35499" w:rsidRDefault="00F35499" w:rsidP="00F35499">
      <w:pPr>
        <w:pStyle w:val="ListParagraph"/>
        <w:ind w:left="770"/>
      </w:pPr>
    </w:p>
    <w:p w:rsidR="00A20666" w:rsidRDefault="00F35499" w:rsidP="00F35499">
      <w:r>
        <w:t>The Board has achieved the advanced 80-80-0 KPIs, accomplishing 91-100-0</w:t>
      </w:r>
      <w:r w:rsidR="00A20666">
        <w:t>.</w:t>
      </w:r>
    </w:p>
    <w:p w:rsidR="00F35499" w:rsidRDefault="00F35499" w:rsidP="00F35499">
      <w:r>
        <w:t xml:space="preserve">  </w:t>
      </w:r>
    </w:p>
    <w:p w:rsidR="00F35499" w:rsidRDefault="00F35499" w:rsidP="00F35499">
      <w:r>
        <w:t>The report highlights a common compliance weak area across boards in NHS Scotland is that of Business Continuity however this is an area in which Golden Jubilee excels. The report notes that the Board deserves recognition as a strength and area of Good Practice and as such, it is an approach that will be of interest to other health boards.</w:t>
      </w:r>
    </w:p>
    <w:p w:rsidR="00F35499" w:rsidRDefault="00F35499" w:rsidP="00F35499"/>
    <w:p w:rsidR="00F35499" w:rsidRPr="00F35499" w:rsidRDefault="00F35499" w:rsidP="00F35499">
      <w:pPr>
        <w:pStyle w:val="Heading2"/>
        <w:rPr>
          <w:sz w:val="24"/>
          <w:szCs w:val="24"/>
        </w:rPr>
      </w:pPr>
      <w:r w:rsidRPr="00F35499">
        <w:rPr>
          <w:sz w:val="24"/>
          <w:szCs w:val="24"/>
        </w:rPr>
        <w:t>Sustainability</w:t>
      </w:r>
    </w:p>
    <w:p w:rsidR="00F35499" w:rsidRDefault="00F35499" w:rsidP="00F35499">
      <w:r>
        <w:t>As part of the Digital Improvement Plan outcomes there are a number of indirect sustainability measures which should be highlighted</w:t>
      </w:r>
      <w:r w:rsidR="00A20666">
        <w:t>:</w:t>
      </w:r>
    </w:p>
    <w:p w:rsidR="00A20666" w:rsidRPr="00E516A6" w:rsidRDefault="00A20666" w:rsidP="00F35499"/>
    <w:p w:rsidR="00F35499" w:rsidRDefault="00F35499" w:rsidP="00F35499">
      <w:pPr>
        <w:ind w:left="720"/>
        <w:rPr>
          <w:b/>
          <w:bCs/>
          <w:i/>
          <w:iCs/>
        </w:rPr>
      </w:pPr>
      <w:r w:rsidRPr="65652FF7">
        <w:rPr>
          <w:b/>
          <w:bCs/>
          <w:i/>
          <w:iCs/>
          <w:szCs w:val="24"/>
        </w:rPr>
        <w:t>Power Consumption</w:t>
      </w:r>
    </w:p>
    <w:p w:rsidR="00F35499" w:rsidRDefault="00F35499" w:rsidP="00F35499">
      <w:pPr>
        <w:ind w:left="720"/>
        <w:rPr>
          <w:szCs w:val="24"/>
        </w:rPr>
      </w:pPr>
      <w:r w:rsidRPr="65652FF7">
        <w:rPr>
          <w:szCs w:val="24"/>
        </w:rPr>
        <w:t xml:space="preserve">Movement of previously locally hosted systems to cloud hosting (i.e. </w:t>
      </w:r>
      <w:proofErr w:type="spellStart"/>
      <w:r w:rsidRPr="65652FF7">
        <w:rPr>
          <w:szCs w:val="24"/>
        </w:rPr>
        <w:t>TrakCare</w:t>
      </w:r>
      <w:proofErr w:type="spellEnd"/>
      <w:r w:rsidRPr="65652FF7">
        <w:rPr>
          <w:szCs w:val="24"/>
        </w:rPr>
        <w:t xml:space="preserve">) and a Cloud first approach to new systems deployments (i.e. </w:t>
      </w:r>
      <w:proofErr w:type="spellStart"/>
      <w:r w:rsidRPr="65652FF7">
        <w:rPr>
          <w:szCs w:val="24"/>
        </w:rPr>
        <w:t>HePMA</w:t>
      </w:r>
      <w:proofErr w:type="spellEnd"/>
      <w:r w:rsidRPr="65652FF7">
        <w:rPr>
          <w:szCs w:val="24"/>
        </w:rPr>
        <w:t>) means the power consumption and cooling requirements for the Boards local infrastructure are trending downwards over the lifespan of the Digital Improvement Plan. This is also supplemented by the upgrade of legacy server and networking equipment on site which have significantly less power and cooling requirements than their predecessors</w:t>
      </w:r>
    </w:p>
    <w:p w:rsidR="00A20666" w:rsidRDefault="00A20666" w:rsidP="00F35499">
      <w:pPr>
        <w:ind w:left="720"/>
      </w:pPr>
    </w:p>
    <w:p w:rsidR="00F35499" w:rsidRDefault="00F35499" w:rsidP="00F35499">
      <w:pPr>
        <w:ind w:left="720"/>
        <w:rPr>
          <w:b/>
          <w:bCs/>
          <w:i/>
          <w:iCs/>
        </w:rPr>
      </w:pPr>
      <w:r w:rsidRPr="65652FF7">
        <w:rPr>
          <w:b/>
          <w:bCs/>
          <w:i/>
          <w:iCs/>
          <w:szCs w:val="24"/>
        </w:rPr>
        <w:t>Reducing Paper</w:t>
      </w:r>
    </w:p>
    <w:p w:rsidR="00F35499" w:rsidRDefault="00F35499" w:rsidP="00F35499">
      <w:pPr>
        <w:ind w:left="720"/>
      </w:pPr>
      <w:r w:rsidRPr="65652FF7">
        <w:rPr>
          <w:szCs w:val="24"/>
        </w:rPr>
        <w:t xml:space="preserve">The adoption of electronic pathways (e.g. EPR) and digitisation of previously paper based services (e.g. </w:t>
      </w:r>
      <w:proofErr w:type="spellStart"/>
      <w:r w:rsidRPr="65652FF7">
        <w:rPr>
          <w:szCs w:val="24"/>
        </w:rPr>
        <w:t>eOPAS</w:t>
      </w:r>
      <w:proofErr w:type="spellEnd"/>
      <w:r w:rsidRPr="65652FF7">
        <w:rPr>
          <w:szCs w:val="24"/>
        </w:rPr>
        <w:t>) are actively reducing the volume of paper and therefore paper waste across the Health Board. Nursing forms in pre</w:t>
      </w:r>
      <w:r w:rsidR="00A20666">
        <w:rPr>
          <w:szCs w:val="24"/>
        </w:rPr>
        <w:t>-</w:t>
      </w:r>
      <w:r w:rsidRPr="65652FF7">
        <w:rPr>
          <w:szCs w:val="24"/>
        </w:rPr>
        <w:t xml:space="preserve">assessment are trending downwards and occupational health referrals are now fully digitised meaning printing and stationary </w:t>
      </w:r>
      <w:r w:rsidRPr="65652FF7">
        <w:rPr>
          <w:szCs w:val="24"/>
        </w:rPr>
        <w:lastRenderedPageBreak/>
        <w:t>use are reducing. The move towards digital patient communications through initially SMS messaging is also reducing the volume of printed paper sent out to patients during their interactions with the organisation.</w:t>
      </w:r>
    </w:p>
    <w:p w:rsidR="00F35499" w:rsidRDefault="00F35499" w:rsidP="00BF3AF0">
      <w:pPr>
        <w:pStyle w:val="ListParagraph"/>
        <w:spacing w:before="40" w:after="40" w:line="276" w:lineRule="auto"/>
        <w:ind w:left="1253"/>
        <w:rPr>
          <w:rFonts w:ascii="Arial" w:hAnsi="Arial" w:cs="Arial"/>
          <w:color w:val="000000"/>
          <w:sz w:val="24"/>
          <w:szCs w:val="24"/>
        </w:rPr>
      </w:pPr>
    </w:p>
    <w:p w:rsidR="00F3337D" w:rsidRDefault="00C87B62" w:rsidP="00BF3AF0">
      <w:pPr>
        <w:pStyle w:val="Heading2"/>
      </w:pPr>
      <w:r>
        <w:t>2</w:t>
      </w:r>
      <w:r w:rsidR="00BF3AF0">
        <w:t>.3</w:t>
      </w:r>
      <w:r w:rsidR="00BF3AF0">
        <w:tab/>
      </w:r>
      <w:r w:rsidR="00F3337D">
        <w:t>Assessment</w:t>
      </w:r>
    </w:p>
    <w:p w:rsidR="00F3337D" w:rsidRPr="00BF3AF0" w:rsidRDefault="00F3337D" w:rsidP="00BF3AF0">
      <w:pPr>
        <w:spacing w:before="40" w:after="40" w:line="276" w:lineRule="auto"/>
        <w:rPr>
          <w:rFonts w:cs="Arial"/>
          <w:color w:val="000000"/>
          <w:szCs w:val="24"/>
        </w:rPr>
      </w:pPr>
    </w:p>
    <w:p w:rsidR="00F3337D" w:rsidRDefault="00C87B62" w:rsidP="00F3337D">
      <w:pPr>
        <w:pStyle w:val="Heading3"/>
        <w:spacing w:line="276" w:lineRule="auto"/>
      </w:pPr>
      <w:r>
        <w:t>2</w:t>
      </w:r>
      <w:r w:rsidR="00BF3AF0">
        <w:t>.3.1</w:t>
      </w:r>
      <w:r w:rsidR="00BF3AF0">
        <w:tab/>
      </w:r>
      <w:r w:rsidR="00F3337D">
        <w:t>Quality/ Patient Care</w:t>
      </w:r>
    </w:p>
    <w:p w:rsidR="00F3337D" w:rsidRDefault="00F35499" w:rsidP="00BF3AF0">
      <w:pPr>
        <w:spacing w:before="40" w:after="40" w:line="276" w:lineRule="auto"/>
        <w:ind w:left="720"/>
        <w:rPr>
          <w:rFonts w:cs="Arial"/>
          <w:color w:val="000000"/>
          <w:szCs w:val="24"/>
        </w:rPr>
      </w:pPr>
      <w:r>
        <w:rPr>
          <w:rFonts w:cs="Arial"/>
          <w:color w:val="000000"/>
          <w:szCs w:val="24"/>
        </w:rPr>
        <w:t>The improvements above have directly and indirectly improved quality and patient care</w:t>
      </w:r>
    </w:p>
    <w:p w:rsidR="00F3337D" w:rsidRPr="00F3337D" w:rsidRDefault="00F3337D" w:rsidP="00BF3AF0">
      <w:pPr>
        <w:pStyle w:val="ListParagraph"/>
        <w:ind w:left="1440"/>
        <w:rPr>
          <w:rFonts w:ascii="Arial" w:hAnsi="Arial" w:cs="Arial"/>
          <w:color w:val="000000"/>
          <w:sz w:val="24"/>
          <w:szCs w:val="24"/>
        </w:rPr>
      </w:pPr>
    </w:p>
    <w:p w:rsidR="00AA77F7" w:rsidRDefault="00C87B62" w:rsidP="00AA77F7">
      <w:pPr>
        <w:pStyle w:val="Heading3"/>
        <w:spacing w:line="276" w:lineRule="auto"/>
      </w:pPr>
      <w:r>
        <w:t>2</w:t>
      </w:r>
      <w:r w:rsidR="00BF3AF0">
        <w:t>.3.2</w:t>
      </w:r>
      <w:r w:rsidR="00BF3AF0">
        <w:tab/>
      </w:r>
      <w:r w:rsidR="00AA77F7">
        <w:t>Workforce</w:t>
      </w:r>
    </w:p>
    <w:p w:rsidR="00F35499" w:rsidRPr="00F35499" w:rsidRDefault="00F35499" w:rsidP="00F35499">
      <w:pPr>
        <w:ind w:left="720"/>
        <w:rPr>
          <w:szCs w:val="24"/>
        </w:rPr>
      </w:pPr>
      <w:r w:rsidRPr="00F35499">
        <w:rPr>
          <w:szCs w:val="24"/>
        </w:rPr>
        <w:t>The staff compliment within the department has grown this year with an additional headcount of 9 staff across Governance, Operations and Programmes. These additional resources have brought the department considerable expertise</w:t>
      </w:r>
    </w:p>
    <w:p w:rsidR="00F3337D" w:rsidRPr="00AA77F7" w:rsidRDefault="00F3337D" w:rsidP="00AA77F7">
      <w:pPr>
        <w:rPr>
          <w:rFonts w:cs="Arial"/>
          <w:color w:val="000000"/>
          <w:szCs w:val="24"/>
        </w:rPr>
      </w:pPr>
    </w:p>
    <w:p w:rsidR="00F3337D" w:rsidRDefault="00C87B62" w:rsidP="00F3337D">
      <w:pPr>
        <w:pStyle w:val="Heading3"/>
        <w:spacing w:line="276" w:lineRule="auto"/>
      </w:pPr>
      <w:r>
        <w:t>2</w:t>
      </w:r>
      <w:r w:rsidR="00BF3AF0">
        <w:t>.3.3</w:t>
      </w:r>
      <w:r w:rsidR="00BF3AF0">
        <w:tab/>
      </w:r>
      <w:r w:rsidR="00F3337D">
        <w:t>Financial</w:t>
      </w:r>
    </w:p>
    <w:p w:rsidR="00F35499" w:rsidRDefault="00F35499" w:rsidP="00F35499">
      <w:pPr>
        <w:ind w:left="720"/>
      </w:pPr>
      <w:r>
        <w:t xml:space="preserve">Despite some considerable pressures at the beginning of the financial </w:t>
      </w:r>
      <w:r w:rsidR="00A20666">
        <w:t>year the department exceeded it</w:t>
      </w:r>
      <w:r>
        <w:t>s Achieving the Balance target for this financial year. In addition, the introduction of some digital systems, particularly in Pharmacy have helped other service areas achieve their own savings targets for the financial year.</w:t>
      </w:r>
    </w:p>
    <w:p w:rsidR="00F35499" w:rsidRPr="00E516A6" w:rsidRDefault="00F35499" w:rsidP="00F35499">
      <w:pPr>
        <w:ind w:left="720"/>
      </w:pPr>
    </w:p>
    <w:p w:rsidR="00F35499" w:rsidRDefault="00F35499" w:rsidP="00F35499">
      <w:pPr>
        <w:ind w:left="720"/>
      </w:pPr>
      <w:r>
        <w:t>The digital budget overall reached a break even position with a Capital spend for the year totalling £515k spread across schemes within the infrastructure improvements portfolio</w:t>
      </w:r>
    </w:p>
    <w:p w:rsidR="00F3337D" w:rsidRDefault="00F3337D" w:rsidP="00BF3AF0">
      <w:pPr>
        <w:pStyle w:val="ListParagraph"/>
        <w:spacing w:before="40" w:after="40" w:line="276" w:lineRule="auto"/>
        <w:ind w:left="394"/>
        <w:rPr>
          <w:rFonts w:ascii="Arial" w:hAnsi="Arial" w:cs="Arial"/>
          <w:color w:val="000000"/>
          <w:sz w:val="24"/>
          <w:szCs w:val="24"/>
        </w:rPr>
      </w:pPr>
    </w:p>
    <w:p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rsidR="00F3337D" w:rsidRDefault="002C0CFC" w:rsidP="0099637C">
      <w:pPr>
        <w:spacing w:before="40" w:after="40" w:line="276" w:lineRule="auto"/>
        <w:ind w:left="720"/>
        <w:rPr>
          <w:rFonts w:cs="Arial"/>
          <w:color w:val="000000"/>
          <w:szCs w:val="24"/>
        </w:rPr>
      </w:pPr>
      <w:r>
        <w:rPr>
          <w:rFonts w:cs="Arial"/>
          <w:color w:val="000000"/>
          <w:szCs w:val="24"/>
        </w:rPr>
        <w:t>Any risks have been identified and presented to Board in the Strategic Risk Register</w:t>
      </w:r>
    </w:p>
    <w:p w:rsidR="00F3337D" w:rsidRPr="00BF3AF0" w:rsidRDefault="00F3337D" w:rsidP="00BF3AF0">
      <w:pPr>
        <w:spacing w:before="40" w:after="40" w:line="276" w:lineRule="auto"/>
        <w:rPr>
          <w:rFonts w:cs="Arial"/>
          <w:color w:val="000000"/>
          <w:szCs w:val="24"/>
        </w:rPr>
      </w:pPr>
    </w:p>
    <w:p w:rsidR="00F3337D" w:rsidRDefault="00C87B62" w:rsidP="00F3337D">
      <w:pPr>
        <w:pStyle w:val="Heading3"/>
        <w:spacing w:line="276" w:lineRule="auto"/>
      </w:pPr>
      <w:r>
        <w:t>2</w:t>
      </w:r>
      <w:r w:rsidR="00BF3AF0">
        <w:t>.3.5</w:t>
      </w:r>
      <w:r w:rsidR="00BF3AF0">
        <w:tab/>
      </w:r>
      <w:r w:rsidR="00F3337D">
        <w:t>Equality and Diversity, including health inequalities</w:t>
      </w:r>
    </w:p>
    <w:p w:rsidR="00F3337D" w:rsidRPr="0099637C" w:rsidRDefault="002C0CFC" w:rsidP="00BF3AF0">
      <w:pPr>
        <w:spacing w:before="40" w:after="40" w:line="276" w:lineRule="auto"/>
        <w:ind w:left="720"/>
        <w:rPr>
          <w:rFonts w:cs="Arial"/>
          <w:color w:val="000000"/>
          <w:szCs w:val="24"/>
        </w:rPr>
      </w:pPr>
      <w:r>
        <w:rPr>
          <w:rFonts w:cs="Arial"/>
          <w:color w:val="000000"/>
          <w:szCs w:val="24"/>
        </w:rPr>
        <w:t>None to note</w:t>
      </w:r>
    </w:p>
    <w:p w:rsidR="00BF3AF0" w:rsidRPr="00BF3AF0" w:rsidRDefault="00BF3AF0" w:rsidP="00BF3AF0">
      <w:pPr>
        <w:spacing w:before="40" w:after="40" w:line="276" w:lineRule="auto"/>
        <w:ind w:left="720"/>
        <w:rPr>
          <w:rFonts w:cs="Arial"/>
          <w:color w:val="000000"/>
          <w:szCs w:val="24"/>
          <w:highlight w:val="lightGray"/>
        </w:rPr>
      </w:pPr>
      <w:bookmarkStart w:id="0" w:name="_GoBack"/>
      <w:bookmarkEnd w:id="0"/>
    </w:p>
    <w:p w:rsidR="00446219" w:rsidRPr="00DA354A" w:rsidRDefault="00C87B62" w:rsidP="00446219">
      <w:pPr>
        <w:pStyle w:val="Heading3"/>
      </w:pPr>
      <w:r>
        <w:t>2</w:t>
      </w:r>
      <w:r w:rsidR="00BF3AF0">
        <w:t>.3.6</w:t>
      </w:r>
      <w:r w:rsidR="00BF3AF0">
        <w:tab/>
      </w:r>
      <w:r w:rsidR="00446219" w:rsidRPr="00DA354A">
        <w:t>Other</w:t>
      </w:r>
      <w:r w:rsidR="00BF3AF0">
        <w:t xml:space="preserve"> impacts</w:t>
      </w:r>
    </w:p>
    <w:p w:rsidR="006C5C9F" w:rsidRPr="00C31C8F" w:rsidRDefault="006C5C9F" w:rsidP="006C5C9F">
      <w:pPr>
        <w:autoSpaceDE w:val="0"/>
        <w:autoSpaceDN w:val="0"/>
        <w:adjustRightInd w:val="0"/>
        <w:ind w:firstLine="720"/>
        <w:rPr>
          <w:rFonts w:eastAsiaTheme="minorHAnsi" w:cs="Arial"/>
          <w:color w:val="000000"/>
          <w:spacing w:val="0"/>
          <w:szCs w:val="23"/>
        </w:rPr>
      </w:pPr>
      <w:r w:rsidRPr="00C31C8F">
        <w:rPr>
          <w:rFonts w:eastAsiaTheme="minorHAnsi" w:cs="Arial"/>
          <w:b/>
          <w:bCs/>
          <w:color w:val="000000"/>
          <w:spacing w:val="0"/>
          <w:szCs w:val="23"/>
        </w:rPr>
        <w:t xml:space="preserve">Climate Emergency and Sustainability </w:t>
      </w:r>
    </w:p>
    <w:p w:rsidR="00446219" w:rsidRDefault="00F35499" w:rsidP="0099637C">
      <w:pPr>
        <w:spacing w:before="40" w:after="40" w:line="276" w:lineRule="auto"/>
        <w:ind w:left="720"/>
        <w:rPr>
          <w:rFonts w:cs="Arial"/>
          <w:color w:val="000000"/>
          <w:szCs w:val="24"/>
        </w:rPr>
      </w:pPr>
      <w:r>
        <w:rPr>
          <w:rFonts w:cs="Arial"/>
          <w:color w:val="000000"/>
          <w:szCs w:val="24"/>
        </w:rPr>
        <w:t>Sustainability Section above</w:t>
      </w:r>
    </w:p>
    <w:p w:rsidR="00AA77F7" w:rsidRPr="00F3337D" w:rsidRDefault="00AA77F7" w:rsidP="00F3337D">
      <w:pPr>
        <w:pStyle w:val="ListParagraph"/>
        <w:rPr>
          <w:rFonts w:ascii="Arial" w:hAnsi="Arial" w:cs="Arial"/>
          <w:color w:val="000000"/>
          <w:sz w:val="24"/>
          <w:szCs w:val="24"/>
        </w:rPr>
      </w:pPr>
    </w:p>
    <w:p w:rsidR="00F3337D" w:rsidRPr="00B230D4" w:rsidRDefault="00446219" w:rsidP="00F3337D">
      <w:pPr>
        <w:pStyle w:val="Heading3"/>
        <w:numPr>
          <w:ilvl w:val="2"/>
          <w:numId w:val="16"/>
        </w:numPr>
        <w:rPr>
          <w:rFonts w:eastAsia="Times New Roman"/>
        </w:rPr>
      </w:pPr>
      <w:r>
        <w:rPr>
          <w:rFonts w:eastAsia="Times New Roman"/>
        </w:rPr>
        <w:t>Communication, involvement, engagement and consultation</w:t>
      </w:r>
    </w:p>
    <w:p w:rsidR="002C0CFC" w:rsidRPr="002C0CFC" w:rsidRDefault="002C0CFC" w:rsidP="002C0CFC">
      <w:pPr>
        <w:pStyle w:val="ListParagraph"/>
        <w:spacing w:before="40" w:after="40" w:line="276" w:lineRule="auto"/>
        <w:ind w:left="525" w:firstLine="195"/>
        <w:rPr>
          <w:rFonts w:ascii="Arial" w:hAnsi="Arial" w:cs="Arial"/>
          <w:color w:val="000000"/>
          <w:sz w:val="24"/>
          <w:szCs w:val="24"/>
        </w:rPr>
      </w:pPr>
      <w:r w:rsidRPr="002C0CFC">
        <w:rPr>
          <w:rFonts w:ascii="Arial" w:hAnsi="Arial" w:cs="Arial"/>
          <w:color w:val="000000"/>
          <w:sz w:val="24"/>
          <w:szCs w:val="24"/>
        </w:rPr>
        <w:t>S</w:t>
      </w:r>
      <w:r>
        <w:rPr>
          <w:rFonts w:ascii="Arial" w:hAnsi="Arial" w:cs="Arial"/>
          <w:color w:val="000000"/>
          <w:sz w:val="24"/>
          <w:szCs w:val="24"/>
        </w:rPr>
        <w:t>takeholder engagement through</w:t>
      </w:r>
      <w:r w:rsidRPr="002C0CFC">
        <w:rPr>
          <w:rFonts w:ascii="Arial" w:hAnsi="Arial" w:cs="Arial"/>
          <w:color w:val="000000"/>
          <w:sz w:val="24"/>
          <w:szCs w:val="24"/>
        </w:rPr>
        <w:t>o</w:t>
      </w:r>
      <w:r>
        <w:rPr>
          <w:rFonts w:ascii="Arial" w:hAnsi="Arial" w:cs="Arial"/>
          <w:color w:val="000000"/>
          <w:sz w:val="24"/>
          <w:szCs w:val="24"/>
        </w:rPr>
        <w:t>u</w:t>
      </w:r>
      <w:r w:rsidRPr="002C0CFC">
        <w:rPr>
          <w:rFonts w:ascii="Arial" w:hAnsi="Arial" w:cs="Arial"/>
          <w:color w:val="000000"/>
          <w:sz w:val="24"/>
          <w:szCs w:val="24"/>
        </w:rPr>
        <w:t>t the year</w:t>
      </w:r>
    </w:p>
    <w:p w:rsidR="002C0CFC" w:rsidRPr="00EC143A" w:rsidRDefault="002C0CFC" w:rsidP="00EC143A">
      <w:pPr>
        <w:spacing w:before="40" w:after="40" w:line="276" w:lineRule="auto"/>
        <w:rPr>
          <w:rFonts w:cs="Arial"/>
          <w:szCs w:val="24"/>
          <w:highlight w:val="lightGray"/>
        </w:rPr>
      </w:pPr>
    </w:p>
    <w:p w:rsidR="00446219" w:rsidRPr="00446219" w:rsidRDefault="00446219" w:rsidP="00446219">
      <w:pPr>
        <w:pStyle w:val="Heading3"/>
        <w:numPr>
          <w:ilvl w:val="2"/>
          <w:numId w:val="16"/>
        </w:numPr>
      </w:pPr>
      <w:r>
        <w:t>Route to the Meeting</w:t>
      </w:r>
    </w:p>
    <w:p w:rsidR="00430C09" w:rsidRDefault="002910BD" w:rsidP="002C0CFC">
      <w:pPr>
        <w:pStyle w:val="ListParagraph"/>
        <w:spacing w:before="40" w:after="40" w:line="276" w:lineRule="auto"/>
        <w:rPr>
          <w:rFonts w:ascii="Arial" w:hAnsi="Arial" w:cs="Arial"/>
          <w:color w:val="000000"/>
          <w:sz w:val="24"/>
          <w:szCs w:val="24"/>
        </w:rPr>
      </w:pPr>
      <w:r>
        <w:rPr>
          <w:rFonts w:ascii="Arial" w:hAnsi="Arial" w:cs="Arial"/>
          <w:color w:val="000000"/>
          <w:sz w:val="24"/>
          <w:szCs w:val="24"/>
        </w:rPr>
        <w:t>Finance and Performance Committee – 13 August 2025</w:t>
      </w:r>
    </w:p>
    <w:p w:rsidR="002C0CFC" w:rsidRPr="00DB4216" w:rsidRDefault="002C0CFC" w:rsidP="00446219">
      <w:pPr>
        <w:pStyle w:val="ListParagraph"/>
        <w:spacing w:before="40" w:after="40" w:line="276" w:lineRule="auto"/>
        <w:ind w:left="394"/>
        <w:rPr>
          <w:rFonts w:ascii="Arial" w:hAnsi="Arial" w:cs="Arial"/>
          <w:color w:val="000000"/>
          <w:sz w:val="24"/>
          <w:szCs w:val="24"/>
        </w:rPr>
      </w:pPr>
    </w:p>
    <w:p w:rsidR="00BF3AF0" w:rsidRDefault="00C87B62" w:rsidP="00BF3AF0">
      <w:pPr>
        <w:pStyle w:val="Heading2"/>
      </w:pPr>
      <w:r>
        <w:t>2.</w:t>
      </w:r>
      <w:r w:rsidR="00BF3AF0">
        <w:t>4</w:t>
      </w:r>
      <w:r w:rsidR="00BF3AF0">
        <w:tab/>
        <w:t>Recommendation</w:t>
      </w:r>
    </w:p>
    <w:p w:rsidR="00BF3AF0" w:rsidRPr="001F4081" w:rsidRDefault="00BF3AF0" w:rsidP="001F4081">
      <w:pPr>
        <w:spacing w:before="40" w:after="40" w:line="276" w:lineRule="auto"/>
        <w:rPr>
          <w:rFonts w:cs="Arial"/>
          <w:color w:val="000000"/>
          <w:szCs w:val="24"/>
        </w:rPr>
      </w:pPr>
    </w:p>
    <w:p w:rsidR="00EC143A" w:rsidRPr="00EC143A" w:rsidRDefault="002910BD" w:rsidP="00BF3AF0">
      <w:pPr>
        <w:numPr>
          <w:ilvl w:val="0"/>
          <w:numId w:val="1"/>
        </w:numPr>
        <w:spacing w:before="40" w:after="40" w:line="276" w:lineRule="auto"/>
        <w:ind w:hanging="252"/>
        <w:rPr>
          <w:rFonts w:cs="Arial"/>
          <w:color w:val="000000"/>
          <w:szCs w:val="24"/>
        </w:rPr>
      </w:pPr>
      <w:r>
        <w:rPr>
          <w:rFonts w:cs="Arial"/>
          <w:color w:val="000000"/>
          <w:szCs w:val="24"/>
        </w:rPr>
        <w:t>The Board are asked to</w:t>
      </w:r>
      <w:r w:rsidR="001874E7">
        <w:rPr>
          <w:rFonts w:cs="Arial"/>
          <w:color w:val="000000"/>
          <w:szCs w:val="24"/>
        </w:rPr>
        <w:t xml:space="preserve"> approve the </w:t>
      </w:r>
      <w:r w:rsidR="005D452A">
        <w:rPr>
          <w:rFonts w:cs="Arial"/>
          <w:color w:val="000000"/>
          <w:szCs w:val="24"/>
        </w:rPr>
        <w:t>annual r</w:t>
      </w:r>
      <w:r w:rsidR="001874E7">
        <w:rPr>
          <w:rFonts w:cs="Arial"/>
          <w:color w:val="000000"/>
          <w:szCs w:val="24"/>
        </w:rPr>
        <w:t>e</w:t>
      </w:r>
      <w:r w:rsidR="002C0CFC">
        <w:rPr>
          <w:rFonts w:cs="Arial"/>
          <w:color w:val="000000"/>
          <w:szCs w:val="24"/>
        </w:rPr>
        <w:t>port on progress</w:t>
      </w:r>
    </w:p>
    <w:p w:rsidR="00C87B62" w:rsidRDefault="00C87B62" w:rsidP="00C87B62">
      <w:pPr>
        <w:spacing w:before="40" w:after="40" w:line="276" w:lineRule="auto"/>
        <w:rPr>
          <w:rFonts w:cs="Arial"/>
          <w:szCs w:val="24"/>
        </w:rPr>
      </w:pPr>
    </w:p>
    <w:p w:rsidR="00C87B62" w:rsidRPr="00B032B5" w:rsidRDefault="001F4081" w:rsidP="00F35499">
      <w:pPr>
        <w:pStyle w:val="ListParagraph"/>
        <w:spacing w:before="40" w:after="40" w:line="276" w:lineRule="auto"/>
        <w:ind w:left="1245"/>
        <w:rPr>
          <w:rFonts w:cs="Arial"/>
          <w:color w:val="000000"/>
          <w:szCs w:val="24"/>
        </w:rPr>
      </w:pPr>
      <w:r w:rsidRPr="001F4081">
        <w:rPr>
          <w:rFonts w:ascii="Arial" w:hAnsi="Arial" w:cs="Arial"/>
          <w:color w:val="000000"/>
          <w:sz w:val="24"/>
          <w:szCs w:val="24"/>
        </w:rPr>
        <w:t xml:space="preserve"> </w:t>
      </w:r>
    </w:p>
    <w:sectPr w:rsidR="00C87B62" w:rsidRPr="00B032B5"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75E" w:rsidRDefault="00D0475E">
      <w:r>
        <w:separator/>
      </w:r>
    </w:p>
  </w:endnote>
  <w:endnote w:type="continuationSeparator" w:id="0">
    <w:p w:rsidR="00D0475E" w:rsidRDefault="00D0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A20666">
      <w:rPr>
        <w:rFonts w:cs="Arial"/>
        <w:noProof/>
        <w:sz w:val="16"/>
        <w:szCs w:val="16"/>
      </w:rPr>
      <w:t>5</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A20666">
      <w:rPr>
        <w:rFonts w:cs="Arial"/>
        <w:noProof/>
        <w:sz w:val="16"/>
        <w:szCs w:val="16"/>
      </w:rPr>
      <w:t>5</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75E" w:rsidRDefault="00D0475E">
      <w:r>
        <w:separator/>
      </w:r>
    </w:p>
  </w:footnote>
  <w:footnote w:type="continuationSeparator" w:id="0">
    <w:p w:rsidR="00D0475E" w:rsidRDefault="00D04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2910BD"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3.6.3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8901DB"/>
    <w:multiLevelType w:val="hybridMultilevel"/>
    <w:tmpl w:val="CFAC8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1E363BA7"/>
    <w:multiLevelType w:val="hybridMultilevel"/>
    <w:tmpl w:val="7F9C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D31B5"/>
    <w:multiLevelType w:val="hybridMultilevel"/>
    <w:tmpl w:val="7112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97724"/>
    <w:multiLevelType w:val="hybridMultilevel"/>
    <w:tmpl w:val="CBC4A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4EB1704"/>
    <w:multiLevelType w:val="hybridMultilevel"/>
    <w:tmpl w:val="E894F8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EAB15DA"/>
    <w:multiLevelType w:val="hybridMultilevel"/>
    <w:tmpl w:val="1AF0E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8183A"/>
    <w:multiLevelType w:val="hybridMultilevel"/>
    <w:tmpl w:val="62E4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9" w15:restartNumberingAfterBreak="0">
    <w:nsid w:val="4BA07161"/>
    <w:multiLevelType w:val="hybridMultilevel"/>
    <w:tmpl w:val="C386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81E1A"/>
    <w:multiLevelType w:val="hybridMultilevel"/>
    <w:tmpl w:val="B1EE87C6"/>
    <w:lvl w:ilvl="0" w:tplc="209AFB46">
      <w:start w:val="1"/>
      <w:numFmt w:val="bullet"/>
      <w:lvlText w:val=""/>
      <w:lvlJc w:val="left"/>
      <w:pPr>
        <w:ind w:left="720" w:hanging="360"/>
      </w:pPr>
      <w:rPr>
        <w:rFonts w:ascii="Symbol" w:hAnsi="Symbol" w:hint="default"/>
      </w:rPr>
    </w:lvl>
    <w:lvl w:ilvl="1" w:tplc="769A7B74">
      <w:start w:val="1"/>
      <w:numFmt w:val="bullet"/>
      <w:lvlText w:val="o"/>
      <w:lvlJc w:val="left"/>
      <w:pPr>
        <w:ind w:left="1440" w:hanging="360"/>
      </w:pPr>
      <w:rPr>
        <w:rFonts w:ascii="Courier New" w:hAnsi="Courier New" w:hint="default"/>
      </w:rPr>
    </w:lvl>
    <w:lvl w:ilvl="2" w:tplc="7CC29C26">
      <w:start w:val="1"/>
      <w:numFmt w:val="bullet"/>
      <w:lvlText w:val=""/>
      <w:lvlJc w:val="left"/>
      <w:pPr>
        <w:ind w:left="2160" w:hanging="360"/>
      </w:pPr>
      <w:rPr>
        <w:rFonts w:ascii="Wingdings" w:hAnsi="Wingdings" w:hint="default"/>
      </w:rPr>
    </w:lvl>
    <w:lvl w:ilvl="3" w:tplc="D2081C46">
      <w:start w:val="1"/>
      <w:numFmt w:val="bullet"/>
      <w:lvlText w:val=""/>
      <w:lvlJc w:val="left"/>
      <w:pPr>
        <w:ind w:left="2880" w:hanging="360"/>
      </w:pPr>
      <w:rPr>
        <w:rFonts w:ascii="Symbol" w:hAnsi="Symbol" w:hint="default"/>
      </w:rPr>
    </w:lvl>
    <w:lvl w:ilvl="4" w:tplc="1974F9DE">
      <w:start w:val="1"/>
      <w:numFmt w:val="bullet"/>
      <w:lvlText w:val="o"/>
      <w:lvlJc w:val="left"/>
      <w:pPr>
        <w:ind w:left="3600" w:hanging="360"/>
      </w:pPr>
      <w:rPr>
        <w:rFonts w:ascii="Courier New" w:hAnsi="Courier New" w:hint="default"/>
      </w:rPr>
    </w:lvl>
    <w:lvl w:ilvl="5" w:tplc="74D69690">
      <w:start w:val="1"/>
      <w:numFmt w:val="bullet"/>
      <w:lvlText w:val=""/>
      <w:lvlJc w:val="left"/>
      <w:pPr>
        <w:ind w:left="4320" w:hanging="360"/>
      </w:pPr>
      <w:rPr>
        <w:rFonts w:ascii="Wingdings" w:hAnsi="Wingdings" w:hint="default"/>
      </w:rPr>
    </w:lvl>
    <w:lvl w:ilvl="6" w:tplc="B76E9664">
      <w:start w:val="1"/>
      <w:numFmt w:val="bullet"/>
      <w:lvlText w:val=""/>
      <w:lvlJc w:val="left"/>
      <w:pPr>
        <w:ind w:left="5040" w:hanging="360"/>
      </w:pPr>
      <w:rPr>
        <w:rFonts w:ascii="Symbol" w:hAnsi="Symbol" w:hint="default"/>
      </w:rPr>
    </w:lvl>
    <w:lvl w:ilvl="7" w:tplc="2194A9A4">
      <w:start w:val="1"/>
      <w:numFmt w:val="bullet"/>
      <w:lvlText w:val="o"/>
      <w:lvlJc w:val="left"/>
      <w:pPr>
        <w:ind w:left="5760" w:hanging="360"/>
      </w:pPr>
      <w:rPr>
        <w:rFonts w:ascii="Courier New" w:hAnsi="Courier New" w:hint="default"/>
      </w:rPr>
    </w:lvl>
    <w:lvl w:ilvl="8" w:tplc="690699CE">
      <w:start w:val="1"/>
      <w:numFmt w:val="bullet"/>
      <w:lvlText w:val=""/>
      <w:lvlJc w:val="left"/>
      <w:pPr>
        <w:ind w:left="6480" w:hanging="360"/>
      </w:pPr>
      <w:rPr>
        <w:rFonts w:ascii="Wingdings" w:hAnsi="Wingdings" w:hint="default"/>
      </w:rPr>
    </w:lvl>
  </w:abstractNum>
  <w:abstractNum w:abstractNumId="21"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21412E"/>
    <w:multiLevelType w:val="hybridMultilevel"/>
    <w:tmpl w:val="6694B1FC"/>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24" w15:restartNumberingAfterBreak="0">
    <w:nsid w:val="5E867D52"/>
    <w:multiLevelType w:val="hybridMultilevel"/>
    <w:tmpl w:val="856E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C5658F"/>
    <w:multiLevelType w:val="hybridMultilevel"/>
    <w:tmpl w:val="E1565FF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6" w15:restartNumberingAfterBreak="0">
    <w:nsid w:val="5F3C4E7A"/>
    <w:multiLevelType w:val="hybridMultilevel"/>
    <w:tmpl w:val="8A56810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7" w15:restartNumberingAfterBreak="0">
    <w:nsid w:val="63755985"/>
    <w:multiLevelType w:val="hybridMultilevel"/>
    <w:tmpl w:val="FC80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AA41AC"/>
    <w:multiLevelType w:val="hybridMultilevel"/>
    <w:tmpl w:val="486CE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971EDF"/>
    <w:multiLevelType w:val="hybridMultilevel"/>
    <w:tmpl w:val="2B34C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8955CB"/>
    <w:multiLevelType w:val="hybridMultilevel"/>
    <w:tmpl w:val="07B87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16"/>
  </w:num>
  <w:num w:numId="4">
    <w:abstractNumId w:val="29"/>
  </w:num>
  <w:num w:numId="5">
    <w:abstractNumId w:val="12"/>
  </w:num>
  <w:num w:numId="6">
    <w:abstractNumId w:val="9"/>
  </w:num>
  <w:num w:numId="7">
    <w:abstractNumId w:val="17"/>
  </w:num>
  <w:num w:numId="8">
    <w:abstractNumId w:val="8"/>
  </w:num>
  <w:num w:numId="9">
    <w:abstractNumId w:val="21"/>
  </w:num>
  <w:num w:numId="10">
    <w:abstractNumId w:val="3"/>
  </w:num>
  <w:num w:numId="11">
    <w:abstractNumId w:val="22"/>
  </w:num>
  <w:num w:numId="12">
    <w:abstractNumId w:val="2"/>
  </w:num>
  <w:num w:numId="13">
    <w:abstractNumId w:val="7"/>
  </w:num>
  <w:num w:numId="14">
    <w:abstractNumId w:val="10"/>
  </w:num>
  <w:num w:numId="15">
    <w:abstractNumId w:val="13"/>
  </w:num>
  <w:num w:numId="16">
    <w:abstractNumId w:val="11"/>
  </w:num>
  <w:num w:numId="17">
    <w:abstractNumId w:val="18"/>
  </w:num>
  <w:num w:numId="18">
    <w:abstractNumId w:val="19"/>
  </w:num>
  <w:num w:numId="19">
    <w:abstractNumId w:val="14"/>
  </w:num>
  <w:num w:numId="20">
    <w:abstractNumId w:val="15"/>
  </w:num>
  <w:num w:numId="21">
    <w:abstractNumId w:val="4"/>
  </w:num>
  <w:num w:numId="22">
    <w:abstractNumId w:val="1"/>
  </w:num>
  <w:num w:numId="23">
    <w:abstractNumId w:val="31"/>
  </w:num>
  <w:num w:numId="24">
    <w:abstractNumId w:val="24"/>
  </w:num>
  <w:num w:numId="25">
    <w:abstractNumId w:val="6"/>
  </w:num>
  <w:num w:numId="26">
    <w:abstractNumId w:val="28"/>
  </w:num>
  <w:num w:numId="27">
    <w:abstractNumId w:val="20"/>
  </w:num>
  <w:num w:numId="28">
    <w:abstractNumId w:val="5"/>
  </w:num>
  <w:num w:numId="29">
    <w:abstractNumId w:val="30"/>
  </w:num>
  <w:num w:numId="30">
    <w:abstractNumId w:val="23"/>
  </w:num>
  <w:num w:numId="31">
    <w:abstractNumId w:val="27"/>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A7D83"/>
    <w:rsid w:val="000F7706"/>
    <w:rsid w:val="0011463C"/>
    <w:rsid w:val="00125A9E"/>
    <w:rsid w:val="00140DB3"/>
    <w:rsid w:val="00177153"/>
    <w:rsid w:val="001874E7"/>
    <w:rsid w:val="001F2840"/>
    <w:rsid w:val="001F4081"/>
    <w:rsid w:val="0023473B"/>
    <w:rsid w:val="00276B31"/>
    <w:rsid w:val="002910BD"/>
    <w:rsid w:val="002C0CFC"/>
    <w:rsid w:val="002E35FA"/>
    <w:rsid w:val="00310573"/>
    <w:rsid w:val="0033790B"/>
    <w:rsid w:val="003C69B2"/>
    <w:rsid w:val="003F7F61"/>
    <w:rsid w:val="00430C09"/>
    <w:rsid w:val="00446219"/>
    <w:rsid w:val="00495B36"/>
    <w:rsid w:val="004A39D0"/>
    <w:rsid w:val="004C24DE"/>
    <w:rsid w:val="004D6ABF"/>
    <w:rsid w:val="00591C18"/>
    <w:rsid w:val="005B2C44"/>
    <w:rsid w:val="005D452A"/>
    <w:rsid w:val="00610728"/>
    <w:rsid w:val="006173A9"/>
    <w:rsid w:val="006974BE"/>
    <w:rsid w:val="006C5C9F"/>
    <w:rsid w:val="006D1343"/>
    <w:rsid w:val="00793E14"/>
    <w:rsid w:val="007F32CF"/>
    <w:rsid w:val="00816E22"/>
    <w:rsid w:val="008977BA"/>
    <w:rsid w:val="00927C6C"/>
    <w:rsid w:val="009807B4"/>
    <w:rsid w:val="0099637C"/>
    <w:rsid w:val="00A20666"/>
    <w:rsid w:val="00A2680C"/>
    <w:rsid w:val="00A62B58"/>
    <w:rsid w:val="00A71A5C"/>
    <w:rsid w:val="00A84C97"/>
    <w:rsid w:val="00A854DD"/>
    <w:rsid w:val="00AA77F7"/>
    <w:rsid w:val="00AE522B"/>
    <w:rsid w:val="00AF0530"/>
    <w:rsid w:val="00AF356A"/>
    <w:rsid w:val="00B032B5"/>
    <w:rsid w:val="00B05DE5"/>
    <w:rsid w:val="00B178D4"/>
    <w:rsid w:val="00B230D4"/>
    <w:rsid w:val="00B546C8"/>
    <w:rsid w:val="00B562FA"/>
    <w:rsid w:val="00B577C7"/>
    <w:rsid w:val="00B7445F"/>
    <w:rsid w:val="00B77902"/>
    <w:rsid w:val="00B851FC"/>
    <w:rsid w:val="00BF3AF0"/>
    <w:rsid w:val="00C46555"/>
    <w:rsid w:val="00C87B62"/>
    <w:rsid w:val="00C94BF7"/>
    <w:rsid w:val="00D0475E"/>
    <w:rsid w:val="00D25F6B"/>
    <w:rsid w:val="00D52981"/>
    <w:rsid w:val="00DD2D3D"/>
    <w:rsid w:val="00DD5EFF"/>
    <w:rsid w:val="00DD6252"/>
    <w:rsid w:val="00DF1BE0"/>
    <w:rsid w:val="00E33F2F"/>
    <w:rsid w:val="00E71CD2"/>
    <w:rsid w:val="00EC143A"/>
    <w:rsid w:val="00ED3F6A"/>
    <w:rsid w:val="00F11422"/>
    <w:rsid w:val="00F3337D"/>
    <w:rsid w:val="00F35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592E"/>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59"/>
    <w:rsid w:val="00DD5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rsid w:val="00F35499"/>
    <w:rPr>
      <w:rFonts w:ascii="Calibri" w:eastAsia="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86854">
      <w:bodyDiv w:val="1"/>
      <w:marLeft w:val="0"/>
      <w:marRight w:val="0"/>
      <w:marTop w:val="0"/>
      <w:marBottom w:val="0"/>
      <w:divBdr>
        <w:top w:val="none" w:sz="0" w:space="0" w:color="auto"/>
        <w:left w:val="none" w:sz="0" w:space="0" w:color="auto"/>
        <w:bottom w:val="none" w:sz="0" w:space="0" w:color="auto"/>
        <w:right w:val="none" w:sz="0" w:space="0" w:color="auto"/>
      </w:divBdr>
    </w:div>
    <w:div w:id="21295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5</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10</cp:revision>
  <cp:lastPrinted>2025-08-07T12:35:00Z</cp:lastPrinted>
  <dcterms:created xsi:type="dcterms:W3CDTF">2025-08-07T08:53:00Z</dcterms:created>
  <dcterms:modified xsi:type="dcterms:W3CDTF">2025-08-21T10:20:00Z</dcterms:modified>
</cp:coreProperties>
</file>