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847C11" w:rsidTr="005B4BA8">
        <w:trPr>
          <w:trHeight w:val="557"/>
        </w:trPr>
        <w:tc>
          <w:tcPr>
            <w:tcW w:w="2557" w:type="dxa"/>
          </w:tcPr>
          <w:p w:rsidR="005B4BA8" w:rsidRPr="00847C11" w:rsidRDefault="004160AF" w:rsidP="005B4BA8">
            <w:pPr>
              <w:pStyle w:val="Heading1"/>
              <w:spacing w:before="60" w:after="60"/>
              <w:ind w:right="183"/>
              <w:contextualSpacing/>
              <w:rPr>
                <w:rFonts w:ascii="Arial" w:hAnsi="Arial" w:cs="Arial"/>
                <w:sz w:val="24"/>
                <w:szCs w:val="24"/>
              </w:rPr>
            </w:pPr>
            <w:r>
              <w:rPr>
                <w:rFonts w:ascii="Arial" w:hAnsi="Arial" w:cs="Arial"/>
                <w:sz w:val="24"/>
                <w:szCs w:val="24"/>
              </w:rPr>
              <w:t>B</w:t>
            </w:r>
            <w:r w:rsidR="00D3188F">
              <w:rPr>
                <w:rFonts w:ascii="Arial" w:hAnsi="Arial" w:cs="Arial"/>
                <w:sz w:val="24"/>
                <w:szCs w:val="24"/>
              </w:rPr>
              <w:t>oard</w:t>
            </w:r>
            <w:r w:rsidR="005B4BA8" w:rsidRPr="00847C11">
              <w:rPr>
                <w:rFonts w:ascii="Arial" w:hAnsi="Arial" w:cs="Arial"/>
                <w:sz w:val="24"/>
                <w:szCs w:val="24"/>
              </w:rPr>
              <w:t xml:space="preserve"> Meeting:</w:t>
            </w:r>
          </w:p>
        </w:tc>
        <w:tc>
          <w:tcPr>
            <w:tcW w:w="4814" w:type="dxa"/>
          </w:tcPr>
          <w:p w:rsidR="005B4BA8" w:rsidRPr="004160AF" w:rsidRDefault="00D3188F" w:rsidP="005B4BA8">
            <w:pPr>
              <w:pStyle w:val="Heading1"/>
              <w:spacing w:before="60" w:after="60"/>
              <w:ind w:right="183"/>
              <w:contextualSpacing/>
              <w:rPr>
                <w:rFonts w:ascii="Arial" w:hAnsi="Arial" w:cs="Arial"/>
                <w:b w:val="0"/>
                <w:sz w:val="24"/>
                <w:szCs w:val="24"/>
              </w:rPr>
            </w:pPr>
            <w:r w:rsidRPr="004160AF">
              <w:rPr>
                <w:rFonts w:ascii="Arial" w:hAnsi="Arial" w:cs="Arial"/>
                <w:b w:val="0"/>
                <w:sz w:val="24"/>
                <w:szCs w:val="24"/>
              </w:rPr>
              <w:t>6 December</w:t>
            </w:r>
            <w:r w:rsidR="005B4BA8" w:rsidRPr="004160AF">
              <w:rPr>
                <w:rFonts w:ascii="Arial" w:hAnsi="Arial" w:cs="Arial"/>
                <w:b w:val="0"/>
                <w:sz w:val="24"/>
                <w:szCs w:val="24"/>
              </w:rPr>
              <w:t xml:space="preserve"> 2018</w:t>
            </w:r>
          </w:p>
        </w:tc>
        <w:tc>
          <w:tcPr>
            <w:tcW w:w="1985" w:type="dxa"/>
            <w:vMerge w:val="restart"/>
          </w:tcPr>
          <w:p w:rsidR="005B4BA8" w:rsidRPr="00847C11" w:rsidRDefault="00F459C0" w:rsidP="005B4BA8">
            <w:pPr>
              <w:pStyle w:val="Heading1"/>
              <w:spacing w:before="60" w:after="60"/>
              <w:ind w:right="34"/>
              <w:contextualSpacing/>
              <w:jc w:val="right"/>
              <w:rPr>
                <w:rFonts w:ascii="Arial" w:hAnsi="Arial" w:cs="Arial"/>
                <w:sz w:val="24"/>
                <w:szCs w:val="24"/>
              </w:rPr>
            </w:pPr>
            <w:r w:rsidRPr="00847C11">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847C11" w:rsidTr="004160AF">
        <w:trPr>
          <w:trHeight w:val="1091"/>
        </w:trPr>
        <w:tc>
          <w:tcPr>
            <w:tcW w:w="2557" w:type="dxa"/>
          </w:tcPr>
          <w:p w:rsidR="005B4BA8" w:rsidRPr="00847C11" w:rsidRDefault="005B4BA8" w:rsidP="005B4BA8">
            <w:pPr>
              <w:pStyle w:val="Heading1"/>
              <w:spacing w:before="60" w:after="60"/>
              <w:ind w:right="183"/>
              <w:contextualSpacing/>
              <w:rPr>
                <w:rFonts w:ascii="Arial" w:hAnsi="Arial" w:cs="Arial"/>
                <w:sz w:val="24"/>
                <w:szCs w:val="24"/>
              </w:rPr>
            </w:pPr>
            <w:r w:rsidRPr="00847C11">
              <w:rPr>
                <w:rFonts w:ascii="Arial" w:hAnsi="Arial" w:cs="Arial"/>
                <w:bCs w:val="0"/>
                <w:sz w:val="24"/>
                <w:szCs w:val="24"/>
              </w:rPr>
              <w:t>Subject:</w:t>
            </w:r>
          </w:p>
        </w:tc>
        <w:tc>
          <w:tcPr>
            <w:tcW w:w="4814" w:type="dxa"/>
          </w:tcPr>
          <w:p w:rsidR="00847C11" w:rsidRPr="004160AF" w:rsidRDefault="00847C11" w:rsidP="00847C11">
            <w:pPr>
              <w:rPr>
                <w:rFonts w:ascii="Arial" w:hAnsi="Arial" w:cs="Arial"/>
                <w:b/>
              </w:rPr>
            </w:pPr>
            <w:r w:rsidRPr="004160AF">
              <w:rPr>
                <w:rFonts w:ascii="Arial" w:hAnsi="Arial" w:cs="Arial"/>
              </w:rPr>
              <w:t xml:space="preserve">Golden Jubilee Hospital Expansion Programme, </w:t>
            </w:r>
            <w:r w:rsidR="004160AF">
              <w:rPr>
                <w:rFonts w:ascii="Arial" w:hAnsi="Arial" w:cs="Arial"/>
              </w:rPr>
              <w:t>Phase One</w:t>
            </w:r>
            <w:r w:rsidRPr="004160AF">
              <w:rPr>
                <w:rFonts w:ascii="Arial" w:hAnsi="Arial" w:cs="Arial"/>
              </w:rPr>
              <w:t xml:space="preserve"> </w:t>
            </w:r>
            <w:r w:rsidR="004160AF" w:rsidRPr="004160AF">
              <w:rPr>
                <w:rFonts w:ascii="Arial" w:hAnsi="Arial" w:cs="Arial"/>
              </w:rPr>
              <w:t xml:space="preserve">(Ophthalmology) </w:t>
            </w:r>
            <w:r w:rsidRPr="004160AF">
              <w:rPr>
                <w:rFonts w:ascii="Arial" w:hAnsi="Arial" w:cs="Arial"/>
              </w:rPr>
              <w:t>Full Business Case</w:t>
            </w:r>
          </w:p>
          <w:p w:rsidR="005B4BA8" w:rsidRPr="004160AF" w:rsidRDefault="005B4BA8" w:rsidP="005B4BA8">
            <w:pPr>
              <w:pStyle w:val="Heading1"/>
              <w:spacing w:before="60" w:after="60"/>
              <w:ind w:right="183"/>
              <w:contextualSpacing/>
              <w:rPr>
                <w:rFonts w:ascii="Arial" w:hAnsi="Arial" w:cs="Arial"/>
                <w:b w:val="0"/>
                <w:sz w:val="24"/>
                <w:szCs w:val="24"/>
              </w:rPr>
            </w:pPr>
          </w:p>
        </w:tc>
        <w:tc>
          <w:tcPr>
            <w:tcW w:w="1985" w:type="dxa"/>
            <w:vMerge/>
          </w:tcPr>
          <w:p w:rsidR="005B4BA8" w:rsidRPr="00847C11" w:rsidRDefault="005B4BA8" w:rsidP="005B4BA8">
            <w:pPr>
              <w:pStyle w:val="Heading1"/>
              <w:spacing w:before="60" w:after="60"/>
              <w:ind w:right="183"/>
              <w:contextualSpacing/>
              <w:rPr>
                <w:rFonts w:ascii="Arial" w:hAnsi="Arial" w:cs="Arial"/>
                <w:noProof/>
                <w:sz w:val="24"/>
                <w:szCs w:val="24"/>
                <w:lang w:eastAsia="en-GB"/>
              </w:rPr>
            </w:pPr>
          </w:p>
        </w:tc>
      </w:tr>
      <w:tr w:rsidR="005B4BA8" w:rsidRPr="00847C11" w:rsidTr="004160AF">
        <w:trPr>
          <w:trHeight w:val="499"/>
        </w:trPr>
        <w:tc>
          <w:tcPr>
            <w:tcW w:w="2557" w:type="dxa"/>
            <w:tcBorders>
              <w:bottom w:val="single" w:sz="4" w:space="0" w:color="auto"/>
            </w:tcBorders>
          </w:tcPr>
          <w:p w:rsidR="005B4BA8" w:rsidRPr="00847C11" w:rsidRDefault="005B4BA8" w:rsidP="005B4BA8">
            <w:pPr>
              <w:pStyle w:val="Heading1"/>
              <w:spacing w:before="120" w:after="60"/>
              <w:ind w:right="183"/>
              <w:contextualSpacing/>
              <w:rPr>
                <w:rFonts w:ascii="Arial" w:hAnsi="Arial" w:cs="Arial"/>
                <w:sz w:val="24"/>
                <w:szCs w:val="24"/>
              </w:rPr>
            </w:pPr>
            <w:r w:rsidRPr="00847C11">
              <w:rPr>
                <w:rFonts w:ascii="Arial" w:hAnsi="Arial" w:cs="Arial"/>
                <w:bCs w:val="0"/>
                <w:sz w:val="24"/>
                <w:szCs w:val="24"/>
              </w:rPr>
              <w:t>Recommendation:</w:t>
            </w:r>
            <w:r w:rsidRPr="00847C11">
              <w:rPr>
                <w:rFonts w:ascii="Arial" w:hAnsi="Arial" w:cs="Arial"/>
                <w:bCs w:val="0"/>
                <w:sz w:val="24"/>
                <w:szCs w:val="24"/>
              </w:rPr>
              <w:tab/>
            </w:r>
          </w:p>
        </w:tc>
        <w:tc>
          <w:tcPr>
            <w:tcW w:w="6799" w:type="dxa"/>
            <w:gridSpan w:val="2"/>
            <w:tcBorders>
              <w:bottom w:val="single" w:sz="4" w:space="0" w:color="auto"/>
            </w:tcBorders>
          </w:tcPr>
          <w:p w:rsidR="005B4BA8" w:rsidRPr="004160AF" w:rsidRDefault="00D3188F" w:rsidP="005B4BA8">
            <w:pPr>
              <w:pStyle w:val="Heading1"/>
              <w:spacing w:before="120" w:after="60"/>
              <w:ind w:right="183"/>
              <w:contextualSpacing/>
              <w:rPr>
                <w:rFonts w:ascii="Arial" w:hAnsi="Arial" w:cs="Arial"/>
                <w:b w:val="0"/>
                <w:sz w:val="24"/>
                <w:szCs w:val="24"/>
              </w:rPr>
            </w:pPr>
            <w:r w:rsidRPr="004160AF">
              <w:rPr>
                <w:rFonts w:ascii="Arial" w:hAnsi="Arial" w:cs="Arial"/>
                <w:b w:val="0"/>
                <w:sz w:val="24"/>
                <w:szCs w:val="24"/>
              </w:rPr>
              <w:t>Board</w:t>
            </w:r>
            <w:r w:rsidR="005B4BA8" w:rsidRPr="004160AF">
              <w:rPr>
                <w:rFonts w:ascii="Arial" w:hAnsi="Arial" w:cs="Arial"/>
                <w:b w:val="0"/>
                <w:sz w:val="24"/>
                <w:szCs w:val="24"/>
              </w:rPr>
              <w:t xml:space="preserve"> members are asked to:</w:t>
            </w:r>
          </w:p>
          <w:p w:rsidR="005B4BA8" w:rsidRPr="004160AF"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2F20CE" w:rsidRPr="004160AF" w:rsidTr="00BE6569">
              <w:tc>
                <w:tcPr>
                  <w:tcW w:w="5694" w:type="dxa"/>
                </w:tcPr>
                <w:p w:rsidR="002F20CE" w:rsidRPr="004160AF" w:rsidRDefault="002F20CE" w:rsidP="00BE6569">
                  <w:pPr>
                    <w:pStyle w:val="Heading1"/>
                    <w:spacing w:before="120" w:after="60"/>
                    <w:ind w:right="183"/>
                    <w:contextualSpacing/>
                    <w:rPr>
                      <w:rFonts w:ascii="Arial" w:hAnsi="Arial" w:cs="Arial"/>
                      <w:b w:val="0"/>
                      <w:sz w:val="24"/>
                      <w:szCs w:val="24"/>
                    </w:rPr>
                  </w:pPr>
                  <w:r w:rsidRPr="004160AF">
                    <w:rPr>
                      <w:rFonts w:ascii="Arial" w:hAnsi="Arial" w:cs="Arial"/>
                      <w:b w:val="0"/>
                      <w:sz w:val="24"/>
                      <w:szCs w:val="24"/>
                    </w:rPr>
                    <w:t>Discuss and Note</w:t>
                  </w:r>
                </w:p>
              </w:tc>
              <w:tc>
                <w:tcPr>
                  <w:tcW w:w="850" w:type="dxa"/>
                </w:tcPr>
                <w:p w:rsidR="002F20CE" w:rsidRPr="004160AF" w:rsidRDefault="002F20CE" w:rsidP="00BE6569">
                  <w:pPr>
                    <w:spacing w:before="120" w:after="60"/>
                    <w:contextualSpacing/>
                  </w:pPr>
                </w:p>
              </w:tc>
            </w:tr>
            <w:tr w:rsidR="002F20CE" w:rsidRPr="004160AF" w:rsidTr="00BE6569">
              <w:tc>
                <w:tcPr>
                  <w:tcW w:w="5694" w:type="dxa"/>
                </w:tcPr>
                <w:p w:rsidR="002F20CE" w:rsidRPr="004160AF" w:rsidRDefault="002F20CE" w:rsidP="00BE6569">
                  <w:pPr>
                    <w:pStyle w:val="Heading1"/>
                    <w:spacing w:before="120" w:after="60"/>
                    <w:ind w:right="183"/>
                    <w:contextualSpacing/>
                    <w:rPr>
                      <w:rFonts w:ascii="Arial" w:hAnsi="Arial" w:cs="Arial"/>
                      <w:b w:val="0"/>
                      <w:sz w:val="24"/>
                      <w:szCs w:val="24"/>
                    </w:rPr>
                  </w:pPr>
                  <w:r w:rsidRPr="004160AF">
                    <w:rPr>
                      <w:rFonts w:ascii="Arial" w:hAnsi="Arial" w:cs="Arial"/>
                      <w:b w:val="0"/>
                      <w:sz w:val="24"/>
                      <w:szCs w:val="24"/>
                    </w:rPr>
                    <w:t>Discuss and Approve</w:t>
                  </w:r>
                </w:p>
              </w:tc>
              <w:tc>
                <w:tcPr>
                  <w:tcW w:w="850" w:type="dxa"/>
                </w:tcPr>
                <w:p w:rsidR="002F20CE" w:rsidRPr="004160AF" w:rsidRDefault="002F20CE" w:rsidP="00BE6569">
                  <w:pPr>
                    <w:spacing w:before="120" w:after="60"/>
                    <w:contextualSpacing/>
                  </w:pPr>
                  <w:r w:rsidRPr="004160AF">
                    <w:sym w:font="Wingdings" w:char="F0FC"/>
                  </w:r>
                </w:p>
              </w:tc>
            </w:tr>
            <w:tr w:rsidR="002F20CE" w:rsidRPr="004160AF" w:rsidTr="00BE6569">
              <w:tc>
                <w:tcPr>
                  <w:tcW w:w="5694" w:type="dxa"/>
                </w:tcPr>
                <w:p w:rsidR="002F20CE" w:rsidRPr="004160AF" w:rsidRDefault="002F20CE" w:rsidP="00BE6569">
                  <w:pPr>
                    <w:pStyle w:val="Heading1"/>
                    <w:spacing w:before="120" w:after="60"/>
                    <w:ind w:right="183"/>
                    <w:contextualSpacing/>
                    <w:rPr>
                      <w:rFonts w:ascii="Arial" w:hAnsi="Arial" w:cs="Arial"/>
                      <w:b w:val="0"/>
                      <w:sz w:val="24"/>
                      <w:szCs w:val="24"/>
                    </w:rPr>
                  </w:pPr>
                  <w:r w:rsidRPr="004160AF">
                    <w:rPr>
                      <w:rFonts w:ascii="Arial" w:hAnsi="Arial" w:cs="Arial"/>
                      <w:b w:val="0"/>
                      <w:sz w:val="24"/>
                      <w:szCs w:val="24"/>
                    </w:rPr>
                    <w:t>Note for Information only</w:t>
                  </w:r>
                </w:p>
              </w:tc>
              <w:tc>
                <w:tcPr>
                  <w:tcW w:w="850" w:type="dxa"/>
                </w:tcPr>
                <w:p w:rsidR="002F20CE" w:rsidRPr="004160AF" w:rsidRDefault="002F20CE" w:rsidP="00BE6569">
                  <w:pPr>
                    <w:spacing w:before="120" w:after="60"/>
                    <w:contextualSpacing/>
                  </w:pPr>
                </w:p>
              </w:tc>
            </w:tr>
          </w:tbl>
          <w:p w:rsidR="002F20CE" w:rsidRPr="004160AF" w:rsidRDefault="002F20CE" w:rsidP="005B4BA8">
            <w:pPr>
              <w:rPr>
                <w:rFonts w:ascii="Arial" w:hAnsi="Arial" w:cs="Arial"/>
              </w:rPr>
            </w:pPr>
          </w:p>
          <w:p w:rsidR="005B4BA8" w:rsidRPr="004160AF" w:rsidRDefault="005B4BA8" w:rsidP="005B4BA8">
            <w:pPr>
              <w:spacing w:before="120" w:after="60"/>
              <w:contextualSpacing/>
              <w:rPr>
                <w:rFonts w:ascii="Arial" w:hAnsi="Arial" w:cs="Arial"/>
              </w:rPr>
            </w:pPr>
          </w:p>
        </w:tc>
      </w:tr>
    </w:tbl>
    <w:p w:rsidR="004160AF" w:rsidRDefault="004160AF" w:rsidP="004160AF">
      <w:pPr>
        <w:pStyle w:val="Heading2"/>
        <w:spacing w:before="0" w:after="0"/>
        <w:ind w:left="709" w:right="183"/>
        <w:rPr>
          <w:i w:val="0"/>
          <w:sz w:val="24"/>
          <w:szCs w:val="24"/>
        </w:rPr>
      </w:pPr>
    </w:p>
    <w:p w:rsidR="00847C11" w:rsidRPr="004160AF" w:rsidRDefault="00847C11" w:rsidP="004160AF">
      <w:pPr>
        <w:pStyle w:val="Heading2"/>
        <w:numPr>
          <w:ilvl w:val="0"/>
          <w:numId w:val="19"/>
        </w:numPr>
        <w:spacing w:before="0" w:after="0"/>
        <w:ind w:left="709" w:right="183" w:hanging="709"/>
        <w:rPr>
          <w:i w:val="0"/>
          <w:sz w:val="24"/>
          <w:szCs w:val="24"/>
        </w:rPr>
      </w:pPr>
      <w:r w:rsidRPr="004160AF">
        <w:rPr>
          <w:i w:val="0"/>
          <w:sz w:val="24"/>
          <w:szCs w:val="24"/>
        </w:rPr>
        <w:t>Background</w:t>
      </w:r>
    </w:p>
    <w:p w:rsidR="00847C11" w:rsidRPr="004160AF" w:rsidRDefault="00847C11" w:rsidP="004160AF">
      <w:pPr>
        <w:rPr>
          <w:rFonts w:ascii="Arial" w:hAnsi="Arial" w:cs="Arial"/>
        </w:rPr>
      </w:pPr>
    </w:p>
    <w:p w:rsidR="00847C11" w:rsidRPr="004160AF" w:rsidRDefault="00847C11" w:rsidP="004160AF">
      <w:pPr>
        <w:ind w:left="709"/>
        <w:rPr>
          <w:rFonts w:ascii="Arial" w:hAnsi="Arial" w:cs="Arial"/>
          <w:b/>
        </w:rPr>
      </w:pPr>
      <w:r w:rsidRPr="004160AF">
        <w:rPr>
          <w:rFonts w:ascii="Arial" w:hAnsi="Arial" w:cs="Arial"/>
        </w:rPr>
        <w:t xml:space="preserve">The </w:t>
      </w:r>
      <w:r w:rsidR="004160AF">
        <w:rPr>
          <w:rFonts w:ascii="Arial" w:hAnsi="Arial" w:cs="Arial"/>
        </w:rPr>
        <w:t>Full Business Case (</w:t>
      </w:r>
      <w:r w:rsidRPr="004160AF">
        <w:rPr>
          <w:rFonts w:ascii="Arial" w:hAnsi="Arial" w:cs="Arial"/>
        </w:rPr>
        <w:t>FBC</w:t>
      </w:r>
      <w:r w:rsidR="004160AF">
        <w:rPr>
          <w:rFonts w:ascii="Arial" w:hAnsi="Arial" w:cs="Arial"/>
        </w:rPr>
        <w:t>) for Phase One of the Hospital Expansion programme (Ophthalmology)</w:t>
      </w:r>
      <w:r w:rsidRPr="004160AF">
        <w:rPr>
          <w:rFonts w:ascii="Arial" w:hAnsi="Arial" w:cs="Arial"/>
        </w:rPr>
        <w:t xml:space="preserve"> has reviewed the strategic case set out within the Outline Business Case (OBC), highlighting changes since the OBC was approved and ensuring that the case for change and preferred solution remains valid. </w:t>
      </w:r>
    </w:p>
    <w:p w:rsidR="00847C11" w:rsidRPr="004160AF" w:rsidRDefault="00847C11" w:rsidP="004160AF">
      <w:pPr>
        <w:rPr>
          <w:rFonts w:ascii="Arial" w:hAnsi="Arial" w:cs="Arial"/>
          <w:b/>
        </w:rPr>
      </w:pPr>
    </w:p>
    <w:p w:rsidR="00847C11" w:rsidRPr="004160AF" w:rsidRDefault="00847C11" w:rsidP="004160AF">
      <w:pPr>
        <w:rPr>
          <w:rFonts w:ascii="Arial" w:hAnsi="Arial" w:cs="Arial"/>
          <w:b/>
        </w:rPr>
      </w:pPr>
    </w:p>
    <w:p w:rsidR="00847C11" w:rsidRPr="004160AF" w:rsidRDefault="00847C11" w:rsidP="004160AF">
      <w:pPr>
        <w:tabs>
          <w:tab w:val="left" w:pos="720"/>
          <w:tab w:val="left" w:pos="1440"/>
          <w:tab w:val="left" w:pos="2160"/>
          <w:tab w:val="left" w:pos="5295"/>
        </w:tabs>
        <w:rPr>
          <w:rFonts w:ascii="Arial" w:hAnsi="Arial" w:cs="Arial"/>
        </w:rPr>
      </w:pPr>
      <w:r w:rsidRPr="004160AF">
        <w:rPr>
          <w:rFonts w:ascii="Arial" w:hAnsi="Arial" w:cs="Arial"/>
          <w:b/>
        </w:rPr>
        <w:t>2.</w:t>
      </w:r>
      <w:r w:rsidRPr="004160AF">
        <w:rPr>
          <w:rFonts w:ascii="Arial" w:hAnsi="Arial" w:cs="Arial"/>
          <w:b/>
        </w:rPr>
        <w:tab/>
        <w:t>Progress to date</w:t>
      </w:r>
      <w:r w:rsidRPr="004160AF">
        <w:rPr>
          <w:rFonts w:ascii="Arial" w:hAnsi="Arial" w:cs="Arial"/>
        </w:rPr>
        <w:tab/>
      </w:r>
    </w:p>
    <w:p w:rsidR="00847C11" w:rsidRPr="004160AF" w:rsidRDefault="00847C11" w:rsidP="004160AF">
      <w:pPr>
        <w:rPr>
          <w:rFonts w:ascii="Arial" w:hAnsi="Arial" w:cs="Arial"/>
        </w:rPr>
      </w:pPr>
    </w:p>
    <w:p w:rsidR="00847C11" w:rsidRPr="004160AF" w:rsidRDefault="00847C11" w:rsidP="004160AF">
      <w:pPr>
        <w:ind w:left="720"/>
        <w:rPr>
          <w:rFonts w:ascii="Arial" w:hAnsi="Arial" w:cs="Arial"/>
          <w:b/>
        </w:rPr>
      </w:pPr>
      <w:r w:rsidRPr="004160AF">
        <w:rPr>
          <w:rFonts w:ascii="Arial" w:hAnsi="Arial" w:cs="Arial"/>
        </w:rPr>
        <w:t>Key work undertaken as part of the development of the FBC:</w:t>
      </w:r>
    </w:p>
    <w:p w:rsidR="00847C11" w:rsidRPr="004160AF" w:rsidRDefault="00847C11" w:rsidP="004160AF">
      <w:pPr>
        <w:ind w:left="720"/>
        <w:rPr>
          <w:rFonts w:ascii="Arial" w:hAnsi="Arial" w:cs="Arial"/>
          <w:b/>
        </w:rPr>
      </w:pPr>
    </w:p>
    <w:p w:rsidR="00847C11" w:rsidRPr="004160AF" w:rsidRDefault="00847C11" w:rsidP="004160AF">
      <w:pPr>
        <w:numPr>
          <w:ilvl w:val="0"/>
          <w:numId w:val="21"/>
        </w:numPr>
        <w:ind w:left="1080" w:right="183"/>
        <w:rPr>
          <w:rFonts w:ascii="Arial" w:hAnsi="Arial" w:cs="Arial"/>
          <w:b/>
        </w:rPr>
      </w:pPr>
      <w:r w:rsidRPr="004160AF">
        <w:rPr>
          <w:rFonts w:ascii="Arial" w:hAnsi="Arial" w:cs="Arial"/>
        </w:rPr>
        <w:t>As part of the OBC development</w:t>
      </w:r>
      <w:r w:rsidR="004160AF">
        <w:rPr>
          <w:rFonts w:ascii="Arial" w:hAnsi="Arial" w:cs="Arial"/>
        </w:rPr>
        <w:t>,</w:t>
      </w:r>
      <w:r w:rsidRPr="004160AF">
        <w:rPr>
          <w:rFonts w:ascii="Arial" w:hAnsi="Arial" w:cs="Arial"/>
        </w:rPr>
        <w:t xml:space="preserve"> the </w:t>
      </w:r>
      <w:r w:rsidR="004160AF">
        <w:rPr>
          <w:rFonts w:ascii="Arial" w:hAnsi="Arial" w:cs="Arial"/>
        </w:rPr>
        <w:t>West of Scotland (</w:t>
      </w:r>
      <w:proofErr w:type="spellStart"/>
      <w:r w:rsidRPr="004160AF">
        <w:rPr>
          <w:rFonts w:ascii="Arial" w:hAnsi="Arial" w:cs="Arial"/>
        </w:rPr>
        <w:t>WoS</w:t>
      </w:r>
      <w:proofErr w:type="spellEnd"/>
      <w:r w:rsidR="004160AF">
        <w:rPr>
          <w:rFonts w:ascii="Arial" w:hAnsi="Arial" w:cs="Arial"/>
        </w:rPr>
        <w:t>)</w:t>
      </w:r>
      <w:r w:rsidRPr="004160AF">
        <w:rPr>
          <w:rFonts w:ascii="Arial" w:hAnsi="Arial" w:cs="Arial"/>
        </w:rPr>
        <w:t xml:space="preserve"> Engagement Group supported and approved the demand modelling methodology.  As part of the FBC work</w:t>
      </w:r>
      <w:r w:rsidR="004160AF">
        <w:rPr>
          <w:rFonts w:ascii="Arial" w:hAnsi="Arial" w:cs="Arial"/>
        </w:rPr>
        <w:t>,</w:t>
      </w:r>
      <w:r w:rsidRPr="004160AF">
        <w:rPr>
          <w:rFonts w:ascii="Arial" w:hAnsi="Arial" w:cs="Arial"/>
        </w:rPr>
        <w:t xml:space="preserve"> the demand modelling exercise has been reviewed and confirmed as still valid, there has therefore been no change to the preferred solution since the OBC was developed. </w:t>
      </w:r>
    </w:p>
    <w:p w:rsidR="00847C11" w:rsidRPr="004160AF" w:rsidRDefault="00847C11" w:rsidP="004160AF">
      <w:pPr>
        <w:ind w:left="720"/>
        <w:rPr>
          <w:rFonts w:ascii="Arial" w:hAnsi="Arial" w:cs="Arial"/>
          <w:b/>
        </w:rPr>
      </w:pPr>
    </w:p>
    <w:p w:rsidR="00847C11" w:rsidRPr="004160AF" w:rsidRDefault="00847C11" w:rsidP="004160AF">
      <w:pPr>
        <w:numPr>
          <w:ilvl w:val="0"/>
          <w:numId w:val="20"/>
        </w:numPr>
        <w:ind w:left="1080" w:right="183"/>
        <w:rPr>
          <w:rFonts w:ascii="Arial" w:hAnsi="Arial" w:cs="Arial"/>
        </w:rPr>
      </w:pPr>
      <w:r w:rsidRPr="004160AF">
        <w:rPr>
          <w:rFonts w:ascii="Arial" w:hAnsi="Arial" w:cs="Arial"/>
        </w:rPr>
        <w:t xml:space="preserve">Since developing the OBC, on 10 September 2018 the Cabinet Secretary for Health </w:t>
      </w:r>
      <w:r w:rsidR="004160AF">
        <w:rPr>
          <w:rFonts w:ascii="Arial" w:hAnsi="Arial" w:cs="Arial"/>
        </w:rPr>
        <w:t>and</w:t>
      </w:r>
      <w:r w:rsidRPr="004160AF">
        <w:rPr>
          <w:rFonts w:ascii="Arial" w:hAnsi="Arial" w:cs="Arial"/>
        </w:rPr>
        <w:t xml:space="preserve"> Sport wrote to all NHS Board Chief Executives to confirm that elective centres should be planned and approved on the basis that they will deliver new capacity to meet the projected increasing demand.  It has been made clear that all health boards will, as a minimum, continue to make use of the Golden Jubilee as a national resource and will continue to refer the current level of patient activity.</w:t>
      </w:r>
    </w:p>
    <w:p w:rsidR="00847C11" w:rsidRPr="004160AF" w:rsidRDefault="00847C11" w:rsidP="004160AF">
      <w:pPr>
        <w:ind w:left="1440"/>
        <w:rPr>
          <w:rFonts w:ascii="Arial" w:hAnsi="Arial" w:cs="Arial"/>
        </w:rPr>
      </w:pPr>
    </w:p>
    <w:p w:rsidR="00847C11" w:rsidRPr="004160AF" w:rsidRDefault="00847C11" w:rsidP="004160AF">
      <w:pPr>
        <w:pStyle w:val="ListParagraph"/>
        <w:numPr>
          <w:ilvl w:val="0"/>
          <w:numId w:val="20"/>
        </w:numPr>
        <w:ind w:left="1080"/>
        <w:rPr>
          <w:rFonts w:ascii="Arial" w:hAnsi="Arial" w:cs="Arial"/>
        </w:rPr>
      </w:pPr>
      <w:r w:rsidRPr="004160AF">
        <w:rPr>
          <w:rFonts w:ascii="Arial" w:hAnsi="Arial" w:cs="Arial"/>
        </w:rPr>
        <w:t xml:space="preserve">The strategic context and scope of the </w:t>
      </w:r>
      <w:r w:rsidR="004160AF">
        <w:rPr>
          <w:rFonts w:ascii="Arial" w:hAnsi="Arial" w:cs="Arial"/>
        </w:rPr>
        <w:t>p</w:t>
      </w:r>
      <w:r w:rsidRPr="004160AF">
        <w:rPr>
          <w:rFonts w:ascii="Arial" w:hAnsi="Arial" w:cs="Arial"/>
        </w:rPr>
        <w:t xml:space="preserve">roject from the </w:t>
      </w:r>
      <w:r w:rsidR="004160AF">
        <w:rPr>
          <w:rFonts w:ascii="Arial" w:hAnsi="Arial" w:cs="Arial"/>
        </w:rPr>
        <w:t xml:space="preserve">OBC </w:t>
      </w:r>
      <w:r w:rsidRPr="004160AF">
        <w:rPr>
          <w:rFonts w:ascii="Arial" w:hAnsi="Arial" w:cs="Arial"/>
        </w:rPr>
        <w:t>have been revisited and remain valid:</w:t>
      </w:r>
      <w:r w:rsidRPr="004160AF">
        <w:rPr>
          <w:rFonts w:ascii="Arial" w:eastAsia="+mn-ea" w:hAnsi="Arial" w:cs="Arial"/>
          <w:color w:val="000000"/>
          <w:kern w:val="24"/>
        </w:rPr>
        <w:t xml:space="preserve"> </w:t>
      </w:r>
    </w:p>
    <w:p w:rsidR="00847C11" w:rsidRPr="004160AF" w:rsidRDefault="00847C11" w:rsidP="004160AF">
      <w:pPr>
        <w:ind w:left="720"/>
        <w:rPr>
          <w:rFonts w:ascii="Arial" w:hAnsi="Arial" w:cs="Arial"/>
        </w:rPr>
      </w:pPr>
    </w:p>
    <w:p w:rsidR="00847C11" w:rsidRPr="004160AF" w:rsidRDefault="00847C11" w:rsidP="004160AF">
      <w:pPr>
        <w:numPr>
          <w:ilvl w:val="2"/>
          <w:numId w:val="20"/>
        </w:numPr>
        <w:ind w:right="183"/>
        <w:rPr>
          <w:rFonts w:ascii="Arial" w:hAnsi="Arial" w:cs="Arial"/>
        </w:rPr>
      </w:pPr>
      <w:r w:rsidRPr="004160AF">
        <w:rPr>
          <w:rFonts w:ascii="Arial" w:hAnsi="Arial" w:cs="Arial"/>
        </w:rPr>
        <w:t xml:space="preserve">Option 4 - New Build Integrated Ophthalmology facility </w:t>
      </w:r>
      <w:r w:rsidR="004160AF">
        <w:rPr>
          <w:rFonts w:ascii="Arial" w:hAnsi="Arial" w:cs="Arial"/>
        </w:rPr>
        <w:t>with</w:t>
      </w:r>
      <w:r w:rsidRPr="004160AF">
        <w:rPr>
          <w:rFonts w:ascii="Arial" w:hAnsi="Arial" w:cs="Arial"/>
        </w:rPr>
        <w:t xml:space="preserve"> 6 theatres</w:t>
      </w:r>
    </w:p>
    <w:p w:rsidR="00847C11" w:rsidRPr="004160AF" w:rsidRDefault="00847C11" w:rsidP="004160AF">
      <w:pPr>
        <w:numPr>
          <w:ilvl w:val="2"/>
          <w:numId w:val="20"/>
        </w:numPr>
        <w:ind w:left="2520" w:right="183"/>
        <w:rPr>
          <w:rFonts w:ascii="Arial" w:hAnsi="Arial" w:cs="Arial"/>
          <w:b/>
        </w:rPr>
      </w:pPr>
      <w:r w:rsidRPr="004160AF">
        <w:rPr>
          <w:rFonts w:ascii="Arial" w:hAnsi="Arial" w:cs="Arial"/>
        </w:rPr>
        <w:lastRenderedPageBreak/>
        <w:t>Capacity for up to 10,100 additional procedures and 12,000 consultations / pre operative assessments</w:t>
      </w:r>
    </w:p>
    <w:p w:rsidR="00847C11" w:rsidRPr="004160AF" w:rsidRDefault="00847C11" w:rsidP="004160AF">
      <w:pPr>
        <w:numPr>
          <w:ilvl w:val="2"/>
          <w:numId w:val="20"/>
        </w:numPr>
        <w:ind w:left="2520" w:right="183"/>
        <w:rPr>
          <w:rFonts w:ascii="Arial" w:hAnsi="Arial" w:cs="Arial"/>
          <w:b/>
        </w:rPr>
      </w:pPr>
      <w:r w:rsidRPr="004160AF">
        <w:rPr>
          <w:rFonts w:ascii="Arial" w:hAnsi="Arial" w:cs="Arial"/>
        </w:rPr>
        <w:t>Significant advantages, delivers investment objectives and additional benefit</w:t>
      </w:r>
    </w:p>
    <w:p w:rsidR="00847C11" w:rsidRPr="004160AF" w:rsidRDefault="00847C11" w:rsidP="004160AF">
      <w:pPr>
        <w:ind w:left="720"/>
        <w:rPr>
          <w:rFonts w:ascii="Arial" w:hAnsi="Arial" w:cs="Arial"/>
        </w:rPr>
      </w:pPr>
    </w:p>
    <w:p w:rsidR="00847C11" w:rsidRPr="004160AF" w:rsidRDefault="00847C11" w:rsidP="004160AF">
      <w:pPr>
        <w:pStyle w:val="ListParagraph"/>
        <w:numPr>
          <w:ilvl w:val="0"/>
          <w:numId w:val="20"/>
        </w:numPr>
        <w:ind w:left="1080"/>
        <w:rPr>
          <w:rFonts w:ascii="Arial" w:hAnsi="Arial" w:cs="Arial"/>
        </w:rPr>
      </w:pPr>
      <w:r w:rsidRPr="004160AF">
        <w:rPr>
          <w:rFonts w:ascii="Arial" w:hAnsi="Arial" w:cs="Arial"/>
        </w:rPr>
        <w:t>While there have been no changes to the preferred option from the OBC with the strategic context and delivery model unchanged, there have been changes within the financial model.  These changes are outlined the financial and economic appraisal in the FBC.</w:t>
      </w:r>
    </w:p>
    <w:p w:rsidR="00847C11" w:rsidRPr="004160AF" w:rsidRDefault="00847C11" w:rsidP="004160AF">
      <w:pPr>
        <w:ind w:left="720"/>
        <w:rPr>
          <w:rFonts w:ascii="Arial" w:hAnsi="Arial" w:cs="Arial"/>
        </w:rPr>
      </w:pPr>
    </w:p>
    <w:p w:rsidR="00847C11" w:rsidRPr="004160AF" w:rsidRDefault="00847C11" w:rsidP="004160AF">
      <w:pPr>
        <w:pStyle w:val="ListParagraph"/>
        <w:numPr>
          <w:ilvl w:val="0"/>
          <w:numId w:val="22"/>
        </w:numPr>
        <w:ind w:left="1080"/>
        <w:rPr>
          <w:rFonts w:ascii="Arial" w:hAnsi="Arial" w:cs="Arial"/>
        </w:rPr>
      </w:pPr>
      <w:r w:rsidRPr="004160AF">
        <w:rPr>
          <w:rFonts w:ascii="Arial" w:hAnsi="Arial" w:cs="Arial"/>
        </w:rPr>
        <w:t>The completion date for the project is now projected to be June 2020 with a construction period of 19 months.  However, work is currently underway to identify whether or not this timeline can be brought forward.</w:t>
      </w:r>
    </w:p>
    <w:p w:rsidR="00847C11" w:rsidRPr="004160AF" w:rsidRDefault="00847C11" w:rsidP="004160AF">
      <w:pPr>
        <w:ind w:left="360"/>
        <w:rPr>
          <w:rFonts w:ascii="Arial" w:hAnsi="Arial" w:cs="Arial"/>
        </w:rPr>
      </w:pPr>
    </w:p>
    <w:p w:rsidR="00847C11" w:rsidRPr="004160AF" w:rsidRDefault="00847C11" w:rsidP="004160AF">
      <w:pPr>
        <w:rPr>
          <w:rFonts w:ascii="Arial" w:hAnsi="Arial" w:cs="Arial"/>
        </w:rPr>
      </w:pPr>
    </w:p>
    <w:p w:rsidR="00847C11" w:rsidRPr="004160AF" w:rsidRDefault="00847C11" w:rsidP="004160AF">
      <w:pPr>
        <w:tabs>
          <w:tab w:val="left" w:pos="709"/>
        </w:tabs>
        <w:rPr>
          <w:rFonts w:ascii="Arial" w:hAnsi="Arial" w:cs="Arial"/>
          <w:b/>
        </w:rPr>
      </w:pPr>
      <w:r w:rsidRPr="004160AF">
        <w:rPr>
          <w:rFonts w:ascii="Arial" w:hAnsi="Arial" w:cs="Arial"/>
          <w:b/>
        </w:rPr>
        <w:t xml:space="preserve">3. </w:t>
      </w:r>
      <w:r w:rsidRPr="004160AF">
        <w:rPr>
          <w:rFonts w:ascii="Arial" w:hAnsi="Arial" w:cs="Arial"/>
          <w:b/>
        </w:rPr>
        <w:tab/>
      </w:r>
      <w:r w:rsidR="004160AF">
        <w:rPr>
          <w:rFonts w:ascii="Arial" w:hAnsi="Arial" w:cs="Arial"/>
          <w:b/>
        </w:rPr>
        <w:t>Recommendation</w:t>
      </w:r>
    </w:p>
    <w:p w:rsidR="00847C11" w:rsidRPr="004160AF" w:rsidRDefault="00847C11" w:rsidP="004160AF">
      <w:pPr>
        <w:ind w:left="720"/>
        <w:rPr>
          <w:rFonts w:ascii="Arial" w:hAnsi="Arial" w:cs="Arial"/>
          <w:b/>
        </w:rPr>
      </w:pPr>
    </w:p>
    <w:p w:rsidR="004160AF" w:rsidRDefault="004160AF" w:rsidP="004160AF">
      <w:pPr>
        <w:ind w:left="720"/>
        <w:rPr>
          <w:rFonts w:ascii="Arial" w:hAnsi="Arial" w:cs="Arial"/>
        </w:rPr>
      </w:pPr>
      <w:r>
        <w:rPr>
          <w:rFonts w:ascii="Arial" w:hAnsi="Arial" w:cs="Arial"/>
        </w:rPr>
        <w:t xml:space="preserve">Board members are asked to discuss and approve the FBC for Phase One of the </w:t>
      </w:r>
      <w:r w:rsidRPr="004160AF">
        <w:rPr>
          <w:rFonts w:ascii="Arial" w:hAnsi="Arial" w:cs="Arial"/>
        </w:rPr>
        <w:t>Golden Jubilee Hospital Expansion Programme</w:t>
      </w:r>
      <w:r>
        <w:rPr>
          <w:rFonts w:ascii="Arial" w:hAnsi="Arial" w:cs="Arial"/>
        </w:rPr>
        <w:t xml:space="preserve"> </w:t>
      </w:r>
      <w:r w:rsidRPr="004160AF">
        <w:rPr>
          <w:rFonts w:ascii="Arial" w:hAnsi="Arial" w:cs="Arial"/>
        </w:rPr>
        <w:t>(Ophthalmology)</w:t>
      </w:r>
      <w:r>
        <w:rPr>
          <w:rFonts w:ascii="Arial" w:hAnsi="Arial" w:cs="Arial"/>
        </w:rPr>
        <w:t>.</w:t>
      </w:r>
    </w:p>
    <w:p w:rsidR="004160AF" w:rsidRDefault="004160AF" w:rsidP="004160AF">
      <w:pPr>
        <w:ind w:left="720"/>
        <w:rPr>
          <w:rFonts w:ascii="Arial" w:hAnsi="Arial" w:cs="Arial"/>
        </w:rPr>
      </w:pPr>
    </w:p>
    <w:p w:rsidR="00847C11" w:rsidRPr="004160AF" w:rsidRDefault="00847C11" w:rsidP="004160AF">
      <w:pPr>
        <w:ind w:left="720"/>
        <w:rPr>
          <w:rFonts w:ascii="Arial" w:hAnsi="Arial" w:cs="Arial"/>
          <w:b/>
        </w:rPr>
      </w:pPr>
      <w:r w:rsidRPr="004160AF">
        <w:rPr>
          <w:rFonts w:ascii="Arial" w:hAnsi="Arial" w:cs="Arial"/>
        </w:rPr>
        <w:t xml:space="preserve">Subject to </w:t>
      </w:r>
      <w:r w:rsidR="004160AF">
        <w:rPr>
          <w:rFonts w:ascii="Arial" w:hAnsi="Arial" w:cs="Arial"/>
        </w:rPr>
        <w:t xml:space="preserve">Board approval, </w:t>
      </w:r>
      <w:r w:rsidRPr="004160AF">
        <w:rPr>
          <w:rFonts w:ascii="Arial" w:hAnsi="Arial" w:cs="Arial"/>
        </w:rPr>
        <w:t>the FBC will be submitted to the Scottish Government Capital Investment Group for consideration at their January 2019 meeting.</w:t>
      </w:r>
    </w:p>
    <w:p w:rsidR="00847C11" w:rsidRPr="004160AF" w:rsidRDefault="00847C11" w:rsidP="004160AF">
      <w:pPr>
        <w:rPr>
          <w:rFonts w:ascii="Arial" w:hAnsi="Arial" w:cs="Arial"/>
        </w:rPr>
      </w:pPr>
    </w:p>
    <w:p w:rsidR="00847C11" w:rsidRPr="004160AF" w:rsidRDefault="00847C11" w:rsidP="004160AF">
      <w:pPr>
        <w:rPr>
          <w:rFonts w:ascii="Arial" w:hAnsi="Arial" w:cs="Arial"/>
        </w:rPr>
      </w:pPr>
    </w:p>
    <w:p w:rsidR="004160AF" w:rsidRPr="004160AF" w:rsidRDefault="004160AF" w:rsidP="004160AF">
      <w:pPr>
        <w:rPr>
          <w:rFonts w:ascii="Arial" w:hAnsi="Arial" w:cs="Arial"/>
          <w:b/>
        </w:rPr>
      </w:pPr>
      <w:r w:rsidRPr="004160AF">
        <w:rPr>
          <w:rFonts w:ascii="Arial" w:hAnsi="Arial" w:cs="Arial"/>
          <w:b/>
        </w:rPr>
        <w:t>June Rogers</w:t>
      </w:r>
    </w:p>
    <w:p w:rsidR="004160AF" w:rsidRPr="004160AF" w:rsidRDefault="004160AF" w:rsidP="004160AF">
      <w:pPr>
        <w:rPr>
          <w:rFonts w:ascii="Arial" w:hAnsi="Arial" w:cs="Arial"/>
          <w:b/>
        </w:rPr>
      </w:pPr>
      <w:r w:rsidRPr="004160AF">
        <w:rPr>
          <w:rFonts w:ascii="Arial" w:hAnsi="Arial" w:cs="Arial"/>
          <w:b/>
        </w:rPr>
        <w:t>Director of Operations</w:t>
      </w:r>
    </w:p>
    <w:p w:rsidR="004160AF" w:rsidRPr="004160AF" w:rsidRDefault="004160AF" w:rsidP="004160AF">
      <w:pPr>
        <w:rPr>
          <w:rFonts w:ascii="Arial" w:hAnsi="Arial" w:cs="Arial"/>
          <w:b/>
        </w:rPr>
      </w:pPr>
      <w:r w:rsidRPr="004160AF">
        <w:rPr>
          <w:rFonts w:ascii="Arial" w:hAnsi="Arial" w:cs="Arial"/>
          <w:b/>
        </w:rPr>
        <w:t>29 November 2018</w:t>
      </w:r>
    </w:p>
    <w:p w:rsidR="004160AF" w:rsidRPr="004160AF" w:rsidRDefault="004160AF" w:rsidP="004160AF">
      <w:pPr>
        <w:rPr>
          <w:rFonts w:ascii="Arial" w:hAnsi="Arial" w:cs="Arial"/>
          <w:b/>
        </w:rPr>
      </w:pPr>
    </w:p>
    <w:p w:rsidR="00847C11" w:rsidRPr="004160AF" w:rsidRDefault="004160AF" w:rsidP="004160AF">
      <w:pPr>
        <w:rPr>
          <w:rFonts w:ascii="Arial" w:hAnsi="Arial" w:cs="Arial"/>
          <w:b/>
        </w:rPr>
      </w:pPr>
      <w:r w:rsidRPr="004160AF">
        <w:rPr>
          <w:rFonts w:ascii="Arial" w:hAnsi="Arial" w:cs="Arial"/>
          <w:b/>
        </w:rPr>
        <w:t>(</w:t>
      </w:r>
      <w:r w:rsidR="00847C11" w:rsidRPr="004160AF">
        <w:rPr>
          <w:rFonts w:ascii="Arial" w:hAnsi="Arial" w:cs="Arial"/>
          <w:b/>
        </w:rPr>
        <w:t>John M Scott</w:t>
      </w:r>
      <w:r w:rsidRPr="004160AF">
        <w:rPr>
          <w:rFonts w:ascii="Arial" w:hAnsi="Arial" w:cs="Arial"/>
          <w:b/>
        </w:rPr>
        <w:t xml:space="preserve">, </w:t>
      </w:r>
      <w:r w:rsidR="00847C11" w:rsidRPr="004160AF">
        <w:rPr>
          <w:rFonts w:ascii="Arial" w:hAnsi="Arial" w:cs="Arial"/>
          <w:b/>
        </w:rPr>
        <w:t>Programme Director</w:t>
      </w:r>
      <w:r w:rsidRPr="004160AF">
        <w:rPr>
          <w:rFonts w:ascii="Arial" w:hAnsi="Arial" w:cs="Arial"/>
          <w:b/>
        </w:rPr>
        <w:t>)</w:t>
      </w:r>
    </w:p>
    <w:p w:rsidR="00847C11" w:rsidRPr="004160AF" w:rsidRDefault="00847C11" w:rsidP="004160AF">
      <w:pPr>
        <w:rPr>
          <w:rFonts w:ascii="Arial" w:hAnsi="Arial" w:cs="Arial"/>
          <w:b/>
        </w:rPr>
      </w:pPr>
    </w:p>
    <w:p w:rsidR="00847C11" w:rsidRPr="004160AF" w:rsidRDefault="00847C11" w:rsidP="004160AF">
      <w:pPr>
        <w:rPr>
          <w:rFonts w:ascii="Arial" w:hAnsi="Arial" w:cs="Arial"/>
          <w:b/>
        </w:rPr>
      </w:pPr>
    </w:p>
    <w:p w:rsidR="00847C11" w:rsidRPr="004160AF" w:rsidRDefault="00847C11" w:rsidP="004160AF">
      <w:pPr>
        <w:ind w:left="720"/>
        <w:rPr>
          <w:rFonts w:ascii="Arial" w:hAnsi="Arial" w:cs="Arial"/>
          <w:b/>
        </w:rPr>
      </w:pPr>
    </w:p>
    <w:p w:rsidR="00847C11" w:rsidRPr="004160AF" w:rsidRDefault="00847C11" w:rsidP="004160AF">
      <w:pPr>
        <w:rPr>
          <w:rFonts w:ascii="Arial" w:hAnsi="Arial" w:cs="Arial"/>
        </w:rPr>
      </w:pPr>
      <w:r w:rsidRPr="004160AF">
        <w:rPr>
          <w:rFonts w:ascii="Arial" w:hAnsi="Arial" w:cs="Arial"/>
        </w:rPr>
        <w:tab/>
      </w:r>
    </w:p>
    <w:p w:rsidR="00847C11" w:rsidRPr="004160AF" w:rsidRDefault="00847C11" w:rsidP="004160AF">
      <w:pPr>
        <w:rPr>
          <w:rFonts w:ascii="Arial" w:hAnsi="Arial" w:cs="Arial"/>
          <w:b/>
        </w:rPr>
      </w:pPr>
    </w:p>
    <w:p w:rsidR="00847C11" w:rsidRPr="004160AF" w:rsidRDefault="00847C11" w:rsidP="004160AF">
      <w:pPr>
        <w:rPr>
          <w:rFonts w:ascii="Arial" w:hAnsi="Arial" w:cs="Arial"/>
          <w:b/>
        </w:rPr>
      </w:pPr>
    </w:p>
    <w:p w:rsidR="00847C11" w:rsidRPr="004160AF" w:rsidRDefault="00847C11" w:rsidP="004160AF">
      <w:pPr>
        <w:rPr>
          <w:rFonts w:ascii="Arial" w:hAnsi="Arial" w:cs="Arial"/>
          <w:b/>
        </w:rPr>
      </w:pPr>
    </w:p>
    <w:p w:rsidR="005239DB" w:rsidRPr="004160AF" w:rsidRDefault="005239DB" w:rsidP="004160AF">
      <w:pPr>
        <w:ind w:right="183"/>
        <w:rPr>
          <w:rFonts w:ascii="Arial" w:hAnsi="Arial" w:cs="Arial"/>
          <w:b/>
          <w:bCs/>
        </w:rPr>
      </w:pPr>
    </w:p>
    <w:p w:rsidR="005239DB" w:rsidRPr="004160AF" w:rsidRDefault="005239DB" w:rsidP="004160AF">
      <w:pPr>
        <w:ind w:right="183"/>
        <w:rPr>
          <w:rFonts w:ascii="Arial" w:hAnsi="Arial" w:cs="Arial"/>
          <w:bCs/>
        </w:rPr>
      </w:pPr>
    </w:p>
    <w:p w:rsidR="005239DB" w:rsidRPr="004160AF" w:rsidRDefault="005239DB" w:rsidP="004160AF">
      <w:pPr>
        <w:ind w:right="183"/>
        <w:rPr>
          <w:rFonts w:ascii="Arial" w:hAnsi="Arial" w:cs="Arial"/>
        </w:rPr>
      </w:pPr>
    </w:p>
    <w:p w:rsidR="005239DB" w:rsidRPr="004160AF" w:rsidRDefault="005239DB" w:rsidP="004160AF">
      <w:pPr>
        <w:ind w:left="540"/>
        <w:rPr>
          <w:rFonts w:ascii="Arial" w:hAnsi="Arial" w:cs="Arial"/>
          <w:bCs/>
        </w:rPr>
      </w:pPr>
    </w:p>
    <w:p w:rsidR="005239DB" w:rsidRPr="004160AF" w:rsidRDefault="005239DB" w:rsidP="004160AF">
      <w:pPr>
        <w:pStyle w:val="BodyTextIndent"/>
        <w:ind w:left="0" w:right="183" w:firstLine="0"/>
        <w:rPr>
          <w:rFonts w:ascii="Arial" w:hAnsi="Arial" w:cs="Arial"/>
          <w:b/>
          <w:bCs/>
        </w:rPr>
      </w:pPr>
    </w:p>
    <w:sectPr w:rsidR="005239DB" w:rsidRPr="004160AF" w:rsidSect="005B69F4">
      <w:footerReference w:type="default" r:id="rId9"/>
      <w:headerReference w:type="first" r:id="rId10"/>
      <w:footerReference w:type="first" r:id="rId11"/>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3CC" w:rsidRDefault="002253CC">
      <w:r>
        <w:separator/>
      </w:r>
    </w:p>
  </w:endnote>
  <w:endnote w:type="continuationSeparator" w:id="0">
    <w:p w:rsidR="002253CC" w:rsidRDefault="002253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6C3" w:rsidRDefault="00B656C3" w:rsidP="00C24B4E">
    <w:pPr>
      <w:pBdr>
        <w:bottom w:val="single" w:sz="12" w:space="1" w:color="auto"/>
      </w:pBdr>
      <w:jc w:val="center"/>
      <w:rPr>
        <w:rStyle w:val="PageNumber"/>
        <w:rFonts w:ascii="Arial" w:hAnsi="Arial" w:cs="Arial"/>
      </w:rPr>
    </w:pPr>
  </w:p>
  <w:p w:rsidR="00B656C3" w:rsidRDefault="00B656C3" w:rsidP="00C24B4E">
    <w:pPr>
      <w:jc w:val="center"/>
      <w:rPr>
        <w:rStyle w:val="PageNumber"/>
        <w:rFonts w:ascii="Arial" w:hAnsi="Arial" w:cs="Arial"/>
      </w:rPr>
    </w:pPr>
  </w:p>
  <w:p w:rsidR="00B656C3" w:rsidRDefault="00B656C3" w:rsidP="00C24B4E">
    <w:pPr>
      <w:jc w:val="center"/>
      <w:rPr>
        <w:rStyle w:val="PageNumber"/>
        <w:rFonts w:ascii="Arial" w:hAnsi="Arial" w:cs="Arial"/>
      </w:rPr>
    </w:pPr>
  </w:p>
  <w:p w:rsidR="002253CC" w:rsidRPr="00513DB0" w:rsidRDefault="008841CD" w:rsidP="00C24B4E">
    <w:pPr>
      <w:jc w:val="center"/>
      <w:rPr>
        <w:rFonts w:ascii="Arial" w:hAnsi="Arial" w:cs="Arial"/>
        <w:sz w:val="20"/>
        <w:szCs w:val="20"/>
      </w:rPr>
    </w:pPr>
    <w:r w:rsidRPr="00513DB0">
      <w:rPr>
        <w:rStyle w:val="PageNumber"/>
        <w:rFonts w:ascii="Arial" w:hAnsi="Arial" w:cs="Arial"/>
      </w:rPr>
      <w:fldChar w:fldCharType="begin"/>
    </w:r>
    <w:r w:rsidR="002253CC" w:rsidRPr="00513DB0">
      <w:rPr>
        <w:rStyle w:val="PageNumber"/>
        <w:rFonts w:ascii="Arial" w:hAnsi="Arial" w:cs="Arial"/>
      </w:rPr>
      <w:instrText xml:space="preserve"> PAGE </w:instrText>
    </w:r>
    <w:r w:rsidRPr="00513DB0">
      <w:rPr>
        <w:rStyle w:val="PageNumber"/>
        <w:rFonts w:ascii="Arial" w:hAnsi="Arial" w:cs="Arial"/>
      </w:rPr>
      <w:fldChar w:fldCharType="separate"/>
    </w:r>
    <w:r w:rsidR="00B656C3">
      <w:rPr>
        <w:rStyle w:val="PageNumber"/>
        <w:rFonts w:ascii="Arial" w:hAnsi="Arial" w:cs="Arial"/>
        <w:noProof/>
      </w:rPr>
      <w:t>2</w:t>
    </w:r>
    <w:r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8841CD" w:rsidRPr="00513DB0">
      <w:rPr>
        <w:rStyle w:val="PageNumber"/>
        <w:rFonts w:ascii="Arial" w:hAnsi="Arial" w:cs="Arial"/>
      </w:rPr>
      <w:fldChar w:fldCharType="begin"/>
    </w:r>
    <w:r w:rsidRPr="00513DB0">
      <w:rPr>
        <w:rStyle w:val="PageNumber"/>
        <w:rFonts w:ascii="Arial" w:hAnsi="Arial" w:cs="Arial"/>
      </w:rPr>
      <w:instrText xml:space="preserve"> PAGE </w:instrText>
    </w:r>
    <w:r w:rsidR="008841CD" w:rsidRPr="00513DB0">
      <w:rPr>
        <w:rStyle w:val="PageNumber"/>
        <w:rFonts w:ascii="Arial" w:hAnsi="Arial" w:cs="Arial"/>
      </w:rPr>
      <w:fldChar w:fldCharType="separate"/>
    </w:r>
    <w:r w:rsidR="00B656C3">
      <w:rPr>
        <w:rStyle w:val="PageNumber"/>
        <w:rFonts w:ascii="Arial" w:hAnsi="Arial" w:cs="Arial"/>
        <w:noProof/>
      </w:rPr>
      <w:t>1</w:t>
    </w:r>
    <w:r w:rsidR="008841CD" w:rsidRPr="00513DB0">
      <w:rPr>
        <w:rStyle w:val="PageNumber"/>
        <w:rFonts w:ascii="Arial" w:hAnsi="Arial" w:cs="Arial"/>
      </w:rPr>
      <w:fldChar w:fldCharType="end"/>
    </w:r>
  </w:p>
  <w:p w:rsidR="002253CC" w:rsidRDefault="00F459C0"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2253C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2253C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3CC" w:rsidRDefault="002253CC">
      <w:r>
        <w:separator/>
      </w:r>
    </w:p>
  </w:footnote>
  <w:footnote w:type="continuationSeparator" w:id="0">
    <w:p w:rsidR="002253CC" w:rsidRDefault="002253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C" w:rsidRPr="00CF6461" w:rsidRDefault="004160AF" w:rsidP="00CF6461">
    <w:pPr>
      <w:pStyle w:val="Header"/>
      <w:jc w:val="right"/>
      <w:rPr>
        <w:rFonts w:ascii="Arial" w:hAnsi="Arial" w:cs="Arial"/>
        <w:b/>
        <w:color w:val="0070C0"/>
        <w:sz w:val="28"/>
        <w:szCs w:val="28"/>
      </w:rPr>
    </w:pPr>
    <w:r>
      <w:rPr>
        <w:rFonts w:ascii="Arial" w:hAnsi="Arial" w:cs="Arial"/>
        <w:b/>
        <w:color w:val="0070C0"/>
        <w:sz w:val="28"/>
        <w:szCs w:val="28"/>
      </w:rPr>
      <w:t>Item 5.2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BED4710"/>
    <w:multiLevelType w:val="hybridMultilevel"/>
    <w:tmpl w:val="BBAE99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27220A2"/>
    <w:multiLevelType w:val="hybridMultilevel"/>
    <w:tmpl w:val="188615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3">
    <w:nsid w:val="42D818F2"/>
    <w:multiLevelType w:val="hybridMultilevel"/>
    <w:tmpl w:val="612A1A9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50370492"/>
    <w:multiLevelType w:val="hybridMultilevel"/>
    <w:tmpl w:val="EA263B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8"/>
  </w:num>
  <w:num w:numId="2">
    <w:abstractNumId w:val="21"/>
  </w:num>
  <w:num w:numId="3">
    <w:abstractNumId w:val="16"/>
  </w:num>
  <w:num w:numId="4">
    <w:abstractNumId w:val="1"/>
  </w:num>
  <w:num w:numId="5">
    <w:abstractNumId w:val="4"/>
  </w:num>
  <w:num w:numId="6">
    <w:abstractNumId w:val="12"/>
  </w:num>
  <w:num w:numId="7">
    <w:abstractNumId w:val="20"/>
  </w:num>
  <w:num w:numId="8">
    <w:abstractNumId w:val="0"/>
  </w:num>
  <w:num w:numId="9">
    <w:abstractNumId w:val="19"/>
  </w:num>
  <w:num w:numId="10">
    <w:abstractNumId w:val="10"/>
  </w:num>
  <w:num w:numId="11">
    <w:abstractNumId w:val="9"/>
  </w:num>
  <w:num w:numId="12">
    <w:abstractNumId w:val="17"/>
  </w:num>
  <w:num w:numId="13">
    <w:abstractNumId w:val="6"/>
  </w:num>
  <w:num w:numId="14">
    <w:abstractNumId w:val="5"/>
  </w:num>
  <w:num w:numId="15">
    <w:abstractNumId w:val="11"/>
  </w:num>
  <w:num w:numId="16">
    <w:abstractNumId w:val="8"/>
  </w:num>
  <w:num w:numId="17">
    <w:abstractNumId w:val="14"/>
  </w:num>
  <w:num w:numId="18">
    <w:abstractNumId w:val="2"/>
  </w:num>
  <w:num w:numId="19">
    <w:abstractNumId w:val="3"/>
  </w:num>
  <w:num w:numId="20">
    <w:abstractNumId w:val="13"/>
  </w:num>
  <w:num w:numId="21">
    <w:abstractNumId w:val="7"/>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rsids>
    <w:rsidRoot w:val="00A2577B"/>
    <w:rsid w:val="00061CDE"/>
    <w:rsid w:val="00075AAA"/>
    <w:rsid w:val="00097EAE"/>
    <w:rsid w:val="000B5923"/>
    <w:rsid w:val="000D0952"/>
    <w:rsid w:val="00115F97"/>
    <w:rsid w:val="001175E5"/>
    <w:rsid w:val="002253CC"/>
    <w:rsid w:val="00242068"/>
    <w:rsid w:val="002A42DD"/>
    <w:rsid w:val="002F20CE"/>
    <w:rsid w:val="0031078B"/>
    <w:rsid w:val="003E423D"/>
    <w:rsid w:val="003F19CA"/>
    <w:rsid w:val="004160AF"/>
    <w:rsid w:val="004512CE"/>
    <w:rsid w:val="00513DB0"/>
    <w:rsid w:val="005239DB"/>
    <w:rsid w:val="00526532"/>
    <w:rsid w:val="005B4BA8"/>
    <w:rsid w:val="005B69F4"/>
    <w:rsid w:val="005F02B7"/>
    <w:rsid w:val="0060634D"/>
    <w:rsid w:val="00661EF1"/>
    <w:rsid w:val="006A1357"/>
    <w:rsid w:val="006D6F99"/>
    <w:rsid w:val="00711E7A"/>
    <w:rsid w:val="007B4090"/>
    <w:rsid w:val="00815350"/>
    <w:rsid w:val="00825B2D"/>
    <w:rsid w:val="00844E0E"/>
    <w:rsid w:val="00847C11"/>
    <w:rsid w:val="008841CD"/>
    <w:rsid w:val="008A07AE"/>
    <w:rsid w:val="008C26A2"/>
    <w:rsid w:val="0093700B"/>
    <w:rsid w:val="00937BE5"/>
    <w:rsid w:val="009463A3"/>
    <w:rsid w:val="009742FA"/>
    <w:rsid w:val="00974594"/>
    <w:rsid w:val="009E6A39"/>
    <w:rsid w:val="00A2577B"/>
    <w:rsid w:val="00A3124D"/>
    <w:rsid w:val="00A560AF"/>
    <w:rsid w:val="00B656C3"/>
    <w:rsid w:val="00C0017D"/>
    <w:rsid w:val="00C24B4E"/>
    <w:rsid w:val="00C36974"/>
    <w:rsid w:val="00C956E2"/>
    <w:rsid w:val="00CA6DDF"/>
    <w:rsid w:val="00CE4B72"/>
    <w:rsid w:val="00CF6461"/>
    <w:rsid w:val="00D05F2C"/>
    <w:rsid w:val="00D306B6"/>
    <w:rsid w:val="00D3188F"/>
    <w:rsid w:val="00D92AA6"/>
    <w:rsid w:val="00DD7115"/>
    <w:rsid w:val="00DE5902"/>
    <w:rsid w:val="00E24BFC"/>
    <w:rsid w:val="00E95856"/>
    <w:rsid w:val="00EA4869"/>
    <w:rsid w:val="00EB7C07"/>
    <w:rsid w:val="00F12826"/>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B867FD-FE1B-417A-BC9E-62AFA4283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427</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2018-11-29T09:48:00Z</dcterms:created>
  <dcterms:modified xsi:type="dcterms:W3CDTF">2018-11-29T14:26:00Z</dcterms:modified>
</cp:coreProperties>
</file>