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A733" w14:textId="77777777" w:rsidR="00430C09" w:rsidRPr="00140DB3" w:rsidRDefault="00430C09" w:rsidP="00D44509">
      <w:pPr>
        <w:pStyle w:val="Heading1"/>
      </w:pPr>
      <w:r w:rsidRPr="00140DB3">
        <w:t xml:space="preserve">NHS </w:t>
      </w:r>
      <w:r w:rsidR="00DD6252">
        <w:t>Golden Jubilee</w:t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3B767697" wp14:editId="4AB04EE1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45C4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23883BCF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3C6B323E" w14:textId="3308CF2D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65970">
        <w:rPr>
          <w:rStyle w:val="Heading3Char"/>
          <w:b/>
        </w:rPr>
        <w:t>2</w:t>
      </w:r>
      <w:r w:rsidR="00CA6AD3">
        <w:rPr>
          <w:rStyle w:val="Heading3Char"/>
          <w:b/>
        </w:rPr>
        <w:t>8 August</w:t>
      </w:r>
      <w:r w:rsidR="00C93ED1">
        <w:rPr>
          <w:rStyle w:val="Heading3Char"/>
          <w:b/>
        </w:rPr>
        <w:t xml:space="preserve"> </w:t>
      </w:r>
      <w:r w:rsidR="00712B45">
        <w:rPr>
          <w:rStyle w:val="Heading3Char"/>
          <w:b/>
        </w:rPr>
        <w:t>2025</w:t>
      </w:r>
    </w:p>
    <w:p w14:paraId="77733748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1A1CBF4B" w14:textId="77777777" w:rsidR="00A128C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</w:t>
      </w:r>
      <w:r w:rsidR="00A128CD">
        <w:rPr>
          <w:rStyle w:val="Heading3Char"/>
          <w:b/>
        </w:rPr>
        <w:t xml:space="preserve">ark MacGregor, </w:t>
      </w:r>
      <w:r w:rsidR="00CA6AD3">
        <w:rPr>
          <w:rStyle w:val="Heading3Char"/>
          <w:b/>
        </w:rPr>
        <w:t xml:space="preserve">Executive </w:t>
      </w:r>
      <w:r w:rsidR="00A128CD">
        <w:rPr>
          <w:rStyle w:val="Heading3Char"/>
          <w:b/>
        </w:rPr>
        <w:t>Medical Director</w:t>
      </w:r>
    </w:p>
    <w:p w14:paraId="5BE356B8" w14:textId="5DADC00A" w:rsidR="00CC4412" w:rsidRPr="00CC4412" w:rsidRDefault="00CC4412" w:rsidP="009B3264">
      <w:pPr>
        <w:ind w:left="4515"/>
        <w:rPr>
          <w:rFonts w:eastAsiaTheme="majorEastAsia"/>
          <w:b/>
        </w:rPr>
      </w:pPr>
      <w:r>
        <w:rPr>
          <w:rFonts w:eastAsiaTheme="majorEastAsia"/>
          <w:b/>
        </w:rPr>
        <w:t xml:space="preserve">Anne Marie Cavanagh, </w:t>
      </w:r>
      <w:r w:rsidR="00CA6AD3">
        <w:rPr>
          <w:rFonts w:eastAsiaTheme="majorEastAsia"/>
          <w:b/>
        </w:rPr>
        <w:t xml:space="preserve">Executive </w:t>
      </w:r>
      <w:r>
        <w:rPr>
          <w:rFonts w:eastAsiaTheme="majorEastAsia"/>
          <w:b/>
        </w:rPr>
        <w:t>Director of Nursing</w:t>
      </w:r>
    </w:p>
    <w:p w14:paraId="3B82ACB5" w14:textId="7126990D" w:rsidR="00D1022D" w:rsidRDefault="00C035F3" w:rsidP="00A128C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>Linda Semple</w:t>
      </w:r>
      <w:r w:rsidR="00D1022D">
        <w:rPr>
          <w:rStyle w:val="Heading3Char"/>
          <w:b/>
        </w:rPr>
        <w:t>, Non-Executive Director (Chair)</w:t>
      </w:r>
    </w:p>
    <w:p w14:paraId="1F2869C2" w14:textId="77777777" w:rsidR="00D1022D" w:rsidRPr="00D1022D" w:rsidRDefault="00D1022D" w:rsidP="00D1022D">
      <w:pPr>
        <w:rPr>
          <w:rFonts w:eastAsiaTheme="majorEastAsia"/>
        </w:rPr>
      </w:pPr>
    </w:p>
    <w:p w14:paraId="6C6DEE52" w14:textId="77777777" w:rsidR="00CA6AD3" w:rsidRDefault="00430C09" w:rsidP="00961989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CA6AD3">
        <w:rPr>
          <w:rStyle w:val="Heading3Char"/>
          <w:b/>
        </w:rPr>
        <w:t>s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CA6AD3">
        <w:rPr>
          <w:rStyle w:val="Heading3Char"/>
          <w:b/>
        </w:rPr>
        <w:t>Nicki Hamer, Head of Corporate Governance and Board Secretary</w:t>
      </w:r>
    </w:p>
    <w:p w14:paraId="505CBE7E" w14:textId="6DAD23F6" w:rsidR="00D1415F" w:rsidRPr="00D1415F" w:rsidRDefault="00CA6AD3" w:rsidP="00961989">
      <w:pPr>
        <w:pStyle w:val="Heading3"/>
        <w:spacing w:before="0"/>
        <w:ind w:left="4536" w:hanging="4536"/>
        <w:rPr>
          <w:b w:val="0"/>
        </w:rPr>
      </w:pPr>
      <w:r>
        <w:rPr>
          <w:rStyle w:val="Heading3Char"/>
          <w:b/>
        </w:rPr>
        <w:tab/>
      </w:r>
    </w:p>
    <w:p w14:paraId="1104C79C" w14:textId="77777777" w:rsidR="00961989" w:rsidRPr="00B77902" w:rsidRDefault="00961989" w:rsidP="00B77902"/>
    <w:p w14:paraId="7F6A6B5B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30A59166" w14:textId="77777777" w:rsidR="003D757C" w:rsidRPr="003D757C" w:rsidRDefault="003D757C" w:rsidP="003D757C">
      <w:pPr>
        <w:ind w:left="709"/>
      </w:pPr>
    </w:p>
    <w:p w14:paraId="5AC7BBF6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  <w:bookmarkStart w:id="0" w:name="_GoBack"/>
      <w:bookmarkEnd w:id="0"/>
    </w:p>
    <w:p w14:paraId="3B82B844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0E3D1C3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EF2DD23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261A6381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5D6812E5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7CA9BC85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6B238A6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4E33F55F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3A5918C6" w14:textId="77777777" w:rsidR="00430C09" w:rsidRDefault="00430C09" w:rsidP="009807B4">
      <w:pPr>
        <w:spacing w:line="276" w:lineRule="auto"/>
      </w:pPr>
    </w:p>
    <w:p w14:paraId="071846EA" w14:textId="77777777" w:rsidR="00E67229" w:rsidRDefault="00E67229" w:rsidP="009807B4">
      <w:pPr>
        <w:spacing w:line="276" w:lineRule="auto"/>
      </w:pPr>
    </w:p>
    <w:p w14:paraId="49653076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4A00F436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21A59130" w14:textId="77777777" w:rsidR="00CC4412" w:rsidRPr="00CC4412" w:rsidRDefault="00CC4412" w:rsidP="003D757C">
      <w:pPr>
        <w:ind w:left="709" w:right="183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>There were no issues of concern raised at the meeting.</w:t>
      </w:r>
    </w:p>
    <w:p w14:paraId="67BFA28C" w14:textId="77777777" w:rsidR="00CC4412" w:rsidRDefault="00CC4412" w:rsidP="003D757C">
      <w:pPr>
        <w:ind w:left="709" w:right="183"/>
        <w:rPr>
          <w:rFonts w:cs="Arial"/>
          <w:bCs/>
        </w:rPr>
      </w:pPr>
    </w:p>
    <w:p w14:paraId="3DCBB2F8" w14:textId="77777777" w:rsidR="00D7465E" w:rsidRDefault="00D1415F" w:rsidP="00D7465E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 xml:space="preserve">Committee was held on </w:t>
      </w:r>
      <w:r w:rsidR="00672285">
        <w:rPr>
          <w:rFonts w:cs="Arial"/>
          <w:bCs/>
        </w:rPr>
        <w:t>14 August 2025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14:paraId="4A9DB354" w14:textId="77777777" w:rsidR="00D7465E" w:rsidRDefault="00D7465E" w:rsidP="00D7465E">
      <w:pPr>
        <w:ind w:left="709" w:right="183"/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7897E7DD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1EF57230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492A58A7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14:paraId="1AC136C6" w14:textId="77777777" w:rsidTr="008856AC">
        <w:tc>
          <w:tcPr>
            <w:tcW w:w="1251" w:type="dxa"/>
            <w:gridSpan w:val="2"/>
          </w:tcPr>
          <w:p w14:paraId="76A70A62" w14:textId="77777777" w:rsidR="00733D1F" w:rsidRDefault="003C221B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  <w:shd w:val="clear" w:color="auto" w:fill="auto"/>
          </w:tcPr>
          <w:p w14:paraId="018F1FA8" w14:textId="10086514" w:rsidR="00920B71" w:rsidRDefault="00D44509" w:rsidP="00F5503A">
            <w:pPr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9B3264">
              <w:rPr>
                <w:rFonts w:eastAsiaTheme="minorHAnsi" w:cs="Arial"/>
                <w:spacing w:val="0"/>
                <w:szCs w:val="24"/>
                <w:lang w:val="en-US"/>
              </w:rPr>
              <w:t>approved</w:t>
            </w:r>
            <w:r w:rsidR="00CA6AD3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the Strategic Risk Register.</w:t>
            </w:r>
          </w:p>
          <w:p w14:paraId="11DF57A5" w14:textId="77777777" w:rsidR="009B3264" w:rsidRDefault="009B3264" w:rsidP="00F5503A"/>
          <w:p w14:paraId="40AA4A2D" w14:textId="333B6866" w:rsidR="00920B71" w:rsidRDefault="009B3264" w:rsidP="00F5503A">
            <w:r>
              <w:t xml:space="preserve">The Committee received a clear and comprehensive item around the </w:t>
            </w:r>
            <w:r w:rsidR="00F5503A">
              <w:t>Clinical Governance F</w:t>
            </w:r>
            <w:r>
              <w:t xml:space="preserve">ramework Review which contained information on investing in staff learning and improving some of our processes.  </w:t>
            </w:r>
          </w:p>
          <w:p w14:paraId="0DBC5940" w14:textId="77777777" w:rsidR="009B3264" w:rsidRDefault="009B3264" w:rsidP="00F5503A"/>
          <w:p w14:paraId="12511C15" w14:textId="77777777" w:rsidR="009B3264" w:rsidRDefault="009B3264" w:rsidP="00F5503A">
            <w:pPr>
              <w:tabs>
                <w:tab w:val="left" w:pos="980"/>
              </w:tabs>
              <w:contextualSpacing/>
            </w:pPr>
            <w:r>
              <w:lastRenderedPageBreak/>
              <w:t xml:space="preserve">The Committee received the Public Records (Scotland) Act 2011 Progress Update and advised that the organisation was currently compliant with 13 out of the 14 assessment elements.  </w:t>
            </w:r>
          </w:p>
          <w:p w14:paraId="700D9DDE" w14:textId="77777777" w:rsidR="009B3264" w:rsidRDefault="009B3264" w:rsidP="00F5503A">
            <w:pPr>
              <w:tabs>
                <w:tab w:val="left" w:pos="980"/>
              </w:tabs>
              <w:contextualSpacing/>
            </w:pPr>
          </w:p>
          <w:p w14:paraId="025D2527" w14:textId="101C79B3" w:rsidR="009B3264" w:rsidRDefault="009B3264" w:rsidP="00F5503A">
            <w:pPr>
              <w:tabs>
                <w:tab w:val="left" w:pos="980"/>
              </w:tabs>
              <w:contextualSpacing/>
            </w:pPr>
            <w:r>
              <w:t xml:space="preserve">The Committee </w:t>
            </w:r>
            <w:r w:rsidR="00F5503A">
              <w:t>approved the Healthcare Staffing Quarter 1 Report.</w:t>
            </w:r>
          </w:p>
          <w:p w14:paraId="4B48FBEE" w14:textId="77777777" w:rsidR="00F5503A" w:rsidRDefault="00F5503A" w:rsidP="00F5503A">
            <w:pPr>
              <w:tabs>
                <w:tab w:val="left" w:pos="980"/>
              </w:tabs>
              <w:contextualSpacing/>
            </w:pPr>
          </w:p>
          <w:p w14:paraId="704E7544" w14:textId="1EB8C56E" w:rsidR="00F5503A" w:rsidRDefault="00F5503A" w:rsidP="00F5503A">
            <w:pPr>
              <w:tabs>
                <w:tab w:val="left" w:pos="980"/>
              </w:tabs>
              <w:contextualSpacing/>
            </w:pPr>
            <w:r>
              <w:t xml:space="preserve">The Committee noted the proposed new approach to the Complaints Handling process and welcomed the improvement plans being put in place. </w:t>
            </w:r>
          </w:p>
          <w:p w14:paraId="6ABE1F3C" w14:textId="502B8434" w:rsidR="009B3264" w:rsidRPr="00C533BE" w:rsidRDefault="009B3264" w:rsidP="00F5503A">
            <w:pPr>
              <w:tabs>
                <w:tab w:val="left" w:pos="980"/>
              </w:tabs>
              <w:contextualSpacing/>
            </w:pPr>
          </w:p>
        </w:tc>
      </w:tr>
      <w:tr w:rsidR="0097177E" w:rsidRPr="00C4455B" w14:paraId="0F918A96" w14:textId="77777777" w:rsidTr="00AF47A3">
        <w:trPr>
          <w:trHeight w:val="1087"/>
        </w:trPr>
        <w:tc>
          <w:tcPr>
            <w:tcW w:w="1251" w:type="dxa"/>
            <w:gridSpan w:val="2"/>
          </w:tcPr>
          <w:p w14:paraId="71CEC50A" w14:textId="77777777" w:rsidR="0097177E" w:rsidRDefault="00D44509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</w:tcPr>
          <w:p w14:paraId="21AA33D0" w14:textId="77777777" w:rsidR="00F5503A" w:rsidRDefault="00F5503A" w:rsidP="00F5503A">
            <w:pPr>
              <w:tabs>
                <w:tab w:val="left" w:pos="980"/>
              </w:tabs>
              <w:contextualSpacing/>
            </w:pPr>
            <w:r>
              <w:t>The Committee approved the Integrated Performance Report.</w:t>
            </w:r>
          </w:p>
          <w:p w14:paraId="21025811" w14:textId="77777777" w:rsidR="00F5503A" w:rsidRDefault="00F5503A" w:rsidP="00F5503A">
            <w:pPr>
              <w:tabs>
                <w:tab w:val="left" w:pos="980"/>
              </w:tabs>
              <w:contextualSpacing/>
            </w:pPr>
          </w:p>
          <w:p w14:paraId="10ECF7E8" w14:textId="7480FA05" w:rsidR="003C221B" w:rsidRDefault="00D44509" w:rsidP="00F5503A">
            <w:pPr>
              <w:tabs>
                <w:tab w:val="left" w:pos="980"/>
              </w:tabs>
              <w:contextualSpacing/>
            </w:pPr>
            <w:r>
              <w:t>The Committee received a comprehensive presentation from Martin Johnson, Director of Scottish Pulm</w:t>
            </w:r>
            <w:r w:rsidR="00CA6AD3">
              <w:t>on</w:t>
            </w:r>
            <w:r>
              <w:t>ary Vascular Unit, on the Service provi</w:t>
            </w:r>
            <w:r w:rsidR="00B162A9">
              <w:t>sion</w:t>
            </w:r>
            <w:r>
              <w:t xml:space="preserve"> and how patients </w:t>
            </w:r>
            <w:r w:rsidR="00F5503A">
              <w:t>we</w:t>
            </w:r>
            <w:r>
              <w:t>re assessed and treated.</w:t>
            </w:r>
          </w:p>
          <w:p w14:paraId="309C4490" w14:textId="77777777" w:rsidR="00F5503A" w:rsidRDefault="00F5503A" w:rsidP="00F5503A">
            <w:pPr>
              <w:tabs>
                <w:tab w:val="left" w:pos="980"/>
              </w:tabs>
              <w:contextualSpacing/>
              <w:rPr>
                <w:lang w:val="en-US"/>
              </w:rPr>
            </w:pPr>
          </w:p>
          <w:p w14:paraId="5672337D" w14:textId="654F30CB" w:rsidR="00F5503A" w:rsidRPr="003C221B" w:rsidRDefault="00F5503A" w:rsidP="00F5503A">
            <w:pPr>
              <w:tabs>
                <w:tab w:val="left" w:pos="980"/>
              </w:tabs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lang w:val="en-US"/>
              </w:rPr>
              <w:t xml:space="preserve">The Committee approved the Corporate Objectives for 2025/26. </w:t>
            </w:r>
          </w:p>
          <w:p w14:paraId="6DEF475C" w14:textId="77777777" w:rsidR="004404AE" w:rsidRPr="00787591" w:rsidRDefault="004404AE" w:rsidP="00F5503A">
            <w:pPr>
              <w:rPr>
                <w:rFonts w:cs="Arial"/>
                <w:szCs w:val="24"/>
                <w:highlight w:val="yellow"/>
              </w:rPr>
            </w:pPr>
          </w:p>
        </w:tc>
      </w:tr>
      <w:tr w:rsidR="00EE61AE" w:rsidRPr="00C4455B" w14:paraId="7621DF08" w14:textId="77777777" w:rsidTr="00AF47A3">
        <w:trPr>
          <w:trHeight w:val="1087"/>
        </w:trPr>
        <w:tc>
          <w:tcPr>
            <w:tcW w:w="1251" w:type="dxa"/>
            <w:gridSpan w:val="2"/>
          </w:tcPr>
          <w:p w14:paraId="5D7E6133" w14:textId="276D1E17" w:rsidR="00EE61AE" w:rsidRDefault="00F5503A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Person </w:t>
            </w:r>
            <w:proofErr w:type="spellStart"/>
            <w:r>
              <w:rPr>
                <w:rFonts w:cs="Arial"/>
                <w:bCs/>
                <w:lang w:val="en-US"/>
              </w:rPr>
              <w:t>Centred</w:t>
            </w:r>
            <w:proofErr w:type="spellEnd"/>
          </w:p>
        </w:tc>
        <w:tc>
          <w:tcPr>
            <w:tcW w:w="7929" w:type="dxa"/>
          </w:tcPr>
          <w:p w14:paraId="552D4D90" w14:textId="77777777" w:rsidR="00F5503A" w:rsidRDefault="00F5503A" w:rsidP="00F550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Whistleblowing Quarter 1 Report.</w:t>
            </w:r>
          </w:p>
          <w:p w14:paraId="5772DEED" w14:textId="77777777" w:rsidR="00F5503A" w:rsidRDefault="00F5503A" w:rsidP="00F5503A">
            <w:pPr>
              <w:rPr>
                <w:rFonts w:cs="Arial"/>
                <w:szCs w:val="24"/>
              </w:rPr>
            </w:pPr>
          </w:p>
          <w:p w14:paraId="5889BDD1" w14:textId="77777777" w:rsidR="00F5503A" w:rsidRDefault="00F5503A" w:rsidP="00F550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Feedback Quarter 1 Report.</w:t>
            </w:r>
          </w:p>
          <w:p w14:paraId="42F815D6" w14:textId="77777777" w:rsidR="00F5503A" w:rsidRDefault="00F5503A" w:rsidP="00F5503A">
            <w:pPr>
              <w:rPr>
                <w:rFonts w:cs="Arial"/>
                <w:szCs w:val="24"/>
              </w:rPr>
            </w:pPr>
          </w:p>
          <w:p w14:paraId="14569173" w14:textId="16017EDF" w:rsidR="00125DF1" w:rsidRDefault="00125DF1" w:rsidP="00F5503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A3159D">
              <w:rPr>
                <w:rFonts w:cs="Arial"/>
                <w:szCs w:val="24"/>
              </w:rPr>
              <w:t>received the Digital Governance Annual Update for 2024/25 and was ad</w:t>
            </w:r>
            <w:r>
              <w:rPr>
                <w:rFonts w:cs="Arial"/>
                <w:szCs w:val="24"/>
              </w:rPr>
              <w:t>vised that K</w:t>
            </w:r>
            <w:r w:rsidR="00B162A9">
              <w:rPr>
                <w:rFonts w:cs="Arial"/>
                <w:szCs w:val="24"/>
              </w:rPr>
              <w:t xml:space="preserve">ey </w:t>
            </w:r>
            <w:r>
              <w:rPr>
                <w:rFonts w:cs="Arial"/>
                <w:szCs w:val="24"/>
              </w:rPr>
              <w:t>P</w:t>
            </w:r>
            <w:r w:rsidR="00B162A9">
              <w:rPr>
                <w:rFonts w:cs="Arial"/>
                <w:szCs w:val="24"/>
              </w:rPr>
              <w:t xml:space="preserve">erformance </w:t>
            </w:r>
            <w:r>
              <w:rPr>
                <w:rFonts w:cs="Arial"/>
                <w:szCs w:val="24"/>
              </w:rPr>
              <w:t>I</w:t>
            </w:r>
            <w:r w:rsidR="00B162A9">
              <w:rPr>
                <w:rFonts w:cs="Arial"/>
                <w:szCs w:val="24"/>
              </w:rPr>
              <w:t>ndicator</w:t>
            </w:r>
            <w:r>
              <w:rPr>
                <w:rFonts w:cs="Arial"/>
                <w:szCs w:val="24"/>
              </w:rPr>
              <w:t>s</w:t>
            </w:r>
            <w:r w:rsidR="00B162A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for Digital Governance were sitting at 91%.  The Committee noted that this</w:t>
            </w:r>
            <w:r w:rsidR="00B162A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was a very positive update f</w:t>
            </w:r>
            <w:r w:rsidR="00B162A9">
              <w:rPr>
                <w:rFonts w:cs="Arial"/>
                <w:szCs w:val="24"/>
              </w:rPr>
              <w:t>rom</w:t>
            </w:r>
            <w:r>
              <w:rPr>
                <w:rFonts w:cs="Arial"/>
                <w:szCs w:val="24"/>
              </w:rPr>
              <w:t xml:space="preserve"> the Digital Governance Team.</w:t>
            </w:r>
          </w:p>
          <w:p w14:paraId="35BA4A44" w14:textId="77777777" w:rsidR="00A3159D" w:rsidRDefault="00A3159D" w:rsidP="00F5503A">
            <w:pPr>
              <w:rPr>
                <w:rFonts w:cs="Arial"/>
                <w:szCs w:val="24"/>
              </w:rPr>
            </w:pPr>
          </w:p>
          <w:p w14:paraId="49AC1BA5" w14:textId="2AEE71AB" w:rsidR="00A3159D" w:rsidRPr="00125DF1" w:rsidRDefault="00A3159D" w:rsidP="00F5503A">
            <w:pPr>
              <w:rPr>
                <w:rFonts w:cs="Arial"/>
                <w:spacing w:val="0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welcomed the Patient Story.  This was a positive patient experience with the patient receiving a Valve Replacement.  </w:t>
            </w:r>
          </w:p>
          <w:p w14:paraId="58169A14" w14:textId="77777777" w:rsidR="00EE61AE" w:rsidRDefault="00EE61AE" w:rsidP="00F5503A"/>
        </w:tc>
      </w:tr>
    </w:tbl>
    <w:p w14:paraId="0C763A15" w14:textId="77777777" w:rsidR="00156B76" w:rsidRDefault="00156B76" w:rsidP="00050D76"/>
    <w:p w14:paraId="2E9EFAFE" w14:textId="77777777"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C07865">
        <w:rPr>
          <w:rFonts w:hAnsi="Arial" w:cs="Arial"/>
          <w:lang w:val="en-US"/>
        </w:rPr>
        <w:t>meeting i</w:t>
      </w:r>
      <w:r w:rsidR="00E7372F">
        <w:rPr>
          <w:rFonts w:hAnsi="Arial" w:cs="Arial"/>
          <w:lang w:val="en-US"/>
        </w:rPr>
        <w:t xml:space="preserve">s scheduled for </w:t>
      </w:r>
      <w:r w:rsidR="00672285">
        <w:rPr>
          <w:rFonts w:hAnsi="Arial" w:cs="Arial"/>
          <w:lang w:val="en-US"/>
        </w:rPr>
        <w:t>Tuesday 11 November 2025.</w:t>
      </w:r>
    </w:p>
    <w:p w14:paraId="240FA111" w14:textId="77777777"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6A2C4E6" w14:textId="77777777" w:rsidR="00A722AE" w:rsidRDefault="00A722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D68561E" w14:textId="77777777"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16BC76F9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572CD92A" w14:textId="77777777"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14:paraId="6E940EA0" w14:textId="77777777" w:rsidR="005738FA" w:rsidRDefault="005738FA" w:rsidP="007E133D">
      <w:pPr>
        <w:ind w:right="183"/>
        <w:rPr>
          <w:rFonts w:cs="Arial"/>
        </w:rPr>
      </w:pPr>
    </w:p>
    <w:p w14:paraId="3B35A382" w14:textId="77777777" w:rsidR="00A3159D" w:rsidRDefault="00A3159D" w:rsidP="007E133D">
      <w:pPr>
        <w:ind w:right="183"/>
        <w:rPr>
          <w:rFonts w:cs="Arial"/>
        </w:rPr>
      </w:pPr>
    </w:p>
    <w:p w14:paraId="72316444" w14:textId="77777777" w:rsidR="00A3159D" w:rsidRDefault="00A3159D" w:rsidP="007E133D">
      <w:pPr>
        <w:ind w:right="183"/>
        <w:rPr>
          <w:rFonts w:cs="Arial"/>
        </w:rPr>
      </w:pPr>
    </w:p>
    <w:p w14:paraId="4101FF52" w14:textId="77777777" w:rsidR="003D757C" w:rsidRDefault="003D757C" w:rsidP="007E133D">
      <w:pPr>
        <w:ind w:right="183"/>
        <w:rPr>
          <w:rFonts w:cs="Arial"/>
        </w:rPr>
      </w:pPr>
    </w:p>
    <w:p w14:paraId="04ACB58C" w14:textId="7767F09E" w:rsidR="007E133D" w:rsidRDefault="00A3159D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Linda Semple</w:t>
      </w:r>
    </w:p>
    <w:p w14:paraId="70BD7DA5" w14:textId="40DE0D79" w:rsidR="007E133D" w:rsidRDefault="00A3159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Interim </w:t>
      </w:r>
      <w:r w:rsidR="007E133D"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 w:rsidR="007E133D">
        <w:rPr>
          <w:rFonts w:cs="Arial"/>
          <w:b/>
          <w:bCs/>
        </w:rPr>
        <w:t>Committee</w:t>
      </w:r>
    </w:p>
    <w:p w14:paraId="308A0F37" w14:textId="77777777" w:rsidR="007E133D" w:rsidRPr="005F1768" w:rsidRDefault="00672285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August 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05E0" w14:textId="77777777" w:rsidR="00741C6D" w:rsidRDefault="00741C6D">
      <w:r>
        <w:separator/>
      </w:r>
    </w:p>
  </w:endnote>
  <w:endnote w:type="continuationSeparator" w:id="0">
    <w:p w14:paraId="5D57417A" w14:textId="77777777" w:rsidR="00741C6D" w:rsidRDefault="0074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8557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521E0EFB" w14:textId="24E75456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846755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84675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A6B77" w14:textId="77777777" w:rsidR="00741C6D" w:rsidRDefault="00741C6D">
      <w:r>
        <w:separator/>
      </w:r>
    </w:p>
  </w:footnote>
  <w:footnote w:type="continuationSeparator" w:id="0">
    <w:p w14:paraId="641F0EE3" w14:textId="77777777" w:rsidR="00741C6D" w:rsidRDefault="0074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07FE7" w14:textId="4BEDA1C4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846755">
      <w:rPr>
        <w:rFonts w:cs="Arial"/>
        <w:b/>
        <w:color w:val="2E74B5" w:themeColor="accent1" w:themeShade="BF"/>
        <w:sz w:val="20"/>
      </w:rPr>
      <w:t>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D9"/>
    <w:multiLevelType w:val="hybridMultilevel"/>
    <w:tmpl w:val="A060EFCA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FE252C"/>
    <w:multiLevelType w:val="hybridMultilevel"/>
    <w:tmpl w:val="9B84A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29"/>
  </w:num>
  <w:num w:numId="5">
    <w:abstractNumId w:val="14"/>
  </w:num>
  <w:num w:numId="6">
    <w:abstractNumId w:val="11"/>
  </w:num>
  <w:num w:numId="7">
    <w:abstractNumId w:val="21"/>
  </w:num>
  <w:num w:numId="8">
    <w:abstractNumId w:val="10"/>
  </w:num>
  <w:num w:numId="9">
    <w:abstractNumId w:val="26"/>
  </w:num>
  <w:num w:numId="10">
    <w:abstractNumId w:val="6"/>
  </w:num>
  <w:num w:numId="11">
    <w:abstractNumId w:val="27"/>
  </w:num>
  <w:num w:numId="12">
    <w:abstractNumId w:val="5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24"/>
  </w:num>
  <w:num w:numId="18">
    <w:abstractNumId w:val="23"/>
  </w:num>
  <w:num w:numId="19">
    <w:abstractNumId w:val="9"/>
  </w:num>
  <w:num w:numId="20">
    <w:abstractNumId w:val="22"/>
  </w:num>
  <w:num w:numId="21">
    <w:abstractNumId w:val="4"/>
  </w:num>
  <w:num w:numId="22">
    <w:abstractNumId w:val="17"/>
  </w:num>
  <w:num w:numId="23">
    <w:abstractNumId w:val="3"/>
  </w:num>
  <w:num w:numId="24">
    <w:abstractNumId w:val="25"/>
  </w:num>
  <w:num w:numId="25">
    <w:abstractNumId w:val="16"/>
  </w:num>
  <w:num w:numId="26">
    <w:abstractNumId w:val="7"/>
  </w:num>
  <w:num w:numId="27">
    <w:abstractNumId w:val="20"/>
  </w:num>
  <w:num w:numId="28">
    <w:abstractNumId w:val="18"/>
  </w:num>
  <w:num w:numId="29">
    <w:abstractNumId w:val="2"/>
  </w:num>
  <w:num w:numId="30">
    <w:abstractNumId w:val="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31C61"/>
    <w:rsid w:val="0003779C"/>
    <w:rsid w:val="0004246B"/>
    <w:rsid w:val="00047714"/>
    <w:rsid w:val="00050C0E"/>
    <w:rsid w:val="00050D76"/>
    <w:rsid w:val="0006530B"/>
    <w:rsid w:val="00065970"/>
    <w:rsid w:val="00072A23"/>
    <w:rsid w:val="00075289"/>
    <w:rsid w:val="00076AC6"/>
    <w:rsid w:val="00090340"/>
    <w:rsid w:val="00091974"/>
    <w:rsid w:val="000945DB"/>
    <w:rsid w:val="00094832"/>
    <w:rsid w:val="000963B7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33A6"/>
    <w:rsid w:val="00125A9E"/>
    <w:rsid w:val="00125DF1"/>
    <w:rsid w:val="00140DB3"/>
    <w:rsid w:val="00156B76"/>
    <w:rsid w:val="00162FD2"/>
    <w:rsid w:val="001752FD"/>
    <w:rsid w:val="0018377D"/>
    <w:rsid w:val="00192A22"/>
    <w:rsid w:val="001A0CEE"/>
    <w:rsid w:val="001D250F"/>
    <w:rsid w:val="001E6915"/>
    <w:rsid w:val="001E7F08"/>
    <w:rsid w:val="001F1F8D"/>
    <w:rsid w:val="001F7C44"/>
    <w:rsid w:val="00215B9A"/>
    <w:rsid w:val="00217C9B"/>
    <w:rsid w:val="00221CC2"/>
    <w:rsid w:val="002236A4"/>
    <w:rsid w:val="0023473B"/>
    <w:rsid w:val="00244F6F"/>
    <w:rsid w:val="00245140"/>
    <w:rsid w:val="002459C1"/>
    <w:rsid w:val="002609B1"/>
    <w:rsid w:val="00262D6A"/>
    <w:rsid w:val="00270606"/>
    <w:rsid w:val="00273F84"/>
    <w:rsid w:val="002858CD"/>
    <w:rsid w:val="00287421"/>
    <w:rsid w:val="00287DCE"/>
    <w:rsid w:val="002947D8"/>
    <w:rsid w:val="002A0B5F"/>
    <w:rsid w:val="002A20D1"/>
    <w:rsid w:val="002B5F30"/>
    <w:rsid w:val="002F407B"/>
    <w:rsid w:val="0030362F"/>
    <w:rsid w:val="0030733C"/>
    <w:rsid w:val="00311DF5"/>
    <w:rsid w:val="003173B3"/>
    <w:rsid w:val="003175D5"/>
    <w:rsid w:val="0033790B"/>
    <w:rsid w:val="00340810"/>
    <w:rsid w:val="00343CDB"/>
    <w:rsid w:val="00346269"/>
    <w:rsid w:val="00346655"/>
    <w:rsid w:val="00356CF0"/>
    <w:rsid w:val="003635FA"/>
    <w:rsid w:val="00377F9B"/>
    <w:rsid w:val="003A525B"/>
    <w:rsid w:val="003B54F5"/>
    <w:rsid w:val="003B7BD0"/>
    <w:rsid w:val="003C221B"/>
    <w:rsid w:val="003D757C"/>
    <w:rsid w:val="003E0691"/>
    <w:rsid w:val="003F0AB1"/>
    <w:rsid w:val="003F1696"/>
    <w:rsid w:val="003F5742"/>
    <w:rsid w:val="003F7F61"/>
    <w:rsid w:val="00400499"/>
    <w:rsid w:val="00430C09"/>
    <w:rsid w:val="004404AE"/>
    <w:rsid w:val="00446219"/>
    <w:rsid w:val="00466281"/>
    <w:rsid w:val="00466937"/>
    <w:rsid w:val="0047563B"/>
    <w:rsid w:val="0048729E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3B5B"/>
    <w:rsid w:val="00566EE1"/>
    <w:rsid w:val="00573886"/>
    <w:rsid w:val="005738FA"/>
    <w:rsid w:val="00591C18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499E"/>
    <w:rsid w:val="005F7CD2"/>
    <w:rsid w:val="00603CAF"/>
    <w:rsid w:val="00610728"/>
    <w:rsid w:val="006173A9"/>
    <w:rsid w:val="006572F1"/>
    <w:rsid w:val="00672285"/>
    <w:rsid w:val="00674B5E"/>
    <w:rsid w:val="00677133"/>
    <w:rsid w:val="006829F0"/>
    <w:rsid w:val="006849AA"/>
    <w:rsid w:val="00686465"/>
    <w:rsid w:val="00694868"/>
    <w:rsid w:val="006D1343"/>
    <w:rsid w:val="006E0595"/>
    <w:rsid w:val="006E3F74"/>
    <w:rsid w:val="007015C0"/>
    <w:rsid w:val="00702AC6"/>
    <w:rsid w:val="00705BAA"/>
    <w:rsid w:val="00706ABE"/>
    <w:rsid w:val="00707BFF"/>
    <w:rsid w:val="00712B45"/>
    <w:rsid w:val="0072324F"/>
    <w:rsid w:val="00724B6A"/>
    <w:rsid w:val="00724C0C"/>
    <w:rsid w:val="00732C86"/>
    <w:rsid w:val="00733D1F"/>
    <w:rsid w:val="00741C6D"/>
    <w:rsid w:val="0075080D"/>
    <w:rsid w:val="00755EB8"/>
    <w:rsid w:val="00761561"/>
    <w:rsid w:val="00767BCA"/>
    <w:rsid w:val="00767C5F"/>
    <w:rsid w:val="00787591"/>
    <w:rsid w:val="00793A83"/>
    <w:rsid w:val="007B75D3"/>
    <w:rsid w:val="007E133D"/>
    <w:rsid w:val="007F031D"/>
    <w:rsid w:val="007F32CF"/>
    <w:rsid w:val="008061DC"/>
    <w:rsid w:val="00811E7D"/>
    <w:rsid w:val="00816E22"/>
    <w:rsid w:val="00823F28"/>
    <w:rsid w:val="00836178"/>
    <w:rsid w:val="00844A7E"/>
    <w:rsid w:val="00846755"/>
    <w:rsid w:val="008856AC"/>
    <w:rsid w:val="00891956"/>
    <w:rsid w:val="008A0019"/>
    <w:rsid w:val="008A527A"/>
    <w:rsid w:val="008C3814"/>
    <w:rsid w:val="008C7F7E"/>
    <w:rsid w:val="008D216D"/>
    <w:rsid w:val="008E1DD5"/>
    <w:rsid w:val="00920B71"/>
    <w:rsid w:val="00927C6C"/>
    <w:rsid w:val="00930CED"/>
    <w:rsid w:val="00931E82"/>
    <w:rsid w:val="00934D7A"/>
    <w:rsid w:val="00937A80"/>
    <w:rsid w:val="0095106C"/>
    <w:rsid w:val="00955505"/>
    <w:rsid w:val="00956ABE"/>
    <w:rsid w:val="00961989"/>
    <w:rsid w:val="009646D3"/>
    <w:rsid w:val="0097177E"/>
    <w:rsid w:val="009748C1"/>
    <w:rsid w:val="00976D1B"/>
    <w:rsid w:val="009807B4"/>
    <w:rsid w:val="0098581E"/>
    <w:rsid w:val="00987280"/>
    <w:rsid w:val="009A503C"/>
    <w:rsid w:val="009B3264"/>
    <w:rsid w:val="009B4300"/>
    <w:rsid w:val="009C5992"/>
    <w:rsid w:val="009F3570"/>
    <w:rsid w:val="009F4BF0"/>
    <w:rsid w:val="009F74AE"/>
    <w:rsid w:val="00A02830"/>
    <w:rsid w:val="00A029A1"/>
    <w:rsid w:val="00A033EB"/>
    <w:rsid w:val="00A128CD"/>
    <w:rsid w:val="00A13988"/>
    <w:rsid w:val="00A15853"/>
    <w:rsid w:val="00A2680C"/>
    <w:rsid w:val="00A27D8F"/>
    <w:rsid w:val="00A3159D"/>
    <w:rsid w:val="00A41666"/>
    <w:rsid w:val="00A43514"/>
    <w:rsid w:val="00A43898"/>
    <w:rsid w:val="00A4610C"/>
    <w:rsid w:val="00A52F1A"/>
    <w:rsid w:val="00A62B58"/>
    <w:rsid w:val="00A722AE"/>
    <w:rsid w:val="00A84C97"/>
    <w:rsid w:val="00A93BD8"/>
    <w:rsid w:val="00AA77F7"/>
    <w:rsid w:val="00AB6D30"/>
    <w:rsid w:val="00AE522B"/>
    <w:rsid w:val="00AF0530"/>
    <w:rsid w:val="00AF2D41"/>
    <w:rsid w:val="00AF356A"/>
    <w:rsid w:val="00AF47A3"/>
    <w:rsid w:val="00B0075A"/>
    <w:rsid w:val="00B00FF3"/>
    <w:rsid w:val="00B162A9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B4A04"/>
    <w:rsid w:val="00BC5295"/>
    <w:rsid w:val="00BD5F51"/>
    <w:rsid w:val="00BE793D"/>
    <w:rsid w:val="00BF3AF0"/>
    <w:rsid w:val="00C035F3"/>
    <w:rsid w:val="00C07865"/>
    <w:rsid w:val="00C1128C"/>
    <w:rsid w:val="00C133F3"/>
    <w:rsid w:val="00C33F1F"/>
    <w:rsid w:val="00C408D4"/>
    <w:rsid w:val="00C4455B"/>
    <w:rsid w:val="00C45F03"/>
    <w:rsid w:val="00C4758E"/>
    <w:rsid w:val="00C533BE"/>
    <w:rsid w:val="00C5371C"/>
    <w:rsid w:val="00C8219C"/>
    <w:rsid w:val="00C84CF1"/>
    <w:rsid w:val="00C87B62"/>
    <w:rsid w:val="00C93ED1"/>
    <w:rsid w:val="00C94BF7"/>
    <w:rsid w:val="00CA6AD3"/>
    <w:rsid w:val="00CB0D87"/>
    <w:rsid w:val="00CB5C26"/>
    <w:rsid w:val="00CC4412"/>
    <w:rsid w:val="00CC77B3"/>
    <w:rsid w:val="00CD420D"/>
    <w:rsid w:val="00CE6872"/>
    <w:rsid w:val="00CF3A82"/>
    <w:rsid w:val="00D1022D"/>
    <w:rsid w:val="00D1108D"/>
    <w:rsid w:val="00D1415F"/>
    <w:rsid w:val="00D20EE6"/>
    <w:rsid w:val="00D372DD"/>
    <w:rsid w:val="00D40B26"/>
    <w:rsid w:val="00D44509"/>
    <w:rsid w:val="00D65364"/>
    <w:rsid w:val="00D73876"/>
    <w:rsid w:val="00D7465E"/>
    <w:rsid w:val="00DB46A0"/>
    <w:rsid w:val="00DB5DC3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0701A"/>
    <w:rsid w:val="00E168BD"/>
    <w:rsid w:val="00E231CF"/>
    <w:rsid w:val="00E322E8"/>
    <w:rsid w:val="00E41943"/>
    <w:rsid w:val="00E4590E"/>
    <w:rsid w:val="00E46B08"/>
    <w:rsid w:val="00E46E4D"/>
    <w:rsid w:val="00E61120"/>
    <w:rsid w:val="00E67229"/>
    <w:rsid w:val="00E71CD2"/>
    <w:rsid w:val="00E7372F"/>
    <w:rsid w:val="00E81366"/>
    <w:rsid w:val="00E906A9"/>
    <w:rsid w:val="00E92930"/>
    <w:rsid w:val="00E979D1"/>
    <w:rsid w:val="00EB5480"/>
    <w:rsid w:val="00EC5298"/>
    <w:rsid w:val="00EC596E"/>
    <w:rsid w:val="00ED2CF9"/>
    <w:rsid w:val="00EE2992"/>
    <w:rsid w:val="00EE61AE"/>
    <w:rsid w:val="00EE712B"/>
    <w:rsid w:val="00F05FA1"/>
    <w:rsid w:val="00F109DE"/>
    <w:rsid w:val="00F14E3E"/>
    <w:rsid w:val="00F3337D"/>
    <w:rsid w:val="00F360BE"/>
    <w:rsid w:val="00F42A7C"/>
    <w:rsid w:val="00F44D85"/>
    <w:rsid w:val="00F5503A"/>
    <w:rsid w:val="00F57E40"/>
    <w:rsid w:val="00F66B09"/>
    <w:rsid w:val="00F77994"/>
    <w:rsid w:val="00F87758"/>
    <w:rsid w:val="00F87828"/>
    <w:rsid w:val="00F90519"/>
    <w:rsid w:val="00F9163B"/>
    <w:rsid w:val="00F95D11"/>
    <w:rsid w:val="00FA1EBE"/>
    <w:rsid w:val="00FA209F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157A26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231CF"/>
    <w:rPr>
      <w:color w:val="808080"/>
    </w:rPr>
  </w:style>
  <w:style w:type="paragraph" w:styleId="Revision">
    <w:name w:val="Revision"/>
    <w:hidden/>
    <w:uiPriority w:val="99"/>
    <w:semiHidden/>
    <w:rsid w:val="009B3264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4</cp:revision>
  <cp:lastPrinted>2024-09-10T08:46:00Z</cp:lastPrinted>
  <dcterms:created xsi:type="dcterms:W3CDTF">2025-08-19T12:04:00Z</dcterms:created>
  <dcterms:modified xsi:type="dcterms:W3CDTF">2025-08-19T15:15:00Z</dcterms:modified>
</cp:coreProperties>
</file>