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EA7" w14:textId="77777777" w:rsidR="00430C09" w:rsidRPr="00140DB3" w:rsidRDefault="00430C09" w:rsidP="00A35CBE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5AFC6262" wp14:editId="1F572B63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FBA4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72E95BA7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14:paraId="7D6E0229" w14:textId="2A8ADD4D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326DE8">
        <w:rPr>
          <w:rStyle w:val="Heading3Char"/>
          <w:b/>
        </w:rPr>
        <w:t xml:space="preserve">19 </w:t>
      </w:r>
      <w:r w:rsidR="003D0FAF">
        <w:rPr>
          <w:rStyle w:val="Heading3Char"/>
          <w:b/>
        </w:rPr>
        <w:t>August</w:t>
      </w:r>
      <w:r w:rsidR="00956ADC">
        <w:rPr>
          <w:rStyle w:val="Heading3Char"/>
          <w:b/>
        </w:rPr>
        <w:t xml:space="preserve"> </w:t>
      </w:r>
      <w:r w:rsidR="00ED3A5B">
        <w:rPr>
          <w:rStyle w:val="Heading3Char"/>
          <w:b/>
        </w:rPr>
        <w:t>2025</w:t>
      </w:r>
    </w:p>
    <w:p w14:paraId="0055DFB3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797392CA" w14:textId="77777777"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56ADC">
        <w:rPr>
          <w:rStyle w:val="Heading3Char"/>
          <w:b/>
        </w:rPr>
        <w:t xml:space="preserve">Jonny Gamble, </w:t>
      </w:r>
      <w:r w:rsidR="00926C8F">
        <w:rPr>
          <w:rStyle w:val="Heading3Char"/>
          <w:b/>
        </w:rPr>
        <w:t xml:space="preserve">Executive </w:t>
      </w:r>
      <w:r w:rsidR="00956ADC">
        <w:rPr>
          <w:rStyle w:val="Heading3Char"/>
          <w:b/>
        </w:rPr>
        <w:t xml:space="preserve">Director of </w:t>
      </w:r>
      <w:r w:rsidR="00C3506D">
        <w:rPr>
          <w:rStyle w:val="Heading3Char"/>
          <w:b/>
        </w:rPr>
        <w:t xml:space="preserve">Finance </w:t>
      </w:r>
    </w:p>
    <w:p w14:paraId="61D35B80" w14:textId="2C58A52C"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</w:t>
      </w:r>
      <w:r w:rsidR="003D0FAF">
        <w:rPr>
          <w:rStyle w:val="Heading3Char"/>
          <w:b/>
        </w:rPr>
        <w:t>d</w:t>
      </w:r>
      <w:r>
        <w:rPr>
          <w:rStyle w:val="Heading3Char"/>
          <w:b/>
        </w:rPr>
        <w:t>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14:paraId="046A18FE" w14:textId="77777777"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8A1EF6">
        <w:rPr>
          <w:rStyle w:val="Heading3Char"/>
          <w:b/>
        </w:rPr>
        <w:t>Nicki Hamer, Head of Corporate Governance and Board Secretary</w:t>
      </w:r>
    </w:p>
    <w:p w14:paraId="754D736E" w14:textId="77777777" w:rsidR="008A1EF6" w:rsidRPr="008A1EF6" w:rsidRDefault="008A1EF6" w:rsidP="008A1EF6">
      <w:pPr>
        <w:rPr>
          <w:rFonts w:eastAsiaTheme="majorEastAsia"/>
        </w:rPr>
      </w:pPr>
    </w:p>
    <w:p w14:paraId="375234C7" w14:textId="77777777" w:rsidR="00B77902" w:rsidRPr="00B77902" w:rsidRDefault="00B77902" w:rsidP="00B77902"/>
    <w:p w14:paraId="67BF8CD5" w14:textId="77777777"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14:paraId="3A8ABFB7" w14:textId="77777777" w:rsidR="003D757C" w:rsidRPr="003D757C" w:rsidRDefault="003D757C" w:rsidP="003D757C">
      <w:pPr>
        <w:ind w:left="709"/>
      </w:pPr>
    </w:p>
    <w:p w14:paraId="77E99E60" w14:textId="77777777"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14:paraId="586DD357" w14:textId="77777777"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0851A439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3F15DC99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44BCB4C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14:paraId="166FC595" w14:textId="77777777"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58FB9AB4" w14:textId="77777777"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476AC05C" w14:textId="77777777"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65626282" w14:textId="77777777"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8A1EF6">
        <w:rPr>
          <w:rFonts w:ascii="Arial" w:hAnsi="Arial" w:cs="Arial"/>
          <w:color w:val="000000"/>
          <w:sz w:val="24"/>
          <w:szCs w:val="24"/>
        </w:rPr>
        <w:t xml:space="preserve">all the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14:paraId="0A6A144F" w14:textId="77777777" w:rsidR="00430C09" w:rsidRDefault="00430C09" w:rsidP="009807B4">
      <w:pPr>
        <w:spacing w:line="276" w:lineRule="auto"/>
      </w:pPr>
    </w:p>
    <w:p w14:paraId="2299D093" w14:textId="77777777"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01E361E3" w14:textId="77777777"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14:paraId="0B2EE3B6" w14:textId="2E2B9B57" w:rsidR="00D6235F" w:rsidRPr="00CC4412" w:rsidRDefault="00D6235F" w:rsidP="00D6235F">
      <w:pPr>
        <w:ind w:left="982" w:right="183" w:firstLine="11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There </w:t>
      </w:r>
      <w:r w:rsidR="003D0FAF">
        <w:rPr>
          <w:rFonts w:cs="Arial"/>
          <w:b/>
          <w:bCs/>
          <w:color w:val="FF0000"/>
        </w:rPr>
        <w:t>we</w:t>
      </w:r>
      <w:r w:rsidR="00ED3A5B">
        <w:rPr>
          <w:rFonts w:cs="Arial"/>
          <w:b/>
          <w:bCs/>
          <w:color w:val="FF0000"/>
        </w:rPr>
        <w:t>re no</w:t>
      </w:r>
      <w:r w:rsidR="0040390D">
        <w:rPr>
          <w:rFonts w:cs="Arial"/>
          <w:b/>
          <w:bCs/>
          <w:color w:val="FF0000"/>
        </w:rPr>
        <w:t xml:space="preserve"> issue</w:t>
      </w:r>
      <w:r w:rsidR="00ED3A5B">
        <w:rPr>
          <w:rFonts w:cs="Arial"/>
          <w:b/>
          <w:bCs/>
          <w:color w:val="FF0000"/>
        </w:rPr>
        <w:t>s</w:t>
      </w:r>
      <w:r>
        <w:rPr>
          <w:rFonts w:cs="Arial"/>
          <w:b/>
          <w:bCs/>
          <w:color w:val="FF0000"/>
        </w:rPr>
        <w:t xml:space="preserve"> of concern</w:t>
      </w:r>
      <w:r w:rsidR="003D0FAF">
        <w:rPr>
          <w:rFonts w:cs="Arial"/>
          <w:b/>
          <w:bCs/>
          <w:color w:val="FF0000"/>
        </w:rPr>
        <w:t xml:space="preserve"> raised</w:t>
      </w:r>
      <w:r>
        <w:rPr>
          <w:rFonts w:cs="Arial"/>
          <w:b/>
          <w:bCs/>
          <w:color w:val="FF0000"/>
        </w:rPr>
        <w:t xml:space="preserve"> </w:t>
      </w:r>
    </w:p>
    <w:p w14:paraId="20E270F9" w14:textId="77777777" w:rsidR="00D6235F" w:rsidRDefault="00D6235F" w:rsidP="00ED3A5B">
      <w:pPr>
        <w:ind w:right="183"/>
        <w:rPr>
          <w:rFonts w:cs="Arial"/>
          <w:bCs/>
        </w:rPr>
      </w:pPr>
    </w:p>
    <w:p w14:paraId="2A14BF3D" w14:textId="602B44DF"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617599">
        <w:rPr>
          <w:rFonts w:cs="Arial"/>
          <w:bCs/>
        </w:rPr>
        <w:t>19 Aug</w:t>
      </w:r>
      <w:r w:rsidR="00926C8F">
        <w:rPr>
          <w:rFonts w:cs="Arial"/>
          <w:bCs/>
        </w:rPr>
        <w:t>ust</w:t>
      </w:r>
      <w:r w:rsidR="00D6235F">
        <w:rPr>
          <w:rFonts w:cs="Arial"/>
          <w:bCs/>
        </w:rPr>
        <w:t xml:space="preserve"> </w:t>
      </w:r>
      <w:r w:rsidR="00326DE8">
        <w:rPr>
          <w:rFonts w:cs="Arial"/>
          <w:bCs/>
        </w:rPr>
        <w:t>2025</w:t>
      </w:r>
      <w:r w:rsidR="00926C8F">
        <w:rPr>
          <w:rFonts w:cs="Arial"/>
          <w:bCs/>
        </w:rPr>
        <w:t>.</w:t>
      </w:r>
      <w:r w:rsidR="00050D76">
        <w:rPr>
          <w:rFonts w:cs="Arial"/>
          <w:bCs/>
        </w:rPr>
        <w:t xml:space="preserve"> </w:t>
      </w:r>
      <w:r w:rsidR="00926C8F">
        <w:rPr>
          <w:rFonts w:cs="Arial"/>
          <w:bCs/>
        </w:rPr>
        <w:t>T</w:t>
      </w:r>
      <w:r w:rsidR="00050D76">
        <w:rPr>
          <w:rFonts w:cs="Arial"/>
          <w:bCs/>
        </w:rPr>
        <w:t xml:space="preserve">he following key points were noted at the meeting.  </w:t>
      </w:r>
    </w:p>
    <w:p w14:paraId="78F959FD" w14:textId="77777777"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05792574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10FE4AC4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06870937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14:paraId="14729A75" w14:textId="77777777" w:rsidTr="00022EE5">
        <w:tc>
          <w:tcPr>
            <w:tcW w:w="1251" w:type="dxa"/>
            <w:gridSpan w:val="2"/>
          </w:tcPr>
          <w:p w14:paraId="139E7589" w14:textId="77777777"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14:paraId="410FCA8F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14:paraId="15DA95DC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7DB3DE74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7869F78E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44B06B0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D4C4A68" w14:textId="77777777"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14:paraId="12CF41AA" w14:textId="77777777"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3416CDFB" w14:textId="77777777" w:rsidR="00A76A8D" w:rsidRDefault="00A76A8D" w:rsidP="00011140">
            <w:pPr>
              <w:rPr>
                <w:rFonts w:cs="Arial"/>
                <w:szCs w:val="24"/>
              </w:rPr>
            </w:pPr>
          </w:p>
          <w:p w14:paraId="69E8EB00" w14:textId="0C62540A" w:rsidR="002D3943" w:rsidRDefault="002D394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ommittee noted the Counter Fraud Quarterly Report</w:t>
            </w:r>
            <w:r w:rsidR="00926C8F">
              <w:rPr>
                <w:rFonts w:cs="Arial"/>
                <w:szCs w:val="24"/>
              </w:rPr>
              <w:t xml:space="preserve"> which reported that n</w:t>
            </w:r>
            <w:r>
              <w:rPr>
                <w:rFonts w:cs="Arial"/>
                <w:szCs w:val="24"/>
              </w:rPr>
              <w:t xml:space="preserve">o new cases </w:t>
            </w:r>
            <w:r w:rsidR="00926C8F">
              <w:rPr>
                <w:rFonts w:cs="Arial"/>
                <w:szCs w:val="24"/>
              </w:rPr>
              <w:t>had been</w:t>
            </w:r>
            <w:r>
              <w:rPr>
                <w:rFonts w:cs="Arial"/>
                <w:szCs w:val="24"/>
              </w:rPr>
              <w:t xml:space="preserve"> added </w:t>
            </w:r>
            <w:r w:rsidR="00926C8F">
              <w:rPr>
                <w:rFonts w:cs="Arial"/>
                <w:szCs w:val="24"/>
              </w:rPr>
              <w:t xml:space="preserve">during </w:t>
            </w:r>
            <w:r w:rsidR="003D0FAF">
              <w:rPr>
                <w:rFonts w:cs="Arial"/>
                <w:szCs w:val="24"/>
              </w:rPr>
              <w:t>Q</w:t>
            </w:r>
            <w:r>
              <w:rPr>
                <w:rFonts w:cs="Arial"/>
                <w:szCs w:val="24"/>
              </w:rPr>
              <w:t>uarte</w:t>
            </w:r>
            <w:r w:rsidR="00926C8F">
              <w:rPr>
                <w:rFonts w:cs="Arial"/>
                <w:szCs w:val="24"/>
              </w:rPr>
              <w:t>r</w:t>
            </w:r>
            <w:r w:rsidR="003D0FAF">
              <w:rPr>
                <w:rFonts w:cs="Arial"/>
                <w:szCs w:val="24"/>
              </w:rPr>
              <w:t xml:space="preserve"> One</w:t>
            </w:r>
            <w:r w:rsidR="00926C8F">
              <w:rPr>
                <w:rFonts w:cs="Arial"/>
                <w:szCs w:val="24"/>
              </w:rPr>
              <w:t xml:space="preserve"> and</w:t>
            </w:r>
            <w:r>
              <w:rPr>
                <w:rFonts w:cs="Arial"/>
                <w:szCs w:val="24"/>
              </w:rPr>
              <w:t xml:space="preserve"> </w:t>
            </w:r>
            <w:r w:rsidR="003D0FAF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>two open cases were</w:t>
            </w:r>
            <w:r w:rsidR="003D0FAF">
              <w:rPr>
                <w:rFonts w:cs="Arial"/>
                <w:szCs w:val="24"/>
              </w:rPr>
              <w:t xml:space="preserve"> still </w:t>
            </w:r>
            <w:r>
              <w:rPr>
                <w:rFonts w:cs="Arial"/>
                <w:szCs w:val="24"/>
              </w:rPr>
              <w:t xml:space="preserve">ongoing. </w:t>
            </w:r>
          </w:p>
          <w:p w14:paraId="278C5085" w14:textId="77777777" w:rsidR="00AB4181" w:rsidRDefault="00AB4181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4CF9B8E9" w14:textId="021B988E" w:rsidR="002D3943" w:rsidRDefault="002D394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</w:t>
            </w:r>
            <w:r w:rsidR="003D0FAF">
              <w:rPr>
                <w:rFonts w:cs="Arial"/>
                <w:szCs w:val="24"/>
              </w:rPr>
              <w:t xml:space="preserve">received </w:t>
            </w:r>
            <w:r>
              <w:rPr>
                <w:rFonts w:cs="Arial"/>
                <w:szCs w:val="24"/>
              </w:rPr>
              <w:t>the NIS Audit and Cyber Update</w:t>
            </w:r>
            <w:r w:rsidR="00926C8F">
              <w:rPr>
                <w:rFonts w:cs="Arial"/>
                <w:szCs w:val="24"/>
              </w:rPr>
              <w:t xml:space="preserve"> and</w:t>
            </w:r>
            <w:r w:rsidR="003D0FAF">
              <w:rPr>
                <w:rFonts w:cs="Arial"/>
                <w:szCs w:val="24"/>
              </w:rPr>
              <w:t xml:space="preserve"> noted</w:t>
            </w:r>
            <w:r w:rsidR="00926C8F">
              <w:rPr>
                <w:rFonts w:cs="Arial"/>
                <w:szCs w:val="24"/>
              </w:rPr>
              <w:t xml:space="preserve"> </w:t>
            </w:r>
            <w:r w:rsidR="006D2B6B">
              <w:rPr>
                <w:rFonts w:cs="Arial"/>
                <w:szCs w:val="24"/>
              </w:rPr>
              <w:t xml:space="preserve">the good progress from previous years with </w:t>
            </w:r>
            <w:r w:rsidR="00452ABF">
              <w:rPr>
                <w:rFonts w:cs="Arial"/>
                <w:szCs w:val="24"/>
              </w:rPr>
              <w:t xml:space="preserve">50 remaining </w:t>
            </w:r>
            <w:r>
              <w:rPr>
                <w:rFonts w:cs="Arial"/>
                <w:szCs w:val="24"/>
              </w:rPr>
              <w:t>controls to be achi</w:t>
            </w:r>
            <w:r w:rsidR="00452ABF">
              <w:rPr>
                <w:rFonts w:cs="Arial"/>
                <w:szCs w:val="24"/>
              </w:rPr>
              <w:t xml:space="preserve">eved. </w:t>
            </w:r>
            <w:r w:rsidR="00C40B28">
              <w:rPr>
                <w:rFonts w:cs="Arial"/>
                <w:szCs w:val="24"/>
              </w:rPr>
              <w:t>The Committee were assured that p</w:t>
            </w:r>
            <w:r w:rsidR="00452ABF">
              <w:rPr>
                <w:rFonts w:cs="Arial"/>
                <w:szCs w:val="24"/>
              </w:rPr>
              <w:t xml:space="preserve">rogress was on </w:t>
            </w:r>
            <w:proofErr w:type="gramStart"/>
            <w:r w:rsidR="00452ABF">
              <w:rPr>
                <w:rFonts w:cs="Arial"/>
                <w:szCs w:val="24"/>
              </w:rPr>
              <w:t>track</w:t>
            </w:r>
            <w:r w:rsidR="003D0FAF">
              <w:rPr>
                <w:rFonts w:cs="Arial"/>
                <w:szCs w:val="24"/>
              </w:rPr>
              <w:t>.</w:t>
            </w:r>
            <w:r w:rsidR="00452ABF">
              <w:rPr>
                <w:rFonts w:cs="Arial"/>
                <w:szCs w:val="24"/>
              </w:rPr>
              <w:t>.</w:t>
            </w:r>
            <w:proofErr w:type="gramEnd"/>
          </w:p>
          <w:p w14:paraId="27BA4FE0" w14:textId="564E6E3A" w:rsidR="00452ABF" w:rsidRDefault="00141798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</w:t>
            </w:r>
            <w:r w:rsidR="003D0FAF">
              <w:rPr>
                <w:rFonts w:cs="Arial"/>
                <w:szCs w:val="24"/>
              </w:rPr>
              <w:t>welcom</w:t>
            </w:r>
            <w:r>
              <w:rPr>
                <w:rFonts w:cs="Arial"/>
                <w:szCs w:val="24"/>
              </w:rPr>
              <w:t>ed the Tender Waiver Report</w:t>
            </w:r>
            <w:r w:rsidR="003D0FAF">
              <w:rPr>
                <w:rFonts w:cs="Arial"/>
                <w:szCs w:val="24"/>
              </w:rPr>
              <w:t>, noting t</w:t>
            </w:r>
            <w:r>
              <w:rPr>
                <w:rFonts w:cs="Arial"/>
                <w:szCs w:val="24"/>
              </w:rPr>
              <w:t>he</w:t>
            </w:r>
            <w:r w:rsidR="003D0FAF">
              <w:rPr>
                <w:rFonts w:cs="Arial"/>
                <w:szCs w:val="24"/>
              </w:rPr>
              <w:t xml:space="preserve"> low percentage against total spend and acknowledged the new controls put in place.</w:t>
            </w:r>
          </w:p>
          <w:p w14:paraId="31970FD4" w14:textId="77777777" w:rsidR="00D17439" w:rsidRDefault="00D17439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0B470E7D" w14:textId="10F71616" w:rsidR="00D17439" w:rsidRDefault="00D17439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approved the Internal Audit Progress Report and Follow Up Report </w:t>
            </w:r>
            <w:r w:rsidR="00926C8F">
              <w:rPr>
                <w:rFonts w:cs="Arial"/>
                <w:szCs w:val="24"/>
              </w:rPr>
              <w:t>for Quarter Two</w:t>
            </w:r>
            <w:r w:rsidR="002B4E7E">
              <w:rPr>
                <w:rFonts w:cs="Arial"/>
                <w:szCs w:val="24"/>
              </w:rPr>
              <w:t>,</w:t>
            </w:r>
            <w:r w:rsidR="003D0FAF">
              <w:rPr>
                <w:rFonts w:cs="Arial"/>
                <w:szCs w:val="24"/>
              </w:rPr>
              <w:t xml:space="preserve"> noting the proposed change to this year’s Plan </w:t>
            </w:r>
            <w:r w:rsidR="002B4E7E">
              <w:rPr>
                <w:rFonts w:cs="Arial"/>
                <w:szCs w:val="24"/>
              </w:rPr>
              <w:t xml:space="preserve">and </w:t>
            </w:r>
            <w:r w:rsidR="003D0FAF">
              <w:rPr>
                <w:rFonts w:cs="Arial"/>
                <w:szCs w:val="24"/>
              </w:rPr>
              <w:t>which would be circulated to Committee Chairs for awareness.</w:t>
            </w:r>
          </w:p>
          <w:p w14:paraId="2FB41D74" w14:textId="77777777" w:rsidR="002B4E7E" w:rsidRDefault="002B4E7E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0C6CC5E3" w14:textId="1D0D007D" w:rsidR="002B4E7E" w:rsidRDefault="002B4E7E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 Committee received the Annual Accounts – Audit Recommendations wherein 25 audit actions were open with quarterly updates being presented to each Audit and Risk Committee for assurance.</w:t>
            </w:r>
          </w:p>
          <w:p w14:paraId="4003760D" w14:textId="77777777" w:rsidR="00F82655" w:rsidRDefault="00F82655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7573EF44" w14:textId="7CA1FA48" w:rsidR="002B4E7E" w:rsidRDefault="00F82655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 xml:space="preserve">ommittee noted the External Audit Update </w:t>
            </w:r>
            <w:r w:rsidR="006D2B6B">
              <w:rPr>
                <w:rFonts w:cs="Arial"/>
                <w:szCs w:val="24"/>
              </w:rPr>
              <w:t>i</w:t>
            </w:r>
            <w:r>
              <w:rPr>
                <w:rFonts w:cs="Arial"/>
                <w:szCs w:val="24"/>
              </w:rPr>
              <w:t xml:space="preserve">ncluding </w:t>
            </w:r>
            <w:r w:rsidR="006D2B6B">
              <w:rPr>
                <w:rFonts w:cs="Arial"/>
                <w:szCs w:val="24"/>
              </w:rPr>
              <w:t xml:space="preserve">the </w:t>
            </w:r>
            <w:r>
              <w:rPr>
                <w:rFonts w:cs="Arial"/>
                <w:szCs w:val="24"/>
              </w:rPr>
              <w:t>ISA260</w:t>
            </w:r>
            <w:r w:rsidR="00C40B28">
              <w:rPr>
                <w:rFonts w:cs="Arial"/>
                <w:szCs w:val="24"/>
              </w:rPr>
              <w:t xml:space="preserve"> and th</w:t>
            </w:r>
            <w:r w:rsidR="006D2B6B">
              <w:rPr>
                <w:rFonts w:cs="Arial"/>
                <w:szCs w:val="24"/>
              </w:rPr>
              <w:t>e joint working with KPMG on an improvement plan</w:t>
            </w:r>
            <w:r>
              <w:rPr>
                <w:rFonts w:cs="Arial"/>
                <w:szCs w:val="24"/>
              </w:rPr>
              <w:t xml:space="preserve"> </w:t>
            </w:r>
          </w:p>
          <w:p w14:paraId="7B9A93C0" w14:textId="77777777" w:rsidR="00F82655" w:rsidRDefault="00F82655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742323E2" w14:textId="1DCED888" w:rsidR="00F82655" w:rsidRDefault="00384E01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ommittee approved the Strategic Risk Register</w:t>
            </w:r>
            <w:r w:rsidR="002B4E7E">
              <w:rPr>
                <w:rFonts w:cs="Arial"/>
                <w:szCs w:val="24"/>
              </w:rPr>
              <w:t xml:space="preserve"> noting the </w:t>
            </w:r>
            <w:r>
              <w:rPr>
                <w:rFonts w:cs="Arial"/>
                <w:szCs w:val="24"/>
              </w:rPr>
              <w:t>new</w:t>
            </w:r>
            <w:r w:rsidR="00926C8F">
              <w:rPr>
                <w:rFonts w:cs="Arial"/>
                <w:szCs w:val="24"/>
              </w:rPr>
              <w:t>ly established</w:t>
            </w:r>
            <w:r>
              <w:rPr>
                <w:rFonts w:cs="Arial"/>
                <w:szCs w:val="24"/>
              </w:rPr>
              <w:t xml:space="preserve"> </w:t>
            </w:r>
            <w:r w:rsidR="002B4E7E">
              <w:rPr>
                <w:rFonts w:cs="Arial"/>
                <w:szCs w:val="24"/>
              </w:rPr>
              <w:t xml:space="preserve">Executive </w:t>
            </w:r>
            <w:r w:rsidR="00926C8F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is</w:t>
            </w:r>
            <w:r w:rsidR="00602805">
              <w:rPr>
                <w:rFonts w:cs="Arial"/>
                <w:szCs w:val="24"/>
              </w:rPr>
              <w:t>k</w:t>
            </w:r>
            <w:r w:rsidR="00926C8F">
              <w:rPr>
                <w:rFonts w:cs="Arial"/>
                <w:szCs w:val="24"/>
              </w:rPr>
              <w:t xml:space="preserve"> G</w:t>
            </w:r>
            <w:r w:rsidR="00602805">
              <w:rPr>
                <w:rFonts w:cs="Arial"/>
                <w:szCs w:val="24"/>
              </w:rPr>
              <w:t xml:space="preserve">roup </w:t>
            </w:r>
            <w:r w:rsidR="002B4E7E">
              <w:rPr>
                <w:rFonts w:cs="Arial"/>
                <w:szCs w:val="24"/>
              </w:rPr>
              <w:t>that had been set up to provide</w:t>
            </w:r>
            <w:r w:rsidR="006D2B6B">
              <w:rPr>
                <w:rFonts w:cs="Arial"/>
                <w:szCs w:val="24"/>
              </w:rPr>
              <w:t xml:space="preserve"> </w:t>
            </w:r>
            <w:r w:rsidR="002B4E7E">
              <w:rPr>
                <w:rFonts w:cs="Arial"/>
                <w:szCs w:val="24"/>
              </w:rPr>
              <w:t>assurance on the risk ratings and mitigations</w:t>
            </w:r>
            <w:r>
              <w:rPr>
                <w:rFonts w:cs="Arial"/>
                <w:szCs w:val="24"/>
              </w:rPr>
              <w:t>.</w:t>
            </w:r>
          </w:p>
          <w:p w14:paraId="03248E1D" w14:textId="77777777" w:rsidR="00384E01" w:rsidRDefault="00384E01" w:rsidP="00ED3A5B">
            <w:pPr>
              <w:spacing w:line="259" w:lineRule="auto"/>
              <w:rPr>
                <w:rFonts w:cs="Arial"/>
                <w:szCs w:val="24"/>
              </w:rPr>
            </w:pPr>
          </w:p>
          <w:p w14:paraId="2C6CAF80" w14:textId="69BEA234" w:rsidR="00384E01" w:rsidRDefault="00384E01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926C8F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ommittee noted the Corporate Objectives</w:t>
            </w:r>
            <w:r w:rsidR="002B4E7E">
              <w:rPr>
                <w:rFonts w:cs="Arial"/>
                <w:szCs w:val="24"/>
              </w:rPr>
              <w:t xml:space="preserve"> 2025/26</w:t>
            </w:r>
            <w:r>
              <w:rPr>
                <w:rFonts w:cs="Arial"/>
                <w:szCs w:val="24"/>
              </w:rPr>
              <w:t>.</w:t>
            </w:r>
          </w:p>
          <w:p w14:paraId="637B838D" w14:textId="69CEDE4D" w:rsidR="00D17439" w:rsidRPr="00480CBB" w:rsidRDefault="00D17439" w:rsidP="00ED3A5B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14:paraId="0B9C3301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025D5F32" w14:textId="77777777"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14:paraId="5319AC9F" w14:textId="77777777"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326DE8">
        <w:rPr>
          <w:rFonts w:hAnsi="Arial" w:cs="Arial"/>
          <w:lang w:val="en-US"/>
        </w:rPr>
        <w:t>Tues</w:t>
      </w:r>
      <w:r w:rsidR="002E0A24">
        <w:rPr>
          <w:rFonts w:hAnsi="Arial" w:cs="Arial"/>
          <w:lang w:val="en-US"/>
        </w:rPr>
        <w:t>day</w:t>
      </w:r>
      <w:r w:rsidR="00495B81">
        <w:rPr>
          <w:rFonts w:hAnsi="Arial" w:cs="Arial"/>
          <w:lang w:val="en-US"/>
        </w:rPr>
        <w:t xml:space="preserve"> </w:t>
      </w:r>
      <w:r w:rsidR="00617599">
        <w:rPr>
          <w:rFonts w:hAnsi="Arial" w:cs="Arial"/>
          <w:lang w:val="en-US"/>
        </w:rPr>
        <w:t>18 Nov</w:t>
      </w:r>
      <w:r w:rsidR="00926C8F">
        <w:rPr>
          <w:rFonts w:hAnsi="Arial" w:cs="Arial"/>
          <w:lang w:val="en-US"/>
        </w:rPr>
        <w:t>ember</w:t>
      </w:r>
      <w:r w:rsidR="00D6235F">
        <w:rPr>
          <w:rFonts w:hAnsi="Arial" w:cs="Arial"/>
          <w:lang w:val="en-US"/>
        </w:rPr>
        <w:t xml:space="preserve"> 2025</w:t>
      </w:r>
      <w:r>
        <w:rPr>
          <w:rFonts w:hAnsi="Arial" w:cs="Arial"/>
          <w:lang w:val="en-US"/>
        </w:rPr>
        <w:t>.</w:t>
      </w:r>
    </w:p>
    <w:p w14:paraId="1B003718" w14:textId="77777777"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724E4A57" w14:textId="77777777" w:rsidR="00631CE1" w:rsidRDefault="00631CE1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4086D568" w14:textId="77777777"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0FB5BC8B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4A0ED818" w14:textId="5D533AF1"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2B4E7E">
        <w:rPr>
          <w:rFonts w:cs="Arial"/>
        </w:rPr>
        <w:t xml:space="preserve"> Committee</w:t>
      </w:r>
      <w:r w:rsidR="007E133D">
        <w:rPr>
          <w:rFonts w:cs="Arial"/>
        </w:rPr>
        <w:t xml:space="preserve"> Update.</w:t>
      </w:r>
    </w:p>
    <w:p w14:paraId="3684E204" w14:textId="77777777" w:rsidR="003D757C" w:rsidRDefault="003D757C" w:rsidP="007E133D">
      <w:pPr>
        <w:ind w:right="183"/>
        <w:rPr>
          <w:rFonts w:cs="Arial"/>
        </w:rPr>
      </w:pPr>
    </w:p>
    <w:p w14:paraId="22DF905E" w14:textId="77777777" w:rsidR="003D757C" w:rsidRDefault="003D757C" w:rsidP="007E133D">
      <w:pPr>
        <w:ind w:right="183"/>
        <w:rPr>
          <w:rFonts w:cs="Arial"/>
        </w:rPr>
      </w:pPr>
    </w:p>
    <w:p w14:paraId="5598BC8C" w14:textId="77777777" w:rsidR="002B4E7E" w:rsidRDefault="002B4E7E" w:rsidP="007E133D">
      <w:pPr>
        <w:ind w:right="183"/>
        <w:rPr>
          <w:rFonts w:cs="Arial"/>
        </w:rPr>
      </w:pPr>
    </w:p>
    <w:p w14:paraId="73D2FEDB" w14:textId="77777777" w:rsidR="002B4E7E" w:rsidRDefault="002B4E7E" w:rsidP="007E133D">
      <w:pPr>
        <w:ind w:right="183"/>
        <w:rPr>
          <w:rFonts w:cs="Arial"/>
        </w:rPr>
      </w:pPr>
    </w:p>
    <w:p w14:paraId="75B2229D" w14:textId="77777777" w:rsidR="003D757C" w:rsidRDefault="003D757C" w:rsidP="007E133D">
      <w:pPr>
        <w:ind w:right="183"/>
        <w:rPr>
          <w:rFonts w:cs="Arial"/>
        </w:rPr>
      </w:pPr>
    </w:p>
    <w:p w14:paraId="4DE6D147" w14:textId="40332383"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</w:t>
      </w:r>
      <w:r w:rsidR="002B4E7E">
        <w:rPr>
          <w:rFonts w:cs="Arial"/>
          <w:b/>
          <w:bCs/>
        </w:rPr>
        <w:t>d</w:t>
      </w:r>
      <w:r>
        <w:rPr>
          <w:rFonts w:cs="Arial"/>
          <w:b/>
          <w:bCs/>
        </w:rPr>
        <w:t>onald</w:t>
      </w:r>
    </w:p>
    <w:p w14:paraId="2AF76E88" w14:textId="77777777"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14:paraId="715813CC" w14:textId="38866236" w:rsidR="007E133D" w:rsidRDefault="00926C8F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August 2025</w:t>
      </w:r>
    </w:p>
    <w:sectPr w:rsidR="007E133D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2C78" w14:textId="77777777" w:rsidR="0033541E" w:rsidRDefault="0033541E">
      <w:r>
        <w:separator/>
      </w:r>
    </w:p>
  </w:endnote>
  <w:endnote w:type="continuationSeparator" w:id="0">
    <w:p w14:paraId="77F9A44D" w14:textId="77777777" w:rsidR="0033541E" w:rsidRDefault="0033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45CD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56F7B897" w14:textId="1CF81FEE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6D2B6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6D2B6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35C1" w14:textId="77777777" w:rsidR="0033541E" w:rsidRDefault="0033541E">
      <w:r>
        <w:separator/>
      </w:r>
    </w:p>
  </w:footnote>
  <w:footnote w:type="continuationSeparator" w:id="0">
    <w:p w14:paraId="57385A58" w14:textId="77777777" w:rsidR="0033541E" w:rsidRDefault="00335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EC51" w14:textId="77777777" w:rsidR="00C07FB5" w:rsidRDefault="00C07FB5">
    <w:pPr>
      <w:pStyle w:val="Header"/>
    </w:pPr>
    <w:r>
      <w:tab/>
    </w:r>
    <w:r>
      <w:tab/>
      <w:t xml:space="preserve">Board </w:t>
    </w:r>
    <w:r w:rsidR="0057375A">
      <w:t>I</w:t>
    </w:r>
    <w:r w:rsidR="00326DE8">
      <w:t>tem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FC133F"/>
    <w:multiLevelType w:val="hybridMultilevel"/>
    <w:tmpl w:val="1B82D006"/>
    <w:lvl w:ilvl="0" w:tplc="14C8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61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8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6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8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A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3938446">
    <w:abstractNumId w:val="19"/>
  </w:num>
  <w:num w:numId="2" w16cid:durableId="1904758530">
    <w:abstractNumId w:val="0"/>
  </w:num>
  <w:num w:numId="3" w16cid:durableId="308903065">
    <w:abstractNumId w:val="12"/>
  </w:num>
  <w:num w:numId="4" w16cid:durableId="1532912519">
    <w:abstractNumId w:val="22"/>
  </w:num>
  <w:num w:numId="5" w16cid:durableId="631206910">
    <w:abstractNumId w:val="10"/>
  </w:num>
  <w:num w:numId="6" w16cid:durableId="947657268">
    <w:abstractNumId w:val="7"/>
  </w:num>
  <w:num w:numId="7" w16cid:durableId="2017070430">
    <w:abstractNumId w:val="13"/>
  </w:num>
  <w:num w:numId="8" w16cid:durableId="1710643595">
    <w:abstractNumId w:val="6"/>
  </w:num>
  <w:num w:numId="9" w16cid:durableId="941953801">
    <w:abstractNumId w:val="17"/>
  </w:num>
  <w:num w:numId="10" w16cid:durableId="731193813">
    <w:abstractNumId w:val="3"/>
  </w:num>
  <w:num w:numId="11" w16cid:durableId="929118948">
    <w:abstractNumId w:val="18"/>
  </w:num>
  <w:num w:numId="12" w16cid:durableId="122505994">
    <w:abstractNumId w:val="2"/>
  </w:num>
  <w:num w:numId="13" w16cid:durableId="1379861182">
    <w:abstractNumId w:val="4"/>
  </w:num>
  <w:num w:numId="14" w16cid:durableId="490872685">
    <w:abstractNumId w:val="8"/>
  </w:num>
  <w:num w:numId="15" w16cid:durableId="400372213">
    <w:abstractNumId w:val="11"/>
  </w:num>
  <w:num w:numId="16" w16cid:durableId="1617953550">
    <w:abstractNumId w:val="9"/>
  </w:num>
  <w:num w:numId="17" w16cid:durableId="2073500984">
    <w:abstractNumId w:val="16"/>
  </w:num>
  <w:num w:numId="18" w16cid:durableId="1766993861">
    <w:abstractNumId w:val="15"/>
  </w:num>
  <w:num w:numId="19" w16cid:durableId="1459374592">
    <w:abstractNumId w:val="5"/>
  </w:num>
  <w:num w:numId="20" w16cid:durableId="1077022883">
    <w:abstractNumId w:val="14"/>
  </w:num>
  <w:num w:numId="21" w16cid:durableId="1915503593">
    <w:abstractNumId w:val="1"/>
  </w:num>
  <w:num w:numId="22" w16cid:durableId="645814995">
    <w:abstractNumId w:val="21"/>
  </w:num>
  <w:num w:numId="23" w16cid:durableId="1081219537">
    <w:abstractNumId w:val="20"/>
  </w:num>
  <w:num w:numId="24" w16cid:durableId="10079036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0045C"/>
    <w:rsid w:val="00002105"/>
    <w:rsid w:val="00011140"/>
    <w:rsid w:val="00015FC0"/>
    <w:rsid w:val="00022EE5"/>
    <w:rsid w:val="0002645B"/>
    <w:rsid w:val="0003098A"/>
    <w:rsid w:val="00034ECA"/>
    <w:rsid w:val="00040729"/>
    <w:rsid w:val="000451B7"/>
    <w:rsid w:val="00047714"/>
    <w:rsid w:val="00050D76"/>
    <w:rsid w:val="0006550E"/>
    <w:rsid w:val="00072A23"/>
    <w:rsid w:val="00076EF2"/>
    <w:rsid w:val="000804FE"/>
    <w:rsid w:val="00085465"/>
    <w:rsid w:val="00087D13"/>
    <w:rsid w:val="00091974"/>
    <w:rsid w:val="000945DB"/>
    <w:rsid w:val="000A345F"/>
    <w:rsid w:val="000C561F"/>
    <w:rsid w:val="000E2BDE"/>
    <w:rsid w:val="000F7706"/>
    <w:rsid w:val="00102D33"/>
    <w:rsid w:val="00104D70"/>
    <w:rsid w:val="00107B3E"/>
    <w:rsid w:val="00115F20"/>
    <w:rsid w:val="00125A9E"/>
    <w:rsid w:val="00140DB3"/>
    <w:rsid w:val="00141798"/>
    <w:rsid w:val="00154334"/>
    <w:rsid w:val="00160533"/>
    <w:rsid w:val="001812F4"/>
    <w:rsid w:val="001A7117"/>
    <w:rsid w:val="001D05E4"/>
    <w:rsid w:val="001D0FFB"/>
    <w:rsid w:val="001D11B6"/>
    <w:rsid w:val="001E0099"/>
    <w:rsid w:val="001E1ABF"/>
    <w:rsid w:val="001E7464"/>
    <w:rsid w:val="002035DF"/>
    <w:rsid w:val="0023473B"/>
    <w:rsid w:val="00237EC7"/>
    <w:rsid w:val="00240364"/>
    <w:rsid w:val="00253EAC"/>
    <w:rsid w:val="00262DD5"/>
    <w:rsid w:val="00281E3A"/>
    <w:rsid w:val="00286190"/>
    <w:rsid w:val="00293394"/>
    <w:rsid w:val="002B4E7E"/>
    <w:rsid w:val="002B5B5F"/>
    <w:rsid w:val="002B72F8"/>
    <w:rsid w:val="002C13A1"/>
    <w:rsid w:val="002D3943"/>
    <w:rsid w:val="002E0A24"/>
    <w:rsid w:val="002F4B67"/>
    <w:rsid w:val="00301BBF"/>
    <w:rsid w:val="0030558B"/>
    <w:rsid w:val="00310EBF"/>
    <w:rsid w:val="00320F38"/>
    <w:rsid w:val="00325C4A"/>
    <w:rsid w:val="00326DE8"/>
    <w:rsid w:val="0033541E"/>
    <w:rsid w:val="0033790B"/>
    <w:rsid w:val="003425AA"/>
    <w:rsid w:val="00342FCC"/>
    <w:rsid w:val="00346269"/>
    <w:rsid w:val="003473AE"/>
    <w:rsid w:val="00372380"/>
    <w:rsid w:val="003751DE"/>
    <w:rsid w:val="00380C4A"/>
    <w:rsid w:val="00384E01"/>
    <w:rsid w:val="00392155"/>
    <w:rsid w:val="00396061"/>
    <w:rsid w:val="003B3716"/>
    <w:rsid w:val="003B3C70"/>
    <w:rsid w:val="003B7B63"/>
    <w:rsid w:val="003D0FAF"/>
    <w:rsid w:val="003D4100"/>
    <w:rsid w:val="003D757C"/>
    <w:rsid w:val="003F7F61"/>
    <w:rsid w:val="0040390D"/>
    <w:rsid w:val="004044B7"/>
    <w:rsid w:val="004247C4"/>
    <w:rsid w:val="00430C09"/>
    <w:rsid w:val="00437CDE"/>
    <w:rsid w:val="00440424"/>
    <w:rsid w:val="00442186"/>
    <w:rsid w:val="004460FA"/>
    <w:rsid w:val="00446219"/>
    <w:rsid w:val="00452ABF"/>
    <w:rsid w:val="00452DB8"/>
    <w:rsid w:val="00466A7E"/>
    <w:rsid w:val="00476B40"/>
    <w:rsid w:val="00480CBB"/>
    <w:rsid w:val="00482C25"/>
    <w:rsid w:val="0048325E"/>
    <w:rsid w:val="00495B36"/>
    <w:rsid w:val="00495B81"/>
    <w:rsid w:val="004B2CA0"/>
    <w:rsid w:val="004C24DE"/>
    <w:rsid w:val="004C4472"/>
    <w:rsid w:val="004D2A34"/>
    <w:rsid w:val="0052127A"/>
    <w:rsid w:val="00523880"/>
    <w:rsid w:val="00526F34"/>
    <w:rsid w:val="0053313F"/>
    <w:rsid w:val="005420EA"/>
    <w:rsid w:val="005537D8"/>
    <w:rsid w:val="00563DB7"/>
    <w:rsid w:val="0057375A"/>
    <w:rsid w:val="00574B67"/>
    <w:rsid w:val="005814A6"/>
    <w:rsid w:val="005851FA"/>
    <w:rsid w:val="00591C18"/>
    <w:rsid w:val="0059360D"/>
    <w:rsid w:val="005A04F7"/>
    <w:rsid w:val="005A2580"/>
    <w:rsid w:val="005A5BBA"/>
    <w:rsid w:val="005F3F9B"/>
    <w:rsid w:val="005F4D65"/>
    <w:rsid w:val="005F78F7"/>
    <w:rsid w:val="00602805"/>
    <w:rsid w:val="00602F42"/>
    <w:rsid w:val="0060517A"/>
    <w:rsid w:val="00610728"/>
    <w:rsid w:val="00610876"/>
    <w:rsid w:val="006128F3"/>
    <w:rsid w:val="006173A9"/>
    <w:rsid w:val="00617599"/>
    <w:rsid w:val="00622193"/>
    <w:rsid w:val="006239FD"/>
    <w:rsid w:val="00631CE1"/>
    <w:rsid w:val="0064075B"/>
    <w:rsid w:val="00641A60"/>
    <w:rsid w:val="006438DD"/>
    <w:rsid w:val="006466CD"/>
    <w:rsid w:val="0066112F"/>
    <w:rsid w:val="00664DBF"/>
    <w:rsid w:val="00666AAB"/>
    <w:rsid w:val="00681C8C"/>
    <w:rsid w:val="00682DC0"/>
    <w:rsid w:val="006960A2"/>
    <w:rsid w:val="006A76E1"/>
    <w:rsid w:val="006C1535"/>
    <w:rsid w:val="006C5D5A"/>
    <w:rsid w:val="006C6D4B"/>
    <w:rsid w:val="006D1343"/>
    <w:rsid w:val="006D18E5"/>
    <w:rsid w:val="006D2B6B"/>
    <w:rsid w:val="006D7AEE"/>
    <w:rsid w:val="0073091D"/>
    <w:rsid w:val="00736213"/>
    <w:rsid w:val="00741086"/>
    <w:rsid w:val="00744912"/>
    <w:rsid w:val="00756413"/>
    <w:rsid w:val="00785B8C"/>
    <w:rsid w:val="00785DD1"/>
    <w:rsid w:val="007865D9"/>
    <w:rsid w:val="00795B92"/>
    <w:rsid w:val="007A7C8C"/>
    <w:rsid w:val="007B5F83"/>
    <w:rsid w:val="007C3634"/>
    <w:rsid w:val="007C496A"/>
    <w:rsid w:val="007D5D7E"/>
    <w:rsid w:val="007E133D"/>
    <w:rsid w:val="007F32CF"/>
    <w:rsid w:val="007F3BBE"/>
    <w:rsid w:val="00816E22"/>
    <w:rsid w:val="008254DF"/>
    <w:rsid w:val="008763F0"/>
    <w:rsid w:val="00882CFA"/>
    <w:rsid w:val="008A1EF6"/>
    <w:rsid w:val="008A71DC"/>
    <w:rsid w:val="008B2B52"/>
    <w:rsid w:val="008D20C7"/>
    <w:rsid w:val="008F1E59"/>
    <w:rsid w:val="009059E6"/>
    <w:rsid w:val="00916768"/>
    <w:rsid w:val="00916FA1"/>
    <w:rsid w:val="00923207"/>
    <w:rsid w:val="00926C8F"/>
    <w:rsid w:val="00927C6C"/>
    <w:rsid w:val="00933A16"/>
    <w:rsid w:val="009439A3"/>
    <w:rsid w:val="00951528"/>
    <w:rsid w:val="009547A9"/>
    <w:rsid w:val="00956AD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A46E1"/>
    <w:rsid w:val="009A4CC8"/>
    <w:rsid w:val="009C559B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34924"/>
    <w:rsid w:val="00A35CBE"/>
    <w:rsid w:val="00A41CE3"/>
    <w:rsid w:val="00A43898"/>
    <w:rsid w:val="00A62B58"/>
    <w:rsid w:val="00A72814"/>
    <w:rsid w:val="00A76A8D"/>
    <w:rsid w:val="00A801F9"/>
    <w:rsid w:val="00A84C97"/>
    <w:rsid w:val="00A91150"/>
    <w:rsid w:val="00A91BE3"/>
    <w:rsid w:val="00A92CFA"/>
    <w:rsid w:val="00AA63FD"/>
    <w:rsid w:val="00AA77F7"/>
    <w:rsid w:val="00AB4181"/>
    <w:rsid w:val="00AB5978"/>
    <w:rsid w:val="00AC5EA7"/>
    <w:rsid w:val="00AD01F4"/>
    <w:rsid w:val="00AD2ABB"/>
    <w:rsid w:val="00AD3B8D"/>
    <w:rsid w:val="00AE4D3C"/>
    <w:rsid w:val="00AE522B"/>
    <w:rsid w:val="00AF0530"/>
    <w:rsid w:val="00AF1FA6"/>
    <w:rsid w:val="00AF356A"/>
    <w:rsid w:val="00AF77A2"/>
    <w:rsid w:val="00B06E59"/>
    <w:rsid w:val="00B1462D"/>
    <w:rsid w:val="00B159C0"/>
    <w:rsid w:val="00B16CBE"/>
    <w:rsid w:val="00B178D4"/>
    <w:rsid w:val="00B202C8"/>
    <w:rsid w:val="00B312CF"/>
    <w:rsid w:val="00B47E23"/>
    <w:rsid w:val="00B53CCB"/>
    <w:rsid w:val="00B546C8"/>
    <w:rsid w:val="00B562FA"/>
    <w:rsid w:val="00B57607"/>
    <w:rsid w:val="00B57C23"/>
    <w:rsid w:val="00B7445F"/>
    <w:rsid w:val="00B77902"/>
    <w:rsid w:val="00B83692"/>
    <w:rsid w:val="00B851FC"/>
    <w:rsid w:val="00BC6EC6"/>
    <w:rsid w:val="00BD3F5D"/>
    <w:rsid w:val="00BD7C57"/>
    <w:rsid w:val="00BE01E8"/>
    <w:rsid w:val="00BE0517"/>
    <w:rsid w:val="00BF323B"/>
    <w:rsid w:val="00BF3AF0"/>
    <w:rsid w:val="00BF6FFA"/>
    <w:rsid w:val="00C07FB5"/>
    <w:rsid w:val="00C17C68"/>
    <w:rsid w:val="00C323AD"/>
    <w:rsid w:val="00C3506D"/>
    <w:rsid w:val="00C40B28"/>
    <w:rsid w:val="00C87B62"/>
    <w:rsid w:val="00C94BF7"/>
    <w:rsid w:val="00C95B80"/>
    <w:rsid w:val="00CB6644"/>
    <w:rsid w:val="00CC1250"/>
    <w:rsid w:val="00CC7904"/>
    <w:rsid w:val="00CD10C3"/>
    <w:rsid w:val="00CE0398"/>
    <w:rsid w:val="00CE298E"/>
    <w:rsid w:val="00CF3EAD"/>
    <w:rsid w:val="00D17439"/>
    <w:rsid w:val="00D3676D"/>
    <w:rsid w:val="00D55622"/>
    <w:rsid w:val="00D6235F"/>
    <w:rsid w:val="00D63AAB"/>
    <w:rsid w:val="00D709D2"/>
    <w:rsid w:val="00D82B52"/>
    <w:rsid w:val="00DA0BFA"/>
    <w:rsid w:val="00DA3DD2"/>
    <w:rsid w:val="00DA4EA8"/>
    <w:rsid w:val="00DB4877"/>
    <w:rsid w:val="00DB67D4"/>
    <w:rsid w:val="00DC4086"/>
    <w:rsid w:val="00DD2D3D"/>
    <w:rsid w:val="00DD554B"/>
    <w:rsid w:val="00DD6252"/>
    <w:rsid w:val="00DE04A0"/>
    <w:rsid w:val="00DF1BE0"/>
    <w:rsid w:val="00DF2ADD"/>
    <w:rsid w:val="00E029B4"/>
    <w:rsid w:val="00E032FA"/>
    <w:rsid w:val="00E067D1"/>
    <w:rsid w:val="00E11F26"/>
    <w:rsid w:val="00E16549"/>
    <w:rsid w:val="00E43415"/>
    <w:rsid w:val="00E45D13"/>
    <w:rsid w:val="00E536D5"/>
    <w:rsid w:val="00E555A5"/>
    <w:rsid w:val="00E657F3"/>
    <w:rsid w:val="00E71CD2"/>
    <w:rsid w:val="00E802B0"/>
    <w:rsid w:val="00E82894"/>
    <w:rsid w:val="00E84B9D"/>
    <w:rsid w:val="00E9525B"/>
    <w:rsid w:val="00EA2BC8"/>
    <w:rsid w:val="00EB15A0"/>
    <w:rsid w:val="00EB2B54"/>
    <w:rsid w:val="00EB3567"/>
    <w:rsid w:val="00EB7BAD"/>
    <w:rsid w:val="00ED3A5B"/>
    <w:rsid w:val="00ED4F12"/>
    <w:rsid w:val="00EE008B"/>
    <w:rsid w:val="00EE747F"/>
    <w:rsid w:val="00EF0B11"/>
    <w:rsid w:val="00EF275C"/>
    <w:rsid w:val="00EF7713"/>
    <w:rsid w:val="00F04DF8"/>
    <w:rsid w:val="00F1405E"/>
    <w:rsid w:val="00F3337D"/>
    <w:rsid w:val="00F365A9"/>
    <w:rsid w:val="00F614EC"/>
    <w:rsid w:val="00F82655"/>
    <w:rsid w:val="00FA251F"/>
    <w:rsid w:val="00FA59FE"/>
    <w:rsid w:val="00FA73D1"/>
    <w:rsid w:val="00FB0DBB"/>
    <w:rsid w:val="00FB0DF4"/>
    <w:rsid w:val="00FB3B8C"/>
    <w:rsid w:val="00FB5D47"/>
    <w:rsid w:val="00FC0568"/>
    <w:rsid w:val="00FE3D61"/>
    <w:rsid w:val="00FE5F71"/>
    <w:rsid w:val="00FE7C8E"/>
    <w:rsid w:val="00FF2465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9FAD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  <w:style w:type="paragraph" w:styleId="Revision">
    <w:name w:val="Revision"/>
    <w:hidden/>
    <w:uiPriority w:val="99"/>
    <w:semiHidden/>
    <w:rsid w:val="003D0FAF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0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95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8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17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54F7-C2A3-4EDB-8C29-CE63FAFE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2023-05-12T08:13:00Z</cp:lastPrinted>
  <dcterms:created xsi:type="dcterms:W3CDTF">2025-08-21T09:59:00Z</dcterms:created>
  <dcterms:modified xsi:type="dcterms:W3CDTF">2025-08-21T09:59:00Z</dcterms:modified>
</cp:coreProperties>
</file>