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FC" w:rsidRDefault="008B68FC"/>
    <w:p w:rsidR="008B68FC" w:rsidRDefault="008B68FC"/>
    <w:tbl>
      <w:tblPr>
        <w:tblW w:w="9372" w:type="dxa"/>
        <w:tblInd w:w="108" w:type="dxa"/>
        <w:tblLayout w:type="fixed"/>
        <w:tblLook w:val="04A0"/>
      </w:tblPr>
      <w:tblGrid>
        <w:gridCol w:w="2562"/>
        <w:gridCol w:w="4822"/>
        <w:gridCol w:w="1988"/>
      </w:tblGrid>
      <w:tr w:rsidR="005B4BA8" w:rsidRPr="005B4BA8" w:rsidTr="008B68FC">
        <w:trPr>
          <w:trHeight w:val="456"/>
        </w:trPr>
        <w:tc>
          <w:tcPr>
            <w:tcW w:w="2562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22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12 October 2018</w:t>
            </w:r>
          </w:p>
        </w:tc>
        <w:tc>
          <w:tcPr>
            <w:tcW w:w="1988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895350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8B68FC">
        <w:trPr>
          <w:trHeight w:val="893"/>
        </w:trPr>
        <w:tc>
          <w:tcPr>
            <w:tcW w:w="2562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22" w:type="dxa"/>
          </w:tcPr>
          <w:p w:rsidR="005B4BA8" w:rsidRPr="005B4BA8" w:rsidRDefault="004373A6" w:rsidP="004373A6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H</w:t>
            </w:r>
            <w:r w:rsidR="00C21883">
              <w:rPr>
                <w:rFonts w:ascii="Arial" w:hAnsi="Arial" w:cs="Arial"/>
                <w:b w:val="0"/>
                <w:sz w:val="24"/>
                <w:szCs w:val="24"/>
              </w:rPr>
              <w:t xml:space="preserve">ealth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P</w:t>
            </w:r>
            <w:r w:rsidR="00C21883">
              <w:rPr>
                <w:rFonts w:ascii="Arial" w:hAnsi="Arial" w:cs="Arial"/>
                <w:b w:val="0"/>
                <w:sz w:val="24"/>
                <w:szCs w:val="24"/>
              </w:rPr>
              <w:t xml:space="preserve">romoting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H</w:t>
            </w:r>
            <w:r w:rsidR="00C21883">
              <w:rPr>
                <w:rFonts w:ascii="Arial" w:hAnsi="Arial" w:cs="Arial"/>
                <w:b w:val="0"/>
                <w:sz w:val="24"/>
                <w:szCs w:val="24"/>
              </w:rPr>
              <w:t xml:space="preserve">ealth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="00C21883">
              <w:rPr>
                <w:rFonts w:ascii="Arial" w:hAnsi="Arial" w:cs="Arial"/>
                <w:b w:val="0"/>
                <w:sz w:val="24"/>
                <w:szCs w:val="24"/>
              </w:rPr>
              <w:t>ervice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Summary Report 2018 </w:t>
            </w:r>
          </w:p>
        </w:tc>
        <w:tc>
          <w:tcPr>
            <w:tcW w:w="1988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8B68FC">
        <w:trPr>
          <w:trHeight w:val="409"/>
        </w:trPr>
        <w:tc>
          <w:tcPr>
            <w:tcW w:w="2562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810" w:type="dxa"/>
            <w:gridSpan w:val="2"/>
          </w:tcPr>
          <w:p w:rsidR="008B68FC" w:rsidRDefault="008B68FC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8B68FC" w:rsidRPr="008B68FC" w:rsidRDefault="008B68FC" w:rsidP="008B68FC"/>
          <w:tbl>
            <w:tblPr>
              <w:tblW w:w="6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703"/>
              <w:gridCol w:w="852"/>
            </w:tblGrid>
            <w:tr w:rsidR="003C070A" w:rsidTr="008B68FC">
              <w:trPr>
                <w:trHeight w:val="368"/>
              </w:trPr>
              <w:tc>
                <w:tcPr>
                  <w:tcW w:w="5703" w:type="dxa"/>
                </w:tcPr>
                <w:p w:rsidR="003C070A" w:rsidRPr="007D047D" w:rsidRDefault="003C070A" w:rsidP="00A52235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2" w:type="dxa"/>
                </w:tcPr>
                <w:p w:rsidR="003C070A" w:rsidRDefault="003C070A" w:rsidP="00A52235">
                  <w:pPr>
                    <w:spacing w:before="120" w:after="60"/>
                    <w:contextualSpacing/>
                  </w:pPr>
                </w:p>
              </w:tc>
            </w:tr>
            <w:tr w:rsidR="003C070A" w:rsidTr="008B68FC">
              <w:trPr>
                <w:trHeight w:val="368"/>
              </w:trPr>
              <w:tc>
                <w:tcPr>
                  <w:tcW w:w="5703" w:type="dxa"/>
                </w:tcPr>
                <w:p w:rsidR="003C070A" w:rsidRPr="007D047D" w:rsidRDefault="003C070A" w:rsidP="00A52235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2" w:type="dxa"/>
                </w:tcPr>
                <w:p w:rsidR="003C070A" w:rsidRDefault="003C070A" w:rsidP="00A52235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3C070A" w:rsidTr="008B68FC">
              <w:trPr>
                <w:trHeight w:val="381"/>
              </w:trPr>
              <w:tc>
                <w:tcPr>
                  <w:tcW w:w="5703" w:type="dxa"/>
                </w:tcPr>
                <w:p w:rsidR="003C070A" w:rsidRPr="007D047D" w:rsidRDefault="003C070A" w:rsidP="00A52235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2" w:type="dxa"/>
                </w:tcPr>
                <w:p w:rsidR="003C070A" w:rsidRDefault="003C070A" w:rsidP="00A52235">
                  <w:pPr>
                    <w:spacing w:before="120" w:after="60"/>
                    <w:contextualSpacing/>
                  </w:pPr>
                </w:p>
              </w:tc>
            </w:tr>
          </w:tbl>
          <w:p w:rsidR="003C070A" w:rsidRDefault="003C070A" w:rsidP="005B4BA8">
            <w:pPr>
              <w:spacing w:before="120" w:after="60"/>
              <w:contextualSpacing/>
            </w:pPr>
          </w:p>
          <w:p w:rsidR="003C070A" w:rsidRPr="0073139D" w:rsidRDefault="003C070A" w:rsidP="005B4BA8">
            <w:pPr>
              <w:spacing w:before="120" w:after="60"/>
              <w:contextualSpacing/>
            </w:pPr>
          </w:p>
        </w:tc>
      </w:tr>
      <w:tr w:rsidR="005B4BA8" w:rsidRPr="005B4BA8" w:rsidTr="008B68FC">
        <w:trPr>
          <w:trHeight w:val="409"/>
        </w:trPr>
        <w:tc>
          <w:tcPr>
            <w:tcW w:w="2562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810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4373A6" w:rsidRDefault="004373A6" w:rsidP="004373A6"/>
    <w:p w:rsidR="00C21883" w:rsidRPr="00C21883" w:rsidRDefault="00C21883" w:rsidP="004373A6">
      <w:pPr>
        <w:rPr>
          <w:rFonts w:ascii="Arial" w:hAnsi="Arial" w:cs="Arial"/>
          <w:b/>
        </w:rPr>
      </w:pPr>
      <w:r w:rsidRPr="00C21883">
        <w:rPr>
          <w:rFonts w:ascii="Arial" w:hAnsi="Arial" w:cs="Arial"/>
          <w:b/>
        </w:rPr>
        <w:t>1</w:t>
      </w:r>
      <w:r w:rsidRPr="00C21883">
        <w:rPr>
          <w:rFonts w:ascii="Arial" w:hAnsi="Arial" w:cs="Arial"/>
          <w:b/>
        </w:rPr>
        <w:tab/>
        <w:t>Background</w:t>
      </w:r>
    </w:p>
    <w:p w:rsidR="00C21883" w:rsidRDefault="00C21883" w:rsidP="004373A6">
      <w:pPr>
        <w:rPr>
          <w:rFonts w:ascii="Arial" w:hAnsi="Arial" w:cs="Arial"/>
        </w:rPr>
      </w:pPr>
    </w:p>
    <w:p w:rsidR="00C21883" w:rsidRDefault="00C21883" w:rsidP="004373A6">
      <w:pPr>
        <w:rPr>
          <w:rFonts w:ascii="Arial" w:hAnsi="Arial" w:cs="Arial"/>
        </w:rPr>
      </w:pPr>
    </w:p>
    <w:p w:rsidR="008B68FC" w:rsidRDefault="004373A6" w:rsidP="004373A6">
      <w:pPr>
        <w:rPr>
          <w:rFonts w:ascii="Arial" w:hAnsi="Arial" w:cs="Arial"/>
        </w:rPr>
      </w:pPr>
      <w:r>
        <w:rPr>
          <w:rFonts w:ascii="Arial" w:hAnsi="Arial" w:cs="Arial"/>
        </w:rPr>
        <w:t>A recent review of the approach of H</w:t>
      </w:r>
      <w:r w:rsidR="00C21883">
        <w:rPr>
          <w:rFonts w:ascii="Arial" w:hAnsi="Arial" w:cs="Arial"/>
        </w:rPr>
        <w:t xml:space="preserve">ealth </w:t>
      </w:r>
      <w:r>
        <w:rPr>
          <w:rFonts w:ascii="Arial" w:hAnsi="Arial" w:cs="Arial"/>
        </w:rPr>
        <w:t>P</w:t>
      </w:r>
      <w:r w:rsidR="00C21883">
        <w:rPr>
          <w:rFonts w:ascii="Arial" w:hAnsi="Arial" w:cs="Arial"/>
        </w:rPr>
        <w:t xml:space="preserve">romoting </w:t>
      </w:r>
      <w:r>
        <w:rPr>
          <w:rFonts w:ascii="Arial" w:hAnsi="Arial" w:cs="Arial"/>
        </w:rPr>
        <w:t>H</w:t>
      </w:r>
      <w:r w:rsidR="00C21883">
        <w:rPr>
          <w:rFonts w:ascii="Arial" w:hAnsi="Arial" w:cs="Arial"/>
        </w:rPr>
        <w:t xml:space="preserve">ealth </w:t>
      </w:r>
      <w:r>
        <w:rPr>
          <w:rFonts w:ascii="Arial" w:hAnsi="Arial" w:cs="Arial"/>
        </w:rPr>
        <w:t>S</w:t>
      </w:r>
      <w:r w:rsidR="00C21883">
        <w:rPr>
          <w:rFonts w:ascii="Arial" w:hAnsi="Arial" w:cs="Arial"/>
        </w:rPr>
        <w:t>ervice (HPHS)</w:t>
      </w:r>
      <w:r>
        <w:rPr>
          <w:rFonts w:ascii="Arial" w:hAnsi="Arial" w:cs="Arial"/>
        </w:rPr>
        <w:t xml:space="preserve"> across Scotland is changing focus to a more objective focused approach</w:t>
      </w:r>
      <w:r w:rsidR="008B68FC">
        <w:rPr>
          <w:rFonts w:ascii="Arial" w:hAnsi="Arial" w:cs="Arial"/>
        </w:rPr>
        <w:t xml:space="preserve">. This will start </w:t>
      </w:r>
      <w:r>
        <w:rPr>
          <w:rFonts w:ascii="Arial" w:hAnsi="Arial" w:cs="Arial"/>
        </w:rPr>
        <w:t xml:space="preserve">with a Board Self assessment to be </w:t>
      </w:r>
      <w:r w:rsidR="008B68FC">
        <w:rPr>
          <w:rFonts w:ascii="Arial" w:hAnsi="Arial" w:cs="Arial"/>
        </w:rPr>
        <w:t xml:space="preserve">carried out </w:t>
      </w:r>
      <w:r>
        <w:rPr>
          <w:rFonts w:ascii="Arial" w:hAnsi="Arial" w:cs="Arial"/>
        </w:rPr>
        <w:t xml:space="preserve">in the near future. </w:t>
      </w:r>
    </w:p>
    <w:p w:rsidR="008B68FC" w:rsidRDefault="008B68FC" w:rsidP="004373A6">
      <w:pPr>
        <w:rPr>
          <w:rFonts w:ascii="Arial" w:hAnsi="Arial" w:cs="Arial"/>
        </w:rPr>
      </w:pPr>
    </w:p>
    <w:p w:rsidR="004373A6" w:rsidRPr="004373A6" w:rsidRDefault="004373A6" w:rsidP="004373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As a way of completing the previous HPHS approach, Boards were asked to summarise activity over the past three years and were given a broad remit to enable each are to celebrate successes associated with the programme at a local level. 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C21883" w:rsidRDefault="00C21883" w:rsidP="004373A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21883" w:rsidRPr="00C21883" w:rsidRDefault="00C21883" w:rsidP="004373A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21883">
        <w:rPr>
          <w:rFonts w:ascii="Arial" w:hAnsi="Arial" w:cs="Arial"/>
          <w:b/>
          <w:color w:val="000000"/>
        </w:rPr>
        <w:t>2</w:t>
      </w:r>
      <w:r w:rsidRPr="00C21883">
        <w:rPr>
          <w:rFonts w:ascii="Arial" w:hAnsi="Arial" w:cs="Arial"/>
          <w:b/>
          <w:color w:val="000000"/>
        </w:rPr>
        <w:tab/>
        <w:t>About the report</w:t>
      </w:r>
    </w:p>
    <w:p w:rsidR="00C21883" w:rsidRDefault="00C21883" w:rsidP="004373A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21883" w:rsidRDefault="004373A6" w:rsidP="00C2188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This report has chosen</w:t>
      </w:r>
      <w:r w:rsidRPr="004373A6">
        <w:rPr>
          <w:rFonts w:ascii="Arial" w:hAnsi="Arial" w:cs="Arial"/>
          <w:color w:val="000000"/>
        </w:rPr>
        <w:t xml:space="preserve"> an </w:t>
      </w:r>
      <w:proofErr w:type="spellStart"/>
      <w:r w:rsidRPr="004373A6">
        <w:rPr>
          <w:rFonts w:ascii="Arial" w:hAnsi="Arial" w:cs="Arial"/>
          <w:color w:val="000000"/>
        </w:rPr>
        <w:t>Infographic</w:t>
      </w:r>
      <w:proofErr w:type="spellEnd"/>
      <w:r w:rsidRPr="004373A6">
        <w:rPr>
          <w:rFonts w:ascii="Arial" w:hAnsi="Arial" w:cs="Arial"/>
          <w:color w:val="000000"/>
        </w:rPr>
        <w:t xml:space="preserve"> approach using the reco</w:t>
      </w:r>
      <w:r>
        <w:rPr>
          <w:rFonts w:ascii="Arial" w:hAnsi="Arial" w:cs="Arial"/>
          <w:color w:val="000000"/>
        </w:rPr>
        <w:t>mmended questions to act as prompts to enable</w:t>
      </w:r>
      <w:r w:rsidRPr="004373A6">
        <w:rPr>
          <w:rFonts w:ascii="Arial" w:hAnsi="Arial" w:cs="Arial"/>
          <w:color w:val="000000"/>
        </w:rPr>
        <w:t xml:space="preserve"> the staff teams to select the evidence and data that they consider best represents the work achieved.  The </w:t>
      </w:r>
      <w:r w:rsidR="00C21883">
        <w:rPr>
          <w:rFonts w:ascii="Arial" w:hAnsi="Arial" w:cs="Arial"/>
          <w:color w:val="000000"/>
        </w:rPr>
        <w:t>five</w:t>
      </w:r>
      <w:r w:rsidRPr="004373A6">
        <w:rPr>
          <w:rFonts w:ascii="Arial" w:hAnsi="Arial" w:cs="Arial"/>
          <w:color w:val="000000"/>
        </w:rPr>
        <w:t xml:space="preserve"> questions</w:t>
      </w:r>
      <w:r w:rsidR="00C21883">
        <w:rPr>
          <w:rFonts w:ascii="Arial" w:hAnsi="Arial" w:cs="Arial"/>
          <w:color w:val="000000"/>
        </w:rPr>
        <w:t xml:space="preserve"> posed were</w:t>
      </w:r>
      <w:r w:rsidR="00C21883" w:rsidRPr="00C21883">
        <w:rPr>
          <w:rFonts w:ascii="Arial" w:hAnsi="Arial" w:cs="Arial"/>
          <w:color w:val="000000"/>
        </w:rPr>
        <w:t xml:space="preserve"> </w:t>
      </w:r>
      <w:r w:rsidR="00C21883">
        <w:rPr>
          <w:rFonts w:ascii="Arial" w:hAnsi="Arial" w:cs="Arial"/>
          <w:color w:val="000000"/>
        </w:rPr>
        <w:t>interpreted in individual ways. The questions were:</w:t>
      </w:r>
    </w:p>
    <w:p w:rsidR="00C21883" w:rsidRDefault="00C21883" w:rsidP="00C2188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21883" w:rsidRDefault="004373A6" w:rsidP="00C21883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1883">
        <w:rPr>
          <w:rFonts w:ascii="Arial" w:hAnsi="Arial" w:cs="Arial"/>
          <w:color w:val="000000"/>
        </w:rPr>
        <w:t>What we did and why</w:t>
      </w:r>
      <w:r w:rsidR="00C21883">
        <w:rPr>
          <w:rFonts w:ascii="Arial" w:hAnsi="Arial" w:cs="Arial"/>
          <w:color w:val="000000"/>
        </w:rPr>
        <w:t>;</w:t>
      </w:r>
    </w:p>
    <w:p w:rsidR="00C21883" w:rsidRDefault="004373A6" w:rsidP="00C21883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1883">
        <w:rPr>
          <w:rFonts w:ascii="Arial" w:hAnsi="Arial" w:cs="Arial"/>
          <w:color w:val="000000"/>
        </w:rPr>
        <w:t>What we delivered</w:t>
      </w:r>
      <w:r w:rsidR="00C21883">
        <w:rPr>
          <w:rFonts w:ascii="Arial" w:hAnsi="Arial" w:cs="Arial"/>
          <w:color w:val="000000"/>
        </w:rPr>
        <w:t>;</w:t>
      </w:r>
    </w:p>
    <w:p w:rsidR="00C21883" w:rsidRDefault="004373A6" w:rsidP="00C21883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1883">
        <w:rPr>
          <w:rFonts w:ascii="Arial" w:hAnsi="Arial" w:cs="Arial"/>
          <w:color w:val="000000"/>
        </w:rPr>
        <w:t>What difference did we make</w:t>
      </w:r>
      <w:r w:rsidR="00C21883">
        <w:rPr>
          <w:rFonts w:ascii="Arial" w:hAnsi="Arial" w:cs="Arial"/>
          <w:color w:val="000000"/>
        </w:rPr>
        <w:t>;</w:t>
      </w:r>
    </w:p>
    <w:p w:rsidR="00C21883" w:rsidRDefault="004373A6" w:rsidP="00C21883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1883">
        <w:rPr>
          <w:rFonts w:ascii="Arial" w:hAnsi="Arial" w:cs="Arial"/>
          <w:color w:val="000000"/>
        </w:rPr>
        <w:t>What did we learn</w:t>
      </w:r>
      <w:r w:rsidR="00C21883">
        <w:rPr>
          <w:rFonts w:ascii="Arial" w:hAnsi="Arial" w:cs="Arial"/>
          <w:color w:val="000000"/>
        </w:rPr>
        <w:t>;</w:t>
      </w:r>
      <w:r w:rsidRPr="00C21883">
        <w:rPr>
          <w:rFonts w:ascii="Arial" w:hAnsi="Arial" w:cs="Arial"/>
          <w:color w:val="000000"/>
        </w:rPr>
        <w:t xml:space="preserve"> and </w:t>
      </w:r>
    </w:p>
    <w:p w:rsidR="004373A6" w:rsidRPr="00C21883" w:rsidRDefault="00C21883" w:rsidP="00C21883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4373A6" w:rsidRPr="00C21883">
        <w:rPr>
          <w:rFonts w:ascii="Arial" w:hAnsi="Arial" w:cs="Arial"/>
          <w:color w:val="000000"/>
        </w:rPr>
        <w:t xml:space="preserve">hat’s </w:t>
      </w:r>
      <w:proofErr w:type="gramStart"/>
      <w:r w:rsidR="004373A6" w:rsidRPr="00C21883">
        <w:rPr>
          <w:rFonts w:ascii="Arial" w:hAnsi="Arial" w:cs="Arial"/>
          <w:color w:val="000000"/>
        </w:rPr>
        <w:t>next</w:t>
      </w:r>
      <w:r>
        <w:rPr>
          <w:rFonts w:ascii="Arial" w:hAnsi="Arial" w:cs="Arial"/>
          <w:color w:val="000000"/>
        </w:rPr>
        <w:t>.</w:t>
      </w:r>
      <w:proofErr w:type="gramEnd"/>
    </w:p>
    <w:p w:rsidR="004373A6" w:rsidRPr="004373A6" w:rsidRDefault="004373A6" w:rsidP="004373A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C070A" w:rsidRDefault="003C070A" w:rsidP="00C2188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Also included </w:t>
      </w:r>
      <w:r w:rsidR="004373A6" w:rsidRPr="004373A6">
        <w:rPr>
          <w:rFonts w:ascii="Arial" w:hAnsi="Arial" w:cs="Arial"/>
          <w:color w:val="000000"/>
        </w:rPr>
        <w:t>are specific examples of work that supports HPHS</w:t>
      </w:r>
      <w:r>
        <w:rPr>
          <w:rFonts w:ascii="Arial" w:hAnsi="Arial" w:cs="Arial"/>
          <w:color w:val="000000"/>
        </w:rPr>
        <w:t xml:space="preserve"> such as</w:t>
      </w:r>
      <w:r w:rsidR="004373A6" w:rsidRPr="004373A6">
        <w:rPr>
          <w:rFonts w:ascii="Arial" w:hAnsi="Arial" w:cs="Arial"/>
          <w:color w:val="000000"/>
        </w:rPr>
        <w:t>:</w:t>
      </w:r>
    </w:p>
    <w:p w:rsidR="003C070A" w:rsidRDefault="004373A6" w:rsidP="003C070A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 w:rsidRPr="003C070A">
        <w:rPr>
          <w:rFonts w:ascii="Arial" w:hAnsi="Arial" w:cs="Arial"/>
          <w:color w:val="000000"/>
        </w:rPr>
        <w:t>the</w:t>
      </w:r>
      <w:proofErr w:type="gramEnd"/>
      <w:r w:rsidRPr="003C070A">
        <w:rPr>
          <w:rFonts w:ascii="Arial" w:hAnsi="Arial" w:cs="Arial"/>
          <w:color w:val="000000"/>
        </w:rPr>
        <w:t xml:space="preserve"> </w:t>
      </w:r>
      <w:proofErr w:type="spellStart"/>
      <w:r w:rsidRPr="003C070A">
        <w:rPr>
          <w:rFonts w:ascii="Arial" w:hAnsi="Arial" w:cs="Arial"/>
          <w:color w:val="000000"/>
        </w:rPr>
        <w:t>INsPire</w:t>
      </w:r>
      <w:proofErr w:type="spellEnd"/>
      <w:r w:rsidRPr="003C070A">
        <w:rPr>
          <w:rFonts w:ascii="Arial" w:hAnsi="Arial" w:cs="Arial"/>
          <w:color w:val="000000"/>
        </w:rPr>
        <w:t xml:space="preserve"> project as a support for post ICU patients and Schwartz Rounds which offer a staff support mechanism. </w:t>
      </w:r>
    </w:p>
    <w:p w:rsidR="003C070A" w:rsidRDefault="003C070A" w:rsidP="003C070A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3C070A">
        <w:rPr>
          <w:rFonts w:ascii="Arial" w:hAnsi="Arial" w:cs="Arial"/>
          <w:color w:val="000000"/>
        </w:rPr>
        <w:lastRenderedPageBreak/>
        <w:t xml:space="preserve">Scottish Adult Congenital Cardiac service </w:t>
      </w:r>
      <w:r>
        <w:rPr>
          <w:rFonts w:ascii="Arial" w:hAnsi="Arial" w:cs="Arial"/>
          <w:color w:val="000000"/>
        </w:rPr>
        <w:t xml:space="preserve">– an </w:t>
      </w:r>
      <w:r w:rsidRPr="003C070A">
        <w:rPr>
          <w:rFonts w:ascii="Arial" w:hAnsi="Arial" w:cs="Arial"/>
          <w:color w:val="000000"/>
        </w:rPr>
        <w:t>area of care where the Golden Jubilee is able to directly influence health promotion in a number of ways highlighted through HPHS opportunities</w:t>
      </w:r>
      <w:r>
        <w:rPr>
          <w:rFonts w:ascii="Arial" w:hAnsi="Arial" w:cs="Arial"/>
          <w:color w:val="000000"/>
        </w:rPr>
        <w:t>.</w:t>
      </w:r>
    </w:p>
    <w:p w:rsidR="003C070A" w:rsidRDefault="003C070A" w:rsidP="003C070A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</w:t>
      </w:r>
      <w:proofErr w:type="gramEnd"/>
      <w:r>
        <w:rPr>
          <w:rFonts w:ascii="Arial" w:hAnsi="Arial" w:cs="Arial"/>
          <w:color w:val="000000"/>
        </w:rPr>
        <w:t xml:space="preserve"> dedicated sections on clinical areas and f</w:t>
      </w:r>
      <w:r w:rsidRPr="003C070A">
        <w:rPr>
          <w:rFonts w:ascii="Arial" w:hAnsi="Arial" w:cs="Arial"/>
          <w:color w:val="000000"/>
        </w:rPr>
        <w:t>ood and nutrition</w:t>
      </w:r>
      <w:r>
        <w:rPr>
          <w:rFonts w:ascii="Arial" w:hAnsi="Arial" w:cs="Arial"/>
          <w:color w:val="000000"/>
        </w:rPr>
        <w:t>.</w:t>
      </w:r>
      <w:r w:rsidRPr="003C070A">
        <w:rPr>
          <w:rFonts w:ascii="Arial" w:hAnsi="Arial" w:cs="Arial"/>
          <w:color w:val="000000"/>
        </w:rPr>
        <w:t xml:space="preserve"> </w:t>
      </w:r>
    </w:p>
    <w:p w:rsidR="003C070A" w:rsidRDefault="003C070A" w:rsidP="003C070A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our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4373A6" w:rsidRPr="003C070A">
        <w:rPr>
          <w:rFonts w:ascii="Arial" w:hAnsi="Arial" w:cs="Arial"/>
          <w:color w:val="000000"/>
        </w:rPr>
        <w:t xml:space="preserve">Centre for Health and Wellbeing </w:t>
      </w:r>
      <w:r>
        <w:rPr>
          <w:rFonts w:ascii="Arial" w:hAnsi="Arial" w:cs="Arial"/>
          <w:color w:val="000000"/>
        </w:rPr>
        <w:t xml:space="preserve">and the </w:t>
      </w:r>
      <w:r w:rsidR="004373A6" w:rsidRPr="003C070A">
        <w:rPr>
          <w:rFonts w:ascii="Arial" w:hAnsi="Arial" w:cs="Arial"/>
          <w:color w:val="000000"/>
        </w:rPr>
        <w:t>positive impact on staff</w:t>
      </w:r>
      <w:r>
        <w:rPr>
          <w:rFonts w:ascii="Arial" w:hAnsi="Arial" w:cs="Arial"/>
          <w:color w:val="000000"/>
        </w:rPr>
        <w:t>.</w:t>
      </w:r>
    </w:p>
    <w:p w:rsidR="004373A6" w:rsidRPr="003C070A" w:rsidRDefault="003C070A" w:rsidP="003C070A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3C070A">
        <w:rPr>
          <w:rFonts w:ascii="Arial" w:hAnsi="Arial" w:cs="Arial"/>
          <w:color w:val="000000"/>
        </w:rPr>
        <w:t xml:space="preserve">our </w:t>
      </w:r>
      <w:r w:rsidRPr="003C070A">
        <w:rPr>
          <w:rFonts w:ascii="Arial" w:hAnsi="Arial" w:cs="Arial"/>
          <w:color w:val="5A6369"/>
          <w:shd w:val="clear" w:color="auto" w:fill="FFFFFF"/>
        </w:rPr>
        <w:t xml:space="preserve"> </w:t>
      </w:r>
      <w:r w:rsidRPr="008B68FC">
        <w:rPr>
          <w:rFonts w:ascii="Arial" w:hAnsi="Arial" w:cs="Arial"/>
          <w:color w:val="000000" w:themeColor="text1"/>
          <w:shd w:val="clear" w:color="auto" w:fill="FFFFFF"/>
        </w:rPr>
        <w:t>Musculoskeletal </w:t>
      </w:r>
      <w:r w:rsidR="004373A6" w:rsidRPr="008B68FC">
        <w:rPr>
          <w:rFonts w:ascii="Arial" w:hAnsi="Arial" w:cs="Arial"/>
          <w:color w:val="000000" w:themeColor="text1"/>
        </w:rPr>
        <w:t>service</w:t>
      </w:r>
      <w:r w:rsidR="004373A6" w:rsidRPr="003C070A">
        <w:rPr>
          <w:rFonts w:ascii="Arial" w:hAnsi="Arial" w:cs="Arial"/>
          <w:color w:val="000000"/>
        </w:rPr>
        <w:t xml:space="preserve"> offered by the A</w:t>
      </w:r>
      <w:r w:rsidRPr="003C070A">
        <w:rPr>
          <w:rFonts w:ascii="Arial" w:hAnsi="Arial" w:cs="Arial"/>
          <w:color w:val="000000"/>
        </w:rPr>
        <w:t xml:space="preserve">llied </w:t>
      </w:r>
      <w:r w:rsidR="004373A6" w:rsidRPr="003C070A">
        <w:rPr>
          <w:rFonts w:ascii="Arial" w:hAnsi="Arial" w:cs="Arial"/>
          <w:color w:val="000000"/>
        </w:rPr>
        <w:t>H</w:t>
      </w:r>
      <w:r w:rsidRPr="003C070A">
        <w:rPr>
          <w:rFonts w:ascii="Arial" w:hAnsi="Arial" w:cs="Arial"/>
          <w:color w:val="000000"/>
        </w:rPr>
        <w:t xml:space="preserve">ealth </w:t>
      </w:r>
      <w:r w:rsidR="004373A6" w:rsidRPr="003C070A">
        <w:rPr>
          <w:rFonts w:ascii="Arial" w:hAnsi="Arial" w:cs="Arial"/>
          <w:color w:val="000000"/>
        </w:rPr>
        <w:t>P</w:t>
      </w:r>
      <w:r w:rsidRPr="003C070A">
        <w:rPr>
          <w:rFonts w:ascii="Arial" w:hAnsi="Arial" w:cs="Arial"/>
          <w:color w:val="000000"/>
        </w:rPr>
        <w:t>rofessions (AHP)</w:t>
      </w:r>
      <w:r w:rsidR="004373A6" w:rsidRPr="003C070A">
        <w:rPr>
          <w:rFonts w:ascii="Arial" w:hAnsi="Arial" w:cs="Arial"/>
          <w:color w:val="000000"/>
        </w:rPr>
        <w:t xml:space="preserve"> team. 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3C070A" w:rsidRPr="008B68FC" w:rsidRDefault="003C070A" w:rsidP="005239DB">
      <w:pPr>
        <w:ind w:right="183"/>
        <w:rPr>
          <w:rFonts w:ascii="Arial" w:hAnsi="Arial" w:cs="Arial"/>
          <w:b/>
        </w:rPr>
      </w:pPr>
      <w:r w:rsidRPr="008B68FC">
        <w:rPr>
          <w:rFonts w:ascii="Arial" w:hAnsi="Arial" w:cs="Arial"/>
          <w:b/>
        </w:rPr>
        <w:t>3</w:t>
      </w:r>
      <w:r w:rsidRPr="008B68FC">
        <w:rPr>
          <w:rFonts w:ascii="Arial" w:hAnsi="Arial" w:cs="Arial"/>
          <w:b/>
        </w:rPr>
        <w:tab/>
        <w:t>Recomme</w:t>
      </w:r>
      <w:r w:rsidR="008B68FC">
        <w:rPr>
          <w:rFonts w:ascii="Arial" w:hAnsi="Arial" w:cs="Arial"/>
          <w:b/>
        </w:rPr>
        <w:t>n</w:t>
      </w:r>
      <w:r w:rsidRPr="008B68FC">
        <w:rPr>
          <w:rFonts w:ascii="Arial" w:hAnsi="Arial" w:cs="Arial"/>
          <w:b/>
        </w:rPr>
        <w:t>dation</w:t>
      </w:r>
    </w:p>
    <w:p w:rsidR="003C070A" w:rsidRDefault="003C070A" w:rsidP="005239DB">
      <w:pPr>
        <w:ind w:right="183"/>
        <w:rPr>
          <w:rFonts w:ascii="Arial" w:hAnsi="Arial" w:cs="Arial"/>
        </w:rPr>
      </w:pPr>
    </w:p>
    <w:p w:rsidR="005239DB" w:rsidRPr="001175E5" w:rsidRDefault="004373A6" w:rsidP="005239DB">
      <w:pPr>
        <w:ind w:right="183"/>
        <w:rPr>
          <w:rFonts w:ascii="Arial" w:hAnsi="Arial" w:cs="Arial"/>
        </w:rPr>
      </w:pPr>
      <w:r>
        <w:rPr>
          <w:rFonts w:ascii="Arial" w:hAnsi="Arial" w:cs="Arial"/>
        </w:rPr>
        <w:t>The Board are asked to discuss and approve the</w:t>
      </w:r>
      <w:r w:rsidR="003C070A">
        <w:rPr>
          <w:rFonts w:ascii="Arial" w:hAnsi="Arial" w:cs="Arial"/>
        </w:rPr>
        <w:t xml:space="preserve"> HPHS</w:t>
      </w:r>
      <w:r>
        <w:rPr>
          <w:rFonts w:ascii="Arial" w:hAnsi="Arial" w:cs="Arial"/>
        </w:rPr>
        <w:t xml:space="preserve"> r</w:t>
      </w:r>
      <w:r w:rsidR="003C070A">
        <w:rPr>
          <w:rFonts w:ascii="Arial" w:hAnsi="Arial" w:cs="Arial"/>
        </w:rPr>
        <w:t>eport prior to its submission to the Scottish Government.</w:t>
      </w:r>
    </w:p>
    <w:p w:rsidR="005B4BA8" w:rsidRPr="001175E5" w:rsidRDefault="005B4BA8" w:rsidP="005239DB">
      <w:pPr>
        <w:ind w:right="183"/>
        <w:rPr>
          <w:rFonts w:ascii="Arial" w:hAnsi="Arial" w:cs="Arial"/>
          <w:b/>
          <w:bCs/>
        </w:rPr>
      </w:pPr>
    </w:p>
    <w:p w:rsidR="005239DB" w:rsidRPr="001175E5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4373A6" w:rsidRDefault="004373A6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 Marie Cavanagh</w:t>
      </w:r>
    </w:p>
    <w:p w:rsidR="002253CC" w:rsidRDefault="004373A6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Nurse Director</w:t>
      </w:r>
      <w:r w:rsidR="005239DB">
        <w:rPr>
          <w:rFonts w:ascii="Arial" w:hAnsi="Arial" w:cs="Arial"/>
          <w:b/>
          <w:bCs/>
        </w:rPr>
        <w:tab/>
      </w:r>
    </w:p>
    <w:p w:rsidR="005239DB" w:rsidRPr="00C92710" w:rsidRDefault="007B048C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September 2018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7B048C" w:rsidRPr="003C070A" w:rsidRDefault="003C070A" w:rsidP="005239DB">
      <w:pPr>
        <w:ind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Pr="007B048C">
        <w:rPr>
          <w:rFonts w:ascii="Arial" w:hAnsi="Arial" w:cs="Arial"/>
          <w:bCs/>
        </w:rPr>
        <w:t>Theresa Williamson</w:t>
      </w:r>
      <w:r>
        <w:rPr>
          <w:rFonts w:ascii="Arial" w:hAnsi="Arial" w:cs="Arial"/>
          <w:bCs/>
        </w:rPr>
        <w:t>/2</w:t>
      </w:r>
      <w:r w:rsidR="007B048C">
        <w:rPr>
          <w:rFonts w:ascii="Arial" w:hAnsi="Arial" w:cs="Arial"/>
          <w:bCs/>
        </w:rPr>
        <w:t xml:space="preserve">018 </w:t>
      </w:r>
      <w:r w:rsidR="007B048C" w:rsidRPr="007B048C">
        <w:rPr>
          <w:rFonts w:ascii="Arial" w:hAnsi="Arial" w:cs="Arial"/>
          <w:bCs/>
        </w:rPr>
        <w:t>HPHS</w:t>
      </w:r>
      <w:r w:rsidR="007B048C">
        <w:rPr>
          <w:rFonts w:ascii="Arial" w:hAnsi="Arial" w:cs="Arial"/>
          <w:bCs/>
        </w:rPr>
        <w:t xml:space="preserve"> Report W</w:t>
      </w:r>
      <w:r w:rsidR="007B048C" w:rsidRPr="007B048C">
        <w:rPr>
          <w:rFonts w:ascii="Arial" w:hAnsi="Arial" w:cs="Arial"/>
          <w:bCs/>
        </w:rPr>
        <w:t xml:space="preserve">orking </w:t>
      </w:r>
      <w:r w:rsidR="007B048C">
        <w:rPr>
          <w:rFonts w:ascii="Arial" w:hAnsi="Arial" w:cs="Arial"/>
          <w:bCs/>
        </w:rPr>
        <w:t>G</w:t>
      </w:r>
      <w:r w:rsidR="007B048C" w:rsidRPr="007B048C">
        <w:rPr>
          <w:rFonts w:ascii="Arial" w:hAnsi="Arial" w:cs="Arial"/>
          <w:bCs/>
        </w:rPr>
        <w:t>roup</w:t>
      </w:r>
      <w:r>
        <w:rPr>
          <w:rFonts w:ascii="Arial" w:hAnsi="Arial" w:cs="Arial"/>
          <w:bCs/>
        </w:rPr>
        <w:t>)</w:t>
      </w:r>
    </w:p>
    <w:p w:rsidR="005239DB" w:rsidRPr="00A17F79" w:rsidRDefault="005239DB" w:rsidP="005239DB">
      <w:pPr>
        <w:ind w:left="540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865" w:rsidRDefault="00420865">
      <w:r>
        <w:separator/>
      </w:r>
    </w:p>
  </w:endnote>
  <w:endnote w:type="continuationSeparator" w:id="0">
    <w:p w:rsidR="00420865" w:rsidRDefault="00420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ED74C1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D74C1" w:rsidRPr="00513DB0">
      <w:rPr>
        <w:rStyle w:val="PageNumber"/>
        <w:rFonts w:ascii="Arial" w:hAnsi="Arial" w:cs="Arial"/>
      </w:rPr>
      <w:fldChar w:fldCharType="separate"/>
    </w:r>
    <w:r w:rsidR="00B95399">
      <w:rPr>
        <w:rStyle w:val="PageNumber"/>
        <w:rFonts w:ascii="Arial" w:hAnsi="Arial" w:cs="Arial"/>
        <w:noProof/>
      </w:rPr>
      <w:t>2</w:t>
    </w:r>
    <w:r w:rsidR="00ED74C1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ED74C1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D74C1" w:rsidRPr="00513DB0">
      <w:rPr>
        <w:rStyle w:val="PageNumber"/>
        <w:rFonts w:ascii="Arial" w:hAnsi="Arial" w:cs="Arial"/>
      </w:rPr>
      <w:fldChar w:fldCharType="separate"/>
    </w:r>
    <w:r w:rsidR="00B95399">
      <w:rPr>
        <w:rStyle w:val="PageNumber"/>
        <w:rFonts w:ascii="Arial" w:hAnsi="Arial" w:cs="Arial"/>
        <w:noProof/>
      </w:rPr>
      <w:t>1</w:t>
    </w:r>
    <w:r w:rsidR="00ED74C1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865" w:rsidRDefault="00420865">
      <w:r>
        <w:separator/>
      </w:r>
    </w:p>
  </w:footnote>
  <w:footnote w:type="continuationSeparator" w:id="0">
    <w:p w:rsidR="00420865" w:rsidRDefault="00420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B95399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5.3a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66D"/>
    <w:multiLevelType w:val="hybridMultilevel"/>
    <w:tmpl w:val="7BD40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D34A7"/>
    <w:multiLevelType w:val="hybridMultilevel"/>
    <w:tmpl w:val="56DA79C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621138C"/>
    <w:multiLevelType w:val="hybridMultilevel"/>
    <w:tmpl w:val="1F34862C"/>
    <w:lvl w:ilvl="0" w:tplc="2C2A98B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2"/>
  </w:num>
  <w:num w:numId="5">
    <w:abstractNumId w:val="4"/>
  </w:num>
  <w:num w:numId="6">
    <w:abstractNumId w:val="12"/>
  </w:num>
  <w:num w:numId="7">
    <w:abstractNumId w:val="18"/>
  </w:num>
  <w:num w:numId="8">
    <w:abstractNumId w:val="1"/>
  </w:num>
  <w:num w:numId="9">
    <w:abstractNumId w:val="17"/>
  </w:num>
  <w:num w:numId="10">
    <w:abstractNumId w:val="10"/>
  </w:num>
  <w:num w:numId="11">
    <w:abstractNumId w:val="9"/>
  </w:num>
  <w:num w:numId="12">
    <w:abstractNumId w:val="15"/>
  </w:num>
  <w:num w:numId="13">
    <w:abstractNumId w:val="6"/>
  </w:num>
  <w:num w:numId="14">
    <w:abstractNumId w:val="5"/>
  </w:num>
  <w:num w:numId="15">
    <w:abstractNumId w:val="11"/>
  </w:num>
  <w:num w:numId="16">
    <w:abstractNumId w:val="7"/>
  </w:num>
  <w:num w:numId="17">
    <w:abstractNumId w:val="13"/>
  </w:num>
  <w:num w:numId="18">
    <w:abstractNumId w:val="3"/>
  </w:num>
  <w:num w:numId="19">
    <w:abstractNumId w:val="19"/>
  </w:num>
  <w:num w:numId="20">
    <w:abstractNumId w:val="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E4864"/>
    <w:rsid w:val="002047EF"/>
    <w:rsid w:val="002253CC"/>
    <w:rsid w:val="002A42DD"/>
    <w:rsid w:val="0031078B"/>
    <w:rsid w:val="003C070A"/>
    <w:rsid w:val="003E423D"/>
    <w:rsid w:val="003F19CA"/>
    <w:rsid w:val="00420865"/>
    <w:rsid w:val="004373A6"/>
    <w:rsid w:val="00445FE9"/>
    <w:rsid w:val="004512CE"/>
    <w:rsid w:val="00513DB0"/>
    <w:rsid w:val="005239DB"/>
    <w:rsid w:val="00526532"/>
    <w:rsid w:val="005B4BA8"/>
    <w:rsid w:val="005B69F4"/>
    <w:rsid w:val="005F02B7"/>
    <w:rsid w:val="0060634D"/>
    <w:rsid w:val="00661EF1"/>
    <w:rsid w:val="006A1357"/>
    <w:rsid w:val="006D6F99"/>
    <w:rsid w:val="00711E7A"/>
    <w:rsid w:val="007672D7"/>
    <w:rsid w:val="007B048C"/>
    <w:rsid w:val="007B4090"/>
    <w:rsid w:val="00815350"/>
    <w:rsid w:val="00825B2D"/>
    <w:rsid w:val="00844E0E"/>
    <w:rsid w:val="008A07AE"/>
    <w:rsid w:val="008B68FC"/>
    <w:rsid w:val="008C26A2"/>
    <w:rsid w:val="0093700B"/>
    <w:rsid w:val="00937BE5"/>
    <w:rsid w:val="009742FA"/>
    <w:rsid w:val="00974594"/>
    <w:rsid w:val="009E6A39"/>
    <w:rsid w:val="00A2577B"/>
    <w:rsid w:val="00A3124D"/>
    <w:rsid w:val="00A560AF"/>
    <w:rsid w:val="00AE7C7B"/>
    <w:rsid w:val="00B95399"/>
    <w:rsid w:val="00C0017D"/>
    <w:rsid w:val="00C21883"/>
    <w:rsid w:val="00C24B4E"/>
    <w:rsid w:val="00C36974"/>
    <w:rsid w:val="00C956E2"/>
    <w:rsid w:val="00CA6DDF"/>
    <w:rsid w:val="00CE4B72"/>
    <w:rsid w:val="00CF6461"/>
    <w:rsid w:val="00D05F2C"/>
    <w:rsid w:val="00D306B6"/>
    <w:rsid w:val="00D43421"/>
    <w:rsid w:val="00D92AA6"/>
    <w:rsid w:val="00DD7115"/>
    <w:rsid w:val="00DE5902"/>
    <w:rsid w:val="00E24BFC"/>
    <w:rsid w:val="00E95856"/>
    <w:rsid w:val="00EA4869"/>
    <w:rsid w:val="00EB7C07"/>
    <w:rsid w:val="00ED74C1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A5CFC-965B-406A-BC5F-646FECA5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PrenticeC</cp:lastModifiedBy>
  <cp:revision>3</cp:revision>
  <dcterms:created xsi:type="dcterms:W3CDTF">2018-09-03T14:28:00Z</dcterms:created>
  <dcterms:modified xsi:type="dcterms:W3CDTF">2018-09-05T13:49:00Z</dcterms:modified>
</cp:coreProperties>
</file>