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AE538B">
        <w:rPr>
          <w:rStyle w:val="Heading3Char"/>
          <w:b/>
        </w:rPr>
        <w:t>NHS Golden Jubilee Board</w:t>
      </w:r>
    </w:p>
    <w:p w:rsidR="009B1BFA" w:rsidRDefault="00430C09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AE538B">
        <w:rPr>
          <w:rStyle w:val="Heading3Char"/>
          <w:b/>
        </w:rPr>
        <w:t>28</w:t>
      </w:r>
      <w:r w:rsidR="006D2C65">
        <w:rPr>
          <w:rStyle w:val="Heading3Char"/>
          <w:b/>
        </w:rPr>
        <w:t xml:space="preserve"> August 2025</w:t>
      </w:r>
    </w:p>
    <w:p w:rsidR="00B77902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6D2C65">
        <w:rPr>
          <w:rStyle w:val="Heading3Char"/>
          <w:b/>
        </w:rPr>
        <w:t>Annual People Highlight Report</w:t>
      </w:r>
    </w:p>
    <w:p w:rsidR="0003098A" w:rsidRPr="00F3337D" w:rsidRDefault="0003098A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6D2C65">
        <w:rPr>
          <w:rStyle w:val="Heading3Char"/>
          <w:b/>
        </w:rPr>
        <w:t xml:space="preserve">Laura Smith, </w:t>
      </w:r>
      <w:r w:rsidR="00225FC9">
        <w:rPr>
          <w:rStyle w:val="Heading3Char"/>
          <w:b/>
        </w:rPr>
        <w:t xml:space="preserve">Executive </w:t>
      </w:r>
      <w:r w:rsidR="006D2C65">
        <w:rPr>
          <w:rStyle w:val="Heading3Char"/>
          <w:b/>
        </w:rPr>
        <w:t>Director of People and Culture</w:t>
      </w:r>
    </w:p>
    <w:p w:rsidR="00430C09" w:rsidRDefault="00430C09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6D2C65">
        <w:rPr>
          <w:rStyle w:val="Heading3Char"/>
          <w:b/>
        </w:rPr>
        <w:t xml:space="preserve">Laura Smith, </w:t>
      </w:r>
      <w:r w:rsidR="00225FC9">
        <w:rPr>
          <w:rStyle w:val="Heading3Char"/>
          <w:b/>
        </w:rPr>
        <w:t xml:space="preserve">Executive </w:t>
      </w:r>
      <w:r w:rsidR="006D2C65">
        <w:rPr>
          <w:rStyle w:val="Heading3Char"/>
          <w:b/>
        </w:rPr>
        <w:t>Director of People and Culture</w:t>
      </w:r>
    </w:p>
    <w:p w:rsidR="00B77902" w:rsidRPr="00B77902" w:rsidRDefault="00B77902" w:rsidP="00B77902">
      <w:bookmarkStart w:id="0" w:name="_GoBack"/>
      <w:bookmarkEnd w:id="0"/>
    </w:p>
    <w:p w:rsidR="00430C09" w:rsidRDefault="00BF3AF0" w:rsidP="00430C09">
      <w:pPr>
        <w:pStyle w:val="Heading2"/>
        <w:spacing w:line="276" w:lineRule="auto"/>
      </w:pPr>
      <w:r>
        <w:t>1</w:t>
      </w:r>
      <w:r>
        <w:tab/>
      </w:r>
      <w:r w:rsidR="00430C09" w:rsidRPr="00F05C63">
        <w:t>Purpose</w:t>
      </w:r>
    </w:p>
    <w:p w:rsidR="009807B4" w:rsidRDefault="009807B4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9828B9" w:rsidRPr="009828B9" w:rsidRDefault="00430C09" w:rsidP="009828B9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b/>
          <w:color w:val="000000"/>
          <w:szCs w:val="24"/>
          <w:lang w:eastAsia="en-GB"/>
        </w:rPr>
      </w:pPr>
      <w:r w:rsidRPr="00EC2445">
        <w:rPr>
          <w:b/>
          <w:lang w:eastAsia="en-GB"/>
        </w:rPr>
        <w:t>This</w:t>
      </w:r>
      <w:r w:rsidR="00446219" w:rsidRPr="00EC2445">
        <w:rPr>
          <w:b/>
          <w:lang w:eastAsia="en-GB"/>
        </w:rPr>
        <w:t xml:space="preserve"> is presented to </w:t>
      </w:r>
      <w:r w:rsidR="00AE538B">
        <w:rPr>
          <w:b/>
          <w:lang w:eastAsia="en-GB"/>
        </w:rPr>
        <w:t xml:space="preserve">NHS Golden Jubilee Board </w:t>
      </w:r>
      <w:r w:rsidR="00446219" w:rsidRPr="00EC2445">
        <w:rPr>
          <w:b/>
          <w:lang w:eastAsia="en-GB"/>
        </w:rPr>
        <w:t>for</w:t>
      </w:r>
      <w:r w:rsidR="00446219" w:rsidRPr="009807B4">
        <w:rPr>
          <w:lang w:eastAsia="en-GB"/>
        </w:rPr>
        <w:t xml:space="preserve">: </w:t>
      </w:r>
    </w:p>
    <w:p w:rsidR="009807B4" w:rsidRPr="006D2C65" w:rsidRDefault="009807B4" w:rsidP="00BF3AF0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 w:rsidRPr="006D2C65">
        <w:rPr>
          <w:b w:val="0"/>
          <w:lang w:eastAsia="en-GB"/>
        </w:rPr>
        <w:t>A</w:t>
      </w:r>
      <w:r w:rsidR="00AC17BC">
        <w:rPr>
          <w:b w:val="0"/>
          <w:lang w:eastAsia="en-GB"/>
        </w:rPr>
        <w:t xml:space="preserve">pproval </w:t>
      </w:r>
    </w:p>
    <w:p w:rsidR="00430C09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430C09" w:rsidRDefault="00430C09" w:rsidP="00BF3AF0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  <w:r w:rsidR="009828B9">
        <w:rPr>
          <w:lang w:eastAsia="en-GB"/>
        </w:rPr>
        <w:t xml:space="preserve"> </w:t>
      </w:r>
    </w:p>
    <w:p w:rsidR="009807B4" w:rsidRPr="006D2C65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6D2C65">
        <w:rPr>
          <w:rFonts w:ascii="Arial" w:hAnsi="Arial" w:cs="Arial"/>
          <w:color w:val="000000"/>
          <w:sz w:val="24"/>
          <w:szCs w:val="24"/>
        </w:rPr>
        <w:t>Annual Operation Plan</w:t>
      </w:r>
    </w:p>
    <w:p w:rsidR="00430C09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430C09" w:rsidRDefault="00430C09" w:rsidP="00BF3AF0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 w:rsidR="00047714">
        <w:rPr>
          <w:lang w:eastAsia="en-GB"/>
        </w:rPr>
        <w:t xml:space="preserve"> </w:t>
      </w:r>
      <w:proofErr w:type="spellStart"/>
      <w:r w:rsidR="00047714">
        <w:rPr>
          <w:lang w:eastAsia="en-GB"/>
        </w:rPr>
        <w:t>NHSScotland</w:t>
      </w:r>
      <w:proofErr w:type="spellEnd"/>
      <w:r w:rsidRPr="003114D5">
        <w:rPr>
          <w:lang w:eastAsia="en-GB"/>
        </w:rPr>
        <w:t xml:space="preserve"> quality </w:t>
      </w:r>
      <w:r w:rsidR="00EC2445">
        <w:rPr>
          <w:lang w:eastAsia="en-GB"/>
        </w:rPr>
        <w:t>ambition</w:t>
      </w:r>
      <w:r>
        <w:rPr>
          <w:lang w:eastAsia="en-GB"/>
        </w:rPr>
        <w:t>:</w:t>
      </w:r>
    </w:p>
    <w:p w:rsidR="009807B4" w:rsidRPr="006D2C65" w:rsidRDefault="009807B4" w:rsidP="00BF3A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6D2C65">
        <w:rPr>
          <w:rFonts w:ascii="Arial" w:hAnsi="Arial" w:cs="Arial"/>
          <w:color w:val="000000"/>
          <w:sz w:val="24"/>
          <w:szCs w:val="24"/>
        </w:rPr>
        <w:t>Person Centred</w:t>
      </w:r>
    </w:p>
    <w:p w:rsidR="00B546C8" w:rsidRDefault="00B546C8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:rsidR="00B546C8" w:rsidRPr="00B546C8" w:rsidRDefault="00B546C8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b/>
          <w:color w:val="000000"/>
          <w:szCs w:val="24"/>
        </w:rPr>
      </w:pPr>
      <w:r w:rsidRPr="00B546C8">
        <w:rPr>
          <w:rFonts w:cs="Arial"/>
          <w:b/>
          <w:color w:val="000000"/>
          <w:szCs w:val="24"/>
        </w:rPr>
        <w:t>This aligns to the following NHSGJ Corporate Objectives:</w:t>
      </w:r>
    </w:p>
    <w:p w:rsidR="009B1BFA" w:rsidRPr="006D2C65" w:rsidRDefault="009B1BFA" w:rsidP="009B1BF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40" w:after="40" w:line="276" w:lineRule="auto"/>
        <w:ind w:left="1134"/>
        <w:rPr>
          <w:rFonts w:ascii="Arial" w:hAnsi="Arial" w:cs="Arial"/>
          <w:color w:val="000000"/>
          <w:sz w:val="24"/>
          <w:szCs w:val="24"/>
        </w:rPr>
      </w:pPr>
      <w:r w:rsidRPr="006D2C65">
        <w:rPr>
          <w:rFonts w:ascii="Arial" w:hAnsi="Arial" w:cs="Arial"/>
          <w:color w:val="000000"/>
          <w:sz w:val="24"/>
          <w:szCs w:val="24"/>
        </w:rPr>
        <w:t>Culture, Wellbeing and Values</w:t>
      </w:r>
    </w:p>
    <w:p w:rsidR="00430C09" w:rsidRDefault="00430C09" w:rsidP="009807B4">
      <w:pPr>
        <w:spacing w:line="276" w:lineRule="auto"/>
      </w:pPr>
    </w:p>
    <w:p w:rsidR="00430C09" w:rsidRDefault="00C94BF7" w:rsidP="00430C09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03098A" w:rsidRDefault="0003098A" w:rsidP="00430C09">
      <w:pPr>
        <w:pStyle w:val="Heading3"/>
        <w:spacing w:line="276" w:lineRule="auto"/>
      </w:pPr>
    </w:p>
    <w:p w:rsidR="00430C09" w:rsidRDefault="00C94BF7" w:rsidP="00BF3AF0">
      <w:pPr>
        <w:pStyle w:val="Heading2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:rsidR="006D2C65" w:rsidRPr="006D2C65" w:rsidRDefault="006D2C65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 w:rsidRPr="006D2C65">
        <w:rPr>
          <w:rFonts w:cs="Arial"/>
          <w:color w:val="000000"/>
          <w:szCs w:val="24"/>
        </w:rPr>
        <w:t>This report summarises the key deliveries throughout 2024/25, of all teams within the People Directorate.   It’s being brought to this meeting for awareness.</w:t>
      </w:r>
    </w:p>
    <w:p w:rsidR="00430C09" w:rsidRDefault="00430C09" w:rsidP="00BF3AF0">
      <w:pPr>
        <w:spacing w:before="40" w:after="40" w:line="276" w:lineRule="auto"/>
        <w:rPr>
          <w:rFonts w:cs="Arial"/>
          <w:color w:val="000000"/>
          <w:szCs w:val="24"/>
        </w:rPr>
      </w:pPr>
    </w:p>
    <w:p w:rsidR="00430C09" w:rsidRDefault="00C87B62" w:rsidP="00BF3AF0">
      <w:pPr>
        <w:pStyle w:val="Heading2"/>
        <w:ind w:left="686" w:hanging="686"/>
      </w:pPr>
      <w:r>
        <w:t>2</w:t>
      </w:r>
      <w:r w:rsidR="00BF3AF0">
        <w:t>.2</w:t>
      </w:r>
      <w:r w:rsidR="00BF3AF0">
        <w:tab/>
      </w:r>
      <w:r w:rsidR="00430C09">
        <w:t>Background</w:t>
      </w:r>
    </w:p>
    <w:p w:rsidR="00430C09" w:rsidRDefault="006D2C65" w:rsidP="00BF3AF0">
      <w:pPr>
        <w:spacing w:before="40" w:after="40" w:line="276" w:lineRule="auto"/>
        <w:ind w:left="686"/>
        <w:rPr>
          <w:rFonts w:cs="Arial"/>
          <w:color w:val="000000"/>
          <w:szCs w:val="24"/>
        </w:rPr>
      </w:pPr>
      <w:r w:rsidRPr="006D2C65">
        <w:rPr>
          <w:rFonts w:cs="Arial"/>
          <w:color w:val="000000"/>
          <w:szCs w:val="24"/>
        </w:rPr>
        <w:t xml:space="preserve">In previous years, separate reports were provided to this committee from some (not all) of the teams in the People Directorate, with differing styles and levels of detail.  </w:t>
      </w:r>
      <w:r>
        <w:rPr>
          <w:rFonts w:cs="Arial"/>
          <w:color w:val="000000"/>
          <w:szCs w:val="24"/>
        </w:rPr>
        <w:t>As part of our commitment to work more collaboratively, one combined report has now been created.</w:t>
      </w:r>
    </w:p>
    <w:p w:rsidR="00430C09" w:rsidRDefault="00430C09" w:rsidP="00BF3AF0">
      <w:pPr>
        <w:pStyle w:val="ListParagraph"/>
        <w:spacing w:before="40" w:after="40" w:line="276" w:lineRule="auto"/>
        <w:ind w:left="1253"/>
        <w:rPr>
          <w:rFonts w:ascii="Arial" w:hAnsi="Arial" w:cs="Arial"/>
          <w:color w:val="000000"/>
          <w:sz w:val="24"/>
          <w:szCs w:val="24"/>
        </w:rPr>
      </w:pPr>
    </w:p>
    <w:p w:rsidR="00F3337D" w:rsidRDefault="00C87B62" w:rsidP="00BF3AF0">
      <w:pPr>
        <w:pStyle w:val="Heading2"/>
      </w:pPr>
      <w:r>
        <w:lastRenderedPageBreak/>
        <w:t>2</w:t>
      </w:r>
      <w:r w:rsidR="00BF3AF0">
        <w:t>.3</w:t>
      </w:r>
      <w:r w:rsidR="00BF3AF0">
        <w:tab/>
      </w:r>
      <w:r w:rsidR="00F3337D">
        <w:t>Assessment</w:t>
      </w:r>
    </w:p>
    <w:p w:rsidR="00F3337D" w:rsidRPr="004306C4" w:rsidRDefault="006D2C65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 w:rsidRPr="006D2C65">
        <w:rPr>
          <w:rFonts w:cs="Arial"/>
          <w:color w:val="000000"/>
          <w:szCs w:val="24"/>
        </w:rPr>
        <w:t xml:space="preserve">The report is purely a ‘highlight’ report.  Any formal requirements to report key elements of our deliverables are still being executed in line with our governance requirements.  </w:t>
      </w:r>
    </w:p>
    <w:p w:rsidR="00F3337D" w:rsidRPr="00BF3AF0" w:rsidRDefault="00F3337D" w:rsidP="00BF3AF0">
      <w:pPr>
        <w:spacing w:before="40" w:after="40" w:line="276" w:lineRule="auto"/>
        <w:rPr>
          <w:rFonts w:cs="Arial"/>
          <w:color w:val="000000"/>
          <w:szCs w:val="24"/>
        </w:rPr>
      </w:pPr>
    </w:p>
    <w:p w:rsidR="00F3337D" w:rsidRDefault="00C87B62" w:rsidP="00F3337D">
      <w:pPr>
        <w:pStyle w:val="Heading3"/>
        <w:spacing w:line="276" w:lineRule="auto"/>
      </w:pPr>
      <w:r>
        <w:t>2</w:t>
      </w:r>
      <w:r w:rsidR="00BF3AF0">
        <w:t>.3.1</w:t>
      </w:r>
      <w:r w:rsidR="00BF3AF0">
        <w:tab/>
      </w:r>
      <w:r w:rsidR="00F3337D">
        <w:t>Quality/ Patient Care</w:t>
      </w:r>
    </w:p>
    <w:p w:rsidR="00F3337D" w:rsidRDefault="006D2C65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No impact.</w:t>
      </w:r>
    </w:p>
    <w:p w:rsidR="00F3337D" w:rsidRPr="00F3337D" w:rsidRDefault="00F3337D" w:rsidP="00BF3AF0">
      <w:pPr>
        <w:pStyle w:val="ListParagraph"/>
        <w:ind w:left="1440"/>
        <w:rPr>
          <w:rFonts w:ascii="Arial" w:hAnsi="Arial" w:cs="Arial"/>
          <w:color w:val="000000"/>
          <w:sz w:val="24"/>
          <w:szCs w:val="24"/>
        </w:rPr>
      </w:pPr>
    </w:p>
    <w:p w:rsidR="00AA77F7" w:rsidRDefault="00C87B62" w:rsidP="00AA77F7">
      <w:pPr>
        <w:pStyle w:val="Heading3"/>
        <w:spacing w:line="276" w:lineRule="auto"/>
      </w:pPr>
      <w:r>
        <w:t>2</w:t>
      </w:r>
      <w:r w:rsidR="00BF3AF0">
        <w:t>.3.2</w:t>
      </w:r>
      <w:r w:rsidR="00BF3AF0">
        <w:tab/>
      </w:r>
      <w:r w:rsidR="00AA77F7">
        <w:t>Workforce</w:t>
      </w:r>
    </w:p>
    <w:p w:rsidR="00AA77F7" w:rsidRDefault="006D2C65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The People Directorate are working collaboratively to help our workforce thrive.</w:t>
      </w:r>
    </w:p>
    <w:p w:rsidR="00F3337D" w:rsidRPr="00AA77F7" w:rsidRDefault="00F3337D" w:rsidP="00AA77F7">
      <w:pPr>
        <w:rPr>
          <w:rFonts w:cs="Arial"/>
          <w:color w:val="000000"/>
          <w:szCs w:val="24"/>
        </w:rPr>
      </w:pPr>
    </w:p>
    <w:p w:rsidR="00F3337D" w:rsidRDefault="00C87B62" w:rsidP="00F3337D">
      <w:pPr>
        <w:pStyle w:val="Heading3"/>
        <w:spacing w:line="276" w:lineRule="auto"/>
      </w:pPr>
      <w:r>
        <w:t>2</w:t>
      </w:r>
      <w:r w:rsidR="00BF3AF0">
        <w:t>.3.3</w:t>
      </w:r>
      <w:r w:rsidR="00BF3AF0">
        <w:tab/>
      </w:r>
      <w:r w:rsidR="00F3337D">
        <w:t>Financial</w:t>
      </w:r>
    </w:p>
    <w:p w:rsidR="00F3337D" w:rsidRPr="00611AA4" w:rsidRDefault="006D2C65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No impact.</w:t>
      </w:r>
    </w:p>
    <w:p w:rsidR="00F3337D" w:rsidRDefault="00F3337D" w:rsidP="00BF3AF0">
      <w:pPr>
        <w:pStyle w:val="ListParagraph"/>
        <w:spacing w:before="40" w:after="40" w:line="276" w:lineRule="auto"/>
        <w:ind w:left="394"/>
        <w:rPr>
          <w:rFonts w:ascii="Arial" w:hAnsi="Arial" w:cs="Arial"/>
          <w:color w:val="000000"/>
          <w:sz w:val="24"/>
          <w:szCs w:val="24"/>
        </w:rPr>
      </w:pPr>
    </w:p>
    <w:p w:rsidR="00F3337D" w:rsidRDefault="00C87B62" w:rsidP="00F3337D">
      <w:pPr>
        <w:pStyle w:val="Heading3"/>
        <w:spacing w:line="276" w:lineRule="auto"/>
      </w:pPr>
      <w:r>
        <w:t>2</w:t>
      </w:r>
      <w:r w:rsidR="00BF3AF0">
        <w:t>.3.4</w:t>
      </w:r>
      <w:r w:rsidR="00BF3AF0">
        <w:tab/>
      </w:r>
      <w:r w:rsidR="00F3337D">
        <w:t>Risk Assessment</w:t>
      </w:r>
      <w:r w:rsidR="00BF3AF0">
        <w:t>/</w:t>
      </w:r>
      <w:r w:rsidR="00F3337D">
        <w:t>Management</w:t>
      </w:r>
    </w:p>
    <w:p w:rsidR="00F3337D" w:rsidRDefault="006D2C65" w:rsidP="00BF3AF0">
      <w:pPr>
        <w:spacing w:before="40" w:after="40" w:line="276" w:lineRule="auto"/>
        <w:ind w:firstLine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No impact.</w:t>
      </w:r>
    </w:p>
    <w:p w:rsidR="00F3337D" w:rsidRPr="00BF3AF0" w:rsidRDefault="00F3337D" w:rsidP="00BF3AF0">
      <w:pPr>
        <w:spacing w:before="40" w:after="40" w:line="276" w:lineRule="auto"/>
        <w:rPr>
          <w:rFonts w:cs="Arial"/>
          <w:color w:val="000000"/>
          <w:szCs w:val="24"/>
        </w:rPr>
      </w:pPr>
    </w:p>
    <w:p w:rsidR="00F3337D" w:rsidRDefault="00C87B62" w:rsidP="00F3337D">
      <w:pPr>
        <w:pStyle w:val="Heading3"/>
        <w:spacing w:line="276" w:lineRule="auto"/>
      </w:pPr>
      <w:r>
        <w:t>2</w:t>
      </w:r>
      <w:r w:rsidR="00BF3AF0">
        <w:t>.3.5</w:t>
      </w:r>
      <w:r w:rsidR="00BF3AF0">
        <w:tab/>
      </w:r>
      <w:r w:rsidR="00F3337D">
        <w:t>Equality and Diversity, including health inequalities</w:t>
      </w:r>
    </w:p>
    <w:p w:rsidR="00F3337D" w:rsidRPr="006D2C65" w:rsidRDefault="006D2C65" w:rsidP="006D2C65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 w:rsidRPr="006D2C65">
        <w:rPr>
          <w:rFonts w:cs="Arial"/>
          <w:color w:val="000000"/>
          <w:szCs w:val="24"/>
        </w:rPr>
        <w:t xml:space="preserve">The Equalities chapter of this report shares the Equality, Diversity and Inclusion deliverables throughout 2024/25.  </w:t>
      </w:r>
    </w:p>
    <w:p w:rsidR="00BF3AF0" w:rsidRPr="00BF3AF0" w:rsidRDefault="00BF3AF0" w:rsidP="00BF3AF0">
      <w:pPr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:rsidR="006C5C9F" w:rsidRPr="00D17B29" w:rsidRDefault="00C87B62" w:rsidP="00D17B29">
      <w:pPr>
        <w:pStyle w:val="Heading3"/>
      </w:pPr>
      <w:r>
        <w:t>2</w:t>
      </w:r>
      <w:r w:rsidR="00D17B29">
        <w:t>.3.6</w:t>
      </w:r>
      <w:r w:rsidR="00D17B29">
        <w:tab/>
      </w:r>
      <w:r w:rsidR="006C5C9F" w:rsidRPr="00C31C8F">
        <w:rPr>
          <w:rFonts w:eastAsiaTheme="minorHAnsi" w:cs="Arial"/>
          <w:bCs/>
          <w:color w:val="000000"/>
          <w:spacing w:val="0"/>
          <w:szCs w:val="23"/>
        </w:rPr>
        <w:t xml:space="preserve">Climate Emergency and Sustainability </w:t>
      </w:r>
    </w:p>
    <w:p w:rsidR="00D17B29" w:rsidRDefault="006D2C65" w:rsidP="00D17B29">
      <w:pPr>
        <w:spacing w:before="40" w:after="40" w:line="276" w:lineRule="auto"/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No impact.</w:t>
      </w:r>
    </w:p>
    <w:p w:rsidR="00AA77F7" w:rsidRPr="00F3337D" w:rsidRDefault="00AA77F7" w:rsidP="00F3337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:rsidR="00F3337D" w:rsidRPr="00AC17BC" w:rsidRDefault="00446219" w:rsidP="00F3337D">
      <w:pPr>
        <w:pStyle w:val="Heading3"/>
        <w:numPr>
          <w:ilvl w:val="2"/>
          <w:numId w:val="16"/>
        </w:numPr>
        <w:rPr>
          <w:rFonts w:eastAsia="Times New Roman"/>
        </w:rPr>
      </w:pPr>
      <w:r>
        <w:rPr>
          <w:rFonts w:eastAsia="Times New Roman"/>
        </w:rPr>
        <w:t>Communication, involvement, engagement and consultation</w:t>
      </w:r>
    </w:p>
    <w:p w:rsidR="00AF0530" w:rsidRPr="006D2C65" w:rsidRDefault="006D2C65" w:rsidP="00F3337D">
      <w:pPr>
        <w:pStyle w:val="ListParagrap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This report has been shared with </w:t>
      </w:r>
      <w:r w:rsidRPr="006D2C65">
        <w:rPr>
          <w:rFonts w:ascii="Arial" w:hAnsi="Arial" w:cs="Arial"/>
          <w:color w:val="000000"/>
          <w:sz w:val="24"/>
          <w:szCs w:val="24"/>
        </w:rPr>
        <w:t>the following groups:</w:t>
      </w:r>
    </w:p>
    <w:p w:rsidR="00AF0530" w:rsidRPr="006D2C65" w:rsidRDefault="00AF0530" w:rsidP="00F3337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:rsidR="00446219" w:rsidRPr="006D2C65" w:rsidRDefault="006D2C65" w:rsidP="00446219">
      <w:pPr>
        <w:pStyle w:val="ListParagraph"/>
        <w:numPr>
          <w:ilvl w:val="0"/>
          <w:numId w:val="4"/>
        </w:numPr>
        <w:spacing w:before="40" w:after="40" w:line="276" w:lineRule="auto"/>
        <w:rPr>
          <w:rFonts w:ascii="Arial" w:hAnsi="Arial" w:cs="Arial"/>
          <w:sz w:val="24"/>
          <w:szCs w:val="24"/>
        </w:rPr>
      </w:pPr>
      <w:r w:rsidRPr="006D2C65">
        <w:rPr>
          <w:rFonts w:ascii="Arial" w:hAnsi="Arial" w:cs="Arial"/>
          <w:sz w:val="24"/>
          <w:szCs w:val="24"/>
        </w:rPr>
        <w:t>Staff Governance Group, 10</w:t>
      </w:r>
      <w:r w:rsidRPr="006D2C65">
        <w:rPr>
          <w:rFonts w:ascii="Arial" w:hAnsi="Arial" w:cs="Arial"/>
          <w:sz w:val="24"/>
          <w:szCs w:val="24"/>
          <w:vertAlign w:val="superscript"/>
        </w:rPr>
        <w:t>th</w:t>
      </w:r>
      <w:r w:rsidRPr="006D2C65">
        <w:rPr>
          <w:rFonts w:ascii="Arial" w:hAnsi="Arial" w:cs="Arial"/>
          <w:sz w:val="24"/>
          <w:szCs w:val="24"/>
        </w:rPr>
        <w:t xml:space="preserve"> July 2025</w:t>
      </w:r>
    </w:p>
    <w:p w:rsidR="00430C09" w:rsidRDefault="006D2C65" w:rsidP="00446219">
      <w:pPr>
        <w:pStyle w:val="ListParagraph"/>
        <w:numPr>
          <w:ilvl w:val="0"/>
          <w:numId w:val="4"/>
        </w:numPr>
        <w:spacing w:before="40" w:after="40" w:line="276" w:lineRule="auto"/>
        <w:rPr>
          <w:rFonts w:ascii="Arial" w:hAnsi="Arial" w:cs="Arial"/>
          <w:sz w:val="24"/>
          <w:szCs w:val="24"/>
        </w:rPr>
      </w:pPr>
      <w:r w:rsidRPr="006D2C65">
        <w:rPr>
          <w:rFonts w:ascii="Arial" w:hAnsi="Arial" w:cs="Arial"/>
          <w:sz w:val="24"/>
          <w:szCs w:val="24"/>
        </w:rPr>
        <w:t>Partnership Forum, 18</w:t>
      </w:r>
      <w:r w:rsidRPr="006D2C65">
        <w:rPr>
          <w:rFonts w:ascii="Arial" w:hAnsi="Arial" w:cs="Arial"/>
          <w:sz w:val="24"/>
          <w:szCs w:val="24"/>
          <w:vertAlign w:val="superscript"/>
        </w:rPr>
        <w:t>th</w:t>
      </w:r>
      <w:r w:rsidRPr="006D2C65">
        <w:rPr>
          <w:rFonts w:ascii="Arial" w:hAnsi="Arial" w:cs="Arial"/>
          <w:sz w:val="24"/>
          <w:szCs w:val="24"/>
        </w:rPr>
        <w:t xml:space="preserve"> July 2025</w:t>
      </w:r>
    </w:p>
    <w:p w:rsidR="00AE538B" w:rsidRPr="006D2C65" w:rsidRDefault="00AE538B" w:rsidP="00446219">
      <w:pPr>
        <w:pStyle w:val="ListParagraph"/>
        <w:numPr>
          <w:ilvl w:val="0"/>
          <w:numId w:val="4"/>
        </w:numPr>
        <w:spacing w:before="40" w:after="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Governance and Person Centred Committee, 12</w:t>
      </w:r>
      <w:r w:rsidRPr="00AE538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August 2025</w:t>
      </w:r>
    </w:p>
    <w:p w:rsidR="00B851FC" w:rsidRPr="00446219" w:rsidRDefault="00B851FC" w:rsidP="00B851FC">
      <w:pPr>
        <w:pStyle w:val="ListParagraph"/>
        <w:spacing w:before="40" w:after="40" w:line="276" w:lineRule="auto"/>
        <w:ind w:left="1080"/>
        <w:rPr>
          <w:rFonts w:ascii="Arial" w:hAnsi="Arial" w:cs="Arial"/>
          <w:sz w:val="24"/>
          <w:szCs w:val="24"/>
          <w:highlight w:val="lightGray"/>
        </w:rPr>
      </w:pPr>
    </w:p>
    <w:p w:rsidR="00446219" w:rsidRPr="00446219" w:rsidRDefault="00446219" w:rsidP="00446219">
      <w:pPr>
        <w:pStyle w:val="Heading3"/>
        <w:numPr>
          <w:ilvl w:val="2"/>
          <w:numId w:val="16"/>
        </w:numPr>
      </w:pPr>
      <w:r>
        <w:t>Route to the Meeting</w:t>
      </w:r>
    </w:p>
    <w:p w:rsidR="006D2C65" w:rsidRPr="006D2C65" w:rsidRDefault="006D2C65" w:rsidP="006D2C65">
      <w:pPr>
        <w:pStyle w:val="ListParagrap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This report has been shared with </w:t>
      </w:r>
      <w:r w:rsidRPr="006D2C65">
        <w:rPr>
          <w:rFonts w:ascii="Arial" w:hAnsi="Arial" w:cs="Arial"/>
          <w:color w:val="000000"/>
          <w:sz w:val="24"/>
          <w:szCs w:val="24"/>
        </w:rPr>
        <w:t>the following groups:</w:t>
      </w:r>
    </w:p>
    <w:p w:rsidR="006D2C65" w:rsidRPr="006D2C65" w:rsidRDefault="006D2C65" w:rsidP="006D2C65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:rsidR="006D2C65" w:rsidRPr="006D2C65" w:rsidRDefault="006D2C65" w:rsidP="006D2C65">
      <w:pPr>
        <w:pStyle w:val="ListParagraph"/>
        <w:numPr>
          <w:ilvl w:val="0"/>
          <w:numId w:val="4"/>
        </w:numPr>
        <w:spacing w:before="40" w:after="40" w:line="276" w:lineRule="auto"/>
        <w:rPr>
          <w:rFonts w:ascii="Arial" w:hAnsi="Arial" w:cs="Arial"/>
          <w:sz w:val="24"/>
          <w:szCs w:val="24"/>
        </w:rPr>
      </w:pPr>
      <w:r w:rsidRPr="006D2C65">
        <w:rPr>
          <w:rFonts w:ascii="Arial" w:hAnsi="Arial" w:cs="Arial"/>
          <w:sz w:val="24"/>
          <w:szCs w:val="24"/>
        </w:rPr>
        <w:t>Staff Governance Group, 10</w:t>
      </w:r>
      <w:r w:rsidRPr="006D2C65">
        <w:rPr>
          <w:rFonts w:ascii="Arial" w:hAnsi="Arial" w:cs="Arial"/>
          <w:sz w:val="24"/>
          <w:szCs w:val="24"/>
          <w:vertAlign w:val="superscript"/>
        </w:rPr>
        <w:t>th</w:t>
      </w:r>
      <w:r w:rsidRPr="006D2C65">
        <w:rPr>
          <w:rFonts w:ascii="Arial" w:hAnsi="Arial" w:cs="Arial"/>
          <w:sz w:val="24"/>
          <w:szCs w:val="24"/>
        </w:rPr>
        <w:t xml:space="preserve"> July 2025</w:t>
      </w:r>
    </w:p>
    <w:p w:rsidR="006D2C65" w:rsidRDefault="006D2C65" w:rsidP="006D2C65">
      <w:pPr>
        <w:pStyle w:val="ListParagraph"/>
        <w:numPr>
          <w:ilvl w:val="0"/>
          <w:numId w:val="4"/>
        </w:numPr>
        <w:spacing w:before="40" w:after="40" w:line="276" w:lineRule="auto"/>
        <w:rPr>
          <w:rFonts w:ascii="Arial" w:hAnsi="Arial" w:cs="Arial"/>
          <w:sz w:val="24"/>
          <w:szCs w:val="24"/>
        </w:rPr>
      </w:pPr>
      <w:r w:rsidRPr="006D2C65">
        <w:rPr>
          <w:rFonts w:ascii="Arial" w:hAnsi="Arial" w:cs="Arial"/>
          <w:sz w:val="24"/>
          <w:szCs w:val="24"/>
        </w:rPr>
        <w:t>Partnership Forum, 18</w:t>
      </w:r>
      <w:r w:rsidRPr="006D2C65">
        <w:rPr>
          <w:rFonts w:ascii="Arial" w:hAnsi="Arial" w:cs="Arial"/>
          <w:sz w:val="24"/>
          <w:szCs w:val="24"/>
          <w:vertAlign w:val="superscript"/>
        </w:rPr>
        <w:t>th</w:t>
      </w:r>
      <w:r w:rsidRPr="006D2C65">
        <w:rPr>
          <w:rFonts w:ascii="Arial" w:hAnsi="Arial" w:cs="Arial"/>
          <w:sz w:val="24"/>
          <w:szCs w:val="24"/>
        </w:rPr>
        <w:t xml:space="preserve"> July 2025</w:t>
      </w:r>
    </w:p>
    <w:p w:rsidR="00AE538B" w:rsidRPr="006D2C65" w:rsidRDefault="00AE538B" w:rsidP="006D2C65">
      <w:pPr>
        <w:pStyle w:val="ListParagraph"/>
        <w:numPr>
          <w:ilvl w:val="0"/>
          <w:numId w:val="4"/>
        </w:numPr>
        <w:spacing w:before="40" w:after="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Governance and Person Centred Committee, 12</w:t>
      </w:r>
      <w:r w:rsidRPr="00AE538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August 2025</w:t>
      </w:r>
    </w:p>
    <w:p w:rsidR="00430C09" w:rsidRDefault="00430C09" w:rsidP="00430C09">
      <w:pPr>
        <w:pStyle w:val="Heading2"/>
        <w:spacing w:line="276" w:lineRule="auto"/>
      </w:pPr>
    </w:p>
    <w:p w:rsidR="00BF3AF0" w:rsidRDefault="00C87B62" w:rsidP="00BF3AF0">
      <w:pPr>
        <w:pStyle w:val="Heading2"/>
      </w:pPr>
      <w:r>
        <w:t>2.</w:t>
      </w:r>
      <w:r w:rsidR="00BF3AF0">
        <w:t>4</w:t>
      </w:r>
      <w:r w:rsidR="00BF3AF0">
        <w:tab/>
        <w:t>Recommendation</w:t>
      </w:r>
    </w:p>
    <w:p w:rsidR="00BF3AF0" w:rsidRPr="00BF3AF0" w:rsidRDefault="00BF3AF0" w:rsidP="00BF3AF0"/>
    <w:p w:rsidR="006D2C65" w:rsidRPr="00E536EC" w:rsidRDefault="006D2C65" w:rsidP="006D2C65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 w:rsidRPr="00E536EC">
        <w:rPr>
          <w:rFonts w:cs="Arial"/>
          <w:color w:val="000000"/>
          <w:szCs w:val="24"/>
        </w:rPr>
        <w:t xml:space="preserve">This report is being shared for:  </w:t>
      </w:r>
    </w:p>
    <w:p w:rsidR="00E536EC" w:rsidRPr="00E536EC" w:rsidRDefault="00E536EC" w:rsidP="00E536EC">
      <w:pPr>
        <w:numPr>
          <w:ilvl w:val="0"/>
          <w:numId w:val="1"/>
        </w:numPr>
        <w:spacing w:before="40" w:after="40" w:line="276" w:lineRule="auto"/>
        <w:rPr>
          <w:rFonts w:cs="Arial"/>
          <w:color w:val="000000"/>
          <w:szCs w:val="24"/>
        </w:rPr>
      </w:pPr>
      <w:r w:rsidRPr="00E536EC">
        <w:rPr>
          <w:rFonts w:cs="Arial"/>
          <w:b/>
          <w:color w:val="000000"/>
          <w:szCs w:val="24"/>
        </w:rPr>
        <w:t>Decision</w:t>
      </w:r>
      <w:r w:rsidRPr="00E536EC">
        <w:rPr>
          <w:rFonts w:cs="Arial"/>
          <w:color w:val="000000"/>
          <w:szCs w:val="24"/>
        </w:rPr>
        <w:t xml:space="preserve"> – Reaching a conclusion after the consideration of options.</w:t>
      </w:r>
    </w:p>
    <w:p w:rsidR="00C87B62" w:rsidRDefault="00C87B62" w:rsidP="00C87B62">
      <w:pPr>
        <w:spacing w:before="40" w:after="40" w:line="276" w:lineRule="auto"/>
        <w:rPr>
          <w:rFonts w:cs="Arial"/>
          <w:szCs w:val="24"/>
        </w:rPr>
      </w:pPr>
    </w:p>
    <w:p w:rsidR="00C87B62" w:rsidRDefault="00C87B62" w:rsidP="00C87B62">
      <w:pPr>
        <w:pStyle w:val="Heading2"/>
        <w:numPr>
          <w:ilvl w:val="0"/>
          <w:numId w:val="16"/>
        </w:numPr>
        <w:spacing w:line="276" w:lineRule="auto"/>
      </w:pPr>
      <w:r>
        <w:lastRenderedPageBreak/>
        <w:t>List of appendices</w:t>
      </w:r>
    </w:p>
    <w:p w:rsidR="00C87B62" w:rsidRDefault="00C87B62" w:rsidP="00C87B62">
      <w:pPr>
        <w:spacing w:before="40" w:after="40" w:line="276" w:lineRule="auto"/>
        <w:rPr>
          <w:rFonts w:cs="Arial"/>
          <w:color w:val="000000" w:themeColor="text1"/>
          <w:szCs w:val="24"/>
        </w:rPr>
      </w:pPr>
    </w:p>
    <w:p w:rsidR="00C87B62" w:rsidRPr="00BF3AF0" w:rsidRDefault="00EE56AF" w:rsidP="00C87B62">
      <w:pPr>
        <w:spacing w:before="40" w:after="40" w:line="276" w:lineRule="auto"/>
        <w:ind w:firstLine="525"/>
        <w:rPr>
          <w:rFonts w:cs="Arial"/>
          <w:color w:val="000000"/>
          <w:szCs w:val="24"/>
        </w:rPr>
      </w:pPr>
      <w:r>
        <w:rPr>
          <w:rFonts w:cs="Arial"/>
          <w:color w:val="000000" w:themeColor="text1"/>
          <w:szCs w:val="24"/>
        </w:rPr>
        <w:t>n/a</w:t>
      </w:r>
    </w:p>
    <w:p w:rsidR="00C87B62" w:rsidRPr="00B77902" w:rsidRDefault="00C87B62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sectPr w:rsidR="00C87B62" w:rsidRPr="00B77902" w:rsidSect="003F7F61">
      <w:headerReference w:type="default" r:id="rId8"/>
      <w:footerReference w:type="default" r:id="rId9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CDC" w:rsidRDefault="00F00CDC">
      <w:r>
        <w:separator/>
      </w:r>
    </w:p>
  </w:endnote>
  <w:endnote w:type="continuationSeparator" w:id="0">
    <w:p w:rsidR="00F00CDC" w:rsidRDefault="00F0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225FC9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225FC9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CDC" w:rsidRDefault="00F00CDC">
      <w:r>
        <w:separator/>
      </w:r>
    </w:p>
  </w:footnote>
  <w:footnote w:type="continuationSeparator" w:id="0">
    <w:p w:rsidR="00F00CDC" w:rsidRDefault="00F0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Pr="00125A9E" w:rsidRDefault="00DB7057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>Board Item 2.6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A08"/>
    <w:multiLevelType w:val="hybridMultilevel"/>
    <w:tmpl w:val="C58891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7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17"/>
  </w:num>
  <w:num w:numId="5">
    <w:abstractNumId w:val="9"/>
  </w:num>
  <w:num w:numId="6">
    <w:abstractNumId w:val="6"/>
  </w:num>
  <w:num w:numId="7">
    <w:abstractNumId w:val="12"/>
  </w:num>
  <w:num w:numId="8">
    <w:abstractNumId w:val="5"/>
  </w:num>
  <w:num w:numId="9">
    <w:abstractNumId w:val="14"/>
  </w:num>
  <w:num w:numId="10">
    <w:abstractNumId w:val="3"/>
  </w:num>
  <w:num w:numId="11">
    <w:abstractNumId w:val="15"/>
  </w:num>
  <w:num w:numId="12">
    <w:abstractNumId w:val="2"/>
  </w:num>
  <w:num w:numId="13">
    <w:abstractNumId w:val="4"/>
  </w:num>
  <w:num w:numId="14">
    <w:abstractNumId w:val="7"/>
  </w:num>
  <w:num w:numId="15">
    <w:abstractNumId w:val="10"/>
  </w:num>
  <w:num w:numId="16">
    <w:abstractNumId w:val="8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3098A"/>
    <w:rsid w:val="00047714"/>
    <w:rsid w:val="00091974"/>
    <w:rsid w:val="000945DB"/>
    <w:rsid w:val="000F7706"/>
    <w:rsid w:val="00125A9E"/>
    <w:rsid w:val="00140DB3"/>
    <w:rsid w:val="00225FC9"/>
    <w:rsid w:val="0023473B"/>
    <w:rsid w:val="0033790B"/>
    <w:rsid w:val="003D47EE"/>
    <w:rsid w:val="003E5654"/>
    <w:rsid w:val="003F7F61"/>
    <w:rsid w:val="00430C09"/>
    <w:rsid w:val="00446219"/>
    <w:rsid w:val="00495B36"/>
    <w:rsid w:val="004A39D0"/>
    <w:rsid w:val="004C24DE"/>
    <w:rsid w:val="00591C18"/>
    <w:rsid w:val="00593821"/>
    <w:rsid w:val="00610728"/>
    <w:rsid w:val="006173A9"/>
    <w:rsid w:val="006A01A8"/>
    <w:rsid w:val="006C5C9F"/>
    <w:rsid w:val="006D1343"/>
    <w:rsid w:val="006D2C65"/>
    <w:rsid w:val="007F32CF"/>
    <w:rsid w:val="00816E22"/>
    <w:rsid w:val="00927C6C"/>
    <w:rsid w:val="009807B4"/>
    <w:rsid w:val="009828B9"/>
    <w:rsid w:val="009B1BFA"/>
    <w:rsid w:val="00A2680C"/>
    <w:rsid w:val="00A62B58"/>
    <w:rsid w:val="00A84C97"/>
    <w:rsid w:val="00AA77F7"/>
    <w:rsid w:val="00AC17BC"/>
    <w:rsid w:val="00AE522B"/>
    <w:rsid w:val="00AE538B"/>
    <w:rsid w:val="00AF0530"/>
    <w:rsid w:val="00AF356A"/>
    <w:rsid w:val="00B178D4"/>
    <w:rsid w:val="00B546C8"/>
    <w:rsid w:val="00B562FA"/>
    <w:rsid w:val="00B7445F"/>
    <w:rsid w:val="00B77902"/>
    <w:rsid w:val="00B851FC"/>
    <w:rsid w:val="00BF3AF0"/>
    <w:rsid w:val="00C87B62"/>
    <w:rsid w:val="00C94BF7"/>
    <w:rsid w:val="00D17B29"/>
    <w:rsid w:val="00DB7057"/>
    <w:rsid w:val="00DD2D3D"/>
    <w:rsid w:val="00DD6252"/>
    <w:rsid w:val="00DF1BE0"/>
    <w:rsid w:val="00E50D66"/>
    <w:rsid w:val="00E536EC"/>
    <w:rsid w:val="00E71CD2"/>
    <w:rsid w:val="00EC2445"/>
    <w:rsid w:val="00EE56AF"/>
    <w:rsid w:val="00F00CDC"/>
    <w:rsid w:val="00F3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5D053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8</cp:revision>
  <cp:lastPrinted>2019-10-07T12:25:00Z</cp:lastPrinted>
  <dcterms:created xsi:type="dcterms:W3CDTF">2025-08-05T12:58:00Z</dcterms:created>
  <dcterms:modified xsi:type="dcterms:W3CDTF">2025-08-21T08:50:00Z</dcterms:modified>
</cp:coreProperties>
</file>